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93BEB" w14:textId="77777777" w:rsidR="0005704C" w:rsidRPr="00C95E7E" w:rsidRDefault="0005704C" w:rsidP="00C95E7E">
      <w:pPr>
        <w:pStyle w:val="Heading1"/>
        <w:numPr>
          <w:ilvl w:val="0"/>
          <w:numId w:val="0"/>
        </w:numPr>
      </w:pPr>
      <w:r w:rsidRPr="009C7A4C">
        <w:t>Supporting Statement – Part B</w:t>
      </w:r>
      <w:r w:rsidR="00C95E7E">
        <w:br/>
      </w:r>
      <w:r w:rsidRPr="00C95E7E">
        <w:t>Collections of Information Employing Statistical Methods</w:t>
      </w:r>
    </w:p>
    <w:p w14:paraId="43AC7100" w14:textId="77777777" w:rsidR="0005704C" w:rsidRPr="00151273" w:rsidRDefault="0005704C" w:rsidP="00D74FF4">
      <w:pPr>
        <w:pStyle w:val="Heading2"/>
      </w:pPr>
      <w:bookmarkStart w:id="0" w:name="_Toc429570390"/>
      <w:bookmarkStart w:id="1" w:name="_Toc410331701"/>
      <w:bookmarkStart w:id="2" w:name="_Toc410331595"/>
      <w:bookmarkStart w:id="3" w:name="_Toc433627269"/>
      <w:r w:rsidRPr="00151273">
        <w:t>Respondent Universe and Sampling Method</w:t>
      </w:r>
      <w:bookmarkEnd w:id="0"/>
      <w:bookmarkEnd w:id="1"/>
      <w:bookmarkEnd w:id="2"/>
      <w:r w:rsidRPr="00151273">
        <w:t>s</w:t>
      </w:r>
      <w:bookmarkEnd w:id="3"/>
    </w:p>
    <w:p w14:paraId="4977E38B" w14:textId="77777777" w:rsidR="00105641" w:rsidRPr="00791874" w:rsidRDefault="00105641" w:rsidP="00A65A39">
      <w:pPr>
        <w:ind w:left="360"/>
      </w:pPr>
      <w:r>
        <w:t xml:space="preserve">This data collection includes a nursing home administrator </w:t>
      </w:r>
      <w:proofErr w:type="gramStart"/>
      <w:r>
        <w:t>survey and interviews</w:t>
      </w:r>
      <w:proofErr w:type="gramEnd"/>
      <w:r>
        <w:t xml:space="preserve"> and focus groups with nursing home administrators, </w:t>
      </w:r>
      <w:r w:rsidR="00791874">
        <w:t xml:space="preserve">Quality Innovation Network Quality Improvement Organizations (QIN-QIO) </w:t>
      </w:r>
      <w:r>
        <w:t>task leads, and nursin</w:t>
      </w:r>
      <w:r w:rsidR="00791874">
        <w:t xml:space="preserve">g home peer coaches. </w:t>
      </w:r>
      <w:r w:rsidR="00A65A39" w:rsidRPr="00151273">
        <w:t xml:space="preserve">The </w:t>
      </w:r>
      <w:r w:rsidR="00A65A39">
        <w:t>QIN-</w:t>
      </w:r>
      <w:r w:rsidR="00A65A39" w:rsidRPr="00151273">
        <w:t xml:space="preserve">QIO program works with </w:t>
      </w:r>
      <w:r w:rsidR="00A65A39">
        <w:t xml:space="preserve">nursing homes </w:t>
      </w:r>
      <w:r w:rsidR="00A65A39" w:rsidRPr="00151273">
        <w:t>to improve the quality of care provided to Medicare beneficiaries.</w:t>
      </w:r>
      <w:r w:rsidR="00A65A39">
        <w:t xml:space="preserve"> We are examining the differences in the types of quality improvement activities and resources used between nursing homes participating </w:t>
      </w:r>
      <w:r w:rsidR="00345C2D">
        <w:t>in the</w:t>
      </w:r>
      <w:r w:rsidR="00A65A39">
        <w:t xml:space="preserve"> QIN-QIO program and non-participating nursing homes.</w:t>
      </w:r>
    </w:p>
    <w:p w14:paraId="17611D78" w14:textId="77777777" w:rsidR="00CF3012" w:rsidRDefault="00CF3012" w:rsidP="00C95E7E">
      <w:pPr>
        <w:pStyle w:val="Heading3"/>
      </w:pPr>
      <w:r>
        <w:t xml:space="preserve">Nursing Home </w:t>
      </w:r>
      <w:r w:rsidR="0065088C">
        <w:t xml:space="preserve">Administrator </w:t>
      </w:r>
      <w:r>
        <w:t>Survey</w:t>
      </w:r>
    </w:p>
    <w:p w14:paraId="03B4537F" w14:textId="3E9C4776" w:rsidR="00DF6F94" w:rsidRDefault="0005704C" w:rsidP="00DF6F94">
      <w:pPr>
        <w:ind w:left="720"/>
        <w:rPr>
          <w:rFonts w:ascii="Times New Roman" w:hAnsi="Times New Roman" w:cs="Times New Roman"/>
          <w:szCs w:val="24"/>
        </w:rPr>
      </w:pPr>
      <w:r>
        <w:t>The</w:t>
      </w:r>
      <w:r w:rsidR="00C136C6">
        <w:t xml:space="preserve"> cross-sectional</w:t>
      </w:r>
      <w:r>
        <w:t xml:space="preserve"> survey will </w:t>
      </w:r>
      <w:r w:rsidR="002E4E30">
        <w:t xml:space="preserve">collect information from 400 </w:t>
      </w:r>
      <w:r w:rsidRPr="00151273">
        <w:t>nursing home administrators</w:t>
      </w:r>
      <w:r>
        <w:t xml:space="preserve"> who are participating in the </w:t>
      </w:r>
      <w:r w:rsidR="00EE4E86">
        <w:t xml:space="preserve">CMS </w:t>
      </w:r>
      <w:r w:rsidR="00911C71">
        <w:t>QIN-</w:t>
      </w:r>
      <w:r>
        <w:t xml:space="preserve">QIO program (intervention group) and </w:t>
      </w:r>
      <w:r w:rsidR="002E4E30">
        <w:t xml:space="preserve">400 </w:t>
      </w:r>
      <w:r>
        <w:t xml:space="preserve">nursing home administrators who are not participating in the </w:t>
      </w:r>
      <w:r w:rsidR="00123A4E">
        <w:t>QIN-</w:t>
      </w:r>
      <w:r>
        <w:t>QIO program (</w:t>
      </w:r>
      <w:r w:rsidR="00E41B59">
        <w:t xml:space="preserve">comparison </w:t>
      </w:r>
      <w:r>
        <w:t>group)</w:t>
      </w:r>
      <w:r w:rsidRPr="00151273">
        <w:t xml:space="preserve">. </w:t>
      </w:r>
      <w:r w:rsidR="00DF6F94">
        <w:rPr>
          <w:rFonts w:ascii="Times New Roman" w:hAnsi="Times New Roman" w:cs="Times New Roman"/>
          <w:szCs w:val="24"/>
        </w:rPr>
        <w:t xml:space="preserve">The sample size of 400 cases within the treatment and the control group </w:t>
      </w:r>
      <w:proofErr w:type="gramStart"/>
      <w:r w:rsidR="00DF6F94">
        <w:rPr>
          <w:rFonts w:ascii="Times New Roman" w:hAnsi="Times New Roman" w:cs="Times New Roman"/>
          <w:szCs w:val="24"/>
        </w:rPr>
        <w:t>was selected</w:t>
      </w:r>
      <w:proofErr w:type="gramEnd"/>
      <w:r w:rsidR="00DF6F94">
        <w:rPr>
          <w:rFonts w:ascii="Times New Roman" w:hAnsi="Times New Roman" w:cs="Times New Roman"/>
          <w:szCs w:val="24"/>
        </w:rPr>
        <w:t xml:space="preserve"> to ensure a margin of error of 5% or less for estimates within those groups, as well as to ensure a small-to-medium effect size for comparisons between the two groups (see section 2c below). </w:t>
      </w:r>
    </w:p>
    <w:p w14:paraId="37F3ECE1" w14:textId="76F82200" w:rsidR="00DF6F94" w:rsidRPr="00B20CEE" w:rsidRDefault="00DF6F94" w:rsidP="00DF6F94">
      <w:pPr>
        <w:ind w:left="720"/>
        <w:rPr>
          <w:rFonts w:ascii="Times New Roman" w:hAnsi="Times New Roman" w:cs="Times New Roman"/>
          <w:szCs w:val="24"/>
        </w:rPr>
      </w:pPr>
      <w:r>
        <w:rPr>
          <w:rFonts w:ascii="Times New Roman" w:hAnsi="Times New Roman" w:cs="Times New Roman"/>
          <w:szCs w:val="24"/>
        </w:rPr>
        <w:t xml:space="preserve">The sample </w:t>
      </w:r>
      <w:proofErr w:type="gramStart"/>
      <w:r>
        <w:rPr>
          <w:rFonts w:ascii="Times New Roman" w:hAnsi="Times New Roman" w:cs="Times New Roman"/>
          <w:szCs w:val="24"/>
        </w:rPr>
        <w:t>will be stratified</w:t>
      </w:r>
      <w:proofErr w:type="gramEnd"/>
      <w:r>
        <w:rPr>
          <w:rFonts w:ascii="Times New Roman" w:hAnsi="Times New Roman" w:cs="Times New Roman"/>
          <w:szCs w:val="24"/>
        </w:rPr>
        <w:t xml:space="preserve"> by region and </w:t>
      </w:r>
      <w:r w:rsidR="009D0F69">
        <w:rPr>
          <w:rFonts w:ascii="Times New Roman" w:hAnsi="Times New Roman" w:cs="Times New Roman"/>
          <w:szCs w:val="24"/>
        </w:rPr>
        <w:t>S</w:t>
      </w:r>
      <w:r w:rsidR="00AF536B">
        <w:rPr>
          <w:rFonts w:ascii="Times New Roman" w:hAnsi="Times New Roman" w:cs="Times New Roman"/>
          <w:szCs w:val="24"/>
        </w:rPr>
        <w:t>tar rating system, and nursing homes will be randomly selected within each strata.</w:t>
      </w:r>
      <w:r>
        <w:rPr>
          <w:rFonts w:ascii="Times New Roman" w:hAnsi="Times New Roman" w:cs="Times New Roman"/>
          <w:szCs w:val="24"/>
        </w:rPr>
        <w:t xml:space="preserve"> </w:t>
      </w:r>
      <w:r w:rsidR="009D0F69">
        <w:rPr>
          <w:rFonts w:ascii="Times New Roman" w:hAnsi="Times New Roman" w:cs="Times New Roman"/>
          <w:szCs w:val="24"/>
        </w:rPr>
        <w:t>S</w:t>
      </w:r>
      <w:r>
        <w:rPr>
          <w:rFonts w:ascii="Times New Roman" w:hAnsi="Times New Roman" w:cs="Times New Roman"/>
          <w:szCs w:val="24"/>
        </w:rPr>
        <w:t xml:space="preserve">tratification by region </w:t>
      </w:r>
      <w:proofErr w:type="gramStart"/>
      <w:r>
        <w:rPr>
          <w:rFonts w:ascii="Times New Roman" w:hAnsi="Times New Roman" w:cs="Times New Roman"/>
          <w:szCs w:val="24"/>
        </w:rPr>
        <w:t>is designed</w:t>
      </w:r>
      <w:proofErr w:type="gramEnd"/>
      <w:r>
        <w:rPr>
          <w:rFonts w:ascii="Times New Roman" w:hAnsi="Times New Roman" w:cs="Times New Roman"/>
          <w:szCs w:val="24"/>
        </w:rPr>
        <w:t xml:space="preserve"> to </w:t>
      </w:r>
      <w:r w:rsidR="009D0F69">
        <w:rPr>
          <w:rFonts w:ascii="Times New Roman" w:hAnsi="Times New Roman" w:cs="Times New Roman"/>
          <w:szCs w:val="24"/>
        </w:rPr>
        <w:t>produce a sample with a</w:t>
      </w:r>
      <w:r>
        <w:rPr>
          <w:rFonts w:ascii="Times New Roman" w:hAnsi="Times New Roman" w:cs="Times New Roman"/>
          <w:szCs w:val="24"/>
        </w:rPr>
        <w:t xml:space="preserve"> mix of nursing </w:t>
      </w:r>
      <w:r w:rsidRPr="00B20CEE">
        <w:rPr>
          <w:rFonts w:ascii="Times New Roman" w:hAnsi="Times New Roman" w:cs="Times New Roman"/>
          <w:szCs w:val="24"/>
        </w:rPr>
        <w:t>facilities</w:t>
      </w:r>
      <w:r w:rsidR="00E75038">
        <w:rPr>
          <w:rFonts w:ascii="Times New Roman" w:hAnsi="Times New Roman" w:cs="Times New Roman"/>
          <w:szCs w:val="24"/>
        </w:rPr>
        <w:t>’</w:t>
      </w:r>
      <w:r w:rsidRPr="00B20CEE">
        <w:rPr>
          <w:rFonts w:ascii="Times New Roman" w:hAnsi="Times New Roman" w:cs="Times New Roman"/>
          <w:szCs w:val="24"/>
        </w:rPr>
        <w:t xml:space="preserve"> relevant QIN-QIOs </w:t>
      </w:r>
      <w:r w:rsidR="009D0F69" w:rsidRPr="00B20CEE">
        <w:rPr>
          <w:rFonts w:ascii="Times New Roman" w:hAnsi="Times New Roman" w:cs="Times New Roman"/>
          <w:szCs w:val="24"/>
        </w:rPr>
        <w:t>that</w:t>
      </w:r>
      <w:r w:rsidRPr="00B20CEE">
        <w:rPr>
          <w:rFonts w:ascii="Times New Roman" w:hAnsi="Times New Roman" w:cs="Times New Roman"/>
          <w:szCs w:val="24"/>
        </w:rPr>
        <w:t xml:space="preserve"> is consistent with the actual population, but is not intended to produce </w:t>
      </w:r>
      <w:r w:rsidR="009D0F69" w:rsidRPr="00B20CEE">
        <w:rPr>
          <w:rFonts w:ascii="Times New Roman" w:hAnsi="Times New Roman" w:cs="Times New Roman"/>
          <w:szCs w:val="24"/>
        </w:rPr>
        <w:t xml:space="preserve">reliable </w:t>
      </w:r>
      <w:r w:rsidRPr="00B20CEE">
        <w:rPr>
          <w:rFonts w:ascii="Times New Roman" w:hAnsi="Times New Roman" w:cs="Times New Roman"/>
          <w:szCs w:val="24"/>
        </w:rPr>
        <w:t xml:space="preserve">estimates at the individual </w:t>
      </w:r>
      <w:r w:rsidRPr="003E39BC">
        <w:rPr>
          <w:rFonts w:ascii="Times New Roman" w:hAnsi="Times New Roman" w:cs="Times New Roman"/>
          <w:szCs w:val="24"/>
        </w:rPr>
        <w:t>QIN-QIO region</w:t>
      </w:r>
      <w:r w:rsidR="003E39BC">
        <w:rPr>
          <w:rFonts w:ascii="Times New Roman" w:hAnsi="Times New Roman" w:cs="Times New Roman"/>
          <w:szCs w:val="24"/>
        </w:rPr>
        <w:t>.</w:t>
      </w:r>
      <w:r w:rsidR="0065781F" w:rsidRPr="003E39BC">
        <w:rPr>
          <w:rStyle w:val="FootnoteReference"/>
          <w:rFonts w:ascii="Times New Roman" w:hAnsi="Times New Roman" w:cs="Times New Roman"/>
          <w:szCs w:val="24"/>
          <w:vertAlign w:val="superscript"/>
        </w:rPr>
        <w:footnoteReference w:id="2"/>
      </w:r>
      <w:r w:rsidRPr="00B20CEE">
        <w:rPr>
          <w:rFonts w:ascii="Times New Roman" w:hAnsi="Times New Roman" w:cs="Times New Roman"/>
          <w:szCs w:val="24"/>
        </w:rPr>
        <w:t xml:space="preserve"> </w:t>
      </w:r>
      <w:r w:rsidR="002E0519" w:rsidRPr="00B20CEE">
        <w:t xml:space="preserve">For the treatment group, we will randomly select nursing facilities within strata </w:t>
      </w:r>
      <w:r w:rsidR="00F36C4E" w:rsidRPr="00B20CEE">
        <w:t xml:space="preserve">with the goal of having </w:t>
      </w:r>
      <w:r w:rsidR="002E0519" w:rsidRPr="00B20CEE">
        <w:t xml:space="preserve">the </w:t>
      </w:r>
      <w:bookmarkStart w:id="4" w:name="_GoBack"/>
      <w:r w:rsidR="002E0519" w:rsidRPr="00B20CEE">
        <w:t xml:space="preserve">number of interviews allocated </w:t>
      </w:r>
      <w:r w:rsidR="00F36C4E" w:rsidRPr="00B20CEE">
        <w:t xml:space="preserve">in </w:t>
      </w:r>
      <w:r w:rsidR="002E0519" w:rsidRPr="00B20CEE">
        <w:t>proportion to the total number of facilities in those strata</w:t>
      </w:r>
      <w:r w:rsidR="00B20CEE">
        <w:t>.</w:t>
      </w:r>
      <w:r w:rsidR="002E0519" w:rsidRPr="00B20CEE">
        <w:t xml:space="preserve"> For the comparison group, we will select a sample that mirrors the regional distribution of the treatment group, to increase the comparability </w:t>
      </w:r>
      <w:proofErr w:type="gramStart"/>
      <w:r w:rsidR="002E0519" w:rsidRPr="00B20CEE">
        <w:t>of</w:t>
      </w:r>
      <w:proofErr w:type="gramEnd"/>
      <w:r w:rsidR="002E0519" w:rsidRPr="00B20CEE">
        <w:t xml:space="preserve"> the two. </w:t>
      </w:r>
      <w:r w:rsidRPr="00B20CEE">
        <w:rPr>
          <w:rFonts w:ascii="Times New Roman" w:hAnsi="Times New Roman" w:cs="Times New Roman"/>
          <w:szCs w:val="24"/>
        </w:rPr>
        <w:t>By</w:t>
      </w:r>
      <w:r w:rsidR="00F36C4E" w:rsidRPr="00B20CEE">
        <w:rPr>
          <w:rFonts w:ascii="Times New Roman" w:hAnsi="Times New Roman" w:cs="Times New Roman"/>
          <w:szCs w:val="24"/>
        </w:rPr>
        <w:t xml:space="preserve"> stratifying by </w:t>
      </w:r>
      <w:r w:rsidRPr="00B20CEE">
        <w:rPr>
          <w:rFonts w:ascii="Times New Roman" w:hAnsi="Times New Roman" w:cs="Times New Roman"/>
          <w:szCs w:val="24"/>
        </w:rPr>
        <w:t xml:space="preserve">geographic </w:t>
      </w:r>
      <w:r w:rsidR="00F36C4E" w:rsidRPr="00B20CEE">
        <w:rPr>
          <w:rFonts w:ascii="Times New Roman" w:hAnsi="Times New Roman" w:cs="Times New Roman"/>
          <w:szCs w:val="24"/>
        </w:rPr>
        <w:t xml:space="preserve">area </w:t>
      </w:r>
      <w:r w:rsidR="0065781F" w:rsidRPr="00B20CEE">
        <w:rPr>
          <w:rFonts w:ascii="Times New Roman" w:hAnsi="Times New Roman" w:cs="Times New Roman"/>
          <w:szCs w:val="24"/>
        </w:rPr>
        <w:t>within each star-rating stratum</w:t>
      </w:r>
      <w:r w:rsidRPr="00B20CEE">
        <w:rPr>
          <w:rFonts w:ascii="Times New Roman" w:hAnsi="Times New Roman" w:cs="Times New Roman"/>
          <w:szCs w:val="24"/>
        </w:rPr>
        <w:t xml:space="preserve">, we ensure that the impact a specific QIN-QIO has on the overall program’s effectiveness is commensurate with the volume of nursing homes for which </w:t>
      </w:r>
      <w:bookmarkEnd w:id="4"/>
      <w:r w:rsidRPr="00B20CEE">
        <w:rPr>
          <w:rFonts w:ascii="Times New Roman" w:hAnsi="Times New Roman" w:cs="Times New Roman"/>
          <w:szCs w:val="24"/>
        </w:rPr>
        <w:t xml:space="preserve">it is responsible within its region. </w:t>
      </w:r>
    </w:p>
    <w:p w14:paraId="23D340FE" w14:textId="1DC8D3FB" w:rsidR="00DF6F94" w:rsidRPr="00DF6F94" w:rsidRDefault="00DF6F94" w:rsidP="00DF6F94">
      <w:pPr>
        <w:ind w:left="720"/>
        <w:rPr>
          <w:rFonts w:ascii="Times New Roman" w:hAnsi="Times New Roman" w:cs="Times New Roman"/>
          <w:szCs w:val="24"/>
        </w:rPr>
      </w:pPr>
      <w:r w:rsidRPr="00B20CEE">
        <w:rPr>
          <w:szCs w:val="24"/>
        </w:rPr>
        <w:t xml:space="preserve">Stratification by Star </w:t>
      </w:r>
      <w:r w:rsidR="003F3412" w:rsidRPr="00B20CEE">
        <w:rPr>
          <w:szCs w:val="24"/>
        </w:rPr>
        <w:t>r</w:t>
      </w:r>
      <w:r w:rsidRPr="00B20CEE">
        <w:rPr>
          <w:szCs w:val="24"/>
        </w:rPr>
        <w:t xml:space="preserve">ating </w:t>
      </w:r>
      <w:proofErr w:type="gramStart"/>
      <w:r w:rsidRPr="00B20CEE">
        <w:rPr>
          <w:szCs w:val="24"/>
        </w:rPr>
        <w:t>is employed</w:t>
      </w:r>
      <w:proofErr w:type="gramEnd"/>
      <w:r w:rsidRPr="00B20CEE">
        <w:rPr>
          <w:szCs w:val="24"/>
        </w:rPr>
        <w:t xml:space="preserve"> to </w:t>
      </w:r>
      <w:r w:rsidR="00AA104B" w:rsidRPr="00B20CEE">
        <w:rPr>
          <w:szCs w:val="24"/>
        </w:rPr>
        <w:t>allow</w:t>
      </w:r>
      <w:r w:rsidRPr="00B20CEE">
        <w:rPr>
          <w:szCs w:val="24"/>
        </w:rPr>
        <w:t xml:space="preserve"> </w:t>
      </w:r>
      <w:r w:rsidR="003F3412" w:rsidRPr="00B20CEE">
        <w:rPr>
          <w:szCs w:val="24"/>
        </w:rPr>
        <w:t xml:space="preserve">for over-recruitment </w:t>
      </w:r>
      <w:r w:rsidR="00EB5A2F" w:rsidRPr="00B20CEE">
        <w:rPr>
          <w:szCs w:val="24"/>
        </w:rPr>
        <w:t xml:space="preserve">of one-star nursing faculties </w:t>
      </w:r>
      <w:r w:rsidR="003F3412" w:rsidRPr="00B20CEE">
        <w:rPr>
          <w:szCs w:val="24"/>
        </w:rPr>
        <w:t xml:space="preserve">by </w:t>
      </w:r>
      <w:r w:rsidR="00EB5A2F" w:rsidRPr="00B20CEE">
        <w:rPr>
          <w:szCs w:val="24"/>
        </w:rPr>
        <w:t xml:space="preserve">the </w:t>
      </w:r>
      <w:r w:rsidR="003F3412" w:rsidRPr="00B20CEE">
        <w:rPr>
          <w:szCs w:val="24"/>
        </w:rPr>
        <w:t>QIN</w:t>
      </w:r>
      <w:r w:rsidRPr="00B20CEE">
        <w:rPr>
          <w:szCs w:val="24"/>
        </w:rPr>
        <w:t>-QIOs (because these low performers are most in need of assistance) so that comparisons are made between treatment and control</w:t>
      </w:r>
      <w:r>
        <w:rPr>
          <w:szCs w:val="24"/>
        </w:rPr>
        <w:t xml:space="preserve"> groups that have </w:t>
      </w:r>
      <w:r w:rsidR="00EB5A2F">
        <w:rPr>
          <w:szCs w:val="24"/>
        </w:rPr>
        <w:t xml:space="preserve">a </w:t>
      </w:r>
      <w:r>
        <w:rPr>
          <w:szCs w:val="24"/>
        </w:rPr>
        <w:t xml:space="preserve">similar share of </w:t>
      </w:r>
      <w:r w:rsidR="00EB5A2F">
        <w:rPr>
          <w:szCs w:val="24"/>
        </w:rPr>
        <w:t>one</w:t>
      </w:r>
      <w:r>
        <w:rPr>
          <w:szCs w:val="24"/>
        </w:rPr>
        <w:t>-star facilities</w:t>
      </w:r>
      <w:r w:rsidRPr="00FE3A8E">
        <w:rPr>
          <w:szCs w:val="24"/>
        </w:rPr>
        <w:t xml:space="preserve">. </w:t>
      </w:r>
      <w:r w:rsidR="00A74DE7">
        <w:rPr>
          <w:szCs w:val="24"/>
        </w:rPr>
        <w:t>The distribution of interviews across the QIN-QIO regions in the control group sample will reflect the distribution of facilities (and interviews) in the treatment group for the same reason.</w:t>
      </w:r>
    </w:p>
    <w:p w14:paraId="7A710E29" w14:textId="77777777" w:rsidR="0005704C" w:rsidRPr="00506EA9" w:rsidRDefault="0005704C" w:rsidP="00C95E7E">
      <w:pPr>
        <w:pStyle w:val="Heading4"/>
      </w:pPr>
      <w:bookmarkStart w:id="5" w:name="_Toc433627271"/>
      <w:bookmarkStart w:id="6" w:name="_Toc429570392"/>
      <w:bookmarkStart w:id="7" w:name="_Toc410331703"/>
      <w:bookmarkStart w:id="8" w:name="_Toc410331597"/>
      <w:r w:rsidRPr="00506EA9">
        <w:lastRenderedPageBreak/>
        <w:t>Sampling Method</w:t>
      </w:r>
      <w:bookmarkEnd w:id="5"/>
      <w:bookmarkEnd w:id="6"/>
      <w:bookmarkEnd w:id="7"/>
      <w:bookmarkEnd w:id="8"/>
    </w:p>
    <w:p w14:paraId="5E393C72" w14:textId="77777777" w:rsidR="00945A18" w:rsidRDefault="0005704C" w:rsidP="005B2FBF">
      <w:pPr>
        <w:ind w:left="720"/>
        <w:rPr>
          <w:szCs w:val="18"/>
        </w:rPr>
      </w:pPr>
      <w:proofErr w:type="gramStart"/>
      <w:r w:rsidRPr="004A1DB4">
        <w:rPr>
          <w:szCs w:val="18"/>
        </w:rPr>
        <w:t>The QI</w:t>
      </w:r>
      <w:r w:rsidR="00123A4E">
        <w:rPr>
          <w:szCs w:val="18"/>
        </w:rPr>
        <w:t>N-QI</w:t>
      </w:r>
      <w:r w:rsidRPr="004A1DB4">
        <w:rPr>
          <w:szCs w:val="18"/>
        </w:rPr>
        <w:t xml:space="preserve">O program </w:t>
      </w:r>
      <w:r w:rsidR="00945A18">
        <w:rPr>
          <w:szCs w:val="18"/>
        </w:rPr>
        <w:t xml:space="preserve">sets targets for </w:t>
      </w:r>
      <w:r w:rsidRPr="004A1DB4">
        <w:rPr>
          <w:szCs w:val="18"/>
        </w:rPr>
        <w:t>recruit</w:t>
      </w:r>
      <w:r w:rsidR="00945A18">
        <w:rPr>
          <w:szCs w:val="18"/>
        </w:rPr>
        <w:t>ing</w:t>
      </w:r>
      <w:r w:rsidRPr="004A1DB4">
        <w:rPr>
          <w:szCs w:val="18"/>
        </w:rPr>
        <w:t xml:space="preserve"> nursing homes to participate in the QI</w:t>
      </w:r>
      <w:r w:rsidR="00123A4E">
        <w:rPr>
          <w:szCs w:val="18"/>
        </w:rPr>
        <w:t>N-QI</w:t>
      </w:r>
      <w:r w:rsidRPr="004A1DB4">
        <w:rPr>
          <w:szCs w:val="18"/>
        </w:rPr>
        <w:t>O program</w:t>
      </w:r>
      <w:r w:rsidR="005B2FBF">
        <w:rPr>
          <w:szCs w:val="18"/>
        </w:rPr>
        <w:t>, and these target numbers</w:t>
      </w:r>
      <w:r w:rsidR="00945A18">
        <w:rPr>
          <w:szCs w:val="18"/>
        </w:rPr>
        <w:t xml:space="preserve"> change over the course of the 11</w:t>
      </w:r>
      <w:r w:rsidR="00945A18" w:rsidRPr="00966109">
        <w:rPr>
          <w:szCs w:val="18"/>
          <w:vertAlign w:val="superscript"/>
        </w:rPr>
        <w:t>th</w:t>
      </w:r>
      <w:r w:rsidR="00945A18">
        <w:rPr>
          <w:szCs w:val="18"/>
        </w:rPr>
        <w:t xml:space="preserve"> SOW</w:t>
      </w:r>
      <w:r w:rsidRPr="004A1DB4">
        <w:rPr>
          <w:szCs w:val="18"/>
        </w:rPr>
        <w:t xml:space="preserve">. </w:t>
      </w:r>
      <w:r w:rsidR="005B2FBF">
        <w:rPr>
          <w:szCs w:val="18"/>
        </w:rPr>
        <w:t xml:space="preserve">During </w:t>
      </w:r>
      <w:r w:rsidR="005B2FBF">
        <w:t>October 1, 2014 – March 31, 2015, QI</w:t>
      </w:r>
      <w:r w:rsidR="00123A4E">
        <w:t>N-QI</w:t>
      </w:r>
      <w:r w:rsidR="005B2FBF">
        <w:t xml:space="preserve">Os </w:t>
      </w:r>
      <w:r w:rsidR="005D1C57">
        <w:t>were required to recruit about 25%</w:t>
      </w:r>
      <w:r w:rsidR="005B2FBF">
        <w:t xml:space="preserve"> of the nursing homes</w:t>
      </w:r>
      <w:r w:rsidR="00420FD3">
        <w:t xml:space="preserve"> accepting Medicare or Medicaid into the program; additional facilities will be added </w:t>
      </w:r>
      <w:r w:rsidR="006C1968">
        <w:t>to the QI</w:t>
      </w:r>
      <w:r w:rsidR="00123A4E">
        <w:t>N-QI</w:t>
      </w:r>
      <w:r w:rsidR="006C1968">
        <w:t xml:space="preserve">O program </w:t>
      </w:r>
      <w:r w:rsidR="00420FD3">
        <w:t xml:space="preserve">during the second recruitment period from April 1, 2017 – September 30, 2018, </w:t>
      </w:r>
      <w:r w:rsidR="00BD6616">
        <w:t xml:space="preserve">with the total </w:t>
      </w:r>
      <w:r w:rsidR="005D1C57">
        <w:t xml:space="preserve">constituting 75% </w:t>
      </w:r>
      <w:r w:rsidR="00420FD3">
        <w:t>of eligible nursing homes.</w:t>
      </w:r>
      <w:proofErr w:type="gramEnd"/>
    </w:p>
    <w:p w14:paraId="54D0BD80" w14:textId="6497E5AF" w:rsidR="00C432CE" w:rsidRDefault="0005704C" w:rsidP="00FB72AA">
      <w:pPr>
        <w:ind w:left="720"/>
        <w:rPr>
          <w:szCs w:val="18"/>
        </w:rPr>
      </w:pPr>
      <w:r w:rsidRPr="004A1DB4">
        <w:rPr>
          <w:szCs w:val="18"/>
        </w:rPr>
        <w:t xml:space="preserve">CMS maintains a list of </w:t>
      </w:r>
      <w:r w:rsidR="00EF5A25">
        <w:rPr>
          <w:szCs w:val="18"/>
        </w:rPr>
        <w:t xml:space="preserve">all </w:t>
      </w:r>
      <w:r>
        <w:rPr>
          <w:szCs w:val="18"/>
        </w:rPr>
        <w:t>nursing homes that receive CMS funding</w:t>
      </w:r>
      <w:r w:rsidR="00EF5A25">
        <w:rPr>
          <w:szCs w:val="18"/>
        </w:rPr>
        <w:t xml:space="preserve"> that will serve as the sampling frame for the survey</w:t>
      </w:r>
      <w:r>
        <w:rPr>
          <w:szCs w:val="18"/>
        </w:rPr>
        <w:t xml:space="preserve">. </w:t>
      </w:r>
      <w:r w:rsidR="00EF5A25">
        <w:rPr>
          <w:szCs w:val="18"/>
        </w:rPr>
        <w:t xml:space="preserve">The list includes </w:t>
      </w:r>
      <w:r>
        <w:rPr>
          <w:szCs w:val="18"/>
        </w:rPr>
        <w:t>nursing homes partic</w:t>
      </w:r>
      <w:r w:rsidR="00EF5A25">
        <w:rPr>
          <w:szCs w:val="18"/>
        </w:rPr>
        <w:t xml:space="preserve">ipating in the QIN-QIO program and those not participating in the QIN-QIO program. </w:t>
      </w:r>
      <w:r w:rsidR="003C7886">
        <w:rPr>
          <w:szCs w:val="18"/>
        </w:rPr>
        <w:t xml:space="preserve">We </w:t>
      </w:r>
      <w:r w:rsidR="00C432CE">
        <w:rPr>
          <w:szCs w:val="18"/>
        </w:rPr>
        <w:t>examined baseline characteristics of participating and non-participating nursing homes</w:t>
      </w:r>
      <w:r w:rsidR="00CA105D">
        <w:rPr>
          <w:szCs w:val="18"/>
        </w:rPr>
        <w:t xml:space="preserve"> in the first wave of implementation in 2013-2014</w:t>
      </w:r>
      <w:r w:rsidR="00B30C00">
        <w:rPr>
          <w:szCs w:val="18"/>
        </w:rPr>
        <w:t xml:space="preserve"> to</w:t>
      </w:r>
      <w:r w:rsidR="00C432CE">
        <w:rPr>
          <w:szCs w:val="18"/>
        </w:rPr>
        <w:t xml:space="preserve"> identify systematic differences that could potentially bias </w:t>
      </w:r>
      <w:r w:rsidR="009D0F69">
        <w:rPr>
          <w:szCs w:val="18"/>
        </w:rPr>
        <w:t>analy</w:t>
      </w:r>
      <w:r w:rsidR="00EB5A2F">
        <w:rPr>
          <w:szCs w:val="18"/>
        </w:rPr>
        <w:t>tical</w:t>
      </w:r>
      <w:r w:rsidR="00C432CE">
        <w:rPr>
          <w:szCs w:val="18"/>
        </w:rPr>
        <w:t xml:space="preserve"> results</w:t>
      </w:r>
      <w:r w:rsidR="003C7886">
        <w:rPr>
          <w:szCs w:val="18"/>
        </w:rPr>
        <w:t xml:space="preserve">. </w:t>
      </w:r>
      <w:r w:rsidR="00CA105D">
        <w:rPr>
          <w:szCs w:val="18"/>
        </w:rPr>
        <w:t>We will conduct a similar analysis with the current cohort of nursing homes</w:t>
      </w:r>
      <w:r w:rsidR="00B30C00">
        <w:rPr>
          <w:szCs w:val="18"/>
        </w:rPr>
        <w:t xml:space="preserve"> to identify any differences in resident or nursing home characteristics</w:t>
      </w:r>
      <w:r w:rsidR="00CA105D">
        <w:rPr>
          <w:szCs w:val="18"/>
        </w:rPr>
        <w:t>. If necessary, w</w:t>
      </w:r>
      <w:r w:rsidR="003C7886">
        <w:rPr>
          <w:szCs w:val="18"/>
        </w:rPr>
        <w:t>e will</w:t>
      </w:r>
      <w:r w:rsidR="00C432CE">
        <w:rPr>
          <w:szCs w:val="18"/>
        </w:rPr>
        <w:t xml:space="preserve"> </w:t>
      </w:r>
      <w:r w:rsidR="00EB5A2F">
        <w:rPr>
          <w:szCs w:val="18"/>
        </w:rPr>
        <w:t>utilize</w:t>
      </w:r>
      <w:r w:rsidR="003C7886">
        <w:rPr>
          <w:szCs w:val="18"/>
        </w:rPr>
        <w:t xml:space="preserve"> propensity score matching to adjust for systematic differences</w:t>
      </w:r>
      <w:r w:rsidR="00C432CE">
        <w:rPr>
          <w:szCs w:val="18"/>
        </w:rPr>
        <w:t xml:space="preserve"> between these groups</w:t>
      </w:r>
      <w:r w:rsidR="00017DE4">
        <w:rPr>
          <w:szCs w:val="18"/>
        </w:rPr>
        <w:t xml:space="preserve"> during the analyses</w:t>
      </w:r>
      <w:r w:rsidR="003C7886">
        <w:rPr>
          <w:szCs w:val="18"/>
        </w:rPr>
        <w:t xml:space="preserve">. </w:t>
      </w:r>
    </w:p>
    <w:p w14:paraId="6702BA67" w14:textId="77777777" w:rsidR="0005704C" w:rsidRPr="004A1DB4" w:rsidRDefault="00EF5A25" w:rsidP="00FB72AA">
      <w:pPr>
        <w:ind w:left="720"/>
        <w:rPr>
          <w:szCs w:val="18"/>
        </w:rPr>
      </w:pPr>
      <w:r>
        <w:rPr>
          <w:szCs w:val="18"/>
        </w:rPr>
        <w:t xml:space="preserve">The intervention group </w:t>
      </w:r>
      <w:proofErr w:type="gramStart"/>
      <w:r>
        <w:rPr>
          <w:szCs w:val="18"/>
        </w:rPr>
        <w:t xml:space="preserve">will be </w:t>
      </w:r>
      <w:r w:rsidR="0065781F">
        <w:rPr>
          <w:szCs w:val="18"/>
        </w:rPr>
        <w:t xml:space="preserve">randomly </w:t>
      </w:r>
      <w:r>
        <w:rPr>
          <w:szCs w:val="18"/>
        </w:rPr>
        <w:t>selected</w:t>
      </w:r>
      <w:proofErr w:type="gramEnd"/>
      <w:r>
        <w:rPr>
          <w:szCs w:val="18"/>
        </w:rPr>
        <w:t xml:space="preserve"> from those participating in the QIN-QIO program after stratification by star rating and QIN-QIO region</w:t>
      </w:r>
      <w:r w:rsidR="0005704C">
        <w:rPr>
          <w:szCs w:val="18"/>
        </w:rPr>
        <w:t>. This list includes</w:t>
      </w:r>
      <w:r w:rsidR="0005704C" w:rsidRPr="004A1DB4">
        <w:rPr>
          <w:szCs w:val="18"/>
        </w:rPr>
        <w:t xml:space="preserve"> contact information for </w:t>
      </w:r>
      <w:r w:rsidR="0005704C">
        <w:rPr>
          <w:szCs w:val="18"/>
        </w:rPr>
        <w:t>each nursing home, including</w:t>
      </w:r>
      <w:r w:rsidR="00C65509">
        <w:rPr>
          <w:szCs w:val="18"/>
        </w:rPr>
        <w:t xml:space="preserve"> </w:t>
      </w:r>
      <w:r w:rsidR="0005704C" w:rsidRPr="004A1DB4">
        <w:rPr>
          <w:szCs w:val="18"/>
        </w:rPr>
        <w:t>the designated point-of-contact for the QIO program</w:t>
      </w:r>
      <w:r w:rsidR="00C65509">
        <w:rPr>
          <w:szCs w:val="18"/>
        </w:rPr>
        <w:t>.</w:t>
      </w:r>
      <w:r w:rsidR="0005704C" w:rsidRPr="004A1DB4">
        <w:rPr>
          <w:szCs w:val="18"/>
        </w:rPr>
        <w:t xml:space="preserve"> </w:t>
      </w:r>
      <w:r w:rsidR="00C21D64">
        <w:rPr>
          <w:szCs w:val="18"/>
        </w:rPr>
        <w:t>We will use MDS 3.0 to identify nursing homes not participating in the QIN-QIO</w:t>
      </w:r>
      <w:r w:rsidR="00123A4E">
        <w:rPr>
          <w:szCs w:val="18"/>
        </w:rPr>
        <w:t xml:space="preserve"> program</w:t>
      </w:r>
      <w:r w:rsidR="0065781F">
        <w:rPr>
          <w:szCs w:val="18"/>
        </w:rPr>
        <w:t xml:space="preserve"> and randomly select nursing homes within the </w:t>
      </w:r>
      <w:r w:rsidR="00D724B1">
        <w:rPr>
          <w:szCs w:val="18"/>
        </w:rPr>
        <w:t>comparison group</w:t>
      </w:r>
      <w:r w:rsidR="0065781F">
        <w:rPr>
          <w:szCs w:val="18"/>
        </w:rPr>
        <w:t xml:space="preserve"> strata</w:t>
      </w:r>
      <w:r w:rsidR="00C21D64">
        <w:rPr>
          <w:szCs w:val="18"/>
        </w:rPr>
        <w:t>.</w:t>
      </w:r>
    </w:p>
    <w:p w14:paraId="6EB5F8A0" w14:textId="17DC6EB1" w:rsidR="0005704C" w:rsidRDefault="0005704C" w:rsidP="00FB72AA">
      <w:pPr>
        <w:ind w:left="720"/>
        <w:rPr>
          <w:szCs w:val="18"/>
        </w:rPr>
      </w:pPr>
      <w:r>
        <w:rPr>
          <w:szCs w:val="18"/>
        </w:rPr>
        <w:t xml:space="preserve">For both </w:t>
      </w:r>
      <w:r w:rsidR="00C21D64">
        <w:rPr>
          <w:szCs w:val="18"/>
        </w:rPr>
        <w:t xml:space="preserve">intervention and comparison </w:t>
      </w:r>
      <w:r>
        <w:rPr>
          <w:szCs w:val="18"/>
        </w:rPr>
        <w:t>groups</w:t>
      </w:r>
      <w:r w:rsidR="00B23DE8">
        <w:rPr>
          <w:szCs w:val="18"/>
        </w:rPr>
        <w:t>,</w:t>
      </w:r>
      <w:r>
        <w:rPr>
          <w:szCs w:val="18"/>
        </w:rPr>
        <w:t xml:space="preserve"> 100 nursing homes </w:t>
      </w:r>
      <w:proofErr w:type="gramStart"/>
      <w:r>
        <w:rPr>
          <w:szCs w:val="18"/>
        </w:rPr>
        <w:t>will be sampled</w:t>
      </w:r>
      <w:proofErr w:type="gramEnd"/>
      <w:r>
        <w:rPr>
          <w:szCs w:val="18"/>
        </w:rPr>
        <w:t xml:space="preserve"> from 1-</w:t>
      </w:r>
      <w:r w:rsidR="001579B6">
        <w:rPr>
          <w:szCs w:val="18"/>
        </w:rPr>
        <w:t xml:space="preserve">Star </w:t>
      </w:r>
      <w:r>
        <w:rPr>
          <w:szCs w:val="18"/>
        </w:rPr>
        <w:t xml:space="preserve">rated nursing homes and 300 will be sampled from 2-5 </w:t>
      </w:r>
      <w:r w:rsidR="001579B6">
        <w:rPr>
          <w:szCs w:val="18"/>
        </w:rPr>
        <w:t xml:space="preserve">Star </w:t>
      </w:r>
      <w:r>
        <w:rPr>
          <w:szCs w:val="18"/>
        </w:rPr>
        <w:t xml:space="preserve">rated nursing homes. </w:t>
      </w:r>
      <w:r w:rsidR="00D724B1">
        <w:rPr>
          <w:szCs w:val="18"/>
        </w:rPr>
        <w:t>For both groups t</w:t>
      </w:r>
      <w:r>
        <w:rPr>
          <w:szCs w:val="18"/>
        </w:rPr>
        <w:t>he 1-</w:t>
      </w:r>
      <w:r w:rsidR="001579B6">
        <w:rPr>
          <w:szCs w:val="18"/>
        </w:rPr>
        <w:t xml:space="preserve">Star </w:t>
      </w:r>
      <w:r>
        <w:rPr>
          <w:szCs w:val="18"/>
        </w:rPr>
        <w:t xml:space="preserve">rated nursing homes </w:t>
      </w:r>
      <w:proofErr w:type="gramStart"/>
      <w:r>
        <w:rPr>
          <w:szCs w:val="18"/>
        </w:rPr>
        <w:t>will be proportionally allocated</w:t>
      </w:r>
      <w:proofErr w:type="gramEnd"/>
      <w:r>
        <w:rPr>
          <w:szCs w:val="18"/>
        </w:rPr>
        <w:t xml:space="preserve"> based on the number of </w:t>
      </w:r>
      <w:r w:rsidR="00D724B1">
        <w:rPr>
          <w:szCs w:val="18"/>
        </w:rPr>
        <w:t xml:space="preserve">treatment group </w:t>
      </w:r>
      <w:r>
        <w:rPr>
          <w:szCs w:val="18"/>
        </w:rPr>
        <w:t>1-</w:t>
      </w:r>
      <w:r w:rsidR="001579B6">
        <w:rPr>
          <w:szCs w:val="18"/>
        </w:rPr>
        <w:t xml:space="preserve">Star </w:t>
      </w:r>
      <w:r>
        <w:rPr>
          <w:szCs w:val="18"/>
        </w:rPr>
        <w:t xml:space="preserve">nursing homes located within each QIN-QIO region. The 2-5 </w:t>
      </w:r>
      <w:r w:rsidR="001579B6">
        <w:rPr>
          <w:szCs w:val="18"/>
        </w:rPr>
        <w:t xml:space="preserve">Star </w:t>
      </w:r>
      <w:r>
        <w:rPr>
          <w:szCs w:val="18"/>
        </w:rPr>
        <w:t xml:space="preserve">rated nursing homes </w:t>
      </w:r>
      <w:proofErr w:type="gramStart"/>
      <w:r>
        <w:rPr>
          <w:szCs w:val="18"/>
        </w:rPr>
        <w:t>will be proportionally allocated</w:t>
      </w:r>
      <w:proofErr w:type="gramEnd"/>
      <w:r>
        <w:rPr>
          <w:szCs w:val="18"/>
        </w:rPr>
        <w:t xml:space="preserve"> based on the number of</w:t>
      </w:r>
      <w:r w:rsidR="00D724B1">
        <w:rPr>
          <w:szCs w:val="18"/>
        </w:rPr>
        <w:t xml:space="preserve"> treatment group</w:t>
      </w:r>
      <w:r>
        <w:rPr>
          <w:szCs w:val="18"/>
        </w:rPr>
        <w:t xml:space="preserve"> 2-5 </w:t>
      </w:r>
      <w:r w:rsidR="001579B6">
        <w:rPr>
          <w:szCs w:val="18"/>
        </w:rPr>
        <w:t xml:space="preserve">Star </w:t>
      </w:r>
      <w:r>
        <w:rPr>
          <w:szCs w:val="18"/>
        </w:rPr>
        <w:t xml:space="preserve">nursing homes located within each QIN-QIO region. </w:t>
      </w:r>
    </w:p>
    <w:p w14:paraId="561011F4" w14:textId="77777777" w:rsidR="0005704C" w:rsidRPr="004A1DB4" w:rsidRDefault="00FB72AA" w:rsidP="00FB72AA">
      <w:pPr>
        <w:ind w:left="720"/>
        <w:rPr>
          <w:szCs w:val="18"/>
        </w:rPr>
      </w:pPr>
      <w:r>
        <w:rPr>
          <w:szCs w:val="18"/>
        </w:rPr>
        <w:fldChar w:fldCharType="begin"/>
      </w:r>
      <w:r>
        <w:rPr>
          <w:szCs w:val="18"/>
        </w:rPr>
        <w:instrText xml:space="preserve"> REF _Ref449625004 \h </w:instrText>
      </w:r>
      <w:r>
        <w:rPr>
          <w:szCs w:val="18"/>
        </w:rPr>
      </w:r>
      <w:r>
        <w:rPr>
          <w:szCs w:val="18"/>
        </w:rPr>
        <w:fldChar w:fldCharType="separate"/>
      </w:r>
      <w:r w:rsidR="00D74FF4">
        <w:t xml:space="preserve">Table </w:t>
      </w:r>
      <w:r w:rsidR="00D74FF4">
        <w:rPr>
          <w:noProof/>
        </w:rPr>
        <w:t>1</w:t>
      </w:r>
      <w:r>
        <w:rPr>
          <w:szCs w:val="18"/>
        </w:rPr>
        <w:fldChar w:fldCharType="end"/>
      </w:r>
      <w:r w:rsidR="0005704C" w:rsidRPr="004A1DB4">
        <w:rPr>
          <w:szCs w:val="18"/>
        </w:rPr>
        <w:t xml:space="preserve"> </w:t>
      </w:r>
      <w:r w:rsidR="0005704C">
        <w:rPr>
          <w:szCs w:val="18"/>
        </w:rPr>
        <w:t xml:space="preserve">and </w:t>
      </w:r>
      <w:r>
        <w:rPr>
          <w:szCs w:val="18"/>
        </w:rPr>
        <w:fldChar w:fldCharType="begin"/>
      </w:r>
      <w:r>
        <w:rPr>
          <w:szCs w:val="18"/>
        </w:rPr>
        <w:instrText xml:space="preserve"> REF _Ref449625011 \h </w:instrText>
      </w:r>
      <w:r>
        <w:rPr>
          <w:szCs w:val="18"/>
        </w:rPr>
      </w:r>
      <w:r>
        <w:rPr>
          <w:szCs w:val="18"/>
        </w:rPr>
        <w:fldChar w:fldCharType="separate"/>
      </w:r>
      <w:r w:rsidR="00D74FF4">
        <w:t xml:space="preserve">Table </w:t>
      </w:r>
      <w:r w:rsidR="00D74FF4">
        <w:rPr>
          <w:noProof/>
        </w:rPr>
        <w:t>2</w:t>
      </w:r>
      <w:r>
        <w:rPr>
          <w:szCs w:val="18"/>
        </w:rPr>
        <w:fldChar w:fldCharType="end"/>
      </w:r>
      <w:r w:rsidR="0005704C">
        <w:rPr>
          <w:szCs w:val="18"/>
        </w:rPr>
        <w:t xml:space="preserve"> </w:t>
      </w:r>
      <w:r w:rsidR="0005704C" w:rsidRPr="004A1DB4">
        <w:rPr>
          <w:szCs w:val="18"/>
        </w:rPr>
        <w:t xml:space="preserve">provides data on the expected universe/frame as a whole and for each strata in the proposed </w:t>
      </w:r>
      <w:r w:rsidR="0005704C">
        <w:rPr>
          <w:szCs w:val="18"/>
        </w:rPr>
        <w:t xml:space="preserve">intervention and </w:t>
      </w:r>
      <w:r w:rsidR="00123A4E">
        <w:rPr>
          <w:szCs w:val="18"/>
        </w:rPr>
        <w:t>comparison</w:t>
      </w:r>
      <w:r w:rsidR="0005704C">
        <w:rPr>
          <w:szCs w:val="18"/>
        </w:rPr>
        <w:t xml:space="preserve"> </w:t>
      </w:r>
      <w:r w:rsidR="0005704C" w:rsidRPr="004A1DB4">
        <w:rPr>
          <w:szCs w:val="18"/>
        </w:rPr>
        <w:t>sample</w:t>
      </w:r>
      <w:r w:rsidR="0005704C">
        <w:rPr>
          <w:szCs w:val="18"/>
        </w:rPr>
        <w:t xml:space="preserve"> groups</w:t>
      </w:r>
      <w:r w:rsidR="0005704C" w:rsidRPr="004A1DB4">
        <w:rPr>
          <w:szCs w:val="18"/>
        </w:rPr>
        <w:t>.</w:t>
      </w:r>
    </w:p>
    <w:p w14:paraId="418D92FC" w14:textId="77777777" w:rsidR="0005704C" w:rsidRPr="00151273" w:rsidRDefault="0005704C" w:rsidP="00C95E7E">
      <w:pPr>
        <w:pStyle w:val="Heading4"/>
      </w:pPr>
      <w:bookmarkStart w:id="9" w:name="_Toc433627275"/>
      <w:bookmarkStart w:id="10" w:name="_Toc429570396"/>
      <w:bookmarkStart w:id="11" w:name="_Toc410331707"/>
      <w:bookmarkStart w:id="12" w:name="_Toc410331601"/>
      <w:bookmarkStart w:id="13" w:name="_Toc409601344"/>
      <w:r w:rsidRPr="00151273">
        <w:t>Expected Response Rates</w:t>
      </w:r>
      <w:bookmarkEnd w:id="9"/>
      <w:bookmarkEnd w:id="10"/>
      <w:bookmarkEnd w:id="11"/>
      <w:bookmarkEnd w:id="12"/>
      <w:bookmarkEnd w:id="13"/>
    </w:p>
    <w:p w14:paraId="6F4CA31D" w14:textId="77777777" w:rsidR="0005704C" w:rsidRPr="00AA4366" w:rsidRDefault="0005704C" w:rsidP="00FB72AA">
      <w:pPr>
        <w:ind w:left="720"/>
      </w:pPr>
      <w:r w:rsidRPr="00AA4366">
        <w:t xml:space="preserve">We expect the nursing home administrators to have a response rate of </w:t>
      </w:r>
      <w:r>
        <w:t>6</w:t>
      </w:r>
      <w:r w:rsidRPr="00AA4366">
        <w:t>0%, because of difficulties scheduling and conducting telephone interviews during normal working hours.</w:t>
      </w:r>
      <w:r w:rsidRPr="001A4074">
        <w:t xml:space="preserve"> </w:t>
      </w:r>
      <w:r>
        <w:t xml:space="preserve">This </w:t>
      </w:r>
      <w:r w:rsidR="00C65509">
        <w:t xml:space="preserve">response rate </w:t>
      </w:r>
      <w:proofErr w:type="gramStart"/>
      <w:r>
        <w:t>is based</w:t>
      </w:r>
      <w:proofErr w:type="gramEnd"/>
      <w:r>
        <w:t xml:space="preserve"> on similar</w:t>
      </w:r>
      <w:r w:rsidRPr="001A4074">
        <w:t xml:space="preserve"> health care administrator surveys conducted </w:t>
      </w:r>
      <w:r w:rsidR="00A102AB">
        <w:t>previously</w:t>
      </w:r>
      <w:r w:rsidR="00A102AB" w:rsidRPr="001A4074">
        <w:t xml:space="preserve"> </w:t>
      </w:r>
      <w:r w:rsidRPr="001A4074">
        <w:t xml:space="preserve">by </w:t>
      </w:r>
      <w:r>
        <w:t>IEC team members</w:t>
      </w:r>
      <w:r w:rsidRPr="001A4074">
        <w:t xml:space="preserve">. </w:t>
      </w:r>
    </w:p>
    <w:p w14:paraId="6A1A7A02" w14:textId="77777777" w:rsidR="0005704C" w:rsidRPr="00830C56" w:rsidRDefault="0005704C" w:rsidP="00D8443E">
      <w:pPr>
        <w:pStyle w:val="Caption"/>
      </w:pPr>
      <w:bookmarkStart w:id="14" w:name="_Ref449625004"/>
      <w:r>
        <w:lastRenderedPageBreak/>
        <w:t xml:space="preserve">Table </w:t>
      </w:r>
      <w:r w:rsidR="00CD2F3F">
        <w:fldChar w:fldCharType="begin"/>
      </w:r>
      <w:r w:rsidR="00CD2F3F">
        <w:instrText xml:space="preserve"> SEQ Table \* ARABIC </w:instrText>
      </w:r>
      <w:r w:rsidR="00CD2F3F">
        <w:fldChar w:fldCharType="separate"/>
      </w:r>
      <w:r w:rsidR="00146A48">
        <w:rPr>
          <w:noProof/>
        </w:rPr>
        <w:t>1</w:t>
      </w:r>
      <w:r w:rsidR="00CD2F3F">
        <w:rPr>
          <w:noProof/>
        </w:rPr>
        <w:fldChar w:fldCharType="end"/>
      </w:r>
      <w:bookmarkEnd w:id="14"/>
      <w:r w:rsidR="00596ADC">
        <w:t>:</w:t>
      </w:r>
      <w:r>
        <w:t xml:space="preserve"> Expected Sample Universe and Strata for Nursing Home Survey Intervention Group</w:t>
      </w:r>
    </w:p>
    <w:p w14:paraId="14C77CEA" w14:textId="77777777" w:rsidR="00971070" w:rsidRDefault="00971070" w:rsidP="00D8443E">
      <w:pPr>
        <w:pStyle w:val="Headerrowgraphic"/>
      </w:pPr>
      <w:r w:rsidRPr="00971070">
        <w:rPr>
          <w:noProof/>
        </w:rPr>
        <w:drawing>
          <wp:inline distT="0" distB="0" distL="0" distR="0" wp14:anchorId="688F5460" wp14:editId="5DA4E640">
            <wp:extent cx="5943600" cy="914400"/>
            <wp:effectExtent l="0" t="0" r="0" b="0"/>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3567"/>
                    <a:stretch/>
                  </pic:blipFill>
                  <pic:spPr bwMode="auto">
                    <a:xfrm>
                      <a:off x="0" y="0"/>
                      <a:ext cx="5943600" cy="91440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74"/>
        <w:gridCol w:w="676"/>
        <w:gridCol w:w="1056"/>
        <w:gridCol w:w="659"/>
        <w:gridCol w:w="947"/>
        <w:gridCol w:w="887"/>
        <w:gridCol w:w="917"/>
        <w:gridCol w:w="590"/>
        <w:gridCol w:w="954"/>
      </w:tblGrid>
      <w:tr w:rsidR="00971070" w:rsidRPr="0005704C" w14:paraId="2105CE93" w14:textId="77777777" w:rsidTr="004218F1">
        <w:trPr>
          <w:cantSplit/>
          <w:tblHeader/>
          <w:jc w:val="center"/>
        </w:trPr>
        <w:tc>
          <w:tcPr>
            <w:tcW w:w="2674" w:type="dxa"/>
            <w:tcBorders>
              <w:top w:val="nil"/>
              <w:left w:val="nil"/>
              <w:right w:val="nil"/>
            </w:tcBorders>
            <w:shd w:val="clear" w:color="auto" w:fill="auto"/>
            <w:vAlign w:val="bottom"/>
          </w:tcPr>
          <w:p w14:paraId="440FDCD9" w14:textId="77777777" w:rsidR="00971070" w:rsidRPr="0005704C" w:rsidRDefault="00971070" w:rsidP="00D8443E">
            <w:pPr>
              <w:pStyle w:val="Hiddenheaderrow"/>
            </w:pPr>
            <w:r w:rsidRPr="004218F1">
              <w:t>QIN-QIO Region</w:t>
            </w:r>
          </w:p>
        </w:tc>
        <w:tc>
          <w:tcPr>
            <w:tcW w:w="676" w:type="dxa"/>
            <w:tcBorders>
              <w:top w:val="nil"/>
              <w:left w:val="nil"/>
              <w:right w:val="nil"/>
            </w:tcBorders>
            <w:shd w:val="clear" w:color="auto" w:fill="auto"/>
            <w:vAlign w:val="bottom"/>
          </w:tcPr>
          <w:p w14:paraId="2F984162" w14:textId="77777777" w:rsidR="00971070" w:rsidRPr="0005704C" w:rsidRDefault="00971070" w:rsidP="00D8443E">
            <w:pPr>
              <w:pStyle w:val="Hiddenheaderrow"/>
            </w:pPr>
            <w:r w:rsidRPr="00971070">
              <w:t>1 Star Rating</w:t>
            </w:r>
            <w:r>
              <w:t xml:space="preserve">: </w:t>
            </w:r>
            <w:r w:rsidRPr="00971070">
              <w:t>Expected Universe/Frame</w:t>
            </w:r>
            <w:r>
              <w:t>/Frame: N</w:t>
            </w:r>
          </w:p>
        </w:tc>
        <w:tc>
          <w:tcPr>
            <w:tcW w:w="1056" w:type="dxa"/>
            <w:tcBorders>
              <w:top w:val="nil"/>
              <w:left w:val="nil"/>
              <w:right w:val="nil"/>
            </w:tcBorders>
            <w:shd w:val="clear" w:color="auto" w:fill="auto"/>
            <w:noWrap/>
            <w:vAlign w:val="bottom"/>
          </w:tcPr>
          <w:p w14:paraId="7F110A30" w14:textId="77777777" w:rsidR="00971070" w:rsidRPr="0005704C" w:rsidRDefault="00971070" w:rsidP="00D8443E">
            <w:pPr>
              <w:pStyle w:val="Hiddenheaderrow"/>
            </w:pPr>
            <w:r w:rsidRPr="00971070">
              <w:t>1 Star Rating</w:t>
            </w:r>
            <w:r>
              <w:t xml:space="preserve">: </w:t>
            </w:r>
            <w:r w:rsidRPr="00971070">
              <w:t>Expected Universe/Frame</w:t>
            </w:r>
            <w:r>
              <w:t>/Frame: %</w:t>
            </w:r>
          </w:p>
        </w:tc>
        <w:tc>
          <w:tcPr>
            <w:tcW w:w="659" w:type="dxa"/>
            <w:tcBorders>
              <w:top w:val="nil"/>
              <w:left w:val="nil"/>
              <w:right w:val="nil"/>
            </w:tcBorders>
            <w:shd w:val="clear" w:color="auto" w:fill="auto"/>
            <w:noWrap/>
            <w:vAlign w:val="bottom"/>
          </w:tcPr>
          <w:p w14:paraId="4BC0DF7A" w14:textId="77777777" w:rsidR="00971070" w:rsidRPr="0005704C" w:rsidRDefault="00971070" w:rsidP="00D8443E">
            <w:pPr>
              <w:pStyle w:val="Hiddenheaderrow"/>
            </w:pPr>
            <w:r w:rsidRPr="00971070">
              <w:t>1 Star Rating</w:t>
            </w:r>
            <w:r>
              <w:t>: Sample: N</w:t>
            </w:r>
          </w:p>
        </w:tc>
        <w:tc>
          <w:tcPr>
            <w:tcW w:w="947" w:type="dxa"/>
            <w:tcBorders>
              <w:top w:val="nil"/>
              <w:left w:val="nil"/>
              <w:right w:val="nil"/>
            </w:tcBorders>
            <w:shd w:val="clear" w:color="auto" w:fill="auto"/>
            <w:noWrap/>
            <w:vAlign w:val="bottom"/>
          </w:tcPr>
          <w:p w14:paraId="414A37E4" w14:textId="77777777" w:rsidR="00971070" w:rsidRPr="0005704C" w:rsidRDefault="00971070" w:rsidP="00D8443E">
            <w:pPr>
              <w:pStyle w:val="Hiddenheaderrow"/>
            </w:pPr>
            <w:r w:rsidRPr="00971070">
              <w:t>1 Star Rating</w:t>
            </w:r>
            <w:r>
              <w:t>: Sample: %</w:t>
            </w:r>
          </w:p>
        </w:tc>
        <w:tc>
          <w:tcPr>
            <w:tcW w:w="887" w:type="dxa"/>
            <w:tcBorders>
              <w:top w:val="nil"/>
              <w:left w:val="nil"/>
              <w:right w:val="nil"/>
            </w:tcBorders>
            <w:shd w:val="clear" w:color="auto" w:fill="auto"/>
            <w:vAlign w:val="bottom"/>
          </w:tcPr>
          <w:p w14:paraId="574F073C" w14:textId="77777777" w:rsidR="00971070" w:rsidRPr="0005704C" w:rsidRDefault="00971070" w:rsidP="00D8443E">
            <w:pPr>
              <w:pStyle w:val="Hiddenheaderrow"/>
            </w:pPr>
            <w:r>
              <w:t>2-5</w:t>
            </w:r>
            <w:r w:rsidRPr="00971070">
              <w:t xml:space="preserve"> Star Rating</w:t>
            </w:r>
            <w:r>
              <w:t xml:space="preserve">: </w:t>
            </w:r>
            <w:r w:rsidRPr="00971070">
              <w:t>Expected Universe/Frame</w:t>
            </w:r>
            <w:r>
              <w:t>/Frame: N</w:t>
            </w:r>
          </w:p>
        </w:tc>
        <w:tc>
          <w:tcPr>
            <w:tcW w:w="917" w:type="dxa"/>
            <w:tcBorders>
              <w:top w:val="nil"/>
              <w:left w:val="nil"/>
              <w:right w:val="nil"/>
            </w:tcBorders>
            <w:shd w:val="clear" w:color="auto" w:fill="auto"/>
            <w:noWrap/>
            <w:vAlign w:val="bottom"/>
          </w:tcPr>
          <w:p w14:paraId="0DD567BC" w14:textId="77777777" w:rsidR="00971070" w:rsidRPr="0005704C" w:rsidRDefault="00971070" w:rsidP="00D8443E">
            <w:pPr>
              <w:pStyle w:val="Hiddenheaderrow"/>
            </w:pPr>
            <w:r>
              <w:t>2-5</w:t>
            </w:r>
            <w:r w:rsidRPr="00971070">
              <w:t xml:space="preserve"> Star Rating</w:t>
            </w:r>
            <w:r>
              <w:t xml:space="preserve">: </w:t>
            </w:r>
            <w:r w:rsidRPr="00971070">
              <w:t>Expected Universe/Frame</w:t>
            </w:r>
            <w:r>
              <w:t>/Frame: %</w:t>
            </w:r>
          </w:p>
        </w:tc>
        <w:tc>
          <w:tcPr>
            <w:tcW w:w="590" w:type="dxa"/>
            <w:tcBorders>
              <w:top w:val="nil"/>
              <w:left w:val="nil"/>
              <w:right w:val="nil"/>
            </w:tcBorders>
            <w:shd w:val="clear" w:color="auto" w:fill="auto"/>
            <w:noWrap/>
            <w:vAlign w:val="bottom"/>
          </w:tcPr>
          <w:p w14:paraId="4EF95018" w14:textId="77777777" w:rsidR="00971070" w:rsidRPr="0005704C" w:rsidRDefault="00971070" w:rsidP="00D8443E">
            <w:pPr>
              <w:pStyle w:val="Hiddenheaderrow"/>
            </w:pPr>
            <w:r>
              <w:t>2-5</w:t>
            </w:r>
            <w:r w:rsidRPr="00971070">
              <w:t xml:space="preserve"> Star Rating</w:t>
            </w:r>
            <w:r>
              <w:t>: Sample: N</w:t>
            </w:r>
          </w:p>
        </w:tc>
        <w:tc>
          <w:tcPr>
            <w:tcW w:w="954" w:type="dxa"/>
            <w:tcBorders>
              <w:top w:val="nil"/>
              <w:left w:val="nil"/>
              <w:right w:val="nil"/>
            </w:tcBorders>
            <w:shd w:val="clear" w:color="auto" w:fill="auto"/>
            <w:noWrap/>
            <w:vAlign w:val="bottom"/>
          </w:tcPr>
          <w:p w14:paraId="4D82766B" w14:textId="77777777" w:rsidR="00971070" w:rsidRPr="0005704C" w:rsidRDefault="00971070" w:rsidP="00D8443E">
            <w:pPr>
              <w:pStyle w:val="Hiddenheaderrow"/>
            </w:pPr>
            <w:r>
              <w:t>2-5</w:t>
            </w:r>
            <w:r w:rsidRPr="00971070">
              <w:t xml:space="preserve"> Star Rating</w:t>
            </w:r>
            <w:r>
              <w:t>: Sample: %</w:t>
            </w:r>
          </w:p>
        </w:tc>
      </w:tr>
      <w:tr w:rsidR="00971070" w:rsidRPr="0005704C" w14:paraId="4E36C378" w14:textId="77777777" w:rsidTr="00971070">
        <w:trPr>
          <w:cantSplit/>
          <w:jc w:val="center"/>
        </w:trPr>
        <w:tc>
          <w:tcPr>
            <w:tcW w:w="2674" w:type="dxa"/>
            <w:shd w:val="clear" w:color="auto" w:fill="auto"/>
            <w:vAlign w:val="center"/>
            <w:hideMark/>
          </w:tcPr>
          <w:p w14:paraId="76D29FDC"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Alliant Georgia Medical Care Foundation </w:t>
            </w:r>
          </w:p>
        </w:tc>
        <w:tc>
          <w:tcPr>
            <w:tcW w:w="676" w:type="dxa"/>
            <w:shd w:val="clear" w:color="auto" w:fill="auto"/>
            <w:vAlign w:val="center"/>
            <w:hideMark/>
          </w:tcPr>
          <w:p w14:paraId="094BBF8C"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40</w:t>
            </w:r>
          </w:p>
        </w:tc>
        <w:tc>
          <w:tcPr>
            <w:tcW w:w="1056" w:type="dxa"/>
            <w:shd w:val="clear" w:color="auto" w:fill="auto"/>
            <w:noWrap/>
            <w:vAlign w:val="center"/>
            <w:hideMark/>
          </w:tcPr>
          <w:p w14:paraId="3A0024D1"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4.5%</w:t>
            </w:r>
          </w:p>
        </w:tc>
        <w:tc>
          <w:tcPr>
            <w:tcW w:w="659" w:type="dxa"/>
            <w:shd w:val="clear" w:color="auto" w:fill="auto"/>
            <w:noWrap/>
            <w:vAlign w:val="center"/>
            <w:hideMark/>
          </w:tcPr>
          <w:p w14:paraId="3291404A"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4</w:t>
            </w:r>
          </w:p>
        </w:tc>
        <w:tc>
          <w:tcPr>
            <w:tcW w:w="947" w:type="dxa"/>
            <w:shd w:val="clear" w:color="auto" w:fill="auto"/>
            <w:noWrap/>
            <w:vAlign w:val="center"/>
            <w:hideMark/>
          </w:tcPr>
          <w:p w14:paraId="095C32F9"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4.5%</w:t>
            </w:r>
          </w:p>
        </w:tc>
        <w:tc>
          <w:tcPr>
            <w:tcW w:w="887" w:type="dxa"/>
            <w:shd w:val="clear" w:color="auto" w:fill="auto"/>
            <w:vAlign w:val="center"/>
            <w:hideMark/>
          </w:tcPr>
          <w:p w14:paraId="311C3700"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229</w:t>
            </w:r>
          </w:p>
        </w:tc>
        <w:tc>
          <w:tcPr>
            <w:tcW w:w="917" w:type="dxa"/>
            <w:shd w:val="clear" w:color="auto" w:fill="auto"/>
            <w:noWrap/>
            <w:vAlign w:val="center"/>
            <w:hideMark/>
          </w:tcPr>
          <w:p w14:paraId="2276CBDA"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3.3%</w:t>
            </w:r>
          </w:p>
        </w:tc>
        <w:tc>
          <w:tcPr>
            <w:tcW w:w="590" w:type="dxa"/>
            <w:shd w:val="clear" w:color="auto" w:fill="auto"/>
            <w:noWrap/>
            <w:vAlign w:val="center"/>
            <w:hideMark/>
          </w:tcPr>
          <w:p w14:paraId="42771D4C"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w:t>
            </w:r>
          </w:p>
        </w:tc>
        <w:tc>
          <w:tcPr>
            <w:tcW w:w="954" w:type="dxa"/>
            <w:shd w:val="clear" w:color="auto" w:fill="auto"/>
            <w:noWrap/>
            <w:vAlign w:val="center"/>
            <w:hideMark/>
          </w:tcPr>
          <w:p w14:paraId="6EABC1CD"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3.3%</w:t>
            </w:r>
          </w:p>
        </w:tc>
      </w:tr>
      <w:tr w:rsidR="00971070" w:rsidRPr="0005704C" w14:paraId="588D0986" w14:textId="77777777" w:rsidTr="00971070">
        <w:trPr>
          <w:cantSplit/>
          <w:jc w:val="center"/>
        </w:trPr>
        <w:tc>
          <w:tcPr>
            <w:tcW w:w="2674" w:type="dxa"/>
            <w:shd w:val="clear" w:color="auto" w:fill="auto"/>
            <w:vAlign w:val="center"/>
            <w:hideMark/>
          </w:tcPr>
          <w:p w14:paraId="25F59EF3"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Atlantic Quality Improvement Network </w:t>
            </w:r>
          </w:p>
        </w:tc>
        <w:tc>
          <w:tcPr>
            <w:tcW w:w="676" w:type="dxa"/>
            <w:shd w:val="clear" w:color="auto" w:fill="auto"/>
            <w:vAlign w:val="center"/>
            <w:hideMark/>
          </w:tcPr>
          <w:p w14:paraId="5ADF874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60</w:t>
            </w:r>
          </w:p>
        </w:tc>
        <w:tc>
          <w:tcPr>
            <w:tcW w:w="1056" w:type="dxa"/>
            <w:shd w:val="clear" w:color="auto" w:fill="auto"/>
            <w:noWrap/>
            <w:vAlign w:val="center"/>
            <w:hideMark/>
          </w:tcPr>
          <w:p w14:paraId="4C556EB5"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6.7%</w:t>
            </w:r>
          </w:p>
        </w:tc>
        <w:tc>
          <w:tcPr>
            <w:tcW w:w="659" w:type="dxa"/>
            <w:shd w:val="clear" w:color="auto" w:fill="auto"/>
            <w:noWrap/>
            <w:vAlign w:val="center"/>
            <w:hideMark/>
          </w:tcPr>
          <w:p w14:paraId="0484ED4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w:t>
            </w:r>
          </w:p>
        </w:tc>
        <w:tc>
          <w:tcPr>
            <w:tcW w:w="947" w:type="dxa"/>
            <w:shd w:val="clear" w:color="auto" w:fill="auto"/>
            <w:noWrap/>
            <w:vAlign w:val="center"/>
            <w:hideMark/>
          </w:tcPr>
          <w:p w14:paraId="7A8F4FE5"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6.7%</w:t>
            </w:r>
          </w:p>
        </w:tc>
        <w:tc>
          <w:tcPr>
            <w:tcW w:w="887" w:type="dxa"/>
            <w:shd w:val="clear" w:color="auto" w:fill="auto"/>
            <w:vAlign w:val="center"/>
            <w:hideMark/>
          </w:tcPr>
          <w:p w14:paraId="66F9109B"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533</w:t>
            </w:r>
          </w:p>
        </w:tc>
        <w:tc>
          <w:tcPr>
            <w:tcW w:w="917" w:type="dxa"/>
            <w:shd w:val="clear" w:color="auto" w:fill="auto"/>
            <w:noWrap/>
            <w:vAlign w:val="center"/>
            <w:hideMark/>
          </w:tcPr>
          <w:p w14:paraId="7BFEF36E"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7.7%</w:t>
            </w:r>
          </w:p>
        </w:tc>
        <w:tc>
          <w:tcPr>
            <w:tcW w:w="590" w:type="dxa"/>
            <w:shd w:val="clear" w:color="auto" w:fill="auto"/>
            <w:noWrap/>
            <w:vAlign w:val="center"/>
            <w:hideMark/>
          </w:tcPr>
          <w:p w14:paraId="7ECDBD17"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23</w:t>
            </w:r>
          </w:p>
        </w:tc>
        <w:tc>
          <w:tcPr>
            <w:tcW w:w="954" w:type="dxa"/>
            <w:shd w:val="clear" w:color="auto" w:fill="auto"/>
            <w:noWrap/>
            <w:vAlign w:val="center"/>
            <w:hideMark/>
          </w:tcPr>
          <w:p w14:paraId="35DC1E8E"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7.7%</w:t>
            </w:r>
          </w:p>
        </w:tc>
      </w:tr>
      <w:tr w:rsidR="00971070" w:rsidRPr="0005704C" w14:paraId="29DD89B8" w14:textId="77777777" w:rsidTr="00971070">
        <w:trPr>
          <w:cantSplit/>
          <w:jc w:val="center"/>
        </w:trPr>
        <w:tc>
          <w:tcPr>
            <w:tcW w:w="2674" w:type="dxa"/>
            <w:shd w:val="clear" w:color="auto" w:fill="auto"/>
            <w:vAlign w:val="center"/>
            <w:hideMark/>
          </w:tcPr>
          <w:p w14:paraId="35B32EA6"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atom Alliance </w:t>
            </w:r>
          </w:p>
        </w:tc>
        <w:tc>
          <w:tcPr>
            <w:tcW w:w="676" w:type="dxa"/>
            <w:shd w:val="clear" w:color="auto" w:fill="auto"/>
            <w:vAlign w:val="center"/>
            <w:hideMark/>
          </w:tcPr>
          <w:p w14:paraId="36116F65"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101</w:t>
            </w:r>
          </w:p>
        </w:tc>
        <w:tc>
          <w:tcPr>
            <w:tcW w:w="1056" w:type="dxa"/>
            <w:shd w:val="clear" w:color="auto" w:fill="auto"/>
            <w:noWrap/>
            <w:vAlign w:val="center"/>
            <w:hideMark/>
          </w:tcPr>
          <w:p w14:paraId="55EB4E6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11.3%</w:t>
            </w:r>
          </w:p>
        </w:tc>
        <w:tc>
          <w:tcPr>
            <w:tcW w:w="659" w:type="dxa"/>
            <w:shd w:val="clear" w:color="auto" w:fill="auto"/>
            <w:noWrap/>
            <w:vAlign w:val="center"/>
            <w:hideMark/>
          </w:tcPr>
          <w:p w14:paraId="3F2BC805"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11</w:t>
            </w:r>
          </w:p>
        </w:tc>
        <w:tc>
          <w:tcPr>
            <w:tcW w:w="947" w:type="dxa"/>
            <w:shd w:val="clear" w:color="auto" w:fill="auto"/>
            <w:noWrap/>
            <w:vAlign w:val="center"/>
            <w:hideMark/>
          </w:tcPr>
          <w:p w14:paraId="0DA5324C"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11.3%</w:t>
            </w:r>
          </w:p>
        </w:tc>
        <w:tc>
          <w:tcPr>
            <w:tcW w:w="887" w:type="dxa"/>
            <w:shd w:val="clear" w:color="auto" w:fill="auto"/>
            <w:vAlign w:val="center"/>
            <w:hideMark/>
          </w:tcPr>
          <w:p w14:paraId="1587563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706</w:t>
            </w:r>
          </w:p>
        </w:tc>
        <w:tc>
          <w:tcPr>
            <w:tcW w:w="917" w:type="dxa"/>
            <w:shd w:val="clear" w:color="auto" w:fill="auto"/>
            <w:noWrap/>
            <w:vAlign w:val="center"/>
            <w:hideMark/>
          </w:tcPr>
          <w:p w14:paraId="04035633"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10.1%</w:t>
            </w:r>
          </w:p>
        </w:tc>
        <w:tc>
          <w:tcPr>
            <w:tcW w:w="590" w:type="dxa"/>
            <w:shd w:val="clear" w:color="auto" w:fill="auto"/>
            <w:noWrap/>
            <w:vAlign w:val="center"/>
            <w:hideMark/>
          </w:tcPr>
          <w:p w14:paraId="0F0E8A51"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30</w:t>
            </w:r>
          </w:p>
        </w:tc>
        <w:tc>
          <w:tcPr>
            <w:tcW w:w="954" w:type="dxa"/>
            <w:shd w:val="clear" w:color="auto" w:fill="auto"/>
            <w:noWrap/>
            <w:vAlign w:val="center"/>
            <w:hideMark/>
          </w:tcPr>
          <w:p w14:paraId="3BDD0A3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10.1%</w:t>
            </w:r>
          </w:p>
        </w:tc>
      </w:tr>
      <w:tr w:rsidR="00971070" w:rsidRPr="0005704C" w14:paraId="6252B576" w14:textId="77777777" w:rsidTr="00971070">
        <w:trPr>
          <w:cantSplit/>
          <w:jc w:val="center"/>
        </w:trPr>
        <w:tc>
          <w:tcPr>
            <w:tcW w:w="2674" w:type="dxa"/>
            <w:shd w:val="clear" w:color="auto" w:fill="auto"/>
            <w:vAlign w:val="center"/>
            <w:hideMark/>
          </w:tcPr>
          <w:p w14:paraId="32F911FD"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Great Plains Quality Innovation Network </w:t>
            </w:r>
          </w:p>
        </w:tc>
        <w:tc>
          <w:tcPr>
            <w:tcW w:w="676" w:type="dxa"/>
            <w:shd w:val="clear" w:color="auto" w:fill="auto"/>
            <w:vAlign w:val="center"/>
            <w:hideMark/>
          </w:tcPr>
          <w:p w14:paraId="1833EEF4"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31</w:t>
            </w:r>
          </w:p>
        </w:tc>
        <w:tc>
          <w:tcPr>
            <w:tcW w:w="1056" w:type="dxa"/>
            <w:shd w:val="clear" w:color="auto" w:fill="auto"/>
            <w:noWrap/>
            <w:vAlign w:val="center"/>
            <w:hideMark/>
          </w:tcPr>
          <w:p w14:paraId="1B62CA87"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3.5%</w:t>
            </w:r>
          </w:p>
        </w:tc>
        <w:tc>
          <w:tcPr>
            <w:tcW w:w="659" w:type="dxa"/>
            <w:shd w:val="clear" w:color="auto" w:fill="auto"/>
            <w:noWrap/>
            <w:vAlign w:val="center"/>
            <w:hideMark/>
          </w:tcPr>
          <w:p w14:paraId="38006640"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w:t>
            </w:r>
          </w:p>
        </w:tc>
        <w:tc>
          <w:tcPr>
            <w:tcW w:w="947" w:type="dxa"/>
            <w:shd w:val="clear" w:color="auto" w:fill="auto"/>
            <w:noWrap/>
            <w:vAlign w:val="center"/>
            <w:hideMark/>
          </w:tcPr>
          <w:p w14:paraId="025F6A7D"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3.5%</w:t>
            </w:r>
          </w:p>
        </w:tc>
        <w:tc>
          <w:tcPr>
            <w:tcW w:w="887" w:type="dxa"/>
            <w:shd w:val="clear" w:color="auto" w:fill="auto"/>
            <w:vAlign w:val="center"/>
            <w:hideMark/>
          </w:tcPr>
          <w:p w14:paraId="2184EA9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371</w:t>
            </w:r>
          </w:p>
        </w:tc>
        <w:tc>
          <w:tcPr>
            <w:tcW w:w="917" w:type="dxa"/>
            <w:shd w:val="clear" w:color="auto" w:fill="auto"/>
            <w:noWrap/>
            <w:vAlign w:val="center"/>
            <w:hideMark/>
          </w:tcPr>
          <w:p w14:paraId="03289102"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5.3%</w:t>
            </w:r>
          </w:p>
        </w:tc>
        <w:tc>
          <w:tcPr>
            <w:tcW w:w="590" w:type="dxa"/>
            <w:shd w:val="clear" w:color="auto" w:fill="auto"/>
            <w:noWrap/>
            <w:vAlign w:val="center"/>
            <w:hideMark/>
          </w:tcPr>
          <w:p w14:paraId="464F9E4B"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16</w:t>
            </w:r>
          </w:p>
        </w:tc>
        <w:tc>
          <w:tcPr>
            <w:tcW w:w="954" w:type="dxa"/>
            <w:shd w:val="clear" w:color="auto" w:fill="auto"/>
            <w:noWrap/>
            <w:vAlign w:val="center"/>
            <w:hideMark/>
          </w:tcPr>
          <w:p w14:paraId="77786F4C"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5.3%</w:t>
            </w:r>
          </w:p>
        </w:tc>
      </w:tr>
      <w:tr w:rsidR="00971070" w:rsidRPr="0005704C" w14:paraId="5539A6B5" w14:textId="77777777" w:rsidTr="00971070">
        <w:trPr>
          <w:cantSplit/>
          <w:jc w:val="center"/>
        </w:trPr>
        <w:tc>
          <w:tcPr>
            <w:tcW w:w="2674" w:type="dxa"/>
            <w:shd w:val="clear" w:color="auto" w:fill="auto"/>
            <w:vAlign w:val="center"/>
            <w:hideMark/>
          </w:tcPr>
          <w:p w14:paraId="1A085DA4"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Health Services Advisory Group </w:t>
            </w:r>
          </w:p>
        </w:tc>
        <w:tc>
          <w:tcPr>
            <w:tcW w:w="676" w:type="dxa"/>
            <w:shd w:val="clear" w:color="auto" w:fill="auto"/>
            <w:vAlign w:val="center"/>
            <w:hideMark/>
          </w:tcPr>
          <w:p w14:paraId="4DFD140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141</w:t>
            </w:r>
          </w:p>
        </w:tc>
        <w:tc>
          <w:tcPr>
            <w:tcW w:w="1056" w:type="dxa"/>
            <w:shd w:val="clear" w:color="auto" w:fill="auto"/>
            <w:noWrap/>
            <w:vAlign w:val="center"/>
            <w:hideMark/>
          </w:tcPr>
          <w:p w14:paraId="00F613E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15.8%</w:t>
            </w:r>
          </w:p>
        </w:tc>
        <w:tc>
          <w:tcPr>
            <w:tcW w:w="659" w:type="dxa"/>
            <w:shd w:val="clear" w:color="auto" w:fill="auto"/>
            <w:noWrap/>
            <w:vAlign w:val="center"/>
            <w:hideMark/>
          </w:tcPr>
          <w:p w14:paraId="7B666A11"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16</w:t>
            </w:r>
          </w:p>
        </w:tc>
        <w:tc>
          <w:tcPr>
            <w:tcW w:w="947" w:type="dxa"/>
            <w:shd w:val="clear" w:color="auto" w:fill="auto"/>
            <w:noWrap/>
            <w:vAlign w:val="center"/>
            <w:hideMark/>
          </w:tcPr>
          <w:p w14:paraId="230016A0"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15.8%</w:t>
            </w:r>
          </w:p>
        </w:tc>
        <w:tc>
          <w:tcPr>
            <w:tcW w:w="887" w:type="dxa"/>
            <w:shd w:val="clear" w:color="auto" w:fill="auto"/>
            <w:vAlign w:val="center"/>
            <w:hideMark/>
          </w:tcPr>
          <w:p w14:paraId="5570AE4C"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1311</w:t>
            </w:r>
          </w:p>
        </w:tc>
        <w:tc>
          <w:tcPr>
            <w:tcW w:w="917" w:type="dxa"/>
            <w:shd w:val="clear" w:color="auto" w:fill="auto"/>
            <w:noWrap/>
            <w:vAlign w:val="center"/>
            <w:hideMark/>
          </w:tcPr>
          <w:p w14:paraId="5EDB7FF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18.8%</w:t>
            </w:r>
          </w:p>
        </w:tc>
        <w:tc>
          <w:tcPr>
            <w:tcW w:w="590" w:type="dxa"/>
            <w:shd w:val="clear" w:color="auto" w:fill="auto"/>
            <w:noWrap/>
            <w:vAlign w:val="center"/>
            <w:hideMark/>
          </w:tcPr>
          <w:p w14:paraId="25C8DEDB"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56</w:t>
            </w:r>
          </w:p>
        </w:tc>
        <w:tc>
          <w:tcPr>
            <w:tcW w:w="954" w:type="dxa"/>
            <w:shd w:val="clear" w:color="auto" w:fill="auto"/>
            <w:noWrap/>
            <w:vAlign w:val="center"/>
            <w:hideMark/>
          </w:tcPr>
          <w:p w14:paraId="261A2CE9"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18.8%</w:t>
            </w:r>
          </w:p>
        </w:tc>
      </w:tr>
      <w:tr w:rsidR="00971070" w:rsidRPr="0005704C" w14:paraId="70EB0652" w14:textId="77777777" w:rsidTr="00971070">
        <w:trPr>
          <w:cantSplit/>
          <w:jc w:val="center"/>
        </w:trPr>
        <w:tc>
          <w:tcPr>
            <w:tcW w:w="2674" w:type="dxa"/>
            <w:shd w:val="clear" w:color="auto" w:fill="auto"/>
            <w:vAlign w:val="center"/>
            <w:hideMark/>
          </w:tcPr>
          <w:p w14:paraId="1FBD5336" w14:textId="77777777" w:rsidR="00971070" w:rsidRPr="0005704C" w:rsidRDefault="00971070" w:rsidP="00D8443E">
            <w:pPr>
              <w:keepNext/>
              <w:spacing w:before="60" w:after="60"/>
              <w:rPr>
                <w:rFonts w:asciiTheme="majorHAnsi" w:hAnsiTheme="majorHAnsi" w:cstheme="majorHAnsi"/>
                <w:color w:val="000000"/>
                <w:sz w:val="22"/>
              </w:rPr>
            </w:pPr>
            <w:proofErr w:type="spellStart"/>
            <w:r w:rsidRPr="0005704C">
              <w:rPr>
                <w:rFonts w:asciiTheme="majorHAnsi" w:hAnsiTheme="majorHAnsi" w:cstheme="majorHAnsi"/>
                <w:color w:val="000000"/>
                <w:sz w:val="22"/>
              </w:rPr>
              <w:t>Healthcentric</w:t>
            </w:r>
            <w:proofErr w:type="spellEnd"/>
            <w:r w:rsidRPr="0005704C">
              <w:rPr>
                <w:rFonts w:asciiTheme="majorHAnsi" w:hAnsiTheme="majorHAnsi" w:cstheme="majorHAnsi"/>
                <w:color w:val="000000"/>
                <w:sz w:val="22"/>
              </w:rPr>
              <w:t xml:space="preserve"> Advisors </w:t>
            </w:r>
          </w:p>
        </w:tc>
        <w:tc>
          <w:tcPr>
            <w:tcW w:w="676" w:type="dxa"/>
            <w:shd w:val="clear" w:color="auto" w:fill="auto"/>
            <w:vAlign w:val="center"/>
            <w:hideMark/>
          </w:tcPr>
          <w:p w14:paraId="3D2DEFD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30</w:t>
            </w:r>
          </w:p>
        </w:tc>
        <w:tc>
          <w:tcPr>
            <w:tcW w:w="1056" w:type="dxa"/>
            <w:shd w:val="clear" w:color="auto" w:fill="auto"/>
            <w:noWrap/>
            <w:vAlign w:val="center"/>
            <w:hideMark/>
          </w:tcPr>
          <w:p w14:paraId="2657184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3.4%</w:t>
            </w:r>
          </w:p>
        </w:tc>
        <w:tc>
          <w:tcPr>
            <w:tcW w:w="659" w:type="dxa"/>
            <w:shd w:val="clear" w:color="auto" w:fill="auto"/>
            <w:noWrap/>
            <w:vAlign w:val="center"/>
            <w:hideMark/>
          </w:tcPr>
          <w:p w14:paraId="764AF0FF"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w:t>
            </w:r>
          </w:p>
        </w:tc>
        <w:tc>
          <w:tcPr>
            <w:tcW w:w="947" w:type="dxa"/>
            <w:shd w:val="clear" w:color="auto" w:fill="auto"/>
            <w:noWrap/>
            <w:vAlign w:val="center"/>
            <w:hideMark/>
          </w:tcPr>
          <w:p w14:paraId="340C4FFD"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3.4%</w:t>
            </w:r>
          </w:p>
        </w:tc>
        <w:tc>
          <w:tcPr>
            <w:tcW w:w="887" w:type="dxa"/>
            <w:shd w:val="clear" w:color="auto" w:fill="auto"/>
            <w:vAlign w:val="center"/>
            <w:hideMark/>
          </w:tcPr>
          <w:p w14:paraId="57655F5F"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541</w:t>
            </w:r>
          </w:p>
        </w:tc>
        <w:tc>
          <w:tcPr>
            <w:tcW w:w="917" w:type="dxa"/>
            <w:shd w:val="clear" w:color="auto" w:fill="auto"/>
            <w:noWrap/>
            <w:vAlign w:val="center"/>
            <w:hideMark/>
          </w:tcPr>
          <w:p w14:paraId="67089DC5"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7.8%</w:t>
            </w:r>
          </w:p>
        </w:tc>
        <w:tc>
          <w:tcPr>
            <w:tcW w:w="590" w:type="dxa"/>
            <w:shd w:val="clear" w:color="auto" w:fill="auto"/>
            <w:noWrap/>
            <w:vAlign w:val="center"/>
            <w:hideMark/>
          </w:tcPr>
          <w:p w14:paraId="50997BBC"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23</w:t>
            </w:r>
          </w:p>
        </w:tc>
        <w:tc>
          <w:tcPr>
            <w:tcW w:w="954" w:type="dxa"/>
            <w:shd w:val="clear" w:color="auto" w:fill="auto"/>
            <w:noWrap/>
            <w:vAlign w:val="center"/>
            <w:hideMark/>
          </w:tcPr>
          <w:p w14:paraId="2B2CCE17"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7.8%</w:t>
            </w:r>
          </w:p>
        </w:tc>
      </w:tr>
      <w:tr w:rsidR="00971070" w:rsidRPr="0005704C" w14:paraId="6CBC7F8F" w14:textId="77777777" w:rsidTr="00971070">
        <w:trPr>
          <w:cantSplit/>
          <w:jc w:val="center"/>
        </w:trPr>
        <w:tc>
          <w:tcPr>
            <w:tcW w:w="2674" w:type="dxa"/>
            <w:shd w:val="clear" w:color="auto" w:fill="auto"/>
            <w:vAlign w:val="center"/>
            <w:hideMark/>
          </w:tcPr>
          <w:p w14:paraId="035E59F3"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HealthInsight </w:t>
            </w:r>
          </w:p>
        </w:tc>
        <w:tc>
          <w:tcPr>
            <w:tcW w:w="676" w:type="dxa"/>
            <w:shd w:val="clear" w:color="auto" w:fill="auto"/>
            <w:vAlign w:val="center"/>
            <w:hideMark/>
          </w:tcPr>
          <w:p w14:paraId="55AD70F4"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18</w:t>
            </w:r>
          </w:p>
        </w:tc>
        <w:tc>
          <w:tcPr>
            <w:tcW w:w="1056" w:type="dxa"/>
            <w:shd w:val="clear" w:color="auto" w:fill="auto"/>
            <w:noWrap/>
            <w:vAlign w:val="center"/>
            <w:hideMark/>
          </w:tcPr>
          <w:p w14:paraId="79D32AE3"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2.0%</w:t>
            </w:r>
          </w:p>
        </w:tc>
        <w:tc>
          <w:tcPr>
            <w:tcW w:w="659" w:type="dxa"/>
            <w:shd w:val="clear" w:color="auto" w:fill="auto"/>
            <w:noWrap/>
            <w:vAlign w:val="center"/>
            <w:hideMark/>
          </w:tcPr>
          <w:p w14:paraId="35213609"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w:t>
            </w:r>
          </w:p>
        </w:tc>
        <w:tc>
          <w:tcPr>
            <w:tcW w:w="947" w:type="dxa"/>
            <w:shd w:val="clear" w:color="auto" w:fill="auto"/>
            <w:noWrap/>
            <w:vAlign w:val="center"/>
            <w:hideMark/>
          </w:tcPr>
          <w:p w14:paraId="5622BC94"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2.0%</w:t>
            </w:r>
          </w:p>
        </w:tc>
        <w:tc>
          <w:tcPr>
            <w:tcW w:w="887" w:type="dxa"/>
            <w:shd w:val="clear" w:color="auto" w:fill="auto"/>
            <w:vAlign w:val="center"/>
            <w:hideMark/>
          </w:tcPr>
          <w:p w14:paraId="0DA9544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205</w:t>
            </w:r>
          </w:p>
        </w:tc>
        <w:tc>
          <w:tcPr>
            <w:tcW w:w="917" w:type="dxa"/>
            <w:shd w:val="clear" w:color="auto" w:fill="auto"/>
            <w:noWrap/>
            <w:vAlign w:val="center"/>
            <w:hideMark/>
          </w:tcPr>
          <w:p w14:paraId="341311D1"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2.9%</w:t>
            </w:r>
          </w:p>
        </w:tc>
        <w:tc>
          <w:tcPr>
            <w:tcW w:w="590" w:type="dxa"/>
            <w:shd w:val="clear" w:color="auto" w:fill="auto"/>
            <w:noWrap/>
            <w:vAlign w:val="center"/>
            <w:hideMark/>
          </w:tcPr>
          <w:p w14:paraId="5A9F599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9</w:t>
            </w:r>
          </w:p>
        </w:tc>
        <w:tc>
          <w:tcPr>
            <w:tcW w:w="954" w:type="dxa"/>
            <w:shd w:val="clear" w:color="auto" w:fill="auto"/>
            <w:noWrap/>
            <w:vAlign w:val="center"/>
            <w:hideMark/>
          </w:tcPr>
          <w:p w14:paraId="2E3CC774"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2.9%</w:t>
            </w:r>
          </w:p>
        </w:tc>
      </w:tr>
      <w:tr w:rsidR="00971070" w:rsidRPr="0005704C" w14:paraId="3406A5E2" w14:textId="77777777" w:rsidTr="00971070">
        <w:trPr>
          <w:cantSplit/>
          <w:jc w:val="center"/>
        </w:trPr>
        <w:tc>
          <w:tcPr>
            <w:tcW w:w="2674" w:type="dxa"/>
            <w:shd w:val="clear" w:color="auto" w:fill="auto"/>
            <w:vAlign w:val="center"/>
            <w:hideMark/>
          </w:tcPr>
          <w:p w14:paraId="167689A9"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Lake Superior Quality Innovation Network </w:t>
            </w:r>
          </w:p>
        </w:tc>
        <w:tc>
          <w:tcPr>
            <w:tcW w:w="676" w:type="dxa"/>
            <w:shd w:val="clear" w:color="auto" w:fill="auto"/>
            <w:vAlign w:val="center"/>
            <w:hideMark/>
          </w:tcPr>
          <w:p w14:paraId="5C8BE3D9"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35</w:t>
            </w:r>
          </w:p>
        </w:tc>
        <w:tc>
          <w:tcPr>
            <w:tcW w:w="1056" w:type="dxa"/>
            <w:shd w:val="clear" w:color="auto" w:fill="auto"/>
            <w:noWrap/>
            <w:vAlign w:val="center"/>
            <w:hideMark/>
          </w:tcPr>
          <w:p w14:paraId="7DB0D24C"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3.9%</w:t>
            </w:r>
          </w:p>
        </w:tc>
        <w:tc>
          <w:tcPr>
            <w:tcW w:w="659" w:type="dxa"/>
            <w:shd w:val="clear" w:color="auto" w:fill="auto"/>
            <w:noWrap/>
            <w:vAlign w:val="center"/>
            <w:hideMark/>
          </w:tcPr>
          <w:p w14:paraId="03809EFB"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4</w:t>
            </w:r>
          </w:p>
        </w:tc>
        <w:tc>
          <w:tcPr>
            <w:tcW w:w="947" w:type="dxa"/>
            <w:shd w:val="clear" w:color="auto" w:fill="auto"/>
            <w:noWrap/>
            <w:vAlign w:val="center"/>
            <w:hideMark/>
          </w:tcPr>
          <w:p w14:paraId="785FAFEA"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3.9%</w:t>
            </w:r>
          </w:p>
        </w:tc>
        <w:tc>
          <w:tcPr>
            <w:tcW w:w="887" w:type="dxa"/>
            <w:shd w:val="clear" w:color="auto" w:fill="auto"/>
            <w:vAlign w:val="center"/>
            <w:hideMark/>
          </w:tcPr>
          <w:p w14:paraId="09EC8EB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647</w:t>
            </w:r>
          </w:p>
        </w:tc>
        <w:tc>
          <w:tcPr>
            <w:tcW w:w="917" w:type="dxa"/>
            <w:shd w:val="clear" w:color="auto" w:fill="auto"/>
            <w:noWrap/>
            <w:vAlign w:val="center"/>
            <w:hideMark/>
          </w:tcPr>
          <w:p w14:paraId="532B826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9.3%</w:t>
            </w:r>
          </w:p>
        </w:tc>
        <w:tc>
          <w:tcPr>
            <w:tcW w:w="590" w:type="dxa"/>
            <w:shd w:val="clear" w:color="auto" w:fill="auto"/>
            <w:noWrap/>
            <w:vAlign w:val="center"/>
            <w:hideMark/>
          </w:tcPr>
          <w:p w14:paraId="4736A2A7"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28</w:t>
            </w:r>
          </w:p>
        </w:tc>
        <w:tc>
          <w:tcPr>
            <w:tcW w:w="954" w:type="dxa"/>
            <w:shd w:val="clear" w:color="auto" w:fill="auto"/>
            <w:noWrap/>
            <w:vAlign w:val="center"/>
            <w:hideMark/>
          </w:tcPr>
          <w:p w14:paraId="160AB677"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9.3%</w:t>
            </w:r>
          </w:p>
        </w:tc>
      </w:tr>
      <w:tr w:rsidR="00971070" w:rsidRPr="0005704C" w14:paraId="48FE00DA" w14:textId="77777777" w:rsidTr="00971070">
        <w:trPr>
          <w:cantSplit/>
          <w:jc w:val="center"/>
        </w:trPr>
        <w:tc>
          <w:tcPr>
            <w:tcW w:w="2674" w:type="dxa"/>
            <w:shd w:val="clear" w:color="auto" w:fill="auto"/>
            <w:vAlign w:val="center"/>
            <w:hideMark/>
          </w:tcPr>
          <w:p w14:paraId="7E16A0D8"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Mountain Pacific Quality Health Foundation </w:t>
            </w:r>
          </w:p>
        </w:tc>
        <w:tc>
          <w:tcPr>
            <w:tcW w:w="676" w:type="dxa"/>
            <w:shd w:val="clear" w:color="auto" w:fill="auto"/>
            <w:vAlign w:val="center"/>
            <w:hideMark/>
          </w:tcPr>
          <w:p w14:paraId="45258531"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w:t>
            </w:r>
          </w:p>
        </w:tc>
        <w:tc>
          <w:tcPr>
            <w:tcW w:w="1056" w:type="dxa"/>
            <w:shd w:val="clear" w:color="auto" w:fill="auto"/>
            <w:noWrap/>
            <w:vAlign w:val="center"/>
            <w:hideMark/>
          </w:tcPr>
          <w:p w14:paraId="4B73730E"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1.1%</w:t>
            </w:r>
          </w:p>
        </w:tc>
        <w:tc>
          <w:tcPr>
            <w:tcW w:w="659" w:type="dxa"/>
            <w:shd w:val="clear" w:color="auto" w:fill="auto"/>
            <w:noWrap/>
            <w:vAlign w:val="center"/>
            <w:hideMark/>
          </w:tcPr>
          <w:p w14:paraId="2711BA27"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w:t>
            </w:r>
          </w:p>
        </w:tc>
        <w:tc>
          <w:tcPr>
            <w:tcW w:w="947" w:type="dxa"/>
            <w:shd w:val="clear" w:color="auto" w:fill="auto"/>
            <w:noWrap/>
            <w:vAlign w:val="center"/>
            <w:hideMark/>
          </w:tcPr>
          <w:p w14:paraId="6E1F2A61"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1.1%</w:t>
            </w:r>
          </w:p>
        </w:tc>
        <w:tc>
          <w:tcPr>
            <w:tcW w:w="887" w:type="dxa"/>
            <w:shd w:val="clear" w:color="auto" w:fill="auto"/>
            <w:vAlign w:val="center"/>
            <w:hideMark/>
          </w:tcPr>
          <w:p w14:paraId="3CA9BEA1"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149</w:t>
            </w:r>
          </w:p>
        </w:tc>
        <w:tc>
          <w:tcPr>
            <w:tcW w:w="917" w:type="dxa"/>
            <w:shd w:val="clear" w:color="auto" w:fill="auto"/>
            <w:noWrap/>
            <w:vAlign w:val="center"/>
            <w:hideMark/>
          </w:tcPr>
          <w:p w14:paraId="5702F5D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2.1%</w:t>
            </w:r>
          </w:p>
        </w:tc>
        <w:tc>
          <w:tcPr>
            <w:tcW w:w="590" w:type="dxa"/>
            <w:shd w:val="clear" w:color="auto" w:fill="auto"/>
            <w:noWrap/>
            <w:vAlign w:val="center"/>
            <w:hideMark/>
          </w:tcPr>
          <w:p w14:paraId="279DFA4B"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6</w:t>
            </w:r>
          </w:p>
        </w:tc>
        <w:tc>
          <w:tcPr>
            <w:tcW w:w="954" w:type="dxa"/>
            <w:shd w:val="clear" w:color="auto" w:fill="auto"/>
            <w:noWrap/>
            <w:vAlign w:val="center"/>
            <w:hideMark/>
          </w:tcPr>
          <w:p w14:paraId="7297EA22"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2.1%</w:t>
            </w:r>
          </w:p>
        </w:tc>
      </w:tr>
      <w:tr w:rsidR="00971070" w:rsidRPr="0005704C" w14:paraId="47358F57" w14:textId="77777777" w:rsidTr="00971070">
        <w:trPr>
          <w:cantSplit/>
          <w:jc w:val="center"/>
        </w:trPr>
        <w:tc>
          <w:tcPr>
            <w:tcW w:w="2674" w:type="dxa"/>
            <w:shd w:val="clear" w:color="auto" w:fill="auto"/>
            <w:vAlign w:val="center"/>
            <w:hideMark/>
          </w:tcPr>
          <w:p w14:paraId="5373979E" w14:textId="77777777" w:rsidR="00971070" w:rsidRPr="0005704C" w:rsidRDefault="00971070" w:rsidP="00D8443E">
            <w:pPr>
              <w:keepNext/>
              <w:spacing w:before="60" w:after="60"/>
              <w:rPr>
                <w:rFonts w:asciiTheme="majorHAnsi" w:hAnsiTheme="majorHAnsi" w:cstheme="majorHAnsi"/>
                <w:color w:val="000000"/>
                <w:sz w:val="22"/>
              </w:rPr>
            </w:pPr>
            <w:proofErr w:type="spellStart"/>
            <w:r w:rsidRPr="0005704C">
              <w:rPr>
                <w:rFonts w:asciiTheme="majorHAnsi" w:hAnsiTheme="majorHAnsi" w:cstheme="majorHAnsi"/>
                <w:color w:val="000000"/>
                <w:sz w:val="22"/>
              </w:rPr>
              <w:t>Qualis</w:t>
            </w:r>
            <w:proofErr w:type="spellEnd"/>
            <w:r w:rsidRPr="0005704C">
              <w:rPr>
                <w:rFonts w:asciiTheme="majorHAnsi" w:hAnsiTheme="majorHAnsi" w:cstheme="majorHAnsi"/>
                <w:color w:val="000000"/>
                <w:sz w:val="22"/>
              </w:rPr>
              <w:t xml:space="preserve"> Health </w:t>
            </w:r>
          </w:p>
        </w:tc>
        <w:tc>
          <w:tcPr>
            <w:tcW w:w="676" w:type="dxa"/>
            <w:shd w:val="clear" w:color="auto" w:fill="auto"/>
            <w:vAlign w:val="center"/>
            <w:hideMark/>
          </w:tcPr>
          <w:p w14:paraId="148C5BDF"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14</w:t>
            </w:r>
          </w:p>
        </w:tc>
        <w:tc>
          <w:tcPr>
            <w:tcW w:w="1056" w:type="dxa"/>
            <w:shd w:val="clear" w:color="auto" w:fill="auto"/>
            <w:noWrap/>
            <w:vAlign w:val="center"/>
            <w:hideMark/>
          </w:tcPr>
          <w:p w14:paraId="67AD3AD3"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1.6%</w:t>
            </w:r>
          </w:p>
        </w:tc>
        <w:tc>
          <w:tcPr>
            <w:tcW w:w="659" w:type="dxa"/>
            <w:shd w:val="clear" w:color="auto" w:fill="auto"/>
            <w:noWrap/>
            <w:vAlign w:val="center"/>
            <w:hideMark/>
          </w:tcPr>
          <w:p w14:paraId="7BB68F0F"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w:t>
            </w:r>
          </w:p>
        </w:tc>
        <w:tc>
          <w:tcPr>
            <w:tcW w:w="947" w:type="dxa"/>
            <w:shd w:val="clear" w:color="auto" w:fill="auto"/>
            <w:noWrap/>
            <w:vAlign w:val="center"/>
            <w:hideMark/>
          </w:tcPr>
          <w:p w14:paraId="259B2D8F"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1.6%</w:t>
            </w:r>
          </w:p>
        </w:tc>
        <w:tc>
          <w:tcPr>
            <w:tcW w:w="887" w:type="dxa"/>
            <w:shd w:val="clear" w:color="auto" w:fill="auto"/>
            <w:vAlign w:val="center"/>
            <w:hideMark/>
          </w:tcPr>
          <w:p w14:paraId="4D2F8B35"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93</w:t>
            </w:r>
          </w:p>
        </w:tc>
        <w:tc>
          <w:tcPr>
            <w:tcW w:w="917" w:type="dxa"/>
            <w:shd w:val="clear" w:color="auto" w:fill="auto"/>
            <w:noWrap/>
            <w:vAlign w:val="center"/>
            <w:hideMark/>
          </w:tcPr>
          <w:p w14:paraId="33FC5C4D"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1.3%</w:t>
            </w:r>
          </w:p>
        </w:tc>
        <w:tc>
          <w:tcPr>
            <w:tcW w:w="590" w:type="dxa"/>
            <w:shd w:val="clear" w:color="auto" w:fill="auto"/>
            <w:noWrap/>
            <w:vAlign w:val="center"/>
            <w:hideMark/>
          </w:tcPr>
          <w:p w14:paraId="736DCCF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4</w:t>
            </w:r>
          </w:p>
        </w:tc>
        <w:tc>
          <w:tcPr>
            <w:tcW w:w="954" w:type="dxa"/>
            <w:shd w:val="clear" w:color="auto" w:fill="auto"/>
            <w:noWrap/>
            <w:vAlign w:val="center"/>
            <w:hideMark/>
          </w:tcPr>
          <w:p w14:paraId="565CF52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1.3%</w:t>
            </w:r>
          </w:p>
        </w:tc>
      </w:tr>
      <w:tr w:rsidR="00971070" w:rsidRPr="0005704C" w14:paraId="00FC5E99" w14:textId="77777777" w:rsidTr="00971070">
        <w:trPr>
          <w:cantSplit/>
          <w:jc w:val="center"/>
        </w:trPr>
        <w:tc>
          <w:tcPr>
            <w:tcW w:w="2674" w:type="dxa"/>
            <w:shd w:val="clear" w:color="auto" w:fill="auto"/>
            <w:vAlign w:val="center"/>
            <w:hideMark/>
          </w:tcPr>
          <w:p w14:paraId="6CC8E2F5"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Quality Insights Quality Innovation Network </w:t>
            </w:r>
          </w:p>
        </w:tc>
        <w:tc>
          <w:tcPr>
            <w:tcW w:w="676" w:type="dxa"/>
            <w:shd w:val="clear" w:color="auto" w:fill="auto"/>
            <w:vAlign w:val="center"/>
            <w:hideMark/>
          </w:tcPr>
          <w:p w14:paraId="71B7AF7C"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92</w:t>
            </w:r>
          </w:p>
        </w:tc>
        <w:tc>
          <w:tcPr>
            <w:tcW w:w="1056" w:type="dxa"/>
            <w:shd w:val="clear" w:color="auto" w:fill="auto"/>
            <w:noWrap/>
            <w:vAlign w:val="center"/>
            <w:hideMark/>
          </w:tcPr>
          <w:p w14:paraId="2ED42A33"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10.3%</w:t>
            </w:r>
          </w:p>
        </w:tc>
        <w:tc>
          <w:tcPr>
            <w:tcW w:w="659" w:type="dxa"/>
            <w:shd w:val="clear" w:color="auto" w:fill="auto"/>
            <w:noWrap/>
            <w:vAlign w:val="center"/>
            <w:hideMark/>
          </w:tcPr>
          <w:p w14:paraId="1C63ADA3"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w:t>
            </w:r>
          </w:p>
        </w:tc>
        <w:tc>
          <w:tcPr>
            <w:tcW w:w="947" w:type="dxa"/>
            <w:shd w:val="clear" w:color="auto" w:fill="auto"/>
            <w:noWrap/>
            <w:vAlign w:val="center"/>
            <w:hideMark/>
          </w:tcPr>
          <w:p w14:paraId="37090827"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10.3%</w:t>
            </w:r>
          </w:p>
        </w:tc>
        <w:tc>
          <w:tcPr>
            <w:tcW w:w="887" w:type="dxa"/>
            <w:shd w:val="clear" w:color="auto" w:fill="auto"/>
            <w:vAlign w:val="center"/>
            <w:hideMark/>
          </w:tcPr>
          <w:p w14:paraId="708A9403"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534</w:t>
            </w:r>
          </w:p>
        </w:tc>
        <w:tc>
          <w:tcPr>
            <w:tcW w:w="917" w:type="dxa"/>
            <w:shd w:val="clear" w:color="auto" w:fill="auto"/>
            <w:noWrap/>
            <w:vAlign w:val="center"/>
            <w:hideMark/>
          </w:tcPr>
          <w:p w14:paraId="0F5D1ABF"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7.7%</w:t>
            </w:r>
          </w:p>
        </w:tc>
        <w:tc>
          <w:tcPr>
            <w:tcW w:w="590" w:type="dxa"/>
            <w:shd w:val="clear" w:color="auto" w:fill="auto"/>
            <w:noWrap/>
            <w:vAlign w:val="center"/>
            <w:hideMark/>
          </w:tcPr>
          <w:p w14:paraId="01D7DB5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23</w:t>
            </w:r>
          </w:p>
        </w:tc>
        <w:tc>
          <w:tcPr>
            <w:tcW w:w="954" w:type="dxa"/>
            <w:shd w:val="clear" w:color="auto" w:fill="auto"/>
            <w:noWrap/>
            <w:vAlign w:val="center"/>
            <w:hideMark/>
          </w:tcPr>
          <w:p w14:paraId="51067D29"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7.7%</w:t>
            </w:r>
          </w:p>
        </w:tc>
      </w:tr>
      <w:tr w:rsidR="00971070" w:rsidRPr="0005704C" w14:paraId="4AE1DC76" w14:textId="77777777" w:rsidTr="00971070">
        <w:trPr>
          <w:cantSplit/>
          <w:jc w:val="center"/>
        </w:trPr>
        <w:tc>
          <w:tcPr>
            <w:tcW w:w="2674" w:type="dxa"/>
            <w:shd w:val="clear" w:color="auto" w:fill="auto"/>
            <w:vAlign w:val="center"/>
            <w:hideMark/>
          </w:tcPr>
          <w:p w14:paraId="6CC5CFBF" w14:textId="77777777" w:rsidR="00971070" w:rsidRPr="0005704C" w:rsidRDefault="00971070" w:rsidP="00D8443E">
            <w:pPr>
              <w:keepNext/>
              <w:spacing w:before="60" w:after="60"/>
              <w:rPr>
                <w:rFonts w:asciiTheme="majorHAnsi" w:hAnsiTheme="majorHAnsi" w:cstheme="majorHAnsi"/>
                <w:color w:val="000000"/>
                <w:sz w:val="22"/>
              </w:rPr>
            </w:pPr>
            <w:proofErr w:type="spellStart"/>
            <w:r w:rsidRPr="0005704C">
              <w:rPr>
                <w:rFonts w:asciiTheme="majorHAnsi" w:hAnsiTheme="majorHAnsi" w:cstheme="majorHAnsi"/>
                <w:color w:val="000000"/>
                <w:sz w:val="22"/>
              </w:rPr>
              <w:t>Telligen</w:t>
            </w:r>
            <w:proofErr w:type="spellEnd"/>
            <w:r w:rsidRPr="0005704C">
              <w:rPr>
                <w:rFonts w:asciiTheme="majorHAnsi" w:hAnsiTheme="majorHAnsi" w:cstheme="majorHAnsi"/>
                <w:color w:val="000000"/>
                <w:sz w:val="22"/>
              </w:rPr>
              <w:t xml:space="preserve"> </w:t>
            </w:r>
          </w:p>
        </w:tc>
        <w:tc>
          <w:tcPr>
            <w:tcW w:w="676" w:type="dxa"/>
            <w:shd w:val="clear" w:color="auto" w:fill="auto"/>
            <w:vAlign w:val="center"/>
            <w:hideMark/>
          </w:tcPr>
          <w:p w14:paraId="7BBFCD1E"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91</w:t>
            </w:r>
          </w:p>
        </w:tc>
        <w:tc>
          <w:tcPr>
            <w:tcW w:w="1056" w:type="dxa"/>
            <w:shd w:val="clear" w:color="auto" w:fill="auto"/>
            <w:noWrap/>
            <w:vAlign w:val="center"/>
            <w:hideMark/>
          </w:tcPr>
          <w:p w14:paraId="082CF183"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10.2%</w:t>
            </w:r>
          </w:p>
        </w:tc>
        <w:tc>
          <w:tcPr>
            <w:tcW w:w="659" w:type="dxa"/>
            <w:shd w:val="clear" w:color="auto" w:fill="auto"/>
            <w:noWrap/>
            <w:vAlign w:val="center"/>
            <w:hideMark/>
          </w:tcPr>
          <w:p w14:paraId="3F39DA93"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w:t>
            </w:r>
          </w:p>
        </w:tc>
        <w:tc>
          <w:tcPr>
            <w:tcW w:w="947" w:type="dxa"/>
            <w:shd w:val="clear" w:color="auto" w:fill="auto"/>
            <w:noWrap/>
            <w:vAlign w:val="center"/>
            <w:hideMark/>
          </w:tcPr>
          <w:p w14:paraId="298304C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10.2%</w:t>
            </w:r>
          </w:p>
        </w:tc>
        <w:tc>
          <w:tcPr>
            <w:tcW w:w="887" w:type="dxa"/>
            <w:shd w:val="clear" w:color="auto" w:fill="auto"/>
            <w:vAlign w:val="center"/>
            <w:hideMark/>
          </w:tcPr>
          <w:p w14:paraId="225B3C2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598</w:t>
            </w:r>
          </w:p>
        </w:tc>
        <w:tc>
          <w:tcPr>
            <w:tcW w:w="917" w:type="dxa"/>
            <w:shd w:val="clear" w:color="auto" w:fill="auto"/>
            <w:noWrap/>
            <w:vAlign w:val="center"/>
            <w:hideMark/>
          </w:tcPr>
          <w:p w14:paraId="211F99A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8.6%</w:t>
            </w:r>
          </w:p>
        </w:tc>
        <w:tc>
          <w:tcPr>
            <w:tcW w:w="590" w:type="dxa"/>
            <w:shd w:val="clear" w:color="auto" w:fill="auto"/>
            <w:noWrap/>
            <w:vAlign w:val="center"/>
            <w:hideMark/>
          </w:tcPr>
          <w:p w14:paraId="545694AD"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26</w:t>
            </w:r>
          </w:p>
        </w:tc>
        <w:tc>
          <w:tcPr>
            <w:tcW w:w="954" w:type="dxa"/>
            <w:shd w:val="clear" w:color="auto" w:fill="auto"/>
            <w:noWrap/>
            <w:vAlign w:val="center"/>
            <w:hideMark/>
          </w:tcPr>
          <w:p w14:paraId="1892981A"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8.6%</w:t>
            </w:r>
          </w:p>
        </w:tc>
      </w:tr>
      <w:tr w:rsidR="00971070" w:rsidRPr="0005704C" w14:paraId="09FBCD90" w14:textId="77777777" w:rsidTr="00971070">
        <w:trPr>
          <w:cantSplit/>
          <w:jc w:val="center"/>
        </w:trPr>
        <w:tc>
          <w:tcPr>
            <w:tcW w:w="2674" w:type="dxa"/>
            <w:shd w:val="clear" w:color="auto" w:fill="auto"/>
            <w:vAlign w:val="center"/>
            <w:hideMark/>
          </w:tcPr>
          <w:p w14:paraId="55D36B7D"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TMF </w:t>
            </w:r>
          </w:p>
        </w:tc>
        <w:tc>
          <w:tcPr>
            <w:tcW w:w="676" w:type="dxa"/>
            <w:shd w:val="clear" w:color="auto" w:fill="auto"/>
            <w:vAlign w:val="center"/>
            <w:hideMark/>
          </w:tcPr>
          <w:p w14:paraId="2ACF855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206</w:t>
            </w:r>
          </w:p>
        </w:tc>
        <w:tc>
          <w:tcPr>
            <w:tcW w:w="1056" w:type="dxa"/>
            <w:shd w:val="clear" w:color="auto" w:fill="auto"/>
            <w:noWrap/>
            <w:vAlign w:val="center"/>
            <w:hideMark/>
          </w:tcPr>
          <w:p w14:paraId="763AEF6F"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23.1%</w:t>
            </w:r>
          </w:p>
        </w:tc>
        <w:tc>
          <w:tcPr>
            <w:tcW w:w="659" w:type="dxa"/>
            <w:shd w:val="clear" w:color="auto" w:fill="auto"/>
            <w:noWrap/>
            <w:vAlign w:val="center"/>
            <w:hideMark/>
          </w:tcPr>
          <w:p w14:paraId="4E006232"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23</w:t>
            </w:r>
          </w:p>
        </w:tc>
        <w:tc>
          <w:tcPr>
            <w:tcW w:w="947" w:type="dxa"/>
            <w:shd w:val="clear" w:color="auto" w:fill="auto"/>
            <w:noWrap/>
            <w:vAlign w:val="center"/>
            <w:hideMark/>
          </w:tcPr>
          <w:p w14:paraId="7FC3EF27"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23.1%</w:t>
            </w:r>
          </w:p>
        </w:tc>
        <w:tc>
          <w:tcPr>
            <w:tcW w:w="887" w:type="dxa"/>
            <w:shd w:val="clear" w:color="auto" w:fill="auto"/>
            <w:vAlign w:val="center"/>
            <w:hideMark/>
          </w:tcPr>
          <w:p w14:paraId="1ABAA6F4"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900</w:t>
            </w:r>
          </w:p>
        </w:tc>
        <w:tc>
          <w:tcPr>
            <w:tcW w:w="917" w:type="dxa"/>
            <w:shd w:val="clear" w:color="auto" w:fill="auto"/>
            <w:noWrap/>
            <w:vAlign w:val="center"/>
            <w:hideMark/>
          </w:tcPr>
          <w:p w14:paraId="05A394D1"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12.9%</w:t>
            </w:r>
          </w:p>
        </w:tc>
        <w:tc>
          <w:tcPr>
            <w:tcW w:w="590" w:type="dxa"/>
            <w:shd w:val="clear" w:color="auto" w:fill="auto"/>
            <w:noWrap/>
            <w:vAlign w:val="center"/>
            <w:hideMark/>
          </w:tcPr>
          <w:p w14:paraId="6F90D5E9"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39</w:t>
            </w:r>
          </w:p>
        </w:tc>
        <w:tc>
          <w:tcPr>
            <w:tcW w:w="954" w:type="dxa"/>
            <w:shd w:val="clear" w:color="auto" w:fill="auto"/>
            <w:noWrap/>
            <w:vAlign w:val="center"/>
            <w:hideMark/>
          </w:tcPr>
          <w:p w14:paraId="226B507F"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12.9%</w:t>
            </w:r>
          </w:p>
        </w:tc>
      </w:tr>
      <w:tr w:rsidR="00971070" w:rsidRPr="0005704C" w14:paraId="12A1BF57" w14:textId="77777777" w:rsidTr="00971070">
        <w:trPr>
          <w:cantSplit/>
          <w:jc w:val="center"/>
        </w:trPr>
        <w:tc>
          <w:tcPr>
            <w:tcW w:w="2674" w:type="dxa"/>
            <w:shd w:val="clear" w:color="auto" w:fill="auto"/>
            <w:vAlign w:val="center"/>
            <w:hideMark/>
          </w:tcPr>
          <w:p w14:paraId="1C09D459" w14:textId="77777777" w:rsidR="00971070" w:rsidRPr="0005704C" w:rsidRDefault="00971070" w:rsidP="00D8443E">
            <w:pPr>
              <w:keepNext/>
              <w:spacing w:before="60" w:after="60"/>
              <w:rPr>
                <w:rFonts w:asciiTheme="majorHAnsi" w:hAnsiTheme="majorHAnsi" w:cstheme="majorHAnsi"/>
                <w:color w:val="000000"/>
                <w:sz w:val="22"/>
              </w:rPr>
            </w:pPr>
            <w:r w:rsidRPr="0005704C">
              <w:rPr>
                <w:rFonts w:asciiTheme="majorHAnsi" w:hAnsiTheme="majorHAnsi" w:cstheme="majorHAnsi"/>
                <w:color w:val="000000"/>
                <w:sz w:val="22"/>
              </w:rPr>
              <w:t xml:space="preserve">VHQC </w:t>
            </w:r>
          </w:p>
        </w:tc>
        <w:tc>
          <w:tcPr>
            <w:tcW w:w="676" w:type="dxa"/>
            <w:shd w:val="clear" w:color="auto" w:fill="auto"/>
            <w:vAlign w:val="center"/>
            <w:hideMark/>
          </w:tcPr>
          <w:p w14:paraId="4024154D"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23</w:t>
            </w:r>
          </w:p>
        </w:tc>
        <w:tc>
          <w:tcPr>
            <w:tcW w:w="1056" w:type="dxa"/>
            <w:shd w:val="clear" w:color="auto" w:fill="auto"/>
            <w:noWrap/>
            <w:vAlign w:val="center"/>
            <w:hideMark/>
          </w:tcPr>
          <w:p w14:paraId="435202F0"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2.6%</w:t>
            </w:r>
          </w:p>
        </w:tc>
        <w:tc>
          <w:tcPr>
            <w:tcW w:w="659" w:type="dxa"/>
            <w:shd w:val="clear" w:color="auto" w:fill="auto"/>
            <w:noWrap/>
            <w:vAlign w:val="center"/>
            <w:hideMark/>
          </w:tcPr>
          <w:p w14:paraId="3C47947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w:t>
            </w:r>
          </w:p>
        </w:tc>
        <w:tc>
          <w:tcPr>
            <w:tcW w:w="947" w:type="dxa"/>
            <w:shd w:val="clear" w:color="auto" w:fill="auto"/>
            <w:noWrap/>
            <w:vAlign w:val="center"/>
            <w:hideMark/>
          </w:tcPr>
          <w:p w14:paraId="21178CEC"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2.6%</w:t>
            </w:r>
          </w:p>
        </w:tc>
        <w:tc>
          <w:tcPr>
            <w:tcW w:w="887" w:type="dxa"/>
            <w:shd w:val="clear" w:color="auto" w:fill="auto"/>
            <w:vAlign w:val="center"/>
            <w:hideMark/>
          </w:tcPr>
          <w:p w14:paraId="1F85FE99"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150</w:t>
            </w:r>
          </w:p>
        </w:tc>
        <w:tc>
          <w:tcPr>
            <w:tcW w:w="917" w:type="dxa"/>
            <w:shd w:val="clear" w:color="auto" w:fill="auto"/>
            <w:noWrap/>
            <w:vAlign w:val="center"/>
            <w:hideMark/>
          </w:tcPr>
          <w:p w14:paraId="7284E448"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2.2%</w:t>
            </w:r>
          </w:p>
        </w:tc>
        <w:tc>
          <w:tcPr>
            <w:tcW w:w="590" w:type="dxa"/>
            <w:shd w:val="clear" w:color="auto" w:fill="auto"/>
            <w:noWrap/>
            <w:vAlign w:val="center"/>
            <w:hideMark/>
          </w:tcPr>
          <w:p w14:paraId="6F36A0E7"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6</w:t>
            </w:r>
          </w:p>
        </w:tc>
        <w:tc>
          <w:tcPr>
            <w:tcW w:w="954" w:type="dxa"/>
            <w:shd w:val="clear" w:color="auto" w:fill="auto"/>
            <w:noWrap/>
            <w:vAlign w:val="center"/>
            <w:hideMark/>
          </w:tcPr>
          <w:p w14:paraId="1DC7BCC6" w14:textId="77777777" w:rsidR="00971070" w:rsidRPr="0005704C" w:rsidRDefault="00971070" w:rsidP="00D8443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2.2%</w:t>
            </w:r>
          </w:p>
        </w:tc>
      </w:tr>
      <w:tr w:rsidR="00971070" w:rsidRPr="0005704C" w14:paraId="530D1C54" w14:textId="77777777" w:rsidTr="00971070">
        <w:trPr>
          <w:cantSplit/>
          <w:jc w:val="center"/>
        </w:trPr>
        <w:tc>
          <w:tcPr>
            <w:tcW w:w="2674" w:type="dxa"/>
            <w:shd w:val="clear" w:color="000000" w:fill="000000"/>
            <w:vAlign w:val="center"/>
            <w:hideMark/>
          </w:tcPr>
          <w:p w14:paraId="6236240D" w14:textId="77777777" w:rsidR="00971070" w:rsidRPr="00146A48" w:rsidRDefault="00971070" w:rsidP="00971070">
            <w:pPr>
              <w:spacing w:before="60" w:after="60"/>
              <w:rPr>
                <w:rFonts w:asciiTheme="majorHAnsi" w:hAnsiTheme="majorHAnsi" w:cstheme="majorHAnsi"/>
                <w:b/>
                <w:color w:val="FFFFFF"/>
                <w:sz w:val="22"/>
              </w:rPr>
            </w:pPr>
            <w:r w:rsidRPr="00146A48">
              <w:rPr>
                <w:rFonts w:asciiTheme="majorHAnsi" w:hAnsiTheme="majorHAnsi" w:cstheme="majorHAnsi"/>
                <w:b/>
                <w:color w:val="FFFFFF"/>
                <w:sz w:val="22"/>
              </w:rPr>
              <w:t>Total</w:t>
            </w:r>
          </w:p>
        </w:tc>
        <w:tc>
          <w:tcPr>
            <w:tcW w:w="676" w:type="dxa"/>
            <w:shd w:val="clear" w:color="000000" w:fill="000000"/>
            <w:noWrap/>
            <w:vAlign w:val="center"/>
            <w:hideMark/>
          </w:tcPr>
          <w:p w14:paraId="5211F072" w14:textId="77777777" w:rsidR="00971070" w:rsidRPr="0005704C" w:rsidRDefault="00971070" w:rsidP="00971070">
            <w:pPr>
              <w:spacing w:before="60" w:after="60"/>
              <w:jc w:val="center"/>
              <w:rPr>
                <w:rFonts w:asciiTheme="majorHAnsi" w:hAnsiTheme="majorHAnsi" w:cstheme="majorHAnsi"/>
                <w:color w:val="FFFFFF"/>
                <w:sz w:val="22"/>
              </w:rPr>
            </w:pPr>
            <w:r w:rsidRPr="0005704C">
              <w:rPr>
                <w:rFonts w:asciiTheme="majorHAnsi" w:hAnsiTheme="majorHAnsi" w:cstheme="majorHAnsi"/>
                <w:color w:val="FFFFFF"/>
                <w:sz w:val="22"/>
              </w:rPr>
              <w:t>892</w:t>
            </w:r>
          </w:p>
        </w:tc>
        <w:tc>
          <w:tcPr>
            <w:tcW w:w="1056" w:type="dxa"/>
            <w:shd w:val="clear" w:color="000000" w:fill="000000"/>
            <w:noWrap/>
            <w:vAlign w:val="center"/>
            <w:hideMark/>
          </w:tcPr>
          <w:p w14:paraId="15422A92" w14:textId="77777777" w:rsidR="00971070" w:rsidRPr="0005704C" w:rsidRDefault="00971070" w:rsidP="00971070">
            <w:pPr>
              <w:spacing w:before="60" w:after="60"/>
              <w:jc w:val="center"/>
              <w:rPr>
                <w:rFonts w:asciiTheme="majorHAnsi" w:hAnsiTheme="majorHAnsi" w:cstheme="majorHAnsi"/>
                <w:color w:val="FFFFFF"/>
                <w:sz w:val="22"/>
              </w:rPr>
            </w:pPr>
            <w:r w:rsidRPr="0005704C">
              <w:rPr>
                <w:rFonts w:asciiTheme="majorHAnsi" w:hAnsiTheme="majorHAnsi" w:cstheme="majorHAnsi"/>
                <w:color w:val="FFFFFF"/>
                <w:sz w:val="22"/>
              </w:rPr>
              <w:t>100.0%</w:t>
            </w:r>
          </w:p>
        </w:tc>
        <w:tc>
          <w:tcPr>
            <w:tcW w:w="659" w:type="dxa"/>
            <w:shd w:val="clear" w:color="000000" w:fill="000000"/>
            <w:noWrap/>
            <w:vAlign w:val="center"/>
            <w:hideMark/>
          </w:tcPr>
          <w:p w14:paraId="2667DEC2" w14:textId="77777777" w:rsidR="00971070" w:rsidRPr="0005704C" w:rsidRDefault="00971070" w:rsidP="00971070">
            <w:pPr>
              <w:spacing w:before="60" w:after="60"/>
              <w:jc w:val="center"/>
              <w:rPr>
                <w:rFonts w:asciiTheme="majorHAnsi" w:hAnsiTheme="majorHAnsi" w:cstheme="majorHAnsi"/>
                <w:color w:val="FFFFFF"/>
                <w:sz w:val="22"/>
              </w:rPr>
            </w:pPr>
            <w:r w:rsidRPr="0005704C">
              <w:rPr>
                <w:rFonts w:asciiTheme="majorHAnsi" w:hAnsiTheme="majorHAnsi" w:cstheme="majorHAnsi"/>
                <w:color w:val="FFFFFF"/>
                <w:sz w:val="22"/>
              </w:rPr>
              <w:t>100</w:t>
            </w:r>
          </w:p>
        </w:tc>
        <w:tc>
          <w:tcPr>
            <w:tcW w:w="947" w:type="dxa"/>
            <w:shd w:val="clear" w:color="000000" w:fill="000000"/>
            <w:noWrap/>
            <w:vAlign w:val="center"/>
            <w:hideMark/>
          </w:tcPr>
          <w:p w14:paraId="79D98965" w14:textId="77777777" w:rsidR="00971070" w:rsidRPr="0005704C" w:rsidRDefault="00971070" w:rsidP="00971070">
            <w:pPr>
              <w:spacing w:before="60" w:after="60"/>
              <w:jc w:val="center"/>
              <w:rPr>
                <w:rFonts w:asciiTheme="majorHAnsi" w:hAnsiTheme="majorHAnsi" w:cstheme="majorHAnsi"/>
                <w:color w:val="FFFFFF"/>
                <w:sz w:val="22"/>
              </w:rPr>
            </w:pPr>
            <w:r w:rsidRPr="0005704C">
              <w:rPr>
                <w:rFonts w:asciiTheme="majorHAnsi" w:hAnsiTheme="majorHAnsi" w:cstheme="majorHAnsi"/>
                <w:color w:val="FFFFFF"/>
                <w:sz w:val="22"/>
              </w:rPr>
              <w:t>100.0%</w:t>
            </w:r>
          </w:p>
        </w:tc>
        <w:tc>
          <w:tcPr>
            <w:tcW w:w="887" w:type="dxa"/>
            <w:shd w:val="clear" w:color="000000" w:fill="000000"/>
            <w:noWrap/>
            <w:vAlign w:val="center"/>
            <w:hideMark/>
          </w:tcPr>
          <w:p w14:paraId="2978EE7D" w14:textId="77777777" w:rsidR="00971070" w:rsidRPr="0005704C" w:rsidRDefault="00971070" w:rsidP="00971070">
            <w:pPr>
              <w:spacing w:before="60" w:after="60"/>
              <w:jc w:val="center"/>
              <w:rPr>
                <w:rFonts w:asciiTheme="majorHAnsi" w:hAnsiTheme="majorHAnsi" w:cstheme="majorHAnsi"/>
                <w:color w:val="FFFFFF"/>
                <w:sz w:val="22"/>
              </w:rPr>
            </w:pPr>
            <w:r w:rsidRPr="0005704C">
              <w:rPr>
                <w:rFonts w:asciiTheme="majorHAnsi" w:hAnsiTheme="majorHAnsi" w:cstheme="majorHAnsi"/>
                <w:color w:val="FFFFFF"/>
                <w:sz w:val="22"/>
              </w:rPr>
              <w:t>6967</w:t>
            </w:r>
          </w:p>
        </w:tc>
        <w:tc>
          <w:tcPr>
            <w:tcW w:w="917" w:type="dxa"/>
            <w:shd w:val="clear" w:color="000000" w:fill="000000"/>
            <w:noWrap/>
            <w:vAlign w:val="center"/>
            <w:hideMark/>
          </w:tcPr>
          <w:p w14:paraId="1F62028F" w14:textId="77777777" w:rsidR="00971070" w:rsidRPr="0005704C" w:rsidRDefault="00971070" w:rsidP="00971070">
            <w:pPr>
              <w:spacing w:before="60" w:after="60"/>
              <w:jc w:val="center"/>
              <w:rPr>
                <w:rFonts w:asciiTheme="majorHAnsi" w:hAnsiTheme="majorHAnsi" w:cstheme="majorHAnsi"/>
                <w:color w:val="FFFFFF"/>
                <w:sz w:val="22"/>
              </w:rPr>
            </w:pPr>
            <w:r w:rsidRPr="0005704C">
              <w:rPr>
                <w:rFonts w:asciiTheme="majorHAnsi" w:hAnsiTheme="majorHAnsi" w:cstheme="majorHAnsi"/>
                <w:color w:val="FFFFFF"/>
                <w:sz w:val="22"/>
              </w:rPr>
              <w:t>100.0%</w:t>
            </w:r>
          </w:p>
        </w:tc>
        <w:tc>
          <w:tcPr>
            <w:tcW w:w="590" w:type="dxa"/>
            <w:shd w:val="clear" w:color="000000" w:fill="000000"/>
            <w:noWrap/>
            <w:vAlign w:val="center"/>
            <w:hideMark/>
          </w:tcPr>
          <w:p w14:paraId="0E08F6ED" w14:textId="77777777" w:rsidR="00971070" w:rsidRPr="0005704C" w:rsidRDefault="00971070" w:rsidP="00971070">
            <w:pPr>
              <w:spacing w:before="60" w:after="60"/>
              <w:jc w:val="center"/>
              <w:rPr>
                <w:rFonts w:asciiTheme="majorHAnsi" w:hAnsiTheme="majorHAnsi" w:cstheme="majorHAnsi"/>
                <w:color w:val="FFFFFF"/>
                <w:sz w:val="22"/>
              </w:rPr>
            </w:pPr>
            <w:r w:rsidRPr="0005704C">
              <w:rPr>
                <w:rFonts w:asciiTheme="majorHAnsi" w:hAnsiTheme="majorHAnsi" w:cstheme="majorHAnsi"/>
                <w:color w:val="FFFFFF"/>
                <w:sz w:val="22"/>
              </w:rPr>
              <w:t>300</w:t>
            </w:r>
          </w:p>
        </w:tc>
        <w:tc>
          <w:tcPr>
            <w:tcW w:w="954" w:type="dxa"/>
            <w:shd w:val="clear" w:color="000000" w:fill="000000"/>
            <w:noWrap/>
            <w:vAlign w:val="center"/>
            <w:hideMark/>
          </w:tcPr>
          <w:p w14:paraId="08F5A6D0" w14:textId="77777777" w:rsidR="00971070" w:rsidRPr="0005704C" w:rsidRDefault="00971070" w:rsidP="00971070">
            <w:pPr>
              <w:spacing w:before="60" w:after="60"/>
              <w:jc w:val="center"/>
              <w:rPr>
                <w:rFonts w:asciiTheme="majorHAnsi" w:hAnsiTheme="majorHAnsi" w:cstheme="majorHAnsi"/>
                <w:color w:val="FFFFFF"/>
                <w:sz w:val="22"/>
              </w:rPr>
            </w:pPr>
            <w:r w:rsidRPr="0005704C">
              <w:rPr>
                <w:rFonts w:asciiTheme="majorHAnsi" w:hAnsiTheme="majorHAnsi" w:cstheme="majorHAnsi"/>
                <w:color w:val="FFFFFF"/>
                <w:sz w:val="22"/>
              </w:rPr>
              <w:t>100.0%</w:t>
            </w:r>
          </w:p>
        </w:tc>
      </w:tr>
    </w:tbl>
    <w:p w14:paraId="3904A725" w14:textId="77777777" w:rsidR="0005704C" w:rsidRDefault="0005704C" w:rsidP="0005704C"/>
    <w:p w14:paraId="75EC3E38" w14:textId="77777777" w:rsidR="004218F1" w:rsidRDefault="004218F1" w:rsidP="004218F1"/>
    <w:p w14:paraId="031BF258" w14:textId="77777777" w:rsidR="00D724B1" w:rsidRDefault="00D724B1" w:rsidP="00D724B1">
      <w:pPr>
        <w:pStyle w:val="Caption"/>
      </w:pPr>
      <w:r>
        <w:lastRenderedPageBreak/>
        <w:t xml:space="preserve">Table </w:t>
      </w:r>
      <w:r w:rsidR="00CD2F3F">
        <w:fldChar w:fldCharType="begin"/>
      </w:r>
      <w:r w:rsidR="00CD2F3F">
        <w:instrText xml:space="preserve"> SEQ Table \* ARABIC </w:instrText>
      </w:r>
      <w:r w:rsidR="00CD2F3F">
        <w:fldChar w:fldCharType="separate"/>
      </w:r>
      <w:r>
        <w:rPr>
          <w:noProof/>
        </w:rPr>
        <w:t>2</w:t>
      </w:r>
      <w:r w:rsidR="00CD2F3F">
        <w:rPr>
          <w:noProof/>
        </w:rPr>
        <w:fldChar w:fldCharType="end"/>
      </w:r>
      <w:r>
        <w:t>: Expected Sample Universe and Strata for Nursing Home Survey Comparison Group</w:t>
      </w:r>
    </w:p>
    <w:p w14:paraId="622CC128" w14:textId="77777777" w:rsidR="00D724B1" w:rsidRDefault="00D724B1" w:rsidP="00D724B1">
      <w:pPr>
        <w:pStyle w:val="Headerrowgraphic"/>
      </w:pPr>
      <w:bookmarkStart w:id="15" w:name="OLE_LINK1"/>
      <w:r w:rsidRPr="00971070">
        <w:rPr>
          <w:noProof/>
        </w:rPr>
        <w:drawing>
          <wp:inline distT="0" distB="0" distL="0" distR="0" wp14:anchorId="4021ECC3" wp14:editId="7084C0F7">
            <wp:extent cx="5943600" cy="914400"/>
            <wp:effectExtent l="0" t="0" r="0"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3567"/>
                    <a:stretch/>
                  </pic:blipFill>
                  <pic:spPr bwMode="auto">
                    <a:xfrm>
                      <a:off x="0" y="0"/>
                      <a:ext cx="5943600" cy="91440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74"/>
        <w:gridCol w:w="676"/>
        <w:gridCol w:w="1056"/>
        <w:gridCol w:w="659"/>
        <w:gridCol w:w="947"/>
        <w:gridCol w:w="887"/>
        <w:gridCol w:w="917"/>
        <w:gridCol w:w="590"/>
        <w:gridCol w:w="954"/>
      </w:tblGrid>
      <w:tr w:rsidR="00D724B1" w:rsidRPr="0005704C" w14:paraId="3C3F1343" w14:textId="77777777" w:rsidTr="00F36C4E">
        <w:trPr>
          <w:cantSplit/>
          <w:tblHeader/>
          <w:jc w:val="center"/>
        </w:trPr>
        <w:tc>
          <w:tcPr>
            <w:tcW w:w="2674" w:type="dxa"/>
            <w:tcBorders>
              <w:top w:val="nil"/>
              <w:left w:val="nil"/>
              <w:right w:val="nil"/>
            </w:tcBorders>
            <w:shd w:val="clear" w:color="auto" w:fill="auto"/>
            <w:vAlign w:val="bottom"/>
          </w:tcPr>
          <w:p w14:paraId="69FAF54C" w14:textId="77777777" w:rsidR="00D724B1" w:rsidRPr="0005704C" w:rsidRDefault="00D724B1" w:rsidP="00F36C4E">
            <w:pPr>
              <w:pStyle w:val="Hiddenheaderrow"/>
            </w:pPr>
            <w:r w:rsidRPr="004218F1">
              <w:t>QIN-QIO Region</w:t>
            </w:r>
          </w:p>
        </w:tc>
        <w:tc>
          <w:tcPr>
            <w:tcW w:w="676" w:type="dxa"/>
            <w:tcBorders>
              <w:top w:val="nil"/>
              <w:left w:val="nil"/>
              <w:right w:val="nil"/>
            </w:tcBorders>
            <w:shd w:val="clear" w:color="auto" w:fill="auto"/>
            <w:vAlign w:val="bottom"/>
          </w:tcPr>
          <w:p w14:paraId="5BA14651" w14:textId="77777777" w:rsidR="00D724B1" w:rsidRPr="0005704C" w:rsidRDefault="00D724B1" w:rsidP="00F36C4E">
            <w:pPr>
              <w:pStyle w:val="Hiddenheaderrow"/>
            </w:pPr>
            <w:r w:rsidRPr="00971070">
              <w:t>1 Star Rating</w:t>
            </w:r>
            <w:r>
              <w:t xml:space="preserve">: </w:t>
            </w:r>
            <w:r w:rsidRPr="00971070">
              <w:t>Expected Universe/Frame</w:t>
            </w:r>
            <w:r>
              <w:t>/Frame: N</w:t>
            </w:r>
          </w:p>
        </w:tc>
        <w:tc>
          <w:tcPr>
            <w:tcW w:w="1056" w:type="dxa"/>
            <w:tcBorders>
              <w:top w:val="nil"/>
              <w:left w:val="nil"/>
              <w:right w:val="nil"/>
            </w:tcBorders>
            <w:shd w:val="clear" w:color="auto" w:fill="auto"/>
            <w:noWrap/>
            <w:vAlign w:val="bottom"/>
          </w:tcPr>
          <w:p w14:paraId="551365DE" w14:textId="77777777" w:rsidR="00D724B1" w:rsidRPr="0005704C" w:rsidRDefault="00D724B1" w:rsidP="00F36C4E">
            <w:pPr>
              <w:pStyle w:val="Hiddenheaderrow"/>
            </w:pPr>
            <w:r w:rsidRPr="00971070">
              <w:t>1 Star Rating</w:t>
            </w:r>
            <w:r>
              <w:t xml:space="preserve">: </w:t>
            </w:r>
            <w:r w:rsidRPr="00971070">
              <w:t>Expected Universe/Frame</w:t>
            </w:r>
            <w:r>
              <w:t>/Frame: %</w:t>
            </w:r>
          </w:p>
        </w:tc>
        <w:tc>
          <w:tcPr>
            <w:tcW w:w="659" w:type="dxa"/>
            <w:tcBorders>
              <w:top w:val="nil"/>
              <w:left w:val="nil"/>
              <w:right w:val="nil"/>
            </w:tcBorders>
            <w:shd w:val="clear" w:color="auto" w:fill="auto"/>
            <w:noWrap/>
            <w:vAlign w:val="bottom"/>
          </w:tcPr>
          <w:p w14:paraId="6437EAAF" w14:textId="77777777" w:rsidR="00D724B1" w:rsidRPr="0005704C" w:rsidRDefault="00D724B1" w:rsidP="00F36C4E">
            <w:pPr>
              <w:pStyle w:val="Hiddenheaderrow"/>
            </w:pPr>
            <w:r w:rsidRPr="00971070">
              <w:t>1 Star Rating</w:t>
            </w:r>
            <w:r>
              <w:t>: Sample: N</w:t>
            </w:r>
          </w:p>
        </w:tc>
        <w:tc>
          <w:tcPr>
            <w:tcW w:w="947" w:type="dxa"/>
            <w:tcBorders>
              <w:top w:val="nil"/>
              <w:left w:val="nil"/>
              <w:right w:val="nil"/>
            </w:tcBorders>
            <w:shd w:val="clear" w:color="auto" w:fill="auto"/>
            <w:noWrap/>
            <w:vAlign w:val="bottom"/>
          </w:tcPr>
          <w:p w14:paraId="50333123" w14:textId="77777777" w:rsidR="00D724B1" w:rsidRPr="0005704C" w:rsidRDefault="00D724B1" w:rsidP="00F36C4E">
            <w:pPr>
              <w:pStyle w:val="Hiddenheaderrow"/>
            </w:pPr>
            <w:r w:rsidRPr="00971070">
              <w:t>1 Star Rating</w:t>
            </w:r>
            <w:r>
              <w:t>: Sample: %</w:t>
            </w:r>
          </w:p>
        </w:tc>
        <w:tc>
          <w:tcPr>
            <w:tcW w:w="887" w:type="dxa"/>
            <w:tcBorders>
              <w:top w:val="nil"/>
              <w:left w:val="nil"/>
              <w:right w:val="nil"/>
            </w:tcBorders>
            <w:shd w:val="clear" w:color="auto" w:fill="auto"/>
            <w:vAlign w:val="bottom"/>
          </w:tcPr>
          <w:p w14:paraId="56F0E554" w14:textId="77777777" w:rsidR="00D724B1" w:rsidRPr="0005704C" w:rsidRDefault="00D724B1" w:rsidP="00F36C4E">
            <w:pPr>
              <w:pStyle w:val="Hiddenheaderrow"/>
            </w:pPr>
            <w:r>
              <w:t>2-5</w:t>
            </w:r>
            <w:r w:rsidRPr="00971070">
              <w:t xml:space="preserve"> Star Rating</w:t>
            </w:r>
            <w:r>
              <w:t xml:space="preserve">: </w:t>
            </w:r>
            <w:r w:rsidRPr="00971070">
              <w:t>Expected Universe/Frame</w:t>
            </w:r>
            <w:r>
              <w:t>/Frame: N</w:t>
            </w:r>
          </w:p>
        </w:tc>
        <w:tc>
          <w:tcPr>
            <w:tcW w:w="917" w:type="dxa"/>
            <w:tcBorders>
              <w:top w:val="nil"/>
              <w:left w:val="nil"/>
              <w:right w:val="nil"/>
            </w:tcBorders>
            <w:shd w:val="clear" w:color="auto" w:fill="auto"/>
            <w:noWrap/>
            <w:vAlign w:val="bottom"/>
          </w:tcPr>
          <w:p w14:paraId="729AAAA5" w14:textId="77777777" w:rsidR="00D724B1" w:rsidRPr="0005704C" w:rsidRDefault="00D724B1" w:rsidP="00F36C4E">
            <w:pPr>
              <w:pStyle w:val="Hiddenheaderrow"/>
            </w:pPr>
            <w:r>
              <w:t>2-5</w:t>
            </w:r>
            <w:r w:rsidRPr="00971070">
              <w:t xml:space="preserve"> Star Rating</w:t>
            </w:r>
            <w:r>
              <w:t xml:space="preserve">: </w:t>
            </w:r>
            <w:r w:rsidRPr="00971070">
              <w:t>Expected Universe/Frame</w:t>
            </w:r>
            <w:r>
              <w:t>/Frame: %</w:t>
            </w:r>
          </w:p>
        </w:tc>
        <w:tc>
          <w:tcPr>
            <w:tcW w:w="590" w:type="dxa"/>
            <w:tcBorders>
              <w:top w:val="nil"/>
              <w:left w:val="nil"/>
              <w:right w:val="nil"/>
            </w:tcBorders>
            <w:shd w:val="clear" w:color="auto" w:fill="auto"/>
            <w:noWrap/>
            <w:vAlign w:val="bottom"/>
          </w:tcPr>
          <w:p w14:paraId="329161B2" w14:textId="77777777" w:rsidR="00D724B1" w:rsidRPr="0005704C" w:rsidRDefault="00D724B1" w:rsidP="00F36C4E">
            <w:pPr>
              <w:pStyle w:val="Hiddenheaderrow"/>
            </w:pPr>
            <w:r>
              <w:t>2-5</w:t>
            </w:r>
            <w:r w:rsidRPr="00971070">
              <w:t xml:space="preserve"> Star Rating</w:t>
            </w:r>
            <w:r>
              <w:t>: Sample: N</w:t>
            </w:r>
          </w:p>
        </w:tc>
        <w:tc>
          <w:tcPr>
            <w:tcW w:w="954" w:type="dxa"/>
            <w:tcBorders>
              <w:top w:val="nil"/>
              <w:left w:val="nil"/>
              <w:right w:val="nil"/>
            </w:tcBorders>
            <w:shd w:val="clear" w:color="auto" w:fill="auto"/>
            <w:noWrap/>
            <w:vAlign w:val="bottom"/>
          </w:tcPr>
          <w:p w14:paraId="0E5DB6EB" w14:textId="77777777" w:rsidR="00D724B1" w:rsidRPr="0005704C" w:rsidRDefault="00D724B1" w:rsidP="00F36C4E">
            <w:pPr>
              <w:pStyle w:val="Hiddenheaderrow"/>
            </w:pPr>
            <w:r>
              <w:t>2-5</w:t>
            </w:r>
            <w:r w:rsidRPr="00971070">
              <w:t xml:space="preserve"> Star Rating</w:t>
            </w:r>
            <w:r>
              <w:t>: Sample: %</w:t>
            </w:r>
          </w:p>
        </w:tc>
      </w:tr>
      <w:tr w:rsidR="00D724B1" w:rsidRPr="0005704C" w14:paraId="109D3AB3" w14:textId="77777777" w:rsidTr="00F36C4E">
        <w:trPr>
          <w:cantSplit/>
          <w:jc w:val="center"/>
        </w:trPr>
        <w:tc>
          <w:tcPr>
            <w:tcW w:w="2674" w:type="dxa"/>
            <w:shd w:val="clear" w:color="auto" w:fill="auto"/>
            <w:vAlign w:val="center"/>
          </w:tcPr>
          <w:p w14:paraId="5AD2CC87" w14:textId="77777777" w:rsidR="00D724B1" w:rsidRPr="0005704C"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Alliant Georgia Medical Care Foundation </w:t>
            </w:r>
          </w:p>
        </w:tc>
        <w:tc>
          <w:tcPr>
            <w:tcW w:w="676" w:type="dxa"/>
            <w:shd w:val="clear" w:color="auto" w:fill="auto"/>
            <w:vAlign w:val="center"/>
          </w:tcPr>
          <w:p w14:paraId="63FD330E" w14:textId="77777777" w:rsidR="00D724B1" w:rsidRPr="0005704C"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65</w:t>
            </w:r>
          </w:p>
        </w:tc>
        <w:tc>
          <w:tcPr>
            <w:tcW w:w="1056" w:type="dxa"/>
            <w:shd w:val="clear" w:color="auto" w:fill="auto"/>
            <w:noWrap/>
            <w:vAlign w:val="center"/>
          </w:tcPr>
          <w:p w14:paraId="039C7C07" w14:textId="77777777" w:rsidR="00D724B1" w:rsidRPr="0005704C"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11.2%</w:t>
            </w:r>
          </w:p>
        </w:tc>
        <w:tc>
          <w:tcPr>
            <w:tcW w:w="659" w:type="dxa"/>
            <w:shd w:val="clear" w:color="auto" w:fill="auto"/>
            <w:noWrap/>
            <w:vAlign w:val="center"/>
          </w:tcPr>
          <w:p w14:paraId="254EC726" w14:textId="77777777" w:rsidR="00D724B1" w:rsidRPr="0005704C" w:rsidRDefault="00D724B1" w:rsidP="00F36C4E">
            <w:pPr>
              <w:keepNext/>
              <w:spacing w:before="60" w:after="60"/>
              <w:jc w:val="center"/>
              <w:rPr>
                <w:rFonts w:asciiTheme="majorHAnsi" w:hAnsiTheme="majorHAnsi" w:cstheme="majorHAnsi"/>
                <w:color w:val="000000"/>
                <w:sz w:val="22"/>
              </w:rPr>
            </w:pPr>
            <w:r>
              <w:rPr>
                <w:color w:val="000000"/>
                <w:sz w:val="22"/>
              </w:rPr>
              <w:t>5</w:t>
            </w:r>
          </w:p>
        </w:tc>
        <w:tc>
          <w:tcPr>
            <w:tcW w:w="947" w:type="dxa"/>
            <w:shd w:val="clear" w:color="auto" w:fill="auto"/>
            <w:noWrap/>
            <w:vAlign w:val="center"/>
          </w:tcPr>
          <w:p w14:paraId="5A3AD5E5" w14:textId="77777777" w:rsidR="00D724B1" w:rsidRPr="0005704C"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4.5%</w:t>
            </w:r>
          </w:p>
        </w:tc>
        <w:tc>
          <w:tcPr>
            <w:tcW w:w="887" w:type="dxa"/>
            <w:shd w:val="clear" w:color="auto" w:fill="auto"/>
            <w:vAlign w:val="center"/>
          </w:tcPr>
          <w:p w14:paraId="1E2C8AE9" w14:textId="77777777" w:rsidR="00D724B1" w:rsidRPr="0005704C"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435</w:t>
            </w:r>
          </w:p>
        </w:tc>
        <w:tc>
          <w:tcPr>
            <w:tcW w:w="917" w:type="dxa"/>
            <w:shd w:val="clear" w:color="auto" w:fill="auto"/>
            <w:noWrap/>
            <w:vAlign w:val="center"/>
          </w:tcPr>
          <w:p w14:paraId="2DD9C285" w14:textId="77777777" w:rsidR="00D724B1" w:rsidRPr="0005704C"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6.1%</w:t>
            </w:r>
          </w:p>
        </w:tc>
        <w:tc>
          <w:tcPr>
            <w:tcW w:w="590" w:type="dxa"/>
            <w:shd w:val="clear" w:color="auto" w:fill="auto"/>
            <w:noWrap/>
            <w:vAlign w:val="center"/>
          </w:tcPr>
          <w:p w14:paraId="160832CC" w14:textId="77777777" w:rsidR="00D724B1" w:rsidRPr="0005704C" w:rsidRDefault="00D724B1" w:rsidP="00F36C4E">
            <w:pPr>
              <w:keepNext/>
              <w:spacing w:before="60" w:after="60"/>
              <w:jc w:val="center"/>
              <w:rPr>
                <w:rFonts w:asciiTheme="majorHAnsi" w:hAnsiTheme="majorHAnsi" w:cstheme="majorHAnsi"/>
                <w:color w:val="000000"/>
                <w:sz w:val="22"/>
              </w:rPr>
            </w:pPr>
            <w:r>
              <w:rPr>
                <w:color w:val="000000"/>
                <w:sz w:val="22"/>
              </w:rPr>
              <w:t>10</w:t>
            </w:r>
          </w:p>
        </w:tc>
        <w:tc>
          <w:tcPr>
            <w:tcW w:w="954" w:type="dxa"/>
            <w:shd w:val="clear" w:color="auto" w:fill="auto"/>
            <w:noWrap/>
            <w:vAlign w:val="center"/>
          </w:tcPr>
          <w:p w14:paraId="539184B7" w14:textId="77777777" w:rsidR="00D724B1" w:rsidRPr="0005704C"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3.3%</w:t>
            </w:r>
          </w:p>
        </w:tc>
      </w:tr>
      <w:tr w:rsidR="00D724B1" w:rsidRPr="0005704C" w14:paraId="1BB14991" w14:textId="77777777" w:rsidTr="00F36C4E">
        <w:trPr>
          <w:cantSplit/>
          <w:jc w:val="center"/>
        </w:trPr>
        <w:tc>
          <w:tcPr>
            <w:tcW w:w="2674" w:type="dxa"/>
            <w:shd w:val="clear" w:color="auto" w:fill="auto"/>
            <w:vAlign w:val="center"/>
          </w:tcPr>
          <w:p w14:paraId="7AE18CD0" w14:textId="77777777" w:rsidR="00D724B1" w:rsidRPr="00FB72AA"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Atlantic Quality Improvement Network </w:t>
            </w:r>
          </w:p>
        </w:tc>
        <w:tc>
          <w:tcPr>
            <w:tcW w:w="676" w:type="dxa"/>
            <w:shd w:val="clear" w:color="auto" w:fill="auto"/>
            <w:vAlign w:val="center"/>
          </w:tcPr>
          <w:p w14:paraId="39E3F2B6"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17</w:t>
            </w:r>
          </w:p>
        </w:tc>
        <w:tc>
          <w:tcPr>
            <w:tcW w:w="1056" w:type="dxa"/>
            <w:shd w:val="clear" w:color="auto" w:fill="auto"/>
            <w:noWrap/>
            <w:vAlign w:val="center"/>
          </w:tcPr>
          <w:p w14:paraId="78E3005D"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2.9%</w:t>
            </w:r>
          </w:p>
        </w:tc>
        <w:tc>
          <w:tcPr>
            <w:tcW w:w="659" w:type="dxa"/>
            <w:shd w:val="clear" w:color="auto" w:fill="auto"/>
            <w:noWrap/>
            <w:vAlign w:val="center"/>
          </w:tcPr>
          <w:p w14:paraId="3791DE3B"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7</w:t>
            </w:r>
          </w:p>
        </w:tc>
        <w:tc>
          <w:tcPr>
            <w:tcW w:w="947" w:type="dxa"/>
            <w:shd w:val="clear" w:color="auto" w:fill="auto"/>
            <w:noWrap/>
            <w:vAlign w:val="center"/>
          </w:tcPr>
          <w:p w14:paraId="72074D61"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6.7%</w:t>
            </w:r>
          </w:p>
        </w:tc>
        <w:tc>
          <w:tcPr>
            <w:tcW w:w="887" w:type="dxa"/>
            <w:shd w:val="clear" w:color="auto" w:fill="auto"/>
            <w:vAlign w:val="center"/>
          </w:tcPr>
          <w:p w14:paraId="1D307B2D"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223</w:t>
            </w:r>
          </w:p>
        </w:tc>
        <w:tc>
          <w:tcPr>
            <w:tcW w:w="917" w:type="dxa"/>
            <w:shd w:val="clear" w:color="auto" w:fill="auto"/>
            <w:noWrap/>
            <w:vAlign w:val="center"/>
          </w:tcPr>
          <w:p w14:paraId="67F2276A"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3.1%</w:t>
            </w:r>
          </w:p>
        </w:tc>
        <w:tc>
          <w:tcPr>
            <w:tcW w:w="590" w:type="dxa"/>
            <w:shd w:val="clear" w:color="auto" w:fill="auto"/>
            <w:noWrap/>
            <w:vAlign w:val="center"/>
          </w:tcPr>
          <w:p w14:paraId="4FDF04F1"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23</w:t>
            </w:r>
          </w:p>
        </w:tc>
        <w:tc>
          <w:tcPr>
            <w:tcW w:w="954" w:type="dxa"/>
            <w:shd w:val="clear" w:color="auto" w:fill="auto"/>
            <w:noWrap/>
            <w:vAlign w:val="center"/>
          </w:tcPr>
          <w:p w14:paraId="39CD7FEC"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7.7%</w:t>
            </w:r>
          </w:p>
        </w:tc>
      </w:tr>
      <w:tr w:rsidR="00D724B1" w:rsidRPr="0005704C" w14:paraId="413A6795" w14:textId="77777777" w:rsidTr="00F36C4E">
        <w:trPr>
          <w:cantSplit/>
          <w:jc w:val="center"/>
        </w:trPr>
        <w:tc>
          <w:tcPr>
            <w:tcW w:w="2674" w:type="dxa"/>
            <w:shd w:val="clear" w:color="auto" w:fill="auto"/>
            <w:vAlign w:val="center"/>
          </w:tcPr>
          <w:p w14:paraId="7B60086E" w14:textId="77777777" w:rsidR="00D724B1" w:rsidRPr="00FB72AA"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atom Alliance </w:t>
            </w:r>
          </w:p>
        </w:tc>
        <w:tc>
          <w:tcPr>
            <w:tcW w:w="676" w:type="dxa"/>
            <w:shd w:val="clear" w:color="auto" w:fill="auto"/>
            <w:vAlign w:val="center"/>
          </w:tcPr>
          <w:p w14:paraId="2E304C1D"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57</w:t>
            </w:r>
          </w:p>
        </w:tc>
        <w:tc>
          <w:tcPr>
            <w:tcW w:w="1056" w:type="dxa"/>
            <w:shd w:val="clear" w:color="auto" w:fill="auto"/>
            <w:noWrap/>
            <w:vAlign w:val="center"/>
          </w:tcPr>
          <w:p w14:paraId="0DE4BA99"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9.8%</w:t>
            </w:r>
          </w:p>
        </w:tc>
        <w:tc>
          <w:tcPr>
            <w:tcW w:w="659" w:type="dxa"/>
            <w:shd w:val="clear" w:color="auto" w:fill="auto"/>
            <w:noWrap/>
            <w:vAlign w:val="center"/>
          </w:tcPr>
          <w:p w14:paraId="1AD72CB1"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11</w:t>
            </w:r>
          </w:p>
        </w:tc>
        <w:tc>
          <w:tcPr>
            <w:tcW w:w="947" w:type="dxa"/>
            <w:shd w:val="clear" w:color="auto" w:fill="auto"/>
            <w:noWrap/>
            <w:vAlign w:val="center"/>
          </w:tcPr>
          <w:p w14:paraId="4BDA431D"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11.3%</w:t>
            </w:r>
          </w:p>
        </w:tc>
        <w:tc>
          <w:tcPr>
            <w:tcW w:w="887" w:type="dxa"/>
            <w:shd w:val="clear" w:color="auto" w:fill="auto"/>
            <w:vAlign w:val="center"/>
          </w:tcPr>
          <w:p w14:paraId="0F4D8DF3"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675</w:t>
            </w:r>
          </w:p>
        </w:tc>
        <w:tc>
          <w:tcPr>
            <w:tcW w:w="917" w:type="dxa"/>
            <w:shd w:val="clear" w:color="auto" w:fill="auto"/>
            <w:noWrap/>
            <w:vAlign w:val="center"/>
          </w:tcPr>
          <w:p w14:paraId="2D4B51A9"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9.5%</w:t>
            </w:r>
          </w:p>
        </w:tc>
        <w:tc>
          <w:tcPr>
            <w:tcW w:w="590" w:type="dxa"/>
            <w:shd w:val="clear" w:color="auto" w:fill="auto"/>
            <w:noWrap/>
            <w:vAlign w:val="center"/>
          </w:tcPr>
          <w:p w14:paraId="3D888494"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30</w:t>
            </w:r>
          </w:p>
        </w:tc>
        <w:tc>
          <w:tcPr>
            <w:tcW w:w="954" w:type="dxa"/>
            <w:shd w:val="clear" w:color="auto" w:fill="auto"/>
            <w:noWrap/>
            <w:vAlign w:val="center"/>
          </w:tcPr>
          <w:p w14:paraId="395306D8"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10.1%</w:t>
            </w:r>
          </w:p>
        </w:tc>
      </w:tr>
      <w:tr w:rsidR="00D724B1" w:rsidRPr="0005704C" w14:paraId="05F10702" w14:textId="77777777" w:rsidTr="00F36C4E">
        <w:trPr>
          <w:cantSplit/>
          <w:jc w:val="center"/>
        </w:trPr>
        <w:tc>
          <w:tcPr>
            <w:tcW w:w="2674" w:type="dxa"/>
            <w:shd w:val="clear" w:color="auto" w:fill="auto"/>
            <w:vAlign w:val="center"/>
          </w:tcPr>
          <w:p w14:paraId="78A4942B" w14:textId="77777777" w:rsidR="00D724B1" w:rsidRPr="00FB72AA"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Great Plains Quality Innovation Network </w:t>
            </w:r>
          </w:p>
        </w:tc>
        <w:tc>
          <w:tcPr>
            <w:tcW w:w="676" w:type="dxa"/>
            <w:shd w:val="clear" w:color="auto" w:fill="auto"/>
            <w:vAlign w:val="center"/>
          </w:tcPr>
          <w:p w14:paraId="5CD53C0B"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21</w:t>
            </w:r>
          </w:p>
        </w:tc>
        <w:tc>
          <w:tcPr>
            <w:tcW w:w="1056" w:type="dxa"/>
            <w:shd w:val="clear" w:color="auto" w:fill="auto"/>
            <w:noWrap/>
            <w:vAlign w:val="center"/>
          </w:tcPr>
          <w:p w14:paraId="7B6D46BD"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3.6%</w:t>
            </w:r>
          </w:p>
        </w:tc>
        <w:tc>
          <w:tcPr>
            <w:tcW w:w="659" w:type="dxa"/>
            <w:shd w:val="clear" w:color="auto" w:fill="auto"/>
            <w:noWrap/>
            <w:vAlign w:val="center"/>
          </w:tcPr>
          <w:p w14:paraId="2A3FAB36"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4</w:t>
            </w:r>
          </w:p>
        </w:tc>
        <w:tc>
          <w:tcPr>
            <w:tcW w:w="947" w:type="dxa"/>
            <w:shd w:val="clear" w:color="auto" w:fill="auto"/>
            <w:noWrap/>
            <w:vAlign w:val="center"/>
          </w:tcPr>
          <w:p w14:paraId="6797F57B"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3.5%</w:t>
            </w:r>
          </w:p>
        </w:tc>
        <w:tc>
          <w:tcPr>
            <w:tcW w:w="887" w:type="dxa"/>
            <w:shd w:val="clear" w:color="auto" w:fill="auto"/>
            <w:vAlign w:val="center"/>
          </w:tcPr>
          <w:p w14:paraId="4BB158BC"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320</w:t>
            </w:r>
          </w:p>
        </w:tc>
        <w:tc>
          <w:tcPr>
            <w:tcW w:w="917" w:type="dxa"/>
            <w:shd w:val="clear" w:color="auto" w:fill="auto"/>
            <w:noWrap/>
            <w:vAlign w:val="center"/>
          </w:tcPr>
          <w:p w14:paraId="6DA5F119"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4.5%</w:t>
            </w:r>
          </w:p>
        </w:tc>
        <w:tc>
          <w:tcPr>
            <w:tcW w:w="590" w:type="dxa"/>
            <w:shd w:val="clear" w:color="auto" w:fill="auto"/>
            <w:noWrap/>
            <w:vAlign w:val="center"/>
          </w:tcPr>
          <w:p w14:paraId="121F2CE4"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16</w:t>
            </w:r>
          </w:p>
        </w:tc>
        <w:tc>
          <w:tcPr>
            <w:tcW w:w="954" w:type="dxa"/>
            <w:shd w:val="clear" w:color="auto" w:fill="auto"/>
            <w:noWrap/>
            <w:vAlign w:val="center"/>
          </w:tcPr>
          <w:p w14:paraId="5109F461"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5.3%</w:t>
            </w:r>
          </w:p>
        </w:tc>
      </w:tr>
      <w:tr w:rsidR="00D724B1" w:rsidRPr="0005704C" w14:paraId="6EE3D508" w14:textId="77777777" w:rsidTr="00F36C4E">
        <w:trPr>
          <w:cantSplit/>
          <w:jc w:val="center"/>
        </w:trPr>
        <w:tc>
          <w:tcPr>
            <w:tcW w:w="2674" w:type="dxa"/>
            <w:shd w:val="clear" w:color="auto" w:fill="auto"/>
            <w:vAlign w:val="center"/>
          </w:tcPr>
          <w:p w14:paraId="0AA67C12" w14:textId="77777777" w:rsidR="00D724B1" w:rsidRPr="00FB72AA"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Health Services Advisory Group </w:t>
            </w:r>
          </w:p>
        </w:tc>
        <w:tc>
          <w:tcPr>
            <w:tcW w:w="676" w:type="dxa"/>
            <w:shd w:val="clear" w:color="auto" w:fill="auto"/>
            <w:vAlign w:val="center"/>
          </w:tcPr>
          <w:p w14:paraId="2FF275B0"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85</w:t>
            </w:r>
          </w:p>
        </w:tc>
        <w:tc>
          <w:tcPr>
            <w:tcW w:w="1056" w:type="dxa"/>
            <w:shd w:val="clear" w:color="auto" w:fill="auto"/>
            <w:noWrap/>
            <w:vAlign w:val="center"/>
          </w:tcPr>
          <w:p w14:paraId="0399AECB"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14.7%</w:t>
            </w:r>
          </w:p>
        </w:tc>
        <w:tc>
          <w:tcPr>
            <w:tcW w:w="659" w:type="dxa"/>
            <w:shd w:val="clear" w:color="auto" w:fill="auto"/>
            <w:noWrap/>
            <w:vAlign w:val="center"/>
          </w:tcPr>
          <w:p w14:paraId="39D34AA8"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16</w:t>
            </w:r>
          </w:p>
        </w:tc>
        <w:tc>
          <w:tcPr>
            <w:tcW w:w="947" w:type="dxa"/>
            <w:shd w:val="clear" w:color="auto" w:fill="auto"/>
            <w:noWrap/>
            <w:vAlign w:val="center"/>
          </w:tcPr>
          <w:p w14:paraId="79E3EF9C"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15.8%</w:t>
            </w:r>
          </w:p>
        </w:tc>
        <w:tc>
          <w:tcPr>
            <w:tcW w:w="887" w:type="dxa"/>
            <w:shd w:val="clear" w:color="auto" w:fill="auto"/>
            <w:vAlign w:val="center"/>
          </w:tcPr>
          <w:p w14:paraId="386C390C"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1449</w:t>
            </w:r>
          </w:p>
        </w:tc>
        <w:tc>
          <w:tcPr>
            <w:tcW w:w="917" w:type="dxa"/>
            <w:shd w:val="clear" w:color="auto" w:fill="auto"/>
            <w:noWrap/>
            <w:vAlign w:val="center"/>
          </w:tcPr>
          <w:p w14:paraId="2AD54120"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20.5%</w:t>
            </w:r>
          </w:p>
        </w:tc>
        <w:tc>
          <w:tcPr>
            <w:tcW w:w="590" w:type="dxa"/>
            <w:shd w:val="clear" w:color="auto" w:fill="auto"/>
            <w:noWrap/>
            <w:vAlign w:val="center"/>
          </w:tcPr>
          <w:p w14:paraId="52303234"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56</w:t>
            </w:r>
          </w:p>
        </w:tc>
        <w:tc>
          <w:tcPr>
            <w:tcW w:w="954" w:type="dxa"/>
            <w:shd w:val="clear" w:color="auto" w:fill="auto"/>
            <w:noWrap/>
            <w:vAlign w:val="center"/>
          </w:tcPr>
          <w:p w14:paraId="1E02DCF8"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18.8%</w:t>
            </w:r>
          </w:p>
        </w:tc>
      </w:tr>
      <w:tr w:rsidR="00D724B1" w:rsidRPr="0005704C" w14:paraId="2323A575" w14:textId="77777777" w:rsidTr="00F36C4E">
        <w:trPr>
          <w:cantSplit/>
          <w:jc w:val="center"/>
        </w:trPr>
        <w:tc>
          <w:tcPr>
            <w:tcW w:w="2674" w:type="dxa"/>
            <w:shd w:val="clear" w:color="auto" w:fill="auto"/>
            <w:vAlign w:val="center"/>
          </w:tcPr>
          <w:p w14:paraId="357083ED" w14:textId="77777777" w:rsidR="00D724B1" w:rsidRPr="00FB72AA" w:rsidRDefault="00D724B1" w:rsidP="00F36C4E">
            <w:pPr>
              <w:keepNext/>
              <w:spacing w:before="60" w:after="60"/>
              <w:rPr>
                <w:rFonts w:asciiTheme="majorHAnsi" w:hAnsiTheme="majorHAnsi" w:cstheme="majorHAnsi"/>
                <w:color w:val="000000"/>
                <w:sz w:val="22"/>
              </w:rPr>
            </w:pPr>
            <w:proofErr w:type="spellStart"/>
            <w:r w:rsidRPr="00FB72AA">
              <w:rPr>
                <w:rFonts w:asciiTheme="majorHAnsi" w:hAnsiTheme="majorHAnsi" w:cstheme="majorHAnsi"/>
                <w:color w:val="000000"/>
                <w:sz w:val="22"/>
              </w:rPr>
              <w:t>Healthcentric</w:t>
            </w:r>
            <w:proofErr w:type="spellEnd"/>
            <w:r w:rsidRPr="00FB72AA">
              <w:rPr>
                <w:rFonts w:asciiTheme="majorHAnsi" w:hAnsiTheme="majorHAnsi" w:cstheme="majorHAnsi"/>
                <w:color w:val="000000"/>
                <w:sz w:val="22"/>
              </w:rPr>
              <w:t xml:space="preserve"> Advisors </w:t>
            </w:r>
          </w:p>
        </w:tc>
        <w:tc>
          <w:tcPr>
            <w:tcW w:w="676" w:type="dxa"/>
            <w:shd w:val="clear" w:color="auto" w:fill="auto"/>
            <w:vAlign w:val="center"/>
          </w:tcPr>
          <w:p w14:paraId="3881E3DB"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8</w:t>
            </w:r>
          </w:p>
        </w:tc>
        <w:tc>
          <w:tcPr>
            <w:tcW w:w="1056" w:type="dxa"/>
            <w:shd w:val="clear" w:color="auto" w:fill="auto"/>
            <w:noWrap/>
            <w:vAlign w:val="center"/>
          </w:tcPr>
          <w:p w14:paraId="6A0F0A58"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1.4%</w:t>
            </w:r>
          </w:p>
        </w:tc>
        <w:tc>
          <w:tcPr>
            <w:tcW w:w="659" w:type="dxa"/>
            <w:shd w:val="clear" w:color="auto" w:fill="auto"/>
            <w:noWrap/>
            <w:vAlign w:val="center"/>
          </w:tcPr>
          <w:p w14:paraId="5E0CBE3D"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3</w:t>
            </w:r>
          </w:p>
        </w:tc>
        <w:tc>
          <w:tcPr>
            <w:tcW w:w="947" w:type="dxa"/>
            <w:shd w:val="clear" w:color="auto" w:fill="auto"/>
            <w:noWrap/>
            <w:vAlign w:val="center"/>
          </w:tcPr>
          <w:p w14:paraId="29EB160F"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3.4%</w:t>
            </w:r>
          </w:p>
        </w:tc>
        <w:tc>
          <w:tcPr>
            <w:tcW w:w="887" w:type="dxa"/>
            <w:shd w:val="clear" w:color="auto" w:fill="auto"/>
            <w:vAlign w:val="center"/>
          </w:tcPr>
          <w:p w14:paraId="3ABA0681"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375</w:t>
            </w:r>
          </w:p>
        </w:tc>
        <w:tc>
          <w:tcPr>
            <w:tcW w:w="917" w:type="dxa"/>
            <w:shd w:val="clear" w:color="auto" w:fill="auto"/>
            <w:noWrap/>
            <w:vAlign w:val="center"/>
          </w:tcPr>
          <w:p w14:paraId="0D986087"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5.3%</w:t>
            </w:r>
          </w:p>
        </w:tc>
        <w:tc>
          <w:tcPr>
            <w:tcW w:w="590" w:type="dxa"/>
            <w:shd w:val="clear" w:color="auto" w:fill="auto"/>
            <w:noWrap/>
            <w:vAlign w:val="center"/>
          </w:tcPr>
          <w:p w14:paraId="29BBD078"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23</w:t>
            </w:r>
          </w:p>
        </w:tc>
        <w:tc>
          <w:tcPr>
            <w:tcW w:w="954" w:type="dxa"/>
            <w:shd w:val="clear" w:color="auto" w:fill="auto"/>
            <w:noWrap/>
            <w:vAlign w:val="center"/>
          </w:tcPr>
          <w:p w14:paraId="253952A1"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7.8%</w:t>
            </w:r>
          </w:p>
        </w:tc>
      </w:tr>
      <w:tr w:rsidR="00D724B1" w:rsidRPr="0005704C" w14:paraId="40E74EE9" w14:textId="77777777" w:rsidTr="00F36C4E">
        <w:trPr>
          <w:cantSplit/>
          <w:jc w:val="center"/>
        </w:trPr>
        <w:tc>
          <w:tcPr>
            <w:tcW w:w="2674" w:type="dxa"/>
            <w:shd w:val="clear" w:color="auto" w:fill="auto"/>
            <w:vAlign w:val="center"/>
          </w:tcPr>
          <w:p w14:paraId="298F5179" w14:textId="77777777" w:rsidR="00D724B1" w:rsidRPr="00FB72AA"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HealthInsight </w:t>
            </w:r>
          </w:p>
        </w:tc>
        <w:tc>
          <w:tcPr>
            <w:tcW w:w="676" w:type="dxa"/>
            <w:shd w:val="clear" w:color="auto" w:fill="auto"/>
            <w:vAlign w:val="center"/>
          </w:tcPr>
          <w:p w14:paraId="7A354BDF"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5</w:t>
            </w:r>
          </w:p>
        </w:tc>
        <w:tc>
          <w:tcPr>
            <w:tcW w:w="1056" w:type="dxa"/>
            <w:shd w:val="clear" w:color="auto" w:fill="auto"/>
            <w:noWrap/>
            <w:vAlign w:val="center"/>
          </w:tcPr>
          <w:p w14:paraId="69AC9DB3"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0.9%</w:t>
            </w:r>
          </w:p>
        </w:tc>
        <w:tc>
          <w:tcPr>
            <w:tcW w:w="659" w:type="dxa"/>
            <w:shd w:val="clear" w:color="auto" w:fill="auto"/>
            <w:noWrap/>
            <w:vAlign w:val="center"/>
          </w:tcPr>
          <w:p w14:paraId="1E2AC741"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2</w:t>
            </w:r>
          </w:p>
        </w:tc>
        <w:tc>
          <w:tcPr>
            <w:tcW w:w="947" w:type="dxa"/>
            <w:shd w:val="clear" w:color="auto" w:fill="auto"/>
            <w:noWrap/>
            <w:vAlign w:val="center"/>
          </w:tcPr>
          <w:p w14:paraId="6A2AB950"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2.0%</w:t>
            </w:r>
          </w:p>
        </w:tc>
        <w:tc>
          <w:tcPr>
            <w:tcW w:w="887" w:type="dxa"/>
            <w:shd w:val="clear" w:color="auto" w:fill="auto"/>
            <w:vAlign w:val="center"/>
          </w:tcPr>
          <w:p w14:paraId="041434D1"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127</w:t>
            </w:r>
          </w:p>
        </w:tc>
        <w:tc>
          <w:tcPr>
            <w:tcW w:w="917" w:type="dxa"/>
            <w:shd w:val="clear" w:color="auto" w:fill="auto"/>
            <w:noWrap/>
            <w:vAlign w:val="center"/>
          </w:tcPr>
          <w:p w14:paraId="163AE7FB"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1.8%</w:t>
            </w:r>
          </w:p>
        </w:tc>
        <w:tc>
          <w:tcPr>
            <w:tcW w:w="590" w:type="dxa"/>
            <w:shd w:val="clear" w:color="auto" w:fill="auto"/>
            <w:noWrap/>
            <w:vAlign w:val="center"/>
          </w:tcPr>
          <w:p w14:paraId="6CE2488B"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9</w:t>
            </w:r>
          </w:p>
        </w:tc>
        <w:tc>
          <w:tcPr>
            <w:tcW w:w="954" w:type="dxa"/>
            <w:shd w:val="clear" w:color="auto" w:fill="auto"/>
            <w:noWrap/>
            <w:vAlign w:val="center"/>
          </w:tcPr>
          <w:p w14:paraId="4005FDD3"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2.9%</w:t>
            </w:r>
          </w:p>
        </w:tc>
      </w:tr>
      <w:tr w:rsidR="00D724B1" w:rsidRPr="0005704C" w14:paraId="67258B4E" w14:textId="77777777" w:rsidTr="00F36C4E">
        <w:trPr>
          <w:cantSplit/>
          <w:jc w:val="center"/>
        </w:trPr>
        <w:tc>
          <w:tcPr>
            <w:tcW w:w="2674" w:type="dxa"/>
            <w:shd w:val="clear" w:color="auto" w:fill="auto"/>
            <w:vAlign w:val="center"/>
          </w:tcPr>
          <w:p w14:paraId="04CB1086" w14:textId="77777777" w:rsidR="00D724B1" w:rsidRPr="00FB72AA"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Lake Superior Quality Innovation Network </w:t>
            </w:r>
          </w:p>
        </w:tc>
        <w:tc>
          <w:tcPr>
            <w:tcW w:w="676" w:type="dxa"/>
            <w:shd w:val="clear" w:color="auto" w:fill="auto"/>
            <w:vAlign w:val="center"/>
          </w:tcPr>
          <w:p w14:paraId="7D4589EA"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22</w:t>
            </w:r>
          </w:p>
        </w:tc>
        <w:tc>
          <w:tcPr>
            <w:tcW w:w="1056" w:type="dxa"/>
            <w:shd w:val="clear" w:color="auto" w:fill="auto"/>
            <w:noWrap/>
            <w:vAlign w:val="center"/>
          </w:tcPr>
          <w:p w14:paraId="6FC8E0C6"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3.8%</w:t>
            </w:r>
          </w:p>
        </w:tc>
        <w:tc>
          <w:tcPr>
            <w:tcW w:w="659" w:type="dxa"/>
            <w:shd w:val="clear" w:color="auto" w:fill="auto"/>
            <w:noWrap/>
            <w:vAlign w:val="center"/>
          </w:tcPr>
          <w:p w14:paraId="0863F50F"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4</w:t>
            </w:r>
          </w:p>
        </w:tc>
        <w:tc>
          <w:tcPr>
            <w:tcW w:w="947" w:type="dxa"/>
            <w:shd w:val="clear" w:color="auto" w:fill="auto"/>
            <w:noWrap/>
            <w:vAlign w:val="center"/>
          </w:tcPr>
          <w:p w14:paraId="7DBCEDED"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3.9%</w:t>
            </w:r>
          </w:p>
        </w:tc>
        <w:tc>
          <w:tcPr>
            <w:tcW w:w="887" w:type="dxa"/>
            <w:shd w:val="clear" w:color="auto" w:fill="auto"/>
            <w:vAlign w:val="center"/>
          </w:tcPr>
          <w:p w14:paraId="5400A71D"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488</w:t>
            </w:r>
          </w:p>
        </w:tc>
        <w:tc>
          <w:tcPr>
            <w:tcW w:w="917" w:type="dxa"/>
            <w:shd w:val="clear" w:color="auto" w:fill="auto"/>
            <w:noWrap/>
            <w:vAlign w:val="center"/>
          </w:tcPr>
          <w:p w14:paraId="3817F3DA"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6.9%</w:t>
            </w:r>
          </w:p>
        </w:tc>
        <w:tc>
          <w:tcPr>
            <w:tcW w:w="590" w:type="dxa"/>
            <w:shd w:val="clear" w:color="auto" w:fill="auto"/>
            <w:noWrap/>
            <w:vAlign w:val="center"/>
          </w:tcPr>
          <w:p w14:paraId="09F2D6C1"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28</w:t>
            </w:r>
          </w:p>
        </w:tc>
        <w:tc>
          <w:tcPr>
            <w:tcW w:w="954" w:type="dxa"/>
            <w:shd w:val="clear" w:color="auto" w:fill="auto"/>
            <w:noWrap/>
            <w:vAlign w:val="center"/>
          </w:tcPr>
          <w:p w14:paraId="44255473"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9.3%</w:t>
            </w:r>
          </w:p>
        </w:tc>
      </w:tr>
      <w:tr w:rsidR="00D724B1" w:rsidRPr="0005704C" w14:paraId="0CD0EB1A" w14:textId="77777777" w:rsidTr="00F36C4E">
        <w:trPr>
          <w:cantSplit/>
          <w:jc w:val="center"/>
        </w:trPr>
        <w:tc>
          <w:tcPr>
            <w:tcW w:w="2674" w:type="dxa"/>
            <w:shd w:val="clear" w:color="auto" w:fill="auto"/>
            <w:vAlign w:val="center"/>
          </w:tcPr>
          <w:p w14:paraId="265E0CC6" w14:textId="77777777" w:rsidR="00D724B1" w:rsidRPr="00FB72AA"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Mountain Pacific Quality Health Foundation </w:t>
            </w:r>
          </w:p>
        </w:tc>
        <w:tc>
          <w:tcPr>
            <w:tcW w:w="676" w:type="dxa"/>
            <w:shd w:val="clear" w:color="auto" w:fill="auto"/>
            <w:vAlign w:val="center"/>
          </w:tcPr>
          <w:p w14:paraId="011CCED1"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w:t>
            </w:r>
          </w:p>
        </w:tc>
        <w:tc>
          <w:tcPr>
            <w:tcW w:w="1056" w:type="dxa"/>
            <w:shd w:val="clear" w:color="auto" w:fill="auto"/>
            <w:noWrap/>
            <w:vAlign w:val="center"/>
          </w:tcPr>
          <w:p w14:paraId="4936D4F5"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0.2%</w:t>
            </w:r>
          </w:p>
        </w:tc>
        <w:tc>
          <w:tcPr>
            <w:tcW w:w="659" w:type="dxa"/>
            <w:shd w:val="clear" w:color="auto" w:fill="auto"/>
            <w:noWrap/>
            <w:vAlign w:val="center"/>
          </w:tcPr>
          <w:p w14:paraId="57949B36"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1</w:t>
            </w:r>
          </w:p>
        </w:tc>
        <w:tc>
          <w:tcPr>
            <w:tcW w:w="947" w:type="dxa"/>
            <w:shd w:val="clear" w:color="auto" w:fill="auto"/>
            <w:noWrap/>
            <w:vAlign w:val="center"/>
          </w:tcPr>
          <w:p w14:paraId="7B13549C"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1.1%</w:t>
            </w:r>
          </w:p>
        </w:tc>
        <w:tc>
          <w:tcPr>
            <w:tcW w:w="887" w:type="dxa"/>
            <w:shd w:val="clear" w:color="auto" w:fill="auto"/>
            <w:vAlign w:val="center"/>
          </w:tcPr>
          <w:p w14:paraId="2FA1D763"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23</w:t>
            </w:r>
          </w:p>
        </w:tc>
        <w:tc>
          <w:tcPr>
            <w:tcW w:w="917" w:type="dxa"/>
            <w:shd w:val="clear" w:color="auto" w:fill="auto"/>
            <w:noWrap/>
            <w:vAlign w:val="center"/>
          </w:tcPr>
          <w:p w14:paraId="6ED0CE66"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0.3%</w:t>
            </w:r>
          </w:p>
        </w:tc>
        <w:tc>
          <w:tcPr>
            <w:tcW w:w="590" w:type="dxa"/>
            <w:shd w:val="clear" w:color="auto" w:fill="auto"/>
            <w:noWrap/>
            <w:vAlign w:val="center"/>
          </w:tcPr>
          <w:p w14:paraId="5B8B0C4C"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6</w:t>
            </w:r>
          </w:p>
        </w:tc>
        <w:tc>
          <w:tcPr>
            <w:tcW w:w="954" w:type="dxa"/>
            <w:shd w:val="clear" w:color="auto" w:fill="auto"/>
            <w:noWrap/>
            <w:vAlign w:val="center"/>
          </w:tcPr>
          <w:p w14:paraId="0063B986"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2.1%</w:t>
            </w:r>
          </w:p>
        </w:tc>
      </w:tr>
      <w:tr w:rsidR="00D724B1" w:rsidRPr="0005704C" w14:paraId="358C2960" w14:textId="77777777" w:rsidTr="00F36C4E">
        <w:trPr>
          <w:cantSplit/>
          <w:jc w:val="center"/>
        </w:trPr>
        <w:tc>
          <w:tcPr>
            <w:tcW w:w="2674" w:type="dxa"/>
            <w:shd w:val="clear" w:color="auto" w:fill="auto"/>
            <w:vAlign w:val="center"/>
          </w:tcPr>
          <w:p w14:paraId="45D7F85F" w14:textId="77777777" w:rsidR="00D724B1" w:rsidRPr="00FB72AA" w:rsidRDefault="00D724B1" w:rsidP="00F36C4E">
            <w:pPr>
              <w:keepNext/>
              <w:spacing w:before="60" w:after="60"/>
              <w:rPr>
                <w:rFonts w:asciiTheme="majorHAnsi" w:hAnsiTheme="majorHAnsi" w:cstheme="majorHAnsi"/>
                <w:color w:val="000000"/>
                <w:sz w:val="22"/>
              </w:rPr>
            </w:pPr>
            <w:proofErr w:type="spellStart"/>
            <w:r w:rsidRPr="00FB72AA">
              <w:rPr>
                <w:rFonts w:asciiTheme="majorHAnsi" w:hAnsiTheme="majorHAnsi" w:cstheme="majorHAnsi"/>
                <w:color w:val="000000"/>
                <w:sz w:val="22"/>
              </w:rPr>
              <w:t>Qualis</w:t>
            </w:r>
            <w:proofErr w:type="spellEnd"/>
            <w:r w:rsidRPr="00FB72AA">
              <w:rPr>
                <w:rFonts w:asciiTheme="majorHAnsi" w:hAnsiTheme="majorHAnsi" w:cstheme="majorHAnsi"/>
                <w:color w:val="000000"/>
                <w:sz w:val="22"/>
              </w:rPr>
              <w:t xml:space="preserve"> Health </w:t>
            </w:r>
          </w:p>
        </w:tc>
        <w:tc>
          <w:tcPr>
            <w:tcW w:w="676" w:type="dxa"/>
            <w:shd w:val="clear" w:color="auto" w:fill="auto"/>
            <w:vAlign w:val="center"/>
          </w:tcPr>
          <w:p w14:paraId="09603803"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5</w:t>
            </w:r>
          </w:p>
        </w:tc>
        <w:tc>
          <w:tcPr>
            <w:tcW w:w="1056" w:type="dxa"/>
            <w:shd w:val="clear" w:color="auto" w:fill="auto"/>
            <w:noWrap/>
            <w:vAlign w:val="center"/>
          </w:tcPr>
          <w:p w14:paraId="4B5177AC"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0.9%</w:t>
            </w:r>
          </w:p>
        </w:tc>
        <w:tc>
          <w:tcPr>
            <w:tcW w:w="659" w:type="dxa"/>
            <w:shd w:val="clear" w:color="auto" w:fill="auto"/>
            <w:noWrap/>
            <w:vAlign w:val="center"/>
          </w:tcPr>
          <w:p w14:paraId="0F68DE40"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2</w:t>
            </w:r>
          </w:p>
        </w:tc>
        <w:tc>
          <w:tcPr>
            <w:tcW w:w="947" w:type="dxa"/>
            <w:shd w:val="clear" w:color="auto" w:fill="auto"/>
            <w:noWrap/>
            <w:vAlign w:val="center"/>
          </w:tcPr>
          <w:p w14:paraId="4522EBC8"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1.6%</w:t>
            </w:r>
          </w:p>
        </w:tc>
        <w:tc>
          <w:tcPr>
            <w:tcW w:w="887" w:type="dxa"/>
            <w:shd w:val="clear" w:color="auto" w:fill="auto"/>
            <w:vAlign w:val="center"/>
          </w:tcPr>
          <w:p w14:paraId="67BC29C7"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188</w:t>
            </w:r>
          </w:p>
        </w:tc>
        <w:tc>
          <w:tcPr>
            <w:tcW w:w="917" w:type="dxa"/>
            <w:shd w:val="clear" w:color="auto" w:fill="auto"/>
            <w:noWrap/>
            <w:vAlign w:val="center"/>
          </w:tcPr>
          <w:p w14:paraId="389B9421"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2.7%</w:t>
            </w:r>
          </w:p>
        </w:tc>
        <w:tc>
          <w:tcPr>
            <w:tcW w:w="590" w:type="dxa"/>
            <w:shd w:val="clear" w:color="auto" w:fill="auto"/>
            <w:noWrap/>
            <w:vAlign w:val="center"/>
          </w:tcPr>
          <w:p w14:paraId="438E91DA"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4</w:t>
            </w:r>
          </w:p>
        </w:tc>
        <w:tc>
          <w:tcPr>
            <w:tcW w:w="954" w:type="dxa"/>
            <w:shd w:val="clear" w:color="auto" w:fill="auto"/>
            <w:noWrap/>
            <w:vAlign w:val="center"/>
          </w:tcPr>
          <w:p w14:paraId="4F7E2632"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1.3%</w:t>
            </w:r>
          </w:p>
        </w:tc>
      </w:tr>
      <w:tr w:rsidR="00D724B1" w:rsidRPr="0005704C" w14:paraId="7516E369" w14:textId="77777777" w:rsidTr="00F36C4E">
        <w:trPr>
          <w:cantSplit/>
          <w:jc w:val="center"/>
        </w:trPr>
        <w:tc>
          <w:tcPr>
            <w:tcW w:w="2674" w:type="dxa"/>
            <w:shd w:val="clear" w:color="auto" w:fill="auto"/>
            <w:vAlign w:val="center"/>
          </w:tcPr>
          <w:p w14:paraId="5D1C2037" w14:textId="77777777" w:rsidR="00D724B1" w:rsidRPr="00FB72AA"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Quality Insights Quality Innovation Network </w:t>
            </w:r>
          </w:p>
        </w:tc>
        <w:tc>
          <w:tcPr>
            <w:tcW w:w="676" w:type="dxa"/>
            <w:shd w:val="clear" w:color="auto" w:fill="auto"/>
            <w:vAlign w:val="center"/>
          </w:tcPr>
          <w:p w14:paraId="1B0CBDBE"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90</w:t>
            </w:r>
          </w:p>
        </w:tc>
        <w:tc>
          <w:tcPr>
            <w:tcW w:w="1056" w:type="dxa"/>
            <w:shd w:val="clear" w:color="auto" w:fill="auto"/>
            <w:noWrap/>
            <w:vAlign w:val="center"/>
          </w:tcPr>
          <w:p w14:paraId="52D7DABE"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15.5%</w:t>
            </w:r>
          </w:p>
        </w:tc>
        <w:tc>
          <w:tcPr>
            <w:tcW w:w="659" w:type="dxa"/>
            <w:shd w:val="clear" w:color="auto" w:fill="auto"/>
            <w:noWrap/>
            <w:vAlign w:val="center"/>
          </w:tcPr>
          <w:p w14:paraId="3DEF981F"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10</w:t>
            </w:r>
          </w:p>
        </w:tc>
        <w:tc>
          <w:tcPr>
            <w:tcW w:w="947" w:type="dxa"/>
            <w:shd w:val="clear" w:color="auto" w:fill="auto"/>
            <w:noWrap/>
            <w:vAlign w:val="center"/>
          </w:tcPr>
          <w:p w14:paraId="2BABA2B9"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10.3%</w:t>
            </w:r>
          </w:p>
        </w:tc>
        <w:tc>
          <w:tcPr>
            <w:tcW w:w="887" w:type="dxa"/>
            <w:shd w:val="clear" w:color="auto" w:fill="auto"/>
            <w:vAlign w:val="center"/>
          </w:tcPr>
          <w:p w14:paraId="728E554B"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797</w:t>
            </w:r>
          </w:p>
        </w:tc>
        <w:tc>
          <w:tcPr>
            <w:tcW w:w="917" w:type="dxa"/>
            <w:shd w:val="clear" w:color="auto" w:fill="auto"/>
            <w:noWrap/>
            <w:vAlign w:val="center"/>
          </w:tcPr>
          <w:p w14:paraId="596B0007"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11.3%</w:t>
            </w:r>
          </w:p>
        </w:tc>
        <w:tc>
          <w:tcPr>
            <w:tcW w:w="590" w:type="dxa"/>
            <w:shd w:val="clear" w:color="auto" w:fill="auto"/>
            <w:noWrap/>
            <w:vAlign w:val="center"/>
          </w:tcPr>
          <w:p w14:paraId="78ECE807"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23</w:t>
            </w:r>
          </w:p>
        </w:tc>
        <w:tc>
          <w:tcPr>
            <w:tcW w:w="954" w:type="dxa"/>
            <w:shd w:val="clear" w:color="auto" w:fill="auto"/>
            <w:noWrap/>
            <w:vAlign w:val="center"/>
          </w:tcPr>
          <w:p w14:paraId="338E4C6E"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7.7%</w:t>
            </w:r>
          </w:p>
        </w:tc>
      </w:tr>
      <w:tr w:rsidR="00D724B1" w:rsidRPr="0005704C" w14:paraId="4830A601" w14:textId="77777777" w:rsidTr="00F36C4E">
        <w:trPr>
          <w:cantSplit/>
          <w:jc w:val="center"/>
        </w:trPr>
        <w:tc>
          <w:tcPr>
            <w:tcW w:w="2674" w:type="dxa"/>
            <w:shd w:val="clear" w:color="auto" w:fill="auto"/>
            <w:vAlign w:val="center"/>
          </w:tcPr>
          <w:p w14:paraId="0A1F2FFB" w14:textId="77777777" w:rsidR="00D724B1" w:rsidRPr="00FB72AA" w:rsidRDefault="00D724B1" w:rsidP="00F36C4E">
            <w:pPr>
              <w:keepNext/>
              <w:spacing w:before="60" w:after="60"/>
              <w:rPr>
                <w:rFonts w:asciiTheme="majorHAnsi" w:hAnsiTheme="majorHAnsi" w:cstheme="majorHAnsi"/>
                <w:color w:val="000000"/>
                <w:sz w:val="22"/>
              </w:rPr>
            </w:pPr>
            <w:proofErr w:type="spellStart"/>
            <w:r w:rsidRPr="00FB72AA">
              <w:rPr>
                <w:rFonts w:asciiTheme="majorHAnsi" w:hAnsiTheme="majorHAnsi" w:cstheme="majorHAnsi"/>
                <w:color w:val="000000"/>
                <w:sz w:val="22"/>
              </w:rPr>
              <w:t>Telligen</w:t>
            </w:r>
            <w:proofErr w:type="spellEnd"/>
            <w:r w:rsidRPr="00FB72AA">
              <w:rPr>
                <w:rFonts w:asciiTheme="majorHAnsi" w:hAnsiTheme="majorHAnsi" w:cstheme="majorHAnsi"/>
                <w:color w:val="000000"/>
                <w:sz w:val="22"/>
              </w:rPr>
              <w:t xml:space="preserve"> </w:t>
            </w:r>
          </w:p>
        </w:tc>
        <w:tc>
          <w:tcPr>
            <w:tcW w:w="676" w:type="dxa"/>
            <w:shd w:val="clear" w:color="auto" w:fill="auto"/>
            <w:vAlign w:val="center"/>
          </w:tcPr>
          <w:p w14:paraId="698054F9"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39</w:t>
            </w:r>
          </w:p>
        </w:tc>
        <w:tc>
          <w:tcPr>
            <w:tcW w:w="1056" w:type="dxa"/>
            <w:shd w:val="clear" w:color="auto" w:fill="auto"/>
            <w:noWrap/>
            <w:vAlign w:val="center"/>
          </w:tcPr>
          <w:p w14:paraId="7B48B569"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6.7%</w:t>
            </w:r>
          </w:p>
        </w:tc>
        <w:tc>
          <w:tcPr>
            <w:tcW w:w="659" w:type="dxa"/>
            <w:shd w:val="clear" w:color="auto" w:fill="auto"/>
            <w:noWrap/>
            <w:vAlign w:val="center"/>
          </w:tcPr>
          <w:p w14:paraId="2F647EFF"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10</w:t>
            </w:r>
          </w:p>
        </w:tc>
        <w:tc>
          <w:tcPr>
            <w:tcW w:w="947" w:type="dxa"/>
            <w:shd w:val="clear" w:color="auto" w:fill="auto"/>
            <w:noWrap/>
            <w:vAlign w:val="center"/>
          </w:tcPr>
          <w:p w14:paraId="3D68CE3C"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10.2%</w:t>
            </w:r>
          </w:p>
        </w:tc>
        <w:tc>
          <w:tcPr>
            <w:tcW w:w="887" w:type="dxa"/>
            <w:shd w:val="clear" w:color="auto" w:fill="auto"/>
            <w:vAlign w:val="center"/>
          </w:tcPr>
          <w:p w14:paraId="78BCA637"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683</w:t>
            </w:r>
          </w:p>
        </w:tc>
        <w:tc>
          <w:tcPr>
            <w:tcW w:w="917" w:type="dxa"/>
            <w:shd w:val="clear" w:color="auto" w:fill="auto"/>
            <w:noWrap/>
            <w:vAlign w:val="center"/>
          </w:tcPr>
          <w:p w14:paraId="784184B0"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9.6%</w:t>
            </w:r>
          </w:p>
        </w:tc>
        <w:tc>
          <w:tcPr>
            <w:tcW w:w="590" w:type="dxa"/>
            <w:shd w:val="clear" w:color="auto" w:fill="auto"/>
            <w:noWrap/>
            <w:vAlign w:val="center"/>
          </w:tcPr>
          <w:p w14:paraId="048C45C2"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26</w:t>
            </w:r>
          </w:p>
        </w:tc>
        <w:tc>
          <w:tcPr>
            <w:tcW w:w="954" w:type="dxa"/>
            <w:shd w:val="clear" w:color="auto" w:fill="auto"/>
            <w:noWrap/>
            <w:vAlign w:val="center"/>
          </w:tcPr>
          <w:p w14:paraId="145CD3A9"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8.6%</w:t>
            </w:r>
          </w:p>
        </w:tc>
      </w:tr>
      <w:tr w:rsidR="00D724B1" w:rsidRPr="0005704C" w14:paraId="306312BA" w14:textId="77777777" w:rsidTr="00F36C4E">
        <w:trPr>
          <w:cantSplit/>
          <w:jc w:val="center"/>
        </w:trPr>
        <w:tc>
          <w:tcPr>
            <w:tcW w:w="2674" w:type="dxa"/>
            <w:shd w:val="clear" w:color="auto" w:fill="auto"/>
            <w:vAlign w:val="center"/>
          </w:tcPr>
          <w:p w14:paraId="0D5D4344" w14:textId="77777777" w:rsidR="00D724B1" w:rsidRPr="00FB72AA"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TMF </w:t>
            </w:r>
          </w:p>
        </w:tc>
        <w:tc>
          <w:tcPr>
            <w:tcW w:w="676" w:type="dxa"/>
            <w:shd w:val="clear" w:color="auto" w:fill="auto"/>
            <w:vAlign w:val="center"/>
          </w:tcPr>
          <w:p w14:paraId="4DEA4572"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145</w:t>
            </w:r>
          </w:p>
        </w:tc>
        <w:tc>
          <w:tcPr>
            <w:tcW w:w="1056" w:type="dxa"/>
            <w:shd w:val="clear" w:color="auto" w:fill="auto"/>
            <w:noWrap/>
            <w:vAlign w:val="center"/>
          </w:tcPr>
          <w:p w14:paraId="2F76F3AB"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25.0%</w:t>
            </w:r>
          </w:p>
        </w:tc>
        <w:tc>
          <w:tcPr>
            <w:tcW w:w="659" w:type="dxa"/>
            <w:shd w:val="clear" w:color="auto" w:fill="auto"/>
            <w:noWrap/>
            <w:vAlign w:val="center"/>
          </w:tcPr>
          <w:p w14:paraId="016EA504"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23</w:t>
            </w:r>
          </w:p>
        </w:tc>
        <w:tc>
          <w:tcPr>
            <w:tcW w:w="947" w:type="dxa"/>
            <w:shd w:val="clear" w:color="auto" w:fill="auto"/>
            <w:noWrap/>
            <w:vAlign w:val="center"/>
          </w:tcPr>
          <w:p w14:paraId="0CBD3F48"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23.1%</w:t>
            </w:r>
          </w:p>
        </w:tc>
        <w:tc>
          <w:tcPr>
            <w:tcW w:w="887" w:type="dxa"/>
            <w:shd w:val="clear" w:color="auto" w:fill="auto"/>
            <w:vAlign w:val="center"/>
          </w:tcPr>
          <w:p w14:paraId="533162CE"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981</w:t>
            </w:r>
          </w:p>
        </w:tc>
        <w:tc>
          <w:tcPr>
            <w:tcW w:w="917" w:type="dxa"/>
            <w:shd w:val="clear" w:color="auto" w:fill="auto"/>
            <w:noWrap/>
            <w:vAlign w:val="center"/>
          </w:tcPr>
          <w:p w14:paraId="28A86047"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13.9%</w:t>
            </w:r>
          </w:p>
        </w:tc>
        <w:tc>
          <w:tcPr>
            <w:tcW w:w="590" w:type="dxa"/>
            <w:shd w:val="clear" w:color="auto" w:fill="auto"/>
            <w:noWrap/>
            <w:vAlign w:val="center"/>
          </w:tcPr>
          <w:p w14:paraId="5E824115"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39</w:t>
            </w:r>
          </w:p>
        </w:tc>
        <w:tc>
          <w:tcPr>
            <w:tcW w:w="954" w:type="dxa"/>
            <w:shd w:val="clear" w:color="auto" w:fill="auto"/>
            <w:noWrap/>
            <w:vAlign w:val="center"/>
          </w:tcPr>
          <w:p w14:paraId="4607B2CC"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12.9%</w:t>
            </w:r>
          </w:p>
        </w:tc>
      </w:tr>
      <w:tr w:rsidR="00D724B1" w:rsidRPr="0005704C" w14:paraId="6AC50150" w14:textId="77777777" w:rsidTr="00F36C4E">
        <w:trPr>
          <w:cantSplit/>
          <w:jc w:val="center"/>
        </w:trPr>
        <w:tc>
          <w:tcPr>
            <w:tcW w:w="2674" w:type="dxa"/>
            <w:shd w:val="clear" w:color="auto" w:fill="auto"/>
            <w:vAlign w:val="center"/>
          </w:tcPr>
          <w:p w14:paraId="63D24282" w14:textId="77777777" w:rsidR="00D724B1" w:rsidRPr="00FB72AA" w:rsidRDefault="00D724B1" w:rsidP="00F36C4E">
            <w:pPr>
              <w:keepNext/>
              <w:spacing w:before="60" w:after="60"/>
              <w:rPr>
                <w:rFonts w:asciiTheme="majorHAnsi" w:hAnsiTheme="majorHAnsi" w:cstheme="majorHAnsi"/>
                <w:color w:val="000000"/>
                <w:sz w:val="22"/>
              </w:rPr>
            </w:pPr>
            <w:r w:rsidRPr="00FB72AA">
              <w:rPr>
                <w:rFonts w:asciiTheme="majorHAnsi" w:hAnsiTheme="majorHAnsi" w:cstheme="majorHAnsi"/>
                <w:color w:val="000000"/>
                <w:sz w:val="22"/>
              </w:rPr>
              <w:t xml:space="preserve">VHQC </w:t>
            </w:r>
          </w:p>
        </w:tc>
        <w:tc>
          <w:tcPr>
            <w:tcW w:w="676" w:type="dxa"/>
            <w:shd w:val="clear" w:color="auto" w:fill="auto"/>
            <w:vAlign w:val="center"/>
          </w:tcPr>
          <w:p w14:paraId="144E665F"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19</w:t>
            </w:r>
          </w:p>
        </w:tc>
        <w:tc>
          <w:tcPr>
            <w:tcW w:w="1056" w:type="dxa"/>
            <w:shd w:val="clear" w:color="auto" w:fill="auto"/>
            <w:noWrap/>
            <w:vAlign w:val="center"/>
          </w:tcPr>
          <w:p w14:paraId="1EBA08A1"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3.3%</w:t>
            </w:r>
          </w:p>
        </w:tc>
        <w:tc>
          <w:tcPr>
            <w:tcW w:w="659" w:type="dxa"/>
            <w:shd w:val="clear" w:color="auto" w:fill="auto"/>
            <w:noWrap/>
            <w:vAlign w:val="center"/>
          </w:tcPr>
          <w:p w14:paraId="61E9D237"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3</w:t>
            </w:r>
          </w:p>
        </w:tc>
        <w:tc>
          <w:tcPr>
            <w:tcW w:w="947" w:type="dxa"/>
            <w:shd w:val="clear" w:color="auto" w:fill="auto"/>
            <w:noWrap/>
            <w:vAlign w:val="center"/>
          </w:tcPr>
          <w:p w14:paraId="62327DFE"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2.6%</w:t>
            </w:r>
          </w:p>
        </w:tc>
        <w:tc>
          <w:tcPr>
            <w:tcW w:w="887" w:type="dxa"/>
            <w:shd w:val="clear" w:color="auto" w:fill="auto"/>
            <w:vAlign w:val="center"/>
          </w:tcPr>
          <w:p w14:paraId="46185656"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316</w:t>
            </w:r>
          </w:p>
        </w:tc>
        <w:tc>
          <w:tcPr>
            <w:tcW w:w="917" w:type="dxa"/>
            <w:shd w:val="clear" w:color="auto" w:fill="auto"/>
            <w:noWrap/>
            <w:vAlign w:val="center"/>
          </w:tcPr>
          <w:p w14:paraId="2EB4EBA6" w14:textId="77777777" w:rsidR="00D724B1" w:rsidRPr="00FB72AA" w:rsidRDefault="00D724B1" w:rsidP="00F36C4E">
            <w:pPr>
              <w:keepNext/>
              <w:spacing w:before="60" w:after="60"/>
              <w:jc w:val="center"/>
              <w:rPr>
                <w:rFonts w:asciiTheme="majorHAnsi" w:hAnsiTheme="majorHAnsi" w:cstheme="majorHAnsi"/>
                <w:color w:val="000000"/>
                <w:sz w:val="22"/>
              </w:rPr>
            </w:pPr>
            <w:r w:rsidRPr="00FB72AA">
              <w:rPr>
                <w:rFonts w:asciiTheme="majorHAnsi" w:hAnsiTheme="majorHAnsi" w:cstheme="majorHAnsi"/>
                <w:color w:val="000000"/>
                <w:sz w:val="22"/>
              </w:rPr>
              <w:t>4.5%</w:t>
            </w:r>
          </w:p>
        </w:tc>
        <w:tc>
          <w:tcPr>
            <w:tcW w:w="590" w:type="dxa"/>
            <w:shd w:val="clear" w:color="auto" w:fill="auto"/>
            <w:noWrap/>
            <w:vAlign w:val="center"/>
          </w:tcPr>
          <w:p w14:paraId="6DC100F0" w14:textId="77777777" w:rsidR="00D724B1" w:rsidRPr="00FB72AA" w:rsidRDefault="00D724B1" w:rsidP="00F36C4E">
            <w:pPr>
              <w:keepNext/>
              <w:spacing w:before="60" w:after="60"/>
              <w:jc w:val="center"/>
              <w:rPr>
                <w:rFonts w:asciiTheme="majorHAnsi" w:hAnsiTheme="majorHAnsi" w:cstheme="majorHAnsi"/>
                <w:color w:val="000000"/>
                <w:sz w:val="22"/>
              </w:rPr>
            </w:pPr>
            <w:r>
              <w:rPr>
                <w:color w:val="000000"/>
                <w:sz w:val="22"/>
              </w:rPr>
              <w:t>7</w:t>
            </w:r>
          </w:p>
        </w:tc>
        <w:tc>
          <w:tcPr>
            <w:tcW w:w="954" w:type="dxa"/>
            <w:shd w:val="clear" w:color="auto" w:fill="auto"/>
            <w:noWrap/>
            <w:vAlign w:val="center"/>
          </w:tcPr>
          <w:p w14:paraId="204DFBE3" w14:textId="77777777" w:rsidR="00D724B1" w:rsidRPr="00FB72AA" w:rsidRDefault="00D724B1" w:rsidP="00F36C4E">
            <w:pPr>
              <w:keepNext/>
              <w:spacing w:before="60" w:after="60"/>
              <w:jc w:val="center"/>
              <w:rPr>
                <w:rFonts w:asciiTheme="majorHAnsi" w:hAnsiTheme="majorHAnsi" w:cstheme="majorHAnsi"/>
                <w:color w:val="000000"/>
                <w:sz w:val="22"/>
              </w:rPr>
            </w:pPr>
            <w:r w:rsidRPr="0005704C">
              <w:rPr>
                <w:rFonts w:asciiTheme="majorHAnsi" w:hAnsiTheme="majorHAnsi" w:cstheme="majorHAnsi"/>
                <w:color w:val="000000"/>
                <w:sz w:val="22"/>
              </w:rPr>
              <w:t>2.2%</w:t>
            </w:r>
          </w:p>
        </w:tc>
      </w:tr>
      <w:tr w:rsidR="00D724B1" w:rsidRPr="0005704C" w14:paraId="5B100EB7" w14:textId="77777777" w:rsidTr="00F36C4E">
        <w:trPr>
          <w:cantSplit/>
          <w:jc w:val="center"/>
        </w:trPr>
        <w:tc>
          <w:tcPr>
            <w:tcW w:w="2674" w:type="dxa"/>
            <w:shd w:val="clear" w:color="auto" w:fill="000000" w:themeFill="text1"/>
            <w:vAlign w:val="center"/>
          </w:tcPr>
          <w:p w14:paraId="22D04FB4" w14:textId="77777777" w:rsidR="00D724B1" w:rsidRPr="00FB72AA" w:rsidRDefault="00D724B1" w:rsidP="00F36C4E">
            <w:pPr>
              <w:spacing w:before="60" w:after="60"/>
              <w:rPr>
                <w:rFonts w:asciiTheme="majorHAnsi" w:hAnsiTheme="majorHAnsi" w:cstheme="majorHAnsi"/>
                <w:color w:val="000000"/>
                <w:sz w:val="22"/>
              </w:rPr>
            </w:pPr>
            <w:r w:rsidRPr="00146A48">
              <w:rPr>
                <w:rFonts w:asciiTheme="majorHAnsi" w:hAnsiTheme="majorHAnsi" w:cstheme="majorHAnsi"/>
                <w:b/>
                <w:color w:val="FFFFFF"/>
                <w:sz w:val="22"/>
              </w:rPr>
              <w:t>Total</w:t>
            </w:r>
          </w:p>
        </w:tc>
        <w:tc>
          <w:tcPr>
            <w:tcW w:w="676" w:type="dxa"/>
            <w:shd w:val="clear" w:color="auto" w:fill="000000" w:themeFill="text1"/>
            <w:vAlign w:val="center"/>
          </w:tcPr>
          <w:p w14:paraId="2C8E66C3" w14:textId="77777777" w:rsidR="00D724B1" w:rsidRPr="00FB72AA" w:rsidRDefault="00D724B1" w:rsidP="00F36C4E">
            <w:pPr>
              <w:spacing w:before="60" w:after="60"/>
              <w:jc w:val="center"/>
              <w:rPr>
                <w:rFonts w:asciiTheme="majorHAnsi" w:hAnsiTheme="majorHAnsi" w:cstheme="majorHAnsi"/>
                <w:color w:val="000000"/>
                <w:sz w:val="22"/>
              </w:rPr>
            </w:pPr>
            <w:r w:rsidRPr="00FB72AA">
              <w:rPr>
                <w:rFonts w:asciiTheme="majorHAnsi" w:hAnsiTheme="majorHAnsi" w:cstheme="majorHAnsi"/>
                <w:color w:val="FFFFFF"/>
                <w:sz w:val="22"/>
              </w:rPr>
              <w:t>579</w:t>
            </w:r>
          </w:p>
        </w:tc>
        <w:tc>
          <w:tcPr>
            <w:tcW w:w="1056" w:type="dxa"/>
            <w:shd w:val="clear" w:color="auto" w:fill="000000" w:themeFill="text1"/>
            <w:noWrap/>
            <w:vAlign w:val="center"/>
          </w:tcPr>
          <w:p w14:paraId="6E090D6B" w14:textId="77777777" w:rsidR="00D724B1" w:rsidRPr="00FB72AA" w:rsidRDefault="00D724B1" w:rsidP="00F36C4E">
            <w:pPr>
              <w:spacing w:before="60" w:after="60"/>
              <w:jc w:val="center"/>
              <w:rPr>
                <w:rFonts w:asciiTheme="majorHAnsi" w:hAnsiTheme="majorHAnsi" w:cstheme="majorHAnsi"/>
                <w:color w:val="000000"/>
                <w:sz w:val="22"/>
              </w:rPr>
            </w:pPr>
            <w:r w:rsidRPr="00FB72AA">
              <w:rPr>
                <w:rFonts w:asciiTheme="majorHAnsi" w:hAnsiTheme="majorHAnsi" w:cstheme="majorHAnsi"/>
                <w:color w:val="FFFFFF"/>
                <w:sz w:val="22"/>
              </w:rPr>
              <w:t>100.0%</w:t>
            </w:r>
          </w:p>
        </w:tc>
        <w:tc>
          <w:tcPr>
            <w:tcW w:w="659" w:type="dxa"/>
            <w:shd w:val="clear" w:color="auto" w:fill="000000" w:themeFill="text1"/>
            <w:noWrap/>
            <w:vAlign w:val="center"/>
          </w:tcPr>
          <w:p w14:paraId="6C54C61E" w14:textId="77777777" w:rsidR="00D724B1" w:rsidRPr="00FB72AA" w:rsidRDefault="00D724B1" w:rsidP="00F36C4E">
            <w:pPr>
              <w:spacing w:before="60" w:after="60"/>
              <w:jc w:val="center"/>
              <w:rPr>
                <w:rFonts w:asciiTheme="majorHAnsi" w:hAnsiTheme="majorHAnsi" w:cstheme="majorHAnsi"/>
                <w:color w:val="000000"/>
                <w:sz w:val="22"/>
              </w:rPr>
            </w:pPr>
            <w:r w:rsidRPr="00FB72AA">
              <w:rPr>
                <w:rFonts w:asciiTheme="majorHAnsi" w:hAnsiTheme="majorHAnsi" w:cstheme="majorHAnsi"/>
                <w:color w:val="FFFFFF"/>
                <w:sz w:val="22"/>
              </w:rPr>
              <w:t>100</w:t>
            </w:r>
          </w:p>
        </w:tc>
        <w:tc>
          <w:tcPr>
            <w:tcW w:w="947" w:type="dxa"/>
            <w:shd w:val="clear" w:color="auto" w:fill="000000" w:themeFill="text1"/>
            <w:noWrap/>
            <w:vAlign w:val="center"/>
          </w:tcPr>
          <w:p w14:paraId="0B415DAB" w14:textId="77777777" w:rsidR="00D724B1" w:rsidRPr="00FB72AA" w:rsidRDefault="00D724B1" w:rsidP="00F36C4E">
            <w:pPr>
              <w:spacing w:before="60" w:after="60"/>
              <w:jc w:val="center"/>
              <w:rPr>
                <w:rFonts w:asciiTheme="majorHAnsi" w:hAnsiTheme="majorHAnsi" w:cstheme="majorHAnsi"/>
                <w:color w:val="000000"/>
                <w:sz w:val="22"/>
              </w:rPr>
            </w:pPr>
            <w:r w:rsidRPr="00FB72AA">
              <w:rPr>
                <w:rFonts w:asciiTheme="majorHAnsi" w:hAnsiTheme="majorHAnsi" w:cstheme="majorHAnsi"/>
                <w:color w:val="FFFFFF"/>
                <w:sz w:val="22"/>
              </w:rPr>
              <w:t>100.0%</w:t>
            </w:r>
          </w:p>
        </w:tc>
        <w:tc>
          <w:tcPr>
            <w:tcW w:w="887" w:type="dxa"/>
            <w:shd w:val="clear" w:color="auto" w:fill="000000" w:themeFill="text1"/>
            <w:vAlign w:val="center"/>
          </w:tcPr>
          <w:p w14:paraId="65B32AD5" w14:textId="77777777" w:rsidR="00D724B1" w:rsidRPr="00FB72AA" w:rsidRDefault="00D724B1" w:rsidP="00F36C4E">
            <w:pPr>
              <w:spacing w:before="60" w:after="60"/>
              <w:jc w:val="center"/>
              <w:rPr>
                <w:rFonts w:asciiTheme="majorHAnsi" w:hAnsiTheme="majorHAnsi" w:cstheme="majorHAnsi"/>
                <w:color w:val="000000"/>
                <w:sz w:val="22"/>
              </w:rPr>
            </w:pPr>
            <w:r w:rsidRPr="00FB72AA">
              <w:rPr>
                <w:rFonts w:asciiTheme="majorHAnsi" w:hAnsiTheme="majorHAnsi" w:cstheme="majorHAnsi"/>
                <w:color w:val="FFFFFF"/>
                <w:sz w:val="22"/>
              </w:rPr>
              <w:t>7080</w:t>
            </w:r>
          </w:p>
        </w:tc>
        <w:tc>
          <w:tcPr>
            <w:tcW w:w="917" w:type="dxa"/>
            <w:shd w:val="clear" w:color="auto" w:fill="000000" w:themeFill="text1"/>
            <w:noWrap/>
            <w:vAlign w:val="center"/>
          </w:tcPr>
          <w:p w14:paraId="257F12AF" w14:textId="77777777" w:rsidR="00D724B1" w:rsidRPr="00FB72AA" w:rsidRDefault="00D724B1" w:rsidP="00F36C4E">
            <w:pPr>
              <w:spacing w:before="60" w:after="60"/>
              <w:jc w:val="center"/>
              <w:rPr>
                <w:rFonts w:asciiTheme="majorHAnsi" w:hAnsiTheme="majorHAnsi" w:cstheme="majorHAnsi"/>
                <w:color w:val="000000"/>
                <w:sz w:val="22"/>
              </w:rPr>
            </w:pPr>
            <w:r w:rsidRPr="00FB72AA">
              <w:rPr>
                <w:rFonts w:asciiTheme="majorHAnsi" w:hAnsiTheme="majorHAnsi" w:cstheme="majorHAnsi"/>
                <w:color w:val="FFFFFF"/>
                <w:sz w:val="22"/>
              </w:rPr>
              <w:t>100.0%</w:t>
            </w:r>
          </w:p>
        </w:tc>
        <w:tc>
          <w:tcPr>
            <w:tcW w:w="590" w:type="dxa"/>
            <w:shd w:val="clear" w:color="auto" w:fill="000000" w:themeFill="text1"/>
            <w:noWrap/>
            <w:vAlign w:val="center"/>
          </w:tcPr>
          <w:p w14:paraId="16FC8D3B" w14:textId="77777777" w:rsidR="00D724B1" w:rsidRPr="00FB72AA" w:rsidRDefault="00D724B1" w:rsidP="00F36C4E">
            <w:pPr>
              <w:spacing w:before="60" w:after="60"/>
              <w:jc w:val="center"/>
              <w:rPr>
                <w:rFonts w:asciiTheme="majorHAnsi" w:hAnsiTheme="majorHAnsi" w:cstheme="majorHAnsi"/>
                <w:color w:val="000000"/>
                <w:sz w:val="22"/>
              </w:rPr>
            </w:pPr>
            <w:r w:rsidRPr="00FB72AA">
              <w:rPr>
                <w:rFonts w:asciiTheme="majorHAnsi" w:hAnsiTheme="majorHAnsi" w:cstheme="majorHAnsi"/>
                <w:color w:val="FFFFFF"/>
                <w:sz w:val="22"/>
              </w:rPr>
              <w:t>300</w:t>
            </w:r>
          </w:p>
        </w:tc>
        <w:tc>
          <w:tcPr>
            <w:tcW w:w="954" w:type="dxa"/>
            <w:shd w:val="clear" w:color="auto" w:fill="000000" w:themeFill="text1"/>
            <w:noWrap/>
            <w:vAlign w:val="center"/>
          </w:tcPr>
          <w:p w14:paraId="71C2D91C" w14:textId="77777777" w:rsidR="00D724B1" w:rsidRPr="00FB72AA" w:rsidRDefault="00D724B1" w:rsidP="00F36C4E">
            <w:pPr>
              <w:spacing w:before="60" w:after="60"/>
              <w:jc w:val="center"/>
              <w:rPr>
                <w:rFonts w:asciiTheme="majorHAnsi" w:hAnsiTheme="majorHAnsi" w:cstheme="majorHAnsi"/>
                <w:color w:val="000000"/>
                <w:sz w:val="22"/>
              </w:rPr>
            </w:pPr>
            <w:r w:rsidRPr="00FB72AA">
              <w:rPr>
                <w:rFonts w:asciiTheme="majorHAnsi" w:hAnsiTheme="majorHAnsi" w:cstheme="majorHAnsi"/>
                <w:color w:val="FFFFFF"/>
                <w:sz w:val="22"/>
              </w:rPr>
              <w:t>100.0%</w:t>
            </w:r>
          </w:p>
        </w:tc>
      </w:tr>
      <w:bookmarkEnd w:id="15"/>
    </w:tbl>
    <w:p w14:paraId="121172F3" w14:textId="77777777" w:rsidR="00D724B1" w:rsidRDefault="00D724B1" w:rsidP="004218F1"/>
    <w:p w14:paraId="4273A068" w14:textId="77777777" w:rsidR="0065088C" w:rsidRPr="00C95E7E" w:rsidRDefault="0065088C" w:rsidP="00C95E7E">
      <w:pPr>
        <w:pStyle w:val="Heading3"/>
      </w:pPr>
      <w:r w:rsidRPr="00C95E7E">
        <w:t>Interviews and Focus Groups</w:t>
      </w:r>
    </w:p>
    <w:p w14:paraId="68DD7E3C" w14:textId="77777777" w:rsidR="0065088C" w:rsidRDefault="00791874" w:rsidP="00C95E7E">
      <w:pPr>
        <w:ind w:left="720"/>
      </w:pPr>
      <w:r>
        <w:t>We will</w:t>
      </w:r>
      <w:r w:rsidR="00300834">
        <w:t xml:space="preserve"> con</w:t>
      </w:r>
      <w:r>
        <w:t>duct</w:t>
      </w:r>
      <w:r w:rsidR="00300834">
        <w:t xml:space="preserve"> interviews w</w:t>
      </w:r>
      <w:r w:rsidR="003A6DD7">
        <w:t>ith nursing home administrators and peer coaches, and</w:t>
      </w:r>
      <w:r w:rsidR="00300834">
        <w:t xml:space="preserve"> </w:t>
      </w:r>
      <w:r w:rsidR="003A6DD7">
        <w:t xml:space="preserve">interviews and focus groups with </w:t>
      </w:r>
      <w:r w:rsidR="00300834">
        <w:t xml:space="preserve">QIN-QIO </w:t>
      </w:r>
      <w:r w:rsidR="0054039A">
        <w:t xml:space="preserve">nursing home </w:t>
      </w:r>
      <w:r w:rsidR="003A6DD7">
        <w:t>task leads</w:t>
      </w:r>
      <w:r w:rsidR="00300834">
        <w:t xml:space="preserve">. For the nursing home administrators, we </w:t>
      </w:r>
      <w:r w:rsidR="00AD05F6">
        <w:t>will draw</w:t>
      </w:r>
      <w:r w:rsidR="00300834">
        <w:t xml:space="preserve"> from the same respondent universe and sampling frame as the nursing ho</w:t>
      </w:r>
      <w:r w:rsidR="00A806F0">
        <w:t xml:space="preserve">me </w:t>
      </w:r>
      <w:r>
        <w:t>survey, but will purposively select nursing homes administrators across QIN-QIO regions</w:t>
      </w:r>
      <w:r w:rsidR="0065088C">
        <w:t>.</w:t>
      </w:r>
      <w:r w:rsidR="00AD05F6">
        <w:t xml:space="preserve"> We expect a slightly lower response rate than the nursing home survey response rate of 60</w:t>
      </w:r>
      <w:r w:rsidR="00300EB3">
        <w:t>%</w:t>
      </w:r>
      <w:r w:rsidR="00AD05F6">
        <w:t>, given the increased length of time required for a telephone interview compared to the survey.</w:t>
      </w:r>
    </w:p>
    <w:p w14:paraId="1440B671" w14:textId="77777777" w:rsidR="0065088C" w:rsidRDefault="0065088C" w:rsidP="00C95E7E">
      <w:pPr>
        <w:ind w:left="720"/>
      </w:pPr>
      <w:r>
        <w:lastRenderedPageBreak/>
        <w:t xml:space="preserve">For QIN-QIO </w:t>
      </w:r>
      <w:r w:rsidR="003A6DD7">
        <w:t>n</w:t>
      </w:r>
      <w:r>
        <w:t xml:space="preserve">ursing </w:t>
      </w:r>
      <w:r w:rsidR="003A6DD7">
        <w:t>h</w:t>
      </w:r>
      <w:r>
        <w:t xml:space="preserve">ome </w:t>
      </w:r>
      <w:r w:rsidR="003A6DD7">
        <w:t>t</w:t>
      </w:r>
      <w:r>
        <w:t xml:space="preserve">ask </w:t>
      </w:r>
      <w:r w:rsidR="003A6DD7">
        <w:t>l</w:t>
      </w:r>
      <w:r>
        <w:t xml:space="preserve">eads, we </w:t>
      </w:r>
      <w:r w:rsidR="003A6DD7">
        <w:t>will</w:t>
      </w:r>
      <w:r>
        <w:t xml:space="preserve"> interview task leads from all 14 QIN-QIOs</w:t>
      </w:r>
      <w:r w:rsidR="001579B6">
        <w:t xml:space="preserve"> either in focus groups, as facilitated by regional or national meetings, or individually</w:t>
      </w:r>
      <w:r>
        <w:t xml:space="preserve">. </w:t>
      </w:r>
      <w:r w:rsidR="003A6DD7">
        <w:t xml:space="preserve">CMS or </w:t>
      </w:r>
      <w:r>
        <w:t xml:space="preserve">QIN-QIO </w:t>
      </w:r>
      <w:r w:rsidR="0054039A">
        <w:t>a</w:t>
      </w:r>
      <w:r>
        <w:t>dministrators</w:t>
      </w:r>
      <w:r w:rsidR="003A6DD7">
        <w:t xml:space="preserve"> will provide task lead names and contact information</w:t>
      </w:r>
      <w:r>
        <w:t>.</w:t>
      </w:r>
      <w:r w:rsidR="007234CA">
        <w:t xml:space="preserve"> We expect a high response rate among task leads (90%) since evaluation activities are </w:t>
      </w:r>
      <w:r w:rsidR="0054039A">
        <w:t>within the scope of the QIN-QIO</w:t>
      </w:r>
      <w:r w:rsidR="007234CA">
        <w:t xml:space="preserve"> contract activities, although </w:t>
      </w:r>
      <w:r w:rsidR="0054039A">
        <w:t>we will emphasize that participation</w:t>
      </w:r>
      <w:r w:rsidR="003A6DD7">
        <w:t xml:space="preserve"> in the interviews and focus groups</w:t>
      </w:r>
      <w:r w:rsidR="0054039A">
        <w:t xml:space="preserve"> is</w:t>
      </w:r>
      <w:r w:rsidR="007234CA">
        <w:t xml:space="preserve"> voluntary</w:t>
      </w:r>
      <w:r w:rsidR="0054039A">
        <w:t xml:space="preserve"> and </w:t>
      </w:r>
      <w:r w:rsidR="003A6DD7">
        <w:t xml:space="preserve">that all </w:t>
      </w:r>
      <w:r w:rsidR="0054039A">
        <w:t>responses will remain anonymous</w:t>
      </w:r>
      <w:r w:rsidR="007234CA">
        <w:t>.</w:t>
      </w:r>
    </w:p>
    <w:p w14:paraId="11A3BD15" w14:textId="77777777" w:rsidR="0065088C" w:rsidRDefault="0065088C" w:rsidP="00C95E7E">
      <w:pPr>
        <w:ind w:left="720"/>
      </w:pPr>
      <w:r>
        <w:t xml:space="preserve">For </w:t>
      </w:r>
      <w:r w:rsidR="0054039A">
        <w:t>n</w:t>
      </w:r>
      <w:r>
        <w:t xml:space="preserve">ursing </w:t>
      </w:r>
      <w:r w:rsidR="0054039A">
        <w:t>h</w:t>
      </w:r>
      <w:r>
        <w:t xml:space="preserve">ome </w:t>
      </w:r>
      <w:r w:rsidR="0054039A">
        <w:t>p</w:t>
      </w:r>
      <w:r>
        <w:t xml:space="preserve">eer </w:t>
      </w:r>
      <w:r w:rsidR="0054039A">
        <w:t>c</w:t>
      </w:r>
      <w:r>
        <w:t>oaches, w</w:t>
      </w:r>
      <w:r w:rsidR="00791874">
        <w:t xml:space="preserve">e will conduct </w:t>
      </w:r>
      <w:r w:rsidR="003A6DD7">
        <w:t>purposive and respondent-based</w:t>
      </w:r>
      <w:r w:rsidR="00791874">
        <w:t xml:space="preserve"> sampling based on </w:t>
      </w:r>
      <w:r w:rsidR="00AD05F6">
        <w:t>recommendations</w:t>
      </w:r>
      <w:r w:rsidR="00791874">
        <w:t xml:space="preserve"> from nursing home </w:t>
      </w:r>
      <w:r w:rsidR="00AD05F6">
        <w:t>administrators</w:t>
      </w:r>
      <w:r w:rsidR="00791874">
        <w:t xml:space="preserve"> and QIN-QIO task leads to identify peer coaches to participate in interviews. </w:t>
      </w:r>
      <w:r w:rsidR="00AD05F6">
        <w:t xml:space="preserve">Peer coaches </w:t>
      </w:r>
      <w:r w:rsidR="003A6DD7">
        <w:t xml:space="preserve">include nursing home staff, community members, residents/beneficiaries, and family members </w:t>
      </w:r>
      <w:r w:rsidR="00AD05F6">
        <w:t>from high-performing nursing home</w:t>
      </w:r>
      <w:r w:rsidR="003A6DD7">
        <w:t>s</w:t>
      </w:r>
      <w:r w:rsidR="00AD05F6">
        <w:t>.</w:t>
      </w:r>
      <w:r w:rsidR="003A6DD7">
        <w:t xml:space="preserve"> We expect a lower response rate than for administrators given the difficulty in interviewing community members and beneficiaries.</w:t>
      </w:r>
    </w:p>
    <w:p w14:paraId="519992AA" w14:textId="77777777" w:rsidR="0005704C" w:rsidRDefault="0005704C" w:rsidP="00D74FF4">
      <w:pPr>
        <w:pStyle w:val="Heading2"/>
      </w:pPr>
      <w:bookmarkStart w:id="16" w:name="_Toc433627276"/>
      <w:bookmarkStart w:id="17" w:name="_Toc429570397"/>
      <w:bookmarkStart w:id="18" w:name="_Toc410331708"/>
      <w:bookmarkStart w:id="19" w:name="_Toc410331602"/>
      <w:r w:rsidRPr="00151273">
        <w:t>Procedures for the Collection of Information</w:t>
      </w:r>
      <w:bookmarkEnd w:id="16"/>
      <w:bookmarkEnd w:id="17"/>
      <w:bookmarkEnd w:id="18"/>
      <w:bookmarkEnd w:id="19"/>
    </w:p>
    <w:p w14:paraId="0B9C5AE7" w14:textId="77777777" w:rsidR="0005704C" w:rsidRDefault="0005704C" w:rsidP="00D74FF4">
      <w:pPr>
        <w:pStyle w:val="Heading3"/>
      </w:pPr>
      <w:r w:rsidRPr="00151273">
        <w:t>Statistical Methodology for Stratification</w:t>
      </w:r>
      <w:r>
        <w:t xml:space="preserve"> and </w:t>
      </w:r>
      <w:r w:rsidRPr="00151273">
        <w:t>Sample Selection</w:t>
      </w:r>
    </w:p>
    <w:p w14:paraId="08580CEA" w14:textId="77777777" w:rsidR="00A61E0C" w:rsidRPr="00300EB3" w:rsidRDefault="00A61E0C" w:rsidP="00C95E7E">
      <w:pPr>
        <w:pStyle w:val="Heading4"/>
      </w:pPr>
      <w:r>
        <w:t>Nursing Home Administrator Survey</w:t>
      </w:r>
    </w:p>
    <w:p w14:paraId="34F41AF1" w14:textId="77777777" w:rsidR="0005704C" w:rsidRDefault="0005704C" w:rsidP="0005704C">
      <w:pPr>
        <w:ind w:left="720"/>
      </w:pPr>
      <w:r>
        <w:t xml:space="preserve">We will conduct stratified random sampling within the two populations: administrators at nursing homes participating in the QIN-QIO program and administrators at nursing homes not participating in the QIN-QIO program (see </w:t>
      </w:r>
      <w:r w:rsidR="00FB72AA">
        <w:rPr>
          <w:highlight w:val="yellow"/>
        </w:rPr>
        <w:fldChar w:fldCharType="begin"/>
      </w:r>
      <w:r w:rsidR="00FB72AA">
        <w:instrText xml:space="preserve"> REF _Ref449625303 \h </w:instrText>
      </w:r>
      <w:r w:rsidR="00FB72AA">
        <w:rPr>
          <w:highlight w:val="yellow"/>
        </w:rPr>
      </w:r>
      <w:r w:rsidR="00FB72AA">
        <w:rPr>
          <w:highlight w:val="yellow"/>
        </w:rPr>
        <w:fldChar w:fldCharType="separate"/>
      </w:r>
      <w:r w:rsidR="00146A48">
        <w:t xml:space="preserve">Table </w:t>
      </w:r>
      <w:r w:rsidR="00146A48">
        <w:rPr>
          <w:noProof/>
        </w:rPr>
        <w:t>3</w:t>
      </w:r>
      <w:r w:rsidR="00FB72AA">
        <w:rPr>
          <w:highlight w:val="yellow"/>
        </w:rPr>
        <w:fldChar w:fldCharType="end"/>
      </w:r>
      <w:r>
        <w:t xml:space="preserve"> below).</w:t>
      </w:r>
    </w:p>
    <w:p w14:paraId="13BA504B" w14:textId="77777777" w:rsidR="0005704C" w:rsidRPr="00AA4366" w:rsidRDefault="0005704C" w:rsidP="0005704C">
      <w:pPr>
        <w:pStyle w:val="Caption"/>
      </w:pPr>
      <w:bookmarkStart w:id="20" w:name="_Ref449625303"/>
      <w:r>
        <w:t xml:space="preserve">Table </w:t>
      </w:r>
      <w:r w:rsidR="00CD2F3F">
        <w:fldChar w:fldCharType="begin"/>
      </w:r>
      <w:r w:rsidR="00CD2F3F">
        <w:instrText xml:space="preserve"> SEQ Table \* ARABIC </w:instrText>
      </w:r>
      <w:r w:rsidR="00CD2F3F">
        <w:fldChar w:fldCharType="separate"/>
      </w:r>
      <w:r w:rsidR="00146A48">
        <w:rPr>
          <w:noProof/>
        </w:rPr>
        <w:t>3</w:t>
      </w:r>
      <w:r w:rsidR="00CD2F3F">
        <w:rPr>
          <w:noProof/>
        </w:rPr>
        <w:fldChar w:fldCharType="end"/>
      </w:r>
      <w:bookmarkEnd w:id="20"/>
      <w:r w:rsidR="00596ADC">
        <w:t>:</w:t>
      </w:r>
      <w:r>
        <w:t xml:space="preserve"> </w:t>
      </w:r>
      <w:r w:rsidRPr="00AA4366">
        <w:t>Sampling Plan and Sample Size for Surveys</w:t>
      </w:r>
    </w:p>
    <w:tbl>
      <w:tblPr>
        <w:tblW w:w="85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600"/>
        <w:gridCol w:w="1750"/>
      </w:tblGrid>
      <w:tr w:rsidR="0005704C" w:rsidRPr="0005704C" w14:paraId="4DF78077" w14:textId="77777777" w:rsidTr="001A42C2">
        <w:trPr>
          <w:cantSplit/>
          <w:tblHeader/>
        </w:trPr>
        <w:tc>
          <w:tcPr>
            <w:tcW w:w="31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6DA6FE52" w14:textId="77777777" w:rsidR="0005704C" w:rsidRPr="0005704C" w:rsidRDefault="001A42C2" w:rsidP="00FB72AA">
            <w:pPr>
              <w:keepNext/>
              <w:spacing w:before="60" w:after="60"/>
              <w:jc w:val="center"/>
              <w:rPr>
                <w:b/>
                <w:sz w:val="22"/>
                <w:lang w:eastAsia="zh-TW"/>
              </w:rPr>
            </w:pPr>
            <w:r>
              <w:rPr>
                <w:b/>
                <w:sz w:val="22"/>
                <w:lang w:eastAsia="zh-TW"/>
              </w:rPr>
              <w:t>Respondent C</w:t>
            </w:r>
            <w:r w:rsidR="0005704C" w:rsidRPr="0005704C">
              <w:rPr>
                <w:b/>
                <w:sz w:val="22"/>
                <w:lang w:eastAsia="zh-TW"/>
              </w:rPr>
              <w:t>ategory</w:t>
            </w:r>
          </w:p>
        </w:tc>
        <w:tc>
          <w:tcPr>
            <w:tcW w:w="36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3A778F05" w14:textId="77777777" w:rsidR="0005704C" w:rsidRPr="0005704C" w:rsidRDefault="0005704C" w:rsidP="00FB72AA">
            <w:pPr>
              <w:keepNext/>
              <w:spacing w:before="60" w:after="60"/>
              <w:jc w:val="center"/>
              <w:rPr>
                <w:b/>
                <w:sz w:val="22"/>
                <w:lang w:eastAsia="zh-TW"/>
              </w:rPr>
            </w:pPr>
            <w:r w:rsidRPr="0005704C">
              <w:rPr>
                <w:b/>
                <w:sz w:val="22"/>
                <w:lang w:eastAsia="zh-TW"/>
              </w:rPr>
              <w:t>Sampling Plan</w:t>
            </w:r>
          </w:p>
        </w:tc>
        <w:tc>
          <w:tcPr>
            <w:tcW w:w="17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17B676C7" w14:textId="77777777" w:rsidR="0005704C" w:rsidRPr="0005704C" w:rsidRDefault="0005704C" w:rsidP="00FB72AA">
            <w:pPr>
              <w:keepNext/>
              <w:spacing w:before="60" w:after="60"/>
              <w:jc w:val="center"/>
              <w:rPr>
                <w:b/>
                <w:sz w:val="22"/>
                <w:lang w:eastAsia="zh-TW"/>
              </w:rPr>
            </w:pPr>
            <w:r w:rsidRPr="0005704C">
              <w:rPr>
                <w:b/>
                <w:sz w:val="22"/>
                <w:lang w:eastAsia="zh-TW"/>
              </w:rPr>
              <w:t>Sample Size</w:t>
            </w:r>
          </w:p>
        </w:tc>
      </w:tr>
      <w:tr w:rsidR="0005704C" w:rsidRPr="0005704C" w14:paraId="0E333BEF" w14:textId="77777777" w:rsidTr="001A42C2">
        <w:trPr>
          <w:cantSplit/>
        </w:trPr>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2B083CB5" w14:textId="77777777" w:rsidR="0005704C" w:rsidRPr="0005704C" w:rsidRDefault="0005704C" w:rsidP="0005704C">
            <w:pPr>
              <w:spacing w:before="60" w:after="60"/>
              <w:rPr>
                <w:sz w:val="22"/>
                <w:lang w:eastAsia="zh-TW"/>
              </w:rPr>
            </w:pPr>
            <w:r w:rsidRPr="0005704C">
              <w:rPr>
                <w:sz w:val="22"/>
                <w:lang w:eastAsia="zh-TW"/>
              </w:rPr>
              <w:t>Nursing Home Administrators participating in the QI</w:t>
            </w:r>
            <w:r w:rsidR="00123A4E">
              <w:rPr>
                <w:sz w:val="22"/>
                <w:lang w:eastAsia="zh-TW"/>
              </w:rPr>
              <w:t>N-QI</w:t>
            </w:r>
            <w:r w:rsidRPr="0005704C">
              <w:rPr>
                <w:sz w:val="22"/>
                <w:lang w:eastAsia="zh-TW"/>
              </w:rPr>
              <w:t>O program</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760DBFAC" w14:textId="77777777" w:rsidR="0005704C" w:rsidRPr="0005704C" w:rsidRDefault="0005704C" w:rsidP="00123A4E">
            <w:pPr>
              <w:spacing w:before="60" w:after="60"/>
              <w:rPr>
                <w:sz w:val="22"/>
                <w:lang w:eastAsia="zh-TW"/>
              </w:rPr>
            </w:pPr>
            <w:r w:rsidRPr="0005704C">
              <w:rPr>
                <w:sz w:val="22"/>
                <w:lang w:eastAsia="zh-TW"/>
              </w:rPr>
              <w:t>Strata by QI</w:t>
            </w:r>
            <w:r w:rsidR="00123A4E">
              <w:rPr>
                <w:sz w:val="22"/>
                <w:lang w:eastAsia="zh-TW"/>
              </w:rPr>
              <w:t>N-QIO</w:t>
            </w:r>
            <w:r w:rsidRPr="0005704C">
              <w:rPr>
                <w:sz w:val="22"/>
                <w:lang w:eastAsia="zh-TW"/>
              </w:rPr>
              <w:t xml:space="preserve"> region with proportionate allocation to the number of Nursing Homes; Secondary strata by star rating</w:t>
            </w:r>
          </w:p>
        </w:tc>
        <w:tc>
          <w:tcPr>
            <w:tcW w:w="1750" w:type="dxa"/>
            <w:tcBorders>
              <w:top w:val="single" w:sz="4" w:space="0" w:color="auto"/>
              <w:left w:val="single" w:sz="4" w:space="0" w:color="auto"/>
              <w:bottom w:val="single" w:sz="4" w:space="0" w:color="auto"/>
              <w:right w:val="single" w:sz="4" w:space="0" w:color="auto"/>
            </w:tcBorders>
            <w:shd w:val="clear" w:color="auto" w:fill="auto"/>
            <w:hideMark/>
          </w:tcPr>
          <w:p w14:paraId="087F141C" w14:textId="77777777" w:rsidR="0005704C" w:rsidRPr="0005704C" w:rsidRDefault="0005704C" w:rsidP="00FB72AA">
            <w:pPr>
              <w:spacing w:before="60" w:after="60"/>
              <w:jc w:val="center"/>
              <w:rPr>
                <w:sz w:val="22"/>
                <w:lang w:eastAsia="zh-TW"/>
              </w:rPr>
            </w:pPr>
            <w:r w:rsidRPr="0005704C">
              <w:rPr>
                <w:sz w:val="22"/>
                <w:lang w:eastAsia="zh-TW"/>
              </w:rPr>
              <w:t>400</w:t>
            </w:r>
          </w:p>
        </w:tc>
      </w:tr>
      <w:tr w:rsidR="0005704C" w:rsidRPr="0005704C" w14:paraId="36E85F42" w14:textId="77777777" w:rsidTr="001A42C2">
        <w:trPr>
          <w:cantSplit/>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5E8EF76B" w14:textId="77777777" w:rsidR="0005704C" w:rsidRPr="0005704C" w:rsidRDefault="0005704C" w:rsidP="0005704C">
            <w:pPr>
              <w:spacing w:before="60" w:after="60"/>
              <w:rPr>
                <w:sz w:val="22"/>
                <w:lang w:eastAsia="zh-TW"/>
              </w:rPr>
            </w:pPr>
            <w:r w:rsidRPr="0005704C">
              <w:rPr>
                <w:sz w:val="22"/>
                <w:lang w:eastAsia="zh-TW"/>
              </w:rPr>
              <w:t>Nursing Home Administrators not participating in the QI</w:t>
            </w:r>
            <w:r w:rsidR="00123A4E">
              <w:rPr>
                <w:sz w:val="22"/>
                <w:lang w:eastAsia="zh-TW"/>
              </w:rPr>
              <w:t>N-QI</w:t>
            </w:r>
            <w:r w:rsidRPr="0005704C">
              <w:rPr>
                <w:sz w:val="22"/>
                <w:lang w:eastAsia="zh-TW"/>
              </w:rPr>
              <w:t>O program</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DB6BB88" w14:textId="77777777" w:rsidR="0005704C" w:rsidRPr="0005704C" w:rsidRDefault="0005704C" w:rsidP="0005704C">
            <w:pPr>
              <w:spacing w:before="60" w:after="60"/>
              <w:rPr>
                <w:sz w:val="22"/>
                <w:lang w:eastAsia="zh-TW"/>
              </w:rPr>
            </w:pPr>
            <w:r w:rsidRPr="0005704C">
              <w:rPr>
                <w:sz w:val="22"/>
                <w:lang w:eastAsia="zh-TW"/>
              </w:rPr>
              <w:t xml:space="preserve">Strata by </w:t>
            </w:r>
            <w:r w:rsidR="00123A4E" w:rsidRPr="0005704C">
              <w:rPr>
                <w:sz w:val="22"/>
                <w:lang w:eastAsia="zh-TW"/>
              </w:rPr>
              <w:t>QI</w:t>
            </w:r>
            <w:r w:rsidR="00123A4E">
              <w:rPr>
                <w:sz w:val="22"/>
                <w:lang w:eastAsia="zh-TW"/>
              </w:rPr>
              <w:t>N-QIO</w:t>
            </w:r>
            <w:r w:rsidR="00123A4E" w:rsidRPr="0005704C">
              <w:rPr>
                <w:sz w:val="22"/>
                <w:lang w:eastAsia="zh-TW"/>
              </w:rPr>
              <w:t xml:space="preserve"> </w:t>
            </w:r>
            <w:r w:rsidRPr="0005704C">
              <w:rPr>
                <w:sz w:val="22"/>
                <w:lang w:eastAsia="zh-TW"/>
              </w:rPr>
              <w:t>region with proportionate allocation to the number of Nursing Homes; Secondary strata by star rating</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56452D51" w14:textId="77777777" w:rsidR="0005704C" w:rsidRPr="0005704C" w:rsidDel="00EC63D0" w:rsidRDefault="0005704C" w:rsidP="00FB72AA">
            <w:pPr>
              <w:spacing w:before="60" w:after="60"/>
              <w:jc w:val="center"/>
              <w:rPr>
                <w:sz w:val="22"/>
                <w:lang w:eastAsia="zh-TW"/>
              </w:rPr>
            </w:pPr>
            <w:r w:rsidRPr="0005704C">
              <w:rPr>
                <w:sz w:val="22"/>
                <w:lang w:eastAsia="zh-TW"/>
              </w:rPr>
              <w:t>400</w:t>
            </w:r>
          </w:p>
        </w:tc>
      </w:tr>
    </w:tbl>
    <w:p w14:paraId="0B9B30DC" w14:textId="77777777" w:rsidR="0005704C" w:rsidRDefault="0005704C" w:rsidP="0005704C">
      <w:pPr>
        <w:ind w:left="720"/>
      </w:pPr>
    </w:p>
    <w:p w14:paraId="5BAE1F25" w14:textId="77777777" w:rsidR="0005704C" w:rsidRDefault="0005704C" w:rsidP="0005704C">
      <w:pPr>
        <w:ind w:left="720"/>
      </w:pPr>
      <w:r>
        <w:t xml:space="preserve">Within each group, stratification </w:t>
      </w:r>
      <w:proofErr w:type="gramStart"/>
      <w:r>
        <w:t>will be employed</w:t>
      </w:r>
      <w:proofErr w:type="gramEnd"/>
      <w:r>
        <w:t xml:space="preserve"> as detailed in section 1a above (see </w:t>
      </w:r>
      <w:r w:rsidR="00FB72AA">
        <w:rPr>
          <w:szCs w:val="18"/>
        </w:rPr>
        <w:fldChar w:fldCharType="begin"/>
      </w:r>
      <w:r w:rsidR="00FB72AA">
        <w:rPr>
          <w:szCs w:val="18"/>
        </w:rPr>
        <w:instrText xml:space="preserve"> REF _Ref449625004 \h </w:instrText>
      </w:r>
      <w:r w:rsidR="00FB72AA">
        <w:rPr>
          <w:szCs w:val="18"/>
        </w:rPr>
      </w:r>
      <w:r w:rsidR="00FB72AA">
        <w:rPr>
          <w:szCs w:val="18"/>
        </w:rPr>
        <w:fldChar w:fldCharType="separate"/>
      </w:r>
      <w:r w:rsidR="00146A48">
        <w:t xml:space="preserve">Table </w:t>
      </w:r>
      <w:r w:rsidR="00146A48">
        <w:rPr>
          <w:noProof/>
        </w:rPr>
        <w:t>1</w:t>
      </w:r>
      <w:r w:rsidR="00FB72AA">
        <w:rPr>
          <w:szCs w:val="18"/>
        </w:rPr>
        <w:fldChar w:fldCharType="end"/>
      </w:r>
      <w:r w:rsidR="00FB72AA" w:rsidRPr="004A1DB4">
        <w:rPr>
          <w:szCs w:val="18"/>
        </w:rPr>
        <w:t xml:space="preserve"> </w:t>
      </w:r>
      <w:r w:rsidR="00FB72AA">
        <w:rPr>
          <w:szCs w:val="18"/>
        </w:rPr>
        <w:t xml:space="preserve">and </w:t>
      </w:r>
      <w:r w:rsidR="00FB72AA">
        <w:rPr>
          <w:szCs w:val="18"/>
        </w:rPr>
        <w:fldChar w:fldCharType="begin"/>
      </w:r>
      <w:r w:rsidR="00FB72AA">
        <w:rPr>
          <w:szCs w:val="18"/>
        </w:rPr>
        <w:instrText xml:space="preserve"> REF _Ref449625011 \h </w:instrText>
      </w:r>
      <w:r w:rsidR="00FB72AA">
        <w:rPr>
          <w:szCs w:val="18"/>
        </w:rPr>
      </w:r>
      <w:r w:rsidR="00FB72AA">
        <w:rPr>
          <w:szCs w:val="18"/>
        </w:rPr>
        <w:fldChar w:fldCharType="separate"/>
      </w:r>
      <w:r w:rsidR="00146A48">
        <w:t xml:space="preserve">Table </w:t>
      </w:r>
      <w:r w:rsidR="00146A48">
        <w:rPr>
          <w:noProof/>
        </w:rPr>
        <w:t>2</w:t>
      </w:r>
      <w:r w:rsidR="00FB72AA">
        <w:rPr>
          <w:szCs w:val="18"/>
        </w:rPr>
        <w:fldChar w:fldCharType="end"/>
      </w:r>
      <w:r w:rsidR="00FB72AA">
        <w:rPr>
          <w:szCs w:val="18"/>
        </w:rPr>
        <w:t xml:space="preserve"> </w:t>
      </w:r>
      <w:r>
        <w:t xml:space="preserve">for the projected sample). A systematic random selection </w:t>
      </w:r>
      <w:proofErr w:type="gramStart"/>
      <w:r>
        <w:t>will be employed</w:t>
      </w:r>
      <w:proofErr w:type="gramEnd"/>
      <w:r>
        <w:t xml:space="preserve"> within each stratum where the nursing homes are sorted randomly, a random starting record is selected, and the nursing homes are selected a</w:t>
      </w:r>
      <w:r w:rsidR="009118F9">
        <w:t>t a</w:t>
      </w:r>
      <w:r>
        <w:t xml:space="preserve"> fixed interval after the starting record.</w:t>
      </w:r>
    </w:p>
    <w:p w14:paraId="41EDA343" w14:textId="77777777" w:rsidR="00EF3135" w:rsidRDefault="00EF3135" w:rsidP="00C95E7E">
      <w:pPr>
        <w:pStyle w:val="Heading4"/>
      </w:pPr>
      <w:r>
        <w:t>Interviews and Focus Groups</w:t>
      </w:r>
    </w:p>
    <w:p w14:paraId="549D0C7E" w14:textId="77777777" w:rsidR="00EF3135" w:rsidRPr="00300EB3" w:rsidRDefault="00EF3135" w:rsidP="00EF3135">
      <w:pPr>
        <w:ind w:left="720"/>
      </w:pPr>
      <w:r>
        <w:t xml:space="preserve">Due to the qualitative nature of the data collection, the interviews and focus groups will not use any statistical methods for stratification and sampling selection. </w:t>
      </w:r>
    </w:p>
    <w:p w14:paraId="27F51EBC" w14:textId="77777777" w:rsidR="00EF3135" w:rsidRPr="0014021E" w:rsidRDefault="00EF3135" w:rsidP="0005704C">
      <w:pPr>
        <w:ind w:left="720"/>
      </w:pPr>
    </w:p>
    <w:p w14:paraId="01A8C76D" w14:textId="77777777" w:rsidR="0005704C" w:rsidRPr="00151273" w:rsidRDefault="0005704C" w:rsidP="00D74FF4">
      <w:pPr>
        <w:pStyle w:val="Heading3"/>
      </w:pPr>
      <w:r w:rsidRPr="00151273">
        <w:lastRenderedPageBreak/>
        <w:t>Estimation Procedure</w:t>
      </w:r>
    </w:p>
    <w:p w14:paraId="42F74BC2" w14:textId="77777777" w:rsidR="003A6DD7" w:rsidRPr="00300EB3" w:rsidRDefault="003A6DD7" w:rsidP="00C95E7E">
      <w:pPr>
        <w:pStyle w:val="Heading4"/>
      </w:pPr>
      <w:r>
        <w:t>Nursing Home Administrator Survey</w:t>
      </w:r>
    </w:p>
    <w:p w14:paraId="24221CEF" w14:textId="760B07D8" w:rsidR="0005704C" w:rsidRDefault="00875A0A" w:rsidP="0005704C">
      <w:pPr>
        <w:ind w:left="720"/>
      </w:pPr>
      <w:r>
        <w:t xml:space="preserve">We will assess </w:t>
      </w:r>
      <w:r w:rsidR="0005704C">
        <w:t xml:space="preserve">the </w:t>
      </w:r>
      <w:r w:rsidR="00123A4E" w:rsidRPr="0005704C">
        <w:rPr>
          <w:sz w:val="22"/>
          <w:lang w:eastAsia="zh-TW"/>
        </w:rPr>
        <w:t>QI</w:t>
      </w:r>
      <w:r w:rsidR="00123A4E">
        <w:rPr>
          <w:sz w:val="22"/>
          <w:lang w:eastAsia="zh-TW"/>
        </w:rPr>
        <w:t xml:space="preserve">N-QIO’s </w:t>
      </w:r>
      <w:r w:rsidR="0005704C">
        <w:t xml:space="preserve">impact on </w:t>
      </w:r>
      <w:r w:rsidR="001579B6">
        <w:t xml:space="preserve">disseminating quality assurance and performance improvement (QAPI) approaches, </w:t>
      </w:r>
      <w:r w:rsidR="0005704C">
        <w:t xml:space="preserve">reducing </w:t>
      </w:r>
      <w:r w:rsidR="009118F9">
        <w:t>Healthcare Associated Conditions (</w:t>
      </w:r>
      <w:r w:rsidR="0005704C">
        <w:t>HACs</w:t>
      </w:r>
      <w:r w:rsidR="009118F9">
        <w:t>)</w:t>
      </w:r>
      <w:r w:rsidR="0005704C">
        <w:t xml:space="preserve"> in nursing homes</w:t>
      </w:r>
      <w:r w:rsidR="001579B6">
        <w:t xml:space="preserve">, </w:t>
      </w:r>
      <w:r w:rsidR="009D0F69">
        <w:t xml:space="preserve">and </w:t>
      </w:r>
      <w:r w:rsidR="001579B6">
        <w:t>clarifying attribution of the QIN-QIO program to the observed outcomes</w:t>
      </w:r>
      <w:r w:rsidR="00B23DE8">
        <w:t xml:space="preserve">. </w:t>
      </w:r>
      <w:r w:rsidR="009D0F69">
        <w:t>We will also</w:t>
      </w:r>
      <w:r w:rsidR="001579B6">
        <w:t xml:space="preserve"> document</w:t>
      </w:r>
      <w:r w:rsidR="003B7AC3">
        <w:t xml:space="preserve"> </w:t>
      </w:r>
      <w:r w:rsidR="001579B6">
        <w:t>the pervasiveness of NNHQCC strategies and resources in facilities that did not actively participate in the QIN-QIO program</w:t>
      </w:r>
      <w:r w:rsidR="0005704C">
        <w:t xml:space="preserve">. </w:t>
      </w:r>
      <w:r w:rsidR="0005704C" w:rsidRPr="00AA4366">
        <w:t xml:space="preserve">Our analysis </w:t>
      </w:r>
      <w:r w:rsidR="0005704C">
        <w:t>for</w:t>
      </w:r>
      <w:r w:rsidR="0005704C" w:rsidRPr="00AA4366">
        <w:t xml:space="preserve"> each evaluation question will begin with descriptive statistics including percentages and means in total and across subgroups. </w:t>
      </w:r>
      <w:r w:rsidR="0005704C">
        <w:t xml:space="preserve">Appropriate </w:t>
      </w:r>
      <w:r w:rsidR="0005704C" w:rsidRPr="00AA4366">
        <w:t xml:space="preserve">statistical tests will be employed including t-tests, chi-square </w:t>
      </w:r>
      <w:proofErr w:type="gramStart"/>
      <w:r w:rsidR="0005704C" w:rsidRPr="00AA4366">
        <w:t>tests</w:t>
      </w:r>
      <w:proofErr w:type="gramEnd"/>
      <w:r w:rsidR="0005704C" w:rsidRPr="00AA4366">
        <w:t xml:space="preserve"> and analyses of variance (ANOVA) depending on the evaluation question. To identify potential drivers of high performance among </w:t>
      </w:r>
      <w:r w:rsidR="00123A4E" w:rsidRPr="0005704C">
        <w:rPr>
          <w:sz w:val="22"/>
          <w:lang w:eastAsia="zh-TW"/>
        </w:rPr>
        <w:t>QI</w:t>
      </w:r>
      <w:r w:rsidR="00123A4E">
        <w:rPr>
          <w:sz w:val="22"/>
          <w:lang w:eastAsia="zh-TW"/>
        </w:rPr>
        <w:t>N-QIOs</w:t>
      </w:r>
      <w:r w:rsidR="0005704C" w:rsidRPr="00AA4366">
        <w:t xml:space="preserve">, analyses </w:t>
      </w:r>
      <w:r w:rsidR="0005704C">
        <w:t>will</w:t>
      </w:r>
      <w:r w:rsidR="0005704C" w:rsidRPr="00AA4366">
        <w:t xml:space="preserve"> include bi-variate analyses such as cross-tabulations, </w:t>
      </w:r>
      <w:proofErr w:type="gramStart"/>
      <w:r w:rsidR="0005704C" w:rsidRPr="00AA4366">
        <w:t>correlations</w:t>
      </w:r>
      <w:proofErr w:type="gramEnd"/>
      <w:r w:rsidR="0005704C" w:rsidRPr="00AA4366">
        <w:t xml:space="preserve"> or attributable effects. </w:t>
      </w:r>
      <w:r w:rsidR="00401A56">
        <w:t xml:space="preserve">The survey findings </w:t>
      </w:r>
      <w:proofErr w:type="gramStart"/>
      <w:r w:rsidR="00401A56">
        <w:t>will also be used</w:t>
      </w:r>
      <w:proofErr w:type="gramEnd"/>
      <w:r w:rsidR="00401A56">
        <w:t xml:space="preserve"> in </w:t>
      </w:r>
      <w:r w:rsidR="0005704C" w:rsidRPr="00AA4366">
        <w:t xml:space="preserve">multivariate modeling such as regression modeling, </w:t>
      </w:r>
      <w:r w:rsidR="0005704C">
        <w:t>i</w:t>
      </w:r>
      <w:r w:rsidR="0005704C" w:rsidRPr="00AA4366">
        <w:t>mpact analysis</w:t>
      </w:r>
      <w:r w:rsidR="0005704C">
        <w:t>, r</w:t>
      </w:r>
      <w:r w:rsidR="0005704C" w:rsidRPr="00AA4366">
        <w:t>eturn on investment</w:t>
      </w:r>
      <w:r w:rsidR="0005704C">
        <w:t xml:space="preserve"> (ROI), and </w:t>
      </w:r>
      <w:r w:rsidR="0005704C" w:rsidRPr="00AA4366">
        <w:t>analysis</w:t>
      </w:r>
      <w:r w:rsidR="006C1968">
        <w:t xml:space="preserve"> of </w:t>
      </w:r>
      <w:r w:rsidR="00401A56">
        <w:t xml:space="preserve">changed processes or outcomes that can be </w:t>
      </w:r>
      <w:r w:rsidR="006C1968">
        <w:t>att</w:t>
      </w:r>
      <w:r w:rsidR="00401A56">
        <w:t>ributed</w:t>
      </w:r>
      <w:r w:rsidR="006C1968">
        <w:t xml:space="preserve"> to </w:t>
      </w:r>
      <w:r w:rsidR="00401A56">
        <w:t xml:space="preserve">the </w:t>
      </w:r>
      <w:r w:rsidR="00123A4E" w:rsidRPr="0005704C">
        <w:rPr>
          <w:sz w:val="22"/>
          <w:lang w:eastAsia="zh-TW"/>
        </w:rPr>
        <w:t>QI</w:t>
      </w:r>
      <w:r w:rsidR="00123A4E">
        <w:rPr>
          <w:sz w:val="22"/>
          <w:lang w:eastAsia="zh-TW"/>
        </w:rPr>
        <w:t>N-QIO</w:t>
      </w:r>
      <w:r w:rsidR="00123A4E" w:rsidRPr="0005704C">
        <w:rPr>
          <w:sz w:val="22"/>
          <w:lang w:eastAsia="zh-TW"/>
        </w:rPr>
        <w:t xml:space="preserve"> </w:t>
      </w:r>
      <w:r w:rsidR="00401A56">
        <w:t>versus other quality improvement programs</w:t>
      </w:r>
      <w:r w:rsidR="0005704C">
        <w:t xml:space="preserve">. </w:t>
      </w:r>
      <w:r w:rsidR="0005704C" w:rsidRPr="00AA4366">
        <w:t xml:space="preserve">Our evaluation </w:t>
      </w:r>
      <w:r w:rsidR="0005704C">
        <w:t>analytics</w:t>
      </w:r>
      <w:r w:rsidR="0005704C" w:rsidRPr="00AA4366">
        <w:t xml:space="preserve"> will combine survey data with </w:t>
      </w:r>
      <w:r w:rsidR="0005704C">
        <w:t xml:space="preserve">qualitative and </w:t>
      </w:r>
      <w:r w:rsidR="0005704C" w:rsidRPr="00AA4366">
        <w:t>secondary data when possible, including information derived from CMS claims data.</w:t>
      </w:r>
    </w:p>
    <w:p w14:paraId="4BBCB864" w14:textId="77777777" w:rsidR="003A6DD7" w:rsidRDefault="003A6DD7" w:rsidP="00C95E7E">
      <w:pPr>
        <w:pStyle w:val="Heading4"/>
      </w:pPr>
      <w:r>
        <w:t>Interviews and Focus Groups</w:t>
      </w:r>
    </w:p>
    <w:p w14:paraId="21FABDAE" w14:textId="77777777" w:rsidR="003A6DD7" w:rsidRPr="00AA4366" w:rsidRDefault="003A6DD7" w:rsidP="00A61E0C">
      <w:pPr>
        <w:pStyle w:val="BodyTextFirstIndent"/>
        <w:ind w:left="720" w:firstLine="0"/>
      </w:pPr>
      <w:r w:rsidRPr="00A61E0C">
        <w:rPr>
          <w:rFonts w:asciiTheme="minorHAnsi" w:eastAsiaTheme="minorHAnsi" w:hAnsiTheme="minorHAnsi" w:cstheme="minorBidi"/>
          <w:szCs w:val="22"/>
        </w:rPr>
        <w:t>Following the transcription of interviews</w:t>
      </w:r>
      <w:r w:rsidR="00E3078C">
        <w:rPr>
          <w:rFonts w:asciiTheme="minorHAnsi" w:eastAsiaTheme="minorHAnsi" w:hAnsiTheme="minorHAnsi" w:cstheme="minorBidi"/>
          <w:szCs w:val="22"/>
        </w:rPr>
        <w:t xml:space="preserve"> and focus groups</w:t>
      </w:r>
      <w:r w:rsidRPr="00A61E0C">
        <w:rPr>
          <w:rFonts w:asciiTheme="minorHAnsi" w:eastAsiaTheme="minorHAnsi" w:hAnsiTheme="minorHAnsi" w:cstheme="minorBidi"/>
          <w:szCs w:val="22"/>
        </w:rPr>
        <w:t xml:space="preserve">, we will </w:t>
      </w:r>
      <w:r>
        <w:rPr>
          <w:rFonts w:asciiTheme="minorHAnsi" w:eastAsiaTheme="minorHAnsi" w:hAnsiTheme="minorHAnsi" w:cstheme="minorBidi"/>
          <w:szCs w:val="22"/>
        </w:rPr>
        <w:t>develop a</w:t>
      </w:r>
      <w:r w:rsidRPr="00A61E0C">
        <w:rPr>
          <w:rFonts w:asciiTheme="minorHAnsi" w:eastAsiaTheme="minorHAnsi" w:hAnsiTheme="minorHAnsi" w:cstheme="minorBidi"/>
          <w:szCs w:val="22"/>
        </w:rPr>
        <w:t xml:space="preserve"> coding structure </w:t>
      </w:r>
      <w:r>
        <w:rPr>
          <w:rFonts w:asciiTheme="minorHAnsi" w:eastAsiaTheme="minorHAnsi" w:hAnsiTheme="minorHAnsi" w:cstheme="minorBidi"/>
          <w:szCs w:val="22"/>
        </w:rPr>
        <w:t xml:space="preserve">and code the </w:t>
      </w:r>
      <w:r w:rsidRPr="00A61E0C">
        <w:rPr>
          <w:rFonts w:asciiTheme="minorHAnsi" w:eastAsiaTheme="minorHAnsi" w:hAnsiTheme="minorHAnsi" w:cstheme="minorBidi"/>
          <w:szCs w:val="22"/>
        </w:rPr>
        <w:t>information collected during the interviews</w:t>
      </w:r>
      <w:r w:rsidR="00E3078C">
        <w:rPr>
          <w:rFonts w:asciiTheme="minorHAnsi" w:eastAsiaTheme="minorHAnsi" w:hAnsiTheme="minorHAnsi" w:cstheme="minorBidi"/>
          <w:szCs w:val="22"/>
        </w:rPr>
        <w:t xml:space="preserve"> and focus groups</w:t>
      </w:r>
      <w:r w:rsidRPr="00A61E0C">
        <w:rPr>
          <w:rFonts w:asciiTheme="minorHAnsi" w:eastAsiaTheme="minorHAnsi" w:hAnsiTheme="minorHAnsi" w:cstheme="minorBidi"/>
          <w:szCs w:val="22"/>
        </w:rPr>
        <w:t xml:space="preserve">. Content and thematic analyses </w:t>
      </w:r>
      <w:proofErr w:type="gramStart"/>
      <w:r w:rsidRPr="00A61E0C">
        <w:rPr>
          <w:rFonts w:asciiTheme="minorHAnsi" w:eastAsiaTheme="minorHAnsi" w:hAnsiTheme="minorHAnsi" w:cstheme="minorBidi"/>
          <w:szCs w:val="22"/>
        </w:rPr>
        <w:t>will be used</w:t>
      </w:r>
      <w:proofErr w:type="gramEnd"/>
      <w:r w:rsidRPr="00A61E0C">
        <w:rPr>
          <w:rFonts w:asciiTheme="minorHAnsi" w:eastAsiaTheme="minorHAnsi" w:hAnsiTheme="minorHAnsi" w:cstheme="minorBidi"/>
          <w:szCs w:val="22"/>
        </w:rPr>
        <w:t xml:space="preserve"> to identify key findings and to make comparisons across interviewees’ responses. Our team will use </w:t>
      </w:r>
      <w:proofErr w:type="spellStart"/>
      <w:r w:rsidRPr="00A61E0C">
        <w:rPr>
          <w:rFonts w:asciiTheme="minorHAnsi" w:eastAsiaTheme="minorHAnsi" w:hAnsiTheme="minorHAnsi" w:cstheme="minorBidi"/>
          <w:szCs w:val="22"/>
        </w:rPr>
        <w:t>NVivo</w:t>
      </w:r>
      <w:proofErr w:type="spellEnd"/>
      <w:r w:rsidRPr="00A61E0C">
        <w:rPr>
          <w:rFonts w:asciiTheme="minorHAnsi" w:eastAsiaTheme="minorHAnsi" w:hAnsiTheme="minorHAnsi" w:cstheme="minorBidi"/>
          <w:szCs w:val="22"/>
        </w:rPr>
        <w:t xml:space="preserve">, a </w:t>
      </w:r>
      <w:hyperlink r:id="rId9" w:tooltip="Computer software" w:history="1">
        <w:r w:rsidRPr="00A61E0C">
          <w:rPr>
            <w:rFonts w:asciiTheme="minorHAnsi" w:eastAsiaTheme="minorHAnsi" w:hAnsiTheme="minorHAnsi" w:cstheme="minorBidi"/>
            <w:szCs w:val="22"/>
          </w:rPr>
          <w:t>computer software</w:t>
        </w:r>
      </w:hyperlink>
      <w:r w:rsidRPr="00A61E0C">
        <w:rPr>
          <w:rFonts w:asciiTheme="minorHAnsi" w:eastAsiaTheme="minorHAnsi" w:hAnsiTheme="minorHAnsi" w:cstheme="minorBidi"/>
          <w:szCs w:val="22"/>
        </w:rPr>
        <w:t xml:space="preserve"> package, for </w:t>
      </w:r>
      <w:hyperlink r:id="rId10" w:tooltip="Qualitative data analysis" w:history="1">
        <w:r w:rsidRPr="00A61E0C">
          <w:rPr>
            <w:rFonts w:asciiTheme="minorHAnsi" w:eastAsiaTheme="minorHAnsi" w:hAnsiTheme="minorHAnsi" w:cstheme="minorBidi"/>
            <w:szCs w:val="22"/>
          </w:rPr>
          <w:t>qualitative data management and analysis</w:t>
        </w:r>
      </w:hyperlink>
      <w:r w:rsidRPr="00A61E0C">
        <w:rPr>
          <w:rFonts w:asciiTheme="minorHAnsi" w:eastAsiaTheme="minorHAnsi" w:hAnsiTheme="minorHAnsi" w:cstheme="minorBidi"/>
          <w:szCs w:val="22"/>
        </w:rPr>
        <w:t xml:space="preserve">. </w:t>
      </w:r>
      <w:proofErr w:type="spellStart"/>
      <w:r w:rsidRPr="00A61E0C">
        <w:rPr>
          <w:rFonts w:asciiTheme="minorHAnsi" w:eastAsiaTheme="minorHAnsi" w:hAnsiTheme="minorHAnsi" w:cstheme="minorBidi"/>
          <w:szCs w:val="22"/>
        </w:rPr>
        <w:t>NVivo</w:t>
      </w:r>
      <w:proofErr w:type="spellEnd"/>
      <w:r w:rsidRPr="00A61E0C">
        <w:rPr>
          <w:rFonts w:asciiTheme="minorHAnsi" w:eastAsiaTheme="minorHAnsi" w:hAnsiTheme="minorHAnsi" w:cstheme="minorBidi"/>
          <w:szCs w:val="22"/>
        </w:rPr>
        <w:t xml:space="preserve"> qualitative software allows our researchers to examine all of the text that </w:t>
      </w:r>
      <w:proofErr w:type="gramStart"/>
      <w:r w:rsidRPr="00A61E0C">
        <w:rPr>
          <w:rFonts w:asciiTheme="minorHAnsi" w:eastAsiaTheme="minorHAnsi" w:hAnsiTheme="minorHAnsi" w:cstheme="minorBidi"/>
          <w:szCs w:val="22"/>
        </w:rPr>
        <w:t>is presented</w:t>
      </w:r>
      <w:proofErr w:type="gramEnd"/>
      <w:r w:rsidRPr="00A61E0C">
        <w:rPr>
          <w:rFonts w:asciiTheme="minorHAnsi" w:eastAsiaTheme="minorHAnsi" w:hAnsiTheme="minorHAnsi" w:cstheme="minorBidi"/>
          <w:szCs w:val="22"/>
        </w:rPr>
        <w:t xml:space="preserve"> in the transcripts, to identify excerpts that contain content meaningful</w:t>
      </w:r>
      <w:r w:rsidRPr="00EF3135">
        <w:rPr>
          <w:rFonts w:asciiTheme="minorHAnsi" w:eastAsiaTheme="minorHAnsi" w:hAnsiTheme="minorHAnsi" w:cstheme="minorBidi"/>
          <w:szCs w:val="22"/>
        </w:rPr>
        <w:t xml:space="preserve"> to the research questions, and </w:t>
      </w:r>
      <w:r w:rsidRPr="00A61E0C">
        <w:rPr>
          <w:rFonts w:asciiTheme="minorHAnsi" w:eastAsiaTheme="minorHAnsi" w:hAnsiTheme="minorHAnsi" w:cstheme="minorBidi"/>
          <w:szCs w:val="22"/>
        </w:rPr>
        <w:t xml:space="preserve">apply any number of appropriate code(s) to the excerpt. The themes uncovered via excerpting and coding become the framework that we use to understand how all themes and concepts </w:t>
      </w:r>
      <w:proofErr w:type="gramStart"/>
      <w:r w:rsidRPr="00A61E0C">
        <w:rPr>
          <w:rFonts w:asciiTheme="minorHAnsi" w:eastAsiaTheme="minorHAnsi" w:hAnsiTheme="minorHAnsi" w:cstheme="minorBidi"/>
          <w:szCs w:val="22"/>
        </w:rPr>
        <w:t>are related</w:t>
      </w:r>
      <w:proofErr w:type="gramEnd"/>
      <w:r w:rsidRPr="00A61E0C">
        <w:rPr>
          <w:rFonts w:asciiTheme="minorHAnsi" w:eastAsiaTheme="minorHAnsi" w:hAnsiTheme="minorHAnsi" w:cstheme="minorBidi"/>
          <w:szCs w:val="22"/>
        </w:rPr>
        <w:t xml:space="preserve"> to each other and to the overarching evaluation objectives. </w:t>
      </w:r>
    </w:p>
    <w:p w14:paraId="2B4B7E86" w14:textId="77777777" w:rsidR="0005704C" w:rsidRPr="00151273" w:rsidRDefault="0005704C" w:rsidP="00D74FF4">
      <w:pPr>
        <w:pStyle w:val="Heading3"/>
      </w:pPr>
      <w:r w:rsidRPr="00151273">
        <w:t>Degree of accuracy needed for the purpose described in the justification</w:t>
      </w:r>
    </w:p>
    <w:p w14:paraId="0A41AB02" w14:textId="77777777" w:rsidR="00EF3135" w:rsidRPr="00300EB3" w:rsidRDefault="00EF3135" w:rsidP="00C95E7E">
      <w:pPr>
        <w:pStyle w:val="Heading4"/>
      </w:pPr>
      <w:r>
        <w:t>Nursing Home Administrator Survey</w:t>
      </w:r>
    </w:p>
    <w:p w14:paraId="144A146A" w14:textId="2038E208" w:rsidR="003F3412" w:rsidRDefault="0005704C" w:rsidP="003F3412">
      <w:pPr>
        <w:pStyle w:val="CommentText"/>
        <w:ind w:left="720"/>
      </w:pPr>
      <w:r w:rsidRPr="00AA4366">
        <w:t xml:space="preserve">The margins of error with 95% level of confidence for these </w:t>
      </w:r>
      <w:r w:rsidR="00AA7E52">
        <w:t>survey responses</w:t>
      </w:r>
      <w:r w:rsidR="00AA7E52" w:rsidRPr="00AA4366">
        <w:t xml:space="preserve"> </w:t>
      </w:r>
      <w:r w:rsidRPr="00AA4366">
        <w:t xml:space="preserve">are between 2 and 5%. </w:t>
      </w:r>
      <w:r w:rsidR="003F3412">
        <w:t xml:space="preserve">The margin of error applies to a full sample response to a question with binary answer choices. </w:t>
      </w:r>
      <w:proofErr w:type="gramStart"/>
      <w:r w:rsidR="003F3412">
        <w:t xml:space="preserve">For instance, this would be the proportion of nursing homes that have undertaken quality improvement initiatives to reduce </w:t>
      </w:r>
      <w:r w:rsidR="003F3412" w:rsidRPr="003D6B4E">
        <w:t>the use of antipsychotics or achieve other assessed objectives</w:t>
      </w:r>
      <w:r w:rsidR="003F3412">
        <w:t>.</w:t>
      </w:r>
      <w:proofErr w:type="gramEnd"/>
      <w:r w:rsidR="003F3412">
        <w:t xml:space="preserve"> </w:t>
      </w:r>
    </w:p>
    <w:p w14:paraId="78FDF22F" w14:textId="77777777" w:rsidR="0005704C" w:rsidRDefault="00FB72AA" w:rsidP="0005704C">
      <w:pPr>
        <w:ind w:left="720"/>
      </w:pPr>
      <w:r>
        <w:fldChar w:fldCharType="begin"/>
      </w:r>
      <w:r>
        <w:instrText xml:space="preserve"> REF _Ref449625315 \h </w:instrText>
      </w:r>
      <w:r>
        <w:fldChar w:fldCharType="separate"/>
      </w:r>
      <w:r w:rsidR="00146A48">
        <w:t xml:space="preserve">Table </w:t>
      </w:r>
      <w:r w:rsidR="00146A48">
        <w:rPr>
          <w:noProof/>
        </w:rPr>
        <w:t>4</w:t>
      </w:r>
      <w:r>
        <w:fldChar w:fldCharType="end"/>
      </w:r>
      <w:r w:rsidR="0005704C" w:rsidRPr="00AA4366">
        <w:t xml:space="preserve"> shows the planned margins of error for different levels of estimates under these sample plans for the total sample of 800 and for the subsample of </w:t>
      </w:r>
      <w:r w:rsidR="0005704C">
        <w:t>participating and non-participating nursing home administrators</w:t>
      </w:r>
      <w:r w:rsidR="0005704C" w:rsidRPr="00AA4366">
        <w:t xml:space="preserve">. The Margins of Error for the recruited and not-recruited samples </w:t>
      </w:r>
      <w:proofErr w:type="gramStart"/>
      <w:r w:rsidR="0005704C" w:rsidRPr="00AA4366">
        <w:t>are corrected</w:t>
      </w:r>
      <w:proofErr w:type="gramEnd"/>
      <w:r w:rsidR="0005704C">
        <w:t xml:space="preserve"> for their finite populations. </w:t>
      </w:r>
      <w:r w:rsidR="0005704C" w:rsidRPr="00AA4366">
        <w:t xml:space="preserve">The maximum value is at 50% with a maximum margin of error of ± 4.90%. The margins of error do not take into </w:t>
      </w:r>
      <w:r w:rsidR="0005704C" w:rsidRPr="00AA4366">
        <w:lastRenderedPageBreak/>
        <w:t xml:space="preserve">account any correction for the design effect if weights </w:t>
      </w:r>
      <w:proofErr w:type="gramStart"/>
      <w:r w:rsidR="0005704C" w:rsidRPr="00AA4366">
        <w:t>are needed</w:t>
      </w:r>
      <w:proofErr w:type="gramEnd"/>
      <w:r w:rsidR="0005704C" w:rsidRPr="00AA4366">
        <w:t xml:space="preserve"> to correct for differential unit non-response.</w:t>
      </w:r>
    </w:p>
    <w:p w14:paraId="4140E072" w14:textId="77777777" w:rsidR="0005704C" w:rsidRPr="009D6F4C" w:rsidRDefault="0005704C" w:rsidP="0005704C">
      <w:pPr>
        <w:pStyle w:val="Caption"/>
      </w:pPr>
      <w:bookmarkStart w:id="21" w:name="_Ref449625315"/>
      <w:r>
        <w:t xml:space="preserve">Table </w:t>
      </w:r>
      <w:r w:rsidR="00CD2F3F">
        <w:fldChar w:fldCharType="begin"/>
      </w:r>
      <w:r w:rsidR="00CD2F3F">
        <w:instrText xml:space="preserve"> SEQ Table \* ARABIC </w:instrText>
      </w:r>
      <w:r w:rsidR="00CD2F3F">
        <w:fldChar w:fldCharType="separate"/>
      </w:r>
      <w:r w:rsidR="00146A48">
        <w:rPr>
          <w:noProof/>
        </w:rPr>
        <w:t>4</w:t>
      </w:r>
      <w:r w:rsidR="00CD2F3F">
        <w:rPr>
          <w:noProof/>
        </w:rPr>
        <w:fldChar w:fldCharType="end"/>
      </w:r>
      <w:bookmarkEnd w:id="21"/>
      <w:r w:rsidR="00596ADC">
        <w:t>:</w:t>
      </w:r>
      <w:r w:rsidRPr="009D6F4C">
        <w:t xml:space="preserve"> Sample Size, Estimated Response Percentage, and Margin of Error</w:t>
      </w:r>
    </w:p>
    <w:p w14:paraId="70EF5A7D" w14:textId="77777777" w:rsidR="004218F1" w:rsidRDefault="004218F1" w:rsidP="004218F1">
      <w:pPr>
        <w:pStyle w:val="Headerrowgraphic"/>
      </w:pPr>
      <w:r w:rsidRPr="004218F1">
        <w:rPr>
          <w:noProof/>
        </w:rPr>
        <w:drawing>
          <wp:inline distT="0" distB="0" distL="0" distR="0" wp14:anchorId="2FEBB28D" wp14:editId="002D9794">
            <wp:extent cx="5943600" cy="282102"/>
            <wp:effectExtent l="0" t="0" r="0" b="3810"/>
            <wp:docPr id="5" name="Picture 5" descr="&quot;&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7300"/>
                    <a:stretch/>
                  </pic:blipFill>
                  <pic:spPr bwMode="auto">
                    <a:xfrm>
                      <a:off x="0" y="0"/>
                      <a:ext cx="5943600" cy="282102"/>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827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
        <w:gridCol w:w="1350"/>
        <w:gridCol w:w="1103"/>
        <w:gridCol w:w="1365"/>
        <w:gridCol w:w="1103"/>
        <w:gridCol w:w="1365"/>
        <w:gridCol w:w="1004"/>
      </w:tblGrid>
      <w:tr w:rsidR="0005704C" w:rsidRPr="00FB72AA" w14:paraId="1274F9DA" w14:textId="77777777" w:rsidTr="00146A48">
        <w:trPr>
          <w:cantSplit/>
          <w:tblHeader/>
        </w:trPr>
        <w:tc>
          <w:tcPr>
            <w:tcW w:w="980" w:type="dxa"/>
            <w:shd w:val="clear" w:color="auto" w:fill="D0CECE" w:themeFill="background2" w:themeFillShade="E6"/>
            <w:vAlign w:val="bottom"/>
            <w:hideMark/>
          </w:tcPr>
          <w:p w14:paraId="296F6EE3" w14:textId="77777777" w:rsidR="0005704C" w:rsidRPr="00FB72AA" w:rsidRDefault="0005704C" w:rsidP="0005704C">
            <w:pPr>
              <w:spacing w:before="60" w:after="60"/>
              <w:jc w:val="center"/>
              <w:rPr>
                <w:rFonts w:asciiTheme="majorHAnsi" w:hAnsiTheme="majorHAnsi" w:cstheme="majorHAnsi"/>
                <w:b/>
                <w:sz w:val="22"/>
              </w:rPr>
            </w:pPr>
            <w:r w:rsidRPr="00FB72AA">
              <w:rPr>
                <w:rFonts w:asciiTheme="majorHAnsi" w:hAnsiTheme="majorHAnsi" w:cstheme="majorHAnsi"/>
                <w:b/>
                <w:sz w:val="22"/>
              </w:rPr>
              <w:t>Sample Size</w:t>
            </w:r>
          </w:p>
        </w:tc>
        <w:tc>
          <w:tcPr>
            <w:tcW w:w="1350" w:type="dxa"/>
            <w:shd w:val="clear" w:color="auto" w:fill="D0CECE" w:themeFill="background2" w:themeFillShade="E6"/>
            <w:vAlign w:val="bottom"/>
            <w:hideMark/>
          </w:tcPr>
          <w:p w14:paraId="32FDCF82" w14:textId="77777777" w:rsidR="0005704C" w:rsidRPr="00FB72AA" w:rsidRDefault="0005704C" w:rsidP="0005704C">
            <w:pPr>
              <w:spacing w:before="60" w:after="60"/>
              <w:jc w:val="center"/>
              <w:rPr>
                <w:rFonts w:asciiTheme="majorHAnsi" w:hAnsiTheme="majorHAnsi" w:cstheme="majorHAnsi"/>
                <w:b/>
                <w:sz w:val="22"/>
              </w:rPr>
            </w:pPr>
            <w:r w:rsidRPr="00FB72AA">
              <w:rPr>
                <w:rFonts w:asciiTheme="majorHAnsi" w:hAnsiTheme="majorHAnsi" w:cstheme="majorHAnsi"/>
                <w:b/>
                <w:sz w:val="22"/>
              </w:rPr>
              <w:t>Estimated Percentage</w:t>
            </w:r>
          </w:p>
        </w:tc>
        <w:tc>
          <w:tcPr>
            <w:tcW w:w="1103" w:type="dxa"/>
            <w:shd w:val="clear" w:color="auto" w:fill="D0CECE" w:themeFill="background2" w:themeFillShade="E6"/>
            <w:vAlign w:val="bottom"/>
            <w:hideMark/>
          </w:tcPr>
          <w:p w14:paraId="4E0E8E49" w14:textId="77777777" w:rsidR="0005704C" w:rsidRPr="00FB72AA" w:rsidRDefault="0005704C" w:rsidP="0005704C">
            <w:pPr>
              <w:spacing w:before="60" w:after="60"/>
              <w:jc w:val="center"/>
              <w:rPr>
                <w:rFonts w:asciiTheme="majorHAnsi" w:hAnsiTheme="majorHAnsi" w:cstheme="majorHAnsi"/>
                <w:b/>
                <w:sz w:val="22"/>
              </w:rPr>
            </w:pPr>
            <w:r w:rsidRPr="00FB72AA">
              <w:rPr>
                <w:rFonts w:asciiTheme="majorHAnsi" w:hAnsiTheme="majorHAnsi" w:cstheme="majorHAnsi"/>
                <w:b/>
                <w:sz w:val="22"/>
              </w:rPr>
              <w:t>Margin of Error</w:t>
            </w:r>
          </w:p>
        </w:tc>
        <w:tc>
          <w:tcPr>
            <w:tcW w:w="1365" w:type="dxa"/>
            <w:shd w:val="clear" w:color="auto" w:fill="D0CECE" w:themeFill="background2" w:themeFillShade="E6"/>
            <w:vAlign w:val="bottom"/>
            <w:hideMark/>
          </w:tcPr>
          <w:p w14:paraId="1F755B1E" w14:textId="77777777" w:rsidR="0005704C" w:rsidRPr="00FB72AA" w:rsidRDefault="0005704C" w:rsidP="0005704C">
            <w:pPr>
              <w:spacing w:before="60" w:after="60"/>
              <w:jc w:val="center"/>
              <w:rPr>
                <w:rFonts w:asciiTheme="majorHAnsi" w:hAnsiTheme="majorHAnsi" w:cstheme="majorHAnsi"/>
                <w:b/>
                <w:sz w:val="22"/>
              </w:rPr>
            </w:pPr>
            <w:r w:rsidRPr="00FB72AA">
              <w:rPr>
                <w:rFonts w:asciiTheme="majorHAnsi" w:hAnsiTheme="majorHAnsi" w:cstheme="majorHAnsi"/>
                <w:b/>
                <w:sz w:val="22"/>
              </w:rPr>
              <w:t>Recruited Nursing Homes</w:t>
            </w:r>
          </w:p>
        </w:tc>
        <w:tc>
          <w:tcPr>
            <w:tcW w:w="1103" w:type="dxa"/>
            <w:shd w:val="clear" w:color="auto" w:fill="D0CECE" w:themeFill="background2" w:themeFillShade="E6"/>
            <w:vAlign w:val="bottom"/>
            <w:hideMark/>
          </w:tcPr>
          <w:p w14:paraId="74354425" w14:textId="77777777" w:rsidR="0005704C" w:rsidRPr="00FB72AA" w:rsidRDefault="0005704C" w:rsidP="0005704C">
            <w:pPr>
              <w:spacing w:before="60" w:after="60"/>
              <w:jc w:val="center"/>
              <w:rPr>
                <w:rFonts w:asciiTheme="majorHAnsi" w:hAnsiTheme="majorHAnsi" w:cstheme="majorHAnsi"/>
                <w:b/>
                <w:sz w:val="22"/>
              </w:rPr>
            </w:pPr>
            <w:r w:rsidRPr="00FB72AA">
              <w:rPr>
                <w:rFonts w:asciiTheme="majorHAnsi" w:hAnsiTheme="majorHAnsi" w:cstheme="majorHAnsi"/>
                <w:b/>
                <w:sz w:val="22"/>
              </w:rPr>
              <w:t>Margin of Error</w:t>
            </w:r>
          </w:p>
        </w:tc>
        <w:tc>
          <w:tcPr>
            <w:tcW w:w="1365" w:type="dxa"/>
            <w:shd w:val="clear" w:color="auto" w:fill="D0CECE" w:themeFill="background2" w:themeFillShade="E6"/>
            <w:vAlign w:val="bottom"/>
            <w:hideMark/>
          </w:tcPr>
          <w:p w14:paraId="3A842CC3" w14:textId="77777777" w:rsidR="0005704C" w:rsidRPr="00FB72AA" w:rsidRDefault="0005704C" w:rsidP="0005704C">
            <w:pPr>
              <w:spacing w:before="60" w:after="60"/>
              <w:jc w:val="center"/>
              <w:rPr>
                <w:rFonts w:asciiTheme="majorHAnsi" w:hAnsiTheme="majorHAnsi" w:cstheme="majorHAnsi"/>
                <w:b/>
                <w:sz w:val="22"/>
              </w:rPr>
            </w:pPr>
            <w:r w:rsidRPr="00FB72AA">
              <w:rPr>
                <w:rFonts w:asciiTheme="majorHAnsi" w:hAnsiTheme="majorHAnsi" w:cstheme="majorHAnsi"/>
                <w:b/>
                <w:sz w:val="22"/>
              </w:rPr>
              <w:t>Non-Recruited Nursing Homes</w:t>
            </w:r>
          </w:p>
        </w:tc>
        <w:tc>
          <w:tcPr>
            <w:tcW w:w="1004" w:type="dxa"/>
            <w:shd w:val="clear" w:color="auto" w:fill="D0CECE" w:themeFill="background2" w:themeFillShade="E6"/>
            <w:vAlign w:val="bottom"/>
            <w:hideMark/>
          </w:tcPr>
          <w:p w14:paraId="7BB60F46" w14:textId="77777777" w:rsidR="0005704C" w:rsidRPr="00FB72AA" w:rsidRDefault="0005704C" w:rsidP="0005704C">
            <w:pPr>
              <w:spacing w:before="60" w:after="60"/>
              <w:jc w:val="center"/>
              <w:rPr>
                <w:rFonts w:asciiTheme="majorHAnsi" w:hAnsiTheme="majorHAnsi" w:cstheme="majorHAnsi"/>
                <w:b/>
                <w:sz w:val="22"/>
              </w:rPr>
            </w:pPr>
            <w:r w:rsidRPr="00FB72AA">
              <w:rPr>
                <w:rFonts w:asciiTheme="majorHAnsi" w:hAnsiTheme="majorHAnsi" w:cstheme="majorHAnsi"/>
                <w:b/>
                <w:sz w:val="22"/>
              </w:rPr>
              <w:t>Margin of Error</w:t>
            </w:r>
          </w:p>
        </w:tc>
      </w:tr>
      <w:tr w:rsidR="00FB72AA" w:rsidRPr="00FB72AA" w14:paraId="45B28D49" w14:textId="77777777" w:rsidTr="00146A48">
        <w:trPr>
          <w:cantSplit/>
        </w:trPr>
        <w:tc>
          <w:tcPr>
            <w:tcW w:w="980" w:type="dxa"/>
            <w:shd w:val="clear" w:color="auto" w:fill="auto"/>
            <w:noWrap/>
            <w:vAlign w:val="center"/>
            <w:hideMark/>
          </w:tcPr>
          <w:p w14:paraId="2CA1D8C5"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800</w:t>
            </w:r>
          </w:p>
        </w:tc>
        <w:tc>
          <w:tcPr>
            <w:tcW w:w="1350" w:type="dxa"/>
            <w:shd w:val="clear" w:color="auto" w:fill="auto"/>
            <w:noWrap/>
            <w:vAlign w:val="center"/>
            <w:hideMark/>
          </w:tcPr>
          <w:p w14:paraId="5805B65C"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10%</w:t>
            </w:r>
          </w:p>
        </w:tc>
        <w:tc>
          <w:tcPr>
            <w:tcW w:w="1103" w:type="dxa"/>
            <w:shd w:val="clear" w:color="auto" w:fill="auto"/>
            <w:noWrap/>
            <w:vAlign w:val="bottom"/>
            <w:hideMark/>
          </w:tcPr>
          <w:p w14:paraId="6E31DB7C"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2.02%</w:t>
            </w:r>
          </w:p>
        </w:tc>
        <w:tc>
          <w:tcPr>
            <w:tcW w:w="1365" w:type="dxa"/>
            <w:shd w:val="clear" w:color="auto" w:fill="auto"/>
            <w:noWrap/>
            <w:vAlign w:val="bottom"/>
            <w:hideMark/>
          </w:tcPr>
          <w:p w14:paraId="09BE0BC0"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103" w:type="dxa"/>
            <w:shd w:val="clear" w:color="auto" w:fill="auto"/>
            <w:noWrap/>
            <w:vAlign w:val="bottom"/>
            <w:hideMark/>
          </w:tcPr>
          <w:p w14:paraId="5AD58736"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2.86%</w:t>
            </w:r>
          </w:p>
        </w:tc>
        <w:tc>
          <w:tcPr>
            <w:tcW w:w="1365" w:type="dxa"/>
            <w:shd w:val="clear" w:color="auto" w:fill="auto"/>
            <w:noWrap/>
            <w:vAlign w:val="bottom"/>
            <w:hideMark/>
          </w:tcPr>
          <w:p w14:paraId="4CB100E0"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004" w:type="dxa"/>
            <w:shd w:val="clear" w:color="auto" w:fill="auto"/>
            <w:noWrap/>
            <w:vAlign w:val="bottom"/>
            <w:hideMark/>
          </w:tcPr>
          <w:p w14:paraId="3D7B7E8C"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2.86%</w:t>
            </w:r>
          </w:p>
        </w:tc>
      </w:tr>
      <w:tr w:rsidR="00FB72AA" w:rsidRPr="00FB72AA" w14:paraId="72F7EEFF" w14:textId="77777777" w:rsidTr="00146A48">
        <w:trPr>
          <w:cantSplit/>
        </w:trPr>
        <w:tc>
          <w:tcPr>
            <w:tcW w:w="980" w:type="dxa"/>
            <w:shd w:val="clear" w:color="auto" w:fill="auto"/>
            <w:noWrap/>
            <w:vAlign w:val="center"/>
            <w:hideMark/>
          </w:tcPr>
          <w:p w14:paraId="6DE30DD9"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800</w:t>
            </w:r>
          </w:p>
        </w:tc>
        <w:tc>
          <w:tcPr>
            <w:tcW w:w="1350" w:type="dxa"/>
            <w:shd w:val="clear" w:color="auto" w:fill="auto"/>
            <w:noWrap/>
            <w:vAlign w:val="center"/>
            <w:hideMark/>
          </w:tcPr>
          <w:p w14:paraId="3A971FFD"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20%</w:t>
            </w:r>
          </w:p>
        </w:tc>
        <w:tc>
          <w:tcPr>
            <w:tcW w:w="1103" w:type="dxa"/>
            <w:shd w:val="clear" w:color="auto" w:fill="auto"/>
            <w:noWrap/>
            <w:vAlign w:val="bottom"/>
            <w:hideMark/>
          </w:tcPr>
          <w:p w14:paraId="52B304F3"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2.77%</w:t>
            </w:r>
          </w:p>
        </w:tc>
        <w:tc>
          <w:tcPr>
            <w:tcW w:w="1365" w:type="dxa"/>
            <w:shd w:val="clear" w:color="auto" w:fill="auto"/>
            <w:noWrap/>
            <w:vAlign w:val="bottom"/>
            <w:hideMark/>
          </w:tcPr>
          <w:p w14:paraId="38D1C887"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103" w:type="dxa"/>
            <w:shd w:val="clear" w:color="auto" w:fill="auto"/>
            <w:noWrap/>
            <w:vAlign w:val="bottom"/>
            <w:hideMark/>
          </w:tcPr>
          <w:p w14:paraId="6306AC3F"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3.82%</w:t>
            </w:r>
          </w:p>
        </w:tc>
        <w:tc>
          <w:tcPr>
            <w:tcW w:w="1365" w:type="dxa"/>
            <w:shd w:val="clear" w:color="auto" w:fill="auto"/>
            <w:noWrap/>
            <w:vAlign w:val="bottom"/>
            <w:hideMark/>
          </w:tcPr>
          <w:p w14:paraId="120AD87D"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004" w:type="dxa"/>
            <w:shd w:val="clear" w:color="auto" w:fill="auto"/>
            <w:noWrap/>
            <w:vAlign w:val="bottom"/>
            <w:hideMark/>
          </w:tcPr>
          <w:p w14:paraId="451FE098"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3.82%</w:t>
            </w:r>
          </w:p>
        </w:tc>
      </w:tr>
      <w:tr w:rsidR="00FB72AA" w:rsidRPr="00FB72AA" w14:paraId="37BF81BD" w14:textId="77777777" w:rsidTr="00146A48">
        <w:trPr>
          <w:cantSplit/>
        </w:trPr>
        <w:tc>
          <w:tcPr>
            <w:tcW w:w="980" w:type="dxa"/>
            <w:shd w:val="clear" w:color="auto" w:fill="auto"/>
            <w:noWrap/>
            <w:vAlign w:val="center"/>
            <w:hideMark/>
          </w:tcPr>
          <w:p w14:paraId="2C98AD4A"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800</w:t>
            </w:r>
          </w:p>
        </w:tc>
        <w:tc>
          <w:tcPr>
            <w:tcW w:w="1350" w:type="dxa"/>
            <w:shd w:val="clear" w:color="auto" w:fill="auto"/>
            <w:noWrap/>
            <w:vAlign w:val="center"/>
            <w:hideMark/>
          </w:tcPr>
          <w:p w14:paraId="783CC513"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30%</w:t>
            </w:r>
          </w:p>
        </w:tc>
        <w:tc>
          <w:tcPr>
            <w:tcW w:w="1103" w:type="dxa"/>
            <w:shd w:val="clear" w:color="auto" w:fill="auto"/>
            <w:noWrap/>
            <w:vAlign w:val="bottom"/>
            <w:hideMark/>
          </w:tcPr>
          <w:p w14:paraId="4E6157E6"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3.18%</w:t>
            </w:r>
          </w:p>
        </w:tc>
        <w:tc>
          <w:tcPr>
            <w:tcW w:w="1365" w:type="dxa"/>
            <w:shd w:val="clear" w:color="auto" w:fill="auto"/>
            <w:noWrap/>
            <w:vAlign w:val="bottom"/>
            <w:hideMark/>
          </w:tcPr>
          <w:p w14:paraId="0775DEE9"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103" w:type="dxa"/>
            <w:shd w:val="clear" w:color="auto" w:fill="auto"/>
            <w:noWrap/>
            <w:vAlign w:val="bottom"/>
            <w:hideMark/>
          </w:tcPr>
          <w:p w14:paraId="4FF547A4"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4.38%</w:t>
            </w:r>
          </w:p>
        </w:tc>
        <w:tc>
          <w:tcPr>
            <w:tcW w:w="1365" w:type="dxa"/>
            <w:shd w:val="clear" w:color="auto" w:fill="auto"/>
            <w:noWrap/>
            <w:vAlign w:val="bottom"/>
            <w:hideMark/>
          </w:tcPr>
          <w:p w14:paraId="0FCA44DC"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004" w:type="dxa"/>
            <w:shd w:val="clear" w:color="auto" w:fill="auto"/>
            <w:noWrap/>
            <w:vAlign w:val="bottom"/>
            <w:hideMark/>
          </w:tcPr>
          <w:p w14:paraId="5DC05D13"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4.37%</w:t>
            </w:r>
          </w:p>
        </w:tc>
      </w:tr>
      <w:tr w:rsidR="00FB72AA" w:rsidRPr="00FB72AA" w14:paraId="354206F2" w14:textId="77777777" w:rsidTr="00146A48">
        <w:trPr>
          <w:cantSplit/>
        </w:trPr>
        <w:tc>
          <w:tcPr>
            <w:tcW w:w="980" w:type="dxa"/>
            <w:shd w:val="clear" w:color="auto" w:fill="auto"/>
            <w:noWrap/>
            <w:vAlign w:val="center"/>
            <w:hideMark/>
          </w:tcPr>
          <w:p w14:paraId="48E0EF59"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800</w:t>
            </w:r>
          </w:p>
        </w:tc>
        <w:tc>
          <w:tcPr>
            <w:tcW w:w="1350" w:type="dxa"/>
            <w:shd w:val="clear" w:color="auto" w:fill="auto"/>
            <w:noWrap/>
            <w:vAlign w:val="center"/>
            <w:hideMark/>
          </w:tcPr>
          <w:p w14:paraId="784B124E"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w:t>
            </w:r>
          </w:p>
        </w:tc>
        <w:tc>
          <w:tcPr>
            <w:tcW w:w="1103" w:type="dxa"/>
            <w:shd w:val="clear" w:color="auto" w:fill="auto"/>
            <w:noWrap/>
            <w:vAlign w:val="bottom"/>
            <w:hideMark/>
          </w:tcPr>
          <w:p w14:paraId="730A2688"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3.39%</w:t>
            </w:r>
          </w:p>
        </w:tc>
        <w:tc>
          <w:tcPr>
            <w:tcW w:w="1365" w:type="dxa"/>
            <w:shd w:val="clear" w:color="auto" w:fill="auto"/>
            <w:noWrap/>
            <w:vAlign w:val="bottom"/>
            <w:hideMark/>
          </w:tcPr>
          <w:p w14:paraId="67751455"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103" w:type="dxa"/>
            <w:shd w:val="clear" w:color="auto" w:fill="auto"/>
            <w:noWrap/>
            <w:vAlign w:val="bottom"/>
            <w:hideMark/>
          </w:tcPr>
          <w:p w14:paraId="1199F47F"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4.68%</w:t>
            </w:r>
          </w:p>
        </w:tc>
        <w:tc>
          <w:tcPr>
            <w:tcW w:w="1365" w:type="dxa"/>
            <w:shd w:val="clear" w:color="auto" w:fill="auto"/>
            <w:noWrap/>
            <w:vAlign w:val="bottom"/>
            <w:hideMark/>
          </w:tcPr>
          <w:p w14:paraId="5A456A07"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004" w:type="dxa"/>
            <w:shd w:val="clear" w:color="auto" w:fill="auto"/>
            <w:noWrap/>
            <w:vAlign w:val="bottom"/>
            <w:hideMark/>
          </w:tcPr>
          <w:p w14:paraId="340169BB"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4.67%</w:t>
            </w:r>
          </w:p>
        </w:tc>
      </w:tr>
      <w:tr w:rsidR="00FB72AA" w:rsidRPr="00FB72AA" w14:paraId="743946F9" w14:textId="77777777" w:rsidTr="00146A48">
        <w:trPr>
          <w:cantSplit/>
        </w:trPr>
        <w:tc>
          <w:tcPr>
            <w:tcW w:w="980" w:type="dxa"/>
            <w:shd w:val="clear" w:color="auto" w:fill="D0CECE" w:themeFill="background2" w:themeFillShade="E6"/>
            <w:noWrap/>
            <w:vAlign w:val="center"/>
            <w:hideMark/>
          </w:tcPr>
          <w:p w14:paraId="41114DDA"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800</w:t>
            </w:r>
          </w:p>
        </w:tc>
        <w:tc>
          <w:tcPr>
            <w:tcW w:w="1350" w:type="dxa"/>
            <w:shd w:val="clear" w:color="auto" w:fill="D0CECE" w:themeFill="background2" w:themeFillShade="E6"/>
            <w:noWrap/>
            <w:vAlign w:val="center"/>
            <w:hideMark/>
          </w:tcPr>
          <w:p w14:paraId="4FE4792A"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50%</w:t>
            </w:r>
          </w:p>
        </w:tc>
        <w:tc>
          <w:tcPr>
            <w:tcW w:w="1103" w:type="dxa"/>
            <w:shd w:val="clear" w:color="auto" w:fill="D0CECE" w:themeFill="background2" w:themeFillShade="E6"/>
            <w:noWrap/>
            <w:vAlign w:val="bottom"/>
            <w:hideMark/>
          </w:tcPr>
          <w:p w14:paraId="0B09195A"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3.46%</w:t>
            </w:r>
          </w:p>
        </w:tc>
        <w:tc>
          <w:tcPr>
            <w:tcW w:w="1365" w:type="dxa"/>
            <w:shd w:val="clear" w:color="auto" w:fill="D0CECE" w:themeFill="background2" w:themeFillShade="E6"/>
            <w:noWrap/>
            <w:vAlign w:val="bottom"/>
            <w:hideMark/>
          </w:tcPr>
          <w:p w14:paraId="771E440B"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103" w:type="dxa"/>
            <w:shd w:val="clear" w:color="auto" w:fill="D0CECE" w:themeFill="background2" w:themeFillShade="E6"/>
            <w:noWrap/>
            <w:vAlign w:val="bottom"/>
            <w:hideMark/>
          </w:tcPr>
          <w:p w14:paraId="5F255C98"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4.77%</w:t>
            </w:r>
          </w:p>
        </w:tc>
        <w:tc>
          <w:tcPr>
            <w:tcW w:w="1365" w:type="dxa"/>
            <w:shd w:val="clear" w:color="auto" w:fill="D0CECE" w:themeFill="background2" w:themeFillShade="E6"/>
            <w:noWrap/>
            <w:vAlign w:val="bottom"/>
            <w:hideMark/>
          </w:tcPr>
          <w:p w14:paraId="375E2423"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004" w:type="dxa"/>
            <w:shd w:val="clear" w:color="auto" w:fill="D0CECE" w:themeFill="background2" w:themeFillShade="E6"/>
            <w:noWrap/>
            <w:vAlign w:val="bottom"/>
            <w:hideMark/>
          </w:tcPr>
          <w:p w14:paraId="319D224A"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4.77%</w:t>
            </w:r>
          </w:p>
        </w:tc>
      </w:tr>
      <w:tr w:rsidR="00FB72AA" w:rsidRPr="00FB72AA" w14:paraId="7F974914" w14:textId="77777777" w:rsidTr="00146A48">
        <w:trPr>
          <w:cantSplit/>
        </w:trPr>
        <w:tc>
          <w:tcPr>
            <w:tcW w:w="980" w:type="dxa"/>
            <w:shd w:val="clear" w:color="auto" w:fill="auto"/>
            <w:noWrap/>
            <w:vAlign w:val="center"/>
            <w:hideMark/>
          </w:tcPr>
          <w:p w14:paraId="5464B358"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800</w:t>
            </w:r>
          </w:p>
        </w:tc>
        <w:tc>
          <w:tcPr>
            <w:tcW w:w="1350" w:type="dxa"/>
            <w:shd w:val="clear" w:color="auto" w:fill="auto"/>
            <w:noWrap/>
            <w:vAlign w:val="center"/>
            <w:hideMark/>
          </w:tcPr>
          <w:p w14:paraId="36411E98"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60%</w:t>
            </w:r>
          </w:p>
        </w:tc>
        <w:tc>
          <w:tcPr>
            <w:tcW w:w="1103" w:type="dxa"/>
            <w:shd w:val="clear" w:color="auto" w:fill="auto"/>
            <w:noWrap/>
            <w:vAlign w:val="bottom"/>
            <w:hideMark/>
          </w:tcPr>
          <w:p w14:paraId="7B3F8F12"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3.39%</w:t>
            </w:r>
          </w:p>
        </w:tc>
        <w:tc>
          <w:tcPr>
            <w:tcW w:w="1365" w:type="dxa"/>
            <w:shd w:val="clear" w:color="auto" w:fill="auto"/>
            <w:noWrap/>
            <w:vAlign w:val="bottom"/>
            <w:hideMark/>
          </w:tcPr>
          <w:p w14:paraId="5060AE48"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103" w:type="dxa"/>
            <w:shd w:val="clear" w:color="auto" w:fill="auto"/>
            <w:noWrap/>
            <w:vAlign w:val="bottom"/>
            <w:hideMark/>
          </w:tcPr>
          <w:p w14:paraId="280AED07"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4.68%</w:t>
            </w:r>
          </w:p>
        </w:tc>
        <w:tc>
          <w:tcPr>
            <w:tcW w:w="1365" w:type="dxa"/>
            <w:shd w:val="clear" w:color="auto" w:fill="auto"/>
            <w:noWrap/>
            <w:vAlign w:val="bottom"/>
            <w:hideMark/>
          </w:tcPr>
          <w:p w14:paraId="4633FC76"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004" w:type="dxa"/>
            <w:shd w:val="clear" w:color="auto" w:fill="auto"/>
            <w:noWrap/>
            <w:vAlign w:val="bottom"/>
            <w:hideMark/>
          </w:tcPr>
          <w:p w14:paraId="53690951"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4.67%</w:t>
            </w:r>
          </w:p>
        </w:tc>
      </w:tr>
      <w:tr w:rsidR="00FB72AA" w:rsidRPr="00FB72AA" w14:paraId="391F913A" w14:textId="77777777" w:rsidTr="00146A48">
        <w:trPr>
          <w:cantSplit/>
        </w:trPr>
        <w:tc>
          <w:tcPr>
            <w:tcW w:w="980" w:type="dxa"/>
            <w:shd w:val="clear" w:color="auto" w:fill="auto"/>
            <w:noWrap/>
            <w:vAlign w:val="center"/>
            <w:hideMark/>
          </w:tcPr>
          <w:p w14:paraId="69DB909B"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800</w:t>
            </w:r>
          </w:p>
        </w:tc>
        <w:tc>
          <w:tcPr>
            <w:tcW w:w="1350" w:type="dxa"/>
            <w:shd w:val="clear" w:color="auto" w:fill="auto"/>
            <w:noWrap/>
            <w:vAlign w:val="center"/>
            <w:hideMark/>
          </w:tcPr>
          <w:p w14:paraId="27476C64"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70%</w:t>
            </w:r>
          </w:p>
        </w:tc>
        <w:tc>
          <w:tcPr>
            <w:tcW w:w="1103" w:type="dxa"/>
            <w:shd w:val="clear" w:color="auto" w:fill="auto"/>
            <w:noWrap/>
            <w:vAlign w:val="bottom"/>
            <w:hideMark/>
          </w:tcPr>
          <w:p w14:paraId="7A16093F"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3.18%</w:t>
            </w:r>
          </w:p>
        </w:tc>
        <w:tc>
          <w:tcPr>
            <w:tcW w:w="1365" w:type="dxa"/>
            <w:shd w:val="clear" w:color="auto" w:fill="auto"/>
            <w:noWrap/>
            <w:vAlign w:val="bottom"/>
            <w:hideMark/>
          </w:tcPr>
          <w:p w14:paraId="3A6DBCAF"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103" w:type="dxa"/>
            <w:shd w:val="clear" w:color="auto" w:fill="auto"/>
            <w:noWrap/>
            <w:vAlign w:val="bottom"/>
            <w:hideMark/>
          </w:tcPr>
          <w:p w14:paraId="1EEC56B9"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4.38%</w:t>
            </w:r>
          </w:p>
        </w:tc>
        <w:tc>
          <w:tcPr>
            <w:tcW w:w="1365" w:type="dxa"/>
            <w:shd w:val="clear" w:color="auto" w:fill="auto"/>
            <w:noWrap/>
            <w:vAlign w:val="bottom"/>
            <w:hideMark/>
          </w:tcPr>
          <w:p w14:paraId="6BC7C62E"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004" w:type="dxa"/>
            <w:shd w:val="clear" w:color="auto" w:fill="auto"/>
            <w:noWrap/>
            <w:vAlign w:val="bottom"/>
            <w:hideMark/>
          </w:tcPr>
          <w:p w14:paraId="6A0ABDC8"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4.37%</w:t>
            </w:r>
          </w:p>
        </w:tc>
      </w:tr>
      <w:tr w:rsidR="00FB72AA" w:rsidRPr="00FB72AA" w14:paraId="61AF9767" w14:textId="77777777" w:rsidTr="00146A48">
        <w:trPr>
          <w:cantSplit/>
        </w:trPr>
        <w:tc>
          <w:tcPr>
            <w:tcW w:w="980" w:type="dxa"/>
            <w:shd w:val="clear" w:color="auto" w:fill="auto"/>
            <w:noWrap/>
            <w:vAlign w:val="center"/>
            <w:hideMark/>
          </w:tcPr>
          <w:p w14:paraId="0B13234F"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800</w:t>
            </w:r>
          </w:p>
        </w:tc>
        <w:tc>
          <w:tcPr>
            <w:tcW w:w="1350" w:type="dxa"/>
            <w:shd w:val="clear" w:color="auto" w:fill="auto"/>
            <w:noWrap/>
            <w:vAlign w:val="center"/>
            <w:hideMark/>
          </w:tcPr>
          <w:p w14:paraId="783E3AE1"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80%</w:t>
            </w:r>
          </w:p>
        </w:tc>
        <w:tc>
          <w:tcPr>
            <w:tcW w:w="1103" w:type="dxa"/>
            <w:shd w:val="clear" w:color="auto" w:fill="auto"/>
            <w:noWrap/>
            <w:vAlign w:val="bottom"/>
            <w:hideMark/>
          </w:tcPr>
          <w:p w14:paraId="0665B7E3"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2.77%</w:t>
            </w:r>
          </w:p>
        </w:tc>
        <w:tc>
          <w:tcPr>
            <w:tcW w:w="1365" w:type="dxa"/>
            <w:shd w:val="clear" w:color="auto" w:fill="auto"/>
            <w:noWrap/>
            <w:vAlign w:val="bottom"/>
            <w:hideMark/>
          </w:tcPr>
          <w:p w14:paraId="074C338B"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103" w:type="dxa"/>
            <w:shd w:val="clear" w:color="auto" w:fill="auto"/>
            <w:noWrap/>
            <w:vAlign w:val="bottom"/>
            <w:hideMark/>
          </w:tcPr>
          <w:p w14:paraId="11621831"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3.82%</w:t>
            </w:r>
          </w:p>
        </w:tc>
        <w:tc>
          <w:tcPr>
            <w:tcW w:w="1365" w:type="dxa"/>
            <w:shd w:val="clear" w:color="auto" w:fill="auto"/>
            <w:noWrap/>
            <w:vAlign w:val="bottom"/>
            <w:hideMark/>
          </w:tcPr>
          <w:p w14:paraId="7B46C838"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004" w:type="dxa"/>
            <w:shd w:val="clear" w:color="auto" w:fill="auto"/>
            <w:noWrap/>
            <w:vAlign w:val="bottom"/>
            <w:hideMark/>
          </w:tcPr>
          <w:p w14:paraId="657C03ED"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3.82%</w:t>
            </w:r>
          </w:p>
        </w:tc>
      </w:tr>
      <w:tr w:rsidR="00FB72AA" w:rsidRPr="00FB72AA" w14:paraId="42F78E4B" w14:textId="77777777" w:rsidTr="00146A48">
        <w:trPr>
          <w:cantSplit/>
        </w:trPr>
        <w:tc>
          <w:tcPr>
            <w:tcW w:w="980" w:type="dxa"/>
            <w:shd w:val="clear" w:color="auto" w:fill="auto"/>
            <w:noWrap/>
            <w:vAlign w:val="center"/>
            <w:hideMark/>
          </w:tcPr>
          <w:p w14:paraId="2850315F"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800</w:t>
            </w:r>
          </w:p>
        </w:tc>
        <w:tc>
          <w:tcPr>
            <w:tcW w:w="1350" w:type="dxa"/>
            <w:shd w:val="clear" w:color="auto" w:fill="auto"/>
            <w:noWrap/>
            <w:vAlign w:val="center"/>
            <w:hideMark/>
          </w:tcPr>
          <w:p w14:paraId="2782D305"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90%</w:t>
            </w:r>
          </w:p>
        </w:tc>
        <w:tc>
          <w:tcPr>
            <w:tcW w:w="1103" w:type="dxa"/>
            <w:shd w:val="clear" w:color="auto" w:fill="auto"/>
            <w:noWrap/>
            <w:vAlign w:val="bottom"/>
            <w:hideMark/>
          </w:tcPr>
          <w:p w14:paraId="60E6218F"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2.08%</w:t>
            </w:r>
          </w:p>
        </w:tc>
        <w:tc>
          <w:tcPr>
            <w:tcW w:w="1365" w:type="dxa"/>
            <w:shd w:val="clear" w:color="auto" w:fill="auto"/>
            <w:noWrap/>
            <w:vAlign w:val="bottom"/>
            <w:hideMark/>
          </w:tcPr>
          <w:p w14:paraId="77A2545F"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103" w:type="dxa"/>
            <w:shd w:val="clear" w:color="auto" w:fill="auto"/>
            <w:noWrap/>
            <w:vAlign w:val="bottom"/>
            <w:hideMark/>
          </w:tcPr>
          <w:p w14:paraId="298BB028"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2.86%</w:t>
            </w:r>
          </w:p>
        </w:tc>
        <w:tc>
          <w:tcPr>
            <w:tcW w:w="1365" w:type="dxa"/>
            <w:shd w:val="clear" w:color="auto" w:fill="auto"/>
            <w:noWrap/>
            <w:vAlign w:val="bottom"/>
            <w:hideMark/>
          </w:tcPr>
          <w:p w14:paraId="6EF1BAE1"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400</w:t>
            </w:r>
          </w:p>
        </w:tc>
        <w:tc>
          <w:tcPr>
            <w:tcW w:w="1004" w:type="dxa"/>
            <w:shd w:val="clear" w:color="auto" w:fill="auto"/>
            <w:noWrap/>
            <w:vAlign w:val="bottom"/>
            <w:hideMark/>
          </w:tcPr>
          <w:p w14:paraId="4A9B4D76" w14:textId="77777777" w:rsidR="0005704C" w:rsidRPr="00FB72AA" w:rsidRDefault="0005704C" w:rsidP="0005704C">
            <w:pPr>
              <w:spacing w:before="60" w:after="60"/>
              <w:jc w:val="center"/>
              <w:rPr>
                <w:rFonts w:asciiTheme="majorHAnsi" w:hAnsiTheme="majorHAnsi" w:cstheme="majorHAnsi"/>
                <w:sz w:val="22"/>
              </w:rPr>
            </w:pPr>
            <w:r w:rsidRPr="00FB72AA">
              <w:rPr>
                <w:rFonts w:asciiTheme="majorHAnsi" w:hAnsiTheme="majorHAnsi" w:cstheme="majorHAnsi"/>
                <w:sz w:val="22"/>
              </w:rPr>
              <w:t>2.86%</w:t>
            </w:r>
          </w:p>
        </w:tc>
      </w:tr>
    </w:tbl>
    <w:p w14:paraId="2E1AB8B3" w14:textId="77777777" w:rsidR="0005704C" w:rsidRPr="00151273" w:rsidRDefault="0005704C" w:rsidP="0005704C">
      <w:pPr>
        <w:ind w:left="720"/>
      </w:pPr>
    </w:p>
    <w:p w14:paraId="522C829E" w14:textId="77777777" w:rsidR="0005704C" w:rsidRDefault="0005704C" w:rsidP="0005704C">
      <w:pPr>
        <w:ind w:left="720"/>
      </w:pPr>
      <w:r w:rsidRPr="00AA4366">
        <w:t xml:space="preserve">This sample size also provides sufficient power for testing between groups within the sample. The following figure is a power chart that shows the sample size of 800 with power of 90%, Type I probability of 5% and accounting for the finite population achieves an effect size of under 0.159, a small to low medium </w:t>
      </w:r>
      <w:r>
        <w:t xml:space="preserve">effect size. </w:t>
      </w:r>
      <w:proofErr w:type="gramStart"/>
      <w:r w:rsidRPr="00AA4366">
        <w:t>Or</w:t>
      </w:r>
      <w:proofErr w:type="gramEnd"/>
      <w:r w:rsidRPr="00AA4366">
        <w:t>, in other words, the sample size will differentiate between smaller size differences between groups.</w:t>
      </w:r>
    </w:p>
    <w:p w14:paraId="109BCE34" w14:textId="77777777" w:rsidR="0005704C" w:rsidRPr="00AA4366" w:rsidRDefault="0005704C" w:rsidP="0005704C">
      <w:pPr>
        <w:ind w:left="720"/>
      </w:pPr>
    </w:p>
    <w:p w14:paraId="44425C75" w14:textId="77777777" w:rsidR="0005704C" w:rsidRPr="00151273" w:rsidRDefault="00FB72AA" w:rsidP="00FB72AA">
      <w:pPr>
        <w:pStyle w:val="Caption"/>
      </w:pPr>
      <w:r>
        <w:lastRenderedPageBreak/>
        <w:t xml:space="preserve">Figure </w:t>
      </w:r>
      <w:r w:rsidR="00CD2F3F">
        <w:fldChar w:fldCharType="begin"/>
      </w:r>
      <w:r w:rsidR="00CD2F3F">
        <w:instrText xml:space="preserve"> SEQ Figure \* ARABIC </w:instrText>
      </w:r>
      <w:r w:rsidR="00CD2F3F">
        <w:fldChar w:fldCharType="separate"/>
      </w:r>
      <w:r w:rsidR="00146A48">
        <w:rPr>
          <w:noProof/>
        </w:rPr>
        <w:t>1</w:t>
      </w:r>
      <w:r w:rsidR="00CD2F3F">
        <w:rPr>
          <w:noProof/>
        </w:rPr>
        <w:fldChar w:fldCharType="end"/>
      </w:r>
      <w:r w:rsidR="0005704C" w:rsidRPr="00C9039D">
        <w:t>. Sample Size and Effect Size</w:t>
      </w:r>
    </w:p>
    <w:p w14:paraId="40E1DDDA" w14:textId="77777777" w:rsidR="0005704C" w:rsidRPr="00151273" w:rsidRDefault="0005704C" w:rsidP="00FB72AA">
      <w:pPr>
        <w:jc w:val="center"/>
      </w:pPr>
      <w:r w:rsidRPr="00DC21F0">
        <w:rPr>
          <w:noProof/>
        </w:rPr>
        <w:drawing>
          <wp:inline distT="0" distB="0" distL="0" distR="0" wp14:anchorId="701CBFC3" wp14:editId="19F5821F">
            <wp:extent cx="5276629" cy="2890214"/>
            <wp:effectExtent l="0" t="0" r="635" b="5715"/>
            <wp:docPr id="1" name="Picture 1" descr="Figure 1 is a power chart that shows that the sample size of 400 in each group achieves an effect size of under 0.25 with power of 90%, Type I probability of 5%, so this sample size will be able to differentiate small to medium differences between the control and intervention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0454" cy="2892309"/>
                    </a:xfrm>
                    <a:prstGeom prst="rect">
                      <a:avLst/>
                    </a:prstGeom>
                    <a:noFill/>
                    <a:ln>
                      <a:noFill/>
                    </a:ln>
                  </pic:spPr>
                </pic:pic>
              </a:graphicData>
            </a:graphic>
          </wp:inline>
        </w:drawing>
      </w:r>
    </w:p>
    <w:p w14:paraId="3408DCDF" w14:textId="77777777" w:rsidR="00EF3135" w:rsidRDefault="00EF3135" w:rsidP="00C95E7E">
      <w:pPr>
        <w:pStyle w:val="Heading4"/>
      </w:pPr>
      <w:r>
        <w:t>Interviews and Focus Groups</w:t>
      </w:r>
    </w:p>
    <w:p w14:paraId="530E2756" w14:textId="77777777" w:rsidR="00FB72AA" w:rsidRDefault="00EF3135" w:rsidP="0005704C">
      <w:pPr>
        <w:ind w:left="720"/>
      </w:pPr>
      <w:r>
        <w:t xml:space="preserve">Due to the qualitative nature of data collection, the interviews and focus groups do not require a degree of accuracy for the purposes of this data collection. </w:t>
      </w:r>
    </w:p>
    <w:p w14:paraId="6107DD4A" w14:textId="77777777" w:rsidR="0005704C" w:rsidRPr="00151273" w:rsidRDefault="0005704C" w:rsidP="00D74FF4">
      <w:pPr>
        <w:pStyle w:val="Heading3"/>
      </w:pPr>
      <w:r w:rsidRPr="00151273">
        <w:t>Unusual problems requiring specialized sampling procedures</w:t>
      </w:r>
    </w:p>
    <w:p w14:paraId="05C151ED" w14:textId="77777777" w:rsidR="0005704C" w:rsidRPr="00D42089" w:rsidRDefault="0005704C" w:rsidP="0005704C">
      <w:pPr>
        <w:ind w:left="720"/>
      </w:pPr>
      <w:r w:rsidRPr="00D42089">
        <w:t xml:space="preserve">We do not foresee any unusual problems that require specialized sampling procedures. </w:t>
      </w:r>
    </w:p>
    <w:p w14:paraId="6470B61B" w14:textId="77777777" w:rsidR="0005704C" w:rsidRPr="00151273" w:rsidRDefault="0005704C" w:rsidP="00D74FF4">
      <w:pPr>
        <w:pStyle w:val="Heading3"/>
      </w:pPr>
      <w:r w:rsidRPr="00151273">
        <w:t>Any use of periodic (less frequent than annual) data collection cycles to reduce burden</w:t>
      </w:r>
    </w:p>
    <w:p w14:paraId="53070ED0" w14:textId="5F85C8AF" w:rsidR="0005704C" w:rsidRDefault="0005704C" w:rsidP="0005704C">
      <w:pPr>
        <w:ind w:left="720"/>
      </w:pPr>
      <w:r w:rsidRPr="00AA4366">
        <w:t>The nu</w:t>
      </w:r>
      <w:r w:rsidR="00AE2BD7">
        <w:t>rsing home administrator survey</w:t>
      </w:r>
      <w:r w:rsidR="003B7AC3">
        <w:t>,</w:t>
      </w:r>
      <w:r w:rsidR="003A6DD7">
        <w:t xml:space="preserve"> interviews</w:t>
      </w:r>
      <w:r w:rsidR="003B7AC3">
        <w:t>,</w:t>
      </w:r>
      <w:r w:rsidR="003A6DD7">
        <w:t xml:space="preserve"> and focus groups </w:t>
      </w:r>
      <w:proofErr w:type="gramStart"/>
      <w:r w:rsidR="003A6DD7">
        <w:t xml:space="preserve">will </w:t>
      </w:r>
      <w:r w:rsidR="003F3412">
        <w:t>be conducted</w:t>
      </w:r>
      <w:proofErr w:type="gramEnd"/>
      <w:r w:rsidR="003F3412">
        <w:t xml:space="preserve"> twice</w:t>
      </w:r>
      <w:r w:rsidRPr="00AA4366">
        <w:t>. This is cross-sectional data collection, so will not request information from the same participants more than once.</w:t>
      </w:r>
    </w:p>
    <w:p w14:paraId="50D015B5" w14:textId="77777777" w:rsidR="0005704C" w:rsidRPr="00151273" w:rsidRDefault="0005704C" w:rsidP="00D74FF4">
      <w:pPr>
        <w:pStyle w:val="Heading2"/>
      </w:pPr>
      <w:bookmarkStart w:id="22" w:name="_Toc433627285"/>
      <w:bookmarkStart w:id="23" w:name="_Toc429570406"/>
      <w:bookmarkStart w:id="24" w:name="_Toc410331717"/>
      <w:bookmarkStart w:id="25" w:name="_Toc410331611"/>
      <w:bookmarkStart w:id="26" w:name="_Ref406145797"/>
      <w:r w:rsidRPr="00151273">
        <w:t xml:space="preserve">Methods to Maximize Response Rates and Deal with </w:t>
      </w:r>
      <w:r>
        <w:t xml:space="preserve">Issues of </w:t>
      </w:r>
      <w:r w:rsidRPr="00151273">
        <w:t>Non-Response</w:t>
      </w:r>
      <w:bookmarkEnd w:id="22"/>
      <w:bookmarkEnd w:id="23"/>
      <w:bookmarkEnd w:id="24"/>
      <w:bookmarkEnd w:id="25"/>
      <w:bookmarkEnd w:id="26"/>
    </w:p>
    <w:p w14:paraId="59DD99EB" w14:textId="77777777" w:rsidR="0005704C" w:rsidRPr="00151273" w:rsidRDefault="0005704C" w:rsidP="00D74FF4">
      <w:pPr>
        <w:pStyle w:val="Heading3"/>
      </w:pPr>
      <w:bookmarkStart w:id="27" w:name="_Toc433627286"/>
      <w:bookmarkStart w:id="28" w:name="_Toc429570407"/>
      <w:bookmarkStart w:id="29" w:name="_Toc410331718"/>
      <w:bookmarkStart w:id="30" w:name="_Toc410331612"/>
      <w:bookmarkStart w:id="31" w:name="_Ref406145782"/>
      <w:r w:rsidRPr="00151273">
        <w:t>Methods to Maximize Response Rates</w:t>
      </w:r>
      <w:bookmarkEnd w:id="27"/>
      <w:bookmarkEnd w:id="28"/>
      <w:bookmarkEnd w:id="29"/>
      <w:bookmarkEnd w:id="30"/>
      <w:bookmarkEnd w:id="31"/>
    </w:p>
    <w:p w14:paraId="2566AC0E" w14:textId="2A70C827" w:rsidR="00576E86" w:rsidRPr="00576E86" w:rsidRDefault="0005704C" w:rsidP="00576E86">
      <w:pPr>
        <w:ind w:left="720"/>
      </w:pPr>
      <w:r w:rsidRPr="00151273">
        <w:t xml:space="preserve">To maximize response rates </w:t>
      </w:r>
      <w:r w:rsidR="003D12C9">
        <w:t xml:space="preserve">of </w:t>
      </w:r>
      <w:r>
        <w:t>the surveys</w:t>
      </w:r>
      <w:r w:rsidR="003D12C9">
        <w:t>, interviews, and focus groups,</w:t>
      </w:r>
      <w:r>
        <w:t xml:space="preserve"> we will employ m</w:t>
      </w:r>
      <w:r w:rsidRPr="00151273">
        <w:t>ultiple contacts</w:t>
      </w:r>
      <w:r>
        <w:t xml:space="preserve"> and p</w:t>
      </w:r>
      <w:r w:rsidRPr="00151273">
        <w:t>re-notification emails</w:t>
      </w:r>
      <w:r>
        <w:t>.</w:t>
      </w:r>
      <w:r w:rsidR="005D1977">
        <w:t xml:space="preserve"> Please see Appendix A for a sample of the pre-notification email th</w:t>
      </w:r>
      <w:r w:rsidR="00F641E9">
        <w:t xml:space="preserve">at </w:t>
      </w:r>
      <w:proofErr w:type="gramStart"/>
      <w:r w:rsidR="00F641E9">
        <w:t>will be sent</w:t>
      </w:r>
      <w:proofErr w:type="gramEnd"/>
      <w:r w:rsidR="00F641E9">
        <w:t xml:space="preserve"> to individual nursing homes</w:t>
      </w:r>
      <w:r w:rsidR="003D12C9">
        <w:t>,</w:t>
      </w:r>
      <w:r w:rsidR="00EF3135">
        <w:t xml:space="preserve"> </w:t>
      </w:r>
      <w:r w:rsidR="00F641E9">
        <w:t>chain-affiliated nursing homes</w:t>
      </w:r>
      <w:r w:rsidR="003D12C9">
        <w:t>, and other participants</w:t>
      </w:r>
      <w:r w:rsidR="005D1977">
        <w:t xml:space="preserve">. </w:t>
      </w:r>
      <w:r w:rsidR="00576E86" w:rsidRPr="00576E86">
        <w:t xml:space="preserve">To improve response rates for chain-affiliated nursing homes, we will identify their corporate office contact and notify them about the survey and its objectives. We will work with QIN-QIO contacts as necessary to determine the best means of contacting corporate office contact for chain-affiliated nursing homes. </w:t>
      </w:r>
    </w:p>
    <w:p w14:paraId="6EE36D33" w14:textId="77777777" w:rsidR="0005704C" w:rsidRPr="00151273" w:rsidRDefault="005D1977" w:rsidP="0005704C">
      <w:pPr>
        <w:ind w:left="720"/>
      </w:pPr>
      <w:r>
        <w:t xml:space="preserve">In addition, the CMS nursing home subject matter lead will work through CMS channels such as the monthly nursing home “Open Door” forum to publicize and communicate </w:t>
      </w:r>
      <w:r>
        <w:lastRenderedPageBreak/>
        <w:t xml:space="preserve">about the </w:t>
      </w:r>
      <w:r w:rsidR="003D12C9">
        <w:t xml:space="preserve">data collection efforts </w:t>
      </w:r>
      <w:r>
        <w:t>and the importance of participating in the survey</w:t>
      </w:r>
      <w:r w:rsidR="003D12C9">
        <w:t>, interviews, and focus groups</w:t>
      </w:r>
      <w:r>
        <w:t>.</w:t>
      </w:r>
    </w:p>
    <w:p w14:paraId="25E12EBF" w14:textId="77777777" w:rsidR="0005704C" w:rsidRPr="00151273" w:rsidRDefault="0005704C" w:rsidP="0005704C">
      <w:pPr>
        <w:ind w:left="720"/>
      </w:pPr>
      <w:r w:rsidRPr="00151273">
        <w:rPr>
          <w:i/>
          <w:iCs/>
        </w:rPr>
        <w:t>Multiple contacts:</w:t>
      </w:r>
      <w:r w:rsidR="00146A48">
        <w:rPr>
          <w:i/>
          <w:iCs/>
        </w:rPr>
        <w:t xml:space="preserve"> </w:t>
      </w:r>
      <w:r w:rsidRPr="00151273">
        <w:t xml:space="preserve">In this data collection, we plan to follow </w:t>
      </w:r>
      <w:r>
        <w:t xml:space="preserve">some of </w:t>
      </w:r>
      <w:r w:rsidRPr="00151273">
        <w:t>the</w:t>
      </w:r>
      <w:r>
        <w:t xml:space="preserve"> principles of</w:t>
      </w:r>
      <w:r w:rsidRPr="00151273">
        <w:t xml:space="preserve"> </w:t>
      </w:r>
      <w:proofErr w:type="spellStart"/>
      <w:r w:rsidRPr="00151273">
        <w:t>Dillman</w:t>
      </w:r>
      <w:proofErr w:type="spellEnd"/>
      <w:r w:rsidRPr="00151273">
        <w:t xml:space="preserve"> Total Design survey method</w:t>
      </w:r>
      <w:r w:rsidRPr="009118F9">
        <w:rPr>
          <w:rStyle w:val="FootnoteReference"/>
          <w:szCs w:val="24"/>
          <w:vertAlign w:val="superscript"/>
        </w:rPr>
        <w:footnoteReference w:id="3"/>
      </w:r>
      <w:proofErr w:type="gramStart"/>
      <w:r w:rsidRPr="00151273">
        <w:t xml:space="preserve"> which</w:t>
      </w:r>
      <w:proofErr w:type="gramEnd"/>
      <w:r w:rsidRPr="00151273">
        <w:t xml:space="preserve"> emphasizes multiple contacts with members of the sample as being one of the most successful techniques to increase response rates. This technique </w:t>
      </w:r>
      <w:proofErr w:type="gramStart"/>
      <w:r w:rsidRPr="00151273">
        <w:t>is now considered</w:t>
      </w:r>
      <w:proofErr w:type="gramEnd"/>
      <w:r w:rsidRPr="00151273">
        <w:t xml:space="preserve"> standard methodology for any survey. </w:t>
      </w:r>
      <w:r w:rsidR="00EF3135">
        <w:t>W</w:t>
      </w:r>
      <w:r w:rsidRPr="00151273">
        <w:t xml:space="preserve">e will use pre-notification emails to schedule telephone </w:t>
      </w:r>
      <w:r w:rsidR="00EF3135">
        <w:t xml:space="preserve">surveys and </w:t>
      </w:r>
      <w:r w:rsidRPr="00151273">
        <w:t xml:space="preserve">interviews at a time most convenient to the contact person. </w:t>
      </w:r>
      <w:r>
        <w:t xml:space="preserve">When possible, we will work with </w:t>
      </w:r>
      <w:r w:rsidR="00123A4E" w:rsidRPr="0005704C">
        <w:rPr>
          <w:sz w:val="22"/>
          <w:lang w:eastAsia="zh-TW"/>
        </w:rPr>
        <w:t>QI</w:t>
      </w:r>
      <w:r w:rsidR="00123A4E">
        <w:rPr>
          <w:sz w:val="22"/>
          <w:lang w:eastAsia="zh-TW"/>
        </w:rPr>
        <w:t xml:space="preserve">N-QIOs </w:t>
      </w:r>
      <w:r>
        <w:t xml:space="preserve">to provide its members with information/notices about the </w:t>
      </w:r>
      <w:r w:rsidR="003D12C9">
        <w:t>data collection effort</w:t>
      </w:r>
      <w:r>
        <w:t>,</w:t>
      </w:r>
      <w:r w:rsidR="003D12C9">
        <w:t xml:space="preserve"> </w:t>
      </w:r>
      <w:r>
        <w:t xml:space="preserve">purpose, and a </w:t>
      </w:r>
      <w:proofErr w:type="gramStart"/>
      <w:r>
        <w:t>time frame</w:t>
      </w:r>
      <w:proofErr w:type="gramEnd"/>
      <w:r>
        <w:t xml:space="preserve"> of when to expect a contact. </w:t>
      </w:r>
      <w:r w:rsidRPr="00151273">
        <w:t xml:space="preserve">Multiple contacts </w:t>
      </w:r>
      <w:proofErr w:type="gramStart"/>
      <w:r w:rsidRPr="00151273">
        <w:t>will be made</w:t>
      </w:r>
      <w:proofErr w:type="gramEnd"/>
      <w:r w:rsidRPr="00151273">
        <w:t xml:space="preserve"> to schedule/conduct the survey</w:t>
      </w:r>
      <w:r w:rsidR="00EF3135">
        <w:t xml:space="preserve"> or interview</w:t>
      </w:r>
      <w:r w:rsidRPr="00151273">
        <w:t xml:space="preserve">. Any relevant staff (e.g. </w:t>
      </w:r>
      <w:r>
        <w:t>administrative assistants</w:t>
      </w:r>
      <w:r w:rsidRPr="00151273">
        <w:t xml:space="preserve">, receptionists, or office managers) working with the contact person will be informed to expect a call for </w:t>
      </w:r>
      <w:r w:rsidR="00EF3135">
        <w:t xml:space="preserve">the </w:t>
      </w:r>
      <w:r w:rsidRPr="00151273">
        <w:t xml:space="preserve">survey </w:t>
      </w:r>
      <w:r w:rsidR="00EF3135">
        <w:t xml:space="preserve">or interview </w:t>
      </w:r>
      <w:r w:rsidRPr="00151273">
        <w:t>administration.</w:t>
      </w:r>
      <w:r w:rsidR="00146A48">
        <w:t xml:space="preserve"> </w:t>
      </w:r>
    </w:p>
    <w:p w14:paraId="4ACB1A8C" w14:textId="77777777" w:rsidR="0005704C" w:rsidRPr="00151273" w:rsidRDefault="0005704C" w:rsidP="0005704C">
      <w:pPr>
        <w:ind w:left="720"/>
      </w:pPr>
      <w:r w:rsidRPr="00151273">
        <w:rPr>
          <w:i/>
          <w:iCs/>
        </w:rPr>
        <w:t>Pre-notification emails</w:t>
      </w:r>
      <w:r w:rsidRPr="00151273">
        <w:t xml:space="preserve"> that provide more information on the study increase respondent confidence in the validity and the importance of the study resulting in higher response rates.</w:t>
      </w:r>
      <w:r w:rsidR="00EF3135" w:rsidRPr="00A61E0C">
        <w:rPr>
          <w:rStyle w:val="FootnoteReference"/>
          <w:vertAlign w:val="superscript"/>
        </w:rPr>
        <w:footnoteReference w:id="4"/>
      </w:r>
      <w:r w:rsidRPr="00A61E0C">
        <w:rPr>
          <w:vertAlign w:val="superscript"/>
        </w:rPr>
        <w:t xml:space="preserve"> </w:t>
      </w:r>
      <w:r w:rsidRPr="00151273">
        <w:t>CMS’ contractors will use a pre-notification email in this data collection.</w:t>
      </w:r>
    </w:p>
    <w:p w14:paraId="6CC6396F" w14:textId="77777777" w:rsidR="0005704C" w:rsidRPr="00151273" w:rsidRDefault="0005704C" w:rsidP="0005704C">
      <w:pPr>
        <w:ind w:left="720"/>
      </w:pPr>
      <w:r w:rsidRPr="00151273">
        <w:t xml:space="preserve">Since CMS is using widely accepted data collection techniques and </w:t>
      </w:r>
      <w:proofErr w:type="gramStart"/>
      <w:r w:rsidRPr="00151273">
        <w:t>is devoting substantial resources to efforts designed</w:t>
      </w:r>
      <w:proofErr w:type="gramEnd"/>
      <w:r w:rsidRPr="00151273">
        <w:t xml:space="preserve"> to minimize non-response, we expect the response rate to this survey to be comparable or better than that achieved for </w:t>
      </w:r>
      <w:r>
        <w:t xml:space="preserve">other health care administrator </w:t>
      </w:r>
      <w:r w:rsidRPr="00151273">
        <w:t xml:space="preserve">surveys </w:t>
      </w:r>
      <w:r>
        <w:t>conducted by IEC team members in the past.</w:t>
      </w:r>
      <w:r w:rsidRPr="00151273">
        <w:t xml:space="preserve"> Furthermore, CMS’s contractor for this survey effort has conducted numerous surveys on a variety of topics that have achieved response rates comparable to, or exceeding, the response rate estimated for this survey.</w:t>
      </w:r>
    </w:p>
    <w:p w14:paraId="0B964998" w14:textId="77777777" w:rsidR="003D12C9" w:rsidRDefault="0005704C" w:rsidP="003D12C9">
      <w:pPr>
        <w:pStyle w:val="Heading3"/>
      </w:pPr>
      <w:bookmarkStart w:id="32" w:name="_Toc433627287"/>
      <w:bookmarkStart w:id="33" w:name="_Toc429570408"/>
      <w:bookmarkStart w:id="34" w:name="_Toc410331719"/>
      <w:bookmarkStart w:id="35" w:name="_Toc410331613"/>
      <w:bookmarkStart w:id="36" w:name="_Ref406147819"/>
      <w:r w:rsidRPr="00151273">
        <w:t>Methods to Deal with Issues of Non-Response</w:t>
      </w:r>
      <w:bookmarkEnd w:id="32"/>
      <w:bookmarkEnd w:id="33"/>
      <w:bookmarkEnd w:id="34"/>
      <w:bookmarkEnd w:id="35"/>
      <w:bookmarkEnd w:id="36"/>
    </w:p>
    <w:p w14:paraId="1F91FFD9" w14:textId="77777777" w:rsidR="003D12C9" w:rsidRPr="003D12C9" w:rsidRDefault="003D12C9" w:rsidP="00C95E7E">
      <w:pPr>
        <w:pStyle w:val="Heading4"/>
      </w:pPr>
      <w:r>
        <w:t>Nursing Home Administrator Survey</w:t>
      </w:r>
    </w:p>
    <w:p w14:paraId="3F10E114" w14:textId="77777777" w:rsidR="0005704C" w:rsidRPr="00AA4366" w:rsidRDefault="0005704C" w:rsidP="0005704C">
      <w:pPr>
        <w:ind w:left="720"/>
      </w:pPr>
      <w:r w:rsidRPr="00AA4366">
        <w:t xml:space="preserve">There are two types of non-response – unit non-response and item non-response. Unit non-response, the failure of a sampled entity to respond, </w:t>
      </w:r>
      <w:proofErr w:type="gramStart"/>
      <w:r w:rsidRPr="00AA4366">
        <w:t>is handled</w:t>
      </w:r>
      <w:proofErr w:type="gramEnd"/>
      <w:r w:rsidRPr="00AA4366">
        <w:t xml:space="preserve"> in two ways:</w:t>
      </w:r>
    </w:p>
    <w:p w14:paraId="05978D6B" w14:textId="77777777" w:rsidR="0005704C" w:rsidRDefault="0005704C" w:rsidP="0044723A">
      <w:pPr>
        <w:pStyle w:val="ListParagraph"/>
        <w:numPr>
          <w:ilvl w:val="0"/>
          <w:numId w:val="19"/>
        </w:numPr>
        <w:spacing w:before="160" w:after="160"/>
        <w:contextualSpacing w:val="0"/>
      </w:pPr>
      <w:r w:rsidRPr="0044723A">
        <w:rPr>
          <w:i/>
        </w:rPr>
        <w:t>Intensive contact and re</w:t>
      </w:r>
      <w:r w:rsidR="00BD6616" w:rsidRPr="0044723A">
        <w:rPr>
          <w:i/>
        </w:rPr>
        <w:t>-</w:t>
      </w:r>
      <w:r w:rsidRPr="0044723A">
        <w:rPr>
          <w:i/>
        </w:rPr>
        <w:t>contact plan to receive a response from the sampled entity.</w:t>
      </w:r>
      <w:r w:rsidRPr="00151273">
        <w:t xml:space="preserve"> </w:t>
      </w:r>
      <w:r>
        <w:t>We will make f</w:t>
      </w:r>
      <w:r w:rsidRPr="00151273">
        <w:t>ollow up attempts with each sample entity. If the designated respondent is unavailable after several attempts, we identify a qualified alternative respondent.</w:t>
      </w:r>
    </w:p>
    <w:p w14:paraId="2218EA7C" w14:textId="77777777" w:rsidR="0044723A" w:rsidRDefault="0044723A" w:rsidP="0044723A">
      <w:pPr>
        <w:pStyle w:val="ListParagraph"/>
        <w:numPr>
          <w:ilvl w:val="0"/>
          <w:numId w:val="19"/>
        </w:numPr>
        <w:spacing w:before="160" w:after="160"/>
        <w:contextualSpacing w:val="0"/>
      </w:pPr>
      <w:r w:rsidRPr="00FB72AA">
        <w:rPr>
          <w:i/>
        </w:rPr>
        <w:t>A weighting plan to compensate for nonresponse.</w:t>
      </w:r>
      <w:r w:rsidRPr="00151273">
        <w:t xml:space="preserve"> The sampling plan calls for a proportionate allocation of the sample. In theory, the sample would be self-weighting. Due to unit non-response, the sample distribution may not be proportionate. Initial weighting will be to bring the strata back into proportion. There may be key qualities of the sample entities that </w:t>
      </w:r>
      <w:proofErr w:type="gramStart"/>
      <w:r w:rsidRPr="00151273">
        <w:t>are related</w:t>
      </w:r>
      <w:proofErr w:type="gramEnd"/>
      <w:r w:rsidRPr="00151273">
        <w:t xml:space="preserve"> to their propensity to respond. </w:t>
      </w:r>
      <w:r>
        <w:t>The IEC team</w:t>
      </w:r>
      <w:r w:rsidRPr="00151273">
        <w:t xml:space="preserve"> will review response rates across information available in the sampling frame to identify qualities and characteristics that differentiate between the propensities to </w:t>
      </w:r>
      <w:r w:rsidRPr="00151273">
        <w:lastRenderedPageBreak/>
        <w:t xml:space="preserve">respond. Measures that may be available or used </w:t>
      </w:r>
      <w:r>
        <w:t>include</w:t>
      </w:r>
      <w:r w:rsidRPr="00151273">
        <w:t xml:space="preserve"> urban/non-urban, size of entity (number of beds, number of patients, etc.), and</w:t>
      </w:r>
      <w:r>
        <w:t xml:space="preserve"> demographics of the community.</w:t>
      </w:r>
      <w:r w:rsidRPr="00151273">
        <w:t xml:space="preserve"> If any of these measures indicate a differentiation in the yield rates, they will be included in the weighting plan where we will use methods such as raking ratio adjustment to balance the sample according to these variables, and hold the relative proportion across the QIOs.</w:t>
      </w:r>
    </w:p>
    <w:p w14:paraId="30E85BC2" w14:textId="77777777" w:rsidR="0005704C" w:rsidRDefault="0005704C" w:rsidP="0005704C">
      <w:pPr>
        <w:ind w:left="720"/>
      </w:pPr>
      <w:r w:rsidRPr="00AA4366">
        <w:t xml:space="preserve">Item non-response is the event of </w:t>
      </w:r>
      <w:proofErr w:type="gramStart"/>
      <w:r w:rsidRPr="00AA4366">
        <w:t>not providing a response to question either</w:t>
      </w:r>
      <w:proofErr w:type="gramEnd"/>
      <w:r w:rsidRPr="00AA4366">
        <w:t xml:space="preserve"> by No Answer, Refusal or responding </w:t>
      </w:r>
      <w:r>
        <w:t>“</w:t>
      </w:r>
      <w:r w:rsidRPr="00AA4366">
        <w:t>Don’t Know.</w:t>
      </w:r>
      <w:r>
        <w:t>”</w:t>
      </w:r>
      <w:r w:rsidRPr="00AA4366">
        <w:t xml:space="preserve"> In this study, we consider item nonresponse </w:t>
      </w:r>
      <w:proofErr w:type="gramStart"/>
      <w:r w:rsidRPr="00AA4366">
        <w:t>to be substantial</w:t>
      </w:r>
      <w:proofErr w:type="gramEnd"/>
      <w:r w:rsidRPr="00AA4366">
        <w:t xml:space="preserve"> if the missing rate is 30% or more for any given survey item or the missing item rate is greater than 70% for any single questionnaire. Item nonresponse </w:t>
      </w:r>
      <w:proofErr w:type="gramStart"/>
      <w:r w:rsidRPr="00AA4366">
        <w:t>will be handled</w:t>
      </w:r>
      <w:proofErr w:type="gramEnd"/>
      <w:r w:rsidRPr="00AA4366">
        <w:t xml:space="preserve"> in two different ways:</w:t>
      </w:r>
    </w:p>
    <w:p w14:paraId="5D14EA9B" w14:textId="77777777" w:rsidR="0044723A" w:rsidRDefault="0044723A" w:rsidP="0044723A">
      <w:pPr>
        <w:pStyle w:val="ListParagraph"/>
        <w:numPr>
          <w:ilvl w:val="0"/>
          <w:numId w:val="21"/>
        </w:numPr>
        <w:spacing w:before="160" w:after="160"/>
        <w:contextualSpacing w:val="0"/>
      </w:pPr>
      <w:r w:rsidRPr="00FB72AA">
        <w:rPr>
          <w:i/>
        </w:rPr>
        <w:t>Re</w:t>
      </w:r>
      <w:r>
        <w:rPr>
          <w:i/>
        </w:rPr>
        <w:t>-</w:t>
      </w:r>
      <w:r w:rsidRPr="00FB72AA">
        <w:rPr>
          <w:i/>
        </w:rPr>
        <w:t>contact of sample entity</w:t>
      </w:r>
      <w:r w:rsidRPr="00151273">
        <w:t xml:space="preserve">. In the case of item nonresponse for a specific question, </w:t>
      </w:r>
      <w:r>
        <w:t>we</w:t>
      </w:r>
      <w:r w:rsidRPr="00151273">
        <w:t xml:space="preserve"> will re</w:t>
      </w:r>
      <w:r>
        <w:t>-</w:t>
      </w:r>
      <w:r w:rsidRPr="00151273">
        <w:t xml:space="preserve">contact the sample entity (nursing home, community advocacy </w:t>
      </w:r>
      <w:proofErr w:type="gramStart"/>
      <w:r w:rsidRPr="00151273">
        <w:t>organization</w:t>
      </w:r>
      <w:proofErr w:type="gramEnd"/>
      <w:r w:rsidRPr="00151273">
        <w:t xml:space="preserve"> or provider) to ask for clarification and completion of the question. For a </w:t>
      </w:r>
      <w:r>
        <w:t>survey</w:t>
      </w:r>
      <w:r w:rsidRPr="00151273">
        <w:t xml:space="preserve"> that is partially completed, </w:t>
      </w:r>
      <w:r>
        <w:t>we</w:t>
      </w:r>
      <w:r w:rsidRPr="00151273">
        <w:t xml:space="preserve"> will re</w:t>
      </w:r>
      <w:r>
        <w:t>-</w:t>
      </w:r>
      <w:r w:rsidRPr="00151273">
        <w:t xml:space="preserve">contact the sample entity and try </w:t>
      </w:r>
      <w:proofErr w:type="gramStart"/>
      <w:r w:rsidRPr="00151273">
        <w:t>and</w:t>
      </w:r>
      <w:proofErr w:type="gramEnd"/>
      <w:r w:rsidRPr="00151273">
        <w:t xml:space="preserve"> get the respondent to complete more of the survey. If </w:t>
      </w:r>
      <w:proofErr w:type="gramStart"/>
      <w:r w:rsidRPr="00151273">
        <w:t>they</w:t>
      </w:r>
      <w:proofErr w:type="gramEnd"/>
      <w:r w:rsidRPr="00151273">
        <w:t xml:space="preserve"> are not available, then another person will be identified in the sample entity, and we will try to complete the survey with them.</w:t>
      </w:r>
    </w:p>
    <w:p w14:paraId="067920F1" w14:textId="77777777" w:rsidR="0044723A" w:rsidRDefault="0044723A" w:rsidP="0044723A">
      <w:pPr>
        <w:pStyle w:val="ListParagraph"/>
        <w:numPr>
          <w:ilvl w:val="0"/>
          <w:numId w:val="21"/>
        </w:numPr>
        <w:spacing w:before="160" w:after="160"/>
        <w:contextualSpacing w:val="0"/>
      </w:pPr>
      <w:r w:rsidRPr="00FB72AA">
        <w:rPr>
          <w:i/>
        </w:rPr>
        <w:t>Imputation</w:t>
      </w:r>
      <w:r w:rsidRPr="00151273">
        <w:t xml:space="preserve">. </w:t>
      </w:r>
      <w:proofErr w:type="gramStart"/>
      <w:r>
        <w:t>We propose</w:t>
      </w:r>
      <w:r w:rsidRPr="00151273">
        <w:t xml:space="preserve"> to use imputation sparingly and </w:t>
      </w:r>
      <w:r>
        <w:t>only</w:t>
      </w:r>
      <w:r w:rsidRPr="00151273">
        <w:t xml:space="preserve"> </w:t>
      </w:r>
      <w:r>
        <w:t>for interval scaled questions.</w:t>
      </w:r>
      <w:proofErr w:type="gramEnd"/>
      <w:r>
        <w:t xml:space="preserve"> We</w:t>
      </w:r>
      <w:r w:rsidRPr="00151273">
        <w:t xml:space="preserve"> will impute the missing value using a general linear model capturing the relationship between </w:t>
      </w:r>
      <w:r>
        <w:t>nursing home characteristics like number of beds,</w:t>
      </w:r>
      <w:r w:rsidRPr="00151273">
        <w:t xml:space="preserve"> </w:t>
      </w:r>
      <w:r>
        <w:t xml:space="preserve">number of employees </w:t>
      </w:r>
      <w:r w:rsidRPr="00151273">
        <w:t xml:space="preserve">urban/non-urban splits, etc. to create a prediction model. The predicted value for the missing cases could be </w:t>
      </w:r>
      <w:r w:rsidRPr="00C9039D">
        <w:t>included in the analysis.</w:t>
      </w:r>
    </w:p>
    <w:p w14:paraId="6FF16EDA" w14:textId="77777777" w:rsidR="003D12C9" w:rsidRDefault="003D12C9" w:rsidP="00C95E7E">
      <w:pPr>
        <w:pStyle w:val="Heading4"/>
      </w:pPr>
      <w:r w:rsidRPr="003D12C9">
        <w:t>Interviews and Focus Groups</w:t>
      </w:r>
    </w:p>
    <w:p w14:paraId="1C368EF8" w14:textId="77777777" w:rsidR="003D12C9" w:rsidRDefault="003D12C9" w:rsidP="003D12C9">
      <w:pPr>
        <w:ind w:left="720"/>
      </w:pPr>
      <w:r>
        <w:t>We will monitor our response rates to the interviews and focus groups to identify any potential respondents that are underrepresented (e.g., certain QIN-QIO region</w:t>
      </w:r>
      <w:r w:rsidR="00A65A39">
        <w:t>s</w:t>
      </w:r>
      <w:r>
        <w:t xml:space="preserve">) and follow-up with additional participants as needed. Given the qualitative nature of the data collection, we do not need to adjust our </w:t>
      </w:r>
      <w:r w:rsidR="00E3078C">
        <w:t>results</w:t>
      </w:r>
      <w:r>
        <w:t xml:space="preserve"> for non-response.  </w:t>
      </w:r>
    </w:p>
    <w:p w14:paraId="7417779D" w14:textId="77777777" w:rsidR="0005704C" w:rsidRPr="00C9039D" w:rsidRDefault="0005704C" w:rsidP="00D74FF4">
      <w:pPr>
        <w:pStyle w:val="Heading3"/>
      </w:pPr>
      <w:bookmarkStart w:id="37" w:name="_Toc433627289"/>
      <w:bookmarkStart w:id="38" w:name="_Toc429570410"/>
      <w:bookmarkStart w:id="39" w:name="_Toc410331722"/>
      <w:bookmarkStart w:id="40" w:name="_Toc410331616"/>
      <w:r w:rsidRPr="00C9039D">
        <w:t>Generalizing to the Universe Studied</w:t>
      </w:r>
      <w:bookmarkEnd w:id="37"/>
      <w:bookmarkEnd w:id="38"/>
      <w:bookmarkEnd w:id="39"/>
      <w:bookmarkEnd w:id="40"/>
    </w:p>
    <w:p w14:paraId="4354B2BA" w14:textId="77777777" w:rsidR="00A65A39" w:rsidRDefault="00A65A39" w:rsidP="00C95E7E">
      <w:pPr>
        <w:pStyle w:val="Heading4"/>
      </w:pPr>
      <w:r>
        <w:t>Nursing Home Administrator Survey</w:t>
      </w:r>
    </w:p>
    <w:p w14:paraId="23596A9B" w14:textId="77777777" w:rsidR="0005704C" w:rsidRDefault="0005704C" w:rsidP="0005704C">
      <w:pPr>
        <w:ind w:left="720"/>
      </w:pPr>
      <w:r>
        <w:t>Since</w:t>
      </w:r>
      <w:r w:rsidRPr="00C9039D">
        <w:t xml:space="preserve"> we are conducting a stratified random sample, we expect that the information collected will yield reliable data that can be generalized to the universe studied</w:t>
      </w:r>
      <w:r w:rsidR="00A65A39">
        <w:t xml:space="preserve"> (nursing home administrators of CMS-certified nursing homes)</w:t>
      </w:r>
      <w:r w:rsidRPr="00C9039D">
        <w:t>.</w:t>
      </w:r>
    </w:p>
    <w:p w14:paraId="385B7867" w14:textId="77777777" w:rsidR="00A65A39" w:rsidRDefault="00A65A39" w:rsidP="00C95E7E">
      <w:pPr>
        <w:pStyle w:val="Heading4"/>
      </w:pPr>
      <w:r>
        <w:t>Interviews and Focus Groups</w:t>
      </w:r>
    </w:p>
    <w:p w14:paraId="2826D4D2" w14:textId="77777777" w:rsidR="00EF3135" w:rsidRDefault="00A65A39" w:rsidP="00A65A39">
      <w:pPr>
        <w:pStyle w:val="BodyTextFirstIndent"/>
        <w:ind w:left="720" w:firstLine="0"/>
      </w:pPr>
      <w:r w:rsidRPr="00572F59">
        <w:t xml:space="preserve">Although the goal of qualitative interviews is not </w:t>
      </w:r>
      <w:r>
        <w:t>statistical generalizability</w:t>
      </w:r>
      <w:r w:rsidRPr="00572F59">
        <w:t xml:space="preserve">, we expect the results will provide valuable insights to supplement the </w:t>
      </w:r>
      <w:r>
        <w:t>s</w:t>
      </w:r>
      <w:r w:rsidRPr="00572F59">
        <w:t>urvey and secondary data analyses</w:t>
      </w:r>
      <w:r>
        <w:t xml:space="preserve"> of Medicare claims data</w:t>
      </w:r>
      <w:r w:rsidRPr="00572F59">
        <w:t xml:space="preserve">. </w:t>
      </w:r>
      <w:r w:rsidRPr="00AD4FED">
        <w:t>We</w:t>
      </w:r>
      <w:r>
        <w:t xml:space="preserve"> will continue interviews until we reach a point of saturation, </w:t>
      </w:r>
      <w:r w:rsidRPr="00AD4FED">
        <w:t xml:space="preserve">which will indicate </w:t>
      </w:r>
      <w:r w:rsidRPr="00454FA6">
        <w:rPr>
          <w:color w:val="000000"/>
        </w:rPr>
        <w:t>when the collection of new data does not shed any further light on the issue</w:t>
      </w:r>
      <w:r>
        <w:rPr>
          <w:color w:val="000000"/>
        </w:rPr>
        <w:t>s</w:t>
      </w:r>
      <w:r w:rsidRPr="00454FA6">
        <w:rPr>
          <w:color w:val="000000"/>
        </w:rPr>
        <w:t xml:space="preserve"> under investigation</w:t>
      </w:r>
      <w:r>
        <w:t>.</w:t>
      </w:r>
    </w:p>
    <w:p w14:paraId="74BF481D" w14:textId="77777777" w:rsidR="0005704C" w:rsidRPr="00C9039D" w:rsidRDefault="0005704C" w:rsidP="00EF3135">
      <w:pPr>
        <w:pStyle w:val="Heading2"/>
      </w:pPr>
      <w:bookmarkStart w:id="41" w:name="_Toc429570411"/>
      <w:bookmarkStart w:id="42" w:name="_Toc410331723"/>
      <w:bookmarkStart w:id="43" w:name="_Toc410331617"/>
      <w:bookmarkStart w:id="44" w:name="_Ref406148914"/>
      <w:bookmarkStart w:id="45" w:name="_Toc433627290"/>
      <w:r w:rsidRPr="00C9039D">
        <w:lastRenderedPageBreak/>
        <w:t>Test of Procedures or Methods</w:t>
      </w:r>
      <w:bookmarkEnd w:id="41"/>
      <w:bookmarkEnd w:id="42"/>
      <w:bookmarkEnd w:id="43"/>
      <w:bookmarkEnd w:id="44"/>
      <w:r w:rsidRPr="00C9039D">
        <w:t xml:space="preserve"> to be </w:t>
      </w:r>
      <w:proofErr w:type="gramStart"/>
      <w:r w:rsidRPr="00C9039D">
        <w:t>Undertaken</w:t>
      </w:r>
      <w:bookmarkEnd w:id="45"/>
      <w:proofErr w:type="gramEnd"/>
    </w:p>
    <w:p w14:paraId="693E79D8" w14:textId="77777777" w:rsidR="00AD05F6" w:rsidRDefault="00AD05F6" w:rsidP="00C95E7E">
      <w:pPr>
        <w:pStyle w:val="Heading3"/>
        <w:numPr>
          <w:ilvl w:val="0"/>
          <w:numId w:val="0"/>
        </w:numPr>
        <w:ind w:left="720" w:hanging="360"/>
      </w:pPr>
      <w:r>
        <w:t xml:space="preserve">Nursing Home Administrator Survey </w:t>
      </w:r>
    </w:p>
    <w:p w14:paraId="1CD5304F" w14:textId="77777777" w:rsidR="0005704C" w:rsidRPr="00151273" w:rsidRDefault="0005704C" w:rsidP="00FB72AA">
      <w:pPr>
        <w:ind w:left="360"/>
      </w:pPr>
      <w:r w:rsidRPr="00C9039D">
        <w:t xml:space="preserve">As part of developing the survey instruments, the project team has conducted internal </w:t>
      </w:r>
      <w:proofErr w:type="gramStart"/>
      <w:r w:rsidRPr="00C9039D">
        <w:t>beta-testing</w:t>
      </w:r>
      <w:proofErr w:type="gramEnd"/>
      <w:r w:rsidRPr="00C9039D">
        <w:t xml:space="preserve"> to assess the hour burden per respondent and </w:t>
      </w:r>
      <w:r w:rsidR="009118F9">
        <w:t xml:space="preserve">to </w:t>
      </w:r>
      <w:r w:rsidRPr="00C9039D">
        <w:t>ensure that the questions and responses are readily understandable and skip patterns are logical.</w:t>
      </w:r>
      <w:r w:rsidRPr="00151273">
        <w:t xml:space="preserve"> </w:t>
      </w:r>
    </w:p>
    <w:p w14:paraId="39AAFC33" w14:textId="77777777" w:rsidR="0005704C" w:rsidRDefault="0005704C" w:rsidP="00FB72AA">
      <w:pPr>
        <w:ind w:left="360"/>
      </w:pPr>
      <w:r w:rsidRPr="00151273">
        <w:t>Additionally, we conduct</w:t>
      </w:r>
      <w:r w:rsidR="00EF7B7D">
        <w:t>ed</w:t>
      </w:r>
      <w:r w:rsidRPr="00151273">
        <w:t xml:space="preserve"> pre-testing</w:t>
      </w:r>
      <w:r w:rsidR="00EF7B7D">
        <w:t xml:space="preserve"> and cognitive interviews</w:t>
      </w:r>
      <w:r w:rsidRPr="00151273">
        <w:t xml:space="preserve"> of the surveys</w:t>
      </w:r>
      <w:r w:rsidR="00EF7B7D">
        <w:t xml:space="preserve"> with </w:t>
      </w:r>
      <w:r w:rsidR="00105641">
        <w:t>four</w:t>
      </w:r>
      <w:r w:rsidR="009D0BE7">
        <w:t xml:space="preserve"> </w:t>
      </w:r>
      <w:r w:rsidR="00EF7B7D">
        <w:t xml:space="preserve">nursing </w:t>
      </w:r>
      <w:r w:rsidR="009D0BE7">
        <w:t xml:space="preserve">home administrators from </w:t>
      </w:r>
      <w:r w:rsidR="00EF3135">
        <w:t>three</w:t>
      </w:r>
      <w:r w:rsidR="009D0BE7">
        <w:t xml:space="preserve"> nursing homes </w:t>
      </w:r>
      <w:r w:rsidR="00EF7B7D">
        <w:t>participating in the QIN-QIO program</w:t>
      </w:r>
      <w:r w:rsidR="009D0BE7">
        <w:t xml:space="preserve"> and one nursing home not participating in the QIN-QIO program</w:t>
      </w:r>
      <w:r w:rsidRPr="00151273">
        <w:t xml:space="preserve">. </w:t>
      </w:r>
      <w:r>
        <w:t>R</w:t>
      </w:r>
      <w:r w:rsidRPr="00151273">
        <w:t xml:space="preserve">espondents </w:t>
      </w:r>
      <w:r w:rsidR="00EF7B7D">
        <w:t>who</w:t>
      </w:r>
      <w:r w:rsidRPr="00151273">
        <w:t xml:space="preserve"> agree</w:t>
      </w:r>
      <w:r w:rsidR="00EF7B7D">
        <w:t>d</w:t>
      </w:r>
      <w:r w:rsidRPr="00151273">
        <w:t xml:space="preserve"> to help CMS refine the survey</w:t>
      </w:r>
      <w:r w:rsidR="00EF7B7D">
        <w:t xml:space="preserve"> completed a</w:t>
      </w:r>
      <w:r w:rsidRPr="00C9039D">
        <w:t xml:space="preserve"> telephone </w:t>
      </w:r>
      <w:r w:rsidR="00EF7B7D">
        <w:t>survey and an in-person interview</w:t>
      </w:r>
      <w:r w:rsidRPr="00C9039D">
        <w:t xml:space="preserve">. </w:t>
      </w:r>
      <w:r w:rsidR="00EF7B7D">
        <w:t>During the cognitive interviews</w:t>
      </w:r>
      <w:r w:rsidRPr="00C9039D">
        <w:t>, we solicit</w:t>
      </w:r>
      <w:r w:rsidR="00105641">
        <w:t>ed</w:t>
      </w:r>
      <w:r w:rsidRPr="00C9039D">
        <w:t xml:space="preserve"> </w:t>
      </w:r>
      <w:r w:rsidR="00EF3135">
        <w:t>nursing home administrator</w:t>
      </w:r>
      <w:r w:rsidR="00EF3135" w:rsidRPr="00C9039D">
        <w:t xml:space="preserve"> </w:t>
      </w:r>
      <w:r w:rsidRPr="00C9039D">
        <w:t>feedback about possible improvements to the survey and the survey administration process. This pre-testing enable</w:t>
      </w:r>
      <w:r w:rsidR="00EF7B7D">
        <w:t>d</w:t>
      </w:r>
      <w:r w:rsidRPr="00C9039D">
        <w:t xml:space="preserve"> the team to assess and correct ambiguities in the survey questions and instructions</w:t>
      </w:r>
      <w:r w:rsidR="00EF7B7D">
        <w:t xml:space="preserve"> as outlined in the Crosswalk Table</w:t>
      </w:r>
      <w:r w:rsidRPr="00C9039D">
        <w:t xml:space="preserve">. </w:t>
      </w:r>
      <w:r w:rsidR="009D0BE7">
        <w:t>The</w:t>
      </w:r>
      <w:r w:rsidR="00EF7B7D">
        <w:t xml:space="preserve"> revised surve</w:t>
      </w:r>
      <w:r w:rsidR="009D0BE7">
        <w:t>y did not</w:t>
      </w:r>
      <w:r w:rsidRPr="00C9039D">
        <w:t xml:space="preserve"> </w:t>
      </w:r>
      <w:r w:rsidR="00105641">
        <w:t xml:space="preserve">result </w:t>
      </w:r>
      <w:r w:rsidR="00E3078C">
        <w:t xml:space="preserve">in </w:t>
      </w:r>
      <w:r w:rsidRPr="00C9039D">
        <w:t xml:space="preserve">substantive changes affecting survey content or length. </w:t>
      </w:r>
    </w:p>
    <w:p w14:paraId="6F99FE86" w14:textId="77777777" w:rsidR="00AD05F6" w:rsidRDefault="00AD05F6" w:rsidP="00C95E7E">
      <w:pPr>
        <w:pStyle w:val="Heading3"/>
        <w:numPr>
          <w:ilvl w:val="0"/>
          <w:numId w:val="0"/>
        </w:numPr>
        <w:ind w:left="720" w:hanging="360"/>
      </w:pPr>
      <w:r>
        <w:t>Interviews and Focus Groups</w:t>
      </w:r>
    </w:p>
    <w:p w14:paraId="01C65E42" w14:textId="77777777" w:rsidR="00AD05F6" w:rsidRPr="00C9039D" w:rsidRDefault="00EF3135" w:rsidP="00FB72AA">
      <w:pPr>
        <w:ind w:left="360"/>
      </w:pPr>
      <w:r>
        <w:t>Nursing home subject matter experts reviewed our interview and focus group guides for content validity</w:t>
      </w:r>
      <w:r w:rsidR="003D12C9">
        <w:t xml:space="preserve">. </w:t>
      </w:r>
      <w:r w:rsidR="00AD05F6">
        <w:t xml:space="preserve">We plan to pilot-test the interview guides and focus group guides </w:t>
      </w:r>
      <w:r w:rsidR="00300EB3">
        <w:t xml:space="preserve">with less than </w:t>
      </w:r>
      <w:r>
        <w:t>nine</w:t>
      </w:r>
      <w:r w:rsidR="00300EB3">
        <w:t xml:space="preserve"> participants </w:t>
      </w:r>
      <w:r w:rsidR="00AD05F6">
        <w:t xml:space="preserve">for timing, </w:t>
      </w:r>
      <w:r w:rsidR="00300EB3">
        <w:t xml:space="preserve">clarity, and </w:t>
      </w:r>
      <w:r w:rsidR="00AD05F6">
        <w:t>flow</w:t>
      </w:r>
      <w:r w:rsidR="0032385D">
        <w:t>. We do not anticipate that this process will result in substantive changes affecting the interview or focus group discussion guides content or length.</w:t>
      </w:r>
    </w:p>
    <w:p w14:paraId="321ABBF4" w14:textId="77777777" w:rsidR="0005704C" w:rsidRPr="00C9039D" w:rsidRDefault="0005704C" w:rsidP="00D74FF4">
      <w:pPr>
        <w:pStyle w:val="Heading2"/>
      </w:pPr>
      <w:bookmarkStart w:id="46" w:name="_Toc433627291"/>
      <w:bookmarkStart w:id="47" w:name="_Toc410331618"/>
      <w:bookmarkStart w:id="48" w:name="_Toc410331724"/>
      <w:bookmarkStart w:id="49" w:name="_Toc429570412"/>
      <w:r w:rsidRPr="00C9039D">
        <w:t xml:space="preserve">Individuals Consulted on Statistical Aspects and Individuals Collecting and/or Analyzing the Data </w:t>
      </w:r>
    </w:p>
    <w:p w14:paraId="46A95F67" w14:textId="77777777" w:rsidR="0005704C" w:rsidRPr="00151273" w:rsidRDefault="0005704C" w:rsidP="00D74FF4">
      <w:pPr>
        <w:ind w:left="360"/>
      </w:pPr>
      <w:r w:rsidRPr="00C9039D">
        <w:fldChar w:fldCharType="begin"/>
      </w:r>
      <w:r w:rsidRPr="00C9039D">
        <w:instrText xml:space="preserve"> REF _Ref435096034 \h  \* MERGEFORMAT </w:instrText>
      </w:r>
      <w:r w:rsidRPr="00C9039D">
        <w:fldChar w:fldCharType="separate"/>
      </w:r>
      <w:r w:rsidR="00146A48">
        <w:t xml:space="preserve">Table </w:t>
      </w:r>
      <w:r w:rsidR="00146A48">
        <w:rPr>
          <w:noProof/>
        </w:rPr>
        <w:t>5</w:t>
      </w:r>
      <w:r w:rsidRPr="00C9039D">
        <w:fldChar w:fldCharType="end"/>
      </w:r>
      <w:r>
        <w:t xml:space="preserve"> </w:t>
      </w:r>
      <w:r w:rsidRPr="00C9039D">
        <w:t>provides the names and affiliation for those consulted on the statistical aspects of the design and</w:t>
      </w:r>
      <w:r w:rsidRPr="00151273">
        <w:t xml:space="preserve"> who will collect or analyze the information.</w:t>
      </w:r>
    </w:p>
    <w:p w14:paraId="6ABDC224" w14:textId="77777777" w:rsidR="0005704C" w:rsidRPr="00151273" w:rsidRDefault="00FB72AA" w:rsidP="00FB72AA">
      <w:pPr>
        <w:pStyle w:val="Caption"/>
      </w:pPr>
      <w:bookmarkStart w:id="50" w:name="_Ref435096034"/>
      <w:bookmarkEnd w:id="46"/>
      <w:bookmarkEnd w:id="47"/>
      <w:bookmarkEnd w:id="48"/>
      <w:bookmarkEnd w:id="49"/>
      <w:r>
        <w:t xml:space="preserve">Table </w:t>
      </w:r>
      <w:r w:rsidR="00CD2F3F">
        <w:fldChar w:fldCharType="begin"/>
      </w:r>
      <w:r w:rsidR="00CD2F3F">
        <w:instrText xml:space="preserve"> SEQ Table \* ARABIC </w:instrText>
      </w:r>
      <w:r w:rsidR="00CD2F3F">
        <w:fldChar w:fldCharType="separate"/>
      </w:r>
      <w:r w:rsidR="00146A48">
        <w:rPr>
          <w:noProof/>
        </w:rPr>
        <w:t>5</w:t>
      </w:r>
      <w:r w:rsidR="00CD2F3F">
        <w:rPr>
          <w:noProof/>
        </w:rPr>
        <w:fldChar w:fldCharType="end"/>
      </w:r>
      <w:bookmarkEnd w:id="50"/>
      <w:r w:rsidR="00596ADC">
        <w:t>:</w:t>
      </w:r>
      <w:r w:rsidR="0005704C" w:rsidRPr="00151273">
        <w:t xml:space="preserve"> Individuals Consulted on Statistical Aspects a</w:t>
      </w:r>
      <w:r>
        <w:t>nd Performing Data Collection &amp; </w:t>
      </w:r>
      <w:r w:rsidR="0005704C" w:rsidRPr="00151273">
        <w:t>Analysis</w:t>
      </w:r>
    </w:p>
    <w:tbl>
      <w:tblPr>
        <w:tblW w:w="78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193"/>
      </w:tblGrid>
      <w:tr w:rsidR="0005704C" w:rsidRPr="00146A48" w14:paraId="689D7D83" w14:textId="77777777" w:rsidTr="001A42C2">
        <w:trPr>
          <w:cantSplit/>
          <w:tblHeader/>
        </w:trPr>
        <w:tc>
          <w:tcPr>
            <w:tcW w:w="3632" w:type="dxa"/>
            <w:shd w:val="clear" w:color="auto" w:fill="D0CECE" w:themeFill="background2" w:themeFillShade="E6"/>
            <w:vAlign w:val="center"/>
            <w:hideMark/>
          </w:tcPr>
          <w:p w14:paraId="0CCDC31C" w14:textId="77777777" w:rsidR="0005704C" w:rsidRPr="00146A48" w:rsidRDefault="0005704C" w:rsidP="00FB72AA">
            <w:pPr>
              <w:keepNext/>
              <w:spacing w:before="60" w:after="60"/>
              <w:rPr>
                <w:rFonts w:asciiTheme="majorHAnsi" w:hAnsiTheme="majorHAnsi" w:cstheme="majorHAnsi"/>
                <w:b/>
                <w:sz w:val="22"/>
              </w:rPr>
            </w:pPr>
            <w:r w:rsidRPr="00146A48">
              <w:rPr>
                <w:rFonts w:asciiTheme="majorHAnsi" w:hAnsiTheme="majorHAnsi" w:cstheme="majorHAnsi"/>
                <w:b/>
                <w:sz w:val="22"/>
              </w:rPr>
              <w:t>Name</w:t>
            </w:r>
          </w:p>
        </w:tc>
        <w:tc>
          <w:tcPr>
            <w:tcW w:w="4193" w:type="dxa"/>
            <w:shd w:val="clear" w:color="auto" w:fill="D0CECE" w:themeFill="background2" w:themeFillShade="E6"/>
            <w:vAlign w:val="center"/>
            <w:hideMark/>
          </w:tcPr>
          <w:p w14:paraId="4CC2CF74" w14:textId="77777777" w:rsidR="0005704C" w:rsidRPr="00146A48" w:rsidRDefault="0005704C" w:rsidP="00FB72AA">
            <w:pPr>
              <w:keepNext/>
              <w:spacing w:before="60" w:after="60"/>
              <w:rPr>
                <w:rFonts w:asciiTheme="majorHAnsi" w:hAnsiTheme="majorHAnsi" w:cstheme="majorHAnsi"/>
                <w:b/>
                <w:sz w:val="22"/>
              </w:rPr>
            </w:pPr>
            <w:r w:rsidRPr="00146A48">
              <w:rPr>
                <w:rFonts w:asciiTheme="majorHAnsi" w:hAnsiTheme="majorHAnsi" w:cstheme="majorHAnsi"/>
                <w:b/>
                <w:sz w:val="22"/>
              </w:rPr>
              <w:t>Affiliation</w:t>
            </w:r>
          </w:p>
        </w:tc>
      </w:tr>
      <w:tr w:rsidR="0005704C" w:rsidRPr="00146A48" w14:paraId="1CAA45EB" w14:textId="77777777" w:rsidTr="001A42C2">
        <w:trPr>
          <w:cantSplit/>
        </w:trPr>
        <w:tc>
          <w:tcPr>
            <w:tcW w:w="3632" w:type="dxa"/>
            <w:shd w:val="clear" w:color="auto" w:fill="auto"/>
            <w:hideMark/>
          </w:tcPr>
          <w:p w14:paraId="7CE50BC3"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Michael Samuhel, PhD</w:t>
            </w:r>
          </w:p>
        </w:tc>
        <w:tc>
          <w:tcPr>
            <w:tcW w:w="4193" w:type="dxa"/>
            <w:shd w:val="clear" w:color="auto" w:fill="auto"/>
            <w:hideMark/>
          </w:tcPr>
          <w:p w14:paraId="7A013DBC"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311226D1" w14:textId="77777777" w:rsidTr="001A42C2">
        <w:trPr>
          <w:cantSplit/>
        </w:trPr>
        <w:tc>
          <w:tcPr>
            <w:tcW w:w="3632" w:type="dxa"/>
            <w:shd w:val="clear" w:color="auto" w:fill="auto"/>
            <w:hideMark/>
          </w:tcPr>
          <w:p w14:paraId="4B48FC25"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Ping Yu, PhD</w:t>
            </w:r>
          </w:p>
        </w:tc>
        <w:tc>
          <w:tcPr>
            <w:tcW w:w="4193" w:type="dxa"/>
            <w:shd w:val="clear" w:color="auto" w:fill="auto"/>
            <w:hideMark/>
          </w:tcPr>
          <w:p w14:paraId="49FE04FC"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10F78487" w14:textId="77777777" w:rsidTr="001A42C2">
        <w:trPr>
          <w:cantSplit/>
        </w:trPr>
        <w:tc>
          <w:tcPr>
            <w:tcW w:w="3632" w:type="dxa"/>
            <w:shd w:val="clear" w:color="auto" w:fill="auto"/>
          </w:tcPr>
          <w:p w14:paraId="2067EFA7"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Sandy Lesikar, PhD</w:t>
            </w:r>
          </w:p>
        </w:tc>
        <w:tc>
          <w:tcPr>
            <w:tcW w:w="4193" w:type="dxa"/>
            <w:shd w:val="clear" w:color="auto" w:fill="auto"/>
          </w:tcPr>
          <w:p w14:paraId="4E619755"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1254D718" w14:textId="77777777" w:rsidTr="001A42C2">
        <w:trPr>
          <w:cantSplit/>
        </w:trPr>
        <w:tc>
          <w:tcPr>
            <w:tcW w:w="3632" w:type="dxa"/>
            <w:shd w:val="clear" w:color="auto" w:fill="auto"/>
          </w:tcPr>
          <w:p w14:paraId="02A3F10F"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Kathryn Schulke, BSN</w:t>
            </w:r>
          </w:p>
        </w:tc>
        <w:tc>
          <w:tcPr>
            <w:tcW w:w="4193" w:type="dxa"/>
            <w:shd w:val="clear" w:color="auto" w:fill="auto"/>
          </w:tcPr>
          <w:p w14:paraId="666380E6"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00C4066C" w14:textId="77777777" w:rsidTr="001A42C2">
        <w:trPr>
          <w:cantSplit/>
        </w:trPr>
        <w:tc>
          <w:tcPr>
            <w:tcW w:w="3632" w:type="dxa"/>
            <w:shd w:val="clear" w:color="auto" w:fill="auto"/>
          </w:tcPr>
          <w:p w14:paraId="5BCC6E89"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Elizabeth Andreassi, MS</w:t>
            </w:r>
          </w:p>
        </w:tc>
        <w:tc>
          <w:tcPr>
            <w:tcW w:w="4193" w:type="dxa"/>
            <w:shd w:val="clear" w:color="auto" w:fill="auto"/>
          </w:tcPr>
          <w:p w14:paraId="4CB96E29"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0281DEBE" w14:textId="77777777" w:rsidTr="001A42C2">
        <w:trPr>
          <w:cantSplit/>
        </w:trPr>
        <w:tc>
          <w:tcPr>
            <w:tcW w:w="3632" w:type="dxa"/>
            <w:shd w:val="clear" w:color="auto" w:fill="auto"/>
          </w:tcPr>
          <w:p w14:paraId="7B370372" w14:textId="77777777" w:rsidR="0005704C" w:rsidRPr="00146A48" w:rsidRDefault="0005704C" w:rsidP="00FB72AA">
            <w:pPr>
              <w:spacing w:before="60" w:after="60"/>
              <w:rPr>
                <w:rFonts w:asciiTheme="majorHAnsi" w:hAnsiTheme="majorHAnsi" w:cstheme="majorHAnsi"/>
                <w:sz w:val="22"/>
              </w:rPr>
            </w:pPr>
            <w:proofErr w:type="spellStart"/>
            <w:r w:rsidRPr="00146A48">
              <w:rPr>
                <w:rFonts w:asciiTheme="majorHAnsi" w:hAnsiTheme="majorHAnsi" w:cstheme="majorHAnsi"/>
                <w:sz w:val="22"/>
              </w:rPr>
              <w:t>Vonna</w:t>
            </w:r>
            <w:proofErr w:type="spellEnd"/>
            <w:r w:rsidRPr="00146A48">
              <w:rPr>
                <w:rFonts w:asciiTheme="majorHAnsi" w:hAnsiTheme="majorHAnsi" w:cstheme="majorHAnsi"/>
                <w:sz w:val="22"/>
              </w:rPr>
              <w:t xml:space="preserve"> Drayton, </w:t>
            </w:r>
            <w:proofErr w:type="spellStart"/>
            <w:r w:rsidRPr="00146A48">
              <w:rPr>
                <w:rFonts w:asciiTheme="majorHAnsi" w:hAnsiTheme="majorHAnsi" w:cstheme="majorHAnsi"/>
                <w:sz w:val="22"/>
              </w:rPr>
              <w:t>DrPH</w:t>
            </w:r>
            <w:proofErr w:type="spellEnd"/>
          </w:p>
        </w:tc>
        <w:tc>
          <w:tcPr>
            <w:tcW w:w="4193" w:type="dxa"/>
            <w:shd w:val="clear" w:color="auto" w:fill="auto"/>
          </w:tcPr>
          <w:p w14:paraId="088C1EAF"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61D0797D" w14:textId="77777777" w:rsidTr="001A42C2">
        <w:trPr>
          <w:cantSplit/>
        </w:trPr>
        <w:tc>
          <w:tcPr>
            <w:tcW w:w="3632" w:type="dxa"/>
            <w:shd w:val="clear" w:color="auto" w:fill="auto"/>
          </w:tcPr>
          <w:p w14:paraId="4B4AD738"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Anna Ettinger, PhD</w:t>
            </w:r>
            <w:r w:rsidR="00105641">
              <w:rPr>
                <w:rFonts w:asciiTheme="majorHAnsi" w:hAnsiTheme="majorHAnsi" w:cstheme="majorHAnsi"/>
                <w:sz w:val="22"/>
              </w:rPr>
              <w:t>, MSW, MPH</w:t>
            </w:r>
          </w:p>
        </w:tc>
        <w:tc>
          <w:tcPr>
            <w:tcW w:w="4193" w:type="dxa"/>
            <w:shd w:val="clear" w:color="auto" w:fill="auto"/>
          </w:tcPr>
          <w:p w14:paraId="112F6208"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5CE57ADC" w14:textId="77777777" w:rsidTr="001A42C2">
        <w:trPr>
          <w:cantSplit/>
        </w:trPr>
        <w:tc>
          <w:tcPr>
            <w:tcW w:w="3632" w:type="dxa"/>
            <w:shd w:val="clear" w:color="auto" w:fill="auto"/>
            <w:hideMark/>
          </w:tcPr>
          <w:p w14:paraId="15D18D2D"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Elyse Levine, PhD</w:t>
            </w:r>
          </w:p>
        </w:tc>
        <w:tc>
          <w:tcPr>
            <w:tcW w:w="4193" w:type="dxa"/>
            <w:shd w:val="clear" w:color="auto" w:fill="auto"/>
            <w:hideMark/>
          </w:tcPr>
          <w:p w14:paraId="2321A5E1"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30F4239B" w14:textId="77777777" w:rsidTr="001A42C2">
        <w:trPr>
          <w:cantSplit/>
        </w:trPr>
        <w:tc>
          <w:tcPr>
            <w:tcW w:w="3632" w:type="dxa"/>
            <w:shd w:val="clear" w:color="auto" w:fill="auto"/>
          </w:tcPr>
          <w:p w14:paraId="6AA726C1"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Qiong Li, PhD</w:t>
            </w:r>
          </w:p>
        </w:tc>
        <w:tc>
          <w:tcPr>
            <w:tcW w:w="4193" w:type="dxa"/>
            <w:shd w:val="clear" w:color="auto" w:fill="auto"/>
          </w:tcPr>
          <w:p w14:paraId="2986BC57"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79DFB8C9" w14:textId="77777777" w:rsidTr="001A42C2">
        <w:trPr>
          <w:cantSplit/>
        </w:trPr>
        <w:tc>
          <w:tcPr>
            <w:tcW w:w="3632" w:type="dxa"/>
            <w:shd w:val="clear" w:color="auto" w:fill="auto"/>
          </w:tcPr>
          <w:p w14:paraId="2106CE86"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Peichang Shi, PhD</w:t>
            </w:r>
          </w:p>
        </w:tc>
        <w:tc>
          <w:tcPr>
            <w:tcW w:w="4193" w:type="dxa"/>
            <w:shd w:val="clear" w:color="auto" w:fill="auto"/>
          </w:tcPr>
          <w:p w14:paraId="1D2D9CA9"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61A691D8" w14:textId="77777777" w:rsidTr="001A42C2">
        <w:trPr>
          <w:cantSplit/>
        </w:trPr>
        <w:tc>
          <w:tcPr>
            <w:tcW w:w="3632" w:type="dxa"/>
            <w:shd w:val="clear" w:color="auto" w:fill="auto"/>
          </w:tcPr>
          <w:p w14:paraId="16C0FC78"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lastRenderedPageBreak/>
              <w:t>Tse Hua, Shih, PhD</w:t>
            </w:r>
          </w:p>
        </w:tc>
        <w:tc>
          <w:tcPr>
            <w:tcW w:w="4193" w:type="dxa"/>
            <w:shd w:val="clear" w:color="auto" w:fill="auto"/>
          </w:tcPr>
          <w:p w14:paraId="04A24E68"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77E3D397" w14:textId="77777777" w:rsidTr="001A42C2">
        <w:trPr>
          <w:cantSplit/>
        </w:trPr>
        <w:tc>
          <w:tcPr>
            <w:tcW w:w="3632" w:type="dxa"/>
            <w:shd w:val="clear" w:color="auto" w:fill="auto"/>
          </w:tcPr>
          <w:p w14:paraId="4E35EFCC"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Daniela Smith, MPH</w:t>
            </w:r>
          </w:p>
        </w:tc>
        <w:tc>
          <w:tcPr>
            <w:tcW w:w="4193" w:type="dxa"/>
            <w:shd w:val="clear" w:color="auto" w:fill="auto"/>
          </w:tcPr>
          <w:p w14:paraId="063D4745"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5C45DA1E" w14:textId="77777777" w:rsidTr="001A42C2">
        <w:trPr>
          <w:cantSplit/>
        </w:trPr>
        <w:tc>
          <w:tcPr>
            <w:tcW w:w="3632" w:type="dxa"/>
            <w:shd w:val="clear" w:color="auto" w:fill="auto"/>
            <w:hideMark/>
          </w:tcPr>
          <w:p w14:paraId="7A394A87"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Stephen Tregear, PhD</w:t>
            </w:r>
          </w:p>
        </w:tc>
        <w:tc>
          <w:tcPr>
            <w:tcW w:w="4193" w:type="dxa"/>
            <w:shd w:val="clear" w:color="auto" w:fill="auto"/>
            <w:hideMark/>
          </w:tcPr>
          <w:p w14:paraId="02ED14DB"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3A6E174E" w14:textId="77777777" w:rsidTr="001A42C2">
        <w:trPr>
          <w:cantSplit/>
        </w:trPr>
        <w:tc>
          <w:tcPr>
            <w:tcW w:w="3632" w:type="dxa"/>
            <w:shd w:val="clear" w:color="auto" w:fill="auto"/>
          </w:tcPr>
          <w:p w14:paraId="7ECD9274"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Wendy Watson</w:t>
            </w:r>
          </w:p>
        </w:tc>
        <w:tc>
          <w:tcPr>
            <w:tcW w:w="4193" w:type="dxa"/>
            <w:shd w:val="clear" w:color="auto" w:fill="auto"/>
          </w:tcPr>
          <w:p w14:paraId="2F787004"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110563A0" w14:textId="77777777" w:rsidTr="001A42C2">
        <w:trPr>
          <w:cantSplit/>
        </w:trPr>
        <w:tc>
          <w:tcPr>
            <w:tcW w:w="3632" w:type="dxa"/>
            <w:shd w:val="clear" w:color="auto" w:fill="auto"/>
          </w:tcPr>
          <w:p w14:paraId="2C80DA9D"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Xiaoying Xiong, PhD</w:t>
            </w:r>
          </w:p>
        </w:tc>
        <w:tc>
          <w:tcPr>
            <w:tcW w:w="4193" w:type="dxa"/>
            <w:shd w:val="clear" w:color="auto" w:fill="auto"/>
          </w:tcPr>
          <w:p w14:paraId="664F7341"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0A4051DC" w14:textId="77777777" w:rsidTr="001A42C2">
        <w:trPr>
          <w:cantSplit/>
        </w:trPr>
        <w:tc>
          <w:tcPr>
            <w:tcW w:w="3632" w:type="dxa"/>
            <w:shd w:val="clear" w:color="auto" w:fill="auto"/>
          </w:tcPr>
          <w:p w14:paraId="16CBB0E4"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Patricia Yurchick, RN</w:t>
            </w:r>
          </w:p>
        </w:tc>
        <w:tc>
          <w:tcPr>
            <w:tcW w:w="4193" w:type="dxa"/>
            <w:shd w:val="clear" w:color="auto" w:fill="auto"/>
          </w:tcPr>
          <w:p w14:paraId="1F4DE469"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60F34C3B" w14:textId="77777777" w:rsidTr="001A42C2">
        <w:trPr>
          <w:cantSplit/>
        </w:trPr>
        <w:tc>
          <w:tcPr>
            <w:tcW w:w="3632" w:type="dxa"/>
            <w:shd w:val="clear" w:color="auto" w:fill="auto"/>
          </w:tcPr>
          <w:p w14:paraId="609123DC"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Jia Zhao, PhD</w:t>
            </w:r>
          </w:p>
        </w:tc>
        <w:tc>
          <w:tcPr>
            <w:tcW w:w="4193" w:type="dxa"/>
            <w:shd w:val="clear" w:color="auto" w:fill="auto"/>
          </w:tcPr>
          <w:p w14:paraId="3B199EF1"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Booz Allen Hamilton</w:t>
            </w:r>
          </w:p>
        </w:tc>
      </w:tr>
      <w:tr w:rsidR="0005704C" w:rsidRPr="00146A48" w14:paraId="120C701F" w14:textId="77777777" w:rsidTr="001A42C2">
        <w:trPr>
          <w:cantSplit/>
        </w:trPr>
        <w:tc>
          <w:tcPr>
            <w:tcW w:w="3632" w:type="dxa"/>
            <w:shd w:val="clear" w:color="auto" w:fill="auto"/>
            <w:hideMark/>
          </w:tcPr>
          <w:p w14:paraId="70C0549D"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Allen Dobson, PhD</w:t>
            </w:r>
          </w:p>
        </w:tc>
        <w:tc>
          <w:tcPr>
            <w:tcW w:w="4193" w:type="dxa"/>
            <w:shd w:val="clear" w:color="auto" w:fill="auto"/>
            <w:hideMark/>
          </w:tcPr>
          <w:p w14:paraId="1D7AFB6E"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 xml:space="preserve">Dobson </w:t>
            </w:r>
            <w:proofErr w:type="spellStart"/>
            <w:r w:rsidRPr="00146A48">
              <w:rPr>
                <w:rFonts w:asciiTheme="majorHAnsi" w:hAnsiTheme="majorHAnsi" w:cstheme="majorHAnsi"/>
                <w:sz w:val="22"/>
              </w:rPr>
              <w:t>DaVanzo</w:t>
            </w:r>
            <w:proofErr w:type="spellEnd"/>
            <w:r w:rsidRPr="00146A48">
              <w:rPr>
                <w:rFonts w:asciiTheme="majorHAnsi" w:hAnsiTheme="majorHAnsi" w:cstheme="majorHAnsi"/>
                <w:sz w:val="22"/>
              </w:rPr>
              <w:t xml:space="preserve"> &amp; Associates, LLC</w:t>
            </w:r>
            <w:r w:rsidRPr="00146A48">
              <w:rPr>
                <w:rFonts w:asciiTheme="majorHAnsi" w:hAnsiTheme="majorHAnsi" w:cstheme="majorHAnsi"/>
                <w:sz w:val="22"/>
              </w:rPr>
              <w:t> </w:t>
            </w:r>
          </w:p>
        </w:tc>
      </w:tr>
      <w:tr w:rsidR="0005704C" w:rsidRPr="00146A48" w14:paraId="7ADC83A4" w14:textId="77777777" w:rsidTr="001A42C2">
        <w:trPr>
          <w:cantSplit/>
        </w:trPr>
        <w:tc>
          <w:tcPr>
            <w:tcW w:w="3632" w:type="dxa"/>
            <w:shd w:val="clear" w:color="auto" w:fill="auto"/>
            <w:hideMark/>
          </w:tcPr>
          <w:p w14:paraId="023621D8"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 xml:space="preserve">Joan </w:t>
            </w:r>
            <w:proofErr w:type="spellStart"/>
            <w:r w:rsidRPr="00146A48">
              <w:rPr>
                <w:rFonts w:asciiTheme="majorHAnsi" w:hAnsiTheme="majorHAnsi" w:cstheme="majorHAnsi"/>
                <w:sz w:val="22"/>
              </w:rPr>
              <w:t>DaVanzo</w:t>
            </w:r>
            <w:proofErr w:type="spellEnd"/>
            <w:r w:rsidRPr="00146A48">
              <w:rPr>
                <w:rFonts w:asciiTheme="majorHAnsi" w:hAnsiTheme="majorHAnsi" w:cstheme="majorHAnsi"/>
                <w:sz w:val="22"/>
              </w:rPr>
              <w:t>, PhD, MSW</w:t>
            </w:r>
          </w:p>
        </w:tc>
        <w:tc>
          <w:tcPr>
            <w:tcW w:w="4193" w:type="dxa"/>
            <w:shd w:val="clear" w:color="auto" w:fill="auto"/>
            <w:hideMark/>
          </w:tcPr>
          <w:p w14:paraId="71BD0101"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 xml:space="preserve">Dobson </w:t>
            </w:r>
            <w:proofErr w:type="spellStart"/>
            <w:r w:rsidRPr="00146A48">
              <w:rPr>
                <w:rFonts w:asciiTheme="majorHAnsi" w:hAnsiTheme="majorHAnsi" w:cstheme="majorHAnsi"/>
                <w:sz w:val="22"/>
              </w:rPr>
              <w:t>DaVanzo</w:t>
            </w:r>
            <w:proofErr w:type="spellEnd"/>
            <w:r w:rsidRPr="00146A48">
              <w:rPr>
                <w:rFonts w:asciiTheme="majorHAnsi" w:hAnsiTheme="majorHAnsi" w:cstheme="majorHAnsi"/>
                <w:sz w:val="22"/>
              </w:rPr>
              <w:t xml:space="preserve"> &amp; Associates, LLC</w:t>
            </w:r>
            <w:r w:rsidRPr="00146A48">
              <w:rPr>
                <w:rFonts w:asciiTheme="majorHAnsi" w:hAnsiTheme="majorHAnsi" w:cstheme="majorHAnsi"/>
                <w:sz w:val="22"/>
              </w:rPr>
              <w:t> </w:t>
            </w:r>
          </w:p>
        </w:tc>
      </w:tr>
      <w:tr w:rsidR="003F4927" w:rsidRPr="00146A48" w14:paraId="6FCEABE7" w14:textId="77777777" w:rsidTr="001A42C2">
        <w:trPr>
          <w:cantSplit/>
        </w:trPr>
        <w:tc>
          <w:tcPr>
            <w:tcW w:w="3632" w:type="dxa"/>
            <w:shd w:val="clear" w:color="auto" w:fill="auto"/>
          </w:tcPr>
          <w:p w14:paraId="78B31A4B" w14:textId="77777777" w:rsidR="003F4927" w:rsidRPr="00146A48" w:rsidRDefault="003F4927" w:rsidP="00FB72AA">
            <w:pPr>
              <w:spacing w:before="60" w:after="60"/>
              <w:rPr>
                <w:rFonts w:asciiTheme="majorHAnsi" w:hAnsiTheme="majorHAnsi" w:cstheme="majorHAnsi"/>
                <w:sz w:val="22"/>
              </w:rPr>
            </w:pPr>
            <w:r>
              <w:rPr>
                <w:rFonts w:asciiTheme="majorHAnsi" w:hAnsiTheme="majorHAnsi" w:cstheme="majorHAnsi"/>
                <w:sz w:val="22"/>
              </w:rPr>
              <w:t>James Cassese</w:t>
            </w:r>
          </w:p>
        </w:tc>
        <w:tc>
          <w:tcPr>
            <w:tcW w:w="4193" w:type="dxa"/>
            <w:shd w:val="clear" w:color="auto" w:fill="auto"/>
          </w:tcPr>
          <w:p w14:paraId="0A04A8DC" w14:textId="77777777" w:rsidR="003F4927" w:rsidRPr="00146A48" w:rsidRDefault="003F4927" w:rsidP="00FB72AA">
            <w:pPr>
              <w:spacing w:before="60" w:after="60"/>
              <w:rPr>
                <w:rFonts w:asciiTheme="majorHAnsi" w:hAnsiTheme="majorHAnsi" w:cstheme="majorHAnsi"/>
                <w:sz w:val="22"/>
              </w:rPr>
            </w:pPr>
            <w:r w:rsidRPr="00146A48">
              <w:rPr>
                <w:rFonts w:asciiTheme="majorHAnsi" w:hAnsiTheme="majorHAnsi" w:cstheme="majorHAnsi"/>
                <w:sz w:val="22"/>
              </w:rPr>
              <w:t xml:space="preserve">Dobson </w:t>
            </w:r>
            <w:proofErr w:type="spellStart"/>
            <w:r w:rsidRPr="00146A48">
              <w:rPr>
                <w:rFonts w:asciiTheme="majorHAnsi" w:hAnsiTheme="majorHAnsi" w:cstheme="majorHAnsi"/>
                <w:sz w:val="22"/>
              </w:rPr>
              <w:t>DaVanzo</w:t>
            </w:r>
            <w:proofErr w:type="spellEnd"/>
            <w:r w:rsidRPr="00146A48">
              <w:rPr>
                <w:rFonts w:asciiTheme="majorHAnsi" w:hAnsiTheme="majorHAnsi" w:cstheme="majorHAnsi"/>
                <w:sz w:val="22"/>
              </w:rPr>
              <w:t xml:space="preserve"> &amp; Associates, LLC</w:t>
            </w:r>
          </w:p>
        </w:tc>
      </w:tr>
      <w:tr w:rsidR="0005704C" w:rsidRPr="00146A48" w14:paraId="5CA6D80E" w14:textId="77777777" w:rsidTr="001A42C2">
        <w:trPr>
          <w:cantSplit/>
        </w:trPr>
        <w:tc>
          <w:tcPr>
            <w:tcW w:w="3632" w:type="dxa"/>
            <w:shd w:val="clear" w:color="auto" w:fill="auto"/>
          </w:tcPr>
          <w:p w14:paraId="66A5AEA8"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Zachary Lewis, MA</w:t>
            </w:r>
          </w:p>
        </w:tc>
        <w:tc>
          <w:tcPr>
            <w:tcW w:w="4193" w:type="dxa"/>
            <w:shd w:val="clear" w:color="auto" w:fill="auto"/>
          </w:tcPr>
          <w:p w14:paraId="7D2A590A" w14:textId="77777777" w:rsidR="0005704C" w:rsidRPr="00146A48" w:rsidRDefault="0005704C" w:rsidP="00FB72AA">
            <w:pPr>
              <w:spacing w:before="60" w:after="60"/>
              <w:rPr>
                <w:rFonts w:asciiTheme="majorHAnsi" w:hAnsiTheme="majorHAnsi" w:cstheme="majorHAnsi"/>
                <w:sz w:val="22"/>
              </w:rPr>
            </w:pPr>
            <w:proofErr w:type="spellStart"/>
            <w:r w:rsidRPr="00146A48">
              <w:rPr>
                <w:rFonts w:asciiTheme="majorHAnsi" w:hAnsiTheme="majorHAnsi" w:cstheme="majorHAnsi"/>
                <w:sz w:val="22"/>
                <w:lang w:eastAsia="zh-TW"/>
              </w:rPr>
              <w:t>Ipsos</w:t>
            </w:r>
            <w:proofErr w:type="spellEnd"/>
          </w:p>
        </w:tc>
      </w:tr>
      <w:tr w:rsidR="0005704C" w:rsidRPr="00146A48" w14:paraId="5A76E047" w14:textId="77777777" w:rsidTr="001A42C2">
        <w:trPr>
          <w:cantSplit/>
        </w:trPr>
        <w:tc>
          <w:tcPr>
            <w:tcW w:w="3632" w:type="dxa"/>
            <w:shd w:val="clear" w:color="auto" w:fill="auto"/>
          </w:tcPr>
          <w:p w14:paraId="07BB8202"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rPr>
              <w:t>Omar Pedraza, MPH</w:t>
            </w:r>
          </w:p>
        </w:tc>
        <w:tc>
          <w:tcPr>
            <w:tcW w:w="4193" w:type="dxa"/>
            <w:shd w:val="clear" w:color="auto" w:fill="auto"/>
          </w:tcPr>
          <w:p w14:paraId="3F772FF0" w14:textId="77777777" w:rsidR="0005704C" w:rsidRPr="00146A48" w:rsidRDefault="0005704C" w:rsidP="00FB72AA">
            <w:pPr>
              <w:spacing w:before="60" w:after="60"/>
              <w:rPr>
                <w:rFonts w:asciiTheme="majorHAnsi" w:hAnsiTheme="majorHAnsi" w:cstheme="majorHAnsi"/>
                <w:sz w:val="22"/>
              </w:rPr>
            </w:pPr>
            <w:proofErr w:type="spellStart"/>
            <w:r w:rsidRPr="00146A48">
              <w:rPr>
                <w:rFonts w:asciiTheme="majorHAnsi" w:hAnsiTheme="majorHAnsi" w:cstheme="majorHAnsi"/>
                <w:sz w:val="22"/>
                <w:lang w:eastAsia="zh-TW"/>
              </w:rPr>
              <w:t>Ipsos</w:t>
            </w:r>
            <w:proofErr w:type="spellEnd"/>
          </w:p>
        </w:tc>
      </w:tr>
      <w:tr w:rsidR="0005704C" w:rsidRPr="00146A48" w14:paraId="1D827D9A" w14:textId="77777777" w:rsidTr="001A42C2">
        <w:trPr>
          <w:cantSplit/>
        </w:trPr>
        <w:tc>
          <w:tcPr>
            <w:tcW w:w="3632" w:type="dxa"/>
            <w:shd w:val="clear" w:color="auto" w:fill="auto"/>
          </w:tcPr>
          <w:p w14:paraId="1D86F8AF" w14:textId="77777777" w:rsidR="0005704C" w:rsidRPr="00146A48" w:rsidRDefault="0005704C" w:rsidP="00FB72AA">
            <w:pPr>
              <w:spacing w:before="60" w:after="60"/>
              <w:rPr>
                <w:rFonts w:asciiTheme="majorHAnsi" w:hAnsiTheme="majorHAnsi" w:cstheme="majorHAnsi"/>
                <w:sz w:val="22"/>
              </w:rPr>
            </w:pPr>
            <w:r w:rsidRPr="00146A48">
              <w:rPr>
                <w:rFonts w:asciiTheme="majorHAnsi" w:hAnsiTheme="majorHAnsi" w:cstheme="majorHAnsi"/>
                <w:sz w:val="22"/>
                <w:lang w:eastAsia="zh-TW"/>
              </w:rPr>
              <w:t xml:space="preserve">Alan </w:t>
            </w:r>
            <w:proofErr w:type="spellStart"/>
            <w:r w:rsidRPr="00146A48">
              <w:rPr>
                <w:rFonts w:asciiTheme="majorHAnsi" w:hAnsiTheme="majorHAnsi" w:cstheme="majorHAnsi"/>
                <w:sz w:val="22"/>
                <w:lang w:eastAsia="zh-TW"/>
              </w:rPr>
              <w:t>Roshwalb</w:t>
            </w:r>
            <w:proofErr w:type="spellEnd"/>
            <w:r w:rsidRPr="00146A48">
              <w:rPr>
                <w:rFonts w:asciiTheme="majorHAnsi" w:hAnsiTheme="majorHAnsi" w:cstheme="majorHAnsi"/>
                <w:sz w:val="22"/>
                <w:lang w:eastAsia="zh-TW"/>
              </w:rPr>
              <w:t>, PhD</w:t>
            </w:r>
          </w:p>
        </w:tc>
        <w:tc>
          <w:tcPr>
            <w:tcW w:w="4193" w:type="dxa"/>
            <w:shd w:val="clear" w:color="auto" w:fill="auto"/>
          </w:tcPr>
          <w:p w14:paraId="5DFF12D6" w14:textId="77777777" w:rsidR="0005704C" w:rsidRPr="00146A48" w:rsidRDefault="0005704C" w:rsidP="00FB72AA">
            <w:pPr>
              <w:spacing w:before="60" w:after="60"/>
              <w:rPr>
                <w:rFonts w:asciiTheme="majorHAnsi" w:hAnsiTheme="majorHAnsi" w:cstheme="majorHAnsi"/>
                <w:sz w:val="22"/>
              </w:rPr>
            </w:pPr>
            <w:proofErr w:type="spellStart"/>
            <w:r w:rsidRPr="00146A48">
              <w:rPr>
                <w:rFonts w:asciiTheme="majorHAnsi" w:hAnsiTheme="majorHAnsi" w:cstheme="majorHAnsi"/>
                <w:sz w:val="22"/>
                <w:lang w:eastAsia="zh-TW"/>
              </w:rPr>
              <w:t>Ipsos</w:t>
            </w:r>
            <w:proofErr w:type="spellEnd"/>
          </w:p>
        </w:tc>
      </w:tr>
      <w:tr w:rsidR="0005704C" w:rsidRPr="00146A48" w14:paraId="1C4A7535" w14:textId="77777777" w:rsidTr="001A42C2">
        <w:trPr>
          <w:cantSplit/>
        </w:trPr>
        <w:tc>
          <w:tcPr>
            <w:tcW w:w="3632" w:type="dxa"/>
            <w:shd w:val="clear" w:color="auto" w:fill="FFFFFF"/>
          </w:tcPr>
          <w:p w14:paraId="321938F7" w14:textId="77777777" w:rsidR="0005704C" w:rsidRPr="00146A48" w:rsidRDefault="0005704C" w:rsidP="00FB72AA">
            <w:pPr>
              <w:spacing w:before="60" w:after="60"/>
              <w:rPr>
                <w:rFonts w:asciiTheme="majorHAnsi" w:hAnsiTheme="majorHAnsi" w:cstheme="majorHAnsi"/>
                <w:sz w:val="22"/>
                <w:lang w:eastAsia="zh-TW"/>
              </w:rPr>
            </w:pPr>
            <w:r w:rsidRPr="00146A48">
              <w:rPr>
                <w:rFonts w:asciiTheme="majorHAnsi" w:hAnsiTheme="majorHAnsi" w:cstheme="majorHAnsi"/>
                <w:sz w:val="22"/>
                <w:lang w:eastAsia="zh-TW"/>
              </w:rPr>
              <w:t>Mark Andrews, MA</w:t>
            </w:r>
          </w:p>
        </w:tc>
        <w:tc>
          <w:tcPr>
            <w:tcW w:w="4193" w:type="dxa"/>
            <w:shd w:val="clear" w:color="auto" w:fill="FFFFFF"/>
          </w:tcPr>
          <w:p w14:paraId="0CAB222B" w14:textId="77777777" w:rsidR="0005704C" w:rsidRPr="00146A48" w:rsidRDefault="0005704C" w:rsidP="00FB72AA">
            <w:pPr>
              <w:spacing w:before="60" w:after="60"/>
              <w:rPr>
                <w:rFonts w:asciiTheme="majorHAnsi" w:hAnsiTheme="majorHAnsi" w:cstheme="majorHAnsi"/>
                <w:sz w:val="22"/>
                <w:lang w:eastAsia="zh-TW"/>
              </w:rPr>
            </w:pPr>
            <w:proofErr w:type="spellStart"/>
            <w:r w:rsidRPr="00146A48">
              <w:rPr>
                <w:rFonts w:asciiTheme="majorHAnsi" w:hAnsiTheme="majorHAnsi" w:cstheme="majorHAnsi"/>
                <w:sz w:val="22"/>
                <w:lang w:eastAsia="zh-TW"/>
              </w:rPr>
              <w:t>Ipsos</w:t>
            </w:r>
            <w:proofErr w:type="spellEnd"/>
          </w:p>
        </w:tc>
      </w:tr>
    </w:tbl>
    <w:p w14:paraId="6F7F44D3" w14:textId="77777777" w:rsidR="00FB72AA" w:rsidRDefault="00FB72AA" w:rsidP="00FB72AA"/>
    <w:p w14:paraId="008032F0" w14:textId="77777777" w:rsidR="0005704C" w:rsidRPr="009A467F" w:rsidRDefault="0005704C" w:rsidP="001A42C2">
      <w:pPr>
        <w:keepNext/>
        <w:spacing w:before="60" w:after="60"/>
      </w:pPr>
      <w:r w:rsidRPr="009A467F">
        <w:fldChar w:fldCharType="begin"/>
      </w:r>
      <w:r w:rsidRPr="009A467F">
        <w:instrText xml:space="preserve"> REF _Ref435096043 \h  \* MERGEFORMAT </w:instrText>
      </w:r>
      <w:r w:rsidRPr="009A467F">
        <w:fldChar w:fldCharType="separate"/>
      </w:r>
      <w:r w:rsidR="00146A48">
        <w:t xml:space="preserve">Table </w:t>
      </w:r>
      <w:r w:rsidR="00146A48">
        <w:rPr>
          <w:noProof/>
        </w:rPr>
        <w:t>6</w:t>
      </w:r>
      <w:r w:rsidRPr="009A467F">
        <w:fldChar w:fldCharType="end"/>
      </w:r>
      <w:r w:rsidRPr="009A467F">
        <w:t xml:space="preserve"> shows the name of CMS staff who advised on survey design.</w:t>
      </w:r>
    </w:p>
    <w:p w14:paraId="512EE466" w14:textId="77777777" w:rsidR="0005704C" w:rsidRPr="009A467F" w:rsidRDefault="00FB72AA" w:rsidP="00FB72AA">
      <w:pPr>
        <w:pStyle w:val="Caption"/>
      </w:pPr>
      <w:bookmarkStart w:id="51" w:name="_Ref435096043"/>
      <w:r>
        <w:t xml:space="preserve">Table </w:t>
      </w:r>
      <w:r w:rsidR="00CD2F3F">
        <w:fldChar w:fldCharType="begin"/>
      </w:r>
      <w:r w:rsidR="00CD2F3F">
        <w:instrText xml:space="preserve"> SEQ Table \* ARABIC </w:instrText>
      </w:r>
      <w:r w:rsidR="00CD2F3F">
        <w:fldChar w:fldCharType="separate"/>
      </w:r>
      <w:r w:rsidR="00146A48">
        <w:rPr>
          <w:noProof/>
        </w:rPr>
        <w:t>6</w:t>
      </w:r>
      <w:r w:rsidR="00CD2F3F">
        <w:rPr>
          <w:noProof/>
        </w:rPr>
        <w:fldChar w:fldCharType="end"/>
      </w:r>
      <w:bookmarkEnd w:id="51"/>
      <w:r w:rsidR="00596ADC">
        <w:t>:</w:t>
      </w:r>
      <w:r w:rsidR="0005704C" w:rsidRPr="009A467F">
        <w:t xml:space="preserve"> CMS Staff </w:t>
      </w:r>
      <w:r w:rsidR="00146A48">
        <w:t>W</w:t>
      </w:r>
      <w:r w:rsidR="0005704C" w:rsidRPr="009A467F">
        <w:t>ho Advised on Survey Design</w:t>
      </w:r>
    </w:p>
    <w:tbl>
      <w:tblPr>
        <w:tblW w:w="78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151"/>
      </w:tblGrid>
      <w:tr w:rsidR="0005704C" w:rsidRPr="00146A48" w14:paraId="78ABC9B6" w14:textId="77777777" w:rsidTr="001A42C2">
        <w:trPr>
          <w:cantSplit/>
          <w:tblHeader/>
        </w:trPr>
        <w:tc>
          <w:tcPr>
            <w:tcW w:w="3674" w:type="dxa"/>
            <w:shd w:val="clear" w:color="auto" w:fill="D0CECE" w:themeFill="background2" w:themeFillShade="E6"/>
            <w:vAlign w:val="center"/>
            <w:hideMark/>
          </w:tcPr>
          <w:p w14:paraId="0EFCF447" w14:textId="77777777" w:rsidR="0005704C" w:rsidRPr="00146A48" w:rsidRDefault="0005704C" w:rsidP="001A42C2">
            <w:pPr>
              <w:keepNext/>
              <w:spacing w:before="60" w:after="60"/>
              <w:rPr>
                <w:b/>
                <w:sz w:val="22"/>
              </w:rPr>
            </w:pPr>
            <w:r w:rsidRPr="00146A48">
              <w:rPr>
                <w:b/>
                <w:sz w:val="22"/>
              </w:rPr>
              <w:t>Name</w:t>
            </w:r>
          </w:p>
        </w:tc>
        <w:tc>
          <w:tcPr>
            <w:tcW w:w="4151" w:type="dxa"/>
            <w:shd w:val="clear" w:color="auto" w:fill="D0CECE" w:themeFill="background2" w:themeFillShade="E6"/>
            <w:vAlign w:val="center"/>
            <w:hideMark/>
          </w:tcPr>
          <w:p w14:paraId="1933F0DB" w14:textId="77777777" w:rsidR="0005704C" w:rsidRPr="00146A48" w:rsidRDefault="0005704C" w:rsidP="001A42C2">
            <w:pPr>
              <w:keepNext/>
              <w:spacing w:before="60" w:after="60"/>
              <w:rPr>
                <w:b/>
                <w:sz w:val="22"/>
              </w:rPr>
            </w:pPr>
            <w:r w:rsidRPr="00146A48">
              <w:rPr>
                <w:b/>
                <w:sz w:val="22"/>
              </w:rPr>
              <w:t>Affiliation</w:t>
            </w:r>
          </w:p>
        </w:tc>
      </w:tr>
      <w:tr w:rsidR="0005704C" w:rsidRPr="00146A48" w14:paraId="07AE048F" w14:textId="77777777" w:rsidTr="001A42C2">
        <w:trPr>
          <w:cantSplit/>
        </w:trPr>
        <w:tc>
          <w:tcPr>
            <w:tcW w:w="3674" w:type="dxa"/>
            <w:shd w:val="clear" w:color="auto" w:fill="auto"/>
            <w:hideMark/>
          </w:tcPr>
          <w:p w14:paraId="7166483F" w14:textId="77777777" w:rsidR="0005704C" w:rsidRPr="00146A48" w:rsidRDefault="0005704C" w:rsidP="001A42C2">
            <w:pPr>
              <w:keepNext/>
              <w:spacing w:before="60" w:after="60"/>
              <w:rPr>
                <w:sz w:val="22"/>
              </w:rPr>
            </w:pPr>
            <w:r w:rsidRPr="00146A48">
              <w:rPr>
                <w:sz w:val="22"/>
              </w:rPr>
              <w:t>Robert Kambic, MA</w:t>
            </w:r>
          </w:p>
        </w:tc>
        <w:tc>
          <w:tcPr>
            <w:tcW w:w="4151" w:type="dxa"/>
            <w:shd w:val="clear" w:color="auto" w:fill="auto"/>
            <w:hideMark/>
          </w:tcPr>
          <w:p w14:paraId="7BEE7FE9" w14:textId="77777777" w:rsidR="0005704C" w:rsidRPr="00146A48" w:rsidRDefault="00966109" w:rsidP="001A42C2">
            <w:pPr>
              <w:keepNext/>
              <w:spacing w:before="60" w:after="60"/>
              <w:rPr>
                <w:sz w:val="22"/>
              </w:rPr>
            </w:pPr>
            <w:r>
              <w:rPr>
                <w:sz w:val="22"/>
              </w:rPr>
              <w:t>Center for</w:t>
            </w:r>
            <w:r w:rsidR="0005704C" w:rsidRPr="00146A48">
              <w:rPr>
                <w:sz w:val="22"/>
              </w:rPr>
              <w:t xml:space="preserve"> Clinical Standards and Quality</w:t>
            </w:r>
          </w:p>
        </w:tc>
      </w:tr>
      <w:tr w:rsidR="0005704C" w:rsidRPr="00146A48" w14:paraId="628F9996" w14:textId="77777777" w:rsidTr="001A42C2">
        <w:trPr>
          <w:cantSplit/>
        </w:trPr>
        <w:tc>
          <w:tcPr>
            <w:tcW w:w="3674" w:type="dxa"/>
            <w:shd w:val="clear" w:color="auto" w:fill="auto"/>
          </w:tcPr>
          <w:p w14:paraId="39F19F9E" w14:textId="77777777" w:rsidR="0005704C" w:rsidRPr="00146A48" w:rsidRDefault="0005704C" w:rsidP="001A42C2">
            <w:pPr>
              <w:keepNext/>
              <w:spacing w:before="60" w:after="60"/>
              <w:rPr>
                <w:sz w:val="22"/>
              </w:rPr>
            </w:pPr>
            <w:r w:rsidRPr="00146A48">
              <w:rPr>
                <w:sz w:val="22"/>
              </w:rPr>
              <w:t>Nancy Sonnenfeld, PhD</w:t>
            </w:r>
          </w:p>
        </w:tc>
        <w:tc>
          <w:tcPr>
            <w:tcW w:w="4151" w:type="dxa"/>
            <w:shd w:val="clear" w:color="auto" w:fill="auto"/>
          </w:tcPr>
          <w:p w14:paraId="058536AF" w14:textId="77777777" w:rsidR="0005704C" w:rsidRPr="00146A48" w:rsidRDefault="00966109" w:rsidP="001A42C2">
            <w:pPr>
              <w:keepNext/>
              <w:spacing w:before="60" w:after="60"/>
              <w:rPr>
                <w:sz w:val="22"/>
              </w:rPr>
            </w:pPr>
            <w:r>
              <w:rPr>
                <w:sz w:val="22"/>
              </w:rPr>
              <w:t>Center for</w:t>
            </w:r>
            <w:r w:rsidR="0005704C" w:rsidRPr="00146A48">
              <w:rPr>
                <w:sz w:val="22"/>
              </w:rPr>
              <w:t xml:space="preserve"> Clinical Standards and Quality</w:t>
            </w:r>
          </w:p>
        </w:tc>
      </w:tr>
      <w:tr w:rsidR="0005704C" w:rsidRPr="00146A48" w14:paraId="1F28E231" w14:textId="77777777" w:rsidTr="001A42C2">
        <w:trPr>
          <w:cantSplit/>
        </w:trPr>
        <w:tc>
          <w:tcPr>
            <w:tcW w:w="3674" w:type="dxa"/>
            <w:shd w:val="clear" w:color="auto" w:fill="auto"/>
          </w:tcPr>
          <w:p w14:paraId="3A03EA4E" w14:textId="77777777" w:rsidR="0005704C" w:rsidRPr="00146A48" w:rsidRDefault="0005704C" w:rsidP="001A42C2">
            <w:pPr>
              <w:keepNext/>
              <w:spacing w:before="60" w:after="60"/>
              <w:rPr>
                <w:sz w:val="22"/>
              </w:rPr>
            </w:pPr>
            <w:r w:rsidRPr="00146A48">
              <w:rPr>
                <w:sz w:val="22"/>
              </w:rPr>
              <w:t xml:space="preserve">Lawrence </w:t>
            </w:r>
            <w:proofErr w:type="spellStart"/>
            <w:r w:rsidRPr="00146A48">
              <w:rPr>
                <w:sz w:val="22"/>
              </w:rPr>
              <w:t>LaVoie</w:t>
            </w:r>
            <w:proofErr w:type="spellEnd"/>
            <w:r w:rsidRPr="00146A48">
              <w:rPr>
                <w:sz w:val="22"/>
              </w:rPr>
              <w:t>, PhD</w:t>
            </w:r>
          </w:p>
        </w:tc>
        <w:tc>
          <w:tcPr>
            <w:tcW w:w="4151" w:type="dxa"/>
            <w:shd w:val="clear" w:color="auto" w:fill="auto"/>
          </w:tcPr>
          <w:p w14:paraId="434091DF" w14:textId="77777777" w:rsidR="0005704C" w:rsidRPr="00146A48" w:rsidRDefault="00966109" w:rsidP="001A42C2">
            <w:pPr>
              <w:keepNext/>
              <w:spacing w:before="60" w:after="60"/>
              <w:rPr>
                <w:sz w:val="22"/>
              </w:rPr>
            </w:pPr>
            <w:r>
              <w:rPr>
                <w:sz w:val="22"/>
              </w:rPr>
              <w:t>Center for</w:t>
            </w:r>
            <w:r w:rsidR="0005704C" w:rsidRPr="00146A48">
              <w:rPr>
                <w:sz w:val="22"/>
              </w:rPr>
              <w:t xml:space="preserve"> Clinical Standards and Quality</w:t>
            </w:r>
          </w:p>
        </w:tc>
      </w:tr>
      <w:tr w:rsidR="004A49DE" w:rsidRPr="00146A48" w14:paraId="4C4CCA7B" w14:textId="77777777" w:rsidTr="001A42C2">
        <w:trPr>
          <w:cantSplit/>
        </w:trPr>
        <w:tc>
          <w:tcPr>
            <w:tcW w:w="3674" w:type="dxa"/>
            <w:shd w:val="clear" w:color="auto" w:fill="auto"/>
          </w:tcPr>
          <w:p w14:paraId="7E7A44E5" w14:textId="77777777" w:rsidR="004A49DE" w:rsidRPr="00146A48" w:rsidRDefault="004A49DE" w:rsidP="00FB72AA">
            <w:pPr>
              <w:spacing w:before="60" w:after="60"/>
              <w:rPr>
                <w:sz w:val="22"/>
              </w:rPr>
            </w:pPr>
            <w:r>
              <w:rPr>
                <w:sz w:val="22"/>
              </w:rPr>
              <w:t>Edward Mortimore, PhD</w:t>
            </w:r>
          </w:p>
        </w:tc>
        <w:tc>
          <w:tcPr>
            <w:tcW w:w="4151" w:type="dxa"/>
            <w:shd w:val="clear" w:color="auto" w:fill="auto"/>
          </w:tcPr>
          <w:p w14:paraId="33B1EFE4" w14:textId="77777777" w:rsidR="004A49DE" w:rsidRDefault="005D1977" w:rsidP="00966109">
            <w:pPr>
              <w:spacing w:before="60" w:after="60"/>
              <w:rPr>
                <w:sz w:val="22"/>
              </w:rPr>
            </w:pPr>
            <w:r>
              <w:rPr>
                <w:sz w:val="22"/>
              </w:rPr>
              <w:t>Center for</w:t>
            </w:r>
            <w:r w:rsidRPr="00146A48">
              <w:rPr>
                <w:sz w:val="22"/>
              </w:rPr>
              <w:t xml:space="preserve"> Clinical Standards and Quality</w:t>
            </w:r>
          </w:p>
        </w:tc>
      </w:tr>
    </w:tbl>
    <w:p w14:paraId="3900A38E" w14:textId="77777777" w:rsidR="00A87CDD" w:rsidRPr="0005704C" w:rsidRDefault="00A87CDD" w:rsidP="0005704C"/>
    <w:sectPr w:rsidR="00A87CDD" w:rsidRPr="0005704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EADC5" w14:textId="77777777" w:rsidR="00CD2F3F" w:rsidRDefault="00CD2F3F" w:rsidP="00A87CDD">
      <w:pPr>
        <w:spacing w:after="0"/>
      </w:pPr>
      <w:r>
        <w:separator/>
      </w:r>
    </w:p>
  </w:endnote>
  <w:endnote w:type="continuationSeparator" w:id="0">
    <w:p w14:paraId="21B5BB51" w14:textId="77777777" w:rsidR="00CD2F3F" w:rsidRDefault="00CD2F3F" w:rsidP="00A87CDD">
      <w:pPr>
        <w:spacing w:after="0"/>
      </w:pPr>
      <w:r>
        <w:continuationSeparator/>
      </w:r>
    </w:p>
  </w:endnote>
  <w:endnote w:type="continuationNotice" w:id="1">
    <w:p w14:paraId="4DE29C1F" w14:textId="77777777" w:rsidR="00CD2F3F" w:rsidRDefault="00CD2F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2BFA3" w14:textId="38C8BAE8" w:rsidR="00CA105D" w:rsidRDefault="00CA105D" w:rsidP="00A87CDD">
    <w:pPr>
      <w:pStyle w:val="Header"/>
      <w:jc w:val="center"/>
    </w:pPr>
    <w:r>
      <w:fldChar w:fldCharType="begin"/>
    </w:r>
    <w:r>
      <w:instrText xml:space="preserve"> PAGE   \* MERGEFORMAT </w:instrText>
    </w:r>
    <w:r>
      <w:fldChar w:fldCharType="separate"/>
    </w:r>
    <w:r w:rsidR="00E75038">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B84A8" w14:textId="77777777" w:rsidR="00CD2F3F" w:rsidRDefault="00CD2F3F" w:rsidP="00A87CDD">
      <w:pPr>
        <w:spacing w:after="0"/>
      </w:pPr>
      <w:r>
        <w:separator/>
      </w:r>
    </w:p>
  </w:footnote>
  <w:footnote w:type="continuationSeparator" w:id="0">
    <w:p w14:paraId="5864CC5B" w14:textId="77777777" w:rsidR="00CD2F3F" w:rsidRDefault="00CD2F3F" w:rsidP="00A87CDD">
      <w:pPr>
        <w:spacing w:after="0"/>
      </w:pPr>
      <w:r>
        <w:continuationSeparator/>
      </w:r>
    </w:p>
  </w:footnote>
  <w:footnote w:type="continuationNotice" w:id="1">
    <w:p w14:paraId="6846FD9A" w14:textId="77777777" w:rsidR="00CD2F3F" w:rsidRDefault="00CD2F3F">
      <w:pPr>
        <w:spacing w:after="0"/>
      </w:pPr>
    </w:p>
  </w:footnote>
  <w:footnote w:id="2">
    <w:p w14:paraId="03CB1D6E" w14:textId="53B19D97" w:rsidR="00CA105D" w:rsidRDefault="00CA105D">
      <w:pPr>
        <w:pStyle w:val="FootnoteText"/>
      </w:pPr>
      <w:r>
        <w:rPr>
          <w:rStyle w:val="FootnoteReference"/>
        </w:rPr>
        <w:footnoteRef/>
      </w:r>
      <w:r>
        <w:t xml:space="preserve"> There are 13 QIN-QIO regions made up of one or more states (plus Washington, DC, Puerto Rico, and the U.S. Virgin Islands)</w:t>
      </w:r>
      <w:r w:rsidR="00B30C00">
        <w:t>.</w:t>
      </w:r>
      <w:r>
        <w:t xml:space="preserve"> Subsequent references to “geographic distribution” address these QIN-QIO regions.</w:t>
      </w:r>
    </w:p>
  </w:footnote>
  <w:footnote w:id="3">
    <w:p w14:paraId="2234A4BC" w14:textId="77777777" w:rsidR="00CA105D" w:rsidRDefault="00CA105D" w:rsidP="00FB72AA">
      <w:pPr>
        <w:pStyle w:val="FootnoteText"/>
      </w:pPr>
      <w:r>
        <w:rPr>
          <w:rStyle w:val="FootnoteReference"/>
        </w:rPr>
        <w:footnoteRef/>
      </w:r>
      <w:r>
        <w:t xml:space="preserve"> </w:t>
      </w:r>
      <w:proofErr w:type="spellStart"/>
      <w:r>
        <w:rPr>
          <w:shd w:val="clear" w:color="auto" w:fill="FFFFFF"/>
        </w:rPr>
        <w:t>Dillman</w:t>
      </w:r>
      <w:proofErr w:type="spellEnd"/>
      <w:r>
        <w:rPr>
          <w:shd w:val="clear" w:color="auto" w:fill="FFFFFF"/>
        </w:rPr>
        <w:t>, D. A. (2000).</w:t>
      </w:r>
      <w:r>
        <w:rPr>
          <w:rStyle w:val="apple-converted-space"/>
          <w:rFonts w:ascii="Arial" w:hAnsi="Arial" w:cs="Arial"/>
          <w:color w:val="222222"/>
          <w:shd w:val="clear" w:color="auto" w:fill="FFFFFF"/>
        </w:rPr>
        <w:t> </w:t>
      </w:r>
      <w:r w:rsidRPr="00FB72AA">
        <w:rPr>
          <w:i/>
          <w:shd w:val="clear" w:color="auto" w:fill="FFFFFF"/>
        </w:rPr>
        <w:t>Mail and internet surveys: The tailored design method</w:t>
      </w:r>
      <w:r>
        <w:rPr>
          <w:shd w:val="clear" w:color="auto" w:fill="FFFFFF"/>
        </w:rPr>
        <w:t xml:space="preserve"> (Vol. 2). New York: Wiley.</w:t>
      </w:r>
    </w:p>
  </w:footnote>
  <w:footnote w:id="4">
    <w:p w14:paraId="58A0745F" w14:textId="77777777" w:rsidR="00CA105D" w:rsidRDefault="00CA105D">
      <w:pPr>
        <w:pStyle w:val="FootnoteText"/>
      </w:pPr>
      <w:r>
        <w:rPr>
          <w:rStyle w:val="FootnoteReference"/>
        </w:rPr>
        <w:footnoteRef/>
      </w:r>
      <w:r>
        <w:t xml:space="preserve"> </w:t>
      </w:r>
      <w:r w:rsidRPr="002108D8">
        <w:rPr>
          <w:color w:val="222222"/>
          <w:szCs w:val="22"/>
        </w:rPr>
        <w:t xml:space="preserve">Pit, S. W., </w:t>
      </w:r>
      <w:proofErr w:type="gramStart"/>
      <w:r w:rsidRPr="002108D8">
        <w:rPr>
          <w:color w:val="222222"/>
          <w:szCs w:val="22"/>
        </w:rPr>
        <w:t>Vo</w:t>
      </w:r>
      <w:proofErr w:type="gramEnd"/>
      <w:r w:rsidRPr="002108D8">
        <w:rPr>
          <w:color w:val="222222"/>
          <w:szCs w:val="22"/>
        </w:rPr>
        <w:t xml:space="preserve">, T., &amp; </w:t>
      </w:r>
      <w:proofErr w:type="spellStart"/>
      <w:r w:rsidRPr="002108D8">
        <w:rPr>
          <w:color w:val="222222"/>
          <w:szCs w:val="22"/>
        </w:rPr>
        <w:t>Pyakurel</w:t>
      </w:r>
      <w:proofErr w:type="spellEnd"/>
      <w:r w:rsidRPr="002108D8">
        <w:rPr>
          <w:color w:val="222222"/>
          <w:szCs w:val="22"/>
        </w:rPr>
        <w:t xml:space="preserve">, S. (2014). The effectiveness of recruitment strategies on general practitioner’s survey response rates–a systematic review. </w:t>
      </w:r>
      <w:r w:rsidRPr="002108D8">
        <w:rPr>
          <w:i/>
          <w:color w:val="222222"/>
          <w:szCs w:val="22"/>
        </w:rPr>
        <w:t>BMC medical research methodology, 14</w:t>
      </w:r>
      <w:r w:rsidRPr="002108D8">
        <w:rPr>
          <w:color w:val="222222"/>
          <w:szCs w:val="22"/>
        </w:rPr>
        <w:t>(1),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8BCEF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3D6194"/>
    <w:multiLevelType w:val="multilevel"/>
    <w:tmpl w:val="DAF48430"/>
    <w:styleLink w:val="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2430C"/>
    <w:multiLevelType w:val="hybridMultilevel"/>
    <w:tmpl w:val="C88A0D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E0F4E"/>
    <w:multiLevelType w:val="hybridMultilevel"/>
    <w:tmpl w:val="A3FA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D501C"/>
    <w:multiLevelType w:val="hybridMultilevel"/>
    <w:tmpl w:val="DF86DB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5E5BE0"/>
    <w:multiLevelType w:val="hybridMultilevel"/>
    <w:tmpl w:val="D1184426"/>
    <w:lvl w:ilvl="0" w:tplc="DF38FF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A3570"/>
    <w:multiLevelType w:val="multilevel"/>
    <w:tmpl w:val="3B6CECE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B510189"/>
    <w:multiLevelType w:val="hybridMultilevel"/>
    <w:tmpl w:val="0BF64CFC"/>
    <w:lvl w:ilvl="0" w:tplc="E3665736">
      <w:start w:val="1"/>
      <w:numFmt w:val="decimal"/>
      <w:lvlText w:val="%1."/>
      <w:lvlJc w:val="left"/>
      <w:pPr>
        <w:ind w:left="2160" w:hanging="360"/>
      </w:pPr>
      <w:rPr>
        <w:rFonts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3ED4EA8"/>
    <w:multiLevelType w:val="hybridMultilevel"/>
    <w:tmpl w:val="1344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07486"/>
    <w:multiLevelType w:val="hybridMultilevel"/>
    <w:tmpl w:val="12A00B5A"/>
    <w:lvl w:ilvl="0" w:tplc="04090011">
      <w:start w:val="1"/>
      <w:numFmt w:val="decimal"/>
      <w:lvlText w:val="%1)"/>
      <w:lvlJc w:val="left"/>
      <w:pPr>
        <w:ind w:left="2160" w:hanging="360"/>
      </w:pPr>
      <w:rPr>
        <w:rFonts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3C833E9"/>
    <w:multiLevelType w:val="hybridMultilevel"/>
    <w:tmpl w:val="A99679EE"/>
    <w:lvl w:ilvl="0" w:tplc="90D25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C241A5"/>
    <w:multiLevelType w:val="multilevel"/>
    <w:tmpl w:val="CBD89CDA"/>
    <w:lvl w:ilvl="0">
      <w:start w:val="1"/>
      <w:numFmt w:val="none"/>
      <w:pStyle w:val="Heading1"/>
      <w:lvlText w:val=""/>
      <w:lvlJc w:val="left"/>
      <w:pPr>
        <w:ind w:left="0" w:firstLine="0"/>
      </w:pPr>
      <w:rPr>
        <w:rFonts w:hint="default"/>
      </w:rPr>
    </w:lvl>
    <w:lvl w:ilvl="1">
      <w:start w:val="1"/>
      <w:numFmt w:val="decimal"/>
      <w:pStyle w:val="Heading2"/>
      <w:lvlText w:val="%2."/>
      <w:lvlJc w:val="left"/>
      <w:pPr>
        <w:ind w:left="360" w:hanging="360"/>
      </w:pPr>
      <w:rPr>
        <w:rFonts w:hint="default"/>
      </w:rPr>
    </w:lvl>
    <w:lvl w:ilvl="2">
      <w:start w:val="1"/>
      <w:numFmt w:val="lowerLetter"/>
      <w:pStyle w:val="Heading3"/>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7ACB0414"/>
    <w:multiLevelType w:val="hybridMultilevel"/>
    <w:tmpl w:val="294489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0"/>
  </w:num>
  <w:num w:numId="5">
    <w:abstractNumId w:val="11"/>
  </w:num>
  <w:num w:numId="6">
    <w:abstractNumId w:val="11"/>
    <w:lvlOverride w:ilvl="0">
      <w:lvl w:ilvl="0">
        <w:start w:val="1"/>
        <w:numFmt w:val="none"/>
        <w:pStyle w:val="Heading1"/>
        <w:lvlText w:val=""/>
        <w:lvlJc w:val="left"/>
        <w:pPr>
          <w:ind w:left="0" w:firstLine="0"/>
        </w:pPr>
        <w:rPr>
          <w:rFonts w:hint="default"/>
        </w:rPr>
      </w:lvl>
    </w:lvlOverride>
    <w:lvlOverride w:ilvl="1">
      <w:lvl w:ilvl="1">
        <w:start w:val="1"/>
        <w:numFmt w:val="upperLetter"/>
        <w:pStyle w:val="Heading2"/>
        <w:lvlText w:val="%2."/>
        <w:lvlJc w:val="left"/>
        <w:pPr>
          <w:ind w:left="360" w:hanging="360"/>
        </w:pPr>
        <w:rPr>
          <w:rFonts w:hint="default"/>
        </w:rPr>
      </w:lvl>
    </w:lvlOverride>
    <w:lvlOverride w:ilvl="2">
      <w:lvl w:ilvl="2">
        <w:start w:val="1"/>
        <w:numFmt w:val="decimal"/>
        <w:pStyle w:val="Heading3"/>
        <w:lvlText w:val="%3."/>
        <w:lvlJc w:val="left"/>
        <w:pPr>
          <w:ind w:left="720" w:hanging="36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7">
    <w:abstractNumId w:val="7"/>
  </w:num>
  <w:num w:numId="8">
    <w:abstractNumId w:val="9"/>
  </w:num>
  <w:num w:numId="9">
    <w:abstractNumId w:val="4"/>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0"/>
  </w:num>
  <w:num w:numId="20">
    <w:abstractNumId w:val="6"/>
  </w:num>
  <w:num w:numId="21">
    <w:abstractNumId w:val="5"/>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DD"/>
    <w:rsid w:val="00014FDC"/>
    <w:rsid w:val="00015700"/>
    <w:rsid w:val="00017DE4"/>
    <w:rsid w:val="0005704C"/>
    <w:rsid w:val="000713B1"/>
    <w:rsid w:val="000850CD"/>
    <w:rsid w:val="000876A4"/>
    <w:rsid w:val="000A4A85"/>
    <w:rsid w:val="000C6834"/>
    <w:rsid w:val="000D6AF0"/>
    <w:rsid w:val="000D7D29"/>
    <w:rsid w:val="000E6769"/>
    <w:rsid w:val="000E7578"/>
    <w:rsid w:val="000F30F7"/>
    <w:rsid w:val="000F528B"/>
    <w:rsid w:val="000F7DDC"/>
    <w:rsid w:val="00105641"/>
    <w:rsid w:val="00122380"/>
    <w:rsid w:val="00123A4E"/>
    <w:rsid w:val="001256A8"/>
    <w:rsid w:val="00133173"/>
    <w:rsid w:val="00146A48"/>
    <w:rsid w:val="0015274D"/>
    <w:rsid w:val="00155590"/>
    <w:rsid w:val="001579B6"/>
    <w:rsid w:val="001665C4"/>
    <w:rsid w:val="001810FD"/>
    <w:rsid w:val="001A42C2"/>
    <w:rsid w:val="001C1720"/>
    <w:rsid w:val="001E7F2B"/>
    <w:rsid w:val="00216ED7"/>
    <w:rsid w:val="002434BA"/>
    <w:rsid w:val="00267507"/>
    <w:rsid w:val="00295844"/>
    <w:rsid w:val="002A2AC9"/>
    <w:rsid w:val="002B1198"/>
    <w:rsid w:val="002B51E2"/>
    <w:rsid w:val="002D67EF"/>
    <w:rsid w:val="002E0519"/>
    <w:rsid w:val="002E4E30"/>
    <w:rsid w:val="00300834"/>
    <w:rsid w:val="00300EB3"/>
    <w:rsid w:val="003168D3"/>
    <w:rsid w:val="0032385D"/>
    <w:rsid w:val="00345C2D"/>
    <w:rsid w:val="00356B09"/>
    <w:rsid w:val="00375008"/>
    <w:rsid w:val="003779AB"/>
    <w:rsid w:val="003A6DD7"/>
    <w:rsid w:val="003B2743"/>
    <w:rsid w:val="003B6953"/>
    <w:rsid w:val="003B7AC3"/>
    <w:rsid w:val="003C580B"/>
    <w:rsid w:val="003C7886"/>
    <w:rsid w:val="003D12C9"/>
    <w:rsid w:val="003D6B4E"/>
    <w:rsid w:val="003E2593"/>
    <w:rsid w:val="003E39BC"/>
    <w:rsid w:val="003F3412"/>
    <w:rsid w:val="003F4927"/>
    <w:rsid w:val="00401A56"/>
    <w:rsid w:val="00420FD3"/>
    <w:rsid w:val="004218AB"/>
    <w:rsid w:val="004218F1"/>
    <w:rsid w:val="0042666E"/>
    <w:rsid w:val="00442CE9"/>
    <w:rsid w:val="00445D0D"/>
    <w:rsid w:val="0044723A"/>
    <w:rsid w:val="0046273F"/>
    <w:rsid w:val="00467031"/>
    <w:rsid w:val="00486C29"/>
    <w:rsid w:val="004A49DE"/>
    <w:rsid w:val="004A7989"/>
    <w:rsid w:val="004C76B9"/>
    <w:rsid w:val="004E1797"/>
    <w:rsid w:val="004E4FAE"/>
    <w:rsid w:val="004F54C6"/>
    <w:rsid w:val="00505114"/>
    <w:rsid w:val="00506EA9"/>
    <w:rsid w:val="005131DF"/>
    <w:rsid w:val="0054039A"/>
    <w:rsid w:val="005652C7"/>
    <w:rsid w:val="00576E86"/>
    <w:rsid w:val="00583673"/>
    <w:rsid w:val="005869C1"/>
    <w:rsid w:val="00596ADC"/>
    <w:rsid w:val="005973A8"/>
    <w:rsid w:val="005975B3"/>
    <w:rsid w:val="005B2FBF"/>
    <w:rsid w:val="005C46C6"/>
    <w:rsid w:val="005D1977"/>
    <w:rsid w:val="005D1C57"/>
    <w:rsid w:val="005E32D8"/>
    <w:rsid w:val="005F1C55"/>
    <w:rsid w:val="00600022"/>
    <w:rsid w:val="0062116B"/>
    <w:rsid w:val="00622A5D"/>
    <w:rsid w:val="00625DC9"/>
    <w:rsid w:val="006348CA"/>
    <w:rsid w:val="0065088C"/>
    <w:rsid w:val="00652ACD"/>
    <w:rsid w:val="0065455F"/>
    <w:rsid w:val="0065781F"/>
    <w:rsid w:val="0067004F"/>
    <w:rsid w:val="00686DFB"/>
    <w:rsid w:val="00697125"/>
    <w:rsid w:val="006C1968"/>
    <w:rsid w:val="006C7B7D"/>
    <w:rsid w:val="006F7573"/>
    <w:rsid w:val="007234CA"/>
    <w:rsid w:val="00727A85"/>
    <w:rsid w:val="00742905"/>
    <w:rsid w:val="00755C4B"/>
    <w:rsid w:val="007702C5"/>
    <w:rsid w:val="007805A1"/>
    <w:rsid w:val="007900D8"/>
    <w:rsid w:val="00791874"/>
    <w:rsid w:val="00792A69"/>
    <w:rsid w:val="007A3BCF"/>
    <w:rsid w:val="007A75AA"/>
    <w:rsid w:val="007B5958"/>
    <w:rsid w:val="007C160B"/>
    <w:rsid w:val="007C3CCD"/>
    <w:rsid w:val="007E59CD"/>
    <w:rsid w:val="00817B53"/>
    <w:rsid w:val="00832660"/>
    <w:rsid w:val="00835349"/>
    <w:rsid w:val="00840BF9"/>
    <w:rsid w:val="008414C5"/>
    <w:rsid w:val="00875A0A"/>
    <w:rsid w:val="008A552C"/>
    <w:rsid w:val="008A798F"/>
    <w:rsid w:val="008E65F9"/>
    <w:rsid w:val="008F4D3B"/>
    <w:rsid w:val="008F562A"/>
    <w:rsid w:val="008F5DAB"/>
    <w:rsid w:val="00902910"/>
    <w:rsid w:val="009118F9"/>
    <w:rsid w:val="00911C71"/>
    <w:rsid w:val="00923809"/>
    <w:rsid w:val="00942FBF"/>
    <w:rsid w:val="00943CC3"/>
    <w:rsid w:val="00945A18"/>
    <w:rsid w:val="00966109"/>
    <w:rsid w:val="00971070"/>
    <w:rsid w:val="00985A0E"/>
    <w:rsid w:val="009A61A2"/>
    <w:rsid w:val="009C7FB2"/>
    <w:rsid w:val="009D0BE7"/>
    <w:rsid w:val="009D0F69"/>
    <w:rsid w:val="009E4369"/>
    <w:rsid w:val="00A102AB"/>
    <w:rsid w:val="00A15395"/>
    <w:rsid w:val="00A22901"/>
    <w:rsid w:val="00A32D1C"/>
    <w:rsid w:val="00A43D6B"/>
    <w:rsid w:val="00A61E0C"/>
    <w:rsid w:val="00A62EA6"/>
    <w:rsid w:val="00A65A39"/>
    <w:rsid w:val="00A74DE7"/>
    <w:rsid w:val="00A806F0"/>
    <w:rsid w:val="00A87CDD"/>
    <w:rsid w:val="00A97777"/>
    <w:rsid w:val="00AA104B"/>
    <w:rsid w:val="00AA7E52"/>
    <w:rsid w:val="00AB33ED"/>
    <w:rsid w:val="00AC3670"/>
    <w:rsid w:val="00AD05F6"/>
    <w:rsid w:val="00AD1C7C"/>
    <w:rsid w:val="00AD36B7"/>
    <w:rsid w:val="00AD6659"/>
    <w:rsid w:val="00AE2BD7"/>
    <w:rsid w:val="00AE521F"/>
    <w:rsid w:val="00AF536B"/>
    <w:rsid w:val="00AF689C"/>
    <w:rsid w:val="00B05BEE"/>
    <w:rsid w:val="00B20CEE"/>
    <w:rsid w:val="00B23DE8"/>
    <w:rsid w:val="00B30C00"/>
    <w:rsid w:val="00B651A3"/>
    <w:rsid w:val="00B82944"/>
    <w:rsid w:val="00BB04B4"/>
    <w:rsid w:val="00BC619D"/>
    <w:rsid w:val="00BD2933"/>
    <w:rsid w:val="00BD6616"/>
    <w:rsid w:val="00BF3DAF"/>
    <w:rsid w:val="00C136C6"/>
    <w:rsid w:val="00C142A6"/>
    <w:rsid w:val="00C21D64"/>
    <w:rsid w:val="00C22097"/>
    <w:rsid w:val="00C432CE"/>
    <w:rsid w:val="00C50BE9"/>
    <w:rsid w:val="00C50FD6"/>
    <w:rsid w:val="00C65509"/>
    <w:rsid w:val="00C65B9B"/>
    <w:rsid w:val="00C67D62"/>
    <w:rsid w:val="00C95E7E"/>
    <w:rsid w:val="00CA105D"/>
    <w:rsid w:val="00CD2F3F"/>
    <w:rsid w:val="00CF3012"/>
    <w:rsid w:val="00D03341"/>
    <w:rsid w:val="00D0533F"/>
    <w:rsid w:val="00D1640E"/>
    <w:rsid w:val="00D30CDB"/>
    <w:rsid w:val="00D3126B"/>
    <w:rsid w:val="00D537E3"/>
    <w:rsid w:val="00D66B33"/>
    <w:rsid w:val="00D724B1"/>
    <w:rsid w:val="00D74FF4"/>
    <w:rsid w:val="00D80809"/>
    <w:rsid w:val="00D8443E"/>
    <w:rsid w:val="00D87F61"/>
    <w:rsid w:val="00D96E15"/>
    <w:rsid w:val="00DF6F94"/>
    <w:rsid w:val="00E1459A"/>
    <w:rsid w:val="00E3078C"/>
    <w:rsid w:val="00E41B59"/>
    <w:rsid w:val="00E51ECD"/>
    <w:rsid w:val="00E75038"/>
    <w:rsid w:val="00E76386"/>
    <w:rsid w:val="00E85B69"/>
    <w:rsid w:val="00EB42DA"/>
    <w:rsid w:val="00EB5A2F"/>
    <w:rsid w:val="00ED0A74"/>
    <w:rsid w:val="00ED43C6"/>
    <w:rsid w:val="00EE4E86"/>
    <w:rsid w:val="00EF3135"/>
    <w:rsid w:val="00EF5A25"/>
    <w:rsid w:val="00EF7B7D"/>
    <w:rsid w:val="00F22378"/>
    <w:rsid w:val="00F36C4E"/>
    <w:rsid w:val="00F41401"/>
    <w:rsid w:val="00F435AC"/>
    <w:rsid w:val="00F441EE"/>
    <w:rsid w:val="00F449A2"/>
    <w:rsid w:val="00F52A18"/>
    <w:rsid w:val="00F641E9"/>
    <w:rsid w:val="00F81C4F"/>
    <w:rsid w:val="00F84F6F"/>
    <w:rsid w:val="00F87D8C"/>
    <w:rsid w:val="00F912B1"/>
    <w:rsid w:val="00FA36A4"/>
    <w:rsid w:val="00FB52E5"/>
    <w:rsid w:val="00FB72AA"/>
    <w:rsid w:val="00FD461A"/>
    <w:rsid w:val="00FE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6B017"/>
  <w15:chartTrackingRefBased/>
  <w15:docId w15:val="{4893575B-99BB-4912-B075-D3D086DE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DD"/>
    <w:pPr>
      <w:spacing w:line="240" w:lineRule="auto"/>
    </w:pPr>
    <w:rPr>
      <w:sz w:val="24"/>
    </w:rPr>
  </w:style>
  <w:style w:type="paragraph" w:styleId="Heading1">
    <w:name w:val="heading 1"/>
    <w:basedOn w:val="Normal"/>
    <w:next w:val="Normal"/>
    <w:link w:val="Heading1Char"/>
    <w:uiPriority w:val="9"/>
    <w:qFormat/>
    <w:rsid w:val="00A87CDD"/>
    <w:pPr>
      <w:keepNext/>
      <w:keepLines/>
      <w:numPr>
        <w:numId w:val="5"/>
      </w:numPr>
      <w:spacing w:before="240" w:after="120"/>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D74FF4"/>
    <w:pPr>
      <w:keepNext/>
      <w:keepLines/>
      <w:numPr>
        <w:ilvl w:val="1"/>
        <w:numId w:val="5"/>
      </w:numPr>
      <w:spacing w:before="240"/>
      <w:outlineLvl w:val="1"/>
    </w:pPr>
    <w:rPr>
      <w:rFonts w:asciiTheme="majorHAnsi" w:eastAsiaTheme="majorEastAsia" w:hAnsiTheme="majorHAnsi" w:cstheme="majorBidi"/>
      <w:szCs w:val="26"/>
      <w:u w:val="single"/>
    </w:rPr>
  </w:style>
  <w:style w:type="paragraph" w:styleId="Heading3">
    <w:name w:val="heading 3"/>
    <w:basedOn w:val="Normal"/>
    <w:next w:val="Normal"/>
    <w:link w:val="Heading3Char"/>
    <w:uiPriority w:val="9"/>
    <w:unhideWhenUsed/>
    <w:qFormat/>
    <w:rsid w:val="00D74FF4"/>
    <w:pPr>
      <w:keepNext/>
      <w:keepLines/>
      <w:numPr>
        <w:ilvl w:val="2"/>
        <w:numId w:val="5"/>
      </w:numPr>
      <w:spacing w:before="16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C95E7E"/>
    <w:pPr>
      <w:keepNext/>
      <w:spacing w:before="160"/>
      <w:ind w:left="72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A87CD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87CD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87CD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87CD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7CD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uiPriority w:val="99"/>
    <w:rsid w:val="003B2743"/>
    <w:pPr>
      <w:numPr>
        <w:numId w:val="1"/>
      </w:numPr>
    </w:pPr>
  </w:style>
  <w:style w:type="paragraph" w:styleId="BodyText">
    <w:name w:val="Body Text"/>
    <w:basedOn w:val="Normal"/>
    <w:link w:val="BodyTextChar"/>
    <w:uiPriority w:val="99"/>
    <w:unhideWhenUsed/>
    <w:rsid w:val="00A87CDD"/>
    <w:pPr>
      <w:spacing w:before="120" w:after="120"/>
    </w:pPr>
  </w:style>
  <w:style w:type="character" w:customStyle="1" w:styleId="BodyTextChar">
    <w:name w:val="Body Text Char"/>
    <w:basedOn w:val="DefaultParagraphFont"/>
    <w:link w:val="BodyText"/>
    <w:uiPriority w:val="99"/>
    <w:rsid w:val="00A87CDD"/>
    <w:rPr>
      <w:sz w:val="24"/>
    </w:rPr>
  </w:style>
  <w:style w:type="character" w:customStyle="1" w:styleId="Heading1Char">
    <w:name w:val="Heading 1 Char"/>
    <w:basedOn w:val="DefaultParagraphFont"/>
    <w:link w:val="Heading1"/>
    <w:uiPriority w:val="9"/>
    <w:rsid w:val="00A87CDD"/>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D74FF4"/>
    <w:rPr>
      <w:rFonts w:asciiTheme="majorHAnsi" w:eastAsiaTheme="majorEastAsia" w:hAnsiTheme="majorHAnsi" w:cstheme="majorBidi"/>
      <w:sz w:val="24"/>
      <w:szCs w:val="26"/>
      <w:u w:val="single"/>
    </w:rPr>
  </w:style>
  <w:style w:type="character" w:styleId="FootnoteReference">
    <w:name w:val="footnote reference"/>
    <w:uiPriority w:val="99"/>
    <w:rsid w:val="00A87CDD"/>
  </w:style>
  <w:style w:type="paragraph" w:styleId="FootnoteText">
    <w:name w:val="footnote text"/>
    <w:basedOn w:val="Normal"/>
    <w:link w:val="FootnoteTextChar"/>
    <w:uiPriority w:val="99"/>
    <w:rsid w:val="00A87CDD"/>
    <w:pPr>
      <w:widowControl w:val="0"/>
      <w:autoSpaceDE w:val="0"/>
      <w:autoSpaceDN w:val="0"/>
      <w:adjustRightInd w:val="0"/>
      <w:spacing w:after="60"/>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87CD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87CDD"/>
    <w:pPr>
      <w:tabs>
        <w:tab w:val="center" w:pos="4680"/>
        <w:tab w:val="right" w:pos="9360"/>
      </w:tabs>
      <w:spacing w:after="0"/>
    </w:pPr>
  </w:style>
  <w:style w:type="character" w:customStyle="1" w:styleId="HeaderChar">
    <w:name w:val="Header Char"/>
    <w:basedOn w:val="DefaultParagraphFont"/>
    <w:link w:val="Header"/>
    <w:uiPriority w:val="99"/>
    <w:rsid w:val="00A87CDD"/>
    <w:rPr>
      <w:sz w:val="24"/>
    </w:rPr>
  </w:style>
  <w:style w:type="paragraph" w:styleId="Footer">
    <w:name w:val="footer"/>
    <w:basedOn w:val="Normal"/>
    <w:link w:val="FooterChar"/>
    <w:uiPriority w:val="99"/>
    <w:unhideWhenUsed/>
    <w:rsid w:val="00A87CDD"/>
    <w:pPr>
      <w:tabs>
        <w:tab w:val="center" w:pos="4680"/>
        <w:tab w:val="right" w:pos="9360"/>
      </w:tabs>
      <w:spacing w:after="0"/>
    </w:pPr>
  </w:style>
  <w:style w:type="character" w:customStyle="1" w:styleId="FooterChar">
    <w:name w:val="Footer Char"/>
    <w:basedOn w:val="DefaultParagraphFont"/>
    <w:link w:val="Footer"/>
    <w:uiPriority w:val="99"/>
    <w:rsid w:val="00A87CDD"/>
    <w:rPr>
      <w:sz w:val="24"/>
    </w:rPr>
  </w:style>
  <w:style w:type="character" w:customStyle="1" w:styleId="Heading3Char">
    <w:name w:val="Heading 3 Char"/>
    <w:basedOn w:val="DefaultParagraphFont"/>
    <w:link w:val="Heading3"/>
    <w:uiPriority w:val="9"/>
    <w:rsid w:val="00D74FF4"/>
    <w:rPr>
      <w:rFonts w:asciiTheme="majorHAnsi" w:eastAsiaTheme="majorEastAsia" w:hAnsiTheme="majorHAnsi" w:cstheme="majorBidi"/>
      <w:i/>
      <w:sz w:val="24"/>
      <w:szCs w:val="24"/>
    </w:rPr>
  </w:style>
  <w:style w:type="paragraph" w:styleId="Caption">
    <w:name w:val="caption"/>
    <w:basedOn w:val="Normal"/>
    <w:next w:val="Normal"/>
    <w:link w:val="CaptionChar"/>
    <w:uiPriority w:val="35"/>
    <w:unhideWhenUsed/>
    <w:qFormat/>
    <w:rsid w:val="00A87CDD"/>
    <w:pPr>
      <w:keepNext/>
      <w:keepLines/>
      <w:spacing w:before="120" w:after="120"/>
      <w:jc w:val="center"/>
    </w:pPr>
    <w:rPr>
      <w:b/>
      <w:iCs/>
      <w:szCs w:val="18"/>
    </w:rPr>
  </w:style>
  <w:style w:type="table" w:styleId="TableGrid">
    <w:name w:val="Table Grid"/>
    <w:basedOn w:val="TableNormal"/>
    <w:uiPriority w:val="59"/>
    <w:rsid w:val="00A87CDD"/>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87CDD"/>
    <w:pPr>
      <w:spacing w:after="0"/>
      <w:ind w:left="360"/>
      <w:contextualSpacing/>
    </w:pPr>
  </w:style>
  <w:style w:type="paragraph" w:styleId="ListBullet">
    <w:name w:val="List Bullet"/>
    <w:basedOn w:val="Normal"/>
    <w:uiPriority w:val="99"/>
    <w:unhideWhenUsed/>
    <w:rsid w:val="00A87CDD"/>
    <w:pPr>
      <w:numPr>
        <w:numId w:val="4"/>
      </w:numPr>
      <w:spacing w:before="60" w:after="60"/>
    </w:pPr>
  </w:style>
  <w:style w:type="character" w:styleId="CommentReference">
    <w:name w:val="annotation reference"/>
    <w:rsid w:val="00A87CDD"/>
    <w:rPr>
      <w:sz w:val="16"/>
      <w:szCs w:val="16"/>
    </w:rPr>
  </w:style>
  <w:style w:type="paragraph" w:styleId="CommentText">
    <w:name w:val="annotation text"/>
    <w:basedOn w:val="Normal"/>
    <w:link w:val="CommentTextChar"/>
    <w:rsid w:val="00A87CDD"/>
    <w:pPr>
      <w:widowControl w:val="0"/>
      <w:autoSpaceDE w:val="0"/>
      <w:autoSpaceDN w:val="0"/>
      <w:adjustRightInd w:val="0"/>
      <w:spacing w:before="120" w:after="120"/>
    </w:pPr>
    <w:rPr>
      <w:rFonts w:ascii="Times New Roman" w:eastAsia="Times New Roman" w:hAnsi="Times New Roman" w:cs="Times New Roman"/>
      <w:szCs w:val="20"/>
    </w:rPr>
  </w:style>
  <w:style w:type="character" w:customStyle="1" w:styleId="CommentTextChar">
    <w:name w:val="Comment Text Char"/>
    <w:basedOn w:val="DefaultParagraphFont"/>
    <w:link w:val="CommentText"/>
    <w:rsid w:val="00A87CD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7C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DD"/>
    <w:rPr>
      <w:rFonts w:ascii="Segoe UI" w:hAnsi="Segoe UI" w:cs="Segoe UI"/>
      <w:sz w:val="18"/>
      <w:szCs w:val="18"/>
    </w:rPr>
  </w:style>
  <w:style w:type="character" w:customStyle="1" w:styleId="Heading4Char">
    <w:name w:val="Heading 4 Char"/>
    <w:basedOn w:val="DefaultParagraphFont"/>
    <w:link w:val="Heading4"/>
    <w:uiPriority w:val="9"/>
    <w:rsid w:val="00C95E7E"/>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A87CD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A87CD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A87CD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87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7CDD"/>
    <w:rPr>
      <w:rFonts w:asciiTheme="majorHAnsi" w:eastAsiaTheme="majorEastAsia" w:hAnsiTheme="majorHAnsi" w:cstheme="majorBidi"/>
      <w:i/>
      <w:iCs/>
      <w:color w:val="272727" w:themeColor="text1" w:themeTint="D8"/>
      <w:sz w:val="21"/>
      <w:szCs w:val="21"/>
    </w:rPr>
  </w:style>
  <w:style w:type="paragraph" w:styleId="BodyTextFirstIndent">
    <w:name w:val="Body Text First Indent"/>
    <w:basedOn w:val="BodyText"/>
    <w:link w:val="BodyTextFirstIndentChar"/>
    <w:rsid w:val="0015274D"/>
    <w:pPr>
      <w:widowControl w:val="0"/>
      <w:autoSpaceDE w:val="0"/>
      <w:autoSpaceDN w:val="0"/>
      <w:adjustRightInd w:val="0"/>
      <w:ind w:firstLine="210"/>
    </w:pPr>
    <w:rPr>
      <w:rFonts w:ascii="Times New Roman" w:eastAsia="Times New Roman" w:hAnsi="Times New Roman" w:cs="Times New Roman"/>
      <w:szCs w:val="24"/>
    </w:rPr>
  </w:style>
  <w:style w:type="character" w:customStyle="1" w:styleId="BodyTextFirstIndentChar">
    <w:name w:val="Body Text First Indent Char"/>
    <w:basedOn w:val="BodyTextChar"/>
    <w:link w:val="BodyTextFirstIndent"/>
    <w:rsid w:val="0015274D"/>
    <w:rPr>
      <w:rFonts w:ascii="Times New Roman" w:eastAsia="Times New Roman" w:hAnsi="Times New Roman" w:cs="Times New Roman"/>
      <w:sz w:val="24"/>
      <w:szCs w:val="24"/>
    </w:rPr>
  </w:style>
  <w:style w:type="character" w:customStyle="1" w:styleId="CaptionChar">
    <w:name w:val="Caption Char"/>
    <w:link w:val="Caption"/>
    <w:uiPriority w:val="35"/>
    <w:locked/>
    <w:rsid w:val="0015274D"/>
    <w:rPr>
      <w:b/>
      <w:iCs/>
      <w:sz w:val="24"/>
      <w:szCs w:val="18"/>
    </w:rPr>
  </w:style>
  <w:style w:type="paragraph" w:styleId="CommentSubject">
    <w:name w:val="annotation subject"/>
    <w:basedOn w:val="CommentText"/>
    <w:next w:val="CommentText"/>
    <w:link w:val="CommentSubjectChar"/>
    <w:uiPriority w:val="99"/>
    <w:semiHidden/>
    <w:unhideWhenUsed/>
    <w:rsid w:val="00445D0D"/>
    <w:pPr>
      <w:widowControl/>
      <w:autoSpaceDE/>
      <w:autoSpaceDN/>
      <w:adjustRightInd/>
      <w:spacing w:before="0"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45D0D"/>
    <w:rPr>
      <w:rFonts w:ascii="Times New Roman" w:eastAsia="Times New Roman" w:hAnsi="Times New Roman" w:cs="Times New Roman"/>
      <w:b/>
      <w:bCs/>
      <w:sz w:val="20"/>
      <w:szCs w:val="20"/>
    </w:rPr>
  </w:style>
  <w:style w:type="character" w:customStyle="1" w:styleId="apple-converted-space">
    <w:name w:val="apple-converted-space"/>
    <w:rsid w:val="0005704C"/>
  </w:style>
  <w:style w:type="table" w:customStyle="1" w:styleId="IECTable">
    <w:name w:val="IEC Table"/>
    <w:basedOn w:val="TableNormal"/>
    <w:uiPriority w:val="99"/>
    <w:rsid w:val="0094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Pr>
    <w:trPr>
      <w:cantSplit/>
    </w:trPr>
    <w:tcPr>
      <w:shd w:val="clear" w:color="auto" w:fill="auto"/>
    </w:tcPr>
    <w:tblStylePr w:type="firstRow">
      <w:tblPr/>
      <w:tcPr>
        <w:shd w:val="clear" w:color="auto" w:fill="365F91"/>
      </w:tcPr>
    </w:tblStylePr>
  </w:style>
  <w:style w:type="paragraph" w:customStyle="1" w:styleId="Default">
    <w:name w:val="Default"/>
    <w:rsid w:val="004A49D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71070"/>
    <w:pPr>
      <w:spacing w:after="0" w:line="240" w:lineRule="auto"/>
    </w:pPr>
    <w:rPr>
      <w:sz w:val="24"/>
    </w:rPr>
  </w:style>
  <w:style w:type="paragraph" w:customStyle="1" w:styleId="Hiddenheaderrow">
    <w:name w:val="Hidden header row"/>
    <w:basedOn w:val="NoSpacing"/>
    <w:qFormat/>
    <w:rsid w:val="004218F1"/>
    <w:pPr>
      <w:keepNext/>
      <w:jc w:val="center"/>
    </w:pPr>
    <w:rPr>
      <w:color w:val="FFFFFF" w:themeColor="background1"/>
      <w:sz w:val="2"/>
      <w:szCs w:val="2"/>
    </w:rPr>
  </w:style>
  <w:style w:type="paragraph" w:customStyle="1" w:styleId="Headerrowgraphic">
    <w:name w:val="Header row graphic"/>
    <w:basedOn w:val="NoSpacing"/>
    <w:next w:val="Normal"/>
    <w:qFormat/>
    <w:rsid w:val="004218F1"/>
    <w:pPr>
      <w:keepNext/>
      <w:ind w:left="-14"/>
    </w:pPr>
  </w:style>
  <w:style w:type="character" w:customStyle="1" w:styleId="ListParagraphChar">
    <w:name w:val="List Paragraph Char"/>
    <w:link w:val="ListParagraph"/>
    <w:uiPriority w:val="34"/>
    <w:locked/>
    <w:rsid w:val="007234CA"/>
    <w:rPr>
      <w:sz w:val="24"/>
    </w:rPr>
  </w:style>
  <w:style w:type="paragraph" w:customStyle="1" w:styleId="responses">
    <w:name w:val="responses"/>
    <w:basedOn w:val="Normal"/>
    <w:qFormat/>
    <w:rsid w:val="007234CA"/>
    <w:pPr>
      <w:spacing w:before="200" w:after="200"/>
      <w:ind w:left="720"/>
      <w:contextualSpacing/>
    </w:pPr>
    <w:rPr>
      <w:rFonts w:ascii="Times New Roman" w:hAnsi="Times New Roman" w:cs="Times New Roman"/>
      <w:szCs w:val="24"/>
    </w:rPr>
  </w:style>
  <w:style w:type="paragraph" w:styleId="Revision">
    <w:name w:val="Revision"/>
    <w:hidden/>
    <w:uiPriority w:val="99"/>
    <w:semiHidden/>
    <w:rsid w:val="00EF3135"/>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80417">
      <w:bodyDiv w:val="1"/>
      <w:marLeft w:val="0"/>
      <w:marRight w:val="0"/>
      <w:marTop w:val="0"/>
      <w:marBottom w:val="0"/>
      <w:divBdr>
        <w:top w:val="none" w:sz="0" w:space="0" w:color="auto"/>
        <w:left w:val="none" w:sz="0" w:space="0" w:color="auto"/>
        <w:bottom w:val="none" w:sz="0" w:space="0" w:color="auto"/>
        <w:right w:val="none" w:sz="0" w:space="0" w:color="auto"/>
      </w:divBdr>
    </w:div>
    <w:div w:id="14606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k.com/wiki/Qualitative_data_analysis?qsrc=3044&amp;lang=en" TargetMode="External"/><Relationship Id="rId4" Type="http://schemas.openxmlformats.org/officeDocument/2006/relationships/settings" Target="settings.xml"/><Relationship Id="rId9" Type="http://schemas.openxmlformats.org/officeDocument/2006/relationships/hyperlink" Target="http://www.ask.com/wiki/Computer_software?qsrc=3044&amp;lang=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8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86D40-9E7D-4DB7-90B7-722221EB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3941</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Pedraza</dc:creator>
  <cp:keywords/>
  <dc:description/>
  <cp:lastModifiedBy>Ettinger, Anna [USA]</cp:lastModifiedBy>
  <cp:revision>4</cp:revision>
  <dcterms:created xsi:type="dcterms:W3CDTF">2017-04-24T20:41:00Z</dcterms:created>
  <dcterms:modified xsi:type="dcterms:W3CDTF">2017-04-25T13:19:00Z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y fmtid="{D5CDD505-2E9C-101B-9397-08002B2CF9AE}" pid="4" name="_NewReviewCycle">
    <vt:lpwstr/>
  </property>
  <property fmtid="{D5CDD505-2E9C-101B-9397-08002B2CF9AE}" pid="5" name="_AdHocReviewCycleID">
    <vt:i4>-574164551</vt:i4>
  </property>
  <property fmtid="{D5CDD505-2E9C-101B-9397-08002B2CF9AE}" pid="6" name="_EmailSubject">
    <vt:lpwstr>CMS-10622  OMB Passback 3</vt:lpwstr>
  </property>
  <property fmtid="{D5CDD505-2E9C-101B-9397-08002B2CF9AE}" pid="7" name="_AuthorEmail">
    <vt:lpwstr>Robert.Kambic@cms.hhs.gov</vt:lpwstr>
  </property>
  <property fmtid="{D5CDD505-2E9C-101B-9397-08002B2CF9AE}" pid="8" name="_AuthorEmailDisplayName">
    <vt:lpwstr>Kambic, Robert T. (CMS/CCSQ)</vt:lpwstr>
  </property>
</Properties>
</file>