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31619" w14:textId="77777777" w:rsidR="00F30074" w:rsidRPr="00155D06" w:rsidRDefault="00F30074" w:rsidP="00486C12">
      <w:pPr>
        <w:pStyle w:val="MarkforAppendixTitle"/>
      </w:pPr>
      <w:bookmarkStart w:id="0" w:name="_GoBack"/>
      <w:bookmarkEnd w:id="0"/>
      <w:r>
        <w:t xml:space="preserve">Appendix M </w:t>
      </w:r>
      <w:r>
        <w:br w:type="textWrapping" w:clear="all"/>
        <w:t>faces 2014 parent experiment results memo</w:t>
      </w:r>
    </w:p>
    <w:p w14:paraId="53B38F47" w14:textId="77777777" w:rsidR="00F30074" w:rsidRDefault="00F30074" w:rsidP="00F05772">
      <w:pPr>
        <w:ind w:firstLine="0"/>
        <w:rPr>
          <w:rStyle w:val="a"/>
          <w:b/>
          <w:bCs/>
          <w:spacing w:val="-3"/>
        </w:rPr>
        <w:sectPr w:rsidR="00F30074" w:rsidSect="007D1714">
          <w:headerReference w:type="default" r:id="rId11"/>
          <w:footerReference w:type="even" r:id="rId12"/>
          <w:footerReference w:type="default" r:id="rId13"/>
          <w:footerReference w:type="first" r:id="rId14"/>
          <w:endnotePr>
            <w:numFmt w:val="decimal"/>
          </w:endnotePr>
          <w:pgSz w:w="12240" w:h="15840" w:code="1"/>
          <w:pgMar w:top="1440" w:right="1440" w:bottom="576" w:left="1440" w:header="720" w:footer="576" w:gutter="0"/>
          <w:pgNumType w:start="1"/>
          <w:cols w:space="720"/>
          <w:titlePg/>
          <w:docGrid w:linePitch="150"/>
        </w:sectPr>
      </w:pPr>
    </w:p>
    <w:p w14:paraId="2A8C7A99" w14:textId="77777777" w:rsidR="007D1714" w:rsidRDefault="007D1714" w:rsidP="00F05772">
      <w:pPr>
        <w:ind w:firstLine="0"/>
        <w:rPr>
          <w:rStyle w:val="a"/>
          <w:b/>
          <w:bCs/>
          <w:spacing w:val="-3"/>
        </w:rPr>
      </w:pPr>
    </w:p>
    <w:p w14:paraId="6A481752" w14:textId="77777777" w:rsidR="00ED4E37" w:rsidRDefault="00F05772" w:rsidP="00F05772">
      <w:pPr>
        <w:ind w:firstLine="0"/>
        <w:rPr>
          <w:rStyle w:val="a"/>
          <w:spacing w:val="-3"/>
        </w:rPr>
      </w:pPr>
      <w:r>
        <w:rPr>
          <w:rStyle w:val="a"/>
          <w:b/>
          <w:bCs/>
          <w:spacing w:val="-3"/>
        </w:rPr>
        <w:br/>
      </w:r>
      <w:r w:rsidR="00ED4E37" w:rsidRPr="00DC69CB">
        <w:rPr>
          <w:rStyle w:val="a"/>
          <w:b/>
          <w:bCs/>
          <w:noProof/>
          <w:spacing w:val="-3"/>
        </w:rPr>
        <w:drawing>
          <wp:anchor distT="0" distB="0" distL="114300" distR="114300" simplePos="0" relativeHeight="251685888" behindDoc="1" locked="1" layoutInCell="0" allowOverlap="1" wp14:anchorId="617F36F1" wp14:editId="686BA38D">
            <wp:simplePos x="0" y="0"/>
            <wp:positionH relativeFrom="column">
              <wp:align>center</wp:align>
            </wp:positionH>
            <wp:positionV relativeFrom="paragraph">
              <wp:posOffset>-795655</wp:posOffset>
            </wp:positionV>
            <wp:extent cx="6566535" cy="7811770"/>
            <wp:effectExtent l="19050" t="0" r="5715" b="0"/>
            <wp:wrapNone/>
            <wp:docPr id="9" name="Picture 1" descr="SEHSP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HSP Letterhead"/>
                    <pic:cNvPicPr>
                      <a:picLocks noChangeAspect="1" noChangeArrowheads="1"/>
                    </pic:cNvPicPr>
                  </pic:nvPicPr>
                  <pic:blipFill>
                    <a:blip r:embed="rId15" cstate="print"/>
                    <a:srcRect/>
                    <a:stretch>
                      <a:fillRect/>
                    </a:stretch>
                  </pic:blipFill>
                  <pic:spPr bwMode="auto">
                    <a:xfrm>
                      <a:off x="0" y="0"/>
                      <a:ext cx="6566535" cy="7811770"/>
                    </a:xfrm>
                    <a:prstGeom prst="rect">
                      <a:avLst/>
                    </a:prstGeom>
                    <a:noFill/>
                  </pic:spPr>
                </pic:pic>
              </a:graphicData>
            </a:graphic>
          </wp:anchor>
        </w:drawing>
      </w:r>
      <w:r w:rsidR="00ED4E37">
        <w:rPr>
          <w:rStyle w:val="a"/>
          <w:b/>
          <w:bCs/>
          <w:spacing w:val="-3"/>
        </w:rPr>
        <w:t>TO:</w:t>
      </w:r>
      <w:r>
        <w:rPr>
          <w:rStyle w:val="a"/>
          <w:b/>
          <w:bCs/>
          <w:spacing w:val="-3"/>
        </w:rPr>
        <w:tab/>
      </w:r>
      <w:r>
        <w:rPr>
          <w:rStyle w:val="a"/>
          <w:b/>
          <w:bCs/>
          <w:spacing w:val="-3"/>
        </w:rPr>
        <w:tab/>
      </w:r>
      <w:r w:rsidR="00ED4E37">
        <w:rPr>
          <w:rStyle w:val="a"/>
          <w:spacing w:val="-3"/>
        </w:rPr>
        <w:tab/>
      </w:r>
      <w:r w:rsidR="00ED1C3F">
        <w:rPr>
          <w:rStyle w:val="a"/>
          <w:spacing w:val="-3"/>
        </w:rPr>
        <w:t>OMB</w:t>
      </w:r>
    </w:p>
    <w:p w14:paraId="6AB39986" w14:textId="77777777" w:rsidR="00ED4E37" w:rsidRDefault="00ED4E37" w:rsidP="00F05772">
      <w:pPr>
        <w:ind w:firstLine="0"/>
        <w:rPr>
          <w:rStyle w:val="a"/>
          <w:b/>
          <w:bCs/>
          <w:caps/>
        </w:rPr>
      </w:pPr>
      <w:r>
        <w:rPr>
          <w:rStyle w:val="a"/>
          <w:b/>
          <w:bCs/>
        </w:rPr>
        <w:t>FROM:</w:t>
      </w:r>
      <w:r>
        <w:rPr>
          <w:rStyle w:val="a"/>
        </w:rPr>
        <w:tab/>
      </w:r>
      <w:r w:rsidR="00F05772">
        <w:rPr>
          <w:rStyle w:val="a"/>
        </w:rPr>
        <w:tab/>
      </w:r>
      <w:r w:rsidR="00ED1C3F">
        <w:rPr>
          <w:rStyle w:val="a"/>
          <w:caps/>
        </w:rPr>
        <w:t>ACF/OPRE</w:t>
      </w:r>
    </w:p>
    <w:p w14:paraId="0715A9BC" w14:textId="77777777" w:rsidR="00ED4E37" w:rsidRPr="00414045" w:rsidRDefault="00ED4E37" w:rsidP="00F05772">
      <w:pPr>
        <w:ind w:firstLine="0"/>
        <w:rPr>
          <w:rStyle w:val="a"/>
          <w:caps/>
        </w:rPr>
      </w:pPr>
      <w:r>
        <w:rPr>
          <w:rStyle w:val="a"/>
          <w:b/>
          <w:bCs/>
        </w:rPr>
        <w:t>DATE:</w:t>
      </w:r>
      <w:r>
        <w:rPr>
          <w:rStyle w:val="a"/>
          <w:b/>
          <w:bCs/>
        </w:rPr>
        <w:tab/>
      </w:r>
      <w:r w:rsidR="00F05772">
        <w:rPr>
          <w:rStyle w:val="a"/>
          <w:b/>
          <w:bCs/>
        </w:rPr>
        <w:tab/>
      </w:r>
      <w:r w:rsidR="00414045">
        <w:rPr>
          <w:rStyle w:val="a"/>
          <w:bCs/>
        </w:rPr>
        <w:t>5/</w:t>
      </w:r>
      <w:r w:rsidR="004D1FA0">
        <w:rPr>
          <w:rStyle w:val="a"/>
          <w:bCs/>
        </w:rPr>
        <w:t>1</w:t>
      </w:r>
      <w:r w:rsidR="00414045">
        <w:rPr>
          <w:rStyle w:val="a"/>
          <w:bCs/>
        </w:rPr>
        <w:t>/2015</w:t>
      </w:r>
    </w:p>
    <w:p w14:paraId="651D5508" w14:textId="77777777" w:rsidR="00ED4E37" w:rsidRDefault="00ED4E37" w:rsidP="00F05772">
      <w:pPr>
        <w:ind w:firstLine="0"/>
        <w:rPr>
          <w:rStyle w:val="a"/>
          <w:caps/>
        </w:rPr>
      </w:pPr>
      <w:r>
        <w:rPr>
          <w:rStyle w:val="a"/>
          <w:b/>
          <w:bCs/>
        </w:rPr>
        <w:t>RE:</w:t>
      </w:r>
      <w:r>
        <w:rPr>
          <w:rStyle w:val="a"/>
        </w:rPr>
        <w:tab/>
      </w:r>
      <w:r w:rsidR="00F05772">
        <w:rPr>
          <w:rStyle w:val="a"/>
        </w:rPr>
        <w:tab/>
      </w:r>
      <w:r w:rsidR="00F05772">
        <w:rPr>
          <w:rStyle w:val="a"/>
        </w:rPr>
        <w:tab/>
      </w:r>
      <w:r w:rsidR="00780274" w:rsidRPr="00780274">
        <w:rPr>
          <w:rStyle w:val="a"/>
          <w:caps/>
        </w:rPr>
        <w:t>FACES 2014 Parent Survey Experiment</w:t>
      </w:r>
      <w:r w:rsidR="00780274">
        <w:rPr>
          <w:rStyle w:val="a"/>
          <w:caps/>
        </w:rPr>
        <w:t xml:space="preserve"> results</w:t>
      </w:r>
    </w:p>
    <w:p w14:paraId="3153F58A" w14:textId="77777777" w:rsidR="004946D6" w:rsidRDefault="004946D6" w:rsidP="004946D6">
      <w:pPr>
        <w:pStyle w:val="NormalSS"/>
      </w:pPr>
      <w:r>
        <w:t xml:space="preserve">In the fall of 2014, Mathematica conducted an experiment to examine the effects of offering parents a web option on parent survey response rates and costs. We were especially interested in (1) whether it is cost-effective to use a web survey as compared to a telephone survey with Head Start parents and (2) whether parents’ choice of a web survey is a function of how this option is introduced to them. This memo describes the design of the experiment, and summarizes our data collection procedures for each experiment group, the findings, and our recommendations for spring 2015 parent survey data collection. </w:t>
      </w:r>
      <w:r w:rsidR="000A3A06">
        <w:t xml:space="preserve">The initial data collection package </w:t>
      </w:r>
      <w:r w:rsidR="00B1604B">
        <w:t>(</w:t>
      </w:r>
      <w:r w:rsidR="00AA1C6A">
        <w:t>approved July 7, 2014</w:t>
      </w:r>
      <w:r w:rsidR="00B1604B">
        <w:t xml:space="preserve">) </w:t>
      </w:r>
      <w:r w:rsidR="000A3A06">
        <w:t>described the purpose and plans for this experiment</w:t>
      </w:r>
      <w:r w:rsidR="00B1604B">
        <w:t>. In the spring update package (</w:t>
      </w:r>
      <w:r w:rsidR="00AA1C6A">
        <w:t>approved February 20, 2015</w:t>
      </w:r>
      <w:r w:rsidR="00B1604B">
        <w:t xml:space="preserve">), findings from the experiment were referenced to help explain the </w:t>
      </w:r>
      <w:r w:rsidR="00C52D2B">
        <w:t>low interim response rates for the parent survey.</w:t>
      </w:r>
    </w:p>
    <w:p w14:paraId="7CFF7C9B" w14:textId="77777777" w:rsidR="004946D6" w:rsidRPr="002C5882" w:rsidRDefault="004946D6" w:rsidP="004946D6">
      <w:pPr>
        <w:pStyle w:val="Heading2Memo"/>
      </w:pPr>
      <w:r>
        <w:t>A.</w:t>
      </w:r>
      <w:r>
        <w:tab/>
      </w:r>
      <w:r w:rsidRPr="002C5882">
        <w:t>Background</w:t>
      </w:r>
    </w:p>
    <w:p w14:paraId="705C3F77" w14:textId="77777777" w:rsidR="004946D6" w:rsidRDefault="004946D6" w:rsidP="004946D6">
      <w:pPr>
        <w:pStyle w:val="NormalSS"/>
      </w:pPr>
      <w:r>
        <w:t xml:space="preserve">Administering surveys to Head Start parents in a cost efficient manner is an important part of the FACES study design. The FACES 2014 parent survey collects important information about parent’s and children’s activities, experiences with Head Start and community agencies, health care, and parents’ feelings and attitudes about themselves. While prior rounds of FACES have collected this information through interviewers with parents, either in person or by telephone, the reduced length of the parent survey in FACES 2014 made possible the option of using the lower-cost web survey.  </w:t>
      </w:r>
    </w:p>
    <w:p w14:paraId="1DFBAD7F" w14:textId="77777777" w:rsidR="004946D6" w:rsidRDefault="004946D6" w:rsidP="004946D6">
      <w:pPr>
        <w:pStyle w:val="NormalSS"/>
      </w:pPr>
      <w:r>
        <w:t>Little is known about the feasibility of using a web survey with a low-income population such as Head Start parents and whether the way in which this option is introduced will affect parents’ decision to respond to the survey online and overall response rates. A Mathematica study conducted in 2012 by Mooney et al. found that initially limiting the response mode to web only significantly increased web completes and had no negative impact on the overall response rate. Additionally, in 2011, the U.S. Census Bureau found that s</w:t>
      </w:r>
      <w:r w:rsidRPr="00A4563D">
        <w:t>ignificantly more households access</w:t>
      </w:r>
      <w:r>
        <w:t>ed and responded to a</w:t>
      </w:r>
      <w:r w:rsidRPr="00A4563D">
        <w:t xml:space="preserve"> survey </w:t>
      </w:r>
      <w:r>
        <w:t>online when offered only a web survey at the beginning of data collection.</w:t>
      </w:r>
    </w:p>
    <w:p w14:paraId="5B3B9EF4" w14:textId="77777777" w:rsidR="004946D6" w:rsidRDefault="004946D6" w:rsidP="004946D6">
      <w:pPr>
        <w:pStyle w:val="Heading2Memo"/>
      </w:pPr>
      <w:r>
        <w:t>B.</w:t>
      </w:r>
      <w:r>
        <w:tab/>
        <w:t>Random Assignment and Data Collection Procedures for Experiment Groups</w:t>
      </w:r>
    </w:p>
    <w:p w14:paraId="194DCADD" w14:textId="77777777" w:rsidR="004946D6" w:rsidRDefault="004946D6" w:rsidP="004946D6">
      <w:pPr>
        <w:pStyle w:val="NormalSS"/>
      </w:pPr>
      <w:r>
        <w:t>The experiment was to be conducted in all 60 programs participating in the FACES Classroom + Child Outcomes Core Study fall 2014 data collection, and the parents of all 2,462 sampled, eligible and consented study children in those programs. Prior to data collection, the parents were randomly assigned in equal numbers to one of two groups, within program sampling strata:</w:t>
      </w:r>
    </w:p>
    <w:p w14:paraId="586C3A0E" w14:textId="77777777" w:rsidR="004946D6" w:rsidRDefault="004946D6" w:rsidP="004946D6">
      <w:pPr>
        <w:pStyle w:val="NumberedBullet"/>
      </w:pPr>
      <w:r w:rsidRPr="00EB179F">
        <w:rPr>
          <w:b/>
        </w:rPr>
        <w:lastRenderedPageBreak/>
        <w:t>Web with telephone follow-up after three weeks</w:t>
      </w:r>
      <w:r w:rsidRPr="00712A89">
        <w:rPr>
          <w:b/>
        </w:rPr>
        <w:t xml:space="preserve"> (Web First)</w:t>
      </w:r>
      <w:r>
        <w:t xml:space="preserve"> – Parents in this group were sent study materials that only referenced the web option for completing the survey. However, if parents in this group did not complete the survey in the three weeks following the invitation to participate, we called them to attempt to complete the survey and sent follow-up materials notifying them that they could call Mathematica’s phone center to complete their interview. </w:t>
      </w:r>
    </w:p>
    <w:p w14:paraId="4AFC06A6" w14:textId="77777777" w:rsidR="004946D6" w:rsidRDefault="004946D6" w:rsidP="004946D6">
      <w:pPr>
        <w:pStyle w:val="NumberedBullet"/>
        <w:spacing w:after="240"/>
      </w:pPr>
      <w:r w:rsidRPr="00EB179F">
        <w:rPr>
          <w:b/>
        </w:rPr>
        <w:t xml:space="preserve">Choice of web or telephone </w:t>
      </w:r>
      <w:r>
        <w:rPr>
          <w:b/>
        </w:rPr>
        <w:t xml:space="preserve">(Choice) </w:t>
      </w:r>
      <w:r>
        <w:t xml:space="preserve">– Parents in this group were sent study materials indicating from the start that they had the option of completing the survey online or by telephone. In the first three weeks after a case’s release, we used a passive telephone effort in which we completed surveys only with parents who called Mathematica’s phone center, allowing us to determine the parents’ choice of a web or phone survey. After three weeks, we began efforts to reach parents by phone to complete the survey using the same procedures that we used for the Web First group. </w:t>
      </w:r>
    </w:p>
    <w:p w14:paraId="4197E6CC" w14:textId="77777777" w:rsidR="004946D6" w:rsidRPr="002C5882" w:rsidRDefault="004946D6" w:rsidP="004946D6">
      <w:pPr>
        <w:pStyle w:val="NormalSS"/>
      </w:pPr>
      <w:r w:rsidRPr="002C5882">
        <w:t>Parents received a base amount of $15 for completing the survey with bonus amounts of $5 each for completing it online or completing it within three weeks of being invited to do so.</w:t>
      </w:r>
    </w:p>
    <w:p w14:paraId="7B7DE770" w14:textId="77777777" w:rsidR="004946D6" w:rsidRPr="002C5882" w:rsidRDefault="004946D6" w:rsidP="004946D6">
      <w:pPr>
        <w:pStyle w:val="NormalSS"/>
      </w:pPr>
      <w:r w:rsidRPr="002C5882">
        <w:t xml:space="preserve">In week 11 of the fall data collection period, parent response rates were lower than expected. With only 4 weeks left in the data collection period to achieve our target response rate, we decided to suspend the experiment for cases less than three weeks past their release date. This affected about 350 parent cases. All findings reported below were based on analyses of 2,112 cases were data collection efforts had commenced prior to the suspension of the experiment. </w:t>
      </w:r>
    </w:p>
    <w:p w14:paraId="2824B0E5" w14:textId="77777777" w:rsidR="004946D6" w:rsidRDefault="004946D6" w:rsidP="004946D6">
      <w:pPr>
        <w:pStyle w:val="Heading2Memo"/>
      </w:pPr>
      <w:r>
        <w:t>C.</w:t>
      </w:r>
      <w:r>
        <w:tab/>
        <w:t>Findings</w:t>
      </w:r>
    </w:p>
    <w:p w14:paraId="22A308C0" w14:textId="77777777" w:rsidR="004946D6" w:rsidRDefault="004946D6" w:rsidP="004946D6">
      <w:pPr>
        <w:pStyle w:val="NormalSS"/>
      </w:pPr>
      <w:r>
        <w:t>Table 1 shows the distribution of parent cases across the two experiment groups. Initially, parents were assigned about equally to the Web First and Choice groups (50.3 percent and 49.7 percent, respectively). However, once the 350 parent cases were removed, we have slightly more parents in the Web First group than in the Choice group in our analytic sample.</w:t>
      </w:r>
    </w:p>
    <w:p w14:paraId="63937322" w14:textId="77777777" w:rsidR="004946D6" w:rsidRPr="002C5882" w:rsidRDefault="004946D6" w:rsidP="004946D6">
      <w:pPr>
        <w:pStyle w:val="MarkforTableHeading"/>
      </w:pPr>
      <w:r w:rsidRPr="002C5882">
        <w:t>Table 1. Random assignment to experiment group</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8"/>
        <w:gridCol w:w="2902"/>
        <w:gridCol w:w="2900"/>
      </w:tblGrid>
      <w:tr w:rsidR="004946D6" w:rsidRPr="002C5882" w14:paraId="1C2E1651" w14:textId="77777777" w:rsidTr="000A3A06">
        <w:tc>
          <w:tcPr>
            <w:tcW w:w="1901" w:type="pct"/>
            <w:tcBorders>
              <w:bottom w:val="single" w:sz="4" w:space="0" w:color="auto"/>
            </w:tcBorders>
            <w:shd w:val="clear" w:color="auto" w:fill="A2987A"/>
          </w:tcPr>
          <w:p w14:paraId="2AB4C0D6" w14:textId="77777777" w:rsidR="004946D6" w:rsidRPr="002C5882" w:rsidRDefault="004946D6" w:rsidP="000A3A06">
            <w:pPr>
              <w:pStyle w:val="TableHeaderLeft"/>
              <w:rPr>
                <w:rFonts w:ascii="Arial Black" w:hAnsi="Arial Black"/>
                <w:color w:val="FFFFFF" w:themeColor="background1"/>
              </w:rPr>
            </w:pPr>
            <w:r w:rsidRPr="002C5882">
              <w:rPr>
                <w:rFonts w:ascii="Arial Black" w:hAnsi="Arial Black"/>
                <w:color w:val="FFFFFF" w:themeColor="background1"/>
              </w:rPr>
              <w:t>Parent experiment group</w:t>
            </w:r>
          </w:p>
        </w:tc>
        <w:tc>
          <w:tcPr>
            <w:tcW w:w="1550" w:type="pct"/>
            <w:tcBorders>
              <w:bottom w:val="single" w:sz="4" w:space="0" w:color="auto"/>
            </w:tcBorders>
            <w:shd w:val="clear" w:color="auto" w:fill="A2987A"/>
          </w:tcPr>
          <w:p w14:paraId="73569147" w14:textId="77777777" w:rsidR="004946D6" w:rsidRPr="002C5882" w:rsidRDefault="004946D6" w:rsidP="000A3A06">
            <w:pPr>
              <w:pStyle w:val="TableHeaderCenter"/>
              <w:rPr>
                <w:rFonts w:ascii="Arial Black" w:hAnsi="Arial Black"/>
                <w:color w:val="FFFFFF" w:themeColor="background1"/>
              </w:rPr>
            </w:pPr>
            <w:r w:rsidRPr="002C5882">
              <w:rPr>
                <w:rFonts w:ascii="Arial Black" w:hAnsi="Arial Black"/>
                <w:color w:val="FFFFFF" w:themeColor="background1"/>
              </w:rPr>
              <w:t>Frequency</w:t>
            </w:r>
          </w:p>
        </w:tc>
        <w:tc>
          <w:tcPr>
            <w:tcW w:w="1550" w:type="pct"/>
            <w:tcBorders>
              <w:bottom w:val="single" w:sz="4" w:space="0" w:color="auto"/>
            </w:tcBorders>
            <w:shd w:val="clear" w:color="auto" w:fill="A2987A"/>
          </w:tcPr>
          <w:p w14:paraId="5B105231" w14:textId="77777777" w:rsidR="004946D6" w:rsidRPr="002C5882" w:rsidRDefault="004946D6" w:rsidP="000A3A06">
            <w:pPr>
              <w:pStyle w:val="TableHeaderCenter"/>
              <w:rPr>
                <w:rFonts w:ascii="Arial Black" w:hAnsi="Arial Black"/>
                <w:color w:val="FFFFFF" w:themeColor="background1"/>
              </w:rPr>
            </w:pPr>
            <w:r w:rsidRPr="002C5882">
              <w:rPr>
                <w:rFonts w:ascii="Arial Black" w:hAnsi="Arial Black"/>
                <w:color w:val="FFFFFF" w:themeColor="background1"/>
              </w:rPr>
              <w:t>Percent</w:t>
            </w:r>
          </w:p>
        </w:tc>
      </w:tr>
      <w:tr w:rsidR="004946D6" w14:paraId="00493AF5" w14:textId="77777777" w:rsidTr="000A3A06">
        <w:tc>
          <w:tcPr>
            <w:tcW w:w="1901" w:type="pct"/>
            <w:tcBorders>
              <w:top w:val="single" w:sz="4" w:space="0" w:color="auto"/>
            </w:tcBorders>
          </w:tcPr>
          <w:p w14:paraId="2F1AE636" w14:textId="77777777" w:rsidR="004946D6" w:rsidRDefault="004946D6" w:rsidP="000A3A06">
            <w:pPr>
              <w:pStyle w:val="TableText"/>
              <w:spacing w:before="60" w:after="60"/>
            </w:pPr>
            <w:r>
              <w:t xml:space="preserve">Web First </w:t>
            </w:r>
          </w:p>
        </w:tc>
        <w:tc>
          <w:tcPr>
            <w:tcW w:w="1550" w:type="pct"/>
            <w:tcBorders>
              <w:top w:val="single" w:sz="4" w:space="0" w:color="auto"/>
            </w:tcBorders>
          </w:tcPr>
          <w:p w14:paraId="35FE75B7" w14:textId="77777777" w:rsidR="004946D6" w:rsidRDefault="004946D6" w:rsidP="000A3A06">
            <w:pPr>
              <w:pStyle w:val="TableText"/>
              <w:tabs>
                <w:tab w:val="decimal" w:pos="1464"/>
              </w:tabs>
              <w:spacing w:before="60" w:after="60"/>
            </w:pPr>
            <w:r>
              <w:t>1092</w:t>
            </w:r>
          </w:p>
        </w:tc>
        <w:tc>
          <w:tcPr>
            <w:tcW w:w="1550" w:type="pct"/>
            <w:tcBorders>
              <w:top w:val="single" w:sz="4" w:space="0" w:color="auto"/>
            </w:tcBorders>
          </w:tcPr>
          <w:p w14:paraId="7DF6CDFC" w14:textId="77777777" w:rsidR="004946D6" w:rsidRDefault="004946D6" w:rsidP="000A3A06">
            <w:pPr>
              <w:pStyle w:val="TableText"/>
              <w:tabs>
                <w:tab w:val="decimal" w:pos="1464"/>
              </w:tabs>
              <w:spacing w:before="60" w:after="60"/>
            </w:pPr>
            <w:r>
              <w:t>51.7%</w:t>
            </w:r>
          </w:p>
        </w:tc>
      </w:tr>
      <w:tr w:rsidR="004946D6" w14:paraId="31EF7604" w14:textId="77777777" w:rsidTr="000A3A06">
        <w:tc>
          <w:tcPr>
            <w:tcW w:w="1901" w:type="pct"/>
            <w:tcBorders>
              <w:bottom w:val="single" w:sz="4" w:space="0" w:color="auto"/>
            </w:tcBorders>
          </w:tcPr>
          <w:p w14:paraId="1467669B" w14:textId="77777777" w:rsidR="004946D6" w:rsidRDefault="004946D6" w:rsidP="000A3A06">
            <w:pPr>
              <w:pStyle w:val="TableText"/>
              <w:spacing w:before="60" w:after="60"/>
            </w:pPr>
            <w:r>
              <w:t xml:space="preserve">Choice </w:t>
            </w:r>
          </w:p>
        </w:tc>
        <w:tc>
          <w:tcPr>
            <w:tcW w:w="1550" w:type="pct"/>
            <w:tcBorders>
              <w:bottom w:val="single" w:sz="4" w:space="0" w:color="auto"/>
            </w:tcBorders>
          </w:tcPr>
          <w:p w14:paraId="5DD7F21E" w14:textId="77777777" w:rsidR="004946D6" w:rsidRDefault="004946D6" w:rsidP="000A3A06">
            <w:pPr>
              <w:pStyle w:val="TableText"/>
              <w:tabs>
                <w:tab w:val="decimal" w:pos="1464"/>
              </w:tabs>
              <w:spacing w:before="60" w:after="60"/>
            </w:pPr>
            <w:r>
              <w:t>1020</w:t>
            </w:r>
          </w:p>
        </w:tc>
        <w:tc>
          <w:tcPr>
            <w:tcW w:w="1550" w:type="pct"/>
            <w:tcBorders>
              <w:bottom w:val="single" w:sz="4" w:space="0" w:color="auto"/>
            </w:tcBorders>
          </w:tcPr>
          <w:p w14:paraId="40705EBE" w14:textId="77777777" w:rsidR="004946D6" w:rsidRDefault="004946D6" w:rsidP="000A3A06">
            <w:pPr>
              <w:pStyle w:val="TableText"/>
              <w:tabs>
                <w:tab w:val="decimal" w:pos="1464"/>
              </w:tabs>
              <w:spacing w:before="60" w:after="60"/>
            </w:pPr>
            <w:r>
              <w:t>48.3%</w:t>
            </w:r>
          </w:p>
        </w:tc>
      </w:tr>
      <w:tr w:rsidR="004946D6" w:rsidRPr="002C5882" w14:paraId="04B6EE41" w14:textId="77777777" w:rsidTr="000A3A06">
        <w:tc>
          <w:tcPr>
            <w:tcW w:w="1901" w:type="pct"/>
            <w:tcBorders>
              <w:top w:val="single" w:sz="4" w:space="0" w:color="auto"/>
              <w:bottom w:val="single" w:sz="4" w:space="0" w:color="auto"/>
            </w:tcBorders>
          </w:tcPr>
          <w:p w14:paraId="4A8F4CDF" w14:textId="77777777" w:rsidR="004946D6" w:rsidRPr="002C5882" w:rsidRDefault="004946D6" w:rsidP="000A3A06">
            <w:pPr>
              <w:pStyle w:val="TableText"/>
              <w:spacing w:before="60" w:after="60"/>
              <w:rPr>
                <w:b/>
              </w:rPr>
            </w:pPr>
            <w:r w:rsidRPr="002C5882">
              <w:rPr>
                <w:b/>
              </w:rPr>
              <w:t>Total</w:t>
            </w:r>
          </w:p>
        </w:tc>
        <w:tc>
          <w:tcPr>
            <w:tcW w:w="1550" w:type="pct"/>
            <w:tcBorders>
              <w:top w:val="single" w:sz="4" w:space="0" w:color="auto"/>
              <w:bottom w:val="single" w:sz="4" w:space="0" w:color="auto"/>
            </w:tcBorders>
          </w:tcPr>
          <w:p w14:paraId="7684E38C" w14:textId="77777777" w:rsidR="004946D6" w:rsidRPr="002C5882" w:rsidRDefault="004946D6" w:rsidP="000A3A06">
            <w:pPr>
              <w:pStyle w:val="TableText"/>
              <w:tabs>
                <w:tab w:val="decimal" w:pos="1464"/>
              </w:tabs>
              <w:spacing w:before="60" w:after="60"/>
              <w:rPr>
                <w:b/>
              </w:rPr>
            </w:pPr>
            <w:r w:rsidRPr="002C5882">
              <w:rPr>
                <w:b/>
              </w:rPr>
              <w:t>2112</w:t>
            </w:r>
          </w:p>
        </w:tc>
        <w:tc>
          <w:tcPr>
            <w:tcW w:w="1550" w:type="pct"/>
            <w:tcBorders>
              <w:top w:val="single" w:sz="4" w:space="0" w:color="auto"/>
              <w:bottom w:val="single" w:sz="4" w:space="0" w:color="auto"/>
            </w:tcBorders>
          </w:tcPr>
          <w:p w14:paraId="631A5836" w14:textId="77777777" w:rsidR="004946D6" w:rsidRPr="002C5882" w:rsidRDefault="004946D6" w:rsidP="000A3A06">
            <w:pPr>
              <w:pStyle w:val="TableText"/>
              <w:tabs>
                <w:tab w:val="decimal" w:pos="1464"/>
              </w:tabs>
              <w:spacing w:before="60" w:after="60"/>
              <w:rPr>
                <w:b/>
              </w:rPr>
            </w:pPr>
            <w:r w:rsidRPr="002C5882">
              <w:rPr>
                <w:b/>
              </w:rPr>
              <w:t>100.0%</w:t>
            </w:r>
          </w:p>
        </w:tc>
      </w:tr>
    </w:tbl>
    <w:p w14:paraId="78DEF6E5" w14:textId="77777777" w:rsidR="004946D6" w:rsidRDefault="004946D6" w:rsidP="004946D6">
      <w:pPr>
        <w:pStyle w:val="NormalSS"/>
        <w:spacing w:after="0"/>
        <w:ind w:firstLine="0"/>
      </w:pPr>
    </w:p>
    <w:p w14:paraId="1CB2B3BE" w14:textId="77777777" w:rsidR="004946D6" w:rsidRPr="00A022E7" w:rsidRDefault="004946D6" w:rsidP="004946D6">
      <w:pPr>
        <w:pStyle w:val="NormalSS"/>
      </w:pPr>
      <w:r w:rsidRPr="00A022E7">
        <w:t>On the consent form, we asked parents to indicate whether they “have access to a smart phone, laptop, computer or other device that gives you access to the Internet?” Table 2 shows that the majority of Head Start parents reported having access to the Internet. The percentages of parents with and without internet access was roughly equal for the two experimental groups.</w:t>
      </w:r>
    </w:p>
    <w:p w14:paraId="0EA63FF1" w14:textId="77777777" w:rsidR="00973730" w:rsidRDefault="00973730" w:rsidP="004946D6">
      <w:pPr>
        <w:pStyle w:val="MarkforTableHeading"/>
      </w:pPr>
    </w:p>
    <w:p w14:paraId="1AEFB1B5" w14:textId="77777777" w:rsidR="004946D6" w:rsidRDefault="004946D6" w:rsidP="004946D6">
      <w:pPr>
        <w:pStyle w:val="MarkforTableHeading"/>
      </w:pPr>
      <w:r>
        <w:t>Table 2. Parents’ reported access to the Internet by experiment group and overall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2640"/>
        <w:gridCol w:w="2640"/>
        <w:gridCol w:w="2641"/>
      </w:tblGrid>
      <w:tr w:rsidR="004946D6" w14:paraId="11677D52" w14:textId="77777777" w:rsidTr="000A3A06">
        <w:tc>
          <w:tcPr>
            <w:tcW w:w="769" w:type="pct"/>
            <w:tcBorders>
              <w:bottom w:val="single" w:sz="4" w:space="0" w:color="auto"/>
            </w:tcBorders>
            <w:shd w:val="clear" w:color="auto" w:fill="A2987A"/>
          </w:tcPr>
          <w:p w14:paraId="78812639" w14:textId="77777777" w:rsidR="004946D6" w:rsidRDefault="004946D6" w:rsidP="000A3A06">
            <w:pPr>
              <w:pStyle w:val="TableText"/>
              <w:spacing w:before="120" w:after="60"/>
            </w:pPr>
          </w:p>
        </w:tc>
        <w:tc>
          <w:tcPr>
            <w:tcW w:w="1410" w:type="pct"/>
            <w:tcBorders>
              <w:bottom w:val="single" w:sz="4" w:space="0" w:color="auto"/>
            </w:tcBorders>
            <w:shd w:val="clear" w:color="auto" w:fill="A2987A"/>
          </w:tcPr>
          <w:p w14:paraId="0DA43EC3" w14:textId="77777777" w:rsidR="004946D6" w:rsidRPr="00E72978" w:rsidRDefault="004946D6" w:rsidP="000A3A06">
            <w:pPr>
              <w:pStyle w:val="TableHeaderCenter"/>
              <w:rPr>
                <w:rFonts w:ascii="Arial Black" w:hAnsi="Arial Black"/>
                <w:color w:val="FFFFFF" w:themeColor="background1"/>
              </w:rPr>
            </w:pPr>
            <w:r w:rsidRPr="00E72978">
              <w:rPr>
                <w:rFonts w:ascii="Arial Black" w:hAnsi="Arial Black"/>
                <w:color w:val="FFFFFF" w:themeColor="background1"/>
              </w:rPr>
              <w:t xml:space="preserve">Web </w:t>
            </w:r>
            <w:r>
              <w:rPr>
                <w:rFonts w:ascii="Arial Black" w:hAnsi="Arial Black"/>
                <w:color w:val="FFFFFF" w:themeColor="background1"/>
              </w:rPr>
              <w:t>f</w:t>
            </w:r>
            <w:r w:rsidRPr="00E72978">
              <w:rPr>
                <w:rFonts w:ascii="Arial Black" w:hAnsi="Arial Black"/>
                <w:color w:val="FFFFFF" w:themeColor="background1"/>
              </w:rPr>
              <w:t>irst group</w:t>
            </w:r>
          </w:p>
        </w:tc>
        <w:tc>
          <w:tcPr>
            <w:tcW w:w="1410" w:type="pct"/>
            <w:tcBorders>
              <w:bottom w:val="single" w:sz="4" w:space="0" w:color="auto"/>
            </w:tcBorders>
            <w:shd w:val="clear" w:color="auto" w:fill="A2987A"/>
          </w:tcPr>
          <w:p w14:paraId="71088199" w14:textId="77777777" w:rsidR="004946D6" w:rsidRPr="00E72978" w:rsidRDefault="004946D6" w:rsidP="000A3A06">
            <w:pPr>
              <w:pStyle w:val="TableHeaderCenter"/>
              <w:rPr>
                <w:rFonts w:ascii="Arial Black" w:hAnsi="Arial Black"/>
                <w:color w:val="FFFFFF" w:themeColor="background1"/>
              </w:rPr>
            </w:pPr>
            <w:r w:rsidRPr="00E72978">
              <w:rPr>
                <w:rFonts w:ascii="Arial Black" w:hAnsi="Arial Black"/>
                <w:color w:val="FFFFFF" w:themeColor="background1"/>
              </w:rPr>
              <w:t>Choice group</w:t>
            </w:r>
          </w:p>
        </w:tc>
        <w:tc>
          <w:tcPr>
            <w:tcW w:w="1411" w:type="pct"/>
            <w:tcBorders>
              <w:bottom w:val="single" w:sz="4" w:space="0" w:color="auto"/>
            </w:tcBorders>
            <w:shd w:val="clear" w:color="auto" w:fill="A2987A"/>
          </w:tcPr>
          <w:p w14:paraId="6E60C4B6" w14:textId="77777777" w:rsidR="004946D6" w:rsidRPr="00E72978" w:rsidRDefault="004946D6" w:rsidP="000A3A06">
            <w:pPr>
              <w:pStyle w:val="TableHeaderCenter"/>
              <w:rPr>
                <w:rFonts w:ascii="Arial Black" w:hAnsi="Arial Black"/>
                <w:color w:val="FFFFFF" w:themeColor="background1"/>
              </w:rPr>
            </w:pPr>
            <w:r w:rsidRPr="00E72978">
              <w:rPr>
                <w:rFonts w:ascii="Arial Black" w:hAnsi="Arial Black"/>
                <w:color w:val="FFFFFF" w:themeColor="background1"/>
              </w:rPr>
              <w:t>Overall</w:t>
            </w:r>
          </w:p>
        </w:tc>
      </w:tr>
      <w:tr w:rsidR="004946D6" w14:paraId="4456966B" w14:textId="77777777" w:rsidTr="000A3A06">
        <w:tc>
          <w:tcPr>
            <w:tcW w:w="769" w:type="pct"/>
            <w:tcBorders>
              <w:top w:val="single" w:sz="4" w:space="0" w:color="auto"/>
            </w:tcBorders>
          </w:tcPr>
          <w:p w14:paraId="4A3F685D" w14:textId="77777777" w:rsidR="004946D6" w:rsidRDefault="004946D6" w:rsidP="000A3A06">
            <w:pPr>
              <w:pStyle w:val="TableText"/>
              <w:spacing w:before="60" w:after="60"/>
            </w:pPr>
            <w:r>
              <w:t>Yes</w:t>
            </w:r>
          </w:p>
        </w:tc>
        <w:tc>
          <w:tcPr>
            <w:tcW w:w="1410" w:type="pct"/>
            <w:tcBorders>
              <w:top w:val="single" w:sz="4" w:space="0" w:color="auto"/>
            </w:tcBorders>
          </w:tcPr>
          <w:p w14:paraId="7D938CC0" w14:textId="77777777" w:rsidR="004946D6" w:rsidRDefault="004946D6" w:rsidP="000A3A06">
            <w:pPr>
              <w:pStyle w:val="TableText"/>
              <w:tabs>
                <w:tab w:val="right" w:pos="1695"/>
              </w:tabs>
              <w:spacing w:before="60" w:after="60"/>
            </w:pPr>
            <w:r>
              <w:tab/>
              <w:t>928 (85.0%)</w:t>
            </w:r>
          </w:p>
        </w:tc>
        <w:tc>
          <w:tcPr>
            <w:tcW w:w="1410" w:type="pct"/>
            <w:tcBorders>
              <w:top w:val="single" w:sz="4" w:space="0" w:color="auto"/>
            </w:tcBorders>
          </w:tcPr>
          <w:p w14:paraId="208BA135" w14:textId="77777777" w:rsidR="004946D6" w:rsidRDefault="004946D6" w:rsidP="000A3A06">
            <w:pPr>
              <w:pStyle w:val="TableText"/>
              <w:tabs>
                <w:tab w:val="right" w:pos="1753"/>
              </w:tabs>
              <w:spacing w:before="60" w:after="60"/>
            </w:pPr>
            <w:r>
              <w:tab/>
              <w:t>883 (86.6%)</w:t>
            </w:r>
          </w:p>
        </w:tc>
        <w:tc>
          <w:tcPr>
            <w:tcW w:w="1411" w:type="pct"/>
            <w:tcBorders>
              <w:top w:val="single" w:sz="4" w:space="0" w:color="auto"/>
            </w:tcBorders>
          </w:tcPr>
          <w:p w14:paraId="27B420AF" w14:textId="77777777" w:rsidR="004946D6" w:rsidRDefault="004946D6" w:rsidP="000A3A06">
            <w:pPr>
              <w:pStyle w:val="TableText"/>
              <w:tabs>
                <w:tab w:val="right" w:pos="1855"/>
              </w:tabs>
              <w:spacing w:before="60" w:after="60"/>
            </w:pPr>
            <w:r>
              <w:tab/>
              <w:t>1,811 (85.8%)</w:t>
            </w:r>
          </w:p>
        </w:tc>
      </w:tr>
      <w:tr w:rsidR="004946D6" w14:paraId="36D6C159" w14:textId="77777777" w:rsidTr="000A3A06">
        <w:tc>
          <w:tcPr>
            <w:tcW w:w="769" w:type="pct"/>
          </w:tcPr>
          <w:p w14:paraId="48D54D3B" w14:textId="77777777" w:rsidR="004946D6" w:rsidRDefault="004946D6" w:rsidP="000A3A06">
            <w:pPr>
              <w:pStyle w:val="TableText"/>
              <w:spacing w:before="60" w:after="60"/>
            </w:pPr>
            <w:r>
              <w:t>No</w:t>
            </w:r>
          </w:p>
        </w:tc>
        <w:tc>
          <w:tcPr>
            <w:tcW w:w="1410" w:type="pct"/>
          </w:tcPr>
          <w:p w14:paraId="3A00996A" w14:textId="77777777" w:rsidR="004946D6" w:rsidRDefault="004946D6" w:rsidP="000A3A06">
            <w:pPr>
              <w:pStyle w:val="TableText"/>
              <w:tabs>
                <w:tab w:val="right" w:pos="1695"/>
              </w:tabs>
              <w:spacing w:before="60" w:after="60"/>
            </w:pPr>
            <w:r>
              <w:tab/>
              <w:t>142 (13.0%)</w:t>
            </w:r>
          </w:p>
        </w:tc>
        <w:tc>
          <w:tcPr>
            <w:tcW w:w="1410" w:type="pct"/>
          </w:tcPr>
          <w:p w14:paraId="440A4E33" w14:textId="77777777" w:rsidR="004946D6" w:rsidRDefault="004946D6" w:rsidP="000A3A06">
            <w:pPr>
              <w:pStyle w:val="TableText"/>
              <w:tabs>
                <w:tab w:val="right" w:pos="1753"/>
              </w:tabs>
              <w:spacing w:before="60" w:after="60"/>
            </w:pPr>
            <w:r>
              <w:tab/>
              <w:t>112 (11.0%)</w:t>
            </w:r>
          </w:p>
        </w:tc>
        <w:tc>
          <w:tcPr>
            <w:tcW w:w="1411" w:type="pct"/>
          </w:tcPr>
          <w:p w14:paraId="5A66DA6F" w14:textId="77777777" w:rsidR="004946D6" w:rsidRDefault="004946D6" w:rsidP="000A3A06">
            <w:pPr>
              <w:pStyle w:val="TableText"/>
              <w:tabs>
                <w:tab w:val="right" w:pos="1855"/>
              </w:tabs>
              <w:spacing w:before="60" w:after="60"/>
            </w:pPr>
            <w:r>
              <w:tab/>
              <w:t>254 (12.0%)</w:t>
            </w:r>
          </w:p>
        </w:tc>
      </w:tr>
      <w:tr w:rsidR="004946D6" w14:paraId="3AD0F203" w14:textId="77777777" w:rsidTr="000A3A06">
        <w:tc>
          <w:tcPr>
            <w:tcW w:w="769" w:type="pct"/>
            <w:tcBorders>
              <w:bottom w:val="single" w:sz="4" w:space="0" w:color="auto"/>
            </w:tcBorders>
          </w:tcPr>
          <w:p w14:paraId="67C431D2" w14:textId="77777777" w:rsidR="004946D6" w:rsidRDefault="004946D6" w:rsidP="000A3A06">
            <w:pPr>
              <w:pStyle w:val="TableText"/>
              <w:spacing w:before="60" w:after="60"/>
            </w:pPr>
            <w:r>
              <w:t>Not reported</w:t>
            </w:r>
          </w:p>
        </w:tc>
        <w:tc>
          <w:tcPr>
            <w:tcW w:w="1410" w:type="pct"/>
            <w:tcBorders>
              <w:bottom w:val="single" w:sz="4" w:space="0" w:color="auto"/>
            </w:tcBorders>
          </w:tcPr>
          <w:p w14:paraId="6CB831DC" w14:textId="77777777" w:rsidR="004946D6" w:rsidRDefault="004946D6" w:rsidP="000A3A06">
            <w:pPr>
              <w:pStyle w:val="TableText"/>
              <w:tabs>
                <w:tab w:val="right" w:pos="1695"/>
              </w:tabs>
              <w:spacing w:before="60" w:after="60"/>
            </w:pPr>
            <w:r>
              <w:tab/>
              <w:t>22 (2.0%)</w:t>
            </w:r>
          </w:p>
        </w:tc>
        <w:tc>
          <w:tcPr>
            <w:tcW w:w="1410" w:type="pct"/>
            <w:tcBorders>
              <w:bottom w:val="single" w:sz="4" w:space="0" w:color="auto"/>
            </w:tcBorders>
          </w:tcPr>
          <w:p w14:paraId="715DA653" w14:textId="77777777" w:rsidR="004946D6" w:rsidRDefault="004946D6" w:rsidP="000A3A06">
            <w:pPr>
              <w:pStyle w:val="TableText"/>
              <w:tabs>
                <w:tab w:val="right" w:pos="1753"/>
              </w:tabs>
              <w:spacing w:before="60" w:after="60"/>
            </w:pPr>
            <w:r>
              <w:tab/>
              <w:t>25 (2.4%)</w:t>
            </w:r>
          </w:p>
        </w:tc>
        <w:tc>
          <w:tcPr>
            <w:tcW w:w="1411" w:type="pct"/>
            <w:tcBorders>
              <w:bottom w:val="single" w:sz="4" w:space="0" w:color="auto"/>
            </w:tcBorders>
          </w:tcPr>
          <w:p w14:paraId="30C2C373" w14:textId="77777777" w:rsidR="004946D6" w:rsidRDefault="004946D6" w:rsidP="000A3A06">
            <w:pPr>
              <w:pStyle w:val="TableText"/>
              <w:tabs>
                <w:tab w:val="right" w:pos="1855"/>
              </w:tabs>
              <w:spacing w:before="60" w:after="60"/>
            </w:pPr>
            <w:r>
              <w:tab/>
              <w:t>47 (2.2%)</w:t>
            </w:r>
          </w:p>
        </w:tc>
      </w:tr>
      <w:tr w:rsidR="004946D6" w:rsidRPr="00A815E9" w14:paraId="7AF8466E" w14:textId="77777777" w:rsidTr="000A3A06">
        <w:tc>
          <w:tcPr>
            <w:tcW w:w="769" w:type="pct"/>
            <w:tcBorders>
              <w:top w:val="single" w:sz="4" w:space="0" w:color="auto"/>
              <w:bottom w:val="single" w:sz="4" w:space="0" w:color="auto"/>
            </w:tcBorders>
          </w:tcPr>
          <w:p w14:paraId="7CE131C1" w14:textId="77777777" w:rsidR="004946D6" w:rsidRPr="00A815E9" w:rsidRDefault="004946D6" w:rsidP="000A3A06">
            <w:pPr>
              <w:pStyle w:val="TableText"/>
              <w:spacing w:before="60" w:after="60"/>
              <w:rPr>
                <w:b/>
              </w:rPr>
            </w:pPr>
            <w:r w:rsidRPr="00A815E9">
              <w:rPr>
                <w:b/>
              </w:rPr>
              <w:t>Total</w:t>
            </w:r>
          </w:p>
        </w:tc>
        <w:tc>
          <w:tcPr>
            <w:tcW w:w="1410" w:type="pct"/>
            <w:tcBorders>
              <w:top w:val="single" w:sz="4" w:space="0" w:color="auto"/>
              <w:bottom w:val="single" w:sz="4" w:space="0" w:color="auto"/>
            </w:tcBorders>
          </w:tcPr>
          <w:p w14:paraId="663EC30E" w14:textId="77777777" w:rsidR="004946D6" w:rsidRPr="00A815E9" w:rsidRDefault="004946D6" w:rsidP="000A3A06">
            <w:pPr>
              <w:pStyle w:val="TableText"/>
              <w:tabs>
                <w:tab w:val="right" w:pos="1695"/>
              </w:tabs>
              <w:spacing w:before="60" w:after="60"/>
              <w:rPr>
                <w:b/>
              </w:rPr>
            </w:pPr>
            <w:r w:rsidRPr="00A815E9">
              <w:rPr>
                <w:b/>
              </w:rPr>
              <w:tab/>
              <w:t>1,092</w:t>
            </w:r>
          </w:p>
        </w:tc>
        <w:tc>
          <w:tcPr>
            <w:tcW w:w="1410" w:type="pct"/>
            <w:tcBorders>
              <w:top w:val="single" w:sz="4" w:space="0" w:color="auto"/>
              <w:bottom w:val="single" w:sz="4" w:space="0" w:color="auto"/>
            </w:tcBorders>
          </w:tcPr>
          <w:p w14:paraId="10CDD95D" w14:textId="77777777" w:rsidR="004946D6" w:rsidRPr="00A815E9" w:rsidRDefault="004946D6" w:rsidP="000A3A06">
            <w:pPr>
              <w:pStyle w:val="TableText"/>
              <w:tabs>
                <w:tab w:val="right" w:pos="1753"/>
              </w:tabs>
              <w:spacing w:before="60" w:after="60"/>
              <w:rPr>
                <w:b/>
              </w:rPr>
            </w:pPr>
            <w:r w:rsidRPr="00A815E9">
              <w:rPr>
                <w:b/>
              </w:rPr>
              <w:tab/>
              <w:t>1,020</w:t>
            </w:r>
          </w:p>
        </w:tc>
        <w:tc>
          <w:tcPr>
            <w:tcW w:w="1411" w:type="pct"/>
            <w:tcBorders>
              <w:top w:val="single" w:sz="4" w:space="0" w:color="auto"/>
              <w:bottom w:val="single" w:sz="4" w:space="0" w:color="auto"/>
            </w:tcBorders>
          </w:tcPr>
          <w:p w14:paraId="44188021" w14:textId="77777777" w:rsidR="004946D6" w:rsidRPr="00A815E9" w:rsidRDefault="004946D6" w:rsidP="000A3A06">
            <w:pPr>
              <w:pStyle w:val="TableText"/>
              <w:tabs>
                <w:tab w:val="right" w:pos="1855"/>
              </w:tabs>
              <w:spacing w:before="60" w:after="60"/>
              <w:rPr>
                <w:b/>
              </w:rPr>
            </w:pPr>
            <w:r w:rsidRPr="00A815E9">
              <w:rPr>
                <w:b/>
              </w:rPr>
              <w:tab/>
              <w:t>2,112</w:t>
            </w:r>
          </w:p>
        </w:tc>
      </w:tr>
    </w:tbl>
    <w:p w14:paraId="21B2DF00" w14:textId="77777777" w:rsidR="004946D6" w:rsidRDefault="004946D6" w:rsidP="004946D6">
      <w:pPr>
        <w:pStyle w:val="NormalSS"/>
        <w:spacing w:after="0"/>
        <w:ind w:firstLine="0"/>
      </w:pPr>
    </w:p>
    <w:p w14:paraId="6621D259" w14:textId="77777777" w:rsidR="004946D6" w:rsidRPr="00A022E7" w:rsidRDefault="004946D6" w:rsidP="004946D6">
      <w:pPr>
        <w:pStyle w:val="NormalSS"/>
      </w:pPr>
      <w:r w:rsidRPr="00A022E7">
        <w:t>Overall, 78.2 percent of parents completed the survey with 48.2 percent responding online and 51.8 percent by phone (Table 3).  Completion rates for the two experimental groups were very close as were the percentage of completed surveys that were done online and by phone. Limiting parents to a web survey option only (Web First) during the first three weeks of data collection did not produce a higher percentage of web completes than CATI completes for this group. In fact, although a higher number of the total web completes came from the Web First group, the Choice group had a slightly higher percentage of web completes than the Web First group (49.2</w:t>
      </w:r>
      <w:r>
        <w:t xml:space="preserve"> percent </w:t>
      </w:r>
      <w:r w:rsidRPr="00A022E7">
        <w:t>and 47.2</w:t>
      </w:r>
      <w:r>
        <w:t xml:space="preserve"> percent</w:t>
      </w:r>
      <w:r w:rsidRPr="00A022E7">
        <w:t>, respectively).</w:t>
      </w:r>
    </w:p>
    <w:p w14:paraId="3A8F87E2" w14:textId="77777777" w:rsidR="004946D6" w:rsidRDefault="004946D6" w:rsidP="004946D6">
      <w:pPr>
        <w:pStyle w:val="MarkforTableHeading"/>
      </w:pPr>
      <w:r>
        <w:t>Table 3. Parent survey completes by parent experiment group</w:t>
      </w:r>
    </w:p>
    <w:tbl>
      <w:tblPr>
        <w:tblW w:w="5000" w:type="pct"/>
        <w:jc w:val="center"/>
        <w:tblCellMar>
          <w:left w:w="0" w:type="dxa"/>
          <w:right w:w="0" w:type="dxa"/>
        </w:tblCellMar>
        <w:tblLook w:val="04A0" w:firstRow="1" w:lastRow="0" w:firstColumn="1" w:lastColumn="0" w:noHBand="0" w:noVBand="1"/>
      </w:tblPr>
      <w:tblGrid>
        <w:gridCol w:w="2675"/>
        <w:gridCol w:w="2100"/>
        <w:gridCol w:w="2196"/>
        <w:gridCol w:w="2389"/>
      </w:tblGrid>
      <w:tr w:rsidR="004946D6" w:rsidRPr="00920B11" w14:paraId="68EA339E" w14:textId="77777777" w:rsidTr="000A3A06">
        <w:trPr>
          <w:jc w:val="center"/>
        </w:trPr>
        <w:tc>
          <w:tcPr>
            <w:tcW w:w="1429" w:type="pct"/>
            <w:tcBorders>
              <w:bottom w:val="single" w:sz="4" w:space="0" w:color="auto"/>
            </w:tcBorders>
            <w:shd w:val="clear" w:color="auto" w:fill="A2987A"/>
            <w:tcMar>
              <w:top w:w="0" w:type="dxa"/>
              <w:left w:w="108" w:type="dxa"/>
              <w:bottom w:w="0" w:type="dxa"/>
              <w:right w:w="108" w:type="dxa"/>
            </w:tcMar>
            <w:vAlign w:val="bottom"/>
            <w:hideMark/>
          </w:tcPr>
          <w:p w14:paraId="2F5CC3FE" w14:textId="77777777" w:rsidR="004946D6" w:rsidRPr="00920B11" w:rsidRDefault="004946D6" w:rsidP="000A3A06">
            <w:pPr>
              <w:pStyle w:val="TableHeaderLeft"/>
              <w:rPr>
                <w:rFonts w:ascii="Arial Black" w:hAnsi="Arial Black"/>
                <w:color w:val="FFFFFF" w:themeColor="background1"/>
              </w:rPr>
            </w:pPr>
            <w:r w:rsidRPr="00920B11">
              <w:rPr>
                <w:rFonts w:ascii="Arial Black" w:hAnsi="Arial Black"/>
                <w:color w:val="FFFFFF" w:themeColor="background1"/>
              </w:rPr>
              <w:t>Parent experiment group</w:t>
            </w:r>
          </w:p>
        </w:tc>
        <w:tc>
          <w:tcPr>
            <w:tcW w:w="1122" w:type="pct"/>
            <w:tcBorders>
              <w:bottom w:val="single" w:sz="4" w:space="0" w:color="auto"/>
            </w:tcBorders>
            <w:shd w:val="clear" w:color="auto" w:fill="A2987A"/>
            <w:tcMar>
              <w:top w:w="0" w:type="dxa"/>
              <w:left w:w="108" w:type="dxa"/>
              <w:bottom w:w="0" w:type="dxa"/>
              <w:right w:w="108" w:type="dxa"/>
            </w:tcMar>
            <w:vAlign w:val="bottom"/>
            <w:hideMark/>
          </w:tcPr>
          <w:p w14:paraId="14D7A76A" w14:textId="77777777" w:rsidR="004946D6" w:rsidRPr="00920B11" w:rsidRDefault="004946D6" w:rsidP="000A3A06">
            <w:pPr>
              <w:pStyle w:val="TableHeaderCenter"/>
              <w:tabs>
                <w:tab w:val="clear" w:pos="432"/>
              </w:tabs>
              <w:rPr>
                <w:rFonts w:ascii="Arial Black" w:hAnsi="Arial Black"/>
                <w:color w:val="FFFFFF" w:themeColor="background1"/>
              </w:rPr>
            </w:pPr>
            <w:r w:rsidRPr="00920B11">
              <w:rPr>
                <w:rFonts w:ascii="Arial Black" w:hAnsi="Arial Black"/>
                <w:color w:val="FFFFFF" w:themeColor="background1"/>
              </w:rPr>
              <w:t>CATI</w:t>
            </w:r>
            <w:r>
              <w:rPr>
                <w:rFonts w:ascii="Arial Black" w:hAnsi="Arial Black"/>
                <w:color w:val="FFFFFF" w:themeColor="background1"/>
              </w:rPr>
              <w:br/>
            </w:r>
            <w:r w:rsidRPr="00920B11">
              <w:rPr>
                <w:rFonts w:ascii="Arial Black" w:hAnsi="Arial Black"/>
                <w:color w:val="FFFFFF" w:themeColor="background1"/>
              </w:rPr>
              <w:t>completes</w:t>
            </w:r>
          </w:p>
        </w:tc>
        <w:tc>
          <w:tcPr>
            <w:tcW w:w="1173" w:type="pct"/>
            <w:tcBorders>
              <w:bottom w:val="single" w:sz="4" w:space="0" w:color="auto"/>
            </w:tcBorders>
            <w:shd w:val="clear" w:color="auto" w:fill="A2987A"/>
            <w:tcMar>
              <w:top w:w="0" w:type="dxa"/>
              <w:left w:w="108" w:type="dxa"/>
              <w:bottom w:w="0" w:type="dxa"/>
              <w:right w:w="108" w:type="dxa"/>
            </w:tcMar>
            <w:vAlign w:val="bottom"/>
            <w:hideMark/>
          </w:tcPr>
          <w:p w14:paraId="303E5391" w14:textId="77777777" w:rsidR="004946D6" w:rsidRPr="00920B11" w:rsidRDefault="004946D6" w:rsidP="000A3A06">
            <w:pPr>
              <w:pStyle w:val="TableHeaderCenter"/>
              <w:tabs>
                <w:tab w:val="clear" w:pos="432"/>
              </w:tabs>
              <w:rPr>
                <w:rFonts w:ascii="Arial Black" w:hAnsi="Arial Black"/>
                <w:color w:val="FFFFFF" w:themeColor="background1"/>
              </w:rPr>
            </w:pPr>
            <w:r w:rsidRPr="00920B11">
              <w:rPr>
                <w:rFonts w:ascii="Arial Black" w:hAnsi="Arial Black"/>
                <w:color w:val="FFFFFF" w:themeColor="background1"/>
              </w:rPr>
              <w:t>Web</w:t>
            </w:r>
            <w:r>
              <w:rPr>
                <w:rFonts w:ascii="Arial Black" w:hAnsi="Arial Black"/>
                <w:color w:val="FFFFFF" w:themeColor="background1"/>
              </w:rPr>
              <w:br/>
            </w:r>
            <w:r w:rsidRPr="00920B11">
              <w:rPr>
                <w:rFonts w:ascii="Arial Black" w:hAnsi="Arial Black"/>
                <w:color w:val="FFFFFF" w:themeColor="background1"/>
              </w:rPr>
              <w:t>completes</w:t>
            </w:r>
          </w:p>
        </w:tc>
        <w:tc>
          <w:tcPr>
            <w:tcW w:w="1276" w:type="pct"/>
            <w:tcBorders>
              <w:bottom w:val="single" w:sz="4" w:space="0" w:color="auto"/>
            </w:tcBorders>
            <w:shd w:val="clear" w:color="auto" w:fill="A2987A"/>
            <w:tcMar>
              <w:top w:w="0" w:type="dxa"/>
              <w:left w:w="108" w:type="dxa"/>
              <w:bottom w:w="0" w:type="dxa"/>
              <w:right w:w="108" w:type="dxa"/>
            </w:tcMar>
            <w:vAlign w:val="bottom"/>
            <w:hideMark/>
          </w:tcPr>
          <w:p w14:paraId="6218B525" w14:textId="77777777" w:rsidR="004946D6" w:rsidRPr="00920B11" w:rsidRDefault="004946D6" w:rsidP="000A3A06">
            <w:pPr>
              <w:pStyle w:val="TableHeaderCenter"/>
              <w:rPr>
                <w:rFonts w:ascii="Arial Black" w:hAnsi="Arial Black"/>
                <w:color w:val="FFFFFF" w:themeColor="background1"/>
              </w:rPr>
            </w:pPr>
            <w:r w:rsidRPr="00920B11">
              <w:rPr>
                <w:rFonts w:ascii="Arial Black" w:hAnsi="Arial Black"/>
                <w:color w:val="FFFFFF" w:themeColor="background1"/>
              </w:rPr>
              <w:t>Total completed cases</w:t>
            </w:r>
          </w:p>
        </w:tc>
      </w:tr>
      <w:tr w:rsidR="004946D6" w14:paraId="048F34E7" w14:textId="77777777" w:rsidTr="000A3A06">
        <w:trPr>
          <w:jc w:val="center"/>
        </w:trPr>
        <w:tc>
          <w:tcPr>
            <w:tcW w:w="1429" w:type="pct"/>
            <w:tcBorders>
              <w:top w:val="single" w:sz="4" w:space="0" w:color="auto"/>
            </w:tcBorders>
            <w:tcMar>
              <w:top w:w="0" w:type="dxa"/>
              <w:left w:w="108" w:type="dxa"/>
              <w:bottom w:w="0" w:type="dxa"/>
              <w:right w:w="108" w:type="dxa"/>
            </w:tcMar>
            <w:hideMark/>
          </w:tcPr>
          <w:p w14:paraId="7BCB12CE" w14:textId="77777777" w:rsidR="004946D6" w:rsidRDefault="004946D6" w:rsidP="000A3A06">
            <w:pPr>
              <w:pStyle w:val="TableText"/>
              <w:spacing w:before="60" w:after="60"/>
            </w:pPr>
            <w:r>
              <w:t>Web First</w:t>
            </w:r>
          </w:p>
        </w:tc>
        <w:tc>
          <w:tcPr>
            <w:tcW w:w="1122" w:type="pct"/>
            <w:tcBorders>
              <w:top w:val="single" w:sz="4" w:space="0" w:color="auto"/>
            </w:tcBorders>
            <w:tcMar>
              <w:top w:w="0" w:type="dxa"/>
              <w:left w:w="108" w:type="dxa"/>
              <w:bottom w:w="0" w:type="dxa"/>
              <w:right w:w="108" w:type="dxa"/>
            </w:tcMar>
            <w:hideMark/>
          </w:tcPr>
          <w:p w14:paraId="389D63F2" w14:textId="77777777" w:rsidR="004946D6" w:rsidRDefault="004946D6" w:rsidP="000A3A06">
            <w:pPr>
              <w:pStyle w:val="TableText"/>
              <w:spacing w:before="60" w:after="60"/>
              <w:jc w:val="center"/>
            </w:pPr>
            <w:r>
              <w:t>449 (52.8%)</w:t>
            </w:r>
          </w:p>
        </w:tc>
        <w:tc>
          <w:tcPr>
            <w:tcW w:w="1173" w:type="pct"/>
            <w:tcBorders>
              <w:top w:val="single" w:sz="4" w:space="0" w:color="auto"/>
            </w:tcBorders>
            <w:tcMar>
              <w:top w:w="0" w:type="dxa"/>
              <w:left w:w="108" w:type="dxa"/>
              <w:bottom w:w="0" w:type="dxa"/>
              <w:right w:w="108" w:type="dxa"/>
            </w:tcMar>
            <w:hideMark/>
          </w:tcPr>
          <w:p w14:paraId="090FFF2D" w14:textId="77777777" w:rsidR="004946D6" w:rsidRDefault="004946D6" w:rsidP="000A3A06">
            <w:pPr>
              <w:pStyle w:val="TableText"/>
              <w:spacing w:before="60" w:after="60"/>
              <w:jc w:val="center"/>
            </w:pPr>
            <w:r>
              <w:t>401 (47.2%)</w:t>
            </w:r>
          </w:p>
        </w:tc>
        <w:tc>
          <w:tcPr>
            <w:tcW w:w="1276" w:type="pct"/>
            <w:tcBorders>
              <w:top w:val="single" w:sz="4" w:space="0" w:color="auto"/>
            </w:tcBorders>
            <w:tcMar>
              <w:top w:w="0" w:type="dxa"/>
              <w:left w:w="108" w:type="dxa"/>
              <w:bottom w:w="0" w:type="dxa"/>
              <w:right w:w="108" w:type="dxa"/>
            </w:tcMar>
            <w:hideMark/>
          </w:tcPr>
          <w:p w14:paraId="45BD2708" w14:textId="77777777" w:rsidR="004946D6" w:rsidRDefault="004946D6" w:rsidP="000A3A06">
            <w:pPr>
              <w:pStyle w:val="TableText"/>
              <w:spacing w:before="60" w:after="60"/>
              <w:jc w:val="center"/>
            </w:pPr>
            <w:r>
              <w:t>850 (77.8%)</w:t>
            </w:r>
          </w:p>
        </w:tc>
      </w:tr>
      <w:tr w:rsidR="004946D6" w14:paraId="6686E662" w14:textId="77777777" w:rsidTr="000A3A06">
        <w:trPr>
          <w:jc w:val="center"/>
        </w:trPr>
        <w:tc>
          <w:tcPr>
            <w:tcW w:w="1429" w:type="pct"/>
            <w:tcBorders>
              <w:bottom w:val="single" w:sz="4" w:space="0" w:color="auto"/>
            </w:tcBorders>
            <w:tcMar>
              <w:top w:w="0" w:type="dxa"/>
              <w:left w:w="108" w:type="dxa"/>
              <w:bottom w:w="0" w:type="dxa"/>
              <w:right w:w="108" w:type="dxa"/>
            </w:tcMar>
          </w:tcPr>
          <w:p w14:paraId="04ED30FA" w14:textId="77777777" w:rsidR="004946D6" w:rsidRDefault="004946D6" w:rsidP="000A3A06">
            <w:pPr>
              <w:pStyle w:val="TableText"/>
              <w:spacing w:before="60" w:after="60"/>
            </w:pPr>
            <w:r>
              <w:t>Choice</w:t>
            </w:r>
          </w:p>
        </w:tc>
        <w:tc>
          <w:tcPr>
            <w:tcW w:w="1122" w:type="pct"/>
            <w:tcBorders>
              <w:bottom w:val="single" w:sz="4" w:space="0" w:color="auto"/>
            </w:tcBorders>
            <w:tcMar>
              <w:top w:w="0" w:type="dxa"/>
              <w:left w:w="108" w:type="dxa"/>
              <w:bottom w:w="0" w:type="dxa"/>
              <w:right w:w="108" w:type="dxa"/>
            </w:tcMar>
          </w:tcPr>
          <w:p w14:paraId="1A7C9CFF" w14:textId="77777777" w:rsidR="004946D6" w:rsidRDefault="004946D6" w:rsidP="000A3A06">
            <w:pPr>
              <w:pStyle w:val="TableText"/>
              <w:spacing w:before="60" w:after="60"/>
              <w:jc w:val="center"/>
            </w:pPr>
            <w:r>
              <w:t>407 (50.7%)</w:t>
            </w:r>
          </w:p>
        </w:tc>
        <w:tc>
          <w:tcPr>
            <w:tcW w:w="1173" w:type="pct"/>
            <w:tcBorders>
              <w:bottom w:val="single" w:sz="4" w:space="0" w:color="auto"/>
            </w:tcBorders>
            <w:tcMar>
              <w:top w:w="0" w:type="dxa"/>
              <w:left w:w="108" w:type="dxa"/>
              <w:bottom w:w="0" w:type="dxa"/>
              <w:right w:w="108" w:type="dxa"/>
            </w:tcMar>
          </w:tcPr>
          <w:p w14:paraId="399FA2A0" w14:textId="77777777" w:rsidR="004946D6" w:rsidRDefault="004946D6" w:rsidP="000A3A06">
            <w:pPr>
              <w:pStyle w:val="TableText"/>
              <w:spacing w:before="60" w:after="60"/>
              <w:jc w:val="center"/>
            </w:pPr>
            <w:r>
              <w:t>395 (49.2%)</w:t>
            </w:r>
          </w:p>
        </w:tc>
        <w:tc>
          <w:tcPr>
            <w:tcW w:w="1276" w:type="pct"/>
            <w:tcBorders>
              <w:bottom w:val="single" w:sz="4" w:space="0" w:color="auto"/>
            </w:tcBorders>
            <w:tcMar>
              <w:top w:w="0" w:type="dxa"/>
              <w:left w:w="108" w:type="dxa"/>
              <w:bottom w:w="0" w:type="dxa"/>
              <w:right w:w="108" w:type="dxa"/>
            </w:tcMar>
          </w:tcPr>
          <w:p w14:paraId="3C2EB29C" w14:textId="77777777" w:rsidR="004946D6" w:rsidRDefault="004946D6" w:rsidP="000A3A06">
            <w:pPr>
              <w:pStyle w:val="TableText"/>
              <w:spacing w:before="60" w:after="60"/>
              <w:jc w:val="center"/>
            </w:pPr>
            <w:r>
              <w:t>802 (78.6%)</w:t>
            </w:r>
          </w:p>
        </w:tc>
      </w:tr>
      <w:tr w:rsidR="004946D6" w14:paraId="7E143EF1" w14:textId="77777777" w:rsidTr="000A3A06">
        <w:trPr>
          <w:jc w:val="center"/>
        </w:trPr>
        <w:tc>
          <w:tcPr>
            <w:tcW w:w="1429" w:type="pct"/>
            <w:tcBorders>
              <w:top w:val="single" w:sz="4" w:space="0" w:color="auto"/>
              <w:bottom w:val="single" w:sz="4" w:space="0" w:color="auto"/>
            </w:tcBorders>
            <w:tcMar>
              <w:top w:w="0" w:type="dxa"/>
              <w:left w:w="108" w:type="dxa"/>
              <w:bottom w:w="0" w:type="dxa"/>
              <w:right w:w="108" w:type="dxa"/>
            </w:tcMar>
            <w:hideMark/>
          </w:tcPr>
          <w:p w14:paraId="60412407" w14:textId="77777777" w:rsidR="004946D6" w:rsidRDefault="004946D6" w:rsidP="000A3A06">
            <w:pPr>
              <w:pStyle w:val="TableText"/>
              <w:spacing w:before="60" w:after="60"/>
              <w:rPr>
                <w:b/>
                <w:bCs/>
              </w:rPr>
            </w:pPr>
            <w:r>
              <w:rPr>
                <w:b/>
                <w:bCs/>
              </w:rPr>
              <w:t xml:space="preserve">Total </w:t>
            </w:r>
          </w:p>
        </w:tc>
        <w:tc>
          <w:tcPr>
            <w:tcW w:w="1122" w:type="pct"/>
            <w:tcBorders>
              <w:top w:val="single" w:sz="4" w:space="0" w:color="auto"/>
              <w:bottom w:val="single" w:sz="4" w:space="0" w:color="auto"/>
            </w:tcBorders>
            <w:tcMar>
              <w:top w:w="0" w:type="dxa"/>
              <w:left w:w="108" w:type="dxa"/>
              <w:bottom w:w="0" w:type="dxa"/>
              <w:right w:w="108" w:type="dxa"/>
            </w:tcMar>
            <w:hideMark/>
          </w:tcPr>
          <w:p w14:paraId="3E1005FF" w14:textId="77777777" w:rsidR="004946D6" w:rsidRDefault="004946D6" w:rsidP="000A3A06">
            <w:pPr>
              <w:pStyle w:val="TableText"/>
              <w:spacing w:before="60" w:after="60"/>
              <w:jc w:val="center"/>
              <w:rPr>
                <w:b/>
                <w:bCs/>
              </w:rPr>
            </w:pPr>
            <w:r>
              <w:rPr>
                <w:b/>
                <w:bCs/>
              </w:rPr>
              <w:t>856 (51.8%)</w:t>
            </w:r>
          </w:p>
        </w:tc>
        <w:tc>
          <w:tcPr>
            <w:tcW w:w="1173" w:type="pct"/>
            <w:tcBorders>
              <w:top w:val="single" w:sz="4" w:space="0" w:color="auto"/>
              <w:bottom w:val="single" w:sz="4" w:space="0" w:color="auto"/>
            </w:tcBorders>
            <w:tcMar>
              <w:top w:w="0" w:type="dxa"/>
              <w:left w:w="108" w:type="dxa"/>
              <w:bottom w:w="0" w:type="dxa"/>
              <w:right w:w="108" w:type="dxa"/>
            </w:tcMar>
            <w:hideMark/>
          </w:tcPr>
          <w:p w14:paraId="07C2DF3B" w14:textId="77777777" w:rsidR="004946D6" w:rsidRDefault="004946D6" w:rsidP="000A3A06">
            <w:pPr>
              <w:pStyle w:val="TableText"/>
              <w:spacing w:before="60" w:after="60"/>
              <w:jc w:val="center"/>
              <w:rPr>
                <w:b/>
                <w:bCs/>
              </w:rPr>
            </w:pPr>
            <w:r>
              <w:rPr>
                <w:b/>
                <w:bCs/>
              </w:rPr>
              <w:t>796 (48.2%)</w:t>
            </w:r>
          </w:p>
        </w:tc>
        <w:tc>
          <w:tcPr>
            <w:tcW w:w="1276" w:type="pct"/>
            <w:tcBorders>
              <w:top w:val="single" w:sz="4" w:space="0" w:color="auto"/>
              <w:bottom w:val="single" w:sz="4" w:space="0" w:color="auto"/>
            </w:tcBorders>
            <w:tcMar>
              <w:top w:w="0" w:type="dxa"/>
              <w:left w:w="108" w:type="dxa"/>
              <w:bottom w:w="0" w:type="dxa"/>
              <w:right w:w="108" w:type="dxa"/>
            </w:tcMar>
            <w:hideMark/>
          </w:tcPr>
          <w:p w14:paraId="59FA9ADF" w14:textId="77777777" w:rsidR="004946D6" w:rsidRDefault="004946D6" w:rsidP="000A3A06">
            <w:pPr>
              <w:pStyle w:val="TableText"/>
              <w:spacing w:before="60" w:after="60"/>
              <w:jc w:val="center"/>
              <w:rPr>
                <w:b/>
                <w:bCs/>
              </w:rPr>
            </w:pPr>
            <w:r>
              <w:rPr>
                <w:b/>
                <w:bCs/>
              </w:rPr>
              <w:t>1652 (78.2%)</w:t>
            </w:r>
          </w:p>
        </w:tc>
      </w:tr>
    </w:tbl>
    <w:p w14:paraId="69BF8CE6" w14:textId="77777777" w:rsidR="004946D6" w:rsidRDefault="004946D6" w:rsidP="004946D6">
      <w:pPr>
        <w:spacing w:line="240" w:lineRule="auto"/>
        <w:ind w:firstLine="0"/>
      </w:pPr>
    </w:p>
    <w:p w14:paraId="748D3C60" w14:textId="77777777" w:rsidR="004946D6" w:rsidRDefault="004946D6" w:rsidP="004946D6">
      <w:pPr>
        <w:pStyle w:val="NormalSS"/>
      </w:pPr>
      <w:r>
        <w:t>As expected, most of the cases completed online were completed by parents who reported having internet access. About 53 percent of the parents who reported having internet access completed the survey online as compared with only 7 percent of the parents who reported no internet access.</w:t>
      </w:r>
    </w:p>
    <w:p w14:paraId="6952337F" w14:textId="77777777" w:rsidR="004946D6" w:rsidRDefault="004946D6" w:rsidP="004946D6">
      <w:pPr>
        <w:pStyle w:val="NormalSS"/>
      </w:pPr>
      <w:r w:rsidRPr="00005345">
        <w:t xml:space="preserve">About 53 percent of the completed parent surveys were completed within the first three weeks of being invited to participate in the survey, and 71 percent of these were completed online.  Web completes during the first three weeks were higher than telephone completes for both experimental groups.  Overall, more than 70 percent of the surveys completed online were completed by parents within the first two weeks of being invited to participate (Table 4). </w:t>
      </w:r>
    </w:p>
    <w:p w14:paraId="118E7C76" w14:textId="77777777" w:rsidR="004946D6" w:rsidRDefault="004946D6" w:rsidP="004946D6">
      <w:pPr>
        <w:tabs>
          <w:tab w:val="clear" w:pos="432"/>
        </w:tabs>
        <w:spacing w:line="240" w:lineRule="auto"/>
        <w:ind w:firstLine="0"/>
        <w:jc w:val="left"/>
        <w:rPr>
          <w:rFonts w:ascii="Arial" w:hAnsi="Arial"/>
          <w:b/>
          <w:sz w:val="20"/>
        </w:rPr>
      </w:pPr>
      <w:r>
        <w:br w:type="page"/>
      </w:r>
    </w:p>
    <w:p w14:paraId="22496EDF" w14:textId="77777777" w:rsidR="004946D6" w:rsidRPr="00005345" w:rsidRDefault="004946D6" w:rsidP="004946D6">
      <w:pPr>
        <w:pStyle w:val="MarkforTableHeading"/>
      </w:pPr>
      <w:r w:rsidRPr="00005345">
        <w:lastRenderedPageBreak/>
        <w:t xml:space="preserve">Table </w:t>
      </w:r>
      <w:r>
        <w:t>4</w:t>
      </w:r>
      <w:r w:rsidRPr="00005345">
        <w:t>. Parent survey Web completes by week after release</w:t>
      </w:r>
    </w:p>
    <w:tbl>
      <w:tblPr>
        <w:tblW w:w="5000" w:type="pct"/>
        <w:tblCellMar>
          <w:left w:w="0" w:type="dxa"/>
          <w:right w:w="0" w:type="dxa"/>
        </w:tblCellMar>
        <w:tblLook w:val="04A0" w:firstRow="1" w:lastRow="0" w:firstColumn="1" w:lastColumn="0" w:noHBand="0" w:noVBand="1"/>
      </w:tblPr>
      <w:tblGrid>
        <w:gridCol w:w="1401"/>
        <w:gridCol w:w="1591"/>
        <w:gridCol w:w="1591"/>
        <w:gridCol w:w="1591"/>
        <w:gridCol w:w="1591"/>
        <w:gridCol w:w="1595"/>
      </w:tblGrid>
      <w:tr w:rsidR="004946D6" w14:paraId="096F54BE" w14:textId="77777777" w:rsidTr="000A3A06">
        <w:tc>
          <w:tcPr>
            <w:tcW w:w="748" w:type="pct"/>
            <w:tcBorders>
              <w:bottom w:val="single" w:sz="4" w:space="0" w:color="auto"/>
            </w:tcBorders>
            <w:shd w:val="clear" w:color="auto" w:fill="A2987A"/>
            <w:tcMar>
              <w:top w:w="0" w:type="dxa"/>
              <w:left w:w="108" w:type="dxa"/>
              <w:bottom w:w="0" w:type="dxa"/>
              <w:right w:w="108" w:type="dxa"/>
            </w:tcMar>
            <w:hideMark/>
          </w:tcPr>
          <w:p w14:paraId="762F16BB" w14:textId="77777777" w:rsidR="004946D6" w:rsidRPr="00A815E9" w:rsidRDefault="004946D6" w:rsidP="000A3A06">
            <w:pPr>
              <w:pStyle w:val="TableHeaderLeft"/>
              <w:spacing w:before="60"/>
              <w:rPr>
                <w:rFonts w:ascii="Arial Black" w:hAnsi="Arial Black"/>
                <w:color w:val="FFFFFF" w:themeColor="background1"/>
              </w:rPr>
            </w:pPr>
            <w:r w:rsidRPr="00A815E9">
              <w:rPr>
                <w:rFonts w:ascii="Arial Black" w:hAnsi="Arial Black"/>
                <w:color w:val="FFFFFF" w:themeColor="background1"/>
              </w:rPr>
              <w:t>Final status</w:t>
            </w:r>
          </w:p>
        </w:tc>
        <w:tc>
          <w:tcPr>
            <w:tcW w:w="4252" w:type="pct"/>
            <w:gridSpan w:val="5"/>
            <w:tcBorders>
              <w:bottom w:val="single" w:sz="4" w:space="0" w:color="auto"/>
            </w:tcBorders>
            <w:shd w:val="clear" w:color="auto" w:fill="A2987A"/>
            <w:tcMar>
              <w:top w:w="0" w:type="dxa"/>
              <w:left w:w="108" w:type="dxa"/>
              <w:bottom w:w="0" w:type="dxa"/>
              <w:right w:w="108" w:type="dxa"/>
            </w:tcMar>
            <w:vAlign w:val="bottom"/>
            <w:hideMark/>
          </w:tcPr>
          <w:p w14:paraId="07880D35" w14:textId="77777777" w:rsidR="004946D6" w:rsidRPr="00A815E9" w:rsidRDefault="004946D6" w:rsidP="000A3A06">
            <w:pPr>
              <w:pStyle w:val="TableHeaderCenter"/>
              <w:spacing w:before="60"/>
              <w:rPr>
                <w:rFonts w:ascii="Arial Black" w:hAnsi="Arial Black"/>
                <w:color w:val="FFFFFF" w:themeColor="background1"/>
              </w:rPr>
            </w:pPr>
            <w:r w:rsidRPr="00A815E9">
              <w:rPr>
                <w:rFonts w:ascii="Arial Black" w:hAnsi="Arial Black"/>
                <w:color w:val="FFFFFF" w:themeColor="background1"/>
              </w:rPr>
              <w:t>Weeks after release</w:t>
            </w:r>
          </w:p>
        </w:tc>
      </w:tr>
      <w:tr w:rsidR="004946D6" w:rsidRPr="004447B2" w14:paraId="0D6CEDDE" w14:textId="77777777" w:rsidTr="000A3A06">
        <w:tc>
          <w:tcPr>
            <w:tcW w:w="748" w:type="pct"/>
            <w:tcBorders>
              <w:top w:val="single" w:sz="4" w:space="0" w:color="auto"/>
              <w:bottom w:val="single" w:sz="4" w:space="0" w:color="auto"/>
            </w:tcBorders>
            <w:tcMar>
              <w:top w:w="0" w:type="dxa"/>
              <w:left w:w="108" w:type="dxa"/>
              <w:bottom w:w="0" w:type="dxa"/>
              <w:right w:w="108" w:type="dxa"/>
            </w:tcMar>
          </w:tcPr>
          <w:p w14:paraId="0F12B021" w14:textId="77777777" w:rsidR="004946D6" w:rsidRPr="004447B2" w:rsidRDefault="004946D6" w:rsidP="000A3A06">
            <w:pPr>
              <w:pStyle w:val="TableText"/>
              <w:spacing w:before="60" w:after="60"/>
              <w:rPr>
                <w:b/>
              </w:rPr>
            </w:pPr>
          </w:p>
        </w:tc>
        <w:tc>
          <w:tcPr>
            <w:tcW w:w="850" w:type="pct"/>
            <w:tcBorders>
              <w:top w:val="single" w:sz="4" w:space="0" w:color="auto"/>
              <w:bottom w:val="single" w:sz="4" w:space="0" w:color="auto"/>
            </w:tcBorders>
            <w:tcMar>
              <w:top w:w="0" w:type="dxa"/>
              <w:left w:w="108" w:type="dxa"/>
              <w:bottom w:w="0" w:type="dxa"/>
              <w:right w:w="108" w:type="dxa"/>
            </w:tcMar>
            <w:hideMark/>
          </w:tcPr>
          <w:p w14:paraId="5AFB90D1" w14:textId="77777777" w:rsidR="004946D6" w:rsidRPr="004447B2" w:rsidRDefault="004946D6" w:rsidP="000A3A06">
            <w:pPr>
              <w:pStyle w:val="TableHeaderCenter"/>
              <w:spacing w:before="60"/>
              <w:rPr>
                <w:b/>
              </w:rPr>
            </w:pPr>
            <w:r w:rsidRPr="004447B2">
              <w:rPr>
                <w:b/>
              </w:rPr>
              <w:t>1</w:t>
            </w:r>
          </w:p>
        </w:tc>
        <w:tc>
          <w:tcPr>
            <w:tcW w:w="850" w:type="pct"/>
            <w:tcBorders>
              <w:top w:val="single" w:sz="4" w:space="0" w:color="auto"/>
              <w:bottom w:val="single" w:sz="4" w:space="0" w:color="auto"/>
            </w:tcBorders>
            <w:tcMar>
              <w:top w:w="0" w:type="dxa"/>
              <w:left w:w="108" w:type="dxa"/>
              <w:bottom w:w="0" w:type="dxa"/>
              <w:right w:w="108" w:type="dxa"/>
            </w:tcMar>
            <w:hideMark/>
          </w:tcPr>
          <w:p w14:paraId="7FEF8FEB" w14:textId="77777777" w:rsidR="004946D6" w:rsidRPr="004447B2" w:rsidRDefault="004946D6" w:rsidP="000A3A06">
            <w:pPr>
              <w:pStyle w:val="TableHeaderCenter"/>
              <w:spacing w:before="60"/>
              <w:rPr>
                <w:b/>
              </w:rPr>
            </w:pPr>
            <w:r w:rsidRPr="004447B2">
              <w:rPr>
                <w:b/>
              </w:rPr>
              <w:t>2</w:t>
            </w:r>
          </w:p>
        </w:tc>
        <w:tc>
          <w:tcPr>
            <w:tcW w:w="850" w:type="pct"/>
            <w:tcBorders>
              <w:top w:val="single" w:sz="4" w:space="0" w:color="auto"/>
              <w:bottom w:val="single" w:sz="4" w:space="0" w:color="auto"/>
            </w:tcBorders>
            <w:tcMar>
              <w:top w:w="0" w:type="dxa"/>
              <w:left w:w="108" w:type="dxa"/>
              <w:bottom w:w="0" w:type="dxa"/>
              <w:right w:w="108" w:type="dxa"/>
            </w:tcMar>
            <w:hideMark/>
          </w:tcPr>
          <w:p w14:paraId="24711D17" w14:textId="77777777" w:rsidR="004946D6" w:rsidRPr="004447B2" w:rsidRDefault="004946D6" w:rsidP="000A3A06">
            <w:pPr>
              <w:pStyle w:val="TableHeaderCenter"/>
              <w:spacing w:before="60"/>
              <w:rPr>
                <w:b/>
              </w:rPr>
            </w:pPr>
            <w:r w:rsidRPr="004447B2">
              <w:rPr>
                <w:b/>
              </w:rPr>
              <w:t>3</w:t>
            </w:r>
          </w:p>
        </w:tc>
        <w:tc>
          <w:tcPr>
            <w:tcW w:w="850" w:type="pct"/>
            <w:tcBorders>
              <w:top w:val="single" w:sz="4" w:space="0" w:color="auto"/>
              <w:bottom w:val="single" w:sz="4" w:space="0" w:color="auto"/>
            </w:tcBorders>
            <w:tcMar>
              <w:top w:w="0" w:type="dxa"/>
              <w:left w:w="108" w:type="dxa"/>
              <w:bottom w:w="0" w:type="dxa"/>
              <w:right w:w="108" w:type="dxa"/>
            </w:tcMar>
            <w:hideMark/>
          </w:tcPr>
          <w:p w14:paraId="2275B26E" w14:textId="77777777" w:rsidR="004946D6" w:rsidRPr="004447B2" w:rsidRDefault="004946D6" w:rsidP="000A3A06">
            <w:pPr>
              <w:pStyle w:val="TableHeaderCenter"/>
              <w:spacing w:before="60"/>
              <w:rPr>
                <w:b/>
              </w:rPr>
            </w:pPr>
            <w:r w:rsidRPr="004447B2">
              <w:rPr>
                <w:b/>
              </w:rPr>
              <w:t xml:space="preserve">4+ </w:t>
            </w:r>
          </w:p>
        </w:tc>
        <w:tc>
          <w:tcPr>
            <w:tcW w:w="850" w:type="pct"/>
            <w:tcBorders>
              <w:top w:val="single" w:sz="4" w:space="0" w:color="auto"/>
              <w:bottom w:val="single" w:sz="4" w:space="0" w:color="auto"/>
            </w:tcBorders>
            <w:tcMar>
              <w:top w:w="0" w:type="dxa"/>
              <w:left w:w="108" w:type="dxa"/>
              <w:bottom w:w="0" w:type="dxa"/>
              <w:right w:w="108" w:type="dxa"/>
            </w:tcMar>
            <w:hideMark/>
          </w:tcPr>
          <w:p w14:paraId="184AECD9" w14:textId="77777777" w:rsidR="004946D6" w:rsidRPr="004447B2" w:rsidRDefault="004946D6" w:rsidP="000A3A06">
            <w:pPr>
              <w:pStyle w:val="TableHeaderCenter"/>
              <w:spacing w:before="60"/>
              <w:rPr>
                <w:b/>
              </w:rPr>
            </w:pPr>
            <w:r w:rsidRPr="004447B2">
              <w:rPr>
                <w:b/>
              </w:rPr>
              <w:t>Total</w:t>
            </w:r>
          </w:p>
        </w:tc>
      </w:tr>
      <w:tr w:rsidR="004946D6" w14:paraId="2A808180" w14:textId="77777777" w:rsidTr="000A3A06">
        <w:tc>
          <w:tcPr>
            <w:tcW w:w="748" w:type="pct"/>
            <w:tcBorders>
              <w:top w:val="single" w:sz="4" w:space="0" w:color="auto"/>
              <w:bottom w:val="single" w:sz="4" w:space="0" w:color="auto"/>
            </w:tcBorders>
            <w:tcMar>
              <w:top w:w="0" w:type="dxa"/>
              <w:left w:w="108" w:type="dxa"/>
              <w:bottom w:w="0" w:type="dxa"/>
              <w:right w:w="108" w:type="dxa"/>
            </w:tcMar>
            <w:hideMark/>
          </w:tcPr>
          <w:p w14:paraId="26EE177F" w14:textId="77777777" w:rsidR="004946D6" w:rsidRDefault="004946D6" w:rsidP="000A3A06">
            <w:pPr>
              <w:pStyle w:val="TableText"/>
              <w:spacing w:before="60" w:after="60"/>
            </w:pPr>
            <w:r>
              <w:t>Web completes</w:t>
            </w:r>
          </w:p>
        </w:tc>
        <w:tc>
          <w:tcPr>
            <w:tcW w:w="850" w:type="pct"/>
            <w:tcBorders>
              <w:top w:val="single" w:sz="4" w:space="0" w:color="auto"/>
              <w:bottom w:val="single" w:sz="4" w:space="0" w:color="auto"/>
            </w:tcBorders>
            <w:tcMar>
              <w:top w:w="0" w:type="dxa"/>
              <w:left w:w="108" w:type="dxa"/>
              <w:bottom w:w="0" w:type="dxa"/>
              <w:right w:w="108" w:type="dxa"/>
            </w:tcMar>
            <w:hideMark/>
          </w:tcPr>
          <w:p w14:paraId="17081F4F" w14:textId="77777777" w:rsidR="004946D6" w:rsidRDefault="004946D6" w:rsidP="000A3A06">
            <w:pPr>
              <w:pStyle w:val="TableText"/>
              <w:spacing w:before="60" w:after="60"/>
              <w:jc w:val="center"/>
            </w:pPr>
            <w:r>
              <w:t>439</w:t>
            </w:r>
            <w:r>
              <w:br/>
              <w:t>(55.2%)</w:t>
            </w:r>
          </w:p>
        </w:tc>
        <w:tc>
          <w:tcPr>
            <w:tcW w:w="850" w:type="pct"/>
            <w:tcBorders>
              <w:top w:val="single" w:sz="4" w:space="0" w:color="auto"/>
              <w:bottom w:val="single" w:sz="4" w:space="0" w:color="auto"/>
            </w:tcBorders>
            <w:tcMar>
              <w:top w:w="0" w:type="dxa"/>
              <w:left w:w="108" w:type="dxa"/>
              <w:bottom w:w="0" w:type="dxa"/>
              <w:right w:w="108" w:type="dxa"/>
            </w:tcMar>
            <w:hideMark/>
          </w:tcPr>
          <w:p w14:paraId="2DA5C7B5" w14:textId="77777777" w:rsidR="004946D6" w:rsidRDefault="004946D6" w:rsidP="000A3A06">
            <w:pPr>
              <w:pStyle w:val="TableText"/>
              <w:spacing w:before="60" w:after="60"/>
              <w:jc w:val="center"/>
            </w:pPr>
            <w:r>
              <w:t>124</w:t>
            </w:r>
            <w:r>
              <w:br/>
              <w:t>(15.6%)</w:t>
            </w:r>
          </w:p>
        </w:tc>
        <w:tc>
          <w:tcPr>
            <w:tcW w:w="850" w:type="pct"/>
            <w:tcBorders>
              <w:top w:val="single" w:sz="4" w:space="0" w:color="auto"/>
              <w:bottom w:val="single" w:sz="4" w:space="0" w:color="auto"/>
            </w:tcBorders>
            <w:tcMar>
              <w:top w:w="0" w:type="dxa"/>
              <w:left w:w="108" w:type="dxa"/>
              <w:bottom w:w="0" w:type="dxa"/>
              <w:right w:w="108" w:type="dxa"/>
            </w:tcMar>
            <w:hideMark/>
          </w:tcPr>
          <w:p w14:paraId="4BEB3276" w14:textId="77777777" w:rsidR="004946D6" w:rsidRDefault="004946D6" w:rsidP="000A3A06">
            <w:pPr>
              <w:pStyle w:val="TableText"/>
              <w:spacing w:before="60" w:after="60"/>
              <w:jc w:val="center"/>
            </w:pPr>
            <w:r>
              <w:t>50</w:t>
            </w:r>
            <w:r>
              <w:br/>
              <w:t>(6.48%)</w:t>
            </w:r>
          </w:p>
        </w:tc>
        <w:tc>
          <w:tcPr>
            <w:tcW w:w="850" w:type="pct"/>
            <w:tcBorders>
              <w:top w:val="single" w:sz="4" w:space="0" w:color="auto"/>
              <w:bottom w:val="single" w:sz="4" w:space="0" w:color="auto"/>
            </w:tcBorders>
            <w:tcMar>
              <w:top w:w="0" w:type="dxa"/>
              <w:left w:w="108" w:type="dxa"/>
              <w:bottom w:w="0" w:type="dxa"/>
              <w:right w:w="108" w:type="dxa"/>
            </w:tcMar>
            <w:hideMark/>
          </w:tcPr>
          <w:p w14:paraId="18FBAC31" w14:textId="77777777" w:rsidR="004946D6" w:rsidRDefault="004946D6" w:rsidP="000A3A06">
            <w:pPr>
              <w:pStyle w:val="TableText"/>
              <w:spacing w:before="60" w:after="60"/>
              <w:jc w:val="center"/>
            </w:pPr>
            <w:r>
              <w:t>183</w:t>
            </w:r>
            <w:r>
              <w:br/>
              <w:t>(23.0%)</w:t>
            </w:r>
          </w:p>
        </w:tc>
        <w:tc>
          <w:tcPr>
            <w:tcW w:w="850" w:type="pct"/>
            <w:tcBorders>
              <w:top w:val="single" w:sz="4" w:space="0" w:color="auto"/>
              <w:bottom w:val="single" w:sz="4" w:space="0" w:color="auto"/>
            </w:tcBorders>
            <w:tcMar>
              <w:top w:w="0" w:type="dxa"/>
              <w:left w:w="108" w:type="dxa"/>
              <w:bottom w:w="0" w:type="dxa"/>
              <w:right w:w="108" w:type="dxa"/>
            </w:tcMar>
            <w:hideMark/>
          </w:tcPr>
          <w:p w14:paraId="0A0986AE" w14:textId="77777777" w:rsidR="004946D6" w:rsidRPr="0055132A" w:rsidRDefault="004946D6" w:rsidP="000A3A06">
            <w:pPr>
              <w:pStyle w:val="TableText"/>
              <w:spacing w:before="60" w:after="60"/>
              <w:jc w:val="center"/>
            </w:pPr>
            <w:r>
              <w:t>796</w:t>
            </w:r>
            <w:r>
              <w:br/>
              <w:t>(100.0%)</w:t>
            </w:r>
          </w:p>
        </w:tc>
      </w:tr>
    </w:tbl>
    <w:p w14:paraId="1EF4DF7F" w14:textId="77777777" w:rsidR="004946D6" w:rsidRDefault="004946D6" w:rsidP="004946D6">
      <w:pPr>
        <w:pStyle w:val="NormalSS"/>
        <w:spacing w:after="0"/>
        <w:ind w:firstLine="0"/>
      </w:pPr>
    </w:p>
    <w:p w14:paraId="332ED65E" w14:textId="77777777" w:rsidR="004946D6" w:rsidRDefault="004946D6" w:rsidP="004946D6">
      <w:pPr>
        <w:pStyle w:val="Heading2Memo"/>
      </w:pPr>
      <w:r>
        <w:t>D.</w:t>
      </w:r>
      <w:r>
        <w:tab/>
        <w:t>Cost Analysis</w:t>
      </w:r>
    </w:p>
    <w:p w14:paraId="26E295B6" w14:textId="77777777" w:rsidR="004946D6" w:rsidRPr="008E239A" w:rsidRDefault="004946D6" w:rsidP="004946D6">
      <w:pPr>
        <w:pStyle w:val="NormalSS"/>
      </w:pPr>
      <w:r>
        <w:t xml:space="preserve">Our parent survey budget </w:t>
      </w:r>
      <w:r w:rsidRPr="00B71041">
        <w:t xml:space="preserve">expected 40 percent of parents would complete the survey </w:t>
      </w:r>
      <w:r>
        <w:t xml:space="preserve">by </w:t>
      </w:r>
      <w:r w:rsidRPr="00B71041">
        <w:t>web and 60 percent by phone. In the</w:t>
      </w:r>
      <w:r>
        <w:t xml:space="preserve"> end, about 48 percent of parents completed the survey online and 52 percent by phone. W</w:t>
      </w:r>
      <w:r w:rsidRPr="00FF2FF0">
        <w:t xml:space="preserve">e estimate that the 846 web completes saved </w:t>
      </w:r>
      <w:r>
        <w:t xml:space="preserve">approximately </w:t>
      </w:r>
      <w:r w:rsidRPr="00FF2FF0">
        <w:t>$19,</w:t>
      </w:r>
      <w:r>
        <w:t>500</w:t>
      </w:r>
      <w:r w:rsidRPr="00FF2FF0">
        <w:t xml:space="preserve"> </w:t>
      </w:r>
      <w:r>
        <w:t xml:space="preserve">in </w:t>
      </w:r>
      <w:r w:rsidRPr="00FF2FF0">
        <w:t>telephone</w:t>
      </w:r>
      <w:r>
        <w:t xml:space="preserve"> interviewer costs</w:t>
      </w:r>
      <w:r w:rsidRPr="00FF2FF0">
        <w:t>.</w:t>
      </w:r>
      <w:r>
        <w:rPr>
          <w:rStyle w:val="FootnoteReference"/>
        </w:rPr>
        <w:footnoteReference w:id="2"/>
      </w:r>
    </w:p>
    <w:p w14:paraId="5D963E7B" w14:textId="77777777" w:rsidR="004946D6" w:rsidRPr="00C13DE7" w:rsidRDefault="004946D6" w:rsidP="004946D6">
      <w:pPr>
        <w:pStyle w:val="Heading2Memo"/>
      </w:pPr>
      <w:r>
        <w:t>E.</w:t>
      </w:r>
      <w:r>
        <w:tab/>
        <w:t>Implications of Findings for Parent Survey Procedures</w:t>
      </w:r>
    </w:p>
    <w:p w14:paraId="67E7ECF1" w14:textId="77777777" w:rsidR="004946D6" w:rsidRDefault="004946D6" w:rsidP="004946D6">
      <w:pPr>
        <w:pStyle w:val="NormalSS"/>
      </w:pPr>
      <w:r>
        <w:t>Based on the findings from the parent experiment, we propose the following procedures for the spring 2015 and future waves of FACES parent survey data collection:</w:t>
      </w:r>
    </w:p>
    <w:p w14:paraId="4779C7D8" w14:textId="77777777" w:rsidR="004946D6" w:rsidRDefault="004946D6" w:rsidP="004946D6">
      <w:pPr>
        <w:pStyle w:val="NumberedBullet"/>
        <w:numPr>
          <w:ilvl w:val="0"/>
          <w:numId w:val="22"/>
        </w:numPr>
        <w:tabs>
          <w:tab w:val="clear" w:pos="792"/>
        </w:tabs>
      </w:pPr>
      <w:r>
        <w:t>Offer all parents the choice of online or telephone completion:  The Web First group did not complete surveys on the web at a higher rate than parents in the Choice group and the two groups reported similar rates of access to the Internet.  Therefore, all parents will be given the choice of completing the survey online or via telephone from the start.</w:t>
      </w:r>
    </w:p>
    <w:p w14:paraId="25F491B2" w14:textId="77777777" w:rsidR="004946D6" w:rsidRDefault="004946D6" w:rsidP="004946D6">
      <w:pPr>
        <w:pStyle w:val="NumberedBullet"/>
        <w:ind w:left="792" w:hanging="360"/>
      </w:pPr>
      <w:r>
        <w:t>Retain existing incentive structure:  Although the experiment did not manipulate the incentive payments to parents, we believe that the incentive for early completion worked to motivate parents to complete the survey early, eliminating the need for active calling to these respondents and additional follow-up efforts. Therefore, the bonus incentives of $5 for early response and $5 for web completion will be retained.</w:t>
      </w:r>
    </w:p>
    <w:p w14:paraId="3286268B" w14:textId="77777777" w:rsidR="004946D6" w:rsidRDefault="004946D6" w:rsidP="004946D6">
      <w:pPr>
        <w:pStyle w:val="NumberedBullet"/>
        <w:ind w:left="792" w:hanging="360"/>
      </w:pPr>
      <w:r>
        <w:t>Initiate active calling two weeks after initial invitation to complete the survey:  Because most early completers responded to the survey within the first week or two of being invited to do so, we will reduce the delay in active calling from three weeks to two weeks.  This will allow more time to pursue cases that are released later in the field period and do not respond using the web option.</w:t>
      </w:r>
    </w:p>
    <w:p w14:paraId="5F8163E8" w14:textId="77777777" w:rsidR="004946D6" w:rsidRDefault="004946D6" w:rsidP="004946D6">
      <w:pPr>
        <w:tabs>
          <w:tab w:val="clear" w:pos="432"/>
        </w:tabs>
        <w:spacing w:line="240" w:lineRule="auto"/>
        <w:ind w:firstLine="0"/>
        <w:jc w:val="left"/>
      </w:pPr>
      <w:r>
        <w:br w:type="page"/>
      </w:r>
    </w:p>
    <w:p w14:paraId="01E2AB14" w14:textId="77777777" w:rsidR="004946D6" w:rsidRPr="00561227" w:rsidRDefault="004946D6" w:rsidP="00D217C8">
      <w:pPr>
        <w:pStyle w:val="Heading1"/>
        <w:numPr>
          <w:ilvl w:val="0"/>
          <w:numId w:val="0"/>
        </w:numPr>
      </w:pPr>
      <w:r>
        <w:lastRenderedPageBreak/>
        <w:t>References</w:t>
      </w:r>
    </w:p>
    <w:p w14:paraId="6FC9D20A" w14:textId="77777777" w:rsidR="004946D6" w:rsidRDefault="004946D6" w:rsidP="004946D6">
      <w:pPr>
        <w:pStyle w:val="Pubs"/>
        <w:rPr>
          <w:rFonts w:ascii="Times New Roman" w:hAnsi="Times New Roman"/>
          <w:sz w:val="24"/>
          <w:szCs w:val="24"/>
        </w:rPr>
      </w:pPr>
      <w:r w:rsidRPr="006C501E">
        <w:rPr>
          <w:rFonts w:ascii="Times New Roman" w:hAnsi="Times New Roman"/>
          <w:sz w:val="24"/>
          <w:szCs w:val="24"/>
        </w:rPr>
        <w:t>Mooney, Geraldine, Cheryl De Saw, Xiaojing Lin, Andrew Hurwitz, and Flora Lan. “Influencing Mode Choice in a Mixed-Mode Survey.” Presented at the American Association for Public Opinion Research Annual Conference, Orlando, FL, May 2012.</w:t>
      </w:r>
    </w:p>
    <w:p w14:paraId="2C8BB72F" w14:textId="77777777" w:rsidR="004946D6" w:rsidRDefault="004946D6" w:rsidP="004946D6">
      <w:pPr>
        <w:pStyle w:val="Pubs"/>
        <w:rPr>
          <w:rFonts w:ascii="Times New Roman" w:hAnsi="Times New Roman"/>
          <w:sz w:val="24"/>
          <w:szCs w:val="24"/>
        </w:rPr>
      </w:pPr>
    </w:p>
    <w:p w14:paraId="06FF3FB3" w14:textId="77777777" w:rsidR="004946D6" w:rsidRPr="006C501E" w:rsidRDefault="004946D6" w:rsidP="004946D6">
      <w:pPr>
        <w:pStyle w:val="Pubs"/>
        <w:rPr>
          <w:rFonts w:ascii="Times New Roman" w:hAnsi="Times New Roman"/>
          <w:sz w:val="24"/>
          <w:szCs w:val="24"/>
        </w:rPr>
      </w:pPr>
      <w:r w:rsidRPr="00035033">
        <w:rPr>
          <w:rFonts w:ascii="Times New Roman" w:hAnsi="Times New Roman"/>
          <w:sz w:val="24"/>
          <w:szCs w:val="24"/>
        </w:rPr>
        <w:t>Tancreto, J., Zelenak, M. F., Davis, M., Ruiter, M., &amp; Matthews, B. (2012). “2011 American Community Survey Internet Tests: Results from First Test in April 2011” U.S. Census Bureau: Decennial Statistical Studies Division. 2012 American Community Survey Research and Evaluation Report Memorandum Series. #ACS12-RER-13-R1</w:t>
      </w:r>
    </w:p>
    <w:p w14:paraId="093B5D4B" w14:textId="77777777" w:rsidR="004946D6" w:rsidRPr="006C501E" w:rsidRDefault="004946D6" w:rsidP="004946D6">
      <w:pPr>
        <w:pStyle w:val="NormalSS"/>
        <w:ind w:firstLine="450"/>
      </w:pPr>
    </w:p>
    <w:p w14:paraId="4576C09D" w14:textId="77777777" w:rsidR="004946D6" w:rsidRDefault="004946D6" w:rsidP="004946D6">
      <w:pPr>
        <w:pStyle w:val="NumberedBullet"/>
        <w:numPr>
          <w:ilvl w:val="0"/>
          <w:numId w:val="0"/>
        </w:numPr>
        <w:ind w:left="792"/>
      </w:pPr>
    </w:p>
    <w:p w14:paraId="77C833FA" w14:textId="77777777" w:rsidR="004946D6" w:rsidRPr="00047872" w:rsidRDefault="004946D6" w:rsidP="004946D6">
      <w:pPr>
        <w:pStyle w:val="NormalSS"/>
        <w:ind w:firstLine="0"/>
      </w:pPr>
    </w:p>
    <w:p w14:paraId="567F0211" w14:textId="77777777" w:rsidR="00D5083C" w:rsidRDefault="00D5083C" w:rsidP="004946D6">
      <w:pPr>
        <w:pStyle w:val="NormalSS"/>
      </w:pPr>
    </w:p>
    <w:sectPr w:rsidR="00D5083C" w:rsidSect="007D1714">
      <w:headerReference w:type="first" r:id="rId16"/>
      <w:footerReference w:type="first" r:id="rId17"/>
      <w:endnotePr>
        <w:numFmt w:val="decimal"/>
      </w:endnotePr>
      <w:pgSz w:w="12240" w:h="15840" w:code="1"/>
      <w:pgMar w:top="1440" w:right="1440" w:bottom="576" w:left="1440" w:header="720" w:footer="576" w:gutter="0"/>
      <w:pgNumType w:start="1"/>
      <w:cols w:space="720"/>
      <w:titlePg/>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F7FEB" w14:textId="77777777" w:rsidR="00F0377E" w:rsidRDefault="00F0377E">
      <w:pPr>
        <w:spacing w:line="240" w:lineRule="auto"/>
        <w:ind w:firstLine="0"/>
      </w:pPr>
    </w:p>
  </w:endnote>
  <w:endnote w:type="continuationSeparator" w:id="0">
    <w:p w14:paraId="64B93D4F" w14:textId="77777777" w:rsidR="00F0377E" w:rsidRDefault="00F0377E">
      <w:pPr>
        <w:spacing w:line="240" w:lineRule="auto"/>
        <w:ind w:firstLine="0"/>
      </w:pPr>
    </w:p>
  </w:endnote>
  <w:endnote w:type="continuationNotice" w:id="1">
    <w:p w14:paraId="7879ABE1" w14:textId="77777777" w:rsidR="00F0377E" w:rsidRDefault="00F0377E">
      <w:pPr>
        <w:spacing w:line="240" w:lineRule="auto"/>
        <w:ind w:firstLine="0"/>
      </w:pPr>
    </w:p>
    <w:p w14:paraId="6EC3C6AE" w14:textId="77777777" w:rsidR="00F0377E" w:rsidRDefault="00F0377E"/>
    <w:p w14:paraId="67A9E96F" w14:textId="77777777" w:rsidR="00F0377E" w:rsidRDefault="00F0377E">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https://sharepoint.faces-2014.org/MTS/Shared Documents/SC1_Task 150_OMB Finalize Instruments/AIAN OMB update pkg/03_Revised to ACF/Appendix M_FACES14 Parent Experiment Results Memo_Revised.docx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0489A" w14:textId="77777777" w:rsidR="00CE322B" w:rsidRDefault="00CE32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BE0B85" w14:textId="77777777" w:rsidR="00CE322B" w:rsidRDefault="00CE32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161AC" w14:textId="77777777" w:rsidR="00CE322B" w:rsidRPr="0059617C" w:rsidRDefault="00CE322B" w:rsidP="0059617C">
    <w:pPr>
      <w:pStyle w:val="Footer"/>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4B53F" w14:textId="77777777" w:rsidR="00CE322B" w:rsidRPr="00241E89" w:rsidRDefault="00CE322B" w:rsidP="00235A3D">
    <w:pPr>
      <w:spacing w:line="240" w:lineRule="auto"/>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AB5EF" w14:textId="77777777" w:rsidR="00F30074" w:rsidRPr="00241E89" w:rsidRDefault="00F30074" w:rsidP="00235A3D">
    <w:pPr>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E3690" w14:textId="77777777" w:rsidR="00F0377E" w:rsidRDefault="00F0377E">
      <w:pPr>
        <w:spacing w:line="240" w:lineRule="auto"/>
        <w:ind w:firstLine="0"/>
      </w:pPr>
      <w:r>
        <w:separator/>
      </w:r>
    </w:p>
  </w:footnote>
  <w:footnote w:type="continuationSeparator" w:id="0">
    <w:p w14:paraId="2DC07CE1" w14:textId="77777777" w:rsidR="00F0377E" w:rsidRDefault="00F0377E">
      <w:pPr>
        <w:spacing w:line="240" w:lineRule="auto"/>
        <w:ind w:firstLine="0"/>
      </w:pPr>
      <w:r>
        <w:separator/>
      </w:r>
    </w:p>
    <w:p w14:paraId="4C838214" w14:textId="77777777" w:rsidR="00F0377E" w:rsidRDefault="00F0377E">
      <w:pPr>
        <w:spacing w:line="240" w:lineRule="auto"/>
        <w:ind w:firstLine="0"/>
        <w:rPr>
          <w:i/>
        </w:rPr>
      </w:pPr>
      <w:r>
        <w:rPr>
          <w:i/>
        </w:rPr>
        <w:t>(continued)</w:t>
      </w:r>
    </w:p>
  </w:footnote>
  <w:footnote w:type="continuationNotice" w:id="1">
    <w:p w14:paraId="72FBBC33" w14:textId="77777777" w:rsidR="00F0377E" w:rsidRDefault="00F0377E">
      <w:pPr>
        <w:pStyle w:val="Footer"/>
      </w:pPr>
    </w:p>
  </w:footnote>
  <w:footnote w:id="2">
    <w:p w14:paraId="5090F01D" w14:textId="77777777" w:rsidR="00CE322B" w:rsidRDefault="00CE322B" w:rsidP="004946D6">
      <w:pPr>
        <w:pStyle w:val="FootnoteText"/>
      </w:pPr>
      <w:r>
        <w:rPr>
          <w:rStyle w:val="FootnoteReference"/>
        </w:rPr>
        <w:footnoteRef/>
      </w:r>
      <w:r>
        <w:t xml:space="preserve"> The actual savings will be higher.  This figure does not include other related costs such as supervision and computer and phone charges.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F6DF6" w14:textId="77777777" w:rsidR="00CE322B" w:rsidRDefault="00CE322B" w:rsidP="00967FA5">
    <w:pPr>
      <w:tabs>
        <w:tab w:val="clear" w:pos="432"/>
        <w:tab w:val="left" w:pos="1440"/>
      </w:tabs>
      <w:spacing w:line="240" w:lineRule="auto"/>
      <w:ind w:firstLine="0"/>
    </w:pPr>
    <w:r>
      <w:t>LETTER TO:</w:t>
    </w:r>
    <w:r>
      <w:tab/>
      <w:t>OMB</w:t>
    </w:r>
  </w:p>
  <w:p w14:paraId="1EDA3BD4" w14:textId="77777777" w:rsidR="00CE322B" w:rsidRDefault="00CE322B" w:rsidP="00967FA5">
    <w:pPr>
      <w:tabs>
        <w:tab w:val="clear" w:pos="432"/>
        <w:tab w:val="left" w:pos="1440"/>
      </w:tabs>
      <w:spacing w:line="240" w:lineRule="auto"/>
      <w:ind w:firstLine="0"/>
    </w:pPr>
    <w:r>
      <w:t>FROM:</w:t>
    </w:r>
    <w:r>
      <w:tab/>
    </w:r>
    <w:r>
      <w:rPr>
        <w:rStyle w:val="a"/>
        <w:caps/>
      </w:rPr>
      <w:t>ACF/OPRE</w:t>
    </w:r>
  </w:p>
  <w:p w14:paraId="3535F61A" w14:textId="77777777" w:rsidR="00CE322B" w:rsidRDefault="00CE322B" w:rsidP="00967FA5">
    <w:pPr>
      <w:tabs>
        <w:tab w:val="clear" w:pos="432"/>
        <w:tab w:val="left" w:pos="1440"/>
      </w:tabs>
      <w:spacing w:line="240" w:lineRule="auto"/>
      <w:ind w:firstLine="0"/>
    </w:pPr>
    <w:r>
      <w:t>DATE:</w:t>
    </w:r>
    <w:r>
      <w:tab/>
    </w:r>
    <w:r w:rsidR="007F0595">
      <w:t>5/1/2015</w:t>
    </w:r>
  </w:p>
  <w:p w14:paraId="722F2539" w14:textId="77777777" w:rsidR="00CE322B" w:rsidRPr="004C2405" w:rsidRDefault="00CE322B" w:rsidP="00967FA5">
    <w:pPr>
      <w:tabs>
        <w:tab w:val="clear" w:pos="432"/>
        <w:tab w:val="left" w:pos="1440"/>
      </w:tabs>
      <w:spacing w:after="360" w:line="240" w:lineRule="auto"/>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sidR="00255413">
      <w:rPr>
        <w:rStyle w:val="PageNumber"/>
        <w:noProof/>
      </w:rPr>
      <w:t>5</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E6375" w14:textId="77777777" w:rsidR="00F30074" w:rsidRDefault="00F300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B024A"/>
    <w:multiLevelType w:val="singleLevel"/>
    <w:tmpl w:val="F0DE345A"/>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5">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B6B5A15"/>
    <w:multiLevelType w:val="singleLevel"/>
    <w:tmpl w:val="6E0658D6"/>
    <w:lvl w:ilvl="0">
      <w:start w:val="1"/>
      <w:numFmt w:val="decimal"/>
      <w:lvlText w:val="%1."/>
      <w:lvlJc w:val="left"/>
      <w:pPr>
        <w:tabs>
          <w:tab w:val="num" w:pos="360"/>
        </w:tabs>
        <w:ind w:left="360" w:hanging="360"/>
      </w:pPr>
    </w:lvl>
  </w:abstractNum>
  <w:abstractNum w:abstractNumId="12">
    <w:nsid w:val="330D255B"/>
    <w:multiLevelType w:val="hybridMultilevel"/>
    <w:tmpl w:val="03F08EB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nsid w:val="462B16FC"/>
    <w:multiLevelType w:val="singleLevel"/>
    <w:tmpl w:val="98D46B0A"/>
    <w:lvl w:ilvl="0">
      <w:start w:val="1"/>
      <w:numFmt w:val="bullet"/>
      <w:pStyle w:val="bullet"/>
      <w:lvlText w:val=""/>
      <w:lvlJc w:val="left"/>
      <w:pPr>
        <w:tabs>
          <w:tab w:val="num" w:pos="720"/>
        </w:tabs>
        <w:ind w:left="720" w:hanging="360"/>
      </w:pPr>
      <w:rPr>
        <w:rFonts w:ascii="Symbol" w:hAnsi="Symbol" w:hint="default"/>
      </w:rPr>
    </w:lvl>
  </w:abstractNum>
  <w:abstractNum w:abstractNumId="14">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5">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738517E5"/>
    <w:multiLevelType w:val="singleLevel"/>
    <w:tmpl w:val="4DDC82C0"/>
    <w:lvl w:ilvl="0">
      <w:numFmt w:val="bullet"/>
      <w:lvlText w:val="-"/>
      <w:lvlJc w:val="left"/>
      <w:pPr>
        <w:tabs>
          <w:tab w:val="num" w:pos="1080"/>
        </w:tabs>
        <w:ind w:left="1080" w:hanging="360"/>
      </w:pPr>
      <w:rPr>
        <w:rFonts w:hint="default"/>
      </w:rPr>
    </w:lvl>
  </w:abstractNum>
  <w:abstractNum w:abstractNumId="22">
    <w:nsid w:val="74BD3D44"/>
    <w:multiLevelType w:val="hybridMultilevel"/>
    <w:tmpl w:val="0FCA0D7E"/>
    <w:lvl w:ilvl="0" w:tplc="CD6A09A8">
      <w:start w:val="1"/>
      <w:numFmt w:val="decimal"/>
      <w:lvlText w:val="%1."/>
      <w:lvlJc w:val="left"/>
      <w:pPr>
        <w:ind w:left="1152" w:hanging="360"/>
      </w:pPr>
      <w:rPr>
        <w:rFonts w:ascii="Times New Roman" w:hAnsi="Times New Roman" w:hint="default"/>
        <w:sz w:val="24"/>
      </w:rPr>
    </w:lvl>
    <w:lvl w:ilvl="1" w:tplc="DE5AAF08" w:tentative="1">
      <w:start w:val="1"/>
      <w:numFmt w:val="lowerLetter"/>
      <w:lvlText w:val="%2."/>
      <w:lvlJc w:val="left"/>
      <w:pPr>
        <w:ind w:left="1872" w:hanging="360"/>
      </w:pPr>
    </w:lvl>
    <w:lvl w:ilvl="2" w:tplc="36BAF744" w:tentative="1">
      <w:start w:val="1"/>
      <w:numFmt w:val="lowerRoman"/>
      <w:lvlText w:val="%3."/>
      <w:lvlJc w:val="right"/>
      <w:pPr>
        <w:ind w:left="2592" w:hanging="180"/>
      </w:pPr>
    </w:lvl>
    <w:lvl w:ilvl="3" w:tplc="95C081F8" w:tentative="1">
      <w:start w:val="1"/>
      <w:numFmt w:val="decimal"/>
      <w:lvlText w:val="%4."/>
      <w:lvlJc w:val="left"/>
      <w:pPr>
        <w:ind w:left="3312" w:hanging="360"/>
      </w:pPr>
    </w:lvl>
    <w:lvl w:ilvl="4" w:tplc="6A9A2E8C" w:tentative="1">
      <w:start w:val="1"/>
      <w:numFmt w:val="lowerLetter"/>
      <w:lvlText w:val="%5."/>
      <w:lvlJc w:val="left"/>
      <w:pPr>
        <w:ind w:left="4032" w:hanging="360"/>
      </w:pPr>
    </w:lvl>
    <w:lvl w:ilvl="5" w:tplc="235AAF40" w:tentative="1">
      <w:start w:val="1"/>
      <w:numFmt w:val="lowerRoman"/>
      <w:lvlText w:val="%6."/>
      <w:lvlJc w:val="right"/>
      <w:pPr>
        <w:ind w:left="4752" w:hanging="180"/>
      </w:pPr>
    </w:lvl>
    <w:lvl w:ilvl="6" w:tplc="987A0348" w:tentative="1">
      <w:start w:val="1"/>
      <w:numFmt w:val="decimal"/>
      <w:lvlText w:val="%7."/>
      <w:lvlJc w:val="left"/>
      <w:pPr>
        <w:ind w:left="5472" w:hanging="360"/>
      </w:pPr>
    </w:lvl>
    <w:lvl w:ilvl="7" w:tplc="4D9CB9D4" w:tentative="1">
      <w:start w:val="1"/>
      <w:numFmt w:val="lowerLetter"/>
      <w:lvlText w:val="%8."/>
      <w:lvlJc w:val="left"/>
      <w:pPr>
        <w:ind w:left="6192" w:hanging="360"/>
      </w:pPr>
    </w:lvl>
    <w:lvl w:ilvl="8" w:tplc="801407EE" w:tentative="1">
      <w:start w:val="1"/>
      <w:numFmt w:val="lowerRoman"/>
      <w:lvlText w:val="%9."/>
      <w:lvlJc w:val="right"/>
      <w:pPr>
        <w:ind w:left="6912" w:hanging="180"/>
      </w:pPr>
    </w:lvl>
  </w:abstractNum>
  <w:abstractNum w:abstractNumId="23">
    <w:nsid w:val="75EA5D96"/>
    <w:multiLevelType w:val="hybridMultilevel"/>
    <w:tmpl w:val="BB3A476C"/>
    <w:lvl w:ilvl="0" w:tplc="8AC89F88">
      <w:start w:val="20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8E65236"/>
    <w:multiLevelType w:val="hybridMultilevel"/>
    <w:tmpl w:val="47CA7E9E"/>
    <w:lvl w:ilvl="0" w:tplc="24D0B422">
      <w:start w:val="1"/>
      <w:numFmt w:val="bullet"/>
      <w:lvlText w:val=""/>
      <w:lvlJc w:val="left"/>
      <w:pPr>
        <w:tabs>
          <w:tab w:val="num" w:pos="720"/>
        </w:tabs>
        <w:ind w:left="720" w:hanging="360"/>
      </w:pPr>
      <w:rPr>
        <w:rFonts w:ascii="Symbol" w:hAnsi="Symbol" w:hint="default"/>
      </w:rPr>
    </w:lvl>
    <w:lvl w:ilvl="1" w:tplc="0B3A1A84" w:tentative="1">
      <w:start w:val="1"/>
      <w:numFmt w:val="bullet"/>
      <w:lvlText w:val="o"/>
      <w:lvlJc w:val="left"/>
      <w:pPr>
        <w:tabs>
          <w:tab w:val="num" w:pos="1440"/>
        </w:tabs>
        <w:ind w:left="1440" w:hanging="360"/>
      </w:pPr>
      <w:rPr>
        <w:rFonts w:ascii="Courier New" w:hAnsi="Courier New" w:cs="Symbol" w:hint="default"/>
      </w:rPr>
    </w:lvl>
    <w:lvl w:ilvl="2" w:tplc="7F706C72" w:tentative="1">
      <w:start w:val="1"/>
      <w:numFmt w:val="bullet"/>
      <w:lvlText w:val=""/>
      <w:lvlJc w:val="left"/>
      <w:pPr>
        <w:tabs>
          <w:tab w:val="num" w:pos="2160"/>
        </w:tabs>
        <w:ind w:left="2160" w:hanging="360"/>
      </w:pPr>
      <w:rPr>
        <w:rFonts w:ascii="Wingdings" w:hAnsi="Wingdings" w:hint="default"/>
      </w:rPr>
    </w:lvl>
    <w:lvl w:ilvl="3" w:tplc="A9EE86F4" w:tentative="1">
      <w:start w:val="1"/>
      <w:numFmt w:val="bullet"/>
      <w:lvlText w:val=""/>
      <w:lvlJc w:val="left"/>
      <w:pPr>
        <w:tabs>
          <w:tab w:val="num" w:pos="2880"/>
        </w:tabs>
        <w:ind w:left="2880" w:hanging="360"/>
      </w:pPr>
      <w:rPr>
        <w:rFonts w:ascii="Symbol" w:hAnsi="Symbol" w:hint="default"/>
      </w:rPr>
    </w:lvl>
    <w:lvl w:ilvl="4" w:tplc="B8701A9E" w:tentative="1">
      <w:start w:val="1"/>
      <w:numFmt w:val="bullet"/>
      <w:lvlText w:val="o"/>
      <w:lvlJc w:val="left"/>
      <w:pPr>
        <w:tabs>
          <w:tab w:val="num" w:pos="3600"/>
        </w:tabs>
        <w:ind w:left="3600" w:hanging="360"/>
      </w:pPr>
      <w:rPr>
        <w:rFonts w:ascii="Courier New" w:hAnsi="Courier New" w:cs="Symbol" w:hint="default"/>
      </w:rPr>
    </w:lvl>
    <w:lvl w:ilvl="5" w:tplc="95C078FE" w:tentative="1">
      <w:start w:val="1"/>
      <w:numFmt w:val="bullet"/>
      <w:lvlText w:val=""/>
      <w:lvlJc w:val="left"/>
      <w:pPr>
        <w:tabs>
          <w:tab w:val="num" w:pos="4320"/>
        </w:tabs>
        <w:ind w:left="4320" w:hanging="360"/>
      </w:pPr>
      <w:rPr>
        <w:rFonts w:ascii="Wingdings" w:hAnsi="Wingdings" w:hint="default"/>
      </w:rPr>
    </w:lvl>
    <w:lvl w:ilvl="6" w:tplc="3AC88F08" w:tentative="1">
      <w:start w:val="1"/>
      <w:numFmt w:val="bullet"/>
      <w:lvlText w:val=""/>
      <w:lvlJc w:val="left"/>
      <w:pPr>
        <w:tabs>
          <w:tab w:val="num" w:pos="5040"/>
        </w:tabs>
        <w:ind w:left="5040" w:hanging="360"/>
      </w:pPr>
      <w:rPr>
        <w:rFonts w:ascii="Symbol" w:hAnsi="Symbol" w:hint="default"/>
      </w:rPr>
    </w:lvl>
    <w:lvl w:ilvl="7" w:tplc="97CCFB1A" w:tentative="1">
      <w:start w:val="1"/>
      <w:numFmt w:val="bullet"/>
      <w:lvlText w:val="o"/>
      <w:lvlJc w:val="left"/>
      <w:pPr>
        <w:tabs>
          <w:tab w:val="num" w:pos="5760"/>
        </w:tabs>
        <w:ind w:left="5760" w:hanging="360"/>
      </w:pPr>
      <w:rPr>
        <w:rFonts w:ascii="Courier New" w:hAnsi="Courier New" w:cs="Symbol" w:hint="default"/>
      </w:rPr>
    </w:lvl>
    <w:lvl w:ilvl="8" w:tplc="B19C4186" w:tentative="1">
      <w:start w:val="1"/>
      <w:numFmt w:val="bullet"/>
      <w:lvlText w:val=""/>
      <w:lvlJc w:val="left"/>
      <w:pPr>
        <w:tabs>
          <w:tab w:val="num" w:pos="6480"/>
        </w:tabs>
        <w:ind w:left="6480" w:hanging="360"/>
      </w:pPr>
      <w:rPr>
        <w:rFonts w:ascii="Wingdings" w:hAnsi="Wingdings" w:hint="default"/>
      </w:rPr>
    </w:lvl>
  </w:abstractNum>
  <w:abstractNum w:abstractNumId="25">
    <w:nsid w:val="7C07794B"/>
    <w:multiLevelType w:val="hybridMultilevel"/>
    <w:tmpl w:val="ED6ABC92"/>
    <w:lvl w:ilvl="0" w:tplc="4A946B26">
      <w:start w:val="1"/>
      <w:numFmt w:val="bullet"/>
      <w:pStyle w:val="ListParagraph"/>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num w:numId="1">
    <w:abstractNumId w:val="14"/>
  </w:num>
  <w:num w:numId="2">
    <w:abstractNumId w:val="22"/>
  </w:num>
  <w:num w:numId="3">
    <w:abstractNumId w:val="17"/>
  </w:num>
  <w:num w:numId="4">
    <w:abstractNumId w:val="2"/>
  </w:num>
  <w:num w:numId="5">
    <w:abstractNumId w:val="1"/>
  </w:num>
  <w:num w:numId="6">
    <w:abstractNumId w:val="25"/>
  </w:num>
  <w:num w:numId="7">
    <w:abstractNumId w:val="20"/>
  </w:num>
  <w:num w:numId="8">
    <w:abstractNumId w:val="6"/>
  </w:num>
  <w:num w:numId="9">
    <w:abstractNumId w:val="8"/>
  </w:num>
  <w:num w:numId="10">
    <w:abstractNumId w:val="10"/>
  </w:num>
  <w:num w:numId="11">
    <w:abstractNumId w:val="3"/>
  </w:num>
  <w:num w:numId="12">
    <w:abstractNumId w:val="18"/>
  </w:num>
  <w:num w:numId="13">
    <w:abstractNumId w:val="5"/>
  </w:num>
  <w:num w:numId="14">
    <w:abstractNumId w:val="16"/>
  </w:num>
  <w:num w:numId="15">
    <w:abstractNumId w:val="19"/>
  </w:num>
  <w:num w:numId="16">
    <w:abstractNumId w:val="9"/>
  </w:num>
  <w:num w:numId="17">
    <w:abstractNumId w:val="15"/>
  </w:num>
  <w:num w:numId="18">
    <w:abstractNumId w:val="7"/>
  </w:num>
  <w:num w:numId="19">
    <w:abstractNumId w:val="24"/>
  </w:num>
  <w:num w:numId="20">
    <w:abstractNumId w:val="12"/>
  </w:num>
  <w:num w:numId="21">
    <w:abstractNumId w:val="13"/>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4"/>
  </w:num>
  <w:num w:numId="29">
    <w:abstractNumId w:val="0"/>
  </w:num>
  <w:num w:numId="30">
    <w:abstractNumId w:val="23"/>
  </w:num>
  <w:num w:numId="31">
    <w:abstractNumId w:val="21"/>
  </w:num>
  <w:num w:numId="3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revisionView w:inkAnnotations="0"/>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294"/>
    <w:rsid w:val="000015FB"/>
    <w:rsid w:val="00004DC3"/>
    <w:rsid w:val="00007CA0"/>
    <w:rsid w:val="00012372"/>
    <w:rsid w:val="00012863"/>
    <w:rsid w:val="00017DD1"/>
    <w:rsid w:val="00017F2B"/>
    <w:rsid w:val="00021A62"/>
    <w:rsid w:val="00026D2F"/>
    <w:rsid w:val="000300AF"/>
    <w:rsid w:val="00037098"/>
    <w:rsid w:val="00052499"/>
    <w:rsid w:val="00053968"/>
    <w:rsid w:val="00063123"/>
    <w:rsid w:val="00063FEF"/>
    <w:rsid w:val="00066AB9"/>
    <w:rsid w:val="000767C4"/>
    <w:rsid w:val="000769A1"/>
    <w:rsid w:val="00076CF0"/>
    <w:rsid w:val="00080DFA"/>
    <w:rsid w:val="000812AE"/>
    <w:rsid w:val="00081D47"/>
    <w:rsid w:val="00090529"/>
    <w:rsid w:val="00096A35"/>
    <w:rsid w:val="000A3A06"/>
    <w:rsid w:val="000A4439"/>
    <w:rsid w:val="000A544F"/>
    <w:rsid w:val="000B15B8"/>
    <w:rsid w:val="000B2BD0"/>
    <w:rsid w:val="000B3A77"/>
    <w:rsid w:val="000B7E70"/>
    <w:rsid w:val="000C0118"/>
    <w:rsid w:val="000C70DC"/>
    <w:rsid w:val="000C72F8"/>
    <w:rsid w:val="000E1D9E"/>
    <w:rsid w:val="000E6D11"/>
    <w:rsid w:val="000F05E4"/>
    <w:rsid w:val="000F79B9"/>
    <w:rsid w:val="00100B87"/>
    <w:rsid w:val="00105D23"/>
    <w:rsid w:val="001073C9"/>
    <w:rsid w:val="00123D91"/>
    <w:rsid w:val="00130424"/>
    <w:rsid w:val="0013282C"/>
    <w:rsid w:val="00132E2F"/>
    <w:rsid w:val="00133729"/>
    <w:rsid w:val="00135AF5"/>
    <w:rsid w:val="00135FC8"/>
    <w:rsid w:val="00140E0F"/>
    <w:rsid w:val="00141646"/>
    <w:rsid w:val="00141705"/>
    <w:rsid w:val="00141A0B"/>
    <w:rsid w:val="001425AF"/>
    <w:rsid w:val="00142AE3"/>
    <w:rsid w:val="00144DA7"/>
    <w:rsid w:val="001547AA"/>
    <w:rsid w:val="00157CD9"/>
    <w:rsid w:val="00160306"/>
    <w:rsid w:val="00160E09"/>
    <w:rsid w:val="00162191"/>
    <w:rsid w:val="00164126"/>
    <w:rsid w:val="00170BB2"/>
    <w:rsid w:val="00173616"/>
    <w:rsid w:val="0017519C"/>
    <w:rsid w:val="00181F53"/>
    <w:rsid w:val="0018564C"/>
    <w:rsid w:val="001933B1"/>
    <w:rsid w:val="001979A4"/>
    <w:rsid w:val="001A07D4"/>
    <w:rsid w:val="001A3512"/>
    <w:rsid w:val="001A399D"/>
    <w:rsid w:val="001B360E"/>
    <w:rsid w:val="001C6D08"/>
    <w:rsid w:val="001D247C"/>
    <w:rsid w:val="001D2B84"/>
    <w:rsid w:val="001D3C41"/>
    <w:rsid w:val="001D634E"/>
    <w:rsid w:val="001E0AB2"/>
    <w:rsid w:val="001E2A66"/>
    <w:rsid w:val="001E466A"/>
    <w:rsid w:val="001E67DF"/>
    <w:rsid w:val="001F12BF"/>
    <w:rsid w:val="001F2A0A"/>
    <w:rsid w:val="001F5410"/>
    <w:rsid w:val="00200B10"/>
    <w:rsid w:val="002022C1"/>
    <w:rsid w:val="002053F3"/>
    <w:rsid w:val="00213EE5"/>
    <w:rsid w:val="002155E9"/>
    <w:rsid w:val="002213BF"/>
    <w:rsid w:val="0022402B"/>
    <w:rsid w:val="0023228F"/>
    <w:rsid w:val="0023409D"/>
    <w:rsid w:val="00235A3D"/>
    <w:rsid w:val="00236122"/>
    <w:rsid w:val="00243909"/>
    <w:rsid w:val="00243DEE"/>
    <w:rsid w:val="0025011D"/>
    <w:rsid w:val="00250CA6"/>
    <w:rsid w:val="0025182E"/>
    <w:rsid w:val="00255413"/>
    <w:rsid w:val="00257C2E"/>
    <w:rsid w:val="002613D2"/>
    <w:rsid w:val="00264716"/>
    <w:rsid w:val="0026788F"/>
    <w:rsid w:val="00267F6C"/>
    <w:rsid w:val="00271B2B"/>
    <w:rsid w:val="00272F14"/>
    <w:rsid w:val="00275FFF"/>
    <w:rsid w:val="00280AB2"/>
    <w:rsid w:val="00282FD0"/>
    <w:rsid w:val="00284557"/>
    <w:rsid w:val="002849EE"/>
    <w:rsid w:val="00287FD7"/>
    <w:rsid w:val="002921C5"/>
    <w:rsid w:val="002942FB"/>
    <w:rsid w:val="00297875"/>
    <w:rsid w:val="002A1ADA"/>
    <w:rsid w:val="002A28C9"/>
    <w:rsid w:val="002A7359"/>
    <w:rsid w:val="002B1593"/>
    <w:rsid w:val="002B68A5"/>
    <w:rsid w:val="002C413C"/>
    <w:rsid w:val="002C5407"/>
    <w:rsid w:val="002C7011"/>
    <w:rsid w:val="002C734A"/>
    <w:rsid w:val="002D0789"/>
    <w:rsid w:val="002D0A34"/>
    <w:rsid w:val="002D279D"/>
    <w:rsid w:val="002D5FA2"/>
    <w:rsid w:val="002F1E71"/>
    <w:rsid w:val="002F440B"/>
    <w:rsid w:val="002F71D4"/>
    <w:rsid w:val="002F7C83"/>
    <w:rsid w:val="00300B90"/>
    <w:rsid w:val="00300CE3"/>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607F3"/>
    <w:rsid w:val="00362133"/>
    <w:rsid w:val="00372AB1"/>
    <w:rsid w:val="00374549"/>
    <w:rsid w:val="003812D6"/>
    <w:rsid w:val="00381A96"/>
    <w:rsid w:val="00381B5C"/>
    <w:rsid w:val="00386508"/>
    <w:rsid w:val="00394752"/>
    <w:rsid w:val="003A10CC"/>
    <w:rsid w:val="003A1506"/>
    <w:rsid w:val="003A1774"/>
    <w:rsid w:val="003A17E0"/>
    <w:rsid w:val="003A26BB"/>
    <w:rsid w:val="003B1FFC"/>
    <w:rsid w:val="003B299C"/>
    <w:rsid w:val="003B303A"/>
    <w:rsid w:val="003B33BA"/>
    <w:rsid w:val="003B5D17"/>
    <w:rsid w:val="003C0A5F"/>
    <w:rsid w:val="003C3905"/>
    <w:rsid w:val="003C3A11"/>
    <w:rsid w:val="003C57EB"/>
    <w:rsid w:val="003D4513"/>
    <w:rsid w:val="003D77B2"/>
    <w:rsid w:val="003E0A97"/>
    <w:rsid w:val="003E0D48"/>
    <w:rsid w:val="003E4DE6"/>
    <w:rsid w:val="003F29A5"/>
    <w:rsid w:val="003F7647"/>
    <w:rsid w:val="00400E9A"/>
    <w:rsid w:val="00401627"/>
    <w:rsid w:val="0040780A"/>
    <w:rsid w:val="00410D8F"/>
    <w:rsid w:val="00410F60"/>
    <w:rsid w:val="004118E0"/>
    <w:rsid w:val="00412D08"/>
    <w:rsid w:val="00414045"/>
    <w:rsid w:val="00414BE1"/>
    <w:rsid w:val="00417561"/>
    <w:rsid w:val="004178CB"/>
    <w:rsid w:val="00417B7A"/>
    <w:rsid w:val="0042274F"/>
    <w:rsid w:val="0042391D"/>
    <w:rsid w:val="0042461E"/>
    <w:rsid w:val="00426D54"/>
    <w:rsid w:val="00427337"/>
    <w:rsid w:val="0043384D"/>
    <w:rsid w:val="00437678"/>
    <w:rsid w:val="00442C63"/>
    <w:rsid w:val="0044551C"/>
    <w:rsid w:val="00446472"/>
    <w:rsid w:val="00446963"/>
    <w:rsid w:val="00446C24"/>
    <w:rsid w:val="00446CE2"/>
    <w:rsid w:val="00447C62"/>
    <w:rsid w:val="00452411"/>
    <w:rsid w:val="00455C7B"/>
    <w:rsid w:val="00461E51"/>
    <w:rsid w:val="00474405"/>
    <w:rsid w:val="0047478B"/>
    <w:rsid w:val="00475483"/>
    <w:rsid w:val="00476CB1"/>
    <w:rsid w:val="004859BF"/>
    <w:rsid w:val="0048755F"/>
    <w:rsid w:val="00487C67"/>
    <w:rsid w:val="00490847"/>
    <w:rsid w:val="00492B73"/>
    <w:rsid w:val="004930C4"/>
    <w:rsid w:val="004946D6"/>
    <w:rsid w:val="004A0392"/>
    <w:rsid w:val="004A071B"/>
    <w:rsid w:val="004A46CC"/>
    <w:rsid w:val="004B0D54"/>
    <w:rsid w:val="004B4A54"/>
    <w:rsid w:val="004B5421"/>
    <w:rsid w:val="004B62FF"/>
    <w:rsid w:val="004C0D8F"/>
    <w:rsid w:val="004C211D"/>
    <w:rsid w:val="004D1FA0"/>
    <w:rsid w:val="004D5ACC"/>
    <w:rsid w:val="004D62CD"/>
    <w:rsid w:val="004E0A3E"/>
    <w:rsid w:val="004F0B74"/>
    <w:rsid w:val="004F4178"/>
    <w:rsid w:val="004F493C"/>
    <w:rsid w:val="004F74AC"/>
    <w:rsid w:val="0050554A"/>
    <w:rsid w:val="00514703"/>
    <w:rsid w:val="00515743"/>
    <w:rsid w:val="00524E68"/>
    <w:rsid w:val="0052502A"/>
    <w:rsid w:val="00525772"/>
    <w:rsid w:val="00531424"/>
    <w:rsid w:val="00537F22"/>
    <w:rsid w:val="00542523"/>
    <w:rsid w:val="0054723C"/>
    <w:rsid w:val="005524FA"/>
    <w:rsid w:val="0055412C"/>
    <w:rsid w:val="00557FE1"/>
    <w:rsid w:val="005604DC"/>
    <w:rsid w:val="005637D0"/>
    <w:rsid w:val="0056487B"/>
    <w:rsid w:val="00577F51"/>
    <w:rsid w:val="00581ECD"/>
    <w:rsid w:val="00581EE2"/>
    <w:rsid w:val="00582CD2"/>
    <w:rsid w:val="00583141"/>
    <w:rsid w:val="00583FB7"/>
    <w:rsid w:val="00584664"/>
    <w:rsid w:val="0058753C"/>
    <w:rsid w:val="00591AE6"/>
    <w:rsid w:val="0059617C"/>
    <w:rsid w:val="00596EB7"/>
    <w:rsid w:val="00597C9C"/>
    <w:rsid w:val="00597FEB"/>
    <w:rsid w:val="005A1312"/>
    <w:rsid w:val="005A19C0"/>
    <w:rsid w:val="005A3631"/>
    <w:rsid w:val="005A3D02"/>
    <w:rsid w:val="005A4E2C"/>
    <w:rsid w:val="005A52EB"/>
    <w:rsid w:val="005A66CB"/>
    <w:rsid w:val="005B0472"/>
    <w:rsid w:val="005C1BED"/>
    <w:rsid w:val="005C228F"/>
    <w:rsid w:val="005C272F"/>
    <w:rsid w:val="005C2EAE"/>
    <w:rsid w:val="005D01A8"/>
    <w:rsid w:val="005D3AF3"/>
    <w:rsid w:val="005E0327"/>
    <w:rsid w:val="005E1375"/>
    <w:rsid w:val="005E1D02"/>
    <w:rsid w:val="005E2B18"/>
    <w:rsid w:val="005E7695"/>
    <w:rsid w:val="005F1351"/>
    <w:rsid w:val="005F162C"/>
    <w:rsid w:val="005F430F"/>
    <w:rsid w:val="005F53E1"/>
    <w:rsid w:val="00601EFB"/>
    <w:rsid w:val="00605D19"/>
    <w:rsid w:val="00613467"/>
    <w:rsid w:val="006150A8"/>
    <w:rsid w:val="0062409A"/>
    <w:rsid w:val="0062522C"/>
    <w:rsid w:val="00626C58"/>
    <w:rsid w:val="00627721"/>
    <w:rsid w:val="006315C5"/>
    <w:rsid w:val="00633A58"/>
    <w:rsid w:val="00635EC3"/>
    <w:rsid w:val="00636860"/>
    <w:rsid w:val="00637A61"/>
    <w:rsid w:val="0064008B"/>
    <w:rsid w:val="00640AAB"/>
    <w:rsid w:val="00641AC0"/>
    <w:rsid w:val="006452CD"/>
    <w:rsid w:val="00645FA6"/>
    <w:rsid w:val="00655859"/>
    <w:rsid w:val="00656171"/>
    <w:rsid w:val="00662FC6"/>
    <w:rsid w:val="00666769"/>
    <w:rsid w:val="00666A30"/>
    <w:rsid w:val="00670448"/>
    <w:rsid w:val="006714AC"/>
    <w:rsid w:val="00671E2B"/>
    <w:rsid w:val="00672F90"/>
    <w:rsid w:val="0067431C"/>
    <w:rsid w:val="0067684B"/>
    <w:rsid w:val="00677BF6"/>
    <w:rsid w:val="00682BCD"/>
    <w:rsid w:val="00683001"/>
    <w:rsid w:val="00690B57"/>
    <w:rsid w:val="00691109"/>
    <w:rsid w:val="006923AF"/>
    <w:rsid w:val="006959AF"/>
    <w:rsid w:val="00695C9A"/>
    <w:rsid w:val="006A3557"/>
    <w:rsid w:val="006A3DE8"/>
    <w:rsid w:val="006A7614"/>
    <w:rsid w:val="006B0652"/>
    <w:rsid w:val="006B2B5D"/>
    <w:rsid w:val="006B43E8"/>
    <w:rsid w:val="006C2A2D"/>
    <w:rsid w:val="006C41C2"/>
    <w:rsid w:val="006C5B99"/>
    <w:rsid w:val="006C5F78"/>
    <w:rsid w:val="006D0C9D"/>
    <w:rsid w:val="006D413F"/>
    <w:rsid w:val="006D44FA"/>
    <w:rsid w:val="006D4CFF"/>
    <w:rsid w:val="006D67B8"/>
    <w:rsid w:val="006D6B4E"/>
    <w:rsid w:val="006E2AEF"/>
    <w:rsid w:val="006E3DE1"/>
    <w:rsid w:val="006E6AF9"/>
    <w:rsid w:val="006F053F"/>
    <w:rsid w:val="006F09D5"/>
    <w:rsid w:val="00702A5A"/>
    <w:rsid w:val="00702D34"/>
    <w:rsid w:val="00707664"/>
    <w:rsid w:val="00711CA6"/>
    <w:rsid w:val="00712A21"/>
    <w:rsid w:val="00717B10"/>
    <w:rsid w:val="00720A3E"/>
    <w:rsid w:val="007214EF"/>
    <w:rsid w:val="00723C00"/>
    <w:rsid w:val="00726DD4"/>
    <w:rsid w:val="00730892"/>
    <w:rsid w:val="0073115D"/>
    <w:rsid w:val="00742342"/>
    <w:rsid w:val="00742C8C"/>
    <w:rsid w:val="00744CFB"/>
    <w:rsid w:val="0074653C"/>
    <w:rsid w:val="00747001"/>
    <w:rsid w:val="00747B99"/>
    <w:rsid w:val="00750DC1"/>
    <w:rsid w:val="00751ACD"/>
    <w:rsid w:val="007525FD"/>
    <w:rsid w:val="00753C1C"/>
    <w:rsid w:val="00754E03"/>
    <w:rsid w:val="0076334B"/>
    <w:rsid w:val="00763A57"/>
    <w:rsid w:val="007679C9"/>
    <w:rsid w:val="00773734"/>
    <w:rsid w:val="007743DB"/>
    <w:rsid w:val="00776664"/>
    <w:rsid w:val="0077723E"/>
    <w:rsid w:val="00780274"/>
    <w:rsid w:val="00780FB8"/>
    <w:rsid w:val="0078127B"/>
    <w:rsid w:val="0078382A"/>
    <w:rsid w:val="00784BA2"/>
    <w:rsid w:val="00790495"/>
    <w:rsid w:val="007959C1"/>
    <w:rsid w:val="00795F02"/>
    <w:rsid w:val="007A3EDB"/>
    <w:rsid w:val="007A5803"/>
    <w:rsid w:val="007A7CA9"/>
    <w:rsid w:val="007B2015"/>
    <w:rsid w:val="007B5799"/>
    <w:rsid w:val="007B6D9E"/>
    <w:rsid w:val="007B705F"/>
    <w:rsid w:val="007C0CD8"/>
    <w:rsid w:val="007C1E2F"/>
    <w:rsid w:val="007C21D9"/>
    <w:rsid w:val="007C3668"/>
    <w:rsid w:val="007C4167"/>
    <w:rsid w:val="007C5524"/>
    <w:rsid w:val="007C560E"/>
    <w:rsid w:val="007D1714"/>
    <w:rsid w:val="007D1B60"/>
    <w:rsid w:val="007D4181"/>
    <w:rsid w:val="007D4918"/>
    <w:rsid w:val="007D524A"/>
    <w:rsid w:val="007D64C8"/>
    <w:rsid w:val="007D7A6B"/>
    <w:rsid w:val="007E1553"/>
    <w:rsid w:val="007E2F34"/>
    <w:rsid w:val="007E4B90"/>
    <w:rsid w:val="007E6625"/>
    <w:rsid w:val="007F0595"/>
    <w:rsid w:val="007F0DA1"/>
    <w:rsid w:val="007F1C0F"/>
    <w:rsid w:val="007F2742"/>
    <w:rsid w:val="007F3E0A"/>
    <w:rsid w:val="007F4A7C"/>
    <w:rsid w:val="007F54EA"/>
    <w:rsid w:val="007F58E6"/>
    <w:rsid w:val="007F686C"/>
    <w:rsid w:val="007F76BA"/>
    <w:rsid w:val="00806376"/>
    <w:rsid w:val="00810417"/>
    <w:rsid w:val="00813568"/>
    <w:rsid w:val="00814C62"/>
    <w:rsid w:val="00815ABB"/>
    <w:rsid w:val="008169DF"/>
    <w:rsid w:val="00816DF1"/>
    <w:rsid w:val="0082388B"/>
    <w:rsid w:val="00833128"/>
    <w:rsid w:val="00840E7C"/>
    <w:rsid w:val="008421A1"/>
    <w:rsid w:val="008432EE"/>
    <w:rsid w:val="008444B2"/>
    <w:rsid w:val="00846082"/>
    <w:rsid w:val="00850CF2"/>
    <w:rsid w:val="00851DFB"/>
    <w:rsid w:val="0086314C"/>
    <w:rsid w:val="0086519F"/>
    <w:rsid w:val="00865D38"/>
    <w:rsid w:val="0087061F"/>
    <w:rsid w:val="008840EE"/>
    <w:rsid w:val="00893B1D"/>
    <w:rsid w:val="00894485"/>
    <w:rsid w:val="00895A2A"/>
    <w:rsid w:val="008A3B53"/>
    <w:rsid w:val="008B0141"/>
    <w:rsid w:val="008B032B"/>
    <w:rsid w:val="008B1F5A"/>
    <w:rsid w:val="008B43D6"/>
    <w:rsid w:val="008C0EA3"/>
    <w:rsid w:val="008C1A77"/>
    <w:rsid w:val="008C4666"/>
    <w:rsid w:val="008C604A"/>
    <w:rsid w:val="008D0DC0"/>
    <w:rsid w:val="008D129A"/>
    <w:rsid w:val="008D5B53"/>
    <w:rsid w:val="008D647D"/>
    <w:rsid w:val="008D6B8B"/>
    <w:rsid w:val="008E09CD"/>
    <w:rsid w:val="008E12AE"/>
    <w:rsid w:val="008E27F1"/>
    <w:rsid w:val="008E55B0"/>
    <w:rsid w:val="008E5E3E"/>
    <w:rsid w:val="008E602B"/>
    <w:rsid w:val="008E7F0B"/>
    <w:rsid w:val="008F312B"/>
    <w:rsid w:val="008F5A8F"/>
    <w:rsid w:val="009007AE"/>
    <w:rsid w:val="009009D0"/>
    <w:rsid w:val="00902B68"/>
    <w:rsid w:val="00903CAA"/>
    <w:rsid w:val="00912344"/>
    <w:rsid w:val="009156D2"/>
    <w:rsid w:val="00917B56"/>
    <w:rsid w:val="0092134D"/>
    <w:rsid w:val="009264D1"/>
    <w:rsid w:val="00931BDB"/>
    <w:rsid w:val="00936037"/>
    <w:rsid w:val="00941607"/>
    <w:rsid w:val="00944D67"/>
    <w:rsid w:val="009527CF"/>
    <w:rsid w:val="00952FE4"/>
    <w:rsid w:val="009547C4"/>
    <w:rsid w:val="00955CD5"/>
    <w:rsid w:val="00956F27"/>
    <w:rsid w:val="0095754B"/>
    <w:rsid w:val="009603FE"/>
    <w:rsid w:val="0096291A"/>
    <w:rsid w:val="00964F2D"/>
    <w:rsid w:val="00967FA5"/>
    <w:rsid w:val="00972701"/>
    <w:rsid w:val="00973730"/>
    <w:rsid w:val="00980DB0"/>
    <w:rsid w:val="00994EDD"/>
    <w:rsid w:val="00997375"/>
    <w:rsid w:val="009A7495"/>
    <w:rsid w:val="009B1035"/>
    <w:rsid w:val="009B20BD"/>
    <w:rsid w:val="009B2617"/>
    <w:rsid w:val="009B4343"/>
    <w:rsid w:val="009B61A1"/>
    <w:rsid w:val="009C0EAF"/>
    <w:rsid w:val="009C1F87"/>
    <w:rsid w:val="009C4292"/>
    <w:rsid w:val="009C4947"/>
    <w:rsid w:val="009C528E"/>
    <w:rsid w:val="009C67C5"/>
    <w:rsid w:val="009D51F1"/>
    <w:rsid w:val="009D7464"/>
    <w:rsid w:val="009E7EE8"/>
    <w:rsid w:val="009F2DC8"/>
    <w:rsid w:val="009F3745"/>
    <w:rsid w:val="00A01202"/>
    <w:rsid w:val="00A10ACD"/>
    <w:rsid w:val="00A11516"/>
    <w:rsid w:val="00A129F1"/>
    <w:rsid w:val="00A16860"/>
    <w:rsid w:val="00A20BF3"/>
    <w:rsid w:val="00A234C1"/>
    <w:rsid w:val="00A26CF0"/>
    <w:rsid w:val="00A31BC3"/>
    <w:rsid w:val="00A32130"/>
    <w:rsid w:val="00A3304F"/>
    <w:rsid w:val="00A36752"/>
    <w:rsid w:val="00A37976"/>
    <w:rsid w:val="00A41E91"/>
    <w:rsid w:val="00A43B1C"/>
    <w:rsid w:val="00A467CE"/>
    <w:rsid w:val="00A479A1"/>
    <w:rsid w:val="00A5366E"/>
    <w:rsid w:val="00A553D5"/>
    <w:rsid w:val="00A569DB"/>
    <w:rsid w:val="00A56BB5"/>
    <w:rsid w:val="00A56C6B"/>
    <w:rsid w:val="00A60FFF"/>
    <w:rsid w:val="00A61A2C"/>
    <w:rsid w:val="00A6306A"/>
    <w:rsid w:val="00A63890"/>
    <w:rsid w:val="00A67631"/>
    <w:rsid w:val="00A678FC"/>
    <w:rsid w:val="00A71B7A"/>
    <w:rsid w:val="00A72CF0"/>
    <w:rsid w:val="00A77E98"/>
    <w:rsid w:val="00A80A4F"/>
    <w:rsid w:val="00A81749"/>
    <w:rsid w:val="00A821C8"/>
    <w:rsid w:val="00A851C0"/>
    <w:rsid w:val="00A9053A"/>
    <w:rsid w:val="00A90DD2"/>
    <w:rsid w:val="00A91891"/>
    <w:rsid w:val="00A9613A"/>
    <w:rsid w:val="00A973B2"/>
    <w:rsid w:val="00AA1C6A"/>
    <w:rsid w:val="00AA25A1"/>
    <w:rsid w:val="00AB0F92"/>
    <w:rsid w:val="00AB31CC"/>
    <w:rsid w:val="00AB567E"/>
    <w:rsid w:val="00AB7ED5"/>
    <w:rsid w:val="00AC08A8"/>
    <w:rsid w:val="00AC3943"/>
    <w:rsid w:val="00AC4317"/>
    <w:rsid w:val="00AC5EBF"/>
    <w:rsid w:val="00AC6981"/>
    <w:rsid w:val="00AD0294"/>
    <w:rsid w:val="00AD33CA"/>
    <w:rsid w:val="00AD411F"/>
    <w:rsid w:val="00AD4163"/>
    <w:rsid w:val="00AE3A26"/>
    <w:rsid w:val="00AE79D1"/>
    <w:rsid w:val="00AF1B2F"/>
    <w:rsid w:val="00AF1FA3"/>
    <w:rsid w:val="00AF3CC4"/>
    <w:rsid w:val="00B00282"/>
    <w:rsid w:val="00B00519"/>
    <w:rsid w:val="00B04330"/>
    <w:rsid w:val="00B100AF"/>
    <w:rsid w:val="00B13000"/>
    <w:rsid w:val="00B1604B"/>
    <w:rsid w:val="00B21550"/>
    <w:rsid w:val="00B21D32"/>
    <w:rsid w:val="00B226F9"/>
    <w:rsid w:val="00B24137"/>
    <w:rsid w:val="00B31FEF"/>
    <w:rsid w:val="00B324E2"/>
    <w:rsid w:val="00B325E1"/>
    <w:rsid w:val="00B3588C"/>
    <w:rsid w:val="00B402FD"/>
    <w:rsid w:val="00B43736"/>
    <w:rsid w:val="00B44D5E"/>
    <w:rsid w:val="00B528FB"/>
    <w:rsid w:val="00B559AA"/>
    <w:rsid w:val="00B564BC"/>
    <w:rsid w:val="00B576E1"/>
    <w:rsid w:val="00B63270"/>
    <w:rsid w:val="00B64400"/>
    <w:rsid w:val="00B65228"/>
    <w:rsid w:val="00B70CD9"/>
    <w:rsid w:val="00B71451"/>
    <w:rsid w:val="00B714B7"/>
    <w:rsid w:val="00B82E71"/>
    <w:rsid w:val="00B83493"/>
    <w:rsid w:val="00B940DD"/>
    <w:rsid w:val="00B95847"/>
    <w:rsid w:val="00B966ED"/>
    <w:rsid w:val="00BA268A"/>
    <w:rsid w:val="00BA3D8F"/>
    <w:rsid w:val="00BA65A5"/>
    <w:rsid w:val="00BA7ADA"/>
    <w:rsid w:val="00BB6A0B"/>
    <w:rsid w:val="00BD192E"/>
    <w:rsid w:val="00BD1A05"/>
    <w:rsid w:val="00BE0001"/>
    <w:rsid w:val="00BE3356"/>
    <w:rsid w:val="00BE335A"/>
    <w:rsid w:val="00BE778A"/>
    <w:rsid w:val="00BF187B"/>
    <w:rsid w:val="00BF354E"/>
    <w:rsid w:val="00BF480B"/>
    <w:rsid w:val="00C02961"/>
    <w:rsid w:val="00C02B5E"/>
    <w:rsid w:val="00C02C8E"/>
    <w:rsid w:val="00C03366"/>
    <w:rsid w:val="00C057EF"/>
    <w:rsid w:val="00C14296"/>
    <w:rsid w:val="00C16B6E"/>
    <w:rsid w:val="00C21117"/>
    <w:rsid w:val="00C22E9D"/>
    <w:rsid w:val="00C2333D"/>
    <w:rsid w:val="00C24238"/>
    <w:rsid w:val="00C2452C"/>
    <w:rsid w:val="00C2695D"/>
    <w:rsid w:val="00C32246"/>
    <w:rsid w:val="00C33D53"/>
    <w:rsid w:val="00C4260B"/>
    <w:rsid w:val="00C4341A"/>
    <w:rsid w:val="00C43792"/>
    <w:rsid w:val="00C450AE"/>
    <w:rsid w:val="00C5076E"/>
    <w:rsid w:val="00C52D2B"/>
    <w:rsid w:val="00C53387"/>
    <w:rsid w:val="00C546B7"/>
    <w:rsid w:val="00C5533B"/>
    <w:rsid w:val="00C56ED2"/>
    <w:rsid w:val="00C6623A"/>
    <w:rsid w:val="00C673E2"/>
    <w:rsid w:val="00C70B6C"/>
    <w:rsid w:val="00C74089"/>
    <w:rsid w:val="00C7473A"/>
    <w:rsid w:val="00C758F5"/>
    <w:rsid w:val="00C82AD4"/>
    <w:rsid w:val="00C90E85"/>
    <w:rsid w:val="00C9179B"/>
    <w:rsid w:val="00C92E5D"/>
    <w:rsid w:val="00C93509"/>
    <w:rsid w:val="00C9777C"/>
    <w:rsid w:val="00CA0455"/>
    <w:rsid w:val="00CA15E7"/>
    <w:rsid w:val="00CA4A39"/>
    <w:rsid w:val="00CA4C69"/>
    <w:rsid w:val="00CA58CB"/>
    <w:rsid w:val="00CA68C6"/>
    <w:rsid w:val="00CA6E79"/>
    <w:rsid w:val="00CA7E8A"/>
    <w:rsid w:val="00CB137C"/>
    <w:rsid w:val="00CB14C3"/>
    <w:rsid w:val="00CB4E54"/>
    <w:rsid w:val="00CB6AA7"/>
    <w:rsid w:val="00CC215D"/>
    <w:rsid w:val="00CC3F2F"/>
    <w:rsid w:val="00CC602E"/>
    <w:rsid w:val="00CC62E0"/>
    <w:rsid w:val="00CC6526"/>
    <w:rsid w:val="00CC6646"/>
    <w:rsid w:val="00CD0652"/>
    <w:rsid w:val="00CD0EB5"/>
    <w:rsid w:val="00CD6D27"/>
    <w:rsid w:val="00CD6F65"/>
    <w:rsid w:val="00CE16E0"/>
    <w:rsid w:val="00CE322B"/>
    <w:rsid w:val="00CE761D"/>
    <w:rsid w:val="00CF4E1C"/>
    <w:rsid w:val="00CF5581"/>
    <w:rsid w:val="00D026D2"/>
    <w:rsid w:val="00D05E46"/>
    <w:rsid w:val="00D11C16"/>
    <w:rsid w:val="00D1214E"/>
    <w:rsid w:val="00D14FDB"/>
    <w:rsid w:val="00D150CA"/>
    <w:rsid w:val="00D15D3F"/>
    <w:rsid w:val="00D17482"/>
    <w:rsid w:val="00D20BD0"/>
    <w:rsid w:val="00D217C8"/>
    <w:rsid w:val="00D2311D"/>
    <w:rsid w:val="00D23B7A"/>
    <w:rsid w:val="00D27605"/>
    <w:rsid w:val="00D3638A"/>
    <w:rsid w:val="00D36521"/>
    <w:rsid w:val="00D40B0F"/>
    <w:rsid w:val="00D42C39"/>
    <w:rsid w:val="00D4412F"/>
    <w:rsid w:val="00D451FE"/>
    <w:rsid w:val="00D47084"/>
    <w:rsid w:val="00D5083C"/>
    <w:rsid w:val="00D51422"/>
    <w:rsid w:val="00D62AA3"/>
    <w:rsid w:val="00D62DF9"/>
    <w:rsid w:val="00D64EB5"/>
    <w:rsid w:val="00D66370"/>
    <w:rsid w:val="00D67274"/>
    <w:rsid w:val="00D76CC1"/>
    <w:rsid w:val="00D77566"/>
    <w:rsid w:val="00D8227F"/>
    <w:rsid w:val="00D90DB4"/>
    <w:rsid w:val="00D911CB"/>
    <w:rsid w:val="00D92DE1"/>
    <w:rsid w:val="00D94283"/>
    <w:rsid w:val="00D944D7"/>
    <w:rsid w:val="00D96284"/>
    <w:rsid w:val="00DA1FDD"/>
    <w:rsid w:val="00DA371A"/>
    <w:rsid w:val="00DA39C5"/>
    <w:rsid w:val="00DA621C"/>
    <w:rsid w:val="00DA6EDF"/>
    <w:rsid w:val="00DB4896"/>
    <w:rsid w:val="00DB5A55"/>
    <w:rsid w:val="00DB6227"/>
    <w:rsid w:val="00DB625D"/>
    <w:rsid w:val="00DB783D"/>
    <w:rsid w:val="00DC05C1"/>
    <w:rsid w:val="00DD0FA6"/>
    <w:rsid w:val="00DD12E9"/>
    <w:rsid w:val="00DD4A7D"/>
    <w:rsid w:val="00DE04D6"/>
    <w:rsid w:val="00DE1DED"/>
    <w:rsid w:val="00DE264C"/>
    <w:rsid w:val="00DE5628"/>
    <w:rsid w:val="00DE6AD2"/>
    <w:rsid w:val="00DF6D6B"/>
    <w:rsid w:val="00E03491"/>
    <w:rsid w:val="00E04753"/>
    <w:rsid w:val="00E0544B"/>
    <w:rsid w:val="00E12C39"/>
    <w:rsid w:val="00E13871"/>
    <w:rsid w:val="00E16A37"/>
    <w:rsid w:val="00E173B4"/>
    <w:rsid w:val="00E22F1F"/>
    <w:rsid w:val="00E236D1"/>
    <w:rsid w:val="00E23B92"/>
    <w:rsid w:val="00E24289"/>
    <w:rsid w:val="00E33FB4"/>
    <w:rsid w:val="00E35160"/>
    <w:rsid w:val="00E35802"/>
    <w:rsid w:val="00E36FE2"/>
    <w:rsid w:val="00E431D6"/>
    <w:rsid w:val="00E4445A"/>
    <w:rsid w:val="00E51F41"/>
    <w:rsid w:val="00E52025"/>
    <w:rsid w:val="00E606B8"/>
    <w:rsid w:val="00E6158B"/>
    <w:rsid w:val="00E63ACD"/>
    <w:rsid w:val="00E6546C"/>
    <w:rsid w:val="00E673D2"/>
    <w:rsid w:val="00E701E0"/>
    <w:rsid w:val="00E72220"/>
    <w:rsid w:val="00E74213"/>
    <w:rsid w:val="00E76CD9"/>
    <w:rsid w:val="00E859D1"/>
    <w:rsid w:val="00E91E19"/>
    <w:rsid w:val="00E95106"/>
    <w:rsid w:val="00E95539"/>
    <w:rsid w:val="00EA023E"/>
    <w:rsid w:val="00EA0EBF"/>
    <w:rsid w:val="00EB40A3"/>
    <w:rsid w:val="00EC0A12"/>
    <w:rsid w:val="00EC0B2E"/>
    <w:rsid w:val="00EC23A1"/>
    <w:rsid w:val="00EC56D2"/>
    <w:rsid w:val="00ED1C3F"/>
    <w:rsid w:val="00ED1CC5"/>
    <w:rsid w:val="00ED47C6"/>
    <w:rsid w:val="00ED4E37"/>
    <w:rsid w:val="00ED57E2"/>
    <w:rsid w:val="00ED79BB"/>
    <w:rsid w:val="00EE0957"/>
    <w:rsid w:val="00EE0E4E"/>
    <w:rsid w:val="00EF0715"/>
    <w:rsid w:val="00EF0B95"/>
    <w:rsid w:val="00EF1732"/>
    <w:rsid w:val="00EF3ABF"/>
    <w:rsid w:val="00EF4231"/>
    <w:rsid w:val="00EF636A"/>
    <w:rsid w:val="00EF6795"/>
    <w:rsid w:val="00EF776D"/>
    <w:rsid w:val="00F03412"/>
    <w:rsid w:val="00F0377E"/>
    <w:rsid w:val="00F05235"/>
    <w:rsid w:val="00F05772"/>
    <w:rsid w:val="00F11FE7"/>
    <w:rsid w:val="00F142BF"/>
    <w:rsid w:val="00F14877"/>
    <w:rsid w:val="00F1508D"/>
    <w:rsid w:val="00F17EF5"/>
    <w:rsid w:val="00F2144F"/>
    <w:rsid w:val="00F220EF"/>
    <w:rsid w:val="00F30074"/>
    <w:rsid w:val="00F30696"/>
    <w:rsid w:val="00F336F6"/>
    <w:rsid w:val="00F36C1D"/>
    <w:rsid w:val="00F40E54"/>
    <w:rsid w:val="00F42C01"/>
    <w:rsid w:val="00F45261"/>
    <w:rsid w:val="00F5243D"/>
    <w:rsid w:val="00F56024"/>
    <w:rsid w:val="00F56DB5"/>
    <w:rsid w:val="00F570F0"/>
    <w:rsid w:val="00F5755F"/>
    <w:rsid w:val="00F62807"/>
    <w:rsid w:val="00F647CA"/>
    <w:rsid w:val="00F66821"/>
    <w:rsid w:val="00F71D63"/>
    <w:rsid w:val="00F72632"/>
    <w:rsid w:val="00F731D3"/>
    <w:rsid w:val="00F87582"/>
    <w:rsid w:val="00F9116A"/>
    <w:rsid w:val="00F918D4"/>
    <w:rsid w:val="00F96137"/>
    <w:rsid w:val="00F96808"/>
    <w:rsid w:val="00F968DD"/>
    <w:rsid w:val="00FA2139"/>
    <w:rsid w:val="00FA252C"/>
    <w:rsid w:val="00FA3649"/>
    <w:rsid w:val="00FA63D5"/>
    <w:rsid w:val="00FA7F74"/>
    <w:rsid w:val="00FB0335"/>
    <w:rsid w:val="00FB1156"/>
    <w:rsid w:val="00FB3239"/>
    <w:rsid w:val="00FB3929"/>
    <w:rsid w:val="00FB6B35"/>
    <w:rsid w:val="00FB6B9E"/>
    <w:rsid w:val="00FC0C14"/>
    <w:rsid w:val="00FC0EF5"/>
    <w:rsid w:val="00FC5611"/>
    <w:rsid w:val="00FC5AEF"/>
    <w:rsid w:val="00FC5F8C"/>
    <w:rsid w:val="00FC75A9"/>
    <w:rsid w:val="00FC79B6"/>
    <w:rsid w:val="00FD1CCB"/>
    <w:rsid w:val="00FD2BF1"/>
    <w:rsid w:val="00FD4225"/>
    <w:rsid w:val="00FD4712"/>
    <w:rsid w:val="00FD6DAA"/>
    <w:rsid w:val="00FD7FD1"/>
    <w:rsid w:val="00FE2767"/>
    <w:rsid w:val="00FE6C33"/>
    <w:rsid w:val="00FE78B2"/>
    <w:rsid w:val="00FF0DA1"/>
    <w:rsid w:val="00FF0DCF"/>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17DD63"/>
  <w15:docId w15:val="{66097F76-CB4C-4984-ACDF-B285ECA2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uiPriority="0"/>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qFormat/>
    <w:rsid w:val="00446C24"/>
    <w:pPr>
      <w:numPr>
        <w:numId w:val="18"/>
      </w:numPr>
      <w:spacing w:after="840" w:line="240" w:lineRule="auto"/>
      <w:jc w:val="center"/>
      <w:outlineLvl w:val="0"/>
    </w:pPr>
    <w:rPr>
      <w:b/>
      <w:caps/>
    </w:rPr>
  </w:style>
  <w:style w:type="paragraph" w:styleId="Heading2">
    <w:name w:val="heading 2"/>
    <w:basedOn w:val="Normal"/>
    <w:next w:val="Normal"/>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qFormat/>
    <w:rsid w:val="00446C24"/>
    <w:pPr>
      <w:numPr>
        <w:ilvl w:val="5"/>
        <w:numId w:val="18"/>
      </w:numPr>
      <w:outlineLvl w:val="5"/>
    </w:pPr>
  </w:style>
  <w:style w:type="paragraph" w:styleId="Heading7">
    <w:name w:val="heading 7"/>
    <w:aliases w:val="Heading 7 (business proposal only)"/>
    <w:basedOn w:val="Normal"/>
    <w:next w:val="Normal"/>
    <w:qFormat/>
    <w:rsid w:val="00446C24"/>
    <w:pPr>
      <w:numPr>
        <w:ilvl w:val="6"/>
        <w:numId w:val="18"/>
      </w:numPr>
      <w:outlineLvl w:val="6"/>
    </w:pPr>
  </w:style>
  <w:style w:type="paragraph" w:styleId="Heading8">
    <w:name w:val="heading 8"/>
    <w:aliases w:val="Heading 8 (business proposal only)"/>
    <w:basedOn w:val="Normal"/>
    <w:next w:val="Normal"/>
    <w:qFormat/>
    <w:rsid w:val="00446C24"/>
    <w:pPr>
      <w:numPr>
        <w:ilvl w:val="7"/>
        <w:numId w:val="18"/>
      </w:numPr>
      <w:outlineLvl w:val="7"/>
    </w:pPr>
  </w:style>
  <w:style w:type="paragraph" w:styleId="Heading9">
    <w:name w:val="heading 9"/>
    <w:aliases w:val="Heading 9 (business proposal only)"/>
    <w:basedOn w:val="Normal"/>
    <w:next w:val="Normal"/>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A41E91"/>
    <w:pPr>
      <w:tabs>
        <w:tab w:val="left" w:pos="990"/>
        <w:tab w:val="right" w:leader="dot" w:pos="9360"/>
      </w:tabs>
      <w:suppressAutoHyphens/>
      <w:spacing w:after="240"/>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paragraph" w:styleId="DocumentMap">
    <w:name w:val="Document Map"/>
    <w:basedOn w:val="Normal"/>
    <w:link w:val="DocumentMapChar"/>
    <w:semiHidden/>
    <w:unhideWhenUsed/>
    <w:rsid w:val="0054723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4723C"/>
    <w:rPr>
      <w:rFonts w:ascii="Tahoma" w:hAnsi="Tahoma" w:cs="Tahoma"/>
      <w:sz w:val="16"/>
      <w:szCs w:val="16"/>
    </w:rPr>
  </w:style>
  <w:style w:type="paragraph" w:customStyle="1" w:styleId="MTDisplayEquation">
    <w:name w:val="MTDisplayEquation"/>
    <w:basedOn w:val="NormalSS"/>
    <w:rsid w:val="0054723C"/>
    <w:pPr>
      <w:tabs>
        <w:tab w:val="clear" w:pos="432"/>
        <w:tab w:val="center" w:pos="4680"/>
        <w:tab w:val="right" w:pos="9360"/>
      </w:tabs>
      <w:spacing w:after="0" w:line="480" w:lineRule="auto"/>
    </w:pPr>
    <w:rPr>
      <w:szCs w:val="20"/>
    </w:rPr>
  </w:style>
  <w:style w:type="character" w:customStyle="1" w:styleId="a">
    <w:name w:val="_"/>
    <w:basedOn w:val="DefaultParagraphFont"/>
    <w:rsid w:val="00ED4E37"/>
  </w:style>
  <w:style w:type="paragraph" w:customStyle="1" w:styleId="bullet">
    <w:name w:val="bullet"/>
    <w:rsid w:val="00ED4E37"/>
    <w:pPr>
      <w:numPr>
        <w:numId w:val="21"/>
      </w:numPr>
      <w:tabs>
        <w:tab w:val="clear" w:pos="720"/>
        <w:tab w:val="num" w:pos="360"/>
      </w:tabs>
      <w:spacing w:after="180"/>
      <w:ind w:right="360" w:hanging="288"/>
      <w:jc w:val="both"/>
    </w:pPr>
    <w:rPr>
      <w:szCs w:val="20"/>
    </w:rPr>
  </w:style>
  <w:style w:type="paragraph" w:customStyle="1" w:styleId="ParagraphSSLAST">
    <w:name w:val="ParagraphSS (LAST)"/>
    <w:basedOn w:val="NormalSS"/>
    <w:next w:val="Normal"/>
    <w:rsid w:val="00ED4E37"/>
    <w:pPr>
      <w:spacing w:after="480"/>
    </w:pPr>
    <w:rPr>
      <w:szCs w:val="20"/>
    </w:rPr>
  </w:style>
  <w:style w:type="paragraph" w:customStyle="1" w:styleId="Bullet0">
    <w:name w:val="Bullet"/>
    <w:rsid w:val="00F17EF5"/>
    <w:pPr>
      <w:tabs>
        <w:tab w:val="num" w:pos="360"/>
      </w:tabs>
      <w:spacing w:after="180"/>
      <w:ind w:left="720" w:right="360" w:hanging="288"/>
      <w:jc w:val="both"/>
    </w:pPr>
    <w:rPr>
      <w:szCs w:val="20"/>
    </w:rPr>
  </w:style>
  <w:style w:type="paragraph" w:customStyle="1" w:styleId="BulletLAST">
    <w:name w:val="Bullet (LAST)"/>
    <w:next w:val="Normal"/>
    <w:rsid w:val="00F17EF5"/>
    <w:pPr>
      <w:numPr>
        <w:numId w:val="29"/>
      </w:numPr>
      <w:spacing w:after="480"/>
      <w:ind w:left="720" w:right="360" w:hanging="288"/>
      <w:jc w:val="both"/>
    </w:pPr>
    <w:rPr>
      <w:szCs w:val="20"/>
    </w:rPr>
  </w:style>
  <w:style w:type="paragraph" w:customStyle="1" w:styleId="ParagraphLAST">
    <w:name w:val="Paragraph (LAST)"/>
    <w:basedOn w:val="Normal"/>
    <w:next w:val="Normal"/>
    <w:rsid w:val="00F17EF5"/>
    <w:pPr>
      <w:spacing w:after="240"/>
    </w:pPr>
    <w:rPr>
      <w:szCs w:val="20"/>
    </w:rPr>
  </w:style>
  <w:style w:type="paragraph" w:customStyle="1" w:styleId="Center">
    <w:name w:val="Center"/>
    <w:basedOn w:val="Normal"/>
    <w:rsid w:val="00F17EF5"/>
    <w:pPr>
      <w:ind w:firstLine="0"/>
      <w:jc w:val="center"/>
    </w:pPr>
    <w:rPr>
      <w:szCs w:val="20"/>
    </w:rPr>
  </w:style>
  <w:style w:type="paragraph" w:customStyle="1" w:styleId="MarkforTable">
    <w:name w:val="Mark for Table"/>
    <w:next w:val="Normal"/>
    <w:rsid w:val="00F17EF5"/>
    <w:pPr>
      <w:spacing w:line="480" w:lineRule="auto"/>
      <w:jc w:val="center"/>
    </w:pPr>
    <w:rPr>
      <w:caps/>
      <w:szCs w:val="20"/>
    </w:rPr>
  </w:style>
  <w:style w:type="paragraph" w:customStyle="1" w:styleId="MarkforFigure">
    <w:name w:val="Mark for Figure"/>
    <w:basedOn w:val="Normal"/>
    <w:next w:val="Normal"/>
    <w:rsid w:val="00F17EF5"/>
    <w:pPr>
      <w:ind w:firstLine="0"/>
      <w:jc w:val="center"/>
    </w:pPr>
    <w:rPr>
      <w:caps/>
      <w:szCs w:val="20"/>
    </w:rPr>
  </w:style>
  <w:style w:type="paragraph" w:customStyle="1" w:styleId="MarkforExhibit">
    <w:name w:val="Mark for Exhibit"/>
    <w:basedOn w:val="Normal"/>
    <w:next w:val="Normal"/>
    <w:rsid w:val="00F17EF5"/>
    <w:pPr>
      <w:ind w:firstLine="0"/>
      <w:jc w:val="center"/>
    </w:pPr>
    <w:rPr>
      <w:caps/>
      <w:szCs w:val="20"/>
    </w:rPr>
  </w:style>
  <w:style w:type="paragraph" w:customStyle="1" w:styleId="MarkforAttachment">
    <w:name w:val="Mark for Attachment"/>
    <w:basedOn w:val="Normal"/>
    <w:next w:val="Normal"/>
    <w:rsid w:val="00F17EF5"/>
    <w:pPr>
      <w:spacing w:line="240" w:lineRule="auto"/>
      <w:ind w:firstLine="0"/>
      <w:jc w:val="center"/>
    </w:pPr>
    <w:rPr>
      <w:b/>
      <w:caps/>
      <w:szCs w:val="20"/>
    </w:rPr>
  </w:style>
  <w:style w:type="paragraph" w:customStyle="1" w:styleId="MarkforAppendix">
    <w:name w:val="Mark for Appendix"/>
    <w:basedOn w:val="Normal"/>
    <w:rsid w:val="00F17EF5"/>
    <w:pPr>
      <w:ind w:firstLine="0"/>
      <w:jc w:val="center"/>
    </w:pPr>
    <w:rPr>
      <w:b/>
      <w:caps/>
      <w:szCs w:val="20"/>
    </w:rPr>
  </w:style>
  <w:style w:type="paragraph" w:customStyle="1" w:styleId="NumberedBulletLAST">
    <w:name w:val="Numbered Bullet (LAST)"/>
    <w:basedOn w:val="NumberedBullet"/>
    <w:next w:val="Normal"/>
    <w:rsid w:val="00F17EF5"/>
    <w:pPr>
      <w:numPr>
        <w:numId w:val="28"/>
      </w:numPr>
      <w:tabs>
        <w:tab w:val="clear" w:pos="792"/>
      </w:tabs>
      <w:spacing w:after="480"/>
      <w:ind w:left="720" w:hanging="288"/>
    </w:pPr>
    <w:rPr>
      <w:szCs w:val="20"/>
    </w:rPr>
  </w:style>
  <w:style w:type="paragraph" w:styleId="BodyText">
    <w:name w:val="Body Text"/>
    <w:basedOn w:val="Normal"/>
    <w:link w:val="BodyTextChar"/>
    <w:semiHidden/>
    <w:rsid w:val="00F17EF5"/>
    <w:pPr>
      <w:spacing w:line="240" w:lineRule="auto"/>
      <w:ind w:firstLine="0"/>
    </w:pPr>
    <w:rPr>
      <w:b/>
      <w:szCs w:val="20"/>
    </w:rPr>
  </w:style>
  <w:style w:type="character" w:customStyle="1" w:styleId="BodyTextChar">
    <w:name w:val="Body Text Char"/>
    <w:basedOn w:val="DefaultParagraphFont"/>
    <w:link w:val="BodyText"/>
    <w:semiHidden/>
    <w:rsid w:val="00F17EF5"/>
    <w:rPr>
      <w:b/>
      <w:szCs w:val="20"/>
    </w:rPr>
  </w:style>
  <w:style w:type="character" w:styleId="CommentReference">
    <w:name w:val="annotation reference"/>
    <w:basedOn w:val="DefaultParagraphFont"/>
    <w:uiPriority w:val="99"/>
    <w:semiHidden/>
    <w:rsid w:val="00F17EF5"/>
    <w:rPr>
      <w:sz w:val="16"/>
    </w:rPr>
  </w:style>
  <w:style w:type="paragraph" w:styleId="CommentText">
    <w:name w:val="annotation text"/>
    <w:basedOn w:val="Normal"/>
    <w:link w:val="CommentTextChar"/>
    <w:uiPriority w:val="99"/>
    <w:semiHidden/>
    <w:rsid w:val="00F17EF5"/>
    <w:pPr>
      <w:widowControl w:val="0"/>
      <w:tabs>
        <w:tab w:val="clear" w:pos="432"/>
      </w:tabs>
      <w:spacing w:line="240" w:lineRule="auto"/>
      <w:ind w:firstLine="0"/>
      <w:jc w:val="left"/>
    </w:pPr>
    <w:rPr>
      <w:rFonts w:ascii="Courier New" w:hAnsi="Courier New"/>
      <w:snapToGrid w:val="0"/>
      <w:sz w:val="20"/>
      <w:szCs w:val="20"/>
    </w:rPr>
  </w:style>
  <w:style w:type="character" w:customStyle="1" w:styleId="CommentTextChar">
    <w:name w:val="Comment Text Char"/>
    <w:basedOn w:val="DefaultParagraphFont"/>
    <w:link w:val="CommentText"/>
    <w:uiPriority w:val="99"/>
    <w:semiHidden/>
    <w:rsid w:val="00F17EF5"/>
    <w:rPr>
      <w:rFonts w:ascii="Courier New" w:hAnsi="Courier New"/>
      <w:snapToGrid w:val="0"/>
      <w:sz w:val="20"/>
      <w:szCs w:val="20"/>
    </w:rPr>
  </w:style>
  <w:style w:type="paragraph" w:styleId="Subtitle">
    <w:name w:val="Subtitle"/>
    <w:basedOn w:val="Normal"/>
    <w:link w:val="SubtitleChar"/>
    <w:qFormat/>
    <w:rsid w:val="00F17EF5"/>
    <w:pPr>
      <w:tabs>
        <w:tab w:val="clear" w:pos="432"/>
        <w:tab w:val="right" w:pos="9360"/>
      </w:tabs>
      <w:spacing w:after="240" w:line="240" w:lineRule="auto"/>
      <w:ind w:right="549" w:firstLine="0"/>
      <w:jc w:val="center"/>
    </w:pPr>
    <w:rPr>
      <w:b/>
      <w:szCs w:val="20"/>
    </w:rPr>
  </w:style>
  <w:style w:type="character" w:customStyle="1" w:styleId="SubtitleChar">
    <w:name w:val="Subtitle Char"/>
    <w:basedOn w:val="DefaultParagraphFont"/>
    <w:link w:val="Subtitle"/>
    <w:rsid w:val="00F17EF5"/>
    <w:rPr>
      <w:b/>
      <w:szCs w:val="20"/>
    </w:rPr>
  </w:style>
  <w:style w:type="character" w:customStyle="1" w:styleId="medium-normal">
    <w:name w:val="medium-normal"/>
    <w:basedOn w:val="DefaultParagraphFont"/>
    <w:rsid w:val="00F17EF5"/>
  </w:style>
  <w:style w:type="paragraph" w:styleId="TOC5">
    <w:name w:val="toc 5"/>
    <w:basedOn w:val="Normal"/>
    <w:next w:val="Normal"/>
    <w:autoRedefine/>
    <w:semiHidden/>
    <w:rsid w:val="00F17EF5"/>
    <w:pPr>
      <w:tabs>
        <w:tab w:val="clear" w:pos="432"/>
      </w:tabs>
      <w:ind w:left="960"/>
    </w:pPr>
    <w:rPr>
      <w:szCs w:val="20"/>
    </w:rPr>
  </w:style>
  <w:style w:type="paragraph" w:styleId="TOC6">
    <w:name w:val="toc 6"/>
    <w:basedOn w:val="Normal"/>
    <w:next w:val="Normal"/>
    <w:autoRedefine/>
    <w:semiHidden/>
    <w:rsid w:val="00F17EF5"/>
    <w:pPr>
      <w:tabs>
        <w:tab w:val="clear" w:pos="432"/>
      </w:tabs>
      <w:ind w:left="1200"/>
    </w:pPr>
    <w:rPr>
      <w:szCs w:val="20"/>
    </w:rPr>
  </w:style>
  <w:style w:type="paragraph" w:styleId="TOC7">
    <w:name w:val="toc 7"/>
    <w:basedOn w:val="Normal"/>
    <w:next w:val="Normal"/>
    <w:autoRedefine/>
    <w:semiHidden/>
    <w:rsid w:val="00F17EF5"/>
    <w:pPr>
      <w:tabs>
        <w:tab w:val="clear" w:pos="432"/>
      </w:tabs>
      <w:ind w:left="1440"/>
    </w:pPr>
    <w:rPr>
      <w:szCs w:val="20"/>
    </w:rPr>
  </w:style>
  <w:style w:type="paragraph" w:styleId="TOC9">
    <w:name w:val="toc 9"/>
    <w:basedOn w:val="Normal"/>
    <w:next w:val="Normal"/>
    <w:autoRedefine/>
    <w:semiHidden/>
    <w:rsid w:val="00F17EF5"/>
    <w:pPr>
      <w:tabs>
        <w:tab w:val="clear" w:pos="432"/>
      </w:tabs>
      <w:ind w:left="1920"/>
    </w:pPr>
    <w:rPr>
      <w:szCs w:val="20"/>
    </w:rPr>
  </w:style>
  <w:style w:type="character" w:styleId="Hyperlink">
    <w:name w:val="Hyperlink"/>
    <w:basedOn w:val="DefaultParagraphFont"/>
    <w:rsid w:val="00F17EF5"/>
    <w:rPr>
      <w:color w:val="0000FF"/>
      <w:u w:val="single"/>
    </w:rPr>
  </w:style>
  <w:style w:type="character" w:styleId="Emphasis">
    <w:name w:val="Emphasis"/>
    <w:basedOn w:val="DefaultParagraphFont"/>
    <w:qFormat/>
    <w:rsid w:val="00F17EF5"/>
    <w:rPr>
      <w:i/>
      <w:iCs/>
    </w:rPr>
  </w:style>
  <w:style w:type="paragraph" w:styleId="BlockText">
    <w:name w:val="Block Text"/>
    <w:basedOn w:val="Normal"/>
    <w:semiHidden/>
    <w:rsid w:val="00F17EF5"/>
    <w:pPr>
      <w:spacing w:line="240" w:lineRule="auto"/>
      <w:ind w:left="2850" w:right="2880" w:firstLine="0"/>
      <w:jc w:val="left"/>
    </w:pPr>
    <w:rPr>
      <w:b/>
      <w:iCs/>
      <w:sz w:val="32"/>
      <w:szCs w:val="20"/>
    </w:rPr>
  </w:style>
  <w:style w:type="paragraph" w:customStyle="1" w:styleId="NormalWeb3">
    <w:name w:val="Normal (Web)3"/>
    <w:basedOn w:val="Normal"/>
    <w:rsid w:val="00F17EF5"/>
    <w:pPr>
      <w:tabs>
        <w:tab w:val="clear" w:pos="432"/>
      </w:tabs>
      <w:spacing w:after="192" w:line="240" w:lineRule="auto"/>
      <w:ind w:firstLine="0"/>
      <w:jc w:val="left"/>
    </w:pPr>
    <w:rPr>
      <w:rFonts w:ascii="Verdana" w:hAnsi="Verdana"/>
    </w:rPr>
  </w:style>
  <w:style w:type="paragraph" w:styleId="HTMLPreformatted">
    <w:name w:val="HTML Preformatted"/>
    <w:basedOn w:val="Normal"/>
    <w:link w:val="HTMLPreformattedChar"/>
    <w:semiHidden/>
    <w:rsid w:val="00F17EF5"/>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F17EF5"/>
    <w:rPr>
      <w:rFonts w:ascii="Courier New" w:hAnsi="Courier New" w:cs="Courier New"/>
      <w:sz w:val="20"/>
      <w:szCs w:val="20"/>
    </w:rPr>
  </w:style>
  <w:style w:type="character" w:styleId="Strong">
    <w:name w:val="Strong"/>
    <w:basedOn w:val="DefaultParagraphFont"/>
    <w:qFormat/>
    <w:rsid w:val="00F17EF5"/>
    <w:rPr>
      <w:b/>
      <w:bCs/>
    </w:rPr>
  </w:style>
  <w:style w:type="paragraph" w:styleId="PlainText">
    <w:name w:val="Plain Text"/>
    <w:basedOn w:val="Normal"/>
    <w:link w:val="PlainTextChar"/>
    <w:uiPriority w:val="99"/>
    <w:semiHidden/>
    <w:rsid w:val="00F17EF5"/>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F17EF5"/>
    <w:rPr>
      <w:rFonts w:ascii="Courier New" w:hAnsi="Courier New" w:cs="Courier New"/>
      <w:sz w:val="20"/>
      <w:szCs w:val="20"/>
    </w:rPr>
  </w:style>
  <w:style w:type="character" w:customStyle="1" w:styleId="EquationCaption">
    <w:name w:val="_Equation Caption"/>
    <w:rsid w:val="00F17EF5"/>
  </w:style>
  <w:style w:type="paragraph" w:styleId="BodyText2">
    <w:name w:val="Body Text 2"/>
    <w:basedOn w:val="Normal"/>
    <w:link w:val="BodyText2Char"/>
    <w:semiHidden/>
    <w:rsid w:val="00F17EF5"/>
    <w:pPr>
      <w:suppressAutoHyphens/>
      <w:spacing w:line="240" w:lineRule="auto"/>
      <w:ind w:firstLine="0"/>
    </w:pPr>
    <w:rPr>
      <w:szCs w:val="20"/>
    </w:rPr>
  </w:style>
  <w:style w:type="character" w:customStyle="1" w:styleId="BodyText2Char">
    <w:name w:val="Body Text 2 Char"/>
    <w:basedOn w:val="DefaultParagraphFont"/>
    <w:link w:val="BodyText2"/>
    <w:semiHidden/>
    <w:rsid w:val="00F17EF5"/>
    <w:rPr>
      <w:szCs w:val="20"/>
    </w:rPr>
  </w:style>
  <w:style w:type="paragraph" w:styleId="BodyTextIndent">
    <w:name w:val="Body Text Indent"/>
    <w:basedOn w:val="Normal"/>
    <w:link w:val="BodyTextIndentChar"/>
    <w:semiHidden/>
    <w:rsid w:val="00F17EF5"/>
    <w:pPr>
      <w:suppressAutoHyphens/>
      <w:spacing w:line="240" w:lineRule="auto"/>
      <w:jc w:val="left"/>
    </w:pPr>
    <w:rPr>
      <w:rFonts w:cs="Courier New"/>
    </w:rPr>
  </w:style>
  <w:style w:type="character" w:customStyle="1" w:styleId="BodyTextIndentChar">
    <w:name w:val="Body Text Indent Char"/>
    <w:basedOn w:val="DefaultParagraphFont"/>
    <w:link w:val="BodyTextIndent"/>
    <w:semiHidden/>
    <w:rsid w:val="00F17EF5"/>
    <w:rPr>
      <w:rFonts w:cs="Courier New"/>
    </w:rPr>
  </w:style>
  <w:style w:type="character" w:customStyle="1" w:styleId="EndnoteTextChar">
    <w:name w:val="Endnote Text Char"/>
    <w:basedOn w:val="DefaultParagraphFont"/>
    <w:link w:val="EndnoteText"/>
    <w:semiHidden/>
    <w:rsid w:val="00F17EF5"/>
  </w:style>
  <w:style w:type="paragraph" w:styleId="CommentSubject">
    <w:name w:val="annotation subject"/>
    <w:basedOn w:val="CommentText"/>
    <w:next w:val="CommentText"/>
    <w:link w:val="CommentSubjectChar"/>
    <w:uiPriority w:val="99"/>
    <w:semiHidden/>
    <w:unhideWhenUsed/>
    <w:rsid w:val="00F17EF5"/>
    <w:pPr>
      <w:widowControl/>
      <w:tabs>
        <w:tab w:val="left" w:pos="432"/>
      </w:tabs>
      <w:spacing w:line="480" w:lineRule="auto"/>
      <w:ind w:firstLine="432"/>
      <w:jc w:val="both"/>
    </w:pPr>
    <w:rPr>
      <w:rFonts w:ascii="Times New Roman" w:hAnsi="Times New Roman"/>
      <w:b/>
      <w:bCs/>
      <w:snapToGrid/>
    </w:rPr>
  </w:style>
  <w:style w:type="character" w:customStyle="1" w:styleId="CommentSubjectChar">
    <w:name w:val="Comment Subject Char"/>
    <w:basedOn w:val="CommentTextChar"/>
    <w:link w:val="CommentSubject"/>
    <w:uiPriority w:val="99"/>
    <w:semiHidden/>
    <w:rsid w:val="00F17EF5"/>
    <w:rPr>
      <w:rFonts w:ascii="Courier New" w:hAnsi="Courier New"/>
      <w:b/>
      <w:bCs/>
      <w:snapToGrid w:val="0"/>
      <w:sz w:val="20"/>
      <w:szCs w:val="20"/>
    </w:rPr>
  </w:style>
  <w:style w:type="character" w:customStyle="1" w:styleId="FooterChar">
    <w:name w:val="Footer Char"/>
    <w:basedOn w:val="DefaultParagraphFont"/>
    <w:link w:val="Footer"/>
    <w:uiPriority w:val="99"/>
    <w:rsid w:val="00BF480B"/>
  </w:style>
  <w:style w:type="paragraph" w:customStyle="1" w:styleId="Heading2Memo">
    <w:name w:val="Heading_2_Memo"/>
    <w:basedOn w:val="MarkforTableHeading"/>
    <w:next w:val="NormalSS"/>
    <w:qFormat/>
    <w:rsid w:val="004946D6"/>
    <w:pPr>
      <w:spacing w:after="240"/>
      <w:ind w:left="432" w:hanging="432"/>
    </w:pPr>
    <w:rPr>
      <w:rFonts w:ascii="Arial" w:hAnsi="Arial"/>
      <w:sz w:val="22"/>
    </w:rPr>
  </w:style>
  <w:style w:type="paragraph" w:customStyle="1" w:styleId="Pubs">
    <w:name w:val="Pubs"/>
    <w:basedOn w:val="Normal"/>
    <w:rsid w:val="004946D6"/>
    <w:pPr>
      <w:tabs>
        <w:tab w:val="clear" w:pos="432"/>
      </w:tabs>
      <w:snapToGrid w:val="0"/>
      <w:spacing w:before="120" w:line="240" w:lineRule="auto"/>
      <w:ind w:left="360" w:hanging="360"/>
    </w:pPr>
    <w:rPr>
      <w:rFonts w:ascii="Garamond" w:eastAsiaTheme="minorHAnsi" w:hAnsi="Garamond"/>
      <w:sz w:val="21"/>
      <w:szCs w:val="21"/>
    </w:rPr>
  </w:style>
  <w:style w:type="paragraph" w:customStyle="1" w:styleId="MarkforAppendixTitle">
    <w:name w:val="Mark for Appendix Title"/>
    <w:basedOn w:val="Normal"/>
    <w:next w:val="Normal"/>
    <w:qFormat/>
    <w:rsid w:val="00F30074"/>
    <w:pPr>
      <w:tabs>
        <w:tab w:val="clear" w:pos="432"/>
      </w:tabs>
      <w:spacing w:before="2640" w:after="240" w:line="240" w:lineRule="auto"/>
      <w:ind w:firstLine="0"/>
      <w:jc w:val="center"/>
      <w:outlineLvl w:val="1"/>
    </w:pPr>
    <w:rPr>
      <w:rFonts w:ascii="Arial Black" w:hAnsi="Arial Black"/>
      <w:cap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69691">
      <w:bodyDiv w:val="1"/>
      <w:marLeft w:val="0"/>
      <w:marRight w:val="0"/>
      <w:marTop w:val="0"/>
      <w:marBottom w:val="0"/>
      <w:divBdr>
        <w:top w:val="none" w:sz="0" w:space="0" w:color="auto"/>
        <w:left w:val="none" w:sz="0" w:space="0" w:color="auto"/>
        <w:bottom w:val="none" w:sz="0" w:space="0" w:color="auto"/>
        <w:right w:val="none" w:sz="0" w:space="0" w:color="auto"/>
      </w:divBdr>
    </w:div>
    <w:div w:id="659651250">
      <w:bodyDiv w:val="1"/>
      <w:marLeft w:val="0"/>
      <w:marRight w:val="0"/>
      <w:marTop w:val="0"/>
      <w:marBottom w:val="0"/>
      <w:divBdr>
        <w:top w:val="none" w:sz="0" w:space="0" w:color="auto"/>
        <w:left w:val="none" w:sz="0" w:space="0" w:color="auto"/>
        <w:bottom w:val="none" w:sz="0" w:space="0" w:color="auto"/>
        <w:right w:val="none" w:sz="0" w:space="0" w:color="auto"/>
      </w:divBdr>
    </w:div>
    <w:div w:id="1043409124">
      <w:bodyDiv w:val="1"/>
      <w:marLeft w:val="0"/>
      <w:marRight w:val="0"/>
      <w:marTop w:val="0"/>
      <w:marBottom w:val="0"/>
      <w:divBdr>
        <w:top w:val="none" w:sz="0" w:space="0" w:color="auto"/>
        <w:left w:val="none" w:sz="0" w:space="0" w:color="auto"/>
        <w:bottom w:val="none" w:sz="0" w:space="0" w:color="auto"/>
        <w:right w:val="none" w:sz="0" w:space="0" w:color="auto"/>
      </w:divBdr>
    </w:div>
    <w:div w:id="1733431376">
      <w:bodyDiv w:val="1"/>
      <w:marLeft w:val="0"/>
      <w:marRight w:val="0"/>
      <w:marTop w:val="0"/>
      <w:marBottom w:val="0"/>
      <w:divBdr>
        <w:top w:val="none" w:sz="0" w:space="0" w:color="auto"/>
        <w:left w:val="none" w:sz="0" w:space="0" w:color="auto"/>
        <w:bottom w:val="none" w:sz="0" w:space="0" w:color="auto"/>
        <w:right w:val="none" w:sz="0" w:space="0" w:color="auto"/>
      </w:divBdr>
    </w:div>
    <w:div w:id="175566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680C8-26A2-4862-9444-BAB792AFF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DA58C-324E-48A1-B863-F8FBD9FD60FF}">
  <ds:schemaRefs>
    <ds:schemaRef ds:uri="http://schemas.microsoft.com/sharepoint/v3/contenttype/forms"/>
  </ds:schemaRefs>
</ds:datastoreItem>
</file>

<file path=customXml/itemProps3.xml><?xml version="1.0" encoding="utf-8"?>
<ds:datastoreItem xmlns:ds="http://schemas.openxmlformats.org/officeDocument/2006/customXml" ds:itemID="{257738D0-92FD-4BD7-8D71-4CE02FD67D27}">
  <ds:schemaRefs>
    <ds:schemaRef ds:uri="http://schemas.microsoft.com/sharepoint/v4"/>
    <ds:schemaRef ds:uri="http://schemas.openxmlformats.org/package/2006/metadata/core-properties"/>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03291304-A218-4C98-8990-A40E037E7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1582</Words>
  <Characters>8257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FACES 2014_2018 Recruitment OMB_Appendix A Program Information Package</vt:lpstr>
    </vt:vector>
  </TitlesOfParts>
  <Company>Mathematica, Inc</Company>
  <LinksUpToDate>false</LinksUpToDate>
  <CharactersWithSpaces>9820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2014_2018 Recruitment OMB_Appendix A Program Information Package</dc:title>
  <dc:creator>Mathematica Staff</dc:creator>
  <cp:lastModifiedBy>SSkidmore</cp:lastModifiedBy>
  <cp:revision>2</cp:revision>
  <cp:lastPrinted>2014-04-08T17:35:00Z</cp:lastPrinted>
  <dcterms:created xsi:type="dcterms:W3CDTF">2015-05-06T19:44:00Z</dcterms:created>
  <dcterms:modified xsi:type="dcterms:W3CDTF">2015-05-06T19:44:00Z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