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095" w:rsidRDefault="00163029">
      <w:pPr>
        <w:spacing w:after="0" w:line="240" w:lineRule="auto"/>
        <w:jc w:val="center"/>
        <w:rPr>
          <w:b/>
          <w:sz w:val="24"/>
          <w:szCs w:val="24"/>
        </w:rPr>
      </w:pPr>
      <w:r>
        <w:rPr>
          <w:b/>
          <w:sz w:val="24"/>
          <w:szCs w:val="24"/>
        </w:rPr>
        <w:t>17500</w:t>
      </w:r>
      <w:r w:rsidR="000C0A7E">
        <w:rPr>
          <w:b/>
          <w:sz w:val="24"/>
          <w:szCs w:val="24"/>
        </w:rPr>
        <w:t xml:space="preserve">Supporting Statement for Paperwork Reduction Act Generic Information Collection Submissions for </w:t>
      </w:r>
    </w:p>
    <w:p w:rsidR="00982095" w:rsidRDefault="00D764A3">
      <w:pPr>
        <w:spacing w:after="0" w:line="240" w:lineRule="auto"/>
        <w:jc w:val="center"/>
        <w:outlineLvl w:val="0"/>
        <w:rPr>
          <w:b/>
          <w:sz w:val="24"/>
          <w:szCs w:val="24"/>
        </w:rPr>
      </w:pPr>
      <w:r w:rsidRPr="00D764A3">
        <w:rPr>
          <w:b/>
          <w:sz w:val="24"/>
          <w:szCs w:val="24"/>
        </w:rPr>
        <w:t xml:space="preserve">Department of State Fast </w:t>
      </w:r>
      <w:proofErr w:type="spellStart"/>
      <w:r w:rsidRPr="00D764A3">
        <w:rPr>
          <w:b/>
          <w:sz w:val="24"/>
          <w:szCs w:val="24"/>
        </w:rPr>
        <w:t>Trak</w:t>
      </w:r>
      <w:proofErr w:type="spellEnd"/>
      <w:r w:rsidRPr="00D764A3">
        <w:rPr>
          <w:b/>
          <w:sz w:val="24"/>
          <w:szCs w:val="24"/>
        </w:rPr>
        <w:t xml:space="preserve"> Customer Service Surveys</w:t>
      </w:r>
    </w:p>
    <w:p w:rsidR="00D764A3" w:rsidRDefault="00975448">
      <w:pPr>
        <w:spacing w:after="0" w:line="240" w:lineRule="auto"/>
        <w:jc w:val="center"/>
        <w:outlineLvl w:val="0"/>
        <w:rPr>
          <w:b/>
          <w:sz w:val="24"/>
          <w:szCs w:val="24"/>
        </w:rPr>
      </w:pPr>
      <w:r>
        <w:rPr>
          <w:b/>
          <w:sz w:val="24"/>
          <w:szCs w:val="24"/>
        </w:rPr>
        <w:t>OMB # 1405-0193</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1"/>
        </w:numPr>
        <w:spacing w:after="0" w:line="240" w:lineRule="auto"/>
        <w:ind w:left="0"/>
        <w:rPr>
          <w:b/>
        </w:rPr>
      </w:pPr>
      <w:r>
        <w:rPr>
          <w:b/>
        </w:rPr>
        <w:t>JUSTIFICATION</w:t>
      </w:r>
    </w:p>
    <w:p w:rsidR="00982095" w:rsidRDefault="00982095">
      <w:pPr>
        <w:pStyle w:val="ListParagraph"/>
        <w:spacing w:after="0" w:line="240" w:lineRule="auto"/>
        <w:ind w:left="0"/>
        <w:rPr>
          <w:b/>
        </w:rPr>
      </w:pPr>
    </w:p>
    <w:p w:rsidR="00982095" w:rsidRDefault="000C0A7E">
      <w:pPr>
        <w:pStyle w:val="ListParagraph"/>
        <w:numPr>
          <w:ilvl w:val="0"/>
          <w:numId w:val="2"/>
        </w:numPr>
        <w:spacing w:after="0" w:line="240" w:lineRule="auto"/>
        <w:ind w:left="0"/>
        <w:rPr>
          <w:b/>
        </w:rPr>
      </w:pPr>
      <w:r>
        <w:rPr>
          <w:b/>
        </w:rPr>
        <w:t>Circumstances Making the Collection of Information Necessary</w:t>
      </w:r>
    </w:p>
    <w:p w:rsidR="00982095" w:rsidRDefault="00982095">
      <w:pPr>
        <w:pStyle w:val="ListParagraph"/>
        <w:spacing w:after="0" w:line="240" w:lineRule="auto"/>
        <w:ind w:left="0"/>
        <w:rPr>
          <w:b/>
        </w:rPr>
      </w:pPr>
    </w:p>
    <w:p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rsidR="00EA23A5">
        <w:t>, the Department of State</w:t>
      </w:r>
      <w:r>
        <w:t xml:space="preserve">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pPr>
        <w:spacing w:after="0" w:line="240" w:lineRule="auto"/>
        <w:rPr>
          <w:b/>
        </w:rPr>
      </w:pPr>
    </w:p>
    <w:p w:rsidR="00982095" w:rsidRDefault="000C0A7E">
      <w:pPr>
        <w:spacing w:after="0" w:line="240" w:lineRule="auto"/>
      </w:pPr>
      <w:r>
        <w:t>This collection of information is necessary to enable</w:t>
      </w:r>
      <w:r w:rsidR="00975448">
        <w:t xml:space="preserve"> the State Department</w:t>
      </w:r>
      <w:r w:rsidR="00C62FA2">
        <w:t xml:space="preserve"> </w:t>
      </w:r>
      <w:r>
        <w:t xml:space="preserve">to garner customer and stakeholder feedback in an efficient, timely manner, in accordance with </w:t>
      </w:r>
      <w:r w:rsidR="000A410F">
        <w:t xml:space="preserve">our commitment to </w:t>
      </w:r>
      <w:proofErr w:type="gramStart"/>
      <w:r w:rsidR="000A410F">
        <w:t xml:space="preserve">improving </w:t>
      </w:r>
      <w:r>
        <w:t xml:space="preserve"> </w:t>
      </w:r>
      <w:r w:rsidR="000A410F">
        <w:t>service</w:t>
      </w:r>
      <w:proofErr w:type="gramEnd"/>
      <w:r w:rsidR="000A410F">
        <w:t xml:space="preserv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 xml:space="preserve">the </w:t>
      </w:r>
      <w:r w:rsidR="00975448">
        <w:t>Department</w:t>
      </w:r>
      <w:r w:rsidR="00C62FA2">
        <w:t>’s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in </w:t>
      </w:r>
      <w:r w:rsidR="00EB2D61">
        <w:t xml:space="preserve"> </w:t>
      </w:r>
      <w:r>
        <w:t xml:space="preserve">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w:t>
      </w:r>
      <w:r w:rsidR="00975448">
        <w:t>Department</w:t>
      </w:r>
      <w:r w:rsidR="00654009">
        <w:t xml:space="preserve"> of State</w:t>
      </w:r>
      <w:r w:rsidR="00C62FA2">
        <w:t xml:space="preserve"> </w:t>
      </w:r>
      <w:r>
        <w:t xml:space="preserve">and its customers and stakeholders.  It will also allow feedback to contribute directly to the improvement of program management. </w:t>
      </w:r>
    </w:p>
    <w:p w:rsidR="00982095" w:rsidRDefault="000C0A7E">
      <w:pPr>
        <w:spacing w:after="0" w:line="240" w:lineRule="auto"/>
      </w:pPr>
      <w:r>
        <w:t xml:space="preserve"> </w:t>
      </w: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Purpose and Use of the Information Collection</w:t>
      </w:r>
    </w:p>
    <w:p w:rsidR="00982095" w:rsidRDefault="00982095">
      <w:pPr>
        <w:spacing w:after="0" w:line="240" w:lineRule="auto"/>
        <w:rPr>
          <w:highlight w:val="yellow"/>
        </w:rPr>
      </w:pPr>
    </w:p>
    <w:p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w:t>
      </w:r>
      <w:r w:rsidR="00975448">
        <w:t>Department</w:t>
      </w:r>
      <w:r w:rsidR="00C62FA2">
        <w:t xml:space="preserve"> </w:t>
      </w:r>
      <w: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t xml:space="preserve"> 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w:t>
      </w:r>
      <w:r w:rsidR="00975448">
        <w:t>Department</w:t>
      </w:r>
      <w:r w:rsidR="000A410F">
        <w:t>’s</w:t>
      </w:r>
      <w:r w:rsidR="00C62FA2">
        <w:t xml:space="preserve"> </w:t>
      </w:r>
      <w:r>
        <w:t>services will be unavailable.</w:t>
      </w:r>
    </w:p>
    <w:p w:rsidR="00982095" w:rsidRDefault="00982095">
      <w:pPr>
        <w:spacing w:after="0" w:line="240" w:lineRule="auto"/>
      </w:pPr>
    </w:p>
    <w:p w:rsidR="00EB2D61" w:rsidRDefault="00EB2D61">
      <w:pPr>
        <w:spacing w:after="0" w:line="240" w:lineRule="auto"/>
      </w:pPr>
      <w:r>
        <w:t xml:space="preserve">The </w:t>
      </w:r>
      <w:r w:rsidR="00654009">
        <w:t>Depar</w:t>
      </w:r>
      <w:r w:rsidR="00975448">
        <w:t>tment</w:t>
      </w:r>
      <w:r w:rsidR="00654009">
        <w:t xml:space="preserve"> of State</w:t>
      </w:r>
      <w:r>
        <w:t xml:space="preserve"> will only submit a collection for approval under this generic clearance if it meets the following conditions:   </w:t>
      </w:r>
    </w:p>
    <w:p w:rsidR="00AA3F96" w:rsidRDefault="00AA3F96">
      <w:pPr>
        <w:spacing w:after="0" w:line="240" w:lineRule="auto"/>
      </w:pPr>
    </w:p>
    <w:p w:rsidR="00377B51" w:rsidRDefault="00EB2D61" w:rsidP="00377B51">
      <w:pPr>
        <w:pStyle w:val="ListParagraph"/>
        <w:numPr>
          <w:ilvl w:val="0"/>
          <w:numId w:val="13"/>
        </w:numPr>
        <w:spacing w:after="0" w:line="240" w:lineRule="auto"/>
      </w:pPr>
      <w:r>
        <w:lastRenderedPageBreak/>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wil be followed)</w:t>
      </w:r>
      <w:r w:rsidR="00FA1D10">
        <w:t>;</w:t>
      </w:r>
    </w:p>
    <w:p w:rsidR="00D64405" w:rsidRDefault="00572831"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rsidR="00D64405">
        <w:t>;</w:t>
      </w:r>
    </w:p>
    <w:p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rsidR="00982095" w:rsidRDefault="000C0A7E">
      <w:pPr>
        <w:pStyle w:val="ListParagraph"/>
        <w:numPr>
          <w:ilvl w:val="0"/>
          <w:numId w:val="9"/>
        </w:numPr>
        <w:spacing w:after="0" w:line="240" w:lineRule="auto"/>
      </w:pPr>
      <w:r>
        <w:t>The collections are voluntary;</w:t>
      </w:r>
    </w:p>
    <w:p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rsidRDefault="00D30F06">
      <w:pPr>
        <w:pStyle w:val="ListParagraph"/>
        <w:numPr>
          <w:ilvl w:val="0"/>
          <w:numId w:val="9"/>
        </w:numPr>
        <w:spacing w:after="0" w:line="240" w:lineRule="auto"/>
      </w:pPr>
      <w:r>
        <w:t>With the exception of information needed to provide renumeration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rsidRDefault="00982095">
      <w:pPr>
        <w:pStyle w:val="ListParagraph"/>
        <w:spacing w:after="0" w:line="240" w:lineRule="auto"/>
        <w:ind w:left="360"/>
      </w:pPr>
    </w:p>
    <w:p w:rsidR="00982095" w:rsidRDefault="000C0A7E">
      <w:pPr>
        <w:spacing w:after="0" w:line="240" w:lineRule="auto"/>
      </w:pPr>
      <w:r>
        <w:t xml:space="preserve">If these conditions are not met, </w:t>
      </w:r>
      <w:r w:rsidR="00CC2FDD">
        <w:t xml:space="preserve">the </w:t>
      </w:r>
      <w:r w:rsidR="00975448">
        <w:t>Department</w:t>
      </w:r>
      <w:r w:rsidR="00CC2FDD">
        <w:t xml:space="preserve"> </w:t>
      </w:r>
      <w:r>
        <w:t xml:space="preserve">will submit an information collection request to OMB for approval through the normal PRA process.  </w:t>
      </w:r>
    </w:p>
    <w:p w:rsidR="00982095" w:rsidRDefault="00982095">
      <w:pPr>
        <w:spacing w:after="0" w:line="240" w:lineRule="auto"/>
      </w:pPr>
    </w:p>
    <w:p w:rsidR="00982095" w:rsidRDefault="000C0A7E">
      <w:pPr>
        <w:spacing w:after="0" w:line="240" w:lineRule="auto"/>
      </w:pPr>
      <w:r>
        <w:t>To obtain approval for a collection that meets the conditions of this generic clearance, a standardized form will be submitted to OMB along with supporting documentation</w:t>
      </w:r>
      <w:r w:rsidR="00975448">
        <w:t xml:space="preserve"> and collection instruments</w:t>
      </w:r>
      <w:r>
        <w:t>.  The submission will have automatic approval, unless OMB identifies issues</w:t>
      </w:r>
      <w:r w:rsidR="00975448">
        <w:t>,</w:t>
      </w:r>
      <w:r>
        <w:t xml:space="preserve"> within </w:t>
      </w:r>
      <w:r w:rsidRPr="003A7A16">
        <w:t>5 business days</w:t>
      </w:r>
      <w:r>
        <w:t>.</w:t>
      </w:r>
    </w:p>
    <w:p w:rsidR="00982095" w:rsidRDefault="00982095">
      <w:pPr>
        <w:spacing w:after="0" w:line="240" w:lineRule="auto"/>
      </w:pPr>
    </w:p>
    <w:p w:rsidR="00982095" w:rsidRDefault="000C0A7E">
      <w:r>
        <w:t>The types of collections that this generic clearance covers include, but are not limited to:</w:t>
      </w:r>
    </w:p>
    <w:p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rsidRDefault="000C0A7E">
      <w:pPr>
        <w:pStyle w:val="ListParagraph"/>
        <w:numPr>
          <w:ilvl w:val="0"/>
          <w:numId w:val="15"/>
        </w:numPr>
      </w:pPr>
      <w:r>
        <w:t xml:space="preserve">Small </w:t>
      </w:r>
      <w:r w:rsidR="006B2FF7">
        <w:t>d</w:t>
      </w:r>
      <w:r>
        <w:t xml:space="preserve">iscussion </w:t>
      </w:r>
      <w:r w:rsidR="006B2FF7">
        <w:t>g</w:t>
      </w:r>
      <w:r>
        <w:t>roups</w:t>
      </w:r>
    </w:p>
    <w:p w:rsidR="00256D0E" w:rsidRDefault="006B2FF7" w:rsidP="00256D0E">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rsidRDefault="00982095">
      <w:pPr>
        <w:spacing w:after="0" w:line="240" w:lineRule="auto"/>
      </w:pPr>
    </w:p>
    <w:p w:rsidR="00982095" w:rsidRDefault="00CC2FDD">
      <w:pPr>
        <w:spacing w:after="0" w:line="240" w:lineRule="auto"/>
      </w:pPr>
      <w:r>
        <w:t xml:space="preserve">The </w:t>
      </w:r>
      <w:r w:rsidR="00975448">
        <w:t>Department</w:t>
      </w:r>
      <w:r w:rsidR="000C0A7E">
        <w:t xml:space="preserve"> has established </w:t>
      </w:r>
      <w:r w:rsidR="00975448">
        <w:t xml:space="preserve">the Office of Directives Management (A/GIS/DIR) </w:t>
      </w:r>
      <w:r w:rsidR="000C0A7E">
        <w:t>a</w:t>
      </w:r>
      <w:r w:rsidR="00975448">
        <w:t>s</w:t>
      </w:r>
      <w:r w:rsidR="000C0A7E">
        <w:t xml:space="preserve"> </w:t>
      </w:r>
      <w:r w:rsidR="00975448">
        <w:t xml:space="preserve">the </w:t>
      </w:r>
      <w:r w:rsidR="000C0A7E">
        <w:t xml:space="preserve">managing entity for this generic clearance and </w:t>
      </w:r>
      <w:r w:rsidR="00975448">
        <w:t xml:space="preserve">DIR </w:t>
      </w:r>
      <w:r w:rsidR="000C0A7E">
        <w:t xml:space="preserve">will conduct an independent review of each </w:t>
      </w:r>
      <w:r w:rsidR="006B2FF7">
        <w:t xml:space="preserve">information collection </w:t>
      </w:r>
      <w:r w:rsidR="000C0A7E">
        <w:t xml:space="preserve">to ensure compliance with the terms of this clearance prior to submitting each collection to OMB. </w:t>
      </w:r>
    </w:p>
    <w:p w:rsidR="00982095" w:rsidRDefault="00982095">
      <w:pPr>
        <w:spacing w:after="0" w:line="240" w:lineRule="auto"/>
      </w:pPr>
    </w:p>
    <w:p w:rsidR="00CC2FDD" w:rsidRDefault="00CC2FDD">
      <w:pPr>
        <w:spacing w:after="0" w:line="240" w:lineRule="auto"/>
      </w:pPr>
    </w:p>
    <w:p w:rsidR="00982095" w:rsidRDefault="000C0A7E">
      <w:pPr>
        <w:pStyle w:val="ListParagraph"/>
        <w:numPr>
          <w:ilvl w:val="0"/>
          <w:numId w:val="2"/>
        </w:numPr>
        <w:spacing w:after="0" w:line="240" w:lineRule="auto"/>
        <w:ind w:left="0"/>
        <w:rPr>
          <w:b/>
        </w:rPr>
      </w:pPr>
      <w:r>
        <w:rPr>
          <w:b/>
        </w:rPr>
        <w:t>Consideration Given to Information Technology</w:t>
      </w:r>
    </w:p>
    <w:p w:rsidR="00982095" w:rsidRDefault="00982095">
      <w:pPr>
        <w:spacing w:after="0" w:line="240" w:lineRule="auto"/>
        <w:rPr>
          <w:highlight w:val="yellow"/>
        </w:rPr>
      </w:pPr>
    </w:p>
    <w:p w:rsidR="00982095" w:rsidRDefault="000C0A7E">
      <w:pPr>
        <w:spacing w:after="0" w:line="240" w:lineRule="auto"/>
      </w:pPr>
      <w:r>
        <w:t xml:space="preserve">If appropriate, </w:t>
      </w:r>
      <w:r w:rsidR="00975448">
        <w:t>the Department</w:t>
      </w:r>
      <w:r>
        <w:t xml:space="preserve"> will collect information electronically and/or use online collaboration tools to reduce burden.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Duplication of Information</w:t>
      </w:r>
    </w:p>
    <w:p w:rsidR="00982095" w:rsidRDefault="00982095">
      <w:pPr>
        <w:spacing w:after="0" w:line="240" w:lineRule="auto"/>
      </w:pPr>
    </w:p>
    <w:p w:rsidR="00982095" w:rsidRDefault="000C0A7E">
      <w:pPr>
        <w:spacing w:after="0" w:line="240" w:lineRule="auto"/>
      </w:pPr>
      <w:r>
        <w:t>No similar data are gathered or maintained</w:t>
      </w:r>
      <w:r w:rsidR="002A35E6">
        <w:t xml:space="preserve"> </w:t>
      </w:r>
      <w:r>
        <w:t xml:space="preserve">or are available from other sources known to </w:t>
      </w:r>
      <w:r w:rsidR="002A35E6" w:rsidRPr="002A35E6">
        <w:t xml:space="preserve">the </w:t>
      </w:r>
      <w:r w:rsidR="00975448">
        <w:t>Department</w:t>
      </w:r>
      <w:r w:rsidRPr="002A35E6">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Reducing the Burden on Small Entities</w:t>
      </w:r>
    </w:p>
    <w:p w:rsidR="00982095" w:rsidRDefault="00982095">
      <w:pPr>
        <w:pStyle w:val="ListParagraph"/>
        <w:spacing w:after="0" w:line="240" w:lineRule="auto"/>
        <w:ind w:left="0"/>
        <w:rPr>
          <w:b/>
        </w:rPr>
      </w:pPr>
    </w:p>
    <w:p w:rsidR="00982095" w:rsidRDefault="000C0A7E">
      <w:pPr>
        <w:spacing w:after="0" w:line="240" w:lineRule="auto"/>
      </w:pPr>
      <w:r>
        <w:t>Small business or other small entities may be involved in these efforts but</w:t>
      </w:r>
      <w:r w:rsidR="002A35E6">
        <w:t xml:space="preserve"> the </w:t>
      </w:r>
      <w:r w:rsidR="00975448">
        <w:t>Department</w:t>
      </w:r>
      <w:r w:rsidR="002A35E6">
        <w:t xml:space="preserve"> </w:t>
      </w:r>
      <w:r>
        <w:t xml:space="preserve">will minimize the burden on them </w:t>
      </w:r>
      <w:r w:rsidR="00975448">
        <w:t>for</w:t>
      </w:r>
      <w:r>
        <w:t xml:space="preserve"> information collections approved under this clearance by sampling, asking for readily available information, and using short, easy-to-complete information collection instruments.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Consequences of Not Conducting Collection </w:t>
      </w:r>
    </w:p>
    <w:p w:rsidR="00982095" w:rsidRDefault="00982095">
      <w:pPr>
        <w:pStyle w:val="ListParagraph"/>
        <w:spacing w:after="0" w:line="240" w:lineRule="auto"/>
        <w:ind w:left="0"/>
        <w:rPr>
          <w:b/>
        </w:rPr>
      </w:pPr>
    </w:p>
    <w:p w:rsidR="00982095" w:rsidRDefault="000C0A7E">
      <w:pPr>
        <w:spacing w:after="0" w:line="240" w:lineRule="auto"/>
      </w:pPr>
      <w:r>
        <w:t>Without these types of feedback,</w:t>
      </w:r>
      <w:r w:rsidR="002A35E6">
        <w:t xml:space="preserve"> the </w:t>
      </w:r>
      <w:r w:rsidR="00975448">
        <w:t>Department</w:t>
      </w:r>
      <w:r w:rsidR="002A35E6">
        <w:t xml:space="preserve"> </w:t>
      </w:r>
      <w:r>
        <w:t>will not have timely information to adjust its services to meet customer needs.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Special Circumstances</w:t>
      </w:r>
    </w:p>
    <w:p w:rsidR="00982095" w:rsidRDefault="00982095">
      <w:pPr>
        <w:pStyle w:val="ListParagraph"/>
        <w:spacing w:after="0" w:line="240" w:lineRule="auto"/>
        <w:ind w:left="0"/>
        <w:rPr>
          <w:b/>
        </w:rPr>
      </w:pPr>
    </w:p>
    <w:p w:rsidR="00066515" w:rsidRDefault="000C0A7E">
      <w:pPr>
        <w:spacing w:after="0" w:line="240" w:lineRule="auto"/>
      </w:pPr>
      <w:r>
        <w:t>There are no special circumstances</w:t>
      </w:r>
      <w:r w:rsidR="00DE07E7">
        <w:t>. The information collected will be voluntary and will not be used for statistical purposes.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rsidRDefault="00982095">
      <w:pPr>
        <w:pStyle w:val="ListParagraph"/>
        <w:spacing w:after="0" w:line="240" w:lineRule="auto"/>
        <w:ind w:left="0"/>
        <w:rPr>
          <w:b/>
        </w:rPr>
      </w:pPr>
    </w:p>
    <w:p w:rsidR="00982095" w:rsidRDefault="000C0A7E">
      <w:pPr>
        <w:spacing w:after="0" w:line="240" w:lineRule="auto"/>
      </w:pPr>
      <w:r>
        <w:t>In accordance with 5 CFR 1320.8(d</w:t>
      </w:r>
      <w:r w:rsidRPr="001E44AB">
        <w:t xml:space="preserve">), a 60-day notice for public comment </w:t>
      </w:r>
      <w:r w:rsidR="00DC0BDE">
        <w:t xml:space="preserve">was </w:t>
      </w:r>
      <w:r w:rsidRPr="001E44AB">
        <w:t xml:space="preserve">published in the </w:t>
      </w:r>
      <w:r w:rsidR="00982095" w:rsidRPr="001E44AB">
        <w:rPr>
          <w:i/>
        </w:rPr>
        <w:t>Federal Register</w:t>
      </w:r>
      <w:r w:rsidRPr="001E44AB">
        <w:t>.</w:t>
      </w:r>
      <w:r w:rsidR="00DC0BDE">
        <w:t xml:space="preserve"> No comments were received.</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Payment or Gift</w:t>
      </w:r>
    </w:p>
    <w:p w:rsidR="001E7A97" w:rsidRDefault="001E7A97">
      <w:pPr>
        <w:spacing w:after="0" w:line="240" w:lineRule="auto"/>
      </w:pPr>
    </w:p>
    <w:p w:rsidR="00982095" w:rsidRDefault="00AC2497">
      <w:pPr>
        <w:spacing w:after="0" w:line="240" w:lineRule="auto"/>
      </w:pPr>
      <w:r w:rsidRPr="00AC2497">
        <w:t xml:space="preserve">The </w:t>
      </w:r>
      <w:r w:rsidR="007A181D">
        <w:t>Department</w:t>
      </w:r>
      <w:r w:rsidRPr="00AC2497">
        <w:t xml:space="preserve"> </w:t>
      </w:r>
      <w:r w:rsidR="000C0A7E">
        <w:t xml:space="preserve">will not provide payment or other forms of remuneration to respondents of its various </w:t>
      </w:r>
      <w:r w:rsidR="007A181D">
        <w:t>methods</w:t>
      </w:r>
      <w:r w:rsidR="000C0A7E">
        <w:t xml:space="preserve"> of collecting feedback.  Focus groups and cognitive laboratory studies are the exceptions.</w:t>
      </w:r>
    </w:p>
    <w:p w:rsidR="00982095" w:rsidRDefault="000C0A7E">
      <w:pPr>
        <w:spacing w:after="0" w:line="240" w:lineRule="auto"/>
      </w:pPr>
      <w:r>
        <w:t xml:space="preserve"> </w:t>
      </w:r>
    </w:p>
    <w:p w:rsidR="00982095" w:rsidRDefault="000C0A7E">
      <w:pPr>
        <w:spacing w:after="0" w:line="240" w:lineRule="auto"/>
      </w:pPr>
      <w:r>
        <w:t>In the case of in-person cognitive laboratory and usability studies,</w:t>
      </w:r>
      <w:r w:rsidR="00DE07E7">
        <w:t xml:space="preserve"> the </w:t>
      </w:r>
      <w:r w:rsidR="007A181D">
        <w:t>Department</w:t>
      </w:r>
      <w:r w:rsidR="00DE07E7">
        <w:t xml:space="preserve"> </w:t>
      </w:r>
      <w:r>
        <w:t>may provide stipends of up to $40.   In the case of in-person focus groups,</w:t>
      </w:r>
      <w:r w:rsidR="00DE07E7">
        <w:t xml:space="preserve"> the </w:t>
      </w:r>
      <w:r w:rsidR="007A181D">
        <w:t>Department</w:t>
      </w:r>
      <w:r w:rsidR="00DE07E7">
        <w:t xml:space="preserve">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w:t>
      </w:r>
      <w:r>
        <w:lastRenderedPageBreak/>
        <w:t xml:space="preserve">collections include hard-to-reach groups and the </w:t>
      </w:r>
      <w:r w:rsidR="007A181D">
        <w:t xml:space="preserve">Department </w:t>
      </w:r>
      <w:r>
        <w:t xml:space="preserve">plans to offer non-standard stipends, </w:t>
      </w:r>
      <w:r w:rsidR="007A181D">
        <w:t xml:space="preserve">we </w:t>
      </w:r>
      <w:r>
        <w:t>will provide OMB with additional justifications in the request for clearance of these specific activities.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Confidentiality </w:t>
      </w:r>
    </w:p>
    <w:p w:rsidR="00982095" w:rsidRDefault="00982095">
      <w:pPr>
        <w:spacing w:after="0" w:line="240" w:lineRule="auto"/>
      </w:pPr>
    </w:p>
    <w:p w:rsidR="00982095" w:rsidRDefault="000C0A7E">
      <w:pPr>
        <w:spacing w:after="0" w:line="240" w:lineRule="auto"/>
      </w:pPr>
      <w:r>
        <w:t xml:space="preserve"> </w:t>
      </w:r>
      <w:r w:rsidR="00AC2497" w:rsidRPr="00AC2497">
        <w:t xml:space="preserve">If a confidentiality pledge is deemed useful and feasible, </w:t>
      </w:r>
      <w:r w:rsidR="00DE07E7">
        <w:t xml:space="preserve">the </w:t>
      </w:r>
      <w:r w:rsidR="007A181D">
        <w:t>Department</w:t>
      </w:r>
      <w:r w:rsidR="00AC2497"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w:t>
      </w:r>
      <w:r w:rsidR="008A4F14">
        <w:t xml:space="preserve"> a </w:t>
      </w:r>
      <w:r w:rsidR="007A181D">
        <w:t xml:space="preserve">collection </w:t>
      </w:r>
      <w:r w:rsidR="002B0B32">
        <w:t>includes a pledge of confidentiality, it will include a citation for the statute or regulation supporting the pledge.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Sensitive Nature</w:t>
      </w:r>
    </w:p>
    <w:p w:rsidR="00982095" w:rsidRDefault="00982095">
      <w:pPr>
        <w:pStyle w:val="ListParagraph"/>
        <w:spacing w:after="0" w:line="240" w:lineRule="auto"/>
        <w:ind w:left="0"/>
        <w:rPr>
          <w:b/>
        </w:rPr>
      </w:pPr>
    </w:p>
    <w:p w:rsidR="00982095" w:rsidRDefault="000C0A7E">
      <w:pPr>
        <w:spacing w:after="0" w:line="240" w:lineRule="auto"/>
      </w:pPr>
      <w:r>
        <w:t>No questions will be asked that are of a personal or sensitive nature.</w:t>
      </w:r>
    </w:p>
    <w:p w:rsidR="00982095" w:rsidRDefault="00982095">
      <w:pPr>
        <w:spacing w:after="0" w:line="240" w:lineRule="auto"/>
      </w:pPr>
    </w:p>
    <w:p w:rsidR="00CE76A7" w:rsidRDefault="00CE76A7">
      <w:pPr>
        <w:spacing w:after="0" w:line="240" w:lineRule="auto"/>
      </w:pPr>
    </w:p>
    <w:p w:rsidR="00982095" w:rsidRDefault="000C0A7E">
      <w:pPr>
        <w:pStyle w:val="ListParagraph"/>
        <w:numPr>
          <w:ilvl w:val="0"/>
          <w:numId w:val="2"/>
        </w:numPr>
        <w:spacing w:after="0" w:line="240" w:lineRule="auto"/>
        <w:ind w:left="0"/>
        <w:rPr>
          <w:b/>
        </w:rPr>
      </w:pPr>
      <w:r>
        <w:rPr>
          <w:b/>
        </w:rPr>
        <w:t>Burden of Information Collection</w:t>
      </w:r>
    </w:p>
    <w:p w:rsidR="00982095" w:rsidRDefault="00982095">
      <w:pPr>
        <w:spacing w:after="0" w:line="240" w:lineRule="auto"/>
      </w:pPr>
    </w:p>
    <w:p w:rsidR="002B64C2" w:rsidRDefault="000C0A7E">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w:t>
      </w:r>
      <w:r w:rsidR="00A86805">
        <w:t>rden hours requested (</w:t>
      </w:r>
      <w:r w:rsidR="00217AAB">
        <w:t>8,750</w:t>
      </w:r>
      <w:r>
        <w:t>) are based on the number of collections we expect to conduct over the requ</w:t>
      </w:r>
      <w:r w:rsidR="00C003DD">
        <w:t>ested period for this clearance</w:t>
      </w:r>
      <w:r w:rsidR="002B64C2">
        <w:t xml:space="preserve"> and their individual response time</w:t>
      </w:r>
      <w:r w:rsidR="000F0823">
        <w:t>s</w:t>
      </w:r>
      <w:r>
        <w:t>.</w:t>
      </w:r>
    </w:p>
    <w:p w:rsidR="00982095" w:rsidRDefault="002B64C2">
      <w:pPr>
        <w:tabs>
          <w:tab w:val="left" w:pos="-1080"/>
          <w:tab w:val="left" w:pos="-720"/>
          <w:tab w:val="left" w:pos="0"/>
          <w:tab w:val="left" w:pos="450"/>
          <w:tab w:val="left" w:pos="720"/>
          <w:tab w:val="left" w:pos="2160"/>
        </w:tabs>
        <w:spacing w:after="0" w:line="240" w:lineRule="auto"/>
      </w:pPr>
      <w:r>
        <w:t>The annual hour cost burden is</w:t>
      </w:r>
      <w:r w:rsidR="000C0A7E">
        <w:t xml:space="preserve"> </w:t>
      </w:r>
      <w:r w:rsidR="000F0823">
        <w:t>estimated to be $</w:t>
      </w:r>
      <w:r w:rsidR="00217AAB">
        <w:t>5,008,500</w:t>
      </w:r>
      <w:r>
        <w:t xml:space="preserve">  based on the BLS tables of average wages for all individuals ($</w:t>
      </w:r>
      <w:r w:rsidR="000F0823">
        <w:t>23.85</w:t>
      </w:r>
      <w:r w:rsidR="00A90E5D">
        <w:t xml:space="preserve">) </w:t>
      </w:r>
      <w:r>
        <w:t>x 1.4 weighted wage multiplier</w:t>
      </w:r>
      <w:r w:rsidR="008A4F14">
        <w:t xml:space="preserve"> x number </w:t>
      </w:r>
      <w:r w:rsidR="00217AAB">
        <w:t>of respondents (1</w:t>
      </w:r>
      <w:r w:rsidR="005C6D2E">
        <w:t>5</w:t>
      </w:r>
      <w:r w:rsidR="00217AAB">
        <w:t>0</w:t>
      </w:r>
      <w:r w:rsidR="00695F29">
        <w:t>,000</w:t>
      </w:r>
      <w:r w:rsidR="00A90E5D">
        <w:t>).</w:t>
      </w:r>
      <w:r w:rsidR="000C0A7E">
        <w:t xml:space="preserve"> </w:t>
      </w:r>
    </w:p>
    <w:tbl>
      <w:tblPr>
        <w:tblStyle w:val="TableGrid"/>
        <w:tblpPr w:leftFromText="180" w:rightFromText="180" w:vertAnchor="text" w:horzAnchor="margin" w:tblpY="368"/>
        <w:tblW w:w="9576" w:type="dxa"/>
        <w:tblLook w:val="04A0" w:firstRow="1" w:lastRow="0" w:firstColumn="1" w:lastColumn="0" w:noHBand="0" w:noVBand="1"/>
      </w:tblPr>
      <w:tblGrid>
        <w:gridCol w:w="1652"/>
        <w:gridCol w:w="1273"/>
        <w:gridCol w:w="1240"/>
        <w:gridCol w:w="544"/>
        <w:gridCol w:w="738"/>
        <w:gridCol w:w="1092"/>
        <w:gridCol w:w="1627"/>
        <w:gridCol w:w="1410"/>
      </w:tblGrid>
      <w:tr w:rsidR="00695F29" w:rsidTr="00695F29">
        <w:trPr>
          <w:trHeight w:val="530"/>
        </w:trPr>
        <w:tc>
          <w:tcPr>
            <w:tcW w:w="1652" w:type="dxa"/>
            <w:tcBorders>
              <w:right w:val="nil"/>
            </w:tcBorders>
          </w:tcPr>
          <w:p w:rsidR="00695F29" w:rsidRDefault="00695F29" w:rsidP="00695F29">
            <w:pPr>
              <w:tabs>
                <w:tab w:val="left" w:pos="-1080"/>
                <w:tab w:val="left" w:pos="-720"/>
                <w:tab w:val="left" w:pos="0"/>
                <w:tab w:val="left" w:pos="450"/>
                <w:tab w:val="left" w:pos="720"/>
                <w:tab w:val="left" w:pos="2160"/>
              </w:tabs>
              <w:jc w:val="center"/>
              <w:rPr>
                <w:sz w:val="20"/>
              </w:rPr>
            </w:pPr>
          </w:p>
        </w:tc>
        <w:tc>
          <w:tcPr>
            <w:tcW w:w="1273" w:type="dxa"/>
            <w:tcBorders>
              <w:left w:val="nil"/>
              <w:right w:val="nil"/>
            </w:tcBorders>
          </w:tcPr>
          <w:p w:rsidR="00695F29" w:rsidRDefault="00695F29" w:rsidP="00695F29">
            <w:pPr>
              <w:tabs>
                <w:tab w:val="left" w:pos="-1080"/>
                <w:tab w:val="left" w:pos="-720"/>
                <w:tab w:val="left" w:pos="0"/>
                <w:tab w:val="left" w:pos="450"/>
                <w:tab w:val="left" w:pos="720"/>
                <w:tab w:val="left" w:pos="2160"/>
              </w:tabs>
              <w:jc w:val="center"/>
              <w:rPr>
                <w:sz w:val="20"/>
              </w:rPr>
            </w:pPr>
          </w:p>
        </w:tc>
        <w:tc>
          <w:tcPr>
            <w:tcW w:w="1784" w:type="dxa"/>
            <w:gridSpan w:val="2"/>
            <w:tcBorders>
              <w:left w:val="nil"/>
              <w:right w:val="nil"/>
            </w:tcBorders>
            <w:vAlign w:val="center"/>
          </w:tcPr>
          <w:p w:rsidR="00695F29" w:rsidRDefault="00695F29" w:rsidP="00695F29">
            <w:pPr>
              <w:tabs>
                <w:tab w:val="left" w:pos="-1080"/>
                <w:tab w:val="left" w:pos="-720"/>
                <w:tab w:val="left" w:pos="0"/>
                <w:tab w:val="left" w:pos="450"/>
                <w:tab w:val="left" w:pos="720"/>
                <w:tab w:val="left" w:pos="2160"/>
              </w:tabs>
              <w:jc w:val="center"/>
              <w:rPr>
                <w:sz w:val="20"/>
              </w:rPr>
            </w:pPr>
            <w:r>
              <w:rPr>
                <w:sz w:val="20"/>
              </w:rPr>
              <w:t>Estimated Annual Reporting Burden</w:t>
            </w:r>
          </w:p>
        </w:tc>
        <w:tc>
          <w:tcPr>
            <w:tcW w:w="738" w:type="dxa"/>
            <w:tcBorders>
              <w:left w:val="nil"/>
              <w:right w:val="nil"/>
            </w:tcBorders>
          </w:tcPr>
          <w:p w:rsidR="00695F29" w:rsidRDefault="00695F29" w:rsidP="00695F29">
            <w:pPr>
              <w:tabs>
                <w:tab w:val="left" w:pos="-1080"/>
                <w:tab w:val="left" w:pos="-720"/>
                <w:tab w:val="left" w:pos="0"/>
                <w:tab w:val="left" w:pos="450"/>
                <w:tab w:val="left" w:pos="720"/>
                <w:tab w:val="left" w:pos="2160"/>
              </w:tabs>
              <w:jc w:val="center"/>
              <w:rPr>
                <w:sz w:val="20"/>
              </w:rPr>
            </w:pPr>
          </w:p>
        </w:tc>
        <w:tc>
          <w:tcPr>
            <w:tcW w:w="1092" w:type="dxa"/>
            <w:tcBorders>
              <w:left w:val="nil"/>
              <w:right w:val="nil"/>
            </w:tcBorders>
          </w:tcPr>
          <w:p w:rsidR="00695F29" w:rsidRDefault="00695F29" w:rsidP="00695F29">
            <w:pPr>
              <w:tabs>
                <w:tab w:val="left" w:pos="-1080"/>
                <w:tab w:val="left" w:pos="-720"/>
                <w:tab w:val="left" w:pos="0"/>
                <w:tab w:val="left" w:pos="450"/>
                <w:tab w:val="left" w:pos="720"/>
                <w:tab w:val="left" w:pos="2160"/>
              </w:tabs>
              <w:jc w:val="center"/>
              <w:rPr>
                <w:sz w:val="20"/>
              </w:rPr>
            </w:pPr>
          </w:p>
        </w:tc>
        <w:tc>
          <w:tcPr>
            <w:tcW w:w="1627" w:type="dxa"/>
            <w:tcBorders>
              <w:left w:val="nil"/>
              <w:right w:val="nil"/>
            </w:tcBorders>
          </w:tcPr>
          <w:p w:rsidR="00695F29" w:rsidRDefault="00695F29" w:rsidP="00695F29">
            <w:pPr>
              <w:tabs>
                <w:tab w:val="left" w:pos="-1080"/>
                <w:tab w:val="left" w:pos="-720"/>
                <w:tab w:val="left" w:pos="0"/>
                <w:tab w:val="left" w:pos="450"/>
                <w:tab w:val="left" w:pos="720"/>
                <w:tab w:val="left" w:pos="2160"/>
              </w:tabs>
              <w:jc w:val="center"/>
              <w:rPr>
                <w:sz w:val="20"/>
              </w:rPr>
            </w:pPr>
          </w:p>
        </w:tc>
        <w:tc>
          <w:tcPr>
            <w:tcW w:w="1410" w:type="dxa"/>
            <w:tcBorders>
              <w:left w:val="nil"/>
            </w:tcBorders>
          </w:tcPr>
          <w:p w:rsidR="00695F29" w:rsidRDefault="00695F29" w:rsidP="00695F29">
            <w:pPr>
              <w:tabs>
                <w:tab w:val="left" w:pos="-1080"/>
                <w:tab w:val="left" w:pos="-720"/>
                <w:tab w:val="left" w:pos="0"/>
                <w:tab w:val="left" w:pos="450"/>
                <w:tab w:val="left" w:pos="720"/>
                <w:tab w:val="left" w:pos="2160"/>
              </w:tabs>
              <w:jc w:val="center"/>
              <w:rPr>
                <w:sz w:val="20"/>
              </w:rPr>
            </w:pPr>
          </w:p>
        </w:tc>
      </w:tr>
      <w:tr w:rsidR="00695F29" w:rsidTr="00695F29">
        <w:trPr>
          <w:trHeight w:val="743"/>
        </w:trPr>
        <w:tc>
          <w:tcPr>
            <w:tcW w:w="1652" w:type="dxa"/>
            <w:vAlign w:val="center"/>
          </w:tcPr>
          <w:p w:rsidR="00695F29" w:rsidRDefault="00695F29" w:rsidP="00695F29">
            <w:pPr>
              <w:tabs>
                <w:tab w:val="left" w:pos="-1080"/>
                <w:tab w:val="left" w:pos="-720"/>
                <w:tab w:val="left" w:pos="0"/>
                <w:tab w:val="left" w:pos="450"/>
                <w:tab w:val="left" w:pos="720"/>
                <w:tab w:val="left" w:pos="2160"/>
              </w:tabs>
              <w:jc w:val="center"/>
            </w:pPr>
            <w:r>
              <w:rPr>
                <w:sz w:val="20"/>
              </w:rPr>
              <w:t>Type of Collection</w:t>
            </w:r>
          </w:p>
        </w:tc>
        <w:tc>
          <w:tcPr>
            <w:tcW w:w="1273" w:type="dxa"/>
            <w:vAlign w:val="center"/>
          </w:tcPr>
          <w:p w:rsidR="00695F29" w:rsidRDefault="00695F29" w:rsidP="00695F29">
            <w:pPr>
              <w:tabs>
                <w:tab w:val="left" w:pos="-1080"/>
                <w:tab w:val="left" w:pos="-720"/>
                <w:tab w:val="left" w:pos="0"/>
                <w:tab w:val="left" w:pos="450"/>
                <w:tab w:val="left" w:pos="720"/>
                <w:tab w:val="left" w:pos="2160"/>
              </w:tabs>
              <w:jc w:val="center"/>
            </w:pPr>
            <w:r>
              <w:rPr>
                <w:sz w:val="20"/>
              </w:rPr>
              <w:t>No. of Respondents</w:t>
            </w:r>
          </w:p>
        </w:tc>
        <w:tc>
          <w:tcPr>
            <w:tcW w:w="1240" w:type="dxa"/>
            <w:vAlign w:val="center"/>
          </w:tcPr>
          <w:p w:rsidR="00695F29" w:rsidRDefault="00695F29" w:rsidP="00695F29">
            <w:pPr>
              <w:tabs>
                <w:tab w:val="left" w:pos="-1080"/>
                <w:tab w:val="left" w:pos="-720"/>
                <w:tab w:val="left" w:pos="0"/>
                <w:tab w:val="left" w:pos="450"/>
                <w:tab w:val="left" w:pos="720"/>
                <w:tab w:val="left" w:pos="2160"/>
              </w:tabs>
              <w:jc w:val="center"/>
            </w:pPr>
            <w:r>
              <w:rPr>
                <w:sz w:val="20"/>
              </w:rPr>
              <w:t>Annual Frequency per Response</w:t>
            </w:r>
          </w:p>
        </w:tc>
        <w:tc>
          <w:tcPr>
            <w:tcW w:w="1282" w:type="dxa"/>
            <w:gridSpan w:val="2"/>
            <w:vAlign w:val="center"/>
          </w:tcPr>
          <w:p w:rsidR="00695F29" w:rsidRDefault="00695F29" w:rsidP="00695F29">
            <w:pPr>
              <w:tabs>
                <w:tab w:val="left" w:pos="-1080"/>
                <w:tab w:val="left" w:pos="-720"/>
                <w:tab w:val="left" w:pos="0"/>
                <w:tab w:val="left" w:pos="450"/>
                <w:tab w:val="left" w:pos="720"/>
                <w:tab w:val="left" w:pos="2160"/>
              </w:tabs>
              <w:jc w:val="center"/>
            </w:pPr>
            <w:r>
              <w:rPr>
                <w:sz w:val="20"/>
              </w:rPr>
              <w:t>Avg. Hours per Response</w:t>
            </w:r>
          </w:p>
        </w:tc>
        <w:tc>
          <w:tcPr>
            <w:tcW w:w="1092" w:type="dxa"/>
            <w:vAlign w:val="center"/>
          </w:tcPr>
          <w:p w:rsidR="00695F29" w:rsidRDefault="00695F29" w:rsidP="00695F29">
            <w:pPr>
              <w:tabs>
                <w:tab w:val="left" w:pos="-1080"/>
                <w:tab w:val="left" w:pos="-720"/>
                <w:tab w:val="left" w:pos="0"/>
                <w:tab w:val="left" w:pos="450"/>
                <w:tab w:val="left" w:pos="720"/>
                <w:tab w:val="left" w:pos="2160"/>
              </w:tabs>
              <w:jc w:val="center"/>
            </w:pPr>
            <w:r>
              <w:rPr>
                <w:sz w:val="20"/>
              </w:rPr>
              <w:t>Total Annual Hours</w:t>
            </w:r>
          </w:p>
        </w:tc>
        <w:tc>
          <w:tcPr>
            <w:tcW w:w="1627" w:type="dxa"/>
            <w:vAlign w:val="center"/>
          </w:tcPr>
          <w:p w:rsidR="00695F29" w:rsidRDefault="00695F29" w:rsidP="00695F29">
            <w:pPr>
              <w:tabs>
                <w:tab w:val="left" w:pos="-1080"/>
                <w:tab w:val="left" w:pos="-720"/>
                <w:tab w:val="left" w:pos="0"/>
                <w:tab w:val="left" w:pos="450"/>
                <w:tab w:val="left" w:pos="720"/>
                <w:tab w:val="left" w:pos="2160"/>
              </w:tabs>
              <w:jc w:val="center"/>
            </w:pPr>
            <w:r>
              <w:rPr>
                <w:sz w:val="20"/>
              </w:rPr>
              <w:t>3 Year Total Hours</w:t>
            </w:r>
          </w:p>
        </w:tc>
        <w:tc>
          <w:tcPr>
            <w:tcW w:w="1410" w:type="dxa"/>
          </w:tcPr>
          <w:p w:rsidR="00695F29" w:rsidRDefault="00695F29" w:rsidP="00695F29">
            <w:pPr>
              <w:tabs>
                <w:tab w:val="left" w:pos="-1080"/>
                <w:tab w:val="left" w:pos="-720"/>
                <w:tab w:val="left" w:pos="0"/>
                <w:tab w:val="left" w:pos="450"/>
                <w:tab w:val="left" w:pos="720"/>
                <w:tab w:val="left" w:pos="2160"/>
              </w:tabs>
              <w:jc w:val="center"/>
              <w:rPr>
                <w:sz w:val="20"/>
              </w:rPr>
            </w:pPr>
            <w:r>
              <w:rPr>
                <w:sz w:val="20"/>
              </w:rPr>
              <w:t>Cost to Government</w:t>
            </w:r>
          </w:p>
        </w:tc>
      </w:tr>
      <w:tr w:rsidR="00695F29" w:rsidTr="00695F29">
        <w:trPr>
          <w:trHeight w:val="268"/>
        </w:trPr>
        <w:tc>
          <w:tcPr>
            <w:tcW w:w="1652" w:type="dxa"/>
          </w:tcPr>
          <w:p w:rsidR="00695F29" w:rsidRDefault="00695F29" w:rsidP="00695F29">
            <w:pPr>
              <w:tabs>
                <w:tab w:val="left" w:pos="-1080"/>
                <w:tab w:val="left" w:pos="-720"/>
                <w:tab w:val="left" w:pos="0"/>
                <w:tab w:val="left" w:pos="450"/>
                <w:tab w:val="left" w:pos="720"/>
                <w:tab w:val="left" w:pos="2160"/>
              </w:tabs>
              <w:jc w:val="center"/>
            </w:pPr>
            <w:r>
              <w:t>Customer Satisfaction Surveys</w:t>
            </w:r>
          </w:p>
        </w:tc>
        <w:tc>
          <w:tcPr>
            <w:tcW w:w="1273" w:type="dxa"/>
          </w:tcPr>
          <w:p w:rsidR="00695F29" w:rsidRDefault="00217AAB" w:rsidP="00695F29">
            <w:pPr>
              <w:tabs>
                <w:tab w:val="left" w:pos="-1080"/>
                <w:tab w:val="left" w:pos="-720"/>
                <w:tab w:val="left" w:pos="0"/>
                <w:tab w:val="left" w:pos="450"/>
                <w:tab w:val="left" w:pos="720"/>
                <w:tab w:val="left" w:pos="2160"/>
              </w:tabs>
              <w:jc w:val="center"/>
            </w:pPr>
            <w:r>
              <w:t>1</w:t>
            </w:r>
            <w:r w:rsidR="00163029">
              <w:t>5</w:t>
            </w:r>
            <w:r>
              <w:t>0</w:t>
            </w:r>
            <w:r w:rsidR="00695F29">
              <w:t>,000</w:t>
            </w:r>
          </w:p>
        </w:tc>
        <w:tc>
          <w:tcPr>
            <w:tcW w:w="1240" w:type="dxa"/>
          </w:tcPr>
          <w:p w:rsidR="00695F29" w:rsidRDefault="00695F29" w:rsidP="00695F29">
            <w:pPr>
              <w:tabs>
                <w:tab w:val="left" w:pos="-1080"/>
                <w:tab w:val="left" w:pos="-720"/>
                <w:tab w:val="left" w:pos="0"/>
                <w:tab w:val="left" w:pos="450"/>
                <w:tab w:val="left" w:pos="720"/>
                <w:tab w:val="left" w:pos="2160"/>
              </w:tabs>
              <w:jc w:val="center"/>
            </w:pPr>
            <w:r>
              <w:t>1</w:t>
            </w:r>
          </w:p>
        </w:tc>
        <w:tc>
          <w:tcPr>
            <w:tcW w:w="1282" w:type="dxa"/>
            <w:gridSpan w:val="2"/>
          </w:tcPr>
          <w:p w:rsidR="00695F29" w:rsidRDefault="00695F29" w:rsidP="00695F29">
            <w:pPr>
              <w:tabs>
                <w:tab w:val="left" w:pos="-1080"/>
                <w:tab w:val="left" w:pos="-720"/>
                <w:tab w:val="left" w:pos="0"/>
                <w:tab w:val="left" w:pos="450"/>
                <w:tab w:val="left" w:pos="720"/>
                <w:tab w:val="left" w:pos="2160"/>
              </w:tabs>
              <w:jc w:val="center"/>
            </w:pPr>
            <w:r>
              <w:t>3.5 minutes</w:t>
            </w:r>
          </w:p>
        </w:tc>
        <w:tc>
          <w:tcPr>
            <w:tcW w:w="1092" w:type="dxa"/>
          </w:tcPr>
          <w:p w:rsidR="00695F29" w:rsidRDefault="00217AAB" w:rsidP="00695F29">
            <w:pPr>
              <w:tabs>
                <w:tab w:val="left" w:pos="-1080"/>
                <w:tab w:val="left" w:pos="-720"/>
                <w:tab w:val="left" w:pos="0"/>
                <w:tab w:val="left" w:pos="450"/>
                <w:tab w:val="left" w:pos="720"/>
                <w:tab w:val="left" w:pos="2160"/>
              </w:tabs>
              <w:jc w:val="center"/>
            </w:pPr>
            <w:r>
              <w:t>8,750</w:t>
            </w:r>
          </w:p>
        </w:tc>
        <w:tc>
          <w:tcPr>
            <w:tcW w:w="1627" w:type="dxa"/>
          </w:tcPr>
          <w:p w:rsidR="00695F29" w:rsidRDefault="00217AAB" w:rsidP="00695F29">
            <w:pPr>
              <w:tabs>
                <w:tab w:val="left" w:pos="-1080"/>
                <w:tab w:val="left" w:pos="-720"/>
                <w:tab w:val="left" w:pos="0"/>
                <w:tab w:val="left" w:pos="450"/>
                <w:tab w:val="left" w:pos="720"/>
                <w:tab w:val="left" w:pos="2160"/>
              </w:tabs>
              <w:jc w:val="center"/>
            </w:pPr>
            <w:r>
              <w:t>26,250</w:t>
            </w:r>
          </w:p>
        </w:tc>
        <w:tc>
          <w:tcPr>
            <w:tcW w:w="1410" w:type="dxa"/>
          </w:tcPr>
          <w:p w:rsidR="00695F29" w:rsidRDefault="00556755" w:rsidP="00695F29">
            <w:pPr>
              <w:tabs>
                <w:tab w:val="left" w:pos="-1080"/>
                <w:tab w:val="left" w:pos="-720"/>
                <w:tab w:val="left" w:pos="0"/>
                <w:tab w:val="left" w:pos="450"/>
                <w:tab w:val="left" w:pos="720"/>
                <w:tab w:val="left" w:pos="2160"/>
              </w:tabs>
              <w:jc w:val="center"/>
            </w:pPr>
            <w:r>
              <w:t>$500,000</w:t>
            </w:r>
          </w:p>
        </w:tc>
      </w:tr>
    </w:tbl>
    <w:p w:rsidR="007A181D" w:rsidRDefault="007A181D" w:rsidP="00695F29"/>
    <w:p w:rsidR="00982095" w:rsidRDefault="00982095">
      <w:pPr>
        <w:tabs>
          <w:tab w:val="left" w:pos="-1080"/>
          <w:tab w:val="left" w:pos="-720"/>
          <w:tab w:val="left" w:pos="0"/>
          <w:tab w:val="left" w:pos="450"/>
          <w:tab w:val="left" w:pos="720"/>
          <w:tab w:val="left" w:pos="2160"/>
        </w:tabs>
        <w:spacing w:after="0" w:line="240" w:lineRule="auto"/>
      </w:pPr>
    </w:p>
    <w:p w:rsidR="00982095" w:rsidRDefault="000C0A7E">
      <w:pPr>
        <w:pStyle w:val="ListParagraph"/>
        <w:numPr>
          <w:ilvl w:val="0"/>
          <w:numId w:val="2"/>
        </w:numPr>
        <w:spacing w:after="0" w:line="240" w:lineRule="auto"/>
        <w:ind w:left="0"/>
        <w:rPr>
          <w:b/>
        </w:rPr>
      </w:pPr>
      <w:r>
        <w:rPr>
          <w:b/>
        </w:rPr>
        <w:t>Costs to Respondents</w:t>
      </w:r>
      <w:bookmarkStart w:id="0" w:name="_GoBack"/>
      <w:bookmarkEnd w:id="0"/>
    </w:p>
    <w:p w:rsidR="00982095" w:rsidRDefault="00982095">
      <w:pPr>
        <w:pStyle w:val="ListParagraph"/>
        <w:spacing w:after="0" w:line="240" w:lineRule="auto"/>
        <w:ind w:left="0"/>
        <w:rPr>
          <w:b/>
        </w:rPr>
      </w:pPr>
    </w:p>
    <w:p w:rsidR="00982095" w:rsidRDefault="000C0A7E">
      <w:pPr>
        <w:spacing w:after="0" w:line="240" w:lineRule="auto"/>
      </w:pPr>
      <w:r>
        <w:t xml:space="preserve">No costs are anticipated.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Costs to Federal Government</w:t>
      </w:r>
    </w:p>
    <w:p w:rsidR="00982095" w:rsidRDefault="00982095">
      <w:pPr>
        <w:pStyle w:val="ListParagraph"/>
        <w:spacing w:after="0" w:line="240" w:lineRule="auto"/>
        <w:ind w:left="0"/>
        <w:rPr>
          <w:b/>
        </w:rPr>
      </w:pPr>
    </w:p>
    <w:p w:rsidR="00982095" w:rsidRDefault="000C0A7E" w:rsidP="00695F29">
      <w:pPr>
        <w:pStyle w:val="ListParagraph"/>
        <w:spacing w:after="0" w:line="240" w:lineRule="auto"/>
        <w:ind w:left="0"/>
      </w:pPr>
      <w:r>
        <w:t>The anticipated co</w:t>
      </w:r>
      <w:r w:rsidR="00B32165">
        <w:t>st to the Federal Government for this collection is estimated to be $</w:t>
      </w:r>
      <w:r w:rsidR="00556755">
        <w:t>500,000</w:t>
      </w:r>
      <w:r w:rsidR="00B32165">
        <w:t>. These</w:t>
      </w:r>
      <w:r w:rsidR="00B07FC2">
        <w:t xml:space="preserve"> administrative</w:t>
      </w:r>
      <w:r w:rsidR="00B32165">
        <w:t xml:space="preserve"> costs include one office staff member using approximately 1% of their time to review and process materials. Cost</w:t>
      </w:r>
      <w:r w:rsidR="00B07FC2">
        <w:t>s</w:t>
      </w:r>
      <w:r w:rsidR="00B32165">
        <w:t xml:space="preserve"> also include publishing,</w:t>
      </w:r>
      <w:r w:rsidR="0016421C">
        <w:t xml:space="preserve"> printing,</w:t>
      </w:r>
      <w:r w:rsidR="00B32165">
        <w:t xml:space="preserve"> web support, </w:t>
      </w:r>
      <w:r w:rsidR="00B07FC2">
        <w:t xml:space="preserve">and </w:t>
      </w:r>
      <w:r w:rsidR="00B32165">
        <w:t>management review</w:t>
      </w:r>
      <w:r w:rsidR="00B07FC2">
        <w:t>.</w:t>
      </w:r>
    </w:p>
    <w:p w:rsidR="00982095" w:rsidRDefault="000C0A7E">
      <w:pPr>
        <w:pStyle w:val="ListParagraph"/>
        <w:numPr>
          <w:ilvl w:val="0"/>
          <w:numId w:val="2"/>
        </w:numPr>
        <w:spacing w:after="0" w:line="240" w:lineRule="auto"/>
        <w:ind w:left="0"/>
        <w:rPr>
          <w:b/>
        </w:rPr>
      </w:pPr>
      <w:r>
        <w:rPr>
          <w:b/>
        </w:rPr>
        <w:lastRenderedPageBreak/>
        <w:t>Reason for Change</w:t>
      </w:r>
    </w:p>
    <w:p w:rsidR="00982095" w:rsidRDefault="00982095">
      <w:pPr>
        <w:pStyle w:val="ListParagraph"/>
        <w:spacing w:after="0" w:line="240" w:lineRule="auto"/>
        <w:ind w:left="0"/>
        <w:rPr>
          <w:b/>
        </w:rPr>
      </w:pPr>
    </w:p>
    <w:p w:rsidR="00982095" w:rsidRDefault="008A138D">
      <w:pPr>
        <w:spacing w:after="0" w:line="240" w:lineRule="auto"/>
      </w:pPr>
      <w:r>
        <w:t xml:space="preserve">Burden changes indicated are the result of adjustment of number of respondents </w:t>
      </w:r>
      <w:r w:rsidR="0016421C">
        <w:t xml:space="preserve">and surveys </w:t>
      </w:r>
      <w:r>
        <w:t>from the last submission</w:t>
      </w:r>
      <w:r w:rsidR="000C0A7E">
        <w:t>.</w:t>
      </w:r>
    </w:p>
    <w:p w:rsidR="00982095" w:rsidRDefault="00982095">
      <w:pPr>
        <w:spacing w:after="0" w:line="240" w:lineRule="auto"/>
        <w:rPr>
          <w:b/>
        </w:rPr>
      </w:pPr>
    </w:p>
    <w:p w:rsidR="00982095" w:rsidRDefault="00982095">
      <w:pPr>
        <w:spacing w:after="0" w:line="240" w:lineRule="auto"/>
        <w:rPr>
          <w:b/>
        </w:rPr>
      </w:pPr>
    </w:p>
    <w:p w:rsidR="00982095" w:rsidRDefault="000C0A7E">
      <w:pPr>
        <w:pStyle w:val="ListParagraph"/>
        <w:numPr>
          <w:ilvl w:val="0"/>
          <w:numId w:val="2"/>
        </w:numPr>
        <w:spacing w:after="0" w:line="240" w:lineRule="auto"/>
        <w:ind w:left="0"/>
        <w:rPr>
          <w:b/>
        </w:rPr>
      </w:pPr>
      <w:r>
        <w:rPr>
          <w:b/>
        </w:rPr>
        <w:t>Tabulation of Results, Schedule, Analysis Plans</w:t>
      </w:r>
    </w:p>
    <w:p w:rsidR="00982095" w:rsidRDefault="00982095">
      <w:pPr>
        <w:spacing w:after="0" w:line="240" w:lineRule="auto"/>
      </w:pPr>
    </w:p>
    <w:p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rsidR="00914716" w:rsidRDefault="00914716" w:rsidP="003E339C">
      <w:pPr>
        <w:spacing w:after="0" w:line="240" w:lineRule="auto"/>
      </w:pPr>
    </w:p>
    <w:p w:rsidR="00982095" w:rsidRDefault="00BA1806" w:rsidP="003E339C">
      <w:pPr>
        <w:spacing w:after="0" w:line="240" w:lineRule="auto"/>
      </w:pPr>
      <w:r>
        <w:t xml:space="preserve">Although the </w:t>
      </w:r>
      <w:r w:rsidR="008A138D">
        <w:t>Department</w:t>
      </w:r>
      <w:r w:rsidR="00654009">
        <w:t xml:space="preserve"> of State</w:t>
      </w:r>
      <w:r>
        <w:t xml:space="preserve"> does not intend to publish its findings</w:t>
      </w:r>
      <w:r w:rsidRPr="00BA1806">
        <w:t xml:space="preserve">, </w:t>
      </w:r>
      <w:r w:rsidR="008A138D">
        <w:t>we</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w:t>
      </w:r>
      <w:r w:rsidR="008A138D">
        <w:t>Department</w:t>
      </w:r>
      <w:r>
        <w:t xml:space="preserve"> </w:t>
      </w:r>
      <w:r w:rsidRPr="00BA1806">
        <w:t xml:space="preserve">will disseminate the findings when appropriate, strictly following </w:t>
      </w:r>
      <w:r>
        <w:t>the Agency</w:t>
      </w:r>
      <w:r w:rsidRPr="00BA1806">
        <w:t xml:space="preserve">'s "Guidelines for Ensuring the Quality of Information Disseminated to the Public", and will include specific discussion of the limitation of the </w:t>
      </w:r>
      <w:r>
        <w:t>qualitative</w:t>
      </w:r>
      <w:r w:rsidRPr="00BA1806">
        <w:t xml:space="preserve"> results discussed above. </w:t>
      </w:r>
    </w:p>
    <w:p w:rsidR="00BA1806" w:rsidRDefault="00BA1806">
      <w:pPr>
        <w:spacing w:after="0" w:line="240" w:lineRule="auto"/>
      </w:pPr>
    </w:p>
    <w:p w:rsidR="00BA1806" w:rsidRDefault="00BA1806">
      <w:pPr>
        <w:spacing w:after="0" w:line="240" w:lineRule="auto"/>
      </w:pPr>
    </w:p>
    <w:p w:rsidR="00982095" w:rsidRDefault="000C0A7E">
      <w:pPr>
        <w:pStyle w:val="ListParagraph"/>
        <w:numPr>
          <w:ilvl w:val="0"/>
          <w:numId w:val="2"/>
        </w:numPr>
        <w:spacing w:after="0" w:line="240" w:lineRule="auto"/>
        <w:ind w:left="0"/>
        <w:rPr>
          <w:b/>
        </w:rPr>
      </w:pPr>
      <w:r>
        <w:rPr>
          <w:b/>
        </w:rPr>
        <w:t>Display of OMB Approval Date</w:t>
      </w:r>
    </w:p>
    <w:p w:rsidR="00982095" w:rsidRDefault="00982095">
      <w:pPr>
        <w:pStyle w:val="ListParagraph"/>
        <w:spacing w:after="0" w:line="240" w:lineRule="auto"/>
        <w:ind w:left="0"/>
        <w:rPr>
          <w:b/>
        </w:rPr>
      </w:pPr>
    </w:p>
    <w:p w:rsidR="00982095" w:rsidRDefault="000C0A7E">
      <w:pPr>
        <w:spacing w:after="0" w:line="240" w:lineRule="auto"/>
      </w:pPr>
      <w:r>
        <w:t>We are requesting no exemption</w:t>
      </w:r>
      <w:r w:rsidR="008A138D">
        <w:t xml:space="preserve"> and will display the OMB expiration date on each collection instrument</w:t>
      </w:r>
      <w:r>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Exceptions to Certification for Paperwork Reduction Act Submissions</w:t>
      </w:r>
    </w:p>
    <w:p w:rsidR="00982095" w:rsidRDefault="00982095">
      <w:pPr>
        <w:pStyle w:val="ListParagraph"/>
        <w:spacing w:after="0" w:line="240" w:lineRule="auto"/>
        <w:ind w:left="0"/>
        <w:rPr>
          <w:b/>
        </w:rPr>
      </w:pPr>
    </w:p>
    <w:p w:rsidR="00982095" w:rsidRDefault="000C0A7E">
      <w:pPr>
        <w:spacing w:after="0" w:line="240" w:lineRule="auto"/>
      </w:pPr>
      <w:r>
        <w:t>These activities comply with the requirements in 5 CFR 1320.9</w:t>
      </w:r>
      <w:r w:rsidR="006067E1">
        <w:t xml:space="preserve"> and no exceptions are reque</w:t>
      </w:r>
      <w:r w:rsidR="008A4F14">
        <w:t>s</w:t>
      </w:r>
      <w:r w:rsidR="00996E5A">
        <w:t>t</w:t>
      </w:r>
      <w:r w:rsidR="006067E1">
        <w:t>ed</w:t>
      </w:r>
      <w:r>
        <w:t>.</w:t>
      </w:r>
    </w:p>
    <w:p w:rsidR="00982095" w:rsidRDefault="00982095">
      <w:pPr>
        <w:pStyle w:val="BodyTextIndent3"/>
        <w:tabs>
          <w:tab w:val="clear" w:pos="360"/>
        </w:tabs>
        <w:ind w:left="0"/>
        <w:rPr>
          <w:b/>
        </w:rPr>
      </w:pPr>
    </w:p>
    <w:p w:rsidR="00982095" w:rsidRDefault="00982095">
      <w:pPr>
        <w:pStyle w:val="BodyTextIndent3"/>
        <w:tabs>
          <w:tab w:val="clear" w:pos="360"/>
        </w:tabs>
        <w:ind w:left="0"/>
        <w:rPr>
          <w:b/>
        </w:rPr>
      </w:pPr>
    </w:p>
    <w:p w:rsidR="00982095" w:rsidRDefault="00982095">
      <w:pPr>
        <w:pStyle w:val="BodyTextIndent3"/>
        <w:tabs>
          <w:tab w:val="clear" w:pos="360"/>
        </w:tabs>
        <w:ind w:left="0"/>
        <w:rPr>
          <w:b/>
        </w:rPr>
      </w:pPr>
    </w:p>
    <w:p w:rsidR="001E44AB" w:rsidRDefault="001E44AB">
      <w:pPr>
        <w:rPr>
          <w:rFonts w:ascii="Tahoma" w:eastAsia="Times New Roman" w:hAnsi="Tahoma" w:cs="Times New Roman"/>
          <w:b/>
          <w:sz w:val="20"/>
          <w:szCs w:val="20"/>
        </w:rPr>
      </w:pPr>
      <w:r>
        <w:rPr>
          <w:b/>
        </w:rPr>
        <w:br w:type="page"/>
      </w:r>
    </w:p>
    <w:p w:rsidR="00982095" w:rsidRDefault="000C0A7E">
      <w:pPr>
        <w:pStyle w:val="BodyTextIndent3"/>
        <w:tabs>
          <w:tab w:val="clear" w:pos="360"/>
        </w:tabs>
        <w:ind w:left="0"/>
        <w:rPr>
          <w:b/>
        </w:rPr>
      </w:pPr>
      <w:r>
        <w:rPr>
          <w:b/>
        </w:rPr>
        <w:lastRenderedPageBreak/>
        <w:t>B.</w:t>
      </w:r>
      <w:r>
        <w:rPr>
          <w:b/>
        </w:rPr>
        <w:tab/>
        <w:t>STATISTICAL METHODS</w:t>
      </w:r>
    </w:p>
    <w:p w:rsidR="00982095" w:rsidRDefault="00982095">
      <w:pPr>
        <w:pStyle w:val="BodyTextIndent3"/>
        <w:ind w:left="0"/>
        <w:rPr>
          <w:b/>
        </w:rPr>
      </w:pPr>
    </w:p>
    <w:p w:rsidR="00982095" w:rsidRDefault="000C0A7E">
      <w:pPr>
        <w:spacing w:after="0" w:line="240" w:lineRule="auto"/>
        <w:rPr>
          <w:b/>
        </w:rPr>
      </w:pPr>
      <w:r>
        <w:t>Data collection methods and procedures will vary; however, the primary purpose of these collections will be for internal management purposes; there are no plans to publish or otherwise release this information.</w:t>
      </w:r>
      <w:r w:rsidR="00914716">
        <w:t xml:space="preserve"> </w:t>
      </w:r>
      <w:r w:rsidR="00571BDB">
        <w:t xml:space="preserve"> </w:t>
      </w:r>
    </w:p>
    <w:p w:rsidR="006C068A" w:rsidRDefault="006C068A">
      <w:pPr>
        <w:spacing w:after="0" w:line="240" w:lineRule="auto"/>
        <w:rPr>
          <w:b/>
        </w:rPr>
      </w:pPr>
    </w:p>
    <w:p w:rsidR="00982095" w:rsidRDefault="000C0A7E">
      <w:pPr>
        <w:pStyle w:val="ListParagraph"/>
        <w:numPr>
          <w:ilvl w:val="0"/>
          <w:numId w:val="12"/>
        </w:numPr>
        <w:spacing w:after="0" w:line="240" w:lineRule="auto"/>
        <w:rPr>
          <w:b/>
        </w:rPr>
      </w:pPr>
      <w:r>
        <w:rPr>
          <w:b/>
        </w:rPr>
        <w:t>Universe and Respondent Selection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982095" w:rsidRDefault="00982095">
      <w:pPr>
        <w:pStyle w:val="ListParagraph"/>
        <w:spacing w:after="0" w:line="240" w:lineRule="auto"/>
        <w:ind w:left="360"/>
      </w:pPr>
    </w:p>
    <w:p w:rsidR="00982095" w:rsidRDefault="000C0A7E">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982095" w:rsidRDefault="00982095">
      <w:pPr>
        <w:pStyle w:val="ListParagraph"/>
        <w:spacing w:after="0" w:line="240" w:lineRule="auto"/>
        <w:ind w:left="360"/>
      </w:pPr>
    </w:p>
    <w:p w:rsidR="00982095" w:rsidRDefault="002B0B32">
      <w:pPr>
        <w:pStyle w:val="ListParagraph"/>
        <w:spacing w:after="0" w:line="240" w:lineRule="auto"/>
        <w:ind w:left="360"/>
      </w:pPr>
      <w:r>
        <w:t xml:space="preserve">The </w:t>
      </w:r>
      <w:r w:rsidR="000C0A7E">
        <w:t xml:space="preserve">samples </w:t>
      </w:r>
      <w:r>
        <w:t xml:space="preserve">associated with this collection </w:t>
      </w:r>
      <w:r w:rsidR="000C0A7E">
        <w:t>are not subjected to the same scrutiny as scientifically drawn samples where estimates</w:t>
      </w:r>
      <w:r w:rsidR="006C068A">
        <w:t xml:space="preserve"> </w:t>
      </w:r>
      <w:r w:rsidR="000C0A7E">
        <w:t>are published or otherwise released</w:t>
      </w:r>
      <w:r w:rsidR="00BE0599">
        <w:t xml:space="preserve"> to the public</w:t>
      </w:r>
      <w:r w:rsidR="000C0A7E">
        <w:t xml:space="preserve">.  </w:t>
      </w:r>
      <w:r w:rsidR="000C0A7E">
        <w:tab/>
      </w:r>
    </w:p>
    <w:p w:rsidR="00982095" w:rsidRDefault="00982095">
      <w:pPr>
        <w:pStyle w:val="ListParagraph"/>
        <w:spacing w:after="0" w:line="240" w:lineRule="auto"/>
        <w:ind w:left="360"/>
      </w:pP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Procedures for Collecting Information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 xml:space="preserve">Data collection methods and procedures will vary and the specifics of these will be provided with each collection request. </w:t>
      </w:r>
      <w:r w:rsidR="005362FC">
        <w:t xml:space="preserve">The </w:t>
      </w:r>
      <w:r w:rsidR="006067E1">
        <w:t>Department</w:t>
      </w:r>
      <w:r w:rsidR="005362FC">
        <w:t xml:space="preserve"> </w:t>
      </w:r>
      <w:r w:rsidR="001628A1" w:rsidRPr="00BE0599">
        <w:t>expects to use a variety of methodologies for these collections</w:t>
      </w:r>
      <w:r w:rsidR="00BE0599">
        <w:t xml:space="preserve">. </w:t>
      </w:r>
      <w:r w:rsidR="00D64AAF" w:rsidRPr="00D64AAF">
        <w:t>For example,</w:t>
      </w:r>
      <w:r w:rsidR="004A1CF9">
        <w:t xml:space="preserve"> </w:t>
      </w:r>
      <w:r w:rsidR="00513A34">
        <w:t xml:space="preserve">the </w:t>
      </w:r>
      <w:r w:rsidR="006067E1">
        <w:t>Department</w:t>
      </w:r>
      <w:r w:rsidR="00513A34">
        <w:t xml:space="preserve"> </w:t>
      </w:r>
      <w:r>
        <w:t xml:space="preserve">or its contractors may use commercial survey-specific software to automate its collection and analysis of feedback.  In addition to physical copies, information collection instruments may be electronically disseminated and/or posted on target pages of </w:t>
      </w:r>
      <w:r w:rsidR="006067E1">
        <w:t xml:space="preserve">appropriate </w:t>
      </w:r>
      <w:r w:rsidR="004A1CF9">
        <w:t xml:space="preserve">web </w:t>
      </w:r>
      <w:r>
        <w:t>site</w:t>
      </w:r>
      <w:r w:rsidR="006067E1">
        <w:t>s</w:t>
      </w:r>
      <w:r>
        <w:t>.  Telephone scripts, personal interviews, and focus groups with professional guidance and moderation may also be used.</w:t>
      </w:r>
    </w:p>
    <w:p w:rsidR="00982095" w:rsidRDefault="00982095">
      <w:pPr>
        <w:pStyle w:val="ListParagraph"/>
        <w:spacing w:after="0" w:line="240" w:lineRule="auto"/>
        <w:ind w:left="360"/>
        <w:rPr>
          <w:b/>
        </w:rPr>
      </w:pP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Methods to Maximize Response</w:t>
      </w:r>
    </w:p>
    <w:p w:rsidR="00982095" w:rsidRDefault="00982095">
      <w:pPr>
        <w:pStyle w:val="ListParagraph"/>
        <w:spacing w:after="0" w:line="240" w:lineRule="auto"/>
        <w:ind w:left="360"/>
      </w:pPr>
    </w:p>
    <w:p w:rsidR="00982095" w:rsidRDefault="000C0A7E">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Testing of Procedures</w:t>
      </w:r>
    </w:p>
    <w:p w:rsidR="00982095" w:rsidRDefault="000C0A7E">
      <w:pPr>
        <w:pStyle w:val="ListParagraph"/>
        <w:spacing w:after="0" w:line="240" w:lineRule="auto"/>
        <w:ind w:left="360"/>
        <w:rPr>
          <w:b/>
        </w:rPr>
      </w:pPr>
      <w:r>
        <w:rPr>
          <w:b/>
        </w:rPr>
        <w:t xml:space="preserve"> </w:t>
      </w:r>
    </w:p>
    <w:p w:rsidR="00982095" w:rsidRDefault="000C0A7E">
      <w:pPr>
        <w:pStyle w:val="ListParagraph"/>
        <w:spacing w:after="0" w:line="240" w:lineRule="auto"/>
        <w:ind w:left="360"/>
        <w:rPr>
          <w:b/>
        </w:rPr>
      </w:pPr>
      <w:r>
        <w:t xml:space="preserve">Pretesting may be done with internal staff, a limited number of external colleagues, and/or customers who are familiar with the programs and products.  If the number of pretest respondents exceeds nine members of the public, </w:t>
      </w:r>
      <w:r w:rsidR="005362FC">
        <w:t xml:space="preserve">the </w:t>
      </w:r>
      <w:r w:rsidR="006067E1">
        <w:t>Department</w:t>
      </w:r>
      <w:r w:rsidR="005362FC">
        <w:t xml:space="preserve"> </w:t>
      </w:r>
      <w:r>
        <w:t>will submit the pretest instruments for review under this generic clearance.</w:t>
      </w:r>
    </w:p>
    <w:p w:rsidR="00982095" w:rsidRDefault="00982095">
      <w:pPr>
        <w:pStyle w:val="ListParagraph"/>
        <w:spacing w:after="0" w:line="240" w:lineRule="auto"/>
        <w:ind w:left="360"/>
        <w:rPr>
          <w:b/>
        </w:rPr>
      </w:pP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Contacts for Statistical Aspects and Data Collection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Each program will obtain information from statisticians in the development, design, conduct, and analysis of customer/partner service surveys</w:t>
      </w:r>
      <w:r w:rsidR="00172EEC">
        <w:t>, when appropriate</w:t>
      </w:r>
      <w:r>
        <w:t>.  This statistical expertise will be available from agency statisticians or from contractors and</w:t>
      </w:r>
      <w:r w:rsidR="005362FC">
        <w:t xml:space="preserve"> the </w:t>
      </w:r>
      <w:r w:rsidR="006067E1">
        <w:t>Department</w:t>
      </w:r>
      <w:r w:rsidR="005362FC">
        <w:t xml:space="preserve"> </w:t>
      </w:r>
      <w:r>
        <w:t xml:space="preserve">will include the names and contact information of persons consulted in the specific information collection requests submitted under this generic clearance.  </w:t>
      </w:r>
    </w:p>
    <w:p w:rsidR="00982095" w:rsidRDefault="00982095">
      <w:pPr>
        <w:spacing w:after="0" w:line="240" w:lineRule="auto"/>
        <w:ind w:left="360"/>
      </w:pPr>
    </w:p>
    <w:sectPr w:rsidR="00982095" w:rsidSect="0098209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165" w:rsidRDefault="00B32165">
      <w:pPr>
        <w:spacing w:after="0" w:line="240" w:lineRule="auto"/>
      </w:pPr>
      <w:r>
        <w:separator/>
      </w:r>
    </w:p>
  </w:endnote>
  <w:endnote w:type="continuationSeparator" w:id="0">
    <w:p w:rsidR="00B32165" w:rsidRDefault="00B32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A47" w:rsidRDefault="00607A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A47" w:rsidRDefault="00607A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A47" w:rsidRDefault="00607A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165" w:rsidRDefault="00B32165">
      <w:pPr>
        <w:spacing w:after="0" w:line="240" w:lineRule="auto"/>
      </w:pPr>
      <w:r>
        <w:separator/>
      </w:r>
    </w:p>
  </w:footnote>
  <w:footnote w:type="continuationSeparator" w:id="0">
    <w:p w:rsidR="00B32165" w:rsidRDefault="00B32165">
      <w:pPr>
        <w:spacing w:after="0" w:line="240" w:lineRule="auto"/>
      </w:pPr>
      <w:r>
        <w:continuationSeparator/>
      </w:r>
    </w:p>
  </w:footnote>
  <w:footnote w:id="1">
    <w:p w:rsidR="00B32165" w:rsidRDefault="00B32165"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A47" w:rsidRDefault="00607A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A47" w:rsidRDefault="00607A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A47" w:rsidRDefault="00607A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2532C"/>
    <w:rsid w:val="000423C9"/>
    <w:rsid w:val="00043B2E"/>
    <w:rsid w:val="00066515"/>
    <w:rsid w:val="000A410F"/>
    <w:rsid w:val="000B4026"/>
    <w:rsid w:val="000C0A7E"/>
    <w:rsid w:val="000C54E0"/>
    <w:rsid w:val="000F0823"/>
    <w:rsid w:val="00120A60"/>
    <w:rsid w:val="00153E20"/>
    <w:rsid w:val="001628A1"/>
    <w:rsid w:val="00163029"/>
    <w:rsid w:val="0016421C"/>
    <w:rsid w:val="00172EEC"/>
    <w:rsid w:val="001A1E1C"/>
    <w:rsid w:val="001B43EE"/>
    <w:rsid w:val="001B5644"/>
    <w:rsid w:val="001E19B4"/>
    <w:rsid w:val="001E44AB"/>
    <w:rsid w:val="001E7A97"/>
    <w:rsid w:val="001F7BC9"/>
    <w:rsid w:val="00217AAB"/>
    <w:rsid w:val="00256D0E"/>
    <w:rsid w:val="0029408A"/>
    <w:rsid w:val="00296662"/>
    <w:rsid w:val="002A35E6"/>
    <w:rsid w:val="002B0B32"/>
    <w:rsid w:val="002B64C2"/>
    <w:rsid w:val="00324AF8"/>
    <w:rsid w:val="00336169"/>
    <w:rsid w:val="00352014"/>
    <w:rsid w:val="00377B51"/>
    <w:rsid w:val="0038047F"/>
    <w:rsid w:val="003A2F20"/>
    <w:rsid w:val="003A7A16"/>
    <w:rsid w:val="003E339C"/>
    <w:rsid w:val="003F5F2D"/>
    <w:rsid w:val="00404071"/>
    <w:rsid w:val="0044553C"/>
    <w:rsid w:val="00460EB1"/>
    <w:rsid w:val="00472EF6"/>
    <w:rsid w:val="00474C83"/>
    <w:rsid w:val="004970C8"/>
    <w:rsid w:val="004A1CF9"/>
    <w:rsid w:val="004E35D4"/>
    <w:rsid w:val="005021FA"/>
    <w:rsid w:val="005138A1"/>
    <w:rsid w:val="00513A34"/>
    <w:rsid w:val="005362FC"/>
    <w:rsid w:val="00556755"/>
    <w:rsid w:val="00560D1B"/>
    <w:rsid w:val="00562B18"/>
    <w:rsid w:val="00571BDB"/>
    <w:rsid w:val="00572831"/>
    <w:rsid w:val="005A10E3"/>
    <w:rsid w:val="005C6D2E"/>
    <w:rsid w:val="005D3014"/>
    <w:rsid w:val="005E5A3B"/>
    <w:rsid w:val="006067E1"/>
    <w:rsid w:val="00607287"/>
    <w:rsid w:val="00607A47"/>
    <w:rsid w:val="006516CD"/>
    <w:rsid w:val="00654009"/>
    <w:rsid w:val="006548C0"/>
    <w:rsid w:val="006656C5"/>
    <w:rsid w:val="0067270D"/>
    <w:rsid w:val="00695F29"/>
    <w:rsid w:val="006B2FF7"/>
    <w:rsid w:val="006C068A"/>
    <w:rsid w:val="006D7AAE"/>
    <w:rsid w:val="00700CEC"/>
    <w:rsid w:val="00701CF7"/>
    <w:rsid w:val="00724CBF"/>
    <w:rsid w:val="00731D48"/>
    <w:rsid w:val="0074733F"/>
    <w:rsid w:val="00783842"/>
    <w:rsid w:val="007903D0"/>
    <w:rsid w:val="007A181D"/>
    <w:rsid w:val="007A268D"/>
    <w:rsid w:val="007E102D"/>
    <w:rsid w:val="007E143A"/>
    <w:rsid w:val="00830A4F"/>
    <w:rsid w:val="00894356"/>
    <w:rsid w:val="008A138D"/>
    <w:rsid w:val="008A4F14"/>
    <w:rsid w:val="008A6FC5"/>
    <w:rsid w:val="008F21DF"/>
    <w:rsid w:val="00914716"/>
    <w:rsid w:val="00915BDA"/>
    <w:rsid w:val="00950CD1"/>
    <w:rsid w:val="00975448"/>
    <w:rsid w:val="00981A90"/>
    <w:rsid w:val="00982095"/>
    <w:rsid w:val="00996E5A"/>
    <w:rsid w:val="009E75C8"/>
    <w:rsid w:val="00A12AC9"/>
    <w:rsid w:val="00A4793F"/>
    <w:rsid w:val="00A52F7E"/>
    <w:rsid w:val="00A666FD"/>
    <w:rsid w:val="00A75496"/>
    <w:rsid w:val="00A86805"/>
    <w:rsid w:val="00A90E5D"/>
    <w:rsid w:val="00A96367"/>
    <w:rsid w:val="00AA3F96"/>
    <w:rsid w:val="00AC207F"/>
    <w:rsid w:val="00AC2497"/>
    <w:rsid w:val="00AF55E9"/>
    <w:rsid w:val="00B07FC2"/>
    <w:rsid w:val="00B155CD"/>
    <w:rsid w:val="00B32165"/>
    <w:rsid w:val="00B356A7"/>
    <w:rsid w:val="00BA1806"/>
    <w:rsid w:val="00BA62A1"/>
    <w:rsid w:val="00BC63CD"/>
    <w:rsid w:val="00BD13BB"/>
    <w:rsid w:val="00BE0599"/>
    <w:rsid w:val="00BF2E89"/>
    <w:rsid w:val="00BF7558"/>
    <w:rsid w:val="00C003DD"/>
    <w:rsid w:val="00C200D1"/>
    <w:rsid w:val="00C61970"/>
    <w:rsid w:val="00C62FA2"/>
    <w:rsid w:val="00C66A5E"/>
    <w:rsid w:val="00CC2FDD"/>
    <w:rsid w:val="00CE76A7"/>
    <w:rsid w:val="00D30F06"/>
    <w:rsid w:val="00D64405"/>
    <w:rsid w:val="00D64AAF"/>
    <w:rsid w:val="00D764A3"/>
    <w:rsid w:val="00D93FE0"/>
    <w:rsid w:val="00DA3AFF"/>
    <w:rsid w:val="00DC0BDE"/>
    <w:rsid w:val="00DE07E7"/>
    <w:rsid w:val="00EA23A5"/>
    <w:rsid w:val="00EB2D61"/>
    <w:rsid w:val="00F15BAA"/>
    <w:rsid w:val="00F26B2B"/>
    <w:rsid w:val="00F31E34"/>
    <w:rsid w:val="00FA1D10"/>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 w:type="table" w:styleId="TableGrid">
    <w:name w:val="Table Grid"/>
    <w:basedOn w:val="TableNormal"/>
    <w:uiPriority w:val="59"/>
    <w:rsid w:val="007A18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 w:type="table" w:styleId="TableGrid">
    <w:name w:val="Table Grid"/>
    <w:basedOn w:val="TableNormal"/>
    <w:uiPriority w:val="59"/>
    <w:rsid w:val="007A18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B1F60-2160-457F-876E-C65B51DD0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2059</Words>
  <Characters>11741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RAC</cp:lastModifiedBy>
  <cp:revision>5</cp:revision>
  <cp:lastPrinted>2011-03-16T17:06:00Z</cp:lastPrinted>
  <dcterms:created xsi:type="dcterms:W3CDTF">2014-05-12T15:26:00Z</dcterms:created>
  <dcterms:modified xsi:type="dcterms:W3CDTF">2014-05-20T15:25:00Z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-1566804205</vt:i4>
  </property>
  <property fmtid="{D5CDD505-2E9C-101B-9397-08002B2CF9AE}" pid="4" name="_EmailSubject">
    <vt:lpwstr>OMB Fast-Track PRA Process for Qualitative Feedback on Service Delivery</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-461712479</vt:i4>
  </property>
  <property fmtid="{D5CDD505-2E9C-101B-9397-08002B2CF9AE}" pid="8" name="_ReviewingToolsShownOnce">
    <vt:lpwstr/>
  </property>
</Properties>
</file>