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521" w:rsidRPr="002D2521" w:rsidRDefault="002D2521" w:rsidP="002D2521">
      <w:pPr>
        <w:tabs>
          <w:tab w:val="left" w:pos="446"/>
        </w:tabs>
        <w:jc w:val="center"/>
        <w:rPr>
          <w:sz w:val="26"/>
        </w:rPr>
      </w:pPr>
      <w:bookmarkStart w:id="0" w:name="_GoBack"/>
      <w:bookmarkEnd w:id="0"/>
      <w:r w:rsidRPr="002D2521">
        <w:rPr>
          <w:sz w:val="26"/>
        </w:rPr>
        <w:t>SUPPORTING STATEMENT</w:t>
      </w:r>
    </w:p>
    <w:p w:rsidR="002D2521" w:rsidRPr="002D2521" w:rsidRDefault="002D2521" w:rsidP="002D2521">
      <w:pPr>
        <w:tabs>
          <w:tab w:val="left" w:pos="446"/>
        </w:tabs>
        <w:jc w:val="center"/>
        <w:rPr>
          <w:sz w:val="26"/>
        </w:rPr>
      </w:pPr>
    </w:p>
    <w:p w:rsidR="002D2521" w:rsidRPr="002D2521" w:rsidRDefault="002D2521" w:rsidP="002D2521">
      <w:pPr>
        <w:tabs>
          <w:tab w:val="left" w:pos="446"/>
        </w:tabs>
        <w:jc w:val="center"/>
        <w:rPr>
          <w:sz w:val="26"/>
        </w:rPr>
      </w:pPr>
      <w:r w:rsidRPr="002D2521">
        <w:rPr>
          <w:sz w:val="26"/>
        </w:rPr>
        <w:t>Request for approval of U.S. Treasury International Capital (TIC)</w:t>
      </w:r>
    </w:p>
    <w:p w:rsidR="002D2521" w:rsidRPr="002D2521" w:rsidRDefault="002D2521" w:rsidP="002D2521">
      <w:pPr>
        <w:tabs>
          <w:tab w:val="left" w:pos="446"/>
        </w:tabs>
        <w:jc w:val="center"/>
        <w:rPr>
          <w:sz w:val="26"/>
        </w:rPr>
      </w:pPr>
      <w:r w:rsidRPr="002D2521">
        <w:rPr>
          <w:sz w:val="26"/>
        </w:rPr>
        <w:t>Annual Survey</w:t>
      </w:r>
      <w:r w:rsidR="00BB075E">
        <w:rPr>
          <w:sz w:val="26"/>
        </w:rPr>
        <w:t xml:space="preserve"> </w:t>
      </w:r>
      <w:r w:rsidRPr="002D2521">
        <w:rPr>
          <w:sz w:val="26"/>
        </w:rPr>
        <w:t xml:space="preserve">of U.S. Ownership of Foreign Securities as of the last  </w:t>
      </w:r>
    </w:p>
    <w:p w:rsidR="00C906E3" w:rsidRPr="002D2521" w:rsidRDefault="002D2521" w:rsidP="002D2521">
      <w:pPr>
        <w:tabs>
          <w:tab w:val="left" w:pos="446"/>
        </w:tabs>
        <w:jc w:val="center"/>
        <w:rPr>
          <w:sz w:val="26"/>
        </w:rPr>
      </w:pPr>
      <w:r w:rsidRPr="002D2521">
        <w:rPr>
          <w:sz w:val="26"/>
        </w:rPr>
        <w:t>business day of each December (OMB Control No. 1505-0146)</w:t>
      </w:r>
    </w:p>
    <w:p w:rsidR="00C906E3" w:rsidRDefault="00C906E3">
      <w:pPr>
        <w:tabs>
          <w:tab w:val="left" w:pos="446"/>
        </w:tabs>
        <w:rPr>
          <w:sz w:val="24"/>
        </w:rPr>
      </w:pPr>
    </w:p>
    <w:p w:rsidR="002D2521" w:rsidRDefault="002D2521">
      <w:pPr>
        <w:rPr>
          <w:b/>
          <w:spacing w:val="2"/>
          <w:sz w:val="24"/>
        </w:rPr>
      </w:pPr>
    </w:p>
    <w:p w:rsidR="002D2521" w:rsidRDefault="002D2521">
      <w:pPr>
        <w:rPr>
          <w:b/>
          <w:spacing w:val="2"/>
          <w:sz w:val="24"/>
        </w:rPr>
      </w:pPr>
    </w:p>
    <w:p w:rsidR="00C906E3" w:rsidRDefault="002D2521">
      <w:pPr>
        <w:rPr>
          <w:b/>
          <w:spacing w:val="2"/>
          <w:sz w:val="24"/>
        </w:rPr>
      </w:pPr>
      <w:r>
        <w:rPr>
          <w:b/>
          <w:spacing w:val="2"/>
          <w:sz w:val="24"/>
        </w:rPr>
        <w:t>B.    COLLECTIONS OF INFORMATION EMPLOYING STATISTICAL METHODS</w:t>
      </w:r>
    </w:p>
    <w:p w:rsidR="00C906E3" w:rsidRDefault="00C906E3">
      <w:pPr>
        <w:rPr>
          <w:b/>
          <w:spacing w:val="2"/>
          <w:sz w:val="24"/>
        </w:rPr>
      </w:pPr>
    </w:p>
    <w:p w:rsidR="00C906E3" w:rsidRPr="002D2521" w:rsidRDefault="00C906E3">
      <w:pPr>
        <w:rPr>
          <w:spacing w:val="2"/>
          <w:sz w:val="24"/>
        </w:rPr>
      </w:pPr>
      <w:r w:rsidRPr="002D2521">
        <w:rPr>
          <w:spacing w:val="2"/>
          <w:sz w:val="24"/>
        </w:rPr>
        <w:t xml:space="preserve">1. </w:t>
      </w:r>
      <w:r w:rsidR="002D2521">
        <w:rPr>
          <w:spacing w:val="2"/>
          <w:sz w:val="24"/>
        </w:rPr>
        <w:t xml:space="preserve">   </w:t>
      </w:r>
      <w:r w:rsidRPr="002D2521">
        <w:rPr>
          <w:spacing w:val="2"/>
          <w:sz w:val="24"/>
          <w:u w:val="single"/>
        </w:rPr>
        <w:t>Describe (including a numerical estimate) the potential reporting universe and any sampling or other respondent selection methods to be used.</w:t>
      </w:r>
    </w:p>
    <w:p w:rsidR="00C906E3" w:rsidRDefault="00C906E3">
      <w:pPr>
        <w:rPr>
          <w:spacing w:val="2"/>
          <w:sz w:val="24"/>
        </w:rPr>
      </w:pPr>
    </w:p>
    <w:p w:rsidR="00C906E3" w:rsidRDefault="00C906E3">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This survey measures </w:t>
      </w:r>
      <w:smartTag w:uri="urn:schemas-microsoft-com:office:smarttags" w:element="place">
        <w:smartTag w:uri="urn:schemas-microsoft-com:office:smarttags" w:element="country-region">
          <w:r>
            <w:rPr>
              <w:sz w:val="24"/>
            </w:rPr>
            <w:t>U.S.</w:t>
          </w:r>
        </w:smartTag>
      </w:smartTag>
      <w:r>
        <w:rPr>
          <w:sz w:val="24"/>
        </w:rPr>
        <w:t xml:space="preserve"> ownership of foreign securities for portfolio investment purposes.  In the years when a benchmark survey is conducted (form SHC), these data are provided by three different classes of reporters.</w:t>
      </w:r>
    </w:p>
    <w:p w:rsidR="00C906E3" w:rsidRDefault="00C906E3">
      <w:pPr>
        <w:numPr>
          <w:ilvl w:val="0"/>
          <w:numId w:val="2"/>
        </w:num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U.S.-resident custodians who provide safekeeping services for their own firm as well as for others.  These organizations will provide the vast majority of the data collected on the survey, using Schedule 2.</w:t>
      </w:r>
    </w:p>
    <w:p w:rsidR="00C56700" w:rsidRDefault="00C906E3">
      <w:pPr>
        <w:numPr>
          <w:ilvl w:val="0"/>
          <w:numId w:val="2"/>
        </w:num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U.S.-resident end-investors who either keep foreign securities in custody at their own site or who arrange for safekeeping abroad.  In either case, no U.S.-resident custodian is employed to safekeep these foreign securities.  These organizations will provide their data using Schedule 2.</w:t>
      </w:r>
    </w:p>
    <w:p w:rsidR="00C906E3" w:rsidRDefault="00C906E3">
      <w:pPr>
        <w:numPr>
          <w:ilvl w:val="0"/>
          <w:numId w:val="2"/>
        </w:num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U.S.-resident custodians and end-investors who arrange for safekeeping of foreign securities at U.S.-resident custodians.  These organizations will provide their data using Schedule 3.</w:t>
      </w:r>
    </w:p>
    <w:p w:rsidR="00C906E3" w:rsidRDefault="00C906E3">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C906E3" w:rsidRDefault="00C906E3">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In the intervening years</w:t>
      </w:r>
      <w:r w:rsidR="00C56700">
        <w:rPr>
          <w:sz w:val="24"/>
        </w:rPr>
        <w:t xml:space="preserve"> when annual surveys are conducted</w:t>
      </w:r>
      <w:r>
        <w:rPr>
          <w:sz w:val="24"/>
        </w:rPr>
        <w:t xml:space="preserve"> (</w:t>
      </w:r>
      <w:r w:rsidR="009D3864">
        <w:rPr>
          <w:sz w:val="24"/>
        </w:rPr>
        <w:t>f</w:t>
      </w:r>
      <w:r>
        <w:rPr>
          <w:sz w:val="24"/>
        </w:rPr>
        <w:t xml:space="preserve">orm SHCA), these data are provided by the same three classes of respondents.  </w:t>
      </w:r>
    </w:p>
    <w:p w:rsidR="00C906E3" w:rsidRDefault="00C906E3">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C906E3" w:rsidRDefault="00C906E3">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The potential reporting universe would consist of every </w:t>
      </w:r>
      <w:smartTag w:uri="urn:schemas-microsoft-com:office:smarttags" w:element="place">
        <w:smartTag w:uri="urn:schemas-microsoft-com:office:smarttags" w:element="country-region">
          <w:r>
            <w:rPr>
              <w:sz w:val="24"/>
            </w:rPr>
            <w:t>U.S.</w:t>
          </w:r>
        </w:smartTag>
      </w:smartTag>
      <w:r>
        <w:rPr>
          <w:sz w:val="24"/>
        </w:rPr>
        <w:t xml:space="preserve"> resident individual and institution, since any individual or institution can purchase foreign securities.  As a practical matter, such holdings tend to be highly concentrated, with most holdings entrusted to large </w:t>
      </w:r>
      <w:smartTag w:uri="urn:schemas-microsoft-com:office:smarttags" w:element="place">
        <w:smartTag w:uri="urn:schemas-microsoft-com:office:smarttags" w:element="country-region">
          <w:r>
            <w:rPr>
              <w:sz w:val="24"/>
            </w:rPr>
            <w:t>U.S.</w:t>
          </w:r>
        </w:smartTag>
      </w:smartTag>
      <w:r>
        <w:rPr>
          <w:sz w:val="24"/>
        </w:rPr>
        <w:t xml:space="preserve"> custodians who report on Schedule 2.  U.S.-resident end-investors entrusting their holdings of foreign securities directly to foreign custodians tend to be large insurance companies, pension funds, and mutual funds.  The full benchmark surveys collect data from approximately </w:t>
      </w:r>
      <w:r w:rsidR="00211C45">
        <w:rPr>
          <w:sz w:val="24"/>
        </w:rPr>
        <w:t>8</w:t>
      </w:r>
      <w:r w:rsidR="00BB075E">
        <w:rPr>
          <w:sz w:val="24"/>
        </w:rPr>
        <w:t>00</w:t>
      </w:r>
      <w:r w:rsidR="00744A13">
        <w:rPr>
          <w:sz w:val="24"/>
        </w:rPr>
        <w:t xml:space="preserve"> </w:t>
      </w:r>
      <w:r>
        <w:rPr>
          <w:sz w:val="24"/>
        </w:rPr>
        <w:t>custodians and end-investors, which we believe includes all institutions believed likely to be significant sources of information on U.S. ownership of foreign securities.  These firms will be identified based on past survey filings, industry surveys, the financial press, other TIC system reports, regulatory reports, information from the SEC, and data from commercial vendors.</w:t>
      </w:r>
      <w:r w:rsidR="00F07D6A">
        <w:rPr>
          <w:sz w:val="24"/>
        </w:rPr>
        <w:t xml:space="preserve"> The </w:t>
      </w:r>
      <w:r w:rsidR="004B0B6E">
        <w:rPr>
          <w:sz w:val="24"/>
        </w:rPr>
        <w:t xml:space="preserve">last benchmark </w:t>
      </w:r>
      <w:r w:rsidR="00F07D6A">
        <w:rPr>
          <w:sz w:val="24"/>
        </w:rPr>
        <w:t xml:space="preserve">survey </w:t>
      </w:r>
      <w:r w:rsidR="004B0B6E">
        <w:rPr>
          <w:sz w:val="24"/>
        </w:rPr>
        <w:t xml:space="preserve">was conducted </w:t>
      </w:r>
      <w:r w:rsidR="00F07D6A">
        <w:rPr>
          <w:sz w:val="24"/>
        </w:rPr>
        <w:t>as of December 31, 2011.</w:t>
      </w:r>
    </w:p>
    <w:p w:rsidR="00A521DC" w:rsidRDefault="00A521DC" w:rsidP="00A521DC">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A521DC" w:rsidRPr="001C0A73" w:rsidRDefault="00A521DC" w:rsidP="00A521DC">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C0A73">
        <w:rPr>
          <w:sz w:val="24"/>
          <w:szCs w:val="24"/>
        </w:rPr>
        <w:t>The response rate will be 100 percent, as responses are required by law.  The response rate on the previous survey was 100 percent.</w:t>
      </w:r>
    </w:p>
    <w:p w:rsidR="00C906E3" w:rsidRDefault="00C906E3">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C906E3" w:rsidRDefault="00066E24" w:rsidP="00744804">
      <w:pPr>
        <w:widowControl/>
        <w:autoSpaceDE w:val="0"/>
        <w:autoSpaceDN w:val="0"/>
        <w:adjustRightInd w:val="0"/>
        <w:rPr>
          <w:sz w:val="24"/>
        </w:rPr>
      </w:pPr>
      <w:r>
        <w:rPr>
          <w:sz w:val="24"/>
        </w:rPr>
        <w:t>Regarding the annual survey (SHCA), t</w:t>
      </w:r>
      <w:r w:rsidR="001974CD">
        <w:rPr>
          <w:rFonts w:ascii="TimesNewRomanPSMT" w:hAnsi="TimesNewRomanPSMT" w:cs="TimesNewRomanPSMT"/>
          <w:sz w:val="24"/>
          <w:szCs w:val="24"/>
        </w:rPr>
        <w:t>he December 20</w:t>
      </w:r>
      <w:r w:rsidR="00F07D6A">
        <w:rPr>
          <w:rFonts w:ascii="TimesNewRomanPSMT" w:hAnsi="TimesNewRomanPSMT" w:cs="TimesNewRomanPSMT"/>
          <w:sz w:val="24"/>
          <w:szCs w:val="24"/>
        </w:rPr>
        <w:t>1</w:t>
      </w:r>
      <w:r w:rsidR="00BB075E">
        <w:rPr>
          <w:rFonts w:ascii="TimesNewRomanPSMT" w:hAnsi="TimesNewRomanPSMT" w:cs="TimesNewRomanPSMT"/>
          <w:sz w:val="24"/>
          <w:szCs w:val="24"/>
        </w:rPr>
        <w:t>5</w:t>
      </w:r>
      <w:r w:rsidR="001974CD">
        <w:rPr>
          <w:rFonts w:ascii="TimesNewRomanPSMT" w:hAnsi="TimesNewRomanPSMT" w:cs="TimesNewRomanPSMT"/>
          <w:sz w:val="24"/>
          <w:szCs w:val="24"/>
        </w:rPr>
        <w:t xml:space="preserve"> survey collected data from the largest U.S.-resident custodians and end</w:t>
      </w:r>
      <w:r w:rsidR="003A20A5">
        <w:rPr>
          <w:rFonts w:ascii="TimesNewRomanPSMT" w:hAnsi="TimesNewRomanPSMT" w:cs="TimesNewRomanPSMT"/>
          <w:sz w:val="24"/>
          <w:szCs w:val="24"/>
        </w:rPr>
        <w:t>-</w:t>
      </w:r>
      <w:r w:rsidR="001974CD">
        <w:rPr>
          <w:rFonts w:ascii="TimesNewRomanPSMT" w:hAnsi="TimesNewRomanPSMT" w:cs="TimesNewRomanPSMT"/>
          <w:sz w:val="24"/>
          <w:szCs w:val="24"/>
        </w:rPr>
        <w:t>investors, based on the data reported in the 20</w:t>
      </w:r>
      <w:r w:rsidR="00441B48">
        <w:rPr>
          <w:rFonts w:ascii="TimesNewRomanPSMT" w:hAnsi="TimesNewRomanPSMT" w:cs="TimesNewRomanPSMT"/>
          <w:sz w:val="24"/>
          <w:szCs w:val="24"/>
        </w:rPr>
        <w:t>11</w:t>
      </w:r>
      <w:r w:rsidR="001974CD">
        <w:rPr>
          <w:rFonts w:ascii="TimesNewRomanPSMT" w:hAnsi="TimesNewRomanPSMT" w:cs="TimesNewRomanPSMT"/>
          <w:sz w:val="24"/>
          <w:szCs w:val="24"/>
        </w:rPr>
        <w:t xml:space="preserve"> </w:t>
      </w:r>
      <w:r w:rsidR="009D3864">
        <w:rPr>
          <w:rFonts w:ascii="TimesNewRomanPSMT" w:hAnsi="TimesNewRomanPSMT" w:cs="TimesNewRomanPSMT"/>
          <w:sz w:val="24"/>
          <w:szCs w:val="24"/>
        </w:rPr>
        <w:t xml:space="preserve">SHC </w:t>
      </w:r>
      <w:r w:rsidR="001974CD">
        <w:rPr>
          <w:rFonts w:ascii="TimesNewRomanPSMT" w:hAnsi="TimesNewRomanPSMT" w:cs="TimesNewRomanPSMT"/>
          <w:sz w:val="24"/>
          <w:szCs w:val="24"/>
        </w:rPr>
        <w:lastRenderedPageBreak/>
        <w:t>Benchmark survey</w:t>
      </w:r>
      <w:r w:rsidR="00441B48">
        <w:rPr>
          <w:rFonts w:ascii="TimesNewRomanPSMT" w:hAnsi="TimesNewRomanPSMT" w:cs="TimesNewRomanPSMT"/>
          <w:sz w:val="24"/>
          <w:szCs w:val="24"/>
        </w:rPr>
        <w:t xml:space="preserve"> and in the </w:t>
      </w:r>
      <w:r w:rsidR="00DB403A" w:rsidRPr="00DB403A">
        <w:rPr>
          <w:rFonts w:ascii="TimesNewRomanPSMT" w:hAnsi="TimesNewRomanPSMT" w:cs="TimesNewRomanPSMT"/>
          <w:sz w:val="24"/>
          <w:szCs w:val="24"/>
        </w:rPr>
        <w:t xml:space="preserve">Aggregate Holdings of Long-Term Securities </w:t>
      </w:r>
      <w:r w:rsidR="00DB403A">
        <w:rPr>
          <w:rFonts w:ascii="TimesNewRomanPSMT" w:hAnsi="TimesNewRomanPSMT" w:cs="TimesNewRomanPSMT"/>
          <w:sz w:val="24"/>
          <w:szCs w:val="24"/>
        </w:rPr>
        <w:t>(</w:t>
      </w:r>
      <w:r w:rsidR="009D3864">
        <w:rPr>
          <w:rFonts w:ascii="TimesNewRomanPSMT" w:hAnsi="TimesNewRomanPSMT" w:cs="TimesNewRomanPSMT"/>
          <w:sz w:val="24"/>
          <w:szCs w:val="24"/>
        </w:rPr>
        <w:t xml:space="preserve">form </w:t>
      </w:r>
      <w:r w:rsidR="00441B48">
        <w:rPr>
          <w:rFonts w:ascii="TimesNewRomanPSMT" w:hAnsi="TimesNewRomanPSMT" w:cs="TimesNewRomanPSMT"/>
          <w:sz w:val="24"/>
          <w:szCs w:val="24"/>
        </w:rPr>
        <w:t>SLT</w:t>
      </w:r>
      <w:r w:rsidR="00DB403A">
        <w:rPr>
          <w:rFonts w:ascii="TimesNewRomanPSMT" w:hAnsi="TimesNewRomanPSMT" w:cs="TimesNewRomanPSMT"/>
          <w:sz w:val="24"/>
          <w:szCs w:val="24"/>
        </w:rPr>
        <w:t>)</w:t>
      </w:r>
      <w:r w:rsidR="00441B48">
        <w:rPr>
          <w:rFonts w:ascii="TimesNewRomanPSMT" w:hAnsi="TimesNewRomanPSMT" w:cs="TimesNewRomanPSMT"/>
          <w:sz w:val="24"/>
          <w:szCs w:val="24"/>
        </w:rPr>
        <w:t xml:space="preserve"> data reported as of </w:t>
      </w:r>
      <w:r w:rsidR="00340DFA">
        <w:rPr>
          <w:rFonts w:ascii="TimesNewRomanPSMT" w:hAnsi="TimesNewRomanPSMT" w:cs="TimesNewRomanPSMT"/>
          <w:sz w:val="24"/>
          <w:szCs w:val="24"/>
        </w:rPr>
        <w:t xml:space="preserve">December </w:t>
      </w:r>
      <w:r w:rsidR="00441B48">
        <w:rPr>
          <w:rFonts w:ascii="TimesNewRomanPSMT" w:hAnsi="TimesNewRomanPSMT" w:cs="TimesNewRomanPSMT"/>
          <w:sz w:val="24"/>
          <w:szCs w:val="24"/>
        </w:rPr>
        <w:t>201</w:t>
      </w:r>
      <w:r w:rsidR="00BB075E">
        <w:rPr>
          <w:rFonts w:ascii="TimesNewRomanPSMT" w:hAnsi="TimesNewRomanPSMT" w:cs="TimesNewRomanPSMT"/>
          <w:sz w:val="24"/>
          <w:szCs w:val="24"/>
        </w:rPr>
        <w:t>4</w:t>
      </w:r>
      <w:r w:rsidR="001974CD">
        <w:rPr>
          <w:rFonts w:ascii="TimesNewRomanPSMT" w:hAnsi="TimesNewRomanPSMT" w:cs="TimesNewRomanPSMT"/>
          <w:sz w:val="24"/>
          <w:szCs w:val="24"/>
        </w:rPr>
        <w:t>. These respondents</w:t>
      </w:r>
      <w:r>
        <w:rPr>
          <w:rFonts w:ascii="TimesNewRomanPSMT" w:hAnsi="TimesNewRomanPSMT" w:cs="TimesNewRomanPSMT"/>
          <w:sz w:val="24"/>
          <w:szCs w:val="24"/>
        </w:rPr>
        <w:t xml:space="preserve"> </w:t>
      </w:r>
      <w:r w:rsidR="001974CD">
        <w:rPr>
          <w:rFonts w:ascii="TimesNewRomanPSMT" w:hAnsi="TimesNewRomanPSMT" w:cs="TimesNewRomanPSMT"/>
          <w:sz w:val="24"/>
          <w:szCs w:val="24"/>
        </w:rPr>
        <w:t xml:space="preserve">accounted for over 99 percent of the </w:t>
      </w:r>
      <w:r w:rsidR="004B0B6E">
        <w:rPr>
          <w:rFonts w:ascii="TimesNewRomanPSMT" w:hAnsi="TimesNewRomanPSMT" w:cs="TimesNewRomanPSMT"/>
          <w:sz w:val="24"/>
          <w:szCs w:val="24"/>
        </w:rPr>
        <w:t xml:space="preserve">data </w:t>
      </w:r>
      <w:r w:rsidR="001974CD">
        <w:rPr>
          <w:rFonts w:ascii="TimesNewRomanPSMT" w:hAnsi="TimesNewRomanPSMT" w:cs="TimesNewRomanPSMT"/>
          <w:sz w:val="24"/>
          <w:szCs w:val="24"/>
        </w:rPr>
        <w:t xml:space="preserve">reported </w:t>
      </w:r>
      <w:r w:rsidR="004B0B6E">
        <w:rPr>
          <w:rFonts w:ascii="TimesNewRomanPSMT" w:hAnsi="TimesNewRomanPSMT" w:cs="TimesNewRomanPSMT"/>
          <w:sz w:val="24"/>
          <w:szCs w:val="24"/>
        </w:rPr>
        <w:t xml:space="preserve">in the </w:t>
      </w:r>
      <w:r w:rsidR="001974CD">
        <w:rPr>
          <w:rFonts w:ascii="TimesNewRomanPSMT" w:hAnsi="TimesNewRomanPSMT" w:cs="TimesNewRomanPSMT"/>
          <w:sz w:val="24"/>
          <w:szCs w:val="24"/>
        </w:rPr>
        <w:t>20</w:t>
      </w:r>
      <w:r w:rsidR="00441B48">
        <w:rPr>
          <w:rFonts w:ascii="TimesNewRomanPSMT" w:hAnsi="TimesNewRomanPSMT" w:cs="TimesNewRomanPSMT"/>
          <w:sz w:val="24"/>
          <w:szCs w:val="24"/>
        </w:rPr>
        <w:t>11</w:t>
      </w:r>
      <w:r w:rsidR="001974CD">
        <w:rPr>
          <w:rFonts w:ascii="TimesNewRomanPSMT" w:hAnsi="TimesNewRomanPSMT" w:cs="TimesNewRomanPSMT"/>
          <w:sz w:val="24"/>
          <w:szCs w:val="24"/>
        </w:rPr>
        <w:t xml:space="preserve"> Benchmark </w:t>
      </w:r>
      <w:r w:rsidR="004B0B6E">
        <w:rPr>
          <w:rFonts w:ascii="TimesNewRomanPSMT" w:hAnsi="TimesNewRomanPSMT" w:cs="TimesNewRomanPSMT"/>
          <w:sz w:val="24"/>
          <w:szCs w:val="24"/>
        </w:rPr>
        <w:t>survey</w:t>
      </w:r>
      <w:r w:rsidR="001974CD">
        <w:rPr>
          <w:rFonts w:ascii="TimesNewRomanPSMT" w:hAnsi="TimesNewRomanPSMT" w:cs="TimesNewRomanPSMT"/>
          <w:sz w:val="24"/>
          <w:szCs w:val="24"/>
        </w:rPr>
        <w:t>. The remaining 1 percent was accounted for in the</w:t>
      </w:r>
      <w:r>
        <w:rPr>
          <w:rFonts w:ascii="TimesNewRomanPSMT" w:hAnsi="TimesNewRomanPSMT" w:cs="TimesNewRomanPSMT"/>
          <w:sz w:val="24"/>
          <w:szCs w:val="24"/>
        </w:rPr>
        <w:t xml:space="preserve"> </w:t>
      </w:r>
      <w:r w:rsidR="001974CD">
        <w:rPr>
          <w:rFonts w:ascii="TimesNewRomanPSMT" w:hAnsi="TimesNewRomanPSMT" w:cs="TimesNewRomanPSMT"/>
          <w:sz w:val="24"/>
          <w:szCs w:val="24"/>
        </w:rPr>
        <w:t>December 20</w:t>
      </w:r>
      <w:r w:rsidR="004B0B6E">
        <w:rPr>
          <w:rFonts w:ascii="TimesNewRomanPSMT" w:hAnsi="TimesNewRomanPSMT" w:cs="TimesNewRomanPSMT"/>
          <w:sz w:val="24"/>
          <w:szCs w:val="24"/>
        </w:rPr>
        <w:t>1</w:t>
      </w:r>
      <w:r w:rsidR="00BB075E">
        <w:rPr>
          <w:rFonts w:ascii="TimesNewRomanPSMT" w:hAnsi="TimesNewRomanPSMT" w:cs="TimesNewRomanPSMT"/>
          <w:sz w:val="24"/>
          <w:szCs w:val="24"/>
        </w:rPr>
        <w:t>5</w:t>
      </w:r>
      <w:r w:rsidR="001974CD">
        <w:rPr>
          <w:rFonts w:ascii="TimesNewRomanPSMT" w:hAnsi="TimesNewRomanPSMT" w:cs="TimesNewRomanPSMT"/>
          <w:sz w:val="24"/>
          <w:szCs w:val="24"/>
        </w:rPr>
        <w:t xml:space="preserve"> data by </w:t>
      </w:r>
      <w:r w:rsidR="00C611CA" w:rsidRPr="00FF1908">
        <w:rPr>
          <w:sz w:val="24"/>
          <w:szCs w:val="24"/>
        </w:rPr>
        <w:t xml:space="preserve">using TIC SLT data from reporters on the SLT panel but not on the SHCA annual survey panel. These data are </w:t>
      </w:r>
      <w:r w:rsidR="00FC126B" w:rsidRPr="00FF1908">
        <w:rPr>
          <w:sz w:val="24"/>
          <w:szCs w:val="24"/>
        </w:rPr>
        <w:t>used to</w:t>
      </w:r>
      <w:r w:rsidR="00C611CA" w:rsidRPr="00FF1908">
        <w:rPr>
          <w:sz w:val="24"/>
          <w:szCs w:val="24"/>
        </w:rPr>
        <w:t xml:space="preserve"> adjust the data upward in order to make annual survey figures comparable to SHC benchmark survey figures.  The SLT data provided the aggregate market value by country of issuer and type of industry (government or other).  To determine the distribution of securities holdings across other relevant characteristics not available from the SLT (i.e., maturity, currency, industry, and security type), data were used from reporters on the annual survey panel that were considered to be similar to reporters on the non-survey SLT panel</w:t>
      </w:r>
      <w:r w:rsidR="00FF1908">
        <w:rPr>
          <w:rFonts w:ascii="TimesNewRomanPSMT" w:hAnsi="TimesNewRomanPSMT" w:cs="TimesNewRomanPSMT"/>
          <w:sz w:val="24"/>
          <w:szCs w:val="24"/>
        </w:rPr>
        <w:t xml:space="preserve">. </w:t>
      </w:r>
      <w:r w:rsidR="00744804" w:rsidRPr="00744804">
        <w:rPr>
          <w:rFonts w:ascii="TimesNewRomanPSMT" w:hAnsi="TimesNewRomanPSMT" w:cs="TimesNewRomanPSMT"/>
          <w:sz w:val="24"/>
          <w:szCs w:val="24"/>
        </w:rPr>
        <w:t>Additional adjustments were also made on these data to account for yearly</w:t>
      </w:r>
      <w:r w:rsidR="00744804">
        <w:rPr>
          <w:rFonts w:ascii="TimesNewRomanPSMT" w:hAnsi="TimesNewRomanPSMT" w:cs="TimesNewRomanPSMT"/>
          <w:sz w:val="24"/>
          <w:szCs w:val="24"/>
        </w:rPr>
        <w:t xml:space="preserve"> </w:t>
      </w:r>
      <w:r w:rsidR="00744804" w:rsidRPr="00744804">
        <w:rPr>
          <w:rFonts w:ascii="TimesNewRomanPSMT" w:hAnsi="TimesNewRomanPSMT" w:cs="TimesNewRomanPSMT"/>
          <w:sz w:val="24"/>
          <w:szCs w:val="24"/>
        </w:rPr>
        <w:t>changes in valuation, which were based on observed market conditions.</w:t>
      </w:r>
    </w:p>
    <w:p w:rsidR="00C906E3" w:rsidRPr="001C0A73" w:rsidRDefault="00C906E3">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C906E3" w:rsidRPr="002D2521" w:rsidRDefault="00C906E3">
      <w:pPr>
        <w:rPr>
          <w:spacing w:val="2"/>
          <w:sz w:val="24"/>
        </w:rPr>
      </w:pPr>
      <w:r w:rsidRPr="002D2521">
        <w:rPr>
          <w:spacing w:val="2"/>
          <w:sz w:val="24"/>
        </w:rPr>
        <w:t>2.</w:t>
      </w:r>
      <w:r w:rsidR="002D2521">
        <w:rPr>
          <w:spacing w:val="2"/>
          <w:sz w:val="24"/>
        </w:rPr>
        <w:t xml:space="preserve">    </w:t>
      </w:r>
      <w:r w:rsidRPr="002D2521">
        <w:rPr>
          <w:spacing w:val="2"/>
          <w:sz w:val="24"/>
          <w:u w:val="single"/>
        </w:rPr>
        <w:t>Describe the procedures for the collection of information including: (a) Statistical methodology for stratification and sample selection, (b) Estimation procedure, (c) Degree of accuracy needed for the purpose described in the justification, (e) Unusual problems requiring specialized sampling procedures, and (g) Any use of periodic (less frequent than annual) data collection cycles to reduce burden.</w:t>
      </w:r>
    </w:p>
    <w:p w:rsidR="00C906E3" w:rsidRDefault="00C906E3">
      <w:pPr>
        <w:rPr>
          <w:spacing w:val="2"/>
          <w:sz w:val="24"/>
        </w:rPr>
      </w:pPr>
    </w:p>
    <w:p w:rsidR="00C906E3" w:rsidRDefault="005B1E76" w:rsidP="00744804">
      <w:pPr>
        <w:widowControl/>
        <w:autoSpaceDE w:val="0"/>
        <w:autoSpaceDN w:val="0"/>
        <w:adjustRightInd w:val="0"/>
        <w:rPr>
          <w:sz w:val="24"/>
        </w:rPr>
      </w:pPr>
      <w:r>
        <w:rPr>
          <w:sz w:val="24"/>
        </w:rPr>
        <w:t xml:space="preserve">(a) </w:t>
      </w:r>
      <w:r w:rsidR="00066E24">
        <w:rPr>
          <w:sz w:val="24"/>
        </w:rPr>
        <w:t xml:space="preserve">Regarding </w:t>
      </w:r>
      <w:r w:rsidR="00D16AD0">
        <w:rPr>
          <w:sz w:val="24"/>
        </w:rPr>
        <w:t xml:space="preserve">the annual survey (SHCA), </w:t>
      </w:r>
      <w:r w:rsidR="00066E24">
        <w:rPr>
          <w:rFonts w:ascii="TimesNewRomanPSMT" w:hAnsi="TimesNewRomanPSMT" w:cs="TimesNewRomanPSMT"/>
          <w:sz w:val="24"/>
          <w:szCs w:val="24"/>
        </w:rPr>
        <w:t>the December 20</w:t>
      </w:r>
      <w:r w:rsidR="00577670">
        <w:rPr>
          <w:rFonts w:ascii="TimesNewRomanPSMT" w:hAnsi="TimesNewRomanPSMT" w:cs="TimesNewRomanPSMT"/>
          <w:sz w:val="24"/>
          <w:szCs w:val="24"/>
        </w:rPr>
        <w:t>1</w:t>
      </w:r>
      <w:r w:rsidR="00BB075E">
        <w:rPr>
          <w:rFonts w:ascii="TimesNewRomanPSMT" w:hAnsi="TimesNewRomanPSMT" w:cs="TimesNewRomanPSMT"/>
          <w:sz w:val="24"/>
          <w:szCs w:val="24"/>
        </w:rPr>
        <w:t>5</w:t>
      </w:r>
      <w:r w:rsidR="00066E24">
        <w:rPr>
          <w:rFonts w:ascii="TimesNewRomanPSMT" w:hAnsi="TimesNewRomanPSMT" w:cs="TimesNewRomanPSMT"/>
          <w:sz w:val="24"/>
          <w:szCs w:val="24"/>
        </w:rPr>
        <w:t xml:space="preserve"> survey collected data from the largest U.S.-resident custodians and end</w:t>
      </w:r>
      <w:r w:rsidR="00F07D6A">
        <w:rPr>
          <w:rFonts w:ascii="TimesNewRomanPSMT" w:hAnsi="TimesNewRomanPSMT" w:cs="TimesNewRomanPSMT"/>
          <w:sz w:val="24"/>
          <w:szCs w:val="24"/>
        </w:rPr>
        <w:t>-</w:t>
      </w:r>
      <w:r w:rsidR="00066E24">
        <w:rPr>
          <w:rFonts w:ascii="TimesNewRomanPSMT" w:hAnsi="TimesNewRomanPSMT" w:cs="TimesNewRomanPSMT"/>
          <w:sz w:val="24"/>
          <w:szCs w:val="24"/>
        </w:rPr>
        <w:t>investors, based on the data reported in the 20</w:t>
      </w:r>
      <w:r w:rsidR="00441B48">
        <w:rPr>
          <w:rFonts w:ascii="TimesNewRomanPSMT" w:hAnsi="TimesNewRomanPSMT" w:cs="TimesNewRomanPSMT"/>
          <w:sz w:val="24"/>
          <w:szCs w:val="24"/>
        </w:rPr>
        <w:t>11</w:t>
      </w:r>
      <w:r w:rsidR="00066E24">
        <w:rPr>
          <w:rFonts w:ascii="TimesNewRomanPSMT" w:hAnsi="TimesNewRomanPSMT" w:cs="TimesNewRomanPSMT"/>
          <w:sz w:val="24"/>
          <w:szCs w:val="24"/>
        </w:rPr>
        <w:t xml:space="preserve"> Benchmark survey</w:t>
      </w:r>
      <w:r w:rsidR="00441B48" w:rsidRPr="00441B48">
        <w:t xml:space="preserve"> </w:t>
      </w:r>
      <w:r w:rsidR="00441B48" w:rsidRPr="00441B48">
        <w:rPr>
          <w:rFonts w:ascii="TimesNewRomanPSMT" w:hAnsi="TimesNewRomanPSMT" w:cs="TimesNewRomanPSMT"/>
          <w:sz w:val="24"/>
          <w:szCs w:val="24"/>
        </w:rPr>
        <w:t>and in the SLT data report</w:t>
      </w:r>
      <w:r w:rsidR="00AE152C">
        <w:rPr>
          <w:rFonts w:ascii="TimesNewRomanPSMT" w:hAnsi="TimesNewRomanPSMT" w:cs="TimesNewRomanPSMT"/>
          <w:sz w:val="24"/>
          <w:szCs w:val="24"/>
        </w:rPr>
        <w:t>ed</w:t>
      </w:r>
      <w:r w:rsidR="00441B48" w:rsidRPr="00441B48">
        <w:rPr>
          <w:rFonts w:ascii="TimesNewRomanPSMT" w:hAnsi="TimesNewRomanPSMT" w:cs="TimesNewRomanPSMT"/>
          <w:sz w:val="24"/>
          <w:szCs w:val="24"/>
        </w:rPr>
        <w:t xml:space="preserve"> as of </w:t>
      </w:r>
      <w:r w:rsidR="00340DFA">
        <w:rPr>
          <w:rFonts w:ascii="TimesNewRomanPSMT" w:hAnsi="TimesNewRomanPSMT" w:cs="TimesNewRomanPSMT"/>
          <w:sz w:val="24"/>
          <w:szCs w:val="24"/>
        </w:rPr>
        <w:t>December</w:t>
      </w:r>
      <w:r w:rsidR="00441B48" w:rsidRPr="00441B48">
        <w:rPr>
          <w:rFonts w:ascii="TimesNewRomanPSMT" w:hAnsi="TimesNewRomanPSMT" w:cs="TimesNewRomanPSMT"/>
          <w:sz w:val="24"/>
          <w:szCs w:val="24"/>
        </w:rPr>
        <w:t xml:space="preserve"> 201</w:t>
      </w:r>
      <w:r w:rsidR="00BB075E">
        <w:rPr>
          <w:rFonts w:ascii="TimesNewRomanPSMT" w:hAnsi="TimesNewRomanPSMT" w:cs="TimesNewRomanPSMT"/>
          <w:sz w:val="24"/>
          <w:szCs w:val="24"/>
        </w:rPr>
        <w:t>4</w:t>
      </w:r>
      <w:r w:rsidR="00066E24">
        <w:rPr>
          <w:rFonts w:ascii="TimesNewRomanPSMT" w:hAnsi="TimesNewRomanPSMT" w:cs="TimesNewRomanPSMT"/>
          <w:sz w:val="24"/>
          <w:szCs w:val="24"/>
        </w:rPr>
        <w:t>. These respondents accounted for over 99 percent of the</w:t>
      </w:r>
      <w:r w:rsidR="00577670">
        <w:rPr>
          <w:rFonts w:ascii="TimesNewRomanPSMT" w:hAnsi="TimesNewRomanPSMT" w:cs="TimesNewRomanPSMT"/>
          <w:sz w:val="24"/>
          <w:szCs w:val="24"/>
        </w:rPr>
        <w:t xml:space="preserve"> data</w:t>
      </w:r>
      <w:r w:rsidR="00066E24">
        <w:rPr>
          <w:rFonts w:ascii="TimesNewRomanPSMT" w:hAnsi="TimesNewRomanPSMT" w:cs="TimesNewRomanPSMT"/>
          <w:sz w:val="24"/>
          <w:szCs w:val="24"/>
        </w:rPr>
        <w:t xml:space="preserve"> reported </w:t>
      </w:r>
      <w:r w:rsidR="00577670">
        <w:rPr>
          <w:rFonts w:ascii="TimesNewRomanPSMT" w:hAnsi="TimesNewRomanPSMT" w:cs="TimesNewRomanPSMT"/>
          <w:sz w:val="24"/>
          <w:szCs w:val="24"/>
        </w:rPr>
        <w:t xml:space="preserve">in the </w:t>
      </w:r>
      <w:r w:rsidR="00066E24">
        <w:rPr>
          <w:rFonts w:ascii="TimesNewRomanPSMT" w:hAnsi="TimesNewRomanPSMT" w:cs="TimesNewRomanPSMT"/>
          <w:sz w:val="24"/>
          <w:szCs w:val="24"/>
        </w:rPr>
        <w:t>20</w:t>
      </w:r>
      <w:r w:rsidR="00441B48">
        <w:rPr>
          <w:rFonts w:ascii="TimesNewRomanPSMT" w:hAnsi="TimesNewRomanPSMT" w:cs="TimesNewRomanPSMT"/>
          <w:sz w:val="24"/>
          <w:szCs w:val="24"/>
        </w:rPr>
        <w:t>11</w:t>
      </w:r>
      <w:r w:rsidR="00066E24">
        <w:rPr>
          <w:rFonts w:ascii="TimesNewRomanPSMT" w:hAnsi="TimesNewRomanPSMT" w:cs="TimesNewRomanPSMT"/>
          <w:sz w:val="24"/>
          <w:szCs w:val="24"/>
        </w:rPr>
        <w:t xml:space="preserve"> Benchmark survey. The remaining 1 percent was accounted for in the December 20</w:t>
      </w:r>
      <w:r w:rsidR="00744804">
        <w:rPr>
          <w:rFonts w:ascii="TimesNewRomanPSMT" w:hAnsi="TimesNewRomanPSMT" w:cs="TimesNewRomanPSMT"/>
          <w:sz w:val="24"/>
          <w:szCs w:val="24"/>
        </w:rPr>
        <w:t>1</w:t>
      </w:r>
      <w:r w:rsidR="00BB075E">
        <w:rPr>
          <w:rFonts w:ascii="TimesNewRomanPSMT" w:hAnsi="TimesNewRomanPSMT" w:cs="TimesNewRomanPSMT"/>
          <w:sz w:val="24"/>
          <w:szCs w:val="24"/>
        </w:rPr>
        <w:t>5</w:t>
      </w:r>
      <w:r w:rsidR="00066E24">
        <w:rPr>
          <w:rFonts w:ascii="TimesNewRomanPSMT" w:hAnsi="TimesNewRomanPSMT" w:cs="TimesNewRomanPSMT"/>
          <w:sz w:val="24"/>
          <w:szCs w:val="24"/>
        </w:rPr>
        <w:t xml:space="preserve"> data by adding the securities reported in the 20</w:t>
      </w:r>
      <w:r w:rsidR="00441B48">
        <w:rPr>
          <w:rFonts w:ascii="TimesNewRomanPSMT" w:hAnsi="TimesNewRomanPSMT" w:cs="TimesNewRomanPSMT"/>
          <w:sz w:val="24"/>
          <w:szCs w:val="24"/>
        </w:rPr>
        <w:t>11</w:t>
      </w:r>
      <w:r w:rsidR="00066E24">
        <w:rPr>
          <w:rFonts w:ascii="TimesNewRomanPSMT" w:hAnsi="TimesNewRomanPSMT" w:cs="TimesNewRomanPSMT"/>
          <w:sz w:val="24"/>
          <w:szCs w:val="24"/>
        </w:rPr>
        <w:t xml:space="preserve"> Benchmark survey by the respondents who were not part of the </w:t>
      </w:r>
      <w:r w:rsidR="00577670">
        <w:rPr>
          <w:rFonts w:ascii="TimesNewRomanPSMT" w:hAnsi="TimesNewRomanPSMT" w:cs="TimesNewRomanPSMT"/>
          <w:sz w:val="24"/>
          <w:szCs w:val="24"/>
        </w:rPr>
        <w:t>201</w:t>
      </w:r>
      <w:r w:rsidR="00BB075E">
        <w:rPr>
          <w:rFonts w:ascii="TimesNewRomanPSMT" w:hAnsi="TimesNewRomanPSMT" w:cs="TimesNewRomanPSMT"/>
          <w:sz w:val="24"/>
          <w:szCs w:val="24"/>
        </w:rPr>
        <w:t>5</w:t>
      </w:r>
      <w:r w:rsidR="00577670">
        <w:rPr>
          <w:rFonts w:ascii="TimesNewRomanPSMT" w:hAnsi="TimesNewRomanPSMT" w:cs="TimesNewRomanPSMT"/>
          <w:sz w:val="24"/>
          <w:szCs w:val="24"/>
        </w:rPr>
        <w:t xml:space="preserve"> </w:t>
      </w:r>
      <w:r w:rsidR="00066E24">
        <w:rPr>
          <w:rFonts w:ascii="TimesNewRomanPSMT" w:hAnsi="TimesNewRomanPSMT" w:cs="TimesNewRomanPSMT"/>
          <w:sz w:val="24"/>
          <w:szCs w:val="24"/>
        </w:rPr>
        <w:t xml:space="preserve">annual </w:t>
      </w:r>
      <w:r w:rsidR="00BC311D">
        <w:rPr>
          <w:rFonts w:ascii="TimesNewRomanPSMT" w:hAnsi="TimesNewRomanPSMT" w:cs="TimesNewRomanPSMT"/>
          <w:sz w:val="24"/>
          <w:szCs w:val="24"/>
        </w:rPr>
        <w:t>survey</w:t>
      </w:r>
      <w:r w:rsidR="00577670">
        <w:rPr>
          <w:rFonts w:ascii="TimesNewRomanPSMT" w:hAnsi="TimesNewRomanPSMT" w:cs="TimesNewRomanPSMT"/>
          <w:sz w:val="24"/>
          <w:szCs w:val="24"/>
        </w:rPr>
        <w:t xml:space="preserve"> </w:t>
      </w:r>
      <w:r w:rsidR="00066E24">
        <w:rPr>
          <w:rFonts w:ascii="TimesNewRomanPSMT" w:hAnsi="TimesNewRomanPSMT" w:cs="TimesNewRomanPSMT"/>
          <w:sz w:val="24"/>
          <w:szCs w:val="24"/>
        </w:rPr>
        <w:t>panel. The data added were adjusted to maintain the years to maturity that were originally reported for debt instruments.</w:t>
      </w:r>
      <w:r w:rsidR="00744804" w:rsidRPr="00744804">
        <w:t xml:space="preserve"> </w:t>
      </w:r>
    </w:p>
    <w:p w:rsidR="00A521DC" w:rsidRDefault="00A521DC">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A521DC" w:rsidRPr="001C0A73" w:rsidRDefault="005B1E76" w:rsidP="00A521DC">
      <w:pPr>
        <w:autoSpaceDE w:val="0"/>
        <w:autoSpaceDN w:val="0"/>
        <w:adjustRightInd w:val="0"/>
        <w:rPr>
          <w:sz w:val="24"/>
          <w:szCs w:val="24"/>
        </w:rPr>
      </w:pPr>
      <w:r>
        <w:rPr>
          <w:sz w:val="24"/>
          <w:szCs w:val="24"/>
        </w:rPr>
        <w:t xml:space="preserve">(b) </w:t>
      </w:r>
      <w:r w:rsidR="00BF2A6D">
        <w:rPr>
          <w:sz w:val="24"/>
          <w:szCs w:val="24"/>
        </w:rPr>
        <w:t xml:space="preserve"> </w:t>
      </w:r>
      <w:r w:rsidR="003A20A5">
        <w:rPr>
          <w:sz w:val="24"/>
          <w:szCs w:val="24"/>
        </w:rPr>
        <w:t>For the survey as of end-December 20</w:t>
      </w:r>
      <w:r w:rsidR="00937B93">
        <w:rPr>
          <w:sz w:val="24"/>
          <w:szCs w:val="24"/>
        </w:rPr>
        <w:t>1</w:t>
      </w:r>
      <w:r w:rsidR="00BB075E">
        <w:rPr>
          <w:sz w:val="24"/>
          <w:szCs w:val="24"/>
        </w:rPr>
        <w:t>5</w:t>
      </w:r>
      <w:r w:rsidR="003A20A5">
        <w:rPr>
          <w:sz w:val="24"/>
          <w:szCs w:val="24"/>
        </w:rPr>
        <w:t>, t</w:t>
      </w:r>
      <w:r w:rsidR="00BF2A6D">
        <w:rPr>
          <w:rFonts w:ascii="TimesNewRomanPSMT" w:hAnsi="TimesNewRomanPSMT" w:cs="TimesNewRomanPSMT"/>
          <w:sz w:val="24"/>
          <w:szCs w:val="24"/>
        </w:rPr>
        <w:t>he data added for respondents who reported in 20</w:t>
      </w:r>
      <w:r w:rsidR="00AE152C">
        <w:rPr>
          <w:rFonts w:ascii="TimesNewRomanPSMT" w:hAnsi="TimesNewRomanPSMT" w:cs="TimesNewRomanPSMT"/>
          <w:sz w:val="24"/>
          <w:szCs w:val="24"/>
        </w:rPr>
        <w:t>11</w:t>
      </w:r>
      <w:r w:rsidR="00BF2A6D">
        <w:rPr>
          <w:rFonts w:ascii="TimesNewRomanPSMT" w:hAnsi="TimesNewRomanPSMT" w:cs="TimesNewRomanPSMT"/>
          <w:sz w:val="24"/>
          <w:szCs w:val="24"/>
        </w:rPr>
        <w:t xml:space="preserve"> but not in 20</w:t>
      </w:r>
      <w:r w:rsidR="00937B93">
        <w:rPr>
          <w:rFonts w:ascii="TimesNewRomanPSMT" w:hAnsi="TimesNewRomanPSMT" w:cs="TimesNewRomanPSMT"/>
          <w:sz w:val="24"/>
          <w:szCs w:val="24"/>
        </w:rPr>
        <w:t>1</w:t>
      </w:r>
      <w:r w:rsidR="00BB075E">
        <w:rPr>
          <w:rFonts w:ascii="TimesNewRomanPSMT" w:hAnsi="TimesNewRomanPSMT" w:cs="TimesNewRomanPSMT"/>
          <w:sz w:val="24"/>
          <w:szCs w:val="24"/>
        </w:rPr>
        <w:t>5</w:t>
      </w:r>
      <w:r w:rsidR="00BF2A6D">
        <w:rPr>
          <w:rFonts w:ascii="TimesNewRomanPSMT" w:hAnsi="TimesNewRomanPSMT" w:cs="TimesNewRomanPSMT"/>
          <w:sz w:val="24"/>
          <w:szCs w:val="24"/>
        </w:rPr>
        <w:t xml:space="preserve"> were adjusted </w:t>
      </w:r>
      <w:r w:rsidR="00C611CA" w:rsidRPr="00FF1908">
        <w:rPr>
          <w:sz w:val="24"/>
          <w:szCs w:val="24"/>
        </w:rPr>
        <w:t>using TIC SLT data from reporters on the SLT panel but not on the annual survey panel</w:t>
      </w:r>
      <w:r w:rsidR="00FC126B" w:rsidRPr="00FF1908">
        <w:rPr>
          <w:sz w:val="24"/>
          <w:szCs w:val="24"/>
        </w:rPr>
        <w:t xml:space="preserve">. The data are used </w:t>
      </w:r>
      <w:r w:rsidR="00C611CA" w:rsidRPr="00FF1908">
        <w:rPr>
          <w:sz w:val="24"/>
          <w:szCs w:val="24"/>
        </w:rPr>
        <w:t xml:space="preserve">to adjust the data upward in order to make SHCA annual survey figures comparable to SHC benchmark survey figures.  The SLT data provided the aggregate market value by country of issuer and type of industry (government or other).  To determine the distribution of securities holdings across other relevant characteristics not available from the SLT (i.e., maturity, currency, industry, and security type), data were used from reporters on the annual survey panel that were considered to be similar to reporters on the non-survey SLT panel. </w:t>
      </w:r>
      <w:r w:rsidR="00937B93" w:rsidRPr="00744804">
        <w:rPr>
          <w:rFonts w:ascii="TimesNewRomanPSMT" w:hAnsi="TimesNewRomanPSMT" w:cs="TimesNewRomanPSMT"/>
          <w:sz w:val="24"/>
          <w:szCs w:val="24"/>
        </w:rPr>
        <w:t>Additional adjustments were also made on these data to account for yearly</w:t>
      </w:r>
      <w:r w:rsidR="00937B93">
        <w:rPr>
          <w:rFonts w:ascii="TimesNewRomanPSMT" w:hAnsi="TimesNewRomanPSMT" w:cs="TimesNewRomanPSMT"/>
          <w:sz w:val="24"/>
          <w:szCs w:val="24"/>
        </w:rPr>
        <w:t xml:space="preserve"> </w:t>
      </w:r>
      <w:r w:rsidR="00937B93" w:rsidRPr="00744804">
        <w:rPr>
          <w:rFonts w:ascii="TimesNewRomanPSMT" w:hAnsi="TimesNewRomanPSMT" w:cs="TimesNewRomanPSMT"/>
          <w:sz w:val="24"/>
          <w:szCs w:val="24"/>
        </w:rPr>
        <w:t>changes in valuation, which were based on observed market conditions</w:t>
      </w:r>
      <w:r w:rsidR="00937B93">
        <w:rPr>
          <w:sz w:val="24"/>
        </w:rPr>
        <w:t>.</w:t>
      </w:r>
    </w:p>
    <w:p w:rsidR="00A521DC" w:rsidRPr="001C0A73" w:rsidRDefault="00A521DC" w:rsidP="00A521DC">
      <w:pPr>
        <w:autoSpaceDE w:val="0"/>
        <w:autoSpaceDN w:val="0"/>
        <w:adjustRightInd w:val="0"/>
        <w:rPr>
          <w:color w:val="000000"/>
          <w:sz w:val="24"/>
          <w:szCs w:val="24"/>
        </w:rPr>
      </w:pPr>
    </w:p>
    <w:p w:rsidR="00C906E3" w:rsidRDefault="005B1E76">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(c) </w:t>
      </w:r>
      <w:r w:rsidR="00C906E3">
        <w:rPr>
          <w:sz w:val="24"/>
        </w:rPr>
        <w:t>There is no pre-determined or externally set level of accuracy needed from this survey.  What is sought is the best accuracy possible without undue reporter burden or government cost.  We believe that a reasonably high degree of accuracy will be achieved by using the above technique.</w:t>
      </w:r>
    </w:p>
    <w:p w:rsidR="00C906E3" w:rsidRDefault="00C906E3">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 </w:t>
      </w:r>
    </w:p>
    <w:p w:rsidR="00C906E3" w:rsidRDefault="00C906E3">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The results of the full benchmark surveys will be used to check on the accuracy of the annual surveys and to meet the requirements of the </w:t>
      </w:r>
      <w:r>
        <w:rPr>
          <w:i/>
          <w:sz w:val="24"/>
        </w:rPr>
        <w:t>International Investment and Trade in Services Act.</w:t>
      </w:r>
    </w:p>
    <w:p w:rsidR="00C906E3" w:rsidRDefault="00C906E3">
      <w:pPr>
        <w:rPr>
          <w:spacing w:val="2"/>
          <w:sz w:val="24"/>
        </w:rPr>
      </w:pPr>
    </w:p>
    <w:p w:rsidR="00C906E3" w:rsidRPr="002D2521" w:rsidRDefault="00C906E3">
      <w:pPr>
        <w:rPr>
          <w:spacing w:val="2"/>
          <w:sz w:val="24"/>
        </w:rPr>
      </w:pPr>
      <w:r w:rsidRPr="002D2521">
        <w:rPr>
          <w:spacing w:val="2"/>
          <w:sz w:val="24"/>
        </w:rPr>
        <w:lastRenderedPageBreak/>
        <w:t>3.</w:t>
      </w:r>
      <w:r w:rsidR="002D2521">
        <w:rPr>
          <w:spacing w:val="2"/>
          <w:sz w:val="24"/>
        </w:rPr>
        <w:t xml:space="preserve">    </w:t>
      </w:r>
      <w:r w:rsidRPr="002D2521">
        <w:rPr>
          <w:spacing w:val="2"/>
          <w:sz w:val="24"/>
          <w:u w:val="single"/>
        </w:rPr>
        <w:t>Describe methods to maximize response rates and to deal with issues of non-response.</w:t>
      </w:r>
    </w:p>
    <w:p w:rsidR="00C906E3" w:rsidRDefault="00C906E3">
      <w:pPr>
        <w:rPr>
          <w:spacing w:val="2"/>
          <w:sz w:val="24"/>
        </w:rPr>
      </w:pPr>
    </w:p>
    <w:p w:rsidR="00C906E3" w:rsidRDefault="00C906E3">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This survey is required by law and failure to report is punishable by fine and/or imprisonment.  Non-reporters are reminded of their reporting responsibility and required to report.  If necessary, a letter is sent from the Treasury Department’s </w:t>
      </w:r>
      <w:r w:rsidR="00C56700">
        <w:rPr>
          <w:sz w:val="24"/>
        </w:rPr>
        <w:t xml:space="preserve">Office of the </w:t>
      </w:r>
      <w:r>
        <w:rPr>
          <w:sz w:val="24"/>
        </w:rPr>
        <w:t xml:space="preserve">General Counsel to the chief legal officer of the institution in question reminding the institution of its reporting responsibility and the applicable penalties for non-compliance.  In one case, a letter was sent to an institution stating that the failure to provide necessary information within a stated time period would result in the Treasury Department recommending to the Justice Department that legal proceedings be instituted.  However, in the </w:t>
      </w:r>
      <w:r w:rsidR="00FE44EA">
        <w:rPr>
          <w:sz w:val="24"/>
        </w:rPr>
        <w:t>3</w:t>
      </w:r>
      <w:r w:rsidR="00123A73">
        <w:rPr>
          <w:sz w:val="24"/>
        </w:rPr>
        <w:t>1</w:t>
      </w:r>
      <w:r>
        <w:rPr>
          <w:sz w:val="24"/>
        </w:rPr>
        <w:t xml:space="preserve"> year history of these surveys this is the only instance where such measures were required, and this case occurred </w:t>
      </w:r>
      <w:r w:rsidR="00123A73">
        <w:rPr>
          <w:sz w:val="24"/>
        </w:rPr>
        <w:t xml:space="preserve">about </w:t>
      </w:r>
      <w:r w:rsidR="00FE44EA">
        <w:rPr>
          <w:sz w:val="24"/>
        </w:rPr>
        <w:t>20</w:t>
      </w:r>
      <w:r>
        <w:rPr>
          <w:sz w:val="24"/>
        </w:rPr>
        <w:t xml:space="preserve"> years ago.  </w:t>
      </w:r>
    </w:p>
    <w:p w:rsidR="00C906E3" w:rsidRDefault="00C906E3">
      <w:pPr>
        <w:rPr>
          <w:spacing w:val="2"/>
          <w:sz w:val="24"/>
        </w:rPr>
      </w:pPr>
    </w:p>
    <w:p w:rsidR="00C906E3" w:rsidRPr="002D2521" w:rsidRDefault="00C906E3">
      <w:pPr>
        <w:rPr>
          <w:spacing w:val="2"/>
          <w:sz w:val="24"/>
        </w:rPr>
      </w:pPr>
      <w:r w:rsidRPr="002D2521">
        <w:rPr>
          <w:spacing w:val="2"/>
          <w:sz w:val="24"/>
        </w:rPr>
        <w:t xml:space="preserve">4. </w:t>
      </w:r>
      <w:r w:rsidRPr="002D2521">
        <w:rPr>
          <w:spacing w:val="2"/>
          <w:sz w:val="24"/>
          <w:u w:val="single"/>
        </w:rPr>
        <w:t>Describe any tests of procedures or methods to be undertaken.</w:t>
      </w:r>
    </w:p>
    <w:p w:rsidR="00C906E3" w:rsidRDefault="00C906E3">
      <w:pPr>
        <w:rPr>
          <w:spacing w:val="2"/>
          <w:sz w:val="24"/>
        </w:rPr>
      </w:pPr>
    </w:p>
    <w:p w:rsidR="00C906E3" w:rsidRDefault="00C906E3">
      <w:pPr>
        <w:rPr>
          <w:spacing w:val="2"/>
          <w:sz w:val="24"/>
        </w:rPr>
      </w:pPr>
      <w:r>
        <w:rPr>
          <w:spacing w:val="2"/>
          <w:sz w:val="24"/>
        </w:rPr>
        <w:t>The procedures in use will be similar to those used on past surveys that have proven to be quite successful.  Th</w:t>
      </w:r>
      <w:r w:rsidR="00A36813">
        <w:rPr>
          <w:spacing w:val="2"/>
          <w:sz w:val="24"/>
        </w:rPr>
        <w:t>e 201</w:t>
      </w:r>
      <w:r w:rsidR="00BB075E">
        <w:rPr>
          <w:spacing w:val="2"/>
          <w:sz w:val="24"/>
        </w:rPr>
        <w:t>6</w:t>
      </w:r>
      <w:r w:rsidR="00A36813">
        <w:rPr>
          <w:spacing w:val="2"/>
          <w:sz w:val="24"/>
        </w:rPr>
        <w:t xml:space="preserve"> survey </w:t>
      </w:r>
      <w:r>
        <w:rPr>
          <w:spacing w:val="2"/>
          <w:sz w:val="24"/>
        </w:rPr>
        <w:t xml:space="preserve">will be the </w:t>
      </w:r>
      <w:r w:rsidR="00BB075E">
        <w:rPr>
          <w:spacing w:val="2"/>
          <w:sz w:val="24"/>
        </w:rPr>
        <w:t>seven</w:t>
      </w:r>
      <w:r w:rsidR="00EF6068">
        <w:rPr>
          <w:spacing w:val="2"/>
          <w:sz w:val="24"/>
        </w:rPr>
        <w:t>teenth</w:t>
      </w:r>
      <w:r>
        <w:rPr>
          <w:spacing w:val="2"/>
          <w:sz w:val="24"/>
        </w:rPr>
        <w:t xml:space="preserve"> survey of U.S. holdings of foreign securities conducted since 1994, in addition to </w:t>
      </w:r>
      <w:r w:rsidR="00EF6068">
        <w:rPr>
          <w:spacing w:val="2"/>
          <w:sz w:val="24"/>
        </w:rPr>
        <w:t xml:space="preserve">the </w:t>
      </w:r>
      <w:r w:rsidR="00BB075E">
        <w:rPr>
          <w:spacing w:val="2"/>
          <w:sz w:val="24"/>
        </w:rPr>
        <w:t>twenty</w:t>
      </w:r>
      <w:r>
        <w:rPr>
          <w:spacing w:val="2"/>
          <w:sz w:val="24"/>
        </w:rPr>
        <w:t xml:space="preserve"> previous surveys of foreign holdings of U.S. securities since 1974.  On past surveys we have also sampled reporters who would have been excluded using typical screening techniques and found that very little additional data was obtained, confirming the adopted approach.</w:t>
      </w:r>
    </w:p>
    <w:p w:rsidR="00C906E3" w:rsidRDefault="00C906E3">
      <w:pPr>
        <w:rPr>
          <w:spacing w:val="2"/>
          <w:sz w:val="24"/>
        </w:rPr>
      </w:pPr>
    </w:p>
    <w:p w:rsidR="00C906E3" w:rsidRPr="002D2521" w:rsidRDefault="00C906E3">
      <w:pPr>
        <w:rPr>
          <w:spacing w:val="2"/>
          <w:sz w:val="24"/>
        </w:rPr>
      </w:pPr>
      <w:r w:rsidRPr="002D2521">
        <w:rPr>
          <w:spacing w:val="2"/>
          <w:sz w:val="24"/>
        </w:rPr>
        <w:t>5.</w:t>
      </w:r>
      <w:r w:rsidR="002D2521">
        <w:rPr>
          <w:spacing w:val="2"/>
          <w:sz w:val="24"/>
        </w:rPr>
        <w:t xml:space="preserve">    </w:t>
      </w:r>
      <w:r w:rsidRPr="002D2521">
        <w:rPr>
          <w:spacing w:val="2"/>
          <w:sz w:val="24"/>
          <w:u w:val="single"/>
        </w:rPr>
        <w:t>Provide the name and telephone number of individuals consulted on statistical aspects of the design and the name of the agency unit, contractor(s), grantee(s) or other person(s) who will actually collect and/or analyze the information for the agency.</w:t>
      </w:r>
      <w:r w:rsidRPr="002D2521">
        <w:rPr>
          <w:spacing w:val="2"/>
          <w:sz w:val="24"/>
        </w:rPr>
        <w:t xml:space="preserve"> </w:t>
      </w:r>
    </w:p>
    <w:p w:rsidR="00C906E3" w:rsidRDefault="00C906E3">
      <w:pPr>
        <w:rPr>
          <w:spacing w:val="2"/>
          <w:sz w:val="24"/>
        </w:rPr>
      </w:pPr>
    </w:p>
    <w:p w:rsidR="00864EC2" w:rsidRDefault="00864EC2" w:rsidP="00864EC2">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The statistical methods to be employed were reviewed by representatives of the Department of the Treasury, the Department of Commerce (Bureau of Economic Analysis), the Board of Governors of the Federal Reserve System, and the Federal Reserve Bank of </w:t>
      </w:r>
      <w:smartTag w:uri="urn:schemas-microsoft-com:office:smarttags" w:element="place">
        <w:smartTag w:uri="urn:schemas-microsoft-com:office:smarttags" w:element="State">
          <w:r>
            <w:rPr>
              <w:sz w:val="24"/>
            </w:rPr>
            <w:t>New York</w:t>
          </w:r>
        </w:smartTag>
      </w:smartTag>
      <w:r>
        <w:rPr>
          <w:sz w:val="24"/>
        </w:rPr>
        <w:t>.</w:t>
      </w:r>
    </w:p>
    <w:p w:rsidR="00864EC2" w:rsidRDefault="00864EC2" w:rsidP="00864EC2">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864EC2" w:rsidRDefault="00BB075E" w:rsidP="00864EC2">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rPr>
          <w:sz w:val="24"/>
        </w:rPr>
      </w:pPr>
      <w:r>
        <w:rPr>
          <w:sz w:val="24"/>
        </w:rPr>
        <w:t xml:space="preserve">Alicia </w:t>
      </w:r>
      <w:r w:rsidRPr="00BB075E">
        <w:rPr>
          <w:sz w:val="24"/>
        </w:rPr>
        <w:t>Leonard-Stacker</w:t>
      </w:r>
      <w:r w:rsidR="00864EC2">
        <w:rPr>
          <w:sz w:val="24"/>
        </w:rPr>
        <w:tab/>
        <w:t>212-720-</w:t>
      </w:r>
      <w:r w:rsidR="00F63B4C">
        <w:rPr>
          <w:sz w:val="24"/>
        </w:rPr>
        <w:t>5482</w:t>
      </w:r>
      <w:r w:rsidR="00864EC2">
        <w:rPr>
          <w:sz w:val="24"/>
        </w:rPr>
        <w:tab/>
      </w:r>
      <w:r w:rsidR="00864EC2">
        <w:rPr>
          <w:sz w:val="24"/>
        </w:rPr>
        <w:tab/>
        <w:t>Federal Reserve Bank of New York</w:t>
      </w:r>
      <w:r w:rsidR="00864EC2">
        <w:rPr>
          <w:sz w:val="24"/>
        </w:rPr>
        <w:tab/>
      </w:r>
    </w:p>
    <w:p w:rsidR="00864EC2" w:rsidRDefault="00864EC2" w:rsidP="00864EC2">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rPr>
          <w:sz w:val="24"/>
        </w:rPr>
      </w:pPr>
      <w:r>
        <w:rPr>
          <w:sz w:val="24"/>
        </w:rPr>
        <w:t>Carol Bertaut</w:t>
      </w:r>
      <w:r>
        <w:rPr>
          <w:sz w:val="24"/>
        </w:rPr>
        <w:tab/>
      </w:r>
      <w:r>
        <w:rPr>
          <w:sz w:val="24"/>
        </w:rPr>
        <w:tab/>
      </w:r>
      <w:r>
        <w:rPr>
          <w:sz w:val="24"/>
        </w:rPr>
        <w:tab/>
        <w:t>202-452-3476</w:t>
      </w:r>
      <w:r>
        <w:rPr>
          <w:sz w:val="24"/>
        </w:rPr>
        <w:tab/>
      </w:r>
      <w:r>
        <w:rPr>
          <w:sz w:val="24"/>
        </w:rPr>
        <w:tab/>
        <w:t>Board of Governors of Federal Reserve System</w:t>
      </w:r>
    </w:p>
    <w:p w:rsidR="00864EC2" w:rsidRDefault="00864EC2" w:rsidP="00864EC2">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rPr>
          <w:sz w:val="24"/>
        </w:rPr>
      </w:pPr>
      <w:r>
        <w:rPr>
          <w:sz w:val="24"/>
        </w:rPr>
        <w:t>Christopher Gohrband</w:t>
      </w:r>
      <w:r>
        <w:rPr>
          <w:sz w:val="24"/>
        </w:rPr>
        <w:tab/>
      </w:r>
      <w:r>
        <w:rPr>
          <w:sz w:val="24"/>
        </w:rPr>
        <w:tab/>
        <w:t>202-606</w:t>
      </w:r>
      <w:r>
        <w:rPr>
          <w:sz w:val="24"/>
        </w:rPr>
        <w:noBreakHyphen/>
        <w:t>9564</w:t>
      </w:r>
      <w:r>
        <w:rPr>
          <w:sz w:val="24"/>
        </w:rPr>
        <w:tab/>
      </w:r>
      <w:r>
        <w:rPr>
          <w:sz w:val="24"/>
        </w:rPr>
        <w:tab/>
        <w:t>Department of Commerce</w:t>
      </w:r>
    </w:p>
    <w:p w:rsidR="00864EC2" w:rsidRDefault="00864EC2" w:rsidP="00864EC2">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rPr>
          <w:sz w:val="24"/>
        </w:rPr>
      </w:pPr>
      <w:r>
        <w:rPr>
          <w:sz w:val="24"/>
        </w:rPr>
        <w:t>Dwight Wolkow</w:t>
      </w:r>
      <w:r>
        <w:rPr>
          <w:sz w:val="24"/>
        </w:rPr>
        <w:tab/>
      </w:r>
      <w:r>
        <w:rPr>
          <w:sz w:val="24"/>
        </w:rPr>
        <w:tab/>
        <w:t>202-622-1276</w:t>
      </w:r>
      <w:r>
        <w:rPr>
          <w:sz w:val="24"/>
        </w:rPr>
        <w:tab/>
      </w:r>
      <w:r>
        <w:rPr>
          <w:sz w:val="24"/>
        </w:rPr>
        <w:tab/>
        <w:t>Department of the Treasury</w:t>
      </w:r>
    </w:p>
    <w:p w:rsidR="00864EC2" w:rsidRDefault="00864EC2" w:rsidP="00864EC2">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C906E3" w:rsidRDefault="00C906E3">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C906E3" w:rsidRDefault="00C906E3">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The actual data collection will be conducted by the Statistics Function of the Federal Reserve Bank of </w:t>
      </w:r>
      <w:smartTag w:uri="urn:schemas-microsoft-com:office:smarttags" w:element="place">
        <w:smartTag w:uri="urn:schemas-microsoft-com:office:smarttags" w:element="State">
          <w:r>
            <w:rPr>
              <w:sz w:val="24"/>
            </w:rPr>
            <w:t>New York</w:t>
          </w:r>
        </w:smartTag>
      </w:smartTag>
      <w:r>
        <w:rPr>
          <w:sz w:val="24"/>
        </w:rPr>
        <w:t>, in conjunction with the Federal Reserve Board of Governors, International Finance Division.</w:t>
      </w:r>
    </w:p>
    <w:p w:rsidR="00C906E3" w:rsidRDefault="00C906E3">
      <w:pPr>
        <w:tabs>
          <w:tab w:val="left" w:pos="446"/>
        </w:tabs>
        <w:rPr>
          <w:sz w:val="24"/>
        </w:rPr>
      </w:pPr>
    </w:p>
    <w:p w:rsidR="00AE152C" w:rsidRDefault="00AE152C">
      <w:pPr>
        <w:tabs>
          <w:tab w:val="left" w:pos="446"/>
        </w:tabs>
        <w:rPr>
          <w:sz w:val="24"/>
        </w:rPr>
      </w:pPr>
    </w:p>
    <w:p w:rsidR="00AE152C" w:rsidRDefault="00F63B4C">
      <w:pPr>
        <w:tabs>
          <w:tab w:val="left" w:pos="446"/>
        </w:tabs>
        <w:rPr>
          <w:sz w:val="24"/>
        </w:rPr>
      </w:pPr>
      <w:r>
        <w:rPr>
          <w:sz w:val="24"/>
        </w:rPr>
        <w:t>November 4</w:t>
      </w:r>
      <w:r w:rsidR="00AE152C">
        <w:rPr>
          <w:sz w:val="24"/>
        </w:rPr>
        <w:t>, 201</w:t>
      </w:r>
      <w:r>
        <w:rPr>
          <w:sz w:val="24"/>
        </w:rPr>
        <w:t>6</w:t>
      </w:r>
      <w:r w:rsidR="00AE152C">
        <w:rPr>
          <w:sz w:val="24"/>
        </w:rPr>
        <w:t>.</w:t>
      </w:r>
    </w:p>
    <w:sectPr w:rsidR="00AE152C" w:rsidSect="00E8551E">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452" w:rsidRDefault="00CB3452">
      <w:r>
        <w:separator/>
      </w:r>
    </w:p>
  </w:endnote>
  <w:endnote w:type="continuationSeparator" w:id="0">
    <w:p w:rsidR="00CB3452" w:rsidRDefault="00CB3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9A5" w:rsidRDefault="009C09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B79" w:rsidRDefault="00750DDB">
    <w:pPr>
      <w:pStyle w:val="Footer"/>
      <w:framePr w:w="576" w:wrap="auto" w:vAnchor="page" w:hAnchor="page" w:x="5545" w:y="15121"/>
      <w:jc w:val="right"/>
      <w:rPr>
        <w:rStyle w:val="PageNumber"/>
      </w:rPr>
    </w:pPr>
    <w:r>
      <w:rPr>
        <w:rStyle w:val="PageNumber"/>
      </w:rPr>
      <w:fldChar w:fldCharType="begin"/>
    </w:r>
    <w:r w:rsidR="005E6B79">
      <w:rPr>
        <w:rStyle w:val="PageNumber"/>
      </w:rPr>
      <w:instrText xml:space="preserve">PAGE  </w:instrText>
    </w:r>
    <w:r>
      <w:rPr>
        <w:rStyle w:val="PageNumber"/>
      </w:rPr>
      <w:fldChar w:fldCharType="separate"/>
    </w:r>
    <w:r w:rsidR="00593250">
      <w:rPr>
        <w:rStyle w:val="PageNumber"/>
        <w:noProof/>
      </w:rPr>
      <w:t>1</w:t>
    </w:r>
    <w:r>
      <w:rPr>
        <w:rStyle w:val="PageNumber"/>
      </w:rPr>
      <w:fldChar w:fldCharType="end"/>
    </w:r>
  </w:p>
  <w:p w:rsidR="005E6B79" w:rsidRDefault="005E6B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9A5" w:rsidRDefault="009C09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452" w:rsidRDefault="00CB3452">
      <w:r>
        <w:separator/>
      </w:r>
    </w:p>
  </w:footnote>
  <w:footnote w:type="continuationSeparator" w:id="0">
    <w:p w:rsidR="00CB3452" w:rsidRDefault="00CB3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9A5" w:rsidRDefault="009C09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9A5" w:rsidRDefault="009C09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9A5" w:rsidRDefault="009C09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E0CD8"/>
    <w:multiLevelType w:val="singleLevel"/>
    <w:tmpl w:val="CF2A0566"/>
    <w:lvl w:ilvl="0">
      <w:start w:val="2"/>
      <w:numFmt w:val="upperLetter"/>
      <w:lvlText w:val="%1."/>
      <w:lvlJc w:val="left"/>
      <w:pPr>
        <w:tabs>
          <w:tab w:val="num" w:pos="450"/>
        </w:tabs>
        <w:ind w:left="450" w:hanging="450"/>
      </w:pPr>
      <w:rPr>
        <w:rFonts w:hint="default"/>
      </w:rPr>
    </w:lvl>
  </w:abstractNum>
  <w:abstractNum w:abstractNumId="1">
    <w:nsid w:val="704D7E0A"/>
    <w:multiLevelType w:val="singleLevel"/>
    <w:tmpl w:val="37CC1966"/>
    <w:lvl w:ilvl="0">
      <w:start w:val="1"/>
      <w:numFmt w:val="lowerLetter"/>
      <w:lvlText w:val="(%1)"/>
      <w:lvlJc w:val="left"/>
      <w:pPr>
        <w:tabs>
          <w:tab w:val="num" w:pos="375"/>
        </w:tabs>
        <w:ind w:left="375" w:hanging="37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700"/>
    <w:rsid w:val="00014058"/>
    <w:rsid w:val="00033F1C"/>
    <w:rsid w:val="00034345"/>
    <w:rsid w:val="000462AD"/>
    <w:rsid w:val="000471AC"/>
    <w:rsid w:val="000541F9"/>
    <w:rsid w:val="00060208"/>
    <w:rsid w:val="000640BF"/>
    <w:rsid w:val="00066E24"/>
    <w:rsid w:val="00086738"/>
    <w:rsid w:val="000A5208"/>
    <w:rsid w:val="000A6760"/>
    <w:rsid w:val="000B33D4"/>
    <w:rsid w:val="000D4562"/>
    <w:rsid w:val="000E2A18"/>
    <w:rsid w:val="000F1A20"/>
    <w:rsid w:val="00123A73"/>
    <w:rsid w:val="001240A4"/>
    <w:rsid w:val="00124C97"/>
    <w:rsid w:val="00127DFF"/>
    <w:rsid w:val="00135622"/>
    <w:rsid w:val="00146CE8"/>
    <w:rsid w:val="00153189"/>
    <w:rsid w:val="001974CD"/>
    <w:rsid w:val="001A4A72"/>
    <w:rsid w:val="001B6F10"/>
    <w:rsid w:val="001C0A73"/>
    <w:rsid w:val="001D3178"/>
    <w:rsid w:val="001E3E64"/>
    <w:rsid w:val="001E5895"/>
    <w:rsid w:val="00203619"/>
    <w:rsid w:val="00211C45"/>
    <w:rsid w:val="00235F9F"/>
    <w:rsid w:val="00242648"/>
    <w:rsid w:val="00246EE5"/>
    <w:rsid w:val="0026549C"/>
    <w:rsid w:val="00270A53"/>
    <w:rsid w:val="00281459"/>
    <w:rsid w:val="00296815"/>
    <w:rsid w:val="002A3EAF"/>
    <w:rsid w:val="002A44F4"/>
    <w:rsid w:val="002A4642"/>
    <w:rsid w:val="002A4968"/>
    <w:rsid w:val="002C11AE"/>
    <w:rsid w:val="002C1281"/>
    <w:rsid w:val="002D2521"/>
    <w:rsid w:val="002F0C4C"/>
    <w:rsid w:val="00306B12"/>
    <w:rsid w:val="00323DD1"/>
    <w:rsid w:val="00340DFA"/>
    <w:rsid w:val="003558B5"/>
    <w:rsid w:val="00357597"/>
    <w:rsid w:val="00360757"/>
    <w:rsid w:val="00365D64"/>
    <w:rsid w:val="00380F01"/>
    <w:rsid w:val="003817EC"/>
    <w:rsid w:val="003A03FB"/>
    <w:rsid w:val="003A20A5"/>
    <w:rsid w:val="003A373F"/>
    <w:rsid w:val="003B7FB1"/>
    <w:rsid w:val="003C3D50"/>
    <w:rsid w:val="003C43B2"/>
    <w:rsid w:val="003D21A1"/>
    <w:rsid w:val="003E5B94"/>
    <w:rsid w:val="00404BAF"/>
    <w:rsid w:val="00404EBD"/>
    <w:rsid w:val="00415C05"/>
    <w:rsid w:val="00420C75"/>
    <w:rsid w:val="00424EC7"/>
    <w:rsid w:val="00434991"/>
    <w:rsid w:val="00441B48"/>
    <w:rsid w:val="0044254F"/>
    <w:rsid w:val="00447F5F"/>
    <w:rsid w:val="0045464E"/>
    <w:rsid w:val="00455067"/>
    <w:rsid w:val="004578E1"/>
    <w:rsid w:val="00475DD1"/>
    <w:rsid w:val="00476286"/>
    <w:rsid w:val="00491DF8"/>
    <w:rsid w:val="004949D3"/>
    <w:rsid w:val="00495936"/>
    <w:rsid w:val="004A03B0"/>
    <w:rsid w:val="004A51E8"/>
    <w:rsid w:val="004B0B6E"/>
    <w:rsid w:val="004E249C"/>
    <w:rsid w:val="004E2A3D"/>
    <w:rsid w:val="00527A04"/>
    <w:rsid w:val="00541742"/>
    <w:rsid w:val="00543F1D"/>
    <w:rsid w:val="00565792"/>
    <w:rsid w:val="00577670"/>
    <w:rsid w:val="00577D9C"/>
    <w:rsid w:val="00593250"/>
    <w:rsid w:val="005A0654"/>
    <w:rsid w:val="005B1E76"/>
    <w:rsid w:val="005D4D2B"/>
    <w:rsid w:val="005E6B79"/>
    <w:rsid w:val="005F68EA"/>
    <w:rsid w:val="005F78EF"/>
    <w:rsid w:val="00614425"/>
    <w:rsid w:val="00621181"/>
    <w:rsid w:val="00654403"/>
    <w:rsid w:val="006745F3"/>
    <w:rsid w:val="00674D8D"/>
    <w:rsid w:val="006914EE"/>
    <w:rsid w:val="00695707"/>
    <w:rsid w:val="006B625D"/>
    <w:rsid w:val="006B62C3"/>
    <w:rsid w:val="006D4609"/>
    <w:rsid w:val="006E3399"/>
    <w:rsid w:val="006E545D"/>
    <w:rsid w:val="006F021F"/>
    <w:rsid w:val="0070692D"/>
    <w:rsid w:val="00724702"/>
    <w:rsid w:val="00736CD8"/>
    <w:rsid w:val="00737865"/>
    <w:rsid w:val="00744804"/>
    <w:rsid w:val="00744A13"/>
    <w:rsid w:val="00750DDB"/>
    <w:rsid w:val="007578BF"/>
    <w:rsid w:val="00764157"/>
    <w:rsid w:val="007718EB"/>
    <w:rsid w:val="007769FE"/>
    <w:rsid w:val="00782CC6"/>
    <w:rsid w:val="00792F7D"/>
    <w:rsid w:val="007F4718"/>
    <w:rsid w:val="00827E30"/>
    <w:rsid w:val="00830A7C"/>
    <w:rsid w:val="00860F2A"/>
    <w:rsid w:val="008643F3"/>
    <w:rsid w:val="00864EC2"/>
    <w:rsid w:val="00883D3F"/>
    <w:rsid w:val="008A0560"/>
    <w:rsid w:val="008A7AEE"/>
    <w:rsid w:val="008B19F2"/>
    <w:rsid w:val="008B21C2"/>
    <w:rsid w:val="008B3918"/>
    <w:rsid w:val="008C6222"/>
    <w:rsid w:val="00905D4F"/>
    <w:rsid w:val="00907F8D"/>
    <w:rsid w:val="00914357"/>
    <w:rsid w:val="009243B7"/>
    <w:rsid w:val="00937B93"/>
    <w:rsid w:val="00945ADC"/>
    <w:rsid w:val="0095112F"/>
    <w:rsid w:val="00963562"/>
    <w:rsid w:val="009841ED"/>
    <w:rsid w:val="00984506"/>
    <w:rsid w:val="009908DB"/>
    <w:rsid w:val="009A28B4"/>
    <w:rsid w:val="009A567F"/>
    <w:rsid w:val="009C09A5"/>
    <w:rsid w:val="009C221C"/>
    <w:rsid w:val="009D3864"/>
    <w:rsid w:val="009D3E97"/>
    <w:rsid w:val="009D71D4"/>
    <w:rsid w:val="009D7F19"/>
    <w:rsid w:val="009E03E3"/>
    <w:rsid w:val="009F22CD"/>
    <w:rsid w:val="00A0195D"/>
    <w:rsid w:val="00A03EE5"/>
    <w:rsid w:val="00A03FD1"/>
    <w:rsid w:val="00A07F84"/>
    <w:rsid w:val="00A10D03"/>
    <w:rsid w:val="00A10F9E"/>
    <w:rsid w:val="00A36813"/>
    <w:rsid w:val="00A3686B"/>
    <w:rsid w:val="00A521DC"/>
    <w:rsid w:val="00A53299"/>
    <w:rsid w:val="00A762AE"/>
    <w:rsid w:val="00A76BB6"/>
    <w:rsid w:val="00A80618"/>
    <w:rsid w:val="00A8243A"/>
    <w:rsid w:val="00A94976"/>
    <w:rsid w:val="00AB4F45"/>
    <w:rsid w:val="00AE152C"/>
    <w:rsid w:val="00AE62D5"/>
    <w:rsid w:val="00AE6DB2"/>
    <w:rsid w:val="00AF6AB4"/>
    <w:rsid w:val="00B04B0A"/>
    <w:rsid w:val="00B35600"/>
    <w:rsid w:val="00B4771F"/>
    <w:rsid w:val="00B66C26"/>
    <w:rsid w:val="00B711B6"/>
    <w:rsid w:val="00B841B5"/>
    <w:rsid w:val="00B941C5"/>
    <w:rsid w:val="00BB075E"/>
    <w:rsid w:val="00BB2BD4"/>
    <w:rsid w:val="00BC311D"/>
    <w:rsid w:val="00BC3F1B"/>
    <w:rsid w:val="00BC4B41"/>
    <w:rsid w:val="00BC4B91"/>
    <w:rsid w:val="00BF0EA7"/>
    <w:rsid w:val="00BF2A6D"/>
    <w:rsid w:val="00C018E9"/>
    <w:rsid w:val="00C0450A"/>
    <w:rsid w:val="00C11646"/>
    <w:rsid w:val="00C15F30"/>
    <w:rsid w:val="00C32FAA"/>
    <w:rsid w:val="00C339F0"/>
    <w:rsid w:val="00C55BA2"/>
    <w:rsid w:val="00C56700"/>
    <w:rsid w:val="00C611CA"/>
    <w:rsid w:val="00C906E3"/>
    <w:rsid w:val="00C95870"/>
    <w:rsid w:val="00CA7951"/>
    <w:rsid w:val="00CB3452"/>
    <w:rsid w:val="00CB48A1"/>
    <w:rsid w:val="00CB59B1"/>
    <w:rsid w:val="00CC4544"/>
    <w:rsid w:val="00CD203B"/>
    <w:rsid w:val="00CE5D64"/>
    <w:rsid w:val="00D11C25"/>
    <w:rsid w:val="00D15641"/>
    <w:rsid w:val="00D16AD0"/>
    <w:rsid w:val="00D214A6"/>
    <w:rsid w:val="00D33C5F"/>
    <w:rsid w:val="00D822F3"/>
    <w:rsid w:val="00DB403A"/>
    <w:rsid w:val="00DB5CFB"/>
    <w:rsid w:val="00DB6C81"/>
    <w:rsid w:val="00DE15CB"/>
    <w:rsid w:val="00DF4801"/>
    <w:rsid w:val="00E03085"/>
    <w:rsid w:val="00E04AF6"/>
    <w:rsid w:val="00E05062"/>
    <w:rsid w:val="00E07DBD"/>
    <w:rsid w:val="00E42EA5"/>
    <w:rsid w:val="00E44772"/>
    <w:rsid w:val="00E651C6"/>
    <w:rsid w:val="00E70A97"/>
    <w:rsid w:val="00E839EF"/>
    <w:rsid w:val="00E8551E"/>
    <w:rsid w:val="00E86E28"/>
    <w:rsid w:val="00EB1ED7"/>
    <w:rsid w:val="00EC3602"/>
    <w:rsid w:val="00EF6068"/>
    <w:rsid w:val="00F07D6A"/>
    <w:rsid w:val="00F3122E"/>
    <w:rsid w:val="00F410D6"/>
    <w:rsid w:val="00F63B4C"/>
    <w:rsid w:val="00F71130"/>
    <w:rsid w:val="00F903A0"/>
    <w:rsid w:val="00F91924"/>
    <w:rsid w:val="00F950ED"/>
    <w:rsid w:val="00FA2AB2"/>
    <w:rsid w:val="00FA3C39"/>
    <w:rsid w:val="00FA5E2D"/>
    <w:rsid w:val="00FC126B"/>
    <w:rsid w:val="00FD1060"/>
    <w:rsid w:val="00FD46A5"/>
    <w:rsid w:val="00FD57FE"/>
    <w:rsid w:val="00FE44EA"/>
    <w:rsid w:val="00FF1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51E"/>
    <w:pPr>
      <w:widowControl w:val="0"/>
    </w:pPr>
  </w:style>
  <w:style w:type="paragraph" w:styleId="Heading1">
    <w:name w:val="heading 1"/>
    <w:basedOn w:val="Normal"/>
    <w:next w:val="Normal"/>
    <w:qFormat/>
    <w:rsid w:val="00E8551E"/>
    <w:pPr>
      <w:keepNext/>
      <w:outlineLvl w:val="0"/>
    </w:pPr>
    <w:rPr>
      <w:b/>
      <w:sz w:val="24"/>
    </w:rPr>
  </w:style>
  <w:style w:type="paragraph" w:styleId="Heading2">
    <w:name w:val="heading 2"/>
    <w:basedOn w:val="Normal"/>
    <w:next w:val="Normal"/>
    <w:qFormat/>
    <w:rsid w:val="00E8551E"/>
    <w:pPr>
      <w:keepNext/>
      <w:outlineLvl w:val="1"/>
    </w:pPr>
    <w:rPr>
      <w:sz w:val="24"/>
    </w:rPr>
  </w:style>
  <w:style w:type="paragraph" w:styleId="Heading3">
    <w:name w:val="heading 3"/>
    <w:basedOn w:val="Normal"/>
    <w:next w:val="Normal"/>
    <w:qFormat/>
    <w:rsid w:val="00E8551E"/>
    <w:pPr>
      <w:keepNext/>
      <w:tabs>
        <w:tab w:val="left" w:pos="446"/>
      </w:tabs>
      <w:ind w:left="450"/>
      <w:outlineLvl w:val="2"/>
    </w:pPr>
    <w:rPr>
      <w:sz w:val="24"/>
    </w:rPr>
  </w:style>
  <w:style w:type="paragraph" w:styleId="Heading4">
    <w:name w:val="heading 4"/>
    <w:basedOn w:val="Normal"/>
    <w:next w:val="Normal"/>
    <w:qFormat/>
    <w:rsid w:val="00E8551E"/>
    <w:pPr>
      <w:keepNext/>
      <w:tabs>
        <w:tab w:val="left" w:pos="446"/>
      </w:tabs>
      <w:ind w:left="450" w:firstLine="60"/>
      <w:outlineLvl w:val="3"/>
    </w:pPr>
    <w:rPr>
      <w:sz w:val="24"/>
    </w:rPr>
  </w:style>
  <w:style w:type="paragraph" w:styleId="Heading5">
    <w:name w:val="heading 5"/>
    <w:basedOn w:val="Normal"/>
    <w:next w:val="Normal"/>
    <w:qFormat/>
    <w:rsid w:val="00E8551E"/>
    <w:pPr>
      <w:keepNext/>
      <w:tabs>
        <w:tab w:val="left" w:pos="446"/>
      </w:tabs>
      <w:outlineLvl w:val="4"/>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8551E"/>
    <w:pPr>
      <w:tabs>
        <w:tab w:val="center" w:pos="4320"/>
        <w:tab w:val="right" w:pos="8640"/>
      </w:tabs>
    </w:pPr>
  </w:style>
  <w:style w:type="character" w:styleId="PageNumber">
    <w:name w:val="page number"/>
    <w:basedOn w:val="DefaultParagraphFont"/>
    <w:rsid w:val="00E8551E"/>
  </w:style>
  <w:style w:type="paragraph" w:styleId="BodyText">
    <w:name w:val="Body Text"/>
    <w:basedOn w:val="Normal"/>
    <w:rsid w:val="00E8551E"/>
    <w:rPr>
      <w:sz w:val="24"/>
    </w:rPr>
  </w:style>
  <w:style w:type="paragraph" w:styleId="BodyText2">
    <w:name w:val="Body Text 2"/>
    <w:basedOn w:val="Normal"/>
    <w:rsid w:val="00E8551E"/>
    <w:rPr>
      <w:sz w:val="24"/>
      <w:u w:val="single"/>
    </w:rPr>
  </w:style>
  <w:style w:type="paragraph" w:styleId="BodyTextIndent">
    <w:name w:val="Body Text Indent"/>
    <w:basedOn w:val="Normal"/>
    <w:rsid w:val="00E8551E"/>
    <w:pPr>
      <w:tabs>
        <w:tab w:val="left" w:pos="446"/>
      </w:tabs>
      <w:ind w:left="450"/>
    </w:pPr>
    <w:rPr>
      <w:sz w:val="24"/>
    </w:rPr>
  </w:style>
  <w:style w:type="character" w:styleId="Hyperlink">
    <w:name w:val="Hyperlink"/>
    <w:basedOn w:val="DefaultParagraphFont"/>
    <w:rsid w:val="00E8551E"/>
    <w:rPr>
      <w:color w:val="0000FF"/>
      <w:u w:val="single"/>
    </w:rPr>
  </w:style>
  <w:style w:type="paragraph" w:styleId="DocumentMap">
    <w:name w:val="Document Map"/>
    <w:basedOn w:val="Normal"/>
    <w:semiHidden/>
    <w:rsid w:val="00E8551E"/>
    <w:pPr>
      <w:shd w:val="clear" w:color="auto" w:fill="000080"/>
    </w:pPr>
    <w:rPr>
      <w:rFonts w:ascii="Tahoma" w:hAnsi="Tahoma"/>
    </w:rPr>
  </w:style>
  <w:style w:type="paragraph" w:styleId="BodyText3">
    <w:name w:val="Body Text 3"/>
    <w:basedOn w:val="Normal"/>
    <w:rsid w:val="00E8551E"/>
    <w:pPr>
      <w:tabs>
        <w:tab w:val="left" w:pos="446"/>
      </w:tabs>
      <w:jc w:val="both"/>
    </w:pPr>
    <w:rPr>
      <w:sz w:val="24"/>
    </w:rPr>
  </w:style>
  <w:style w:type="paragraph" w:styleId="BalloonText">
    <w:name w:val="Balloon Text"/>
    <w:basedOn w:val="Normal"/>
    <w:semiHidden/>
    <w:rsid w:val="00E8551E"/>
    <w:rPr>
      <w:rFonts w:ascii="Tahoma" w:hAnsi="Tahoma" w:cs="Tahoma"/>
      <w:sz w:val="16"/>
      <w:szCs w:val="16"/>
    </w:rPr>
  </w:style>
  <w:style w:type="paragraph" w:styleId="FootnoteText">
    <w:name w:val="footnote text"/>
    <w:basedOn w:val="Normal"/>
    <w:semiHidden/>
    <w:rsid w:val="00E8551E"/>
  </w:style>
  <w:style w:type="character" w:styleId="FootnoteReference">
    <w:name w:val="footnote reference"/>
    <w:basedOn w:val="DefaultParagraphFont"/>
    <w:semiHidden/>
    <w:rsid w:val="00E8551E"/>
    <w:rPr>
      <w:vertAlign w:val="superscript"/>
    </w:rPr>
  </w:style>
  <w:style w:type="paragraph" w:styleId="Header">
    <w:name w:val="header"/>
    <w:basedOn w:val="Normal"/>
    <w:rsid w:val="00E8551E"/>
    <w:pPr>
      <w:tabs>
        <w:tab w:val="center" w:pos="4320"/>
        <w:tab w:val="right" w:pos="8640"/>
      </w:tabs>
    </w:pPr>
  </w:style>
  <w:style w:type="paragraph" w:styleId="Title">
    <w:name w:val="Title"/>
    <w:basedOn w:val="Normal"/>
    <w:qFormat/>
    <w:rsid w:val="00E8551E"/>
    <w:pPr>
      <w:tabs>
        <w:tab w:val="left" w:pos="446"/>
      </w:tabs>
      <w:jc w:val="center"/>
    </w:pPr>
    <w:rPr>
      <w:b/>
      <w:sz w:val="26"/>
    </w:rPr>
  </w:style>
  <w:style w:type="table" w:styleId="TableGrid">
    <w:name w:val="Table Grid"/>
    <w:basedOn w:val="TableNormal"/>
    <w:rsid w:val="001C0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558B5"/>
    <w:rPr>
      <w:sz w:val="16"/>
      <w:szCs w:val="16"/>
    </w:rPr>
  </w:style>
  <w:style w:type="paragraph" w:styleId="CommentText">
    <w:name w:val="annotation text"/>
    <w:basedOn w:val="Normal"/>
    <w:semiHidden/>
    <w:rsid w:val="003558B5"/>
  </w:style>
  <w:style w:type="paragraph" w:styleId="CommentSubject">
    <w:name w:val="annotation subject"/>
    <w:basedOn w:val="CommentText"/>
    <w:next w:val="CommentText"/>
    <w:semiHidden/>
    <w:rsid w:val="003558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51E"/>
    <w:pPr>
      <w:widowControl w:val="0"/>
    </w:pPr>
  </w:style>
  <w:style w:type="paragraph" w:styleId="Heading1">
    <w:name w:val="heading 1"/>
    <w:basedOn w:val="Normal"/>
    <w:next w:val="Normal"/>
    <w:qFormat/>
    <w:rsid w:val="00E8551E"/>
    <w:pPr>
      <w:keepNext/>
      <w:outlineLvl w:val="0"/>
    </w:pPr>
    <w:rPr>
      <w:b/>
      <w:sz w:val="24"/>
    </w:rPr>
  </w:style>
  <w:style w:type="paragraph" w:styleId="Heading2">
    <w:name w:val="heading 2"/>
    <w:basedOn w:val="Normal"/>
    <w:next w:val="Normal"/>
    <w:qFormat/>
    <w:rsid w:val="00E8551E"/>
    <w:pPr>
      <w:keepNext/>
      <w:outlineLvl w:val="1"/>
    </w:pPr>
    <w:rPr>
      <w:sz w:val="24"/>
    </w:rPr>
  </w:style>
  <w:style w:type="paragraph" w:styleId="Heading3">
    <w:name w:val="heading 3"/>
    <w:basedOn w:val="Normal"/>
    <w:next w:val="Normal"/>
    <w:qFormat/>
    <w:rsid w:val="00E8551E"/>
    <w:pPr>
      <w:keepNext/>
      <w:tabs>
        <w:tab w:val="left" w:pos="446"/>
      </w:tabs>
      <w:ind w:left="450"/>
      <w:outlineLvl w:val="2"/>
    </w:pPr>
    <w:rPr>
      <w:sz w:val="24"/>
    </w:rPr>
  </w:style>
  <w:style w:type="paragraph" w:styleId="Heading4">
    <w:name w:val="heading 4"/>
    <w:basedOn w:val="Normal"/>
    <w:next w:val="Normal"/>
    <w:qFormat/>
    <w:rsid w:val="00E8551E"/>
    <w:pPr>
      <w:keepNext/>
      <w:tabs>
        <w:tab w:val="left" w:pos="446"/>
      </w:tabs>
      <w:ind w:left="450" w:firstLine="60"/>
      <w:outlineLvl w:val="3"/>
    </w:pPr>
    <w:rPr>
      <w:sz w:val="24"/>
    </w:rPr>
  </w:style>
  <w:style w:type="paragraph" w:styleId="Heading5">
    <w:name w:val="heading 5"/>
    <w:basedOn w:val="Normal"/>
    <w:next w:val="Normal"/>
    <w:qFormat/>
    <w:rsid w:val="00E8551E"/>
    <w:pPr>
      <w:keepNext/>
      <w:tabs>
        <w:tab w:val="left" w:pos="446"/>
      </w:tabs>
      <w:outlineLvl w:val="4"/>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8551E"/>
    <w:pPr>
      <w:tabs>
        <w:tab w:val="center" w:pos="4320"/>
        <w:tab w:val="right" w:pos="8640"/>
      </w:tabs>
    </w:pPr>
  </w:style>
  <w:style w:type="character" w:styleId="PageNumber">
    <w:name w:val="page number"/>
    <w:basedOn w:val="DefaultParagraphFont"/>
    <w:rsid w:val="00E8551E"/>
  </w:style>
  <w:style w:type="paragraph" w:styleId="BodyText">
    <w:name w:val="Body Text"/>
    <w:basedOn w:val="Normal"/>
    <w:rsid w:val="00E8551E"/>
    <w:rPr>
      <w:sz w:val="24"/>
    </w:rPr>
  </w:style>
  <w:style w:type="paragraph" w:styleId="BodyText2">
    <w:name w:val="Body Text 2"/>
    <w:basedOn w:val="Normal"/>
    <w:rsid w:val="00E8551E"/>
    <w:rPr>
      <w:sz w:val="24"/>
      <w:u w:val="single"/>
    </w:rPr>
  </w:style>
  <w:style w:type="paragraph" w:styleId="BodyTextIndent">
    <w:name w:val="Body Text Indent"/>
    <w:basedOn w:val="Normal"/>
    <w:rsid w:val="00E8551E"/>
    <w:pPr>
      <w:tabs>
        <w:tab w:val="left" w:pos="446"/>
      </w:tabs>
      <w:ind w:left="450"/>
    </w:pPr>
    <w:rPr>
      <w:sz w:val="24"/>
    </w:rPr>
  </w:style>
  <w:style w:type="character" w:styleId="Hyperlink">
    <w:name w:val="Hyperlink"/>
    <w:basedOn w:val="DefaultParagraphFont"/>
    <w:rsid w:val="00E8551E"/>
    <w:rPr>
      <w:color w:val="0000FF"/>
      <w:u w:val="single"/>
    </w:rPr>
  </w:style>
  <w:style w:type="paragraph" w:styleId="DocumentMap">
    <w:name w:val="Document Map"/>
    <w:basedOn w:val="Normal"/>
    <w:semiHidden/>
    <w:rsid w:val="00E8551E"/>
    <w:pPr>
      <w:shd w:val="clear" w:color="auto" w:fill="000080"/>
    </w:pPr>
    <w:rPr>
      <w:rFonts w:ascii="Tahoma" w:hAnsi="Tahoma"/>
    </w:rPr>
  </w:style>
  <w:style w:type="paragraph" w:styleId="BodyText3">
    <w:name w:val="Body Text 3"/>
    <w:basedOn w:val="Normal"/>
    <w:rsid w:val="00E8551E"/>
    <w:pPr>
      <w:tabs>
        <w:tab w:val="left" w:pos="446"/>
      </w:tabs>
      <w:jc w:val="both"/>
    </w:pPr>
    <w:rPr>
      <w:sz w:val="24"/>
    </w:rPr>
  </w:style>
  <w:style w:type="paragraph" w:styleId="BalloonText">
    <w:name w:val="Balloon Text"/>
    <w:basedOn w:val="Normal"/>
    <w:semiHidden/>
    <w:rsid w:val="00E8551E"/>
    <w:rPr>
      <w:rFonts w:ascii="Tahoma" w:hAnsi="Tahoma" w:cs="Tahoma"/>
      <w:sz w:val="16"/>
      <w:szCs w:val="16"/>
    </w:rPr>
  </w:style>
  <w:style w:type="paragraph" w:styleId="FootnoteText">
    <w:name w:val="footnote text"/>
    <w:basedOn w:val="Normal"/>
    <w:semiHidden/>
    <w:rsid w:val="00E8551E"/>
  </w:style>
  <w:style w:type="character" w:styleId="FootnoteReference">
    <w:name w:val="footnote reference"/>
    <w:basedOn w:val="DefaultParagraphFont"/>
    <w:semiHidden/>
    <w:rsid w:val="00E8551E"/>
    <w:rPr>
      <w:vertAlign w:val="superscript"/>
    </w:rPr>
  </w:style>
  <w:style w:type="paragraph" w:styleId="Header">
    <w:name w:val="header"/>
    <w:basedOn w:val="Normal"/>
    <w:rsid w:val="00E8551E"/>
    <w:pPr>
      <w:tabs>
        <w:tab w:val="center" w:pos="4320"/>
        <w:tab w:val="right" w:pos="8640"/>
      </w:tabs>
    </w:pPr>
  </w:style>
  <w:style w:type="paragraph" w:styleId="Title">
    <w:name w:val="Title"/>
    <w:basedOn w:val="Normal"/>
    <w:qFormat/>
    <w:rsid w:val="00E8551E"/>
    <w:pPr>
      <w:tabs>
        <w:tab w:val="left" w:pos="446"/>
      </w:tabs>
      <w:jc w:val="center"/>
    </w:pPr>
    <w:rPr>
      <w:b/>
      <w:sz w:val="26"/>
    </w:rPr>
  </w:style>
  <w:style w:type="table" w:styleId="TableGrid">
    <w:name w:val="Table Grid"/>
    <w:basedOn w:val="TableNormal"/>
    <w:rsid w:val="001C0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558B5"/>
    <w:rPr>
      <w:sz w:val="16"/>
      <w:szCs w:val="16"/>
    </w:rPr>
  </w:style>
  <w:style w:type="paragraph" w:styleId="CommentText">
    <w:name w:val="annotation text"/>
    <w:basedOn w:val="Normal"/>
    <w:semiHidden/>
    <w:rsid w:val="003558B5"/>
  </w:style>
  <w:style w:type="paragraph" w:styleId="CommentSubject">
    <w:name w:val="annotation subject"/>
    <w:basedOn w:val="CommentText"/>
    <w:next w:val="CommentText"/>
    <w:semiHidden/>
    <w:rsid w:val="003558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1358</Words>
  <Characters>7517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8858</CharactersWithSpaces>
  <SharedDoc>false</SharedDoc>
  <HLinks>
    <vt:vector size="6" baseType="variant">
      <vt:variant>
        <vt:i4>7733357</vt:i4>
      </vt:variant>
      <vt:variant>
        <vt:i4>0</vt:i4>
      </vt:variant>
      <vt:variant>
        <vt:i4>0</vt:i4>
      </vt:variant>
      <vt:variant>
        <vt:i4>5</vt:i4>
      </vt:variant>
      <vt:variant>
        <vt:lpwstr>http://www.treas.gov/tic/fpis.html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2016-11-04T20:16:00Z</dcterms:created>
  <dcterms:modified xsi:type="dcterms:W3CDTF">2016-11-04T20:37:00Z</dcterms:modified>
</cp:coreProperties>
</file>