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43" w:rsidRPr="00C47939" w:rsidRDefault="00BD0143" w:rsidP="00BD0143">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1D7F31" w:rsidRPr="001D7F31" w:rsidRDefault="007A3831" w:rsidP="00CD6677">
      <w:pPr>
        <w:jc w:val="center"/>
      </w:pPr>
      <w:r>
        <w:t>Collection Title:</w:t>
      </w:r>
      <w:r w:rsidR="00643FAF" w:rsidRPr="00643FAF">
        <w:t xml:space="preserve"> </w:t>
      </w:r>
      <w:r w:rsidR="00CD6677" w:rsidRPr="00CD6677">
        <w:t>FEMA Preparedness Grants: Nonprofit Security Grant Program (NSGP)</w:t>
      </w:r>
    </w:p>
    <w:p w:rsidR="00BD0143" w:rsidRDefault="00BD0143" w:rsidP="00BD0143">
      <w:pPr>
        <w:jc w:val="center"/>
      </w:pPr>
      <w:r>
        <w:t xml:space="preserve">OMB </w:t>
      </w:r>
      <w:r w:rsidR="004B5421">
        <w:t>Control No.: 1660</w:t>
      </w:r>
      <w:r w:rsidR="004B5421" w:rsidRPr="00745FC2">
        <w:t>-</w:t>
      </w:r>
      <w:r w:rsidR="00CD6677">
        <w:t>0110</w:t>
      </w:r>
    </w:p>
    <w:p w:rsidR="00BD0143" w:rsidRDefault="00BD0143" w:rsidP="00BD0143">
      <w:pPr>
        <w:jc w:val="center"/>
      </w:pPr>
      <w:r>
        <w:t xml:space="preserve">Current Expiration Date: </w:t>
      </w:r>
      <w:r w:rsidR="00D640C0">
        <w:t>12/31/2016</w:t>
      </w:r>
    </w:p>
    <w:p w:rsidR="00B11616" w:rsidRPr="001D7F31" w:rsidRDefault="00B11616" w:rsidP="00B11616">
      <w:pPr>
        <w:tabs>
          <w:tab w:val="left" w:pos="-720"/>
        </w:tabs>
        <w:suppressAutoHyphens/>
      </w:pPr>
      <w:r>
        <w:tab/>
      </w:r>
      <w:r>
        <w:tab/>
      </w:r>
      <w:r>
        <w:tab/>
      </w:r>
      <w:r>
        <w:tab/>
      </w:r>
      <w:r w:rsidR="00BD0143" w:rsidRPr="00065001">
        <w:t xml:space="preserve">Collection Instruments: </w:t>
      </w:r>
      <w:r w:rsidR="007D2A43">
        <w:t>FEMA Form 089-24;</w:t>
      </w:r>
      <w:r w:rsidR="007D2A43" w:rsidRPr="007D2A43">
        <w:t xml:space="preserve"> FEMA Form 089-25</w:t>
      </w:r>
    </w:p>
    <w:p w:rsidR="001C7767" w:rsidRPr="00B11616" w:rsidRDefault="001C7767" w:rsidP="00B11616">
      <w:pPr>
        <w:tabs>
          <w:tab w:val="left" w:pos="-720"/>
        </w:tabs>
        <w:suppressAutoHyphens/>
      </w:pPr>
    </w:p>
    <w:p w:rsidR="001D7F31" w:rsidRPr="001D7F31" w:rsidRDefault="001D7F31" w:rsidP="001D7F31">
      <w:r w:rsidRPr="001D7F31">
        <w:t>The following are the changes to the collection:</w:t>
      </w:r>
    </w:p>
    <w:p w:rsidR="001D7F31" w:rsidRPr="001D7F31" w:rsidRDefault="001D7F31" w:rsidP="001D7F31"/>
    <w:p w:rsidR="001D7F31" w:rsidRPr="001D7F31" w:rsidRDefault="001D7F31" w:rsidP="001D7F31">
      <w:r w:rsidRPr="001D7F31">
        <w:t xml:space="preserve">Supporting Statement: </w:t>
      </w:r>
    </w:p>
    <w:p w:rsidR="00051636" w:rsidRDefault="00051636" w:rsidP="00051636">
      <w:r>
        <w:t>Question 2- Following requirement removed:</w:t>
      </w:r>
    </w:p>
    <w:p w:rsidR="00051636" w:rsidRPr="00051636" w:rsidRDefault="00051636" w:rsidP="00051636">
      <w:pPr>
        <w:ind w:left="1170"/>
        <w:rPr>
          <w:bCs/>
          <w:sz w:val="18"/>
          <w:szCs w:val="18"/>
        </w:rPr>
      </w:pPr>
      <w:r w:rsidRPr="00051636">
        <w:rPr>
          <w:b/>
          <w:bCs/>
          <w:sz w:val="18"/>
          <w:szCs w:val="18"/>
        </w:rPr>
        <w:t>Preparedness Comprehensive Assessment Support Tool (</w:t>
      </w:r>
      <w:proofErr w:type="spellStart"/>
      <w:r w:rsidRPr="00051636">
        <w:rPr>
          <w:b/>
          <w:bCs/>
          <w:sz w:val="18"/>
          <w:szCs w:val="18"/>
        </w:rPr>
        <w:t>PrepCAST</w:t>
      </w:r>
      <w:proofErr w:type="spellEnd"/>
      <w:r w:rsidRPr="00051636">
        <w:rPr>
          <w:b/>
          <w:bCs/>
          <w:sz w:val="18"/>
          <w:szCs w:val="18"/>
        </w:rPr>
        <w:t xml:space="preserve">) formerly known as the National Incident Management System Compliance Assistance Support Tool (NIMSCAST) – </w:t>
      </w:r>
      <w:proofErr w:type="spellStart"/>
      <w:r w:rsidRPr="00051636">
        <w:rPr>
          <w:bCs/>
          <w:sz w:val="18"/>
          <w:szCs w:val="18"/>
        </w:rPr>
        <w:t>PrepCAST</w:t>
      </w:r>
      <w:proofErr w:type="spellEnd"/>
      <w:r w:rsidRPr="00051636">
        <w:rPr>
          <w:sz w:val="18"/>
          <w:szCs w:val="18"/>
        </w:rPr>
        <w:t xml:space="preserve"> facilitates and reports State, Territory, tribal and local jurisdictions’ compliance with the National Incident Management System (NIMS).  </w:t>
      </w:r>
      <w:proofErr w:type="spellStart"/>
      <w:r w:rsidRPr="00051636">
        <w:rPr>
          <w:sz w:val="18"/>
          <w:szCs w:val="18"/>
        </w:rPr>
        <w:t>PrepCAST</w:t>
      </w:r>
      <w:proofErr w:type="spellEnd"/>
      <w:r w:rsidRPr="00051636">
        <w:rPr>
          <w:sz w:val="18"/>
          <w:szCs w:val="18"/>
        </w:rPr>
        <w:t xml:space="preserve"> allows incident management authorities and resource managers to assess their current capabilities as well as to determine what additional measures should be taken and what resources are needed to effectively implement the NIMS nationwide. </w:t>
      </w:r>
      <w:r w:rsidRPr="00051636">
        <w:rPr>
          <w:bCs/>
          <w:sz w:val="18"/>
          <w:szCs w:val="18"/>
        </w:rPr>
        <w:t xml:space="preserve">The State Preparedness Report provides information on the readiness of states to respond to disaster situations.  The capability based data in this report is used in conjunction with other data to create documents such as the National Preparedness Report.  </w:t>
      </w:r>
      <w:r w:rsidRPr="00051636">
        <w:rPr>
          <w:sz w:val="18"/>
          <w:szCs w:val="18"/>
        </w:rPr>
        <w:t>This collection activity is approved under OMB Control Number 1660-0087, which expires on 4/30/2016.</w:t>
      </w:r>
    </w:p>
    <w:p w:rsidR="00051636" w:rsidRDefault="00051636" w:rsidP="00051636">
      <w:pPr>
        <w:ind w:left="1170" w:hanging="1170"/>
      </w:pPr>
      <w:r>
        <w:tab/>
      </w:r>
    </w:p>
    <w:p w:rsidR="00051636" w:rsidRDefault="00051636" w:rsidP="00051636">
      <w:pPr>
        <w:ind w:left="1170" w:hanging="1170"/>
        <w:rPr>
          <w:rFonts w:ascii="Cambria" w:hAnsi="Cambria"/>
          <w:color w:val="000000"/>
        </w:rPr>
      </w:pPr>
      <w:r>
        <w:t xml:space="preserve">Explanation: </w:t>
      </w:r>
      <w:proofErr w:type="spellStart"/>
      <w:r>
        <w:rPr>
          <w:rFonts w:ascii="Cambria" w:hAnsi="Cambria"/>
          <w:color w:val="000000"/>
        </w:rPr>
        <w:t>PrepCAST</w:t>
      </w:r>
      <w:proofErr w:type="spellEnd"/>
      <w:r>
        <w:rPr>
          <w:rFonts w:ascii="Cambria" w:hAnsi="Cambria"/>
          <w:color w:val="000000"/>
        </w:rPr>
        <w:t xml:space="preserve"> was a portal through which the State, Territory, and Tribal jurisdiction access various online reporting systems, including NIMSCAST. </w:t>
      </w:r>
      <w:proofErr w:type="spellStart"/>
      <w:r>
        <w:rPr>
          <w:rFonts w:ascii="Cambria" w:hAnsi="Cambria"/>
          <w:color w:val="000000"/>
        </w:rPr>
        <w:t>PrepCAST</w:t>
      </w:r>
      <w:proofErr w:type="spellEnd"/>
      <w:r>
        <w:rPr>
          <w:rFonts w:ascii="Cambria" w:hAnsi="Cambria"/>
          <w:color w:val="000000"/>
        </w:rPr>
        <w:t xml:space="preserve"> and NIMSCAST were discontinued at the end of 2012.</w:t>
      </w:r>
    </w:p>
    <w:p w:rsidR="00051636" w:rsidRPr="00051636" w:rsidRDefault="00051636" w:rsidP="00051636">
      <w:pPr>
        <w:ind w:left="1170" w:hanging="1170"/>
      </w:pPr>
    </w:p>
    <w:p w:rsidR="00051636" w:rsidRDefault="00051636" w:rsidP="00051636">
      <w:pPr>
        <w:ind w:left="1170"/>
        <w:rPr>
          <w:rFonts w:ascii="Cambria" w:hAnsi="Cambria"/>
          <w:color w:val="000000"/>
        </w:rPr>
      </w:pPr>
      <w:r>
        <w:rPr>
          <w:rFonts w:ascii="Cambria" w:hAnsi="Cambria"/>
          <w:color w:val="000000"/>
        </w:rPr>
        <w:t xml:space="preserve">Since 2012, the State, Territory, and Tribal jurisdiction have reported their NIMS implementation status using the Unified Report Tool (URT). The URT contains the Threat and Hazard Identification and Risk Assessment (THIRA) and the State Preparedness Report (SPR). </w:t>
      </w:r>
    </w:p>
    <w:p w:rsidR="00051636" w:rsidRDefault="00051636" w:rsidP="00051636">
      <w:pPr>
        <w:ind w:left="1170"/>
        <w:rPr>
          <w:rFonts w:ascii="Cambria" w:hAnsi="Cambria"/>
          <w:color w:val="000000"/>
        </w:rPr>
      </w:pPr>
    </w:p>
    <w:p w:rsidR="00051636" w:rsidRDefault="00051636" w:rsidP="00051636">
      <w:pPr>
        <w:ind w:left="1170"/>
        <w:rPr>
          <w:rFonts w:ascii="Cambria" w:hAnsi="Cambria"/>
          <w:color w:val="000000"/>
        </w:rPr>
      </w:pPr>
      <w:r>
        <w:rPr>
          <w:rFonts w:ascii="Cambria" w:hAnsi="Cambria"/>
          <w:color w:val="000000"/>
        </w:rPr>
        <w:t xml:space="preserve">This is a requirement of the Homeland Security Grant Program and no longer </w:t>
      </w:r>
      <w:r w:rsidR="002B2839">
        <w:rPr>
          <w:rFonts w:ascii="Cambria" w:hAnsi="Cambria"/>
          <w:color w:val="000000"/>
        </w:rPr>
        <w:t>required</w:t>
      </w:r>
      <w:r>
        <w:rPr>
          <w:rFonts w:ascii="Cambria" w:hAnsi="Cambria"/>
          <w:color w:val="000000"/>
        </w:rPr>
        <w:t xml:space="preserve"> </w:t>
      </w:r>
      <w:r w:rsidR="002B2839">
        <w:rPr>
          <w:rFonts w:ascii="Cambria" w:hAnsi="Cambria"/>
          <w:color w:val="000000"/>
        </w:rPr>
        <w:t>for</w:t>
      </w:r>
      <w:r>
        <w:rPr>
          <w:rFonts w:ascii="Cambria" w:hAnsi="Cambria"/>
          <w:color w:val="000000"/>
        </w:rPr>
        <w:t xml:space="preserve"> NSGP thus this language has been removed.</w:t>
      </w:r>
    </w:p>
    <w:p w:rsidR="00051636" w:rsidRDefault="00051636" w:rsidP="00051636"/>
    <w:p w:rsidR="00051636" w:rsidRPr="001D7F31" w:rsidRDefault="001D7F31" w:rsidP="00051636">
      <w:r w:rsidRPr="001D7F31">
        <w:t xml:space="preserve">Question 8a – </w:t>
      </w:r>
      <w:r w:rsidR="002E2FD0">
        <w:t>Will be u</w:t>
      </w:r>
      <w:r w:rsidRPr="001D7F31">
        <w:t>pdated to reflect FRN publication information.</w:t>
      </w:r>
    </w:p>
    <w:p w:rsidR="001D7F31" w:rsidRPr="001D7F31" w:rsidRDefault="001D7F31" w:rsidP="001D7F31">
      <w:r w:rsidRPr="001D7F31">
        <w:t xml:space="preserve">Question 10 – </w:t>
      </w:r>
      <w:r w:rsidR="002E2FD0">
        <w:t>Will be u</w:t>
      </w:r>
      <w:r w:rsidRPr="001D7F31">
        <w:t>pdated to reflect current privacy information.</w:t>
      </w:r>
    </w:p>
    <w:p w:rsidR="001D7F31" w:rsidRPr="001D7F31" w:rsidRDefault="001D7F31" w:rsidP="001D7F31">
      <w:r w:rsidRPr="001D7F31">
        <w:t>Question 12 – Updated to reflect the</w:t>
      </w:r>
      <w:r w:rsidR="002E2FD0">
        <w:t xml:space="preserve"> number of State Government Respondents eligible for NSPG</w:t>
      </w:r>
      <w:r w:rsidRPr="001D7F31">
        <w:t xml:space="preserve">. </w:t>
      </w:r>
      <w:r>
        <w:t>See table below.</w:t>
      </w:r>
    </w:p>
    <w:p w:rsidR="007D2A43" w:rsidRDefault="001D7F31" w:rsidP="007D2A43">
      <w:r w:rsidRPr="001D7F31">
        <w:t>Question 14 – Costs to t</w:t>
      </w:r>
      <w:r w:rsidR="002E2FD0">
        <w:t>he Federal Government updated. Contract not renewed</w:t>
      </w:r>
      <w:r w:rsidR="00051636">
        <w:t xml:space="preserve"> additional staff hired. Updated to reflect Fiscal Year 2016 </w:t>
      </w:r>
      <w:proofErr w:type="spellStart"/>
      <w:r w:rsidR="00051636">
        <w:t>payscale</w:t>
      </w:r>
      <w:proofErr w:type="spellEnd"/>
      <w:r w:rsidR="00051636">
        <w:t>.</w:t>
      </w:r>
    </w:p>
    <w:p w:rsidR="007D2A43" w:rsidRDefault="007D2A43" w:rsidP="007D2A43"/>
    <w:p w:rsidR="007B570A" w:rsidRDefault="007B570A" w:rsidP="007D2A43"/>
    <w:p w:rsidR="007B570A" w:rsidRDefault="007B570A" w:rsidP="007D2A43"/>
    <w:p w:rsidR="007B570A" w:rsidRDefault="007B570A" w:rsidP="007D2A43"/>
    <w:p w:rsidR="007B570A" w:rsidRDefault="007B570A" w:rsidP="007D2A43"/>
    <w:p w:rsidR="007B570A" w:rsidRDefault="007B570A" w:rsidP="007D2A43"/>
    <w:p w:rsidR="007D2A43" w:rsidRDefault="007D2A43" w:rsidP="007D2A43">
      <w:pPr>
        <w:rPr>
          <w:b/>
          <w:bCs/>
        </w:rPr>
      </w:pPr>
    </w:p>
    <w:p w:rsidR="005D6E63" w:rsidRPr="005D6E63" w:rsidRDefault="005D6E63" w:rsidP="005D6E63">
      <w:pPr>
        <w:spacing w:after="200" w:line="276" w:lineRule="auto"/>
        <w:rPr>
          <w:rFonts w:eastAsia="Calibri"/>
          <w:b/>
          <w:bCs/>
        </w:rPr>
      </w:pPr>
    </w:p>
    <w:tbl>
      <w:tblPr>
        <w:tblW w:w="10439" w:type="dxa"/>
        <w:jc w:val="center"/>
        <w:tblLook w:val="0000" w:firstRow="0" w:lastRow="0" w:firstColumn="0" w:lastColumn="0" w:noHBand="0" w:noVBand="0"/>
      </w:tblPr>
      <w:tblGrid>
        <w:gridCol w:w="1372"/>
        <w:gridCol w:w="1317"/>
        <w:gridCol w:w="1016"/>
        <w:gridCol w:w="1016"/>
        <w:gridCol w:w="1284"/>
        <w:gridCol w:w="1172"/>
        <w:gridCol w:w="916"/>
        <w:gridCol w:w="850"/>
        <w:gridCol w:w="1496"/>
      </w:tblGrid>
      <w:tr w:rsidR="005D6E63" w:rsidRPr="005D6E63" w:rsidTr="00261506">
        <w:trPr>
          <w:trHeight w:val="270"/>
          <w:jc w:val="center"/>
        </w:trPr>
        <w:tc>
          <w:tcPr>
            <w:tcW w:w="1043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5D6E63" w:rsidRPr="005D6E63" w:rsidRDefault="005D6E63" w:rsidP="005D6E63">
            <w:pPr>
              <w:spacing w:after="200" w:line="276" w:lineRule="auto"/>
              <w:jc w:val="center"/>
              <w:rPr>
                <w:rFonts w:ascii="Arial" w:eastAsia="Calibri" w:hAnsi="Arial" w:cs="Arial"/>
                <w:sz w:val="20"/>
                <w:szCs w:val="20"/>
              </w:rPr>
            </w:pPr>
            <w:r w:rsidRPr="005D6E63">
              <w:rPr>
                <w:rFonts w:ascii="Arial" w:eastAsia="Calibri" w:hAnsi="Arial" w:cs="Arial"/>
                <w:sz w:val="20"/>
                <w:szCs w:val="20"/>
              </w:rPr>
              <w:lastRenderedPageBreak/>
              <w:t>Table A.12: Estimated Annualized Burden Hours and Costs</w:t>
            </w:r>
          </w:p>
        </w:tc>
      </w:tr>
      <w:tr w:rsidR="005D6E63" w:rsidRPr="005D6E63" w:rsidTr="00261506">
        <w:trPr>
          <w:trHeight w:val="1545"/>
          <w:jc w:val="center"/>
        </w:trPr>
        <w:tc>
          <w:tcPr>
            <w:tcW w:w="1372" w:type="dxa"/>
            <w:tcBorders>
              <w:top w:val="nil"/>
              <w:left w:val="single" w:sz="8" w:space="0" w:color="auto"/>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Arial" w:eastAsia="Calibri" w:hAnsi="Arial" w:cs="Arial"/>
                <w:b/>
                <w:bCs/>
                <w:sz w:val="20"/>
                <w:szCs w:val="20"/>
              </w:rPr>
            </w:pPr>
            <w:r w:rsidRPr="005D6E63">
              <w:rPr>
                <w:rFonts w:ascii="Arial" w:eastAsia="Calibri" w:hAnsi="Arial" w:cs="Arial"/>
                <w:b/>
                <w:bCs/>
                <w:sz w:val="20"/>
                <w:szCs w:val="20"/>
              </w:rPr>
              <w:t>Type of Respondent</w:t>
            </w:r>
          </w:p>
        </w:tc>
        <w:tc>
          <w:tcPr>
            <w:tcW w:w="1317" w:type="dxa"/>
            <w:tcBorders>
              <w:top w:val="nil"/>
              <w:left w:val="nil"/>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Arial" w:eastAsia="Calibri" w:hAnsi="Arial" w:cs="Arial"/>
                <w:b/>
                <w:bCs/>
                <w:sz w:val="20"/>
                <w:szCs w:val="20"/>
              </w:rPr>
            </w:pPr>
            <w:r w:rsidRPr="005D6E63">
              <w:rPr>
                <w:rFonts w:ascii="Arial" w:eastAsia="Calibri" w:hAnsi="Arial" w:cs="Arial"/>
                <w:b/>
                <w:bCs/>
                <w:sz w:val="20"/>
                <w:szCs w:val="20"/>
              </w:rPr>
              <w:t>Form Name / Form Number</w:t>
            </w:r>
          </w:p>
        </w:tc>
        <w:tc>
          <w:tcPr>
            <w:tcW w:w="1016" w:type="dxa"/>
            <w:tcBorders>
              <w:top w:val="nil"/>
              <w:left w:val="nil"/>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Arial" w:eastAsia="Calibri" w:hAnsi="Arial" w:cs="Arial"/>
                <w:b/>
                <w:bCs/>
                <w:sz w:val="20"/>
                <w:szCs w:val="20"/>
              </w:rPr>
            </w:pPr>
            <w:r w:rsidRPr="005D6E63">
              <w:rPr>
                <w:rFonts w:ascii="Arial" w:eastAsia="Calibri" w:hAnsi="Arial" w:cs="Arial"/>
                <w:b/>
                <w:bCs/>
                <w:sz w:val="20"/>
                <w:szCs w:val="20"/>
              </w:rPr>
              <w:t xml:space="preserve">No. of </w:t>
            </w:r>
            <w:proofErr w:type="spellStart"/>
            <w:r w:rsidRPr="005D6E63">
              <w:rPr>
                <w:rFonts w:ascii="Arial" w:eastAsia="Calibri" w:hAnsi="Arial" w:cs="Arial"/>
                <w:b/>
                <w:bCs/>
                <w:sz w:val="20"/>
                <w:szCs w:val="20"/>
              </w:rPr>
              <w:t>Respon</w:t>
            </w:r>
            <w:proofErr w:type="spellEnd"/>
            <w:r w:rsidRPr="005D6E63">
              <w:rPr>
                <w:rFonts w:ascii="Arial" w:eastAsia="Calibri" w:hAnsi="Arial" w:cs="Arial"/>
                <w:b/>
                <w:bCs/>
                <w:sz w:val="20"/>
                <w:szCs w:val="20"/>
              </w:rPr>
              <w:t>-dents</w:t>
            </w:r>
          </w:p>
        </w:tc>
        <w:tc>
          <w:tcPr>
            <w:tcW w:w="1016" w:type="dxa"/>
            <w:tcBorders>
              <w:top w:val="nil"/>
              <w:left w:val="nil"/>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Arial" w:eastAsia="Calibri" w:hAnsi="Arial" w:cs="Arial"/>
                <w:b/>
                <w:bCs/>
                <w:sz w:val="20"/>
                <w:szCs w:val="20"/>
              </w:rPr>
            </w:pPr>
            <w:r w:rsidRPr="005D6E63">
              <w:rPr>
                <w:rFonts w:ascii="Arial" w:eastAsia="Calibri" w:hAnsi="Arial" w:cs="Arial"/>
                <w:b/>
                <w:bCs/>
                <w:sz w:val="20"/>
                <w:szCs w:val="20"/>
              </w:rPr>
              <w:t xml:space="preserve">No. of </w:t>
            </w:r>
            <w:proofErr w:type="spellStart"/>
            <w:r w:rsidRPr="005D6E63">
              <w:rPr>
                <w:rFonts w:ascii="Arial" w:eastAsia="Calibri" w:hAnsi="Arial" w:cs="Arial"/>
                <w:b/>
                <w:bCs/>
                <w:sz w:val="20"/>
                <w:szCs w:val="20"/>
              </w:rPr>
              <w:t>Respon-ses</w:t>
            </w:r>
            <w:proofErr w:type="spellEnd"/>
            <w:r w:rsidRPr="005D6E63">
              <w:rPr>
                <w:rFonts w:ascii="Arial" w:eastAsia="Calibri" w:hAnsi="Arial" w:cs="Arial"/>
                <w:b/>
                <w:bCs/>
                <w:sz w:val="20"/>
                <w:szCs w:val="20"/>
              </w:rPr>
              <w:t xml:space="preserve"> per </w:t>
            </w:r>
            <w:proofErr w:type="spellStart"/>
            <w:r w:rsidRPr="005D6E63">
              <w:rPr>
                <w:rFonts w:ascii="Arial" w:eastAsia="Calibri" w:hAnsi="Arial" w:cs="Arial"/>
                <w:b/>
                <w:bCs/>
                <w:sz w:val="20"/>
                <w:szCs w:val="20"/>
              </w:rPr>
              <w:t>Respon</w:t>
            </w:r>
            <w:proofErr w:type="spellEnd"/>
            <w:r w:rsidRPr="005D6E63">
              <w:rPr>
                <w:rFonts w:ascii="Arial" w:eastAsia="Calibri" w:hAnsi="Arial" w:cs="Arial"/>
                <w:b/>
                <w:bCs/>
                <w:sz w:val="20"/>
                <w:szCs w:val="20"/>
              </w:rPr>
              <w:t>-dent</w:t>
            </w:r>
          </w:p>
        </w:tc>
        <w:tc>
          <w:tcPr>
            <w:tcW w:w="1284" w:type="dxa"/>
            <w:tcBorders>
              <w:top w:val="nil"/>
              <w:left w:val="nil"/>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Arial" w:eastAsia="Calibri" w:hAnsi="Arial" w:cs="Arial"/>
                <w:b/>
                <w:bCs/>
                <w:sz w:val="20"/>
                <w:szCs w:val="20"/>
              </w:rPr>
            </w:pPr>
            <w:r w:rsidRPr="005D6E63">
              <w:rPr>
                <w:rFonts w:ascii="Arial" w:eastAsia="Calibri" w:hAnsi="Arial" w:cs="Arial"/>
                <w:b/>
                <w:bCs/>
                <w:sz w:val="20"/>
                <w:szCs w:val="20"/>
              </w:rPr>
              <w:t>Total No. of Responses</w:t>
            </w:r>
          </w:p>
        </w:tc>
        <w:tc>
          <w:tcPr>
            <w:tcW w:w="1172" w:type="dxa"/>
            <w:tcBorders>
              <w:top w:val="nil"/>
              <w:left w:val="nil"/>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Arial" w:eastAsia="Calibri" w:hAnsi="Arial" w:cs="Arial"/>
                <w:b/>
                <w:bCs/>
                <w:sz w:val="20"/>
                <w:szCs w:val="20"/>
              </w:rPr>
            </w:pPr>
            <w:r w:rsidRPr="005D6E63">
              <w:rPr>
                <w:rFonts w:ascii="Arial" w:eastAsia="Calibri" w:hAnsi="Arial" w:cs="Arial"/>
                <w:b/>
                <w:bCs/>
                <w:sz w:val="20"/>
                <w:szCs w:val="20"/>
              </w:rPr>
              <w:t>Avg. Burden per Response (in hours)</w:t>
            </w:r>
          </w:p>
        </w:tc>
        <w:tc>
          <w:tcPr>
            <w:tcW w:w="916" w:type="dxa"/>
            <w:tcBorders>
              <w:top w:val="nil"/>
              <w:left w:val="nil"/>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Arial" w:eastAsia="Calibri" w:hAnsi="Arial" w:cs="Arial"/>
                <w:b/>
                <w:bCs/>
                <w:sz w:val="20"/>
                <w:szCs w:val="20"/>
              </w:rPr>
            </w:pPr>
            <w:r w:rsidRPr="005D6E63">
              <w:rPr>
                <w:rFonts w:ascii="Arial" w:eastAsia="Calibri" w:hAnsi="Arial" w:cs="Arial"/>
                <w:b/>
                <w:bCs/>
                <w:sz w:val="20"/>
                <w:szCs w:val="20"/>
              </w:rPr>
              <w:t>Total Annual Burden (in hours)</w:t>
            </w:r>
          </w:p>
        </w:tc>
        <w:tc>
          <w:tcPr>
            <w:tcW w:w="850" w:type="dxa"/>
            <w:tcBorders>
              <w:top w:val="nil"/>
              <w:left w:val="nil"/>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Arial" w:eastAsia="Calibri" w:hAnsi="Arial" w:cs="Arial"/>
                <w:b/>
                <w:bCs/>
                <w:sz w:val="20"/>
                <w:szCs w:val="20"/>
              </w:rPr>
            </w:pPr>
            <w:r w:rsidRPr="005D6E63">
              <w:rPr>
                <w:rFonts w:ascii="Arial" w:eastAsia="Calibri" w:hAnsi="Arial" w:cs="Arial"/>
                <w:b/>
                <w:bCs/>
                <w:sz w:val="20"/>
                <w:szCs w:val="20"/>
              </w:rPr>
              <w:t>Avg. Hourly Wage Rate*</w:t>
            </w:r>
          </w:p>
        </w:tc>
        <w:tc>
          <w:tcPr>
            <w:tcW w:w="1496" w:type="dxa"/>
            <w:tcBorders>
              <w:top w:val="nil"/>
              <w:left w:val="nil"/>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Arial" w:eastAsia="Calibri" w:hAnsi="Arial" w:cs="Arial"/>
                <w:b/>
                <w:bCs/>
                <w:sz w:val="20"/>
                <w:szCs w:val="20"/>
              </w:rPr>
            </w:pPr>
            <w:r w:rsidRPr="005D6E63">
              <w:rPr>
                <w:rFonts w:ascii="Arial" w:eastAsia="Calibri" w:hAnsi="Arial" w:cs="Arial"/>
                <w:b/>
                <w:bCs/>
                <w:sz w:val="20"/>
                <w:szCs w:val="20"/>
              </w:rPr>
              <w:t>Total Annual Respondent Cost</w:t>
            </w:r>
          </w:p>
        </w:tc>
      </w:tr>
      <w:tr w:rsidR="005D6E63" w:rsidRPr="005D6E63" w:rsidTr="00261506">
        <w:trPr>
          <w:trHeight w:val="1545"/>
          <w:jc w:val="center"/>
        </w:trPr>
        <w:tc>
          <w:tcPr>
            <w:tcW w:w="1372" w:type="dxa"/>
            <w:tcBorders>
              <w:top w:val="nil"/>
              <w:left w:val="single" w:sz="8" w:space="0" w:color="auto"/>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Not-for-profit Institutions</w:t>
            </w:r>
          </w:p>
        </w:tc>
        <w:tc>
          <w:tcPr>
            <w:tcW w:w="1317"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rPr>
                <w:rFonts w:ascii="Arial" w:eastAsia="Calibri" w:hAnsi="Arial" w:cs="Arial"/>
                <w:sz w:val="18"/>
                <w:szCs w:val="18"/>
              </w:rPr>
            </w:pPr>
            <w:r w:rsidRPr="005D6E63">
              <w:rPr>
                <w:rFonts w:ascii="Arial" w:eastAsia="Calibri" w:hAnsi="Arial" w:cs="Arial"/>
                <w:sz w:val="18"/>
                <w:szCs w:val="18"/>
              </w:rPr>
              <w:t>NSGP Investment Justification and Selection Criteria / FEMA Form 089-25</w:t>
            </w:r>
          </w:p>
        </w:tc>
        <w:tc>
          <w:tcPr>
            <w:tcW w:w="1016"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1,100</w:t>
            </w:r>
          </w:p>
        </w:tc>
        <w:tc>
          <w:tcPr>
            <w:tcW w:w="1016"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1</w:t>
            </w:r>
          </w:p>
        </w:tc>
        <w:tc>
          <w:tcPr>
            <w:tcW w:w="1284"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1,100</w:t>
            </w:r>
          </w:p>
        </w:tc>
        <w:tc>
          <w:tcPr>
            <w:tcW w:w="1172"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84 hrs.</w:t>
            </w:r>
          </w:p>
        </w:tc>
        <w:tc>
          <w:tcPr>
            <w:tcW w:w="916"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92,400</w:t>
            </w:r>
          </w:p>
        </w:tc>
        <w:tc>
          <w:tcPr>
            <w:tcW w:w="850"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$35.42</w:t>
            </w:r>
          </w:p>
        </w:tc>
        <w:tc>
          <w:tcPr>
            <w:tcW w:w="1496"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$3,272,808</w:t>
            </w:r>
          </w:p>
        </w:tc>
      </w:tr>
      <w:tr w:rsidR="005D6E63" w:rsidRPr="005D6E63" w:rsidTr="00261506">
        <w:trPr>
          <w:trHeight w:val="1800"/>
          <w:jc w:val="center"/>
        </w:trPr>
        <w:tc>
          <w:tcPr>
            <w:tcW w:w="1372" w:type="dxa"/>
            <w:tcBorders>
              <w:top w:val="nil"/>
              <w:left w:val="single" w:sz="8" w:space="0" w:color="auto"/>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State, Local or Tribal Government</w:t>
            </w:r>
          </w:p>
        </w:tc>
        <w:tc>
          <w:tcPr>
            <w:tcW w:w="1317"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rPr>
                <w:rFonts w:ascii="Arial" w:eastAsia="Calibri" w:hAnsi="Arial" w:cs="Arial"/>
                <w:sz w:val="18"/>
                <w:szCs w:val="18"/>
              </w:rPr>
            </w:pPr>
            <w:r w:rsidRPr="005D6E63">
              <w:rPr>
                <w:rFonts w:ascii="Arial" w:eastAsia="Calibri" w:hAnsi="Arial" w:cs="Arial"/>
                <w:sz w:val="18"/>
                <w:szCs w:val="18"/>
              </w:rPr>
              <w:t>NSGP Prioritization of the Investment Justifications / FEMA Form 089-24</w:t>
            </w:r>
          </w:p>
        </w:tc>
        <w:tc>
          <w:tcPr>
            <w:tcW w:w="1016"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29</w:t>
            </w:r>
          </w:p>
        </w:tc>
        <w:tc>
          <w:tcPr>
            <w:tcW w:w="1016"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1</w:t>
            </w:r>
          </w:p>
        </w:tc>
        <w:tc>
          <w:tcPr>
            <w:tcW w:w="1284"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29</w:t>
            </w:r>
          </w:p>
        </w:tc>
        <w:tc>
          <w:tcPr>
            <w:tcW w:w="1172"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75 hrs.</w:t>
            </w:r>
          </w:p>
        </w:tc>
        <w:tc>
          <w:tcPr>
            <w:tcW w:w="916"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2,175</w:t>
            </w:r>
          </w:p>
        </w:tc>
        <w:tc>
          <w:tcPr>
            <w:tcW w:w="850"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$49.64</w:t>
            </w:r>
          </w:p>
        </w:tc>
        <w:tc>
          <w:tcPr>
            <w:tcW w:w="1496"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$107,967</w:t>
            </w:r>
          </w:p>
        </w:tc>
      </w:tr>
      <w:tr w:rsidR="005D6E63" w:rsidRPr="005D6E63" w:rsidTr="005D6E63">
        <w:trPr>
          <w:trHeight w:val="48"/>
          <w:jc w:val="center"/>
        </w:trPr>
        <w:tc>
          <w:tcPr>
            <w:tcW w:w="1372" w:type="dxa"/>
            <w:tcBorders>
              <w:top w:val="nil"/>
              <w:left w:val="single" w:sz="8" w:space="0" w:color="auto"/>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b/>
                <w:bCs/>
                <w:sz w:val="18"/>
                <w:szCs w:val="18"/>
              </w:rPr>
            </w:pPr>
            <w:r w:rsidRPr="005D6E63">
              <w:rPr>
                <w:rFonts w:ascii="Arial" w:eastAsia="Calibri" w:hAnsi="Arial" w:cs="Arial"/>
                <w:b/>
                <w:bCs/>
                <w:sz w:val="18"/>
                <w:szCs w:val="18"/>
              </w:rPr>
              <w:t>Total</w:t>
            </w:r>
          </w:p>
        </w:tc>
        <w:tc>
          <w:tcPr>
            <w:tcW w:w="1317" w:type="dxa"/>
            <w:tcBorders>
              <w:top w:val="nil"/>
              <w:left w:val="nil"/>
              <w:bottom w:val="single" w:sz="8" w:space="0" w:color="auto"/>
              <w:right w:val="single" w:sz="8" w:space="0" w:color="auto"/>
            </w:tcBorders>
            <w:shd w:val="clear" w:color="auto" w:fill="000000"/>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 </w:t>
            </w:r>
          </w:p>
        </w:tc>
        <w:tc>
          <w:tcPr>
            <w:tcW w:w="1016"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b/>
                <w:bCs/>
                <w:sz w:val="18"/>
                <w:szCs w:val="18"/>
              </w:rPr>
            </w:pPr>
            <w:r w:rsidRPr="005D6E63">
              <w:rPr>
                <w:rFonts w:ascii="Arial" w:eastAsia="Calibri" w:hAnsi="Arial" w:cs="Arial"/>
                <w:b/>
                <w:bCs/>
                <w:sz w:val="18"/>
                <w:szCs w:val="18"/>
              </w:rPr>
              <w:t>1,129</w:t>
            </w:r>
          </w:p>
        </w:tc>
        <w:tc>
          <w:tcPr>
            <w:tcW w:w="1016" w:type="dxa"/>
            <w:tcBorders>
              <w:top w:val="nil"/>
              <w:left w:val="nil"/>
              <w:bottom w:val="single" w:sz="8" w:space="0" w:color="auto"/>
              <w:right w:val="single" w:sz="8" w:space="0" w:color="auto"/>
            </w:tcBorders>
            <w:shd w:val="clear" w:color="auto" w:fill="000000"/>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 </w:t>
            </w:r>
          </w:p>
        </w:tc>
        <w:tc>
          <w:tcPr>
            <w:tcW w:w="1284" w:type="dxa"/>
            <w:tcBorders>
              <w:top w:val="nil"/>
              <w:left w:val="nil"/>
              <w:bottom w:val="single" w:sz="8" w:space="0" w:color="auto"/>
              <w:right w:val="single" w:sz="8" w:space="0" w:color="auto"/>
            </w:tcBorders>
            <w:shd w:val="clear" w:color="auto" w:fill="FFFFFF"/>
            <w:vAlign w:val="center"/>
          </w:tcPr>
          <w:p w:rsidR="005D6E63" w:rsidRPr="005D6E63" w:rsidRDefault="005D6E63" w:rsidP="005D6E63">
            <w:pPr>
              <w:spacing w:after="200" w:line="276" w:lineRule="auto"/>
              <w:jc w:val="center"/>
              <w:rPr>
                <w:rFonts w:ascii="Arial" w:eastAsia="Calibri" w:hAnsi="Arial" w:cs="Arial"/>
                <w:b/>
                <w:sz w:val="18"/>
                <w:szCs w:val="18"/>
              </w:rPr>
            </w:pPr>
            <w:r w:rsidRPr="005D6E63">
              <w:rPr>
                <w:rFonts w:ascii="Arial" w:eastAsia="Calibri" w:hAnsi="Arial" w:cs="Arial"/>
                <w:b/>
                <w:sz w:val="18"/>
                <w:szCs w:val="18"/>
              </w:rPr>
              <w:t>1,129</w:t>
            </w:r>
          </w:p>
        </w:tc>
        <w:tc>
          <w:tcPr>
            <w:tcW w:w="1172" w:type="dxa"/>
            <w:tcBorders>
              <w:top w:val="nil"/>
              <w:left w:val="nil"/>
              <w:bottom w:val="single" w:sz="8" w:space="0" w:color="auto"/>
              <w:right w:val="single" w:sz="8" w:space="0" w:color="auto"/>
            </w:tcBorders>
            <w:shd w:val="clear" w:color="auto" w:fill="000000"/>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 </w:t>
            </w:r>
          </w:p>
        </w:tc>
        <w:tc>
          <w:tcPr>
            <w:tcW w:w="916"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b/>
                <w:bCs/>
                <w:sz w:val="18"/>
                <w:szCs w:val="18"/>
              </w:rPr>
            </w:pPr>
            <w:r w:rsidRPr="005D6E63">
              <w:rPr>
                <w:rFonts w:ascii="Arial" w:eastAsia="Calibri" w:hAnsi="Arial" w:cs="Arial"/>
                <w:b/>
                <w:bCs/>
                <w:sz w:val="18"/>
                <w:szCs w:val="18"/>
              </w:rPr>
              <w:t>94,575</w:t>
            </w:r>
          </w:p>
        </w:tc>
        <w:tc>
          <w:tcPr>
            <w:tcW w:w="850" w:type="dxa"/>
            <w:tcBorders>
              <w:top w:val="nil"/>
              <w:left w:val="nil"/>
              <w:bottom w:val="single" w:sz="8" w:space="0" w:color="auto"/>
              <w:right w:val="single" w:sz="8" w:space="0" w:color="auto"/>
            </w:tcBorders>
            <w:shd w:val="clear" w:color="auto" w:fill="000000"/>
            <w:vAlign w:val="center"/>
          </w:tcPr>
          <w:p w:rsidR="005D6E63" w:rsidRPr="005D6E63" w:rsidRDefault="005D6E63" w:rsidP="005D6E63">
            <w:pPr>
              <w:spacing w:after="200" w:line="276" w:lineRule="auto"/>
              <w:jc w:val="center"/>
              <w:rPr>
                <w:rFonts w:ascii="Arial" w:eastAsia="Calibri" w:hAnsi="Arial" w:cs="Arial"/>
                <w:sz w:val="18"/>
                <w:szCs w:val="18"/>
              </w:rPr>
            </w:pPr>
            <w:r w:rsidRPr="005D6E63">
              <w:rPr>
                <w:rFonts w:ascii="Arial" w:eastAsia="Calibri" w:hAnsi="Arial" w:cs="Arial"/>
                <w:sz w:val="18"/>
                <w:szCs w:val="18"/>
              </w:rPr>
              <w:t> </w:t>
            </w:r>
          </w:p>
        </w:tc>
        <w:tc>
          <w:tcPr>
            <w:tcW w:w="1496"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ascii="Arial" w:eastAsia="Calibri" w:hAnsi="Arial" w:cs="Arial"/>
                <w:b/>
                <w:bCs/>
                <w:sz w:val="18"/>
                <w:szCs w:val="18"/>
              </w:rPr>
            </w:pPr>
            <w:r w:rsidRPr="005D6E63">
              <w:rPr>
                <w:rFonts w:ascii="Arial" w:eastAsia="Calibri" w:hAnsi="Arial" w:cs="Arial"/>
                <w:b/>
                <w:bCs/>
                <w:sz w:val="18"/>
                <w:szCs w:val="18"/>
              </w:rPr>
              <w:t>$3,380,775</w:t>
            </w:r>
          </w:p>
        </w:tc>
      </w:tr>
    </w:tbl>
    <w:p w:rsidR="005D6E63" w:rsidRPr="005D6E63" w:rsidRDefault="005D6E63" w:rsidP="005D6E63">
      <w:pPr>
        <w:tabs>
          <w:tab w:val="left" w:pos="-720"/>
        </w:tabs>
        <w:suppressAutoHyphens/>
        <w:spacing w:after="200" w:line="276" w:lineRule="auto"/>
        <w:rPr>
          <w:rFonts w:eastAsia="Calibri"/>
          <w:sz w:val="18"/>
          <w:szCs w:val="18"/>
        </w:rPr>
      </w:pPr>
      <w:r w:rsidRPr="005D6E63">
        <w:rPr>
          <w:rFonts w:eastAsia="Calibri"/>
          <w:sz w:val="18"/>
          <w:szCs w:val="18"/>
        </w:rPr>
        <w:t xml:space="preserve">* </w:t>
      </w:r>
      <w:r w:rsidRPr="005D6E63">
        <w:rPr>
          <w:rFonts w:eastAsia="Calibri"/>
          <w:b/>
          <w:sz w:val="18"/>
          <w:szCs w:val="18"/>
        </w:rPr>
        <w:t>Note</w:t>
      </w:r>
      <w:r w:rsidRPr="005D6E63">
        <w:rPr>
          <w:rFonts w:eastAsia="Calibri"/>
          <w:sz w:val="18"/>
          <w:szCs w:val="18"/>
        </w:rPr>
        <w:t>: The “Avg. Hourly Wage Rate” for each respondent includes a 1.4 multiplier to reflect a fully-loaded wage rate.</w:t>
      </w:r>
    </w:p>
    <w:p w:rsidR="007D2A43" w:rsidRDefault="007D2A43" w:rsidP="007D2A43">
      <w:pPr>
        <w:tabs>
          <w:tab w:val="left" w:pos="-720"/>
        </w:tabs>
        <w:suppressAutoHyphens/>
      </w:pPr>
    </w:p>
    <w:p w:rsidR="007D2A43" w:rsidRDefault="007D2A43" w:rsidP="007D2A43">
      <w:pPr>
        <w:tabs>
          <w:tab w:val="left" w:pos="-720"/>
        </w:tabs>
        <w:suppressAutoHyphens/>
      </w:pPr>
    </w:p>
    <w:p w:rsidR="007D2A43" w:rsidRDefault="007D2A43" w:rsidP="007D2A43">
      <w:pPr>
        <w:tabs>
          <w:tab w:val="left" w:pos="-720"/>
        </w:tabs>
        <w:suppressAutoHyphens/>
      </w:pPr>
    </w:p>
    <w:p w:rsidR="005D6E63" w:rsidRPr="005D6E63" w:rsidRDefault="007D2A43" w:rsidP="005D6E63">
      <w:pPr>
        <w:pStyle w:val="NormalWeb"/>
        <w:rPr>
          <w:i/>
          <w:sz w:val="20"/>
          <w:szCs w:val="20"/>
        </w:rPr>
      </w:pPr>
      <w:r w:rsidRPr="001D7F31">
        <w:t>Question 15 – See explanation below.</w:t>
      </w:r>
      <w:r w:rsidR="005D6E63" w:rsidRPr="005D6E63">
        <w:rPr>
          <w:i/>
          <w:sz w:val="20"/>
          <w:szCs w:val="20"/>
        </w:rPr>
        <w:t xml:space="preserve"> </w:t>
      </w:r>
    </w:p>
    <w:tbl>
      <w:tblPr>
        <w:tblpPr w:leftFromText="180" w:rightFromText="180" w:vertAnchor="text" w:horzAnchor="margin" w:tblpXSpec="center" w:tblpY="207"/>
        <w:tblW w:w="10280" w:type="dxa"/>
        <w:tblLayout w:type="fixed"/>
        <w:tblLook w:val="0000" w:firstRow="0" w:lastRow="0" w:firstColumn="0" w:lastColumn="0" w:noHBand="0" w:noVBand="0"/>
      </w:tblPr>
      <w:tblGrid>
        <w:gridCol w:w="2256"/>
        <w:gridCol w:w="1326"/>
        <w:gridCol w:w="1193"/>
        <w:gridCol w:w="1322"/>
        <w:gridCol w:w="1430"/>
        <w:gridCol w:w="1430"/>
        <w:gridCol w:w="1323"/>
      </w:tblGrid>
      <w:tr w:rsidR="005D6E63" w:rsidRPr="005D6E63" w:rsidTr="00261506">
        <w:trPr>
          <w:trHeight w:val="330"/>
        </w:trPr>
        <w:tc>
          <w:tcPr>
            <w:tcW w:w="1028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D6E63" w:rsidRPr="005D6E63" w:rsidRDefault="005D6E63" w:rsidP="005D6E63">
            <w:pPr>
              <w:jc w:val="center"/>
              <w:rPr>
                <w:rFonts w:eastAsia="Calibri"/>
                <w:b/>
                <w:bCs/>
                <w:sz w:val="20"/>
                <w:szCs w:val="20"/>
              </w:rPr>
            </w:pPr>
            <w:r w:rsidRPr="005D6E63">
              <w:rPr>
                <w:rFonts w:eastAsia="Calibri"/>
                <w:b/>
                <w:bCs/>
                <w:sz w:val="20"/>
                <w:szCs w:val="20"/>
              </w:rPr>
              <w:t>Itemized Changes in Annual Burden Hours</w:t>
            </w:r>
          </w:p>
        </w:tc>
      </w:tr>
      <w:tr w:rsidR="005D6E63" w:rsidRPr="005D6E63" w:rsidTr="00261506">
        <w:trPr>
          <w:trHeight w:val="1432"/>
        </w:trPr>
        <w:tc>
          <w:tcPr>
            <w:tcW w:w="2256" w:type="dxa"/>
            <w:tcBorders>
              <w:top w:val="nil"/>
              <w:left w:val="single" w:sz="8" w:space="0" w:color="auto"/>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Calibri" w:eastAsia="Calibri" w:hAnsi="Calibri"/>
                <w:b/>
                <w:bCs/>
                <w:sz w:val="18"/>
                <w:szCs w:val="18"/>
              </w:rPr>
            </w:pPr>
            <w:r w:rsidRPr="005D6E63">
              <w:rPr>
                <w:rFonts w:ascii="Calibri" w:eastAsia="Calibri" w:hAnsi="Calibri"/>
                <w:b/>
                <w:bCs/>
                <w:sz w:val="18"/>
                <w:szCs w:val="18"/>
              </w:rPr>
              <w:t>Data collection Activity/Instrument</w:t>
            </w:r>
          </w:p>
        </w:tc>
        <w:tc>
          <w:tcPr>
            <w:tcW w:w="1326" w:type="dxa"/>
            <w:tcBorders>
              <w:top w:val="nil"/>
              <w:left w:val="nil"/>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Calibri" w:eastAsia="Calibri" w:hAnsi="Calibri"/>
                <w:b/>
                <w:bCs/>
                <w:sz w:val="18"/>
                <w:szCs w:val="18"/>
              </w:rPr>
            </w:pPr>
            <w:r w:rsidRPr="005D6E63">
              <w:rPr>
                <w:rFonts w:ascii="Calibri" w:eastAsia="Calibri" w:hAnsi="Calibri"/>
                <w:b/>
                <w:bCs/>
                <w:sz w:val="18"/>
                <w:szCs w:val="18"/>
              </w:rPr>
              <w:t xml:space="preserve">Program Change (hours currently on OMB Inventory) </w:t>
            </w:r>
          </w:p>
        </w:tc>
        <w:tc>
          <w:tcPr>
            <w:tcW w:w="1193" w:type="dxa"/>
            <w:tcBorders>
              <w:top w:val="nil"/>
              <w:left w:val="nil"/>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Calibri" w:eastAsia="Calibri" w:hAnsi="Calibri"/>
                <w:b/>
                <w:bCs/>
                <w:sz w:val="18"/>
                <w:szCs w:val="18"/>
              </w:rPr>
            </w:pPr>
            <w:r w:rsidRPr="005D6E63">
              <w:rPr>
                <w:rFonts w:ascii="Calibri" w:eastAsia="Calibri" w:hAnsi="Calibri"/>
                <w:b/>
                <w:bCs/>
                <w:sz w:val="18"/>
                <w:szCs w:val="18"/>
              </w:rPr>
              <w:t xml:space="preserve">Program Change (New) </w:t>
            </w:r>
          </w:p>
        </w:tc>
        <w:tc>
          <w:tcPr>
            <w:tcW w:w="1322" w:type="dxa"/>
            <w:tcBorders>
              <w:top w:val="nil"/>
              <w:left w:val="nil"/>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Calibri" w:eastAsia="Calibri" w:hAnsi="Calibri"/>
                <w:b/>
                <w:bCs/>
                <w:sz w:val="18"/>
                <w:szCs w:val="18"/>
              </w:rPr>
            </w:pPr>
            <w:r w:rsidRPr="005D6E63">
              <w:rPr>
                <w:rFonts w:ascii="Calibri" w:eastAsia="Calibri" w:hAnsi="Calibri"/>
                <w:b/>
                <w:bCs/>
                <w:sz w:val="18"/>
                <w:szCs w:val="18"/>
              </w:rPr>
              <w:t>Difference</w:t>
            </w:r>
          </w:p>
        </w:tc>
        <w:tc>
          <w:tcPr>
            <w:tcW w:w="1430" w:type="dxa"/>
            <w:tcBorders>
              <w:top w:val="nil"/>
              <w:left w:val="nil"/>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Calibri" w:eastAsia="Calibri" w:hAnsi="Calibri"/>
                <w:b/>
                <w:bCs/>
                <w:sz w:val="18"/>
                <w:szCs w:val="18"/>
              </w:rPr>
            </w:pPr>
            <w:r w:rsidRPr="005D6E63">
              <w:rPr>
                <w:rFonts w:ascii="Calibri" w:eastAsia="Calibri" w:hAnsi="Calibri"/>
                <w:b/>
                <w:bCs/>
                <w:sz w:val="18"/>
                <w:szCs w:val="18"/>
              </w:rPr>
              <w:t>Adjustment (hours currently on OMB Inventory)</w:t>
            </w:r>
          </w:p>
        </w:tc>
        <w:tc>
          <w:tcPr>
            <w:tcW w:w="1430" w:type="dxa"/>
            <w:tcBorders>
              <w:top w:val="nil"/>
              <w:left w:val="nil"/>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Calibri" w:eastAsia="Calibri" w:hAnsi="Calibri"/>
                <w:b/>
                <w:bCs/>
                <w:sz w:val="18"/>
                <w:szCs w:val="18"/>
              </w:rPr>
            </w:pPr>
            <w:r w:rsidRPr="005D6E63">
              <w:rPr>
                <w:rFonts w:ascii="Calibri" w:eastAsia="Calibri" w:hAnsi="Calibri"/>
                <w:b/>
                <w:bCs/>
                <w:sz w:val="18"/>
                <w:szCs w:val="18"/>
              </w:rPr>
              <w:t xml:space="preserve">Adjustment (New) </w:t>
            </w:r>
          </w:p>
        </w:tc>
        <w:tc>
          <w:tcPr>
            <w:tcW w:w="1323" w:type="dxa"/>
            <w:tcBorders>
              <w:top w:val="nil"/>
              <w:left w:val="nil"/>
              <w:bottom w:val="single" w:sz="8" w:space="0" w:color="auto"/>
              <w:right w:val="single" w:sz="8" w:space="0" w:color="auto"/>
            </w:tcBorders>
            <w:shd w:val="clear" w:color="auto" w:fill="0070C0"/>
            <w:vAlign w:val="center"/>
          </w:tcPr>
          <w:p w:rsidR="005D6E63" w:rsidRPr="005D6E63" w:rsidRDefault="005D6E63" w:rsidP="005D6E63">
            <w:pPr>
              <w:spacing w:after="200" w:line="276" w:lineRule="auto"/>
              <w:jc w:val="center"/>
              <w:rPr>
                <w:rFonts w:ascii="Calibri" w:eastAsia="Calibri" w:hAnsi="Calibri"/>
                <w:b/>
                <w:bCs/>
                <w:sz w:val="18"/>
                <w:szCs w:val="18"/>
              </w:rPr>
            </w:pPr>
            <w:r w:rsidRPr="005D6E63">
              <w:rPr>
                <w:rFonts w:ascii="Calibri" w:eastAsia="Calibri" w:hAnsi="Calibri"/>
                <w:b/>
                <w:bCs/>
                <w:sz w:val="18"/>
                <w:szCs w:val="18"/>
              </w:rPr>
              <w:t>Difference</w:t>
            </w:r>
          </w:p>
        </w:tc>
      </w:tr>
      <w:tr w:rsidR="005D6E63" w:rsidRPr="005D6E63" w:rsidTr="00261506">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5D6E63" w:rsidRPr="005D6E63" w:rsidRDefault="005D6E63" w:rsidP="005D6E63">
            <w:pPr>
              <w:rPr>
                <w:rFonts w:eastAsia="Calibri"/>
                <w:b/>
                <w:sz w:val="18"/>
                <w:szCs w:val="18"/>
              </w:rPr>
            </w:pPr>
            <w:r w:rsidRPr="005D6E63">
              <w:rPr>
                <w:rFonts w:eastAsia="Calibri"/>
                <w:sz w:val="18"/>
                <w:szCs w:val="18"/>
              </w:rPr>
              <w:t xml:space="preserve">NSGP Investment Justification and Selection Criteria / </w:t>
            </w:r>
            <w:r w:rsidRPr="005D6E63">
              <w:rPr>
                <w:rFonts w:eastAsia="Calibri"/>
                <w:b/>
                <w:sz w:val="18"/>
                <w:szCs w:val="18"/>
              </w:rPr>
              <w:t>FEMA Form 089-25</w:t>
            </w:r>
          </w:p>
        </w:tc>
        <w:tc>
          <w:tcPr>
            <w:tcW w:w="1326"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sz w:val="18"/>
                <w:szCs w:val="18"/>
              </w:rPr>
            </w:pPr>
          </w:p>
        </w:tc>
        <w:tc>
          <w:tcPr>
            <w:tcW w:w="1193"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sz w:val="18"/>
                <w:szCs w:val="18"/>
              </w:rPr>
            </w:pPr>
          </w:p>
        </w:tc>
        <w:tc>
          <w:tcPr>
            <w:tcW w:w="1322"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sz w:val="18"/>
                <w:szCs w:val="18"/>
              </w:rPr>
            </w:pPr>
          </w:p>
        </w:tc>
        <w:tc>
          <w:tcPr>
            <w:tcW w:w="1430"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sz w:val="18"/>
                <w:szCs w:val="18"/>
              </w:rPr>
            </w:pPr>
            <w:r w:rsidRPr="005D6E63">
              <w:rPr>
                <w:rFonts w:eastAsia="Calibri"/>
                <w:sz w:val="18"/>
                <w:szCs w:val="18"/>
              </w:rPr>
              <w:t>92,400</w:t>
            </w:r>
          </w:p>
        </w:tc>
        <w:tc>
          <w:tcPr>
            <w:tcW w:w="1430"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sz w:val="18"/>
                <w:szCs w:val="18"/>
              </w:rPr>
            </w:pPr>
            <w:r w:rsidRPr="005D6E63">
              <w:rPr>
                <w:rFonts w:eastAsia="Calibri"/>
                <w:sz w:val="18"/>
                <w:szCs w:val="18"/>
              </w:rPr>
              <w:t>92,400</w:t>
            </w:r>
          </w:p>
        </w:tc>
        <w:tc>
          <w:tcPr>
            <w:tcW w:w="1323"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sz w:val="18"/>
                <w:szCs w:val="18"/>
              </w:rPr>
            </w:pPr>
            <w:r w:rsidRPr="005D6E63">
              <w:rPr>
                <w:rFonts w:eastAsia="Calibri"/>
                <w:sz w:val="18"/>
                <w:szCs w:val="18"/>
              </w:rPr>
              <w:t>0</w:t>
            </w:r>
          </w:p>
        </w:tc>
      </w:tr>
      <w:tr w:rsidR="005D6E63" w:rsidRPr="005D6E63" w:rsidTr="00261506">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5D6E63" w:rsidRPr="005D6E63" w:rsidRDefault="005D6E63" w:rsidP="005D6E63">
            <w:pPr>
              <w:rPr>
                <w:rFonts w:eastAsia="Calibri"/>
                <w:sz w:val="18"/>
                <w:szCs w:val="18"/>
              </w:rPr>
            </w:pPr>
            <w:r w:rsidRPr="005D6E63">
              <w:rPr>
                <w:rFonts w:eastAsia="Calibri"/>
                <w:sz w:val="18"/>
                <w:szCs w:val="18"/>
              </w:rPr>
              <w:t>NSGP State – UAWG Prioritization of</w:t>
            </w:r>
          </w:p>
          <w:p w:rsidR="005D6E63" w:rsidRPr="005D6E63" w:rsidRDefault="005D6E63" w:rsidP="005D6E63">
            <w:pPr>
              <w:rPr>
                <w:rFonts w:eastAsia="Calibri"/>
                <w:sz w:val="18"/>
                <w:szCs w:val="18"/>
              </w:rPr>
            </w:pPr>
            <w:r w:rsidRPr="005D6E63">
              <w:rPr>
                <w:rFonts w:eastAsia="Calibri"/>
                <w:sz w:val="18"/>
                <w:szCs w:val="18"/>
              </w:rPr>
              <w:t>Investment Justifications</w:t>
            </w:r>
          </w:p>
          <w:p w:rsidR="005D6E63" w:rsidRPr="005D6E63" w:rsidRDefault="005D6E63" w:rsidP="005D6E63">
            <w:pPr>
              <w:rPr>
                <w:rFonts w:eastAsia="Calibri"/>
                <w:b/>
                <w:sz w:val="18"/>
                <w:szCs w:val="18"/>
              </w:rPr>
            </w:pPr>
            <w:r w:rsidRPr="005D6E63">
              <w:rPr>
                <w:rFonts w:eastAsia="Calibri"/>
                <w:b/>
                <w:sz w:val="18"/>
                <w:szCs w:val="18"/>
              </w:rPr>
              <w:t>FEMA Form 089-24</w:t>
            </w:r>
          </w:p>
        </w:tc>
        <w:tc>
          <w:tcPr>
            <w:tcW w:w="1326"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sz w:val="18"/>
                <w:szCs w:val="18"/>
              </w:rPr>
            </w:pPr>
          </w:p>
        </w:tc>
        <w:tc>
          <w:tcPr>
            <w:tcW w:w="1193"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sz w:val="18"/>
                <w:szCs w:val="18"/>
              </w:rPr>
            </w:pPr>
          </w:p>
        </w:tc>
        <w:tc>
          <w:tcPr>
            <w:tcW w:w="1322"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sz w:val="18"/>
                <w:szCs w:val="18"/>
              </w:rPr>
            </w:pPr>
          </w:p>
        </w:tc>
        <w:tc>
          <w:tcPr>
            <w:tcW w:w="1430"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sz w:val="18"/>
                <w:szCs w:val="18"/>
              </w:rPr>
            </w:pPr>
            <w:r w:rsidRPr="005D6E63">
              <w:rPr>
                <w:rFonts w:eastAsia="Calibri"/>
                <w:sz w:val="18"/>
                <w:szCs w:val="18"/>
              </w:rPr>
              <w:t>2,475</w:t>
            </w:r>
          </w:p>
        </w:tc>
        <w:tc>
          <w:tcPr>
            <w:tcW w:w="1430"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sz w:val="18"/>
                <w:szCs w:val="18"/>
              </w:rPr>
            </w:pPr>
            <w:r w:rsidRPr="005D6E63">
              <w:rPr>
                <w:rFonts w:eastAsia="Calibri"/>
                <w:sz w:val="18"/>
                <w:szCs w:val="18"/>
              </w:rPr>
              <w:t>2,175</w:t>
            </w:r>
          </w:p>
        </w:tc>
        <w:tc>
          <w:tcPr>
            <w:tcW w:w="1323"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sz w:val="18"/>
                <w:szCs w:val="18"/>
              </w:rPr>
            </w:pPr>
            <w:r w:rsidRPr="005D6E63">
              <w:rPr>
                <w:rFonts w:eastAsia="Calibri"/>
                <w:sz w:val="18"/>
                <w:szCs w:val="18"/>
              </w:rPr>
              <w:t>-300</w:t>
            </w:r>
          </w:p>
        </w:tc>
      </w:tr>
      <w:tr w:rsidR="005D6E63" w:rsidRPr="005D6E63" w:rsidTr="00261506">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b/>
                <w:bCs/>
                <w:sz w:val="18"/>
                <w:szCs w:val="18"/>
              </w:rPr>
            </w:pPr>
            <w:r w:rsidRPr="005D6E63">
              <w:rPr>
                <w:rFonts w:eastAsia="Calibri"/>
                <w:b/>
                <w:bCs/>
                <w:sz w:val="18"/>
                <w:szCs w:val="18"/>
              </w:rPr>
              <w:t>Total(s)</w:t>
            </w:r>
          </w:p>
        </w:tc>
        <w:tc>
          <w:tcPr>
            <w:tcW w:w="1326"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b/>
                <w:bCs/>
                <w:sz w:val="18"/>
                <w:szCs w:val="18"/>
              </w:rPr>
            </w:pPr>
          </w:p>
        </w:tc>
        <w:tc>
          <w:tcPr>
            <w:tcW w:w="1193"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b/>
                <w:bCs/>
                <w:sz w:val="18"/>
                <w:szCs w:val="18"/>
              </w:rPr>
            </w:pPr>
          </w:p>
        </w:tc>
        <w:tc>
          <w:tcPr>
            <w:tcW w:w="1322"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b/>
                <w:bCs/>
                <w:sz w:val="18"/>
                <w:szCs w:val="18"/>
              </w:rPr>
            </w:pPr>
          </w:p>
        </w:tc>
        <w:tc>
          <w:tcPr>
            <w:tcW w:w="1430"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b/>
                <w:bCs/>
                <w:sz w:val="18"/>
                <w:szCs w:val="18"/>
              </w:rPr>
            </w:pPr>
            <w:r w:rsidRPr="005D6E63">
              <w:rPr>
                <w:rFonts w:eastAsia="Calibri"/>
                <w:b/>
                <w:bCs/>
                <w:sz w:val="18"/>
                <w:szCs w:val="18"/>
              </w:rPr>
              <w:t>94,875</w:t>
            </w:r>
          </w:p>
        </w:tc>
        <w:tc>
          <w:tcPr>
            <w:tcW w:w="1430"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b/>
                <w:bCs/>
                <w:sz w:val="18"/>
                <w:szCs w:val="18"/>
              </w:rPr>
            </w:pPr>
            <w:r w:rsidRPr="005D6E63">
              <w:rPr>
                <w:rFonts w:eastAsia="Calibri"/>
                <w:b/>
                <w:bCs/>
                <w:sz w:val="18"/>
                <w:szCs w:val="18"/>
              </w:rPr>
              <w:t>94,575</w:t>
            </w:r>
          </w:p>
        </w:tc>
        <w:tc>
          <w:tcPr>
            <w:tcW w:w="1323" w:type="dxa"/>
            <w:tcBorders>
              <w:top w:val="nil"/>
              <w:left w:val="nil"/>
              <w:bottom w:val="single" w:sz="8" w:space="0" w:color="auto"/>
              <w:right w:val="single" w:sz="8" w:space="0" w:color="auto"/>
            </w:tcBorders>
            <w:shd w:val="clear" w:color="auto" w:fill="auto"/>
            <w:vAlign w:val="center"/>
          </w:tcPr>
          <w:p w:rsidR="005D6E63" w:rsidRPr="005D6E63" w:rsidRDefault="005D6E63" w:rsidP="005D6E63">
            <w:pPr>
              <w:spacing w:after="200" w:line="276" w:lineRule="auto"/>
              <w:jc w:val="center"/>
              <w:rPr>
                <w:rFonts w:eastAsia="Calibri"/>
                <w:b/>
                <w:bCs/>
                <w:sz w:val="18"/>
                <w:szCs w:val="18"/>
              </w:rPr>
            </w:pPr>
            <w:r w:rsidRPr="005D6E63">
              <w:rPr>
                <w:rFonts w:eastAsia="Calibri"/>
                <w:b/>
                <w:bCs/>
                <w:sz w:val="18"/>
                <w:szCs w:val="18"/>
              </w:rPr>
              <w:t>-300</w:t>
            </w:r>
          </w:p>
        </w:tc>
      </w:tr>
    </w:tbl>
    <w:p w:rsidR="005D6E63" w:rsidRPr="005D6E63" w:rsidRDefault="005D6E63" w:rsidP="005D6E63">
      <w:pPr>
        <w:spacing w:after="200" w:line="276" w:lineRule="auto"/>
        <w:rPr>
          <w:rFonts w:eastAsia="Calibri"/>
          <w:b/>
          <w:bCs/>
          <w:i/>
          <w:sz w:val="18"/>
          <w:szCs w:val="18"/>
        </w:rPr>
      </w:pPr>
    </w:p>
    <w:p w:rsidR="005D6E63" w:rsidRDefault="005D6E63" w:rsidP="005D6E63">
      <w:pPr>
        <w:spacing w:after="200" w:line="276" w:lineRule="auto"/>
        <w:rPr>
          <w:rFonts w:eastAsia="Calibri"/>
          <w:b/>
          <w:bCs/>
          <w:i/>
        </w:rPr>
      </w:pPr>
      <w:r w:rsidRPr="005D6E63">
        <w:rPr>
          <w:rFonts w:eastAsia="Calibri"/>
          <w:b/>
          <w:bCs/>
          <w:i/>
        </w:rPr>
        <w:t xml:space="preserve"> </w:t>
      </w:r>
    </w:p>
    <w:p w:rsidR="005D6E63" w:rsidRPr="005D6E63" w:rsidRDefault="005D6E63" w:rsidP="005D6E63">
      <w:pPr>
        <w:spacing w:after="200" w:line="276" w:lineRule="auto"/>
        <w:rPr>
          <w:rFonts w:eastAsia="Calibri"/>
          <w:bCs/>
          <w:i/>
        </w:rPr>
      </w:pPr>
      <w:bookmarkStart w:id="0" w:name="_GoBack"/>
      <w:bookmarkEnd w:id="0"/>
      <w:r w:rsidRPr="005D6E63">
        <w:rPr>
          <w:rFonts w:eastAsia="Calibri"/>
          <w:b/>
          <w:bCs/>
          <w:i/>
        </w:rPr>
        <w:lastRenderedPageBreak/>
        <w:t>Explain:</w:t>
      </w:r>
      <w:r w:rsidRPr="005D6E63">
        <w:rPr>
          <w:rFonts w:eastAsia="Calibri"/>
          <w:bCs/>
          <w:i/>
        </w:rPr>
        <w:t xml:space="preserve"> </w:t>
      </w:r>
    </w:p>
    <w:p w:rsidR="005D6E63" w:rsidRPr="005D6E63" w:rsidRDefault="005D6E63" w:rsidP="005D6E63">
      <w:pPr>
        <w:spacing w:after="200" w:line="276" w:lineRule="auto"/>
        <w:rPr>
          <w:rFonts w:eastAsia="Calibri"/>
        </w:rPr>
      </w:pPr>
      <w:r w:rsidRPr="005D6E63">
        <w:rPr>
          <w:rFonts w:eastAsia="Calibri"/>
        </w:rPr>
        <w:t xml:space="preserve">There has been no change to the information being collected. However, the number of respondents for FEMA Form 089-24 decreased from 33 to 29 respondents because the number of eligible applicants decreased. </w:t>
      </w:r>
    </w:p>
    <w:p w:rsidR="005D6E63" w:rsidRPr="005D6E63" w:rsidRDefault="005D6E63" w:rsidP="005D6E63">
      <w:pPr>
        <w:spacing w:after="200" w:line="276" w:lineRule="auto"/>
        <w:rPr>
          <w:rFonts w:eastAsia="Calibri"/>
        </w:rPr>
      </w:pPr>
      <w:r w:rsidRPr="005D6E63">
        <w:rPr>
          <w:rFonts w:eastAsia="Calibri"/>
        </w:rPr>
        <w:t>In order to be eligible for NSGP, the nonprofits have to be in an eligible urban area as defined by the Urban Area Security Initiative Program for the current year. The number of eligible urban areas decreased since the last PRA submission.</w:t>
      </w:r>
    </w:p>
    <w:p w:rsidR="001D7F31" w:rsidRDefault="001D7F31" w:rsidP="005D6E63">
      <w:pPr>
        <w:tabs>
          <w:tab w:val="left" w:pos="-720"/>
        </w:tabs>
        <w:suppressAutoHyphens/>
        <w:rPr>
          <w:i/>
          <w:sz w:val="20"/>
          <w:szCs w:val="20"/>
        </w:rPr>
      </w:pPr>
    </w:p>
    <w:sectPr w:rsidR="001D7F31"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43"/>
    <w:rsid w:val="000018CF"/>
    <w:rsid w:val="000239DF"/>
    <w:rsid w:val="00037293"/>
    <w:rsid w:val="00051636"/>
    <w:rsid w:val="00140471"/>
    <w:rsid w:val="001567A0"/>
    <w:rsid w:val="001927FD"/>
    <w:rsid w:val="001B5711"/>
    <w:rsid w:val="001C7767"/>
    <w:rsid w:val="001D32C1"/>
    <w:rsid w:val="001D7F31"/>
    <w:rsid w:val="00201F20"/>
    <w:rsid w:val="00287348"/>
    <w:rsid w:val="002B2839"/>
    <w:rsid w:val="002E2FD0"/>
    <w:rsid w:val="002F3DBD"/>
    <w:rsid w:val="00315CC4"/>
    <w:rsid w:val="00325DE8"/>
    <w:rsid w:val="00356095"/>
    <w:rsid w:val="003811EC"/>
    <w:rsid w:val="003C782D"/>
    <w:rsid w:val="00425814"/>
    <w:rsid w:val="00461A94"/>
    <w:rsid w:val="004A3609"/>
    <w:rsid w:val="004A5C77"/>
    <w:rsid w:val="004B5421"/>
    <w:rsid w:val="004E547A"/>
    <w:rsid w:val="005629F5"/>
    <w:rsid w:val="00590D48"/>
    <w:rsid w:val="005B3D80"/>
    <w:rsid w:val="005D6E63"/>
    <w:rsid w:val="005E02C4"/>
    <w:rsid w:val="006044E3"/>
    <w:rsid w:val="00630C5B"/>
    <w:rsid w:val="00643FAF"/>
    <w:rsid w:val="006630A0"/>
    <w:rsid w:val="0066759F"/>
    <w:rsid w:val="006F6F42"/>
    <w:rsid w:val="00734551"/>
    <w:rsid w:val="00745FC2"/>
    <w:rsid w:val="007A3831"/>
    <w:rsid w:val="007B570A"/>
    <w:rsid w:val="007D2A43"/>
    <w:rsid w:val="007E4127"/>
    <w:rsid w:val="00800B00"/>
    <w:rsid w:val="0081654B"/>
    <w:rsid w:val="00841715"/>
    <w:rsid w:val="008744E8"/>
    <w:rsid w:val="008E5764"/>
    <w:rsid w:val="0090707B"/>
    <w:rsid w:val="009619C6"/>
    <w:rsid w:val="009718EB"/>
    <w:rsid w:val="00A402B9"/>
    <w:rsid w:val="00AE7A98"/>
    <w:rsid w:val="00B11616"/>
    <w:rsid w:val="00B96CCF"/>
    <w:rsid w:val="00BC4A3D"/>
    <w:rsid w:val="00BD0143"/>
    <w:rsid w:val="00BF0EB5"/>
    <w:rsid w:val="00BF527D"/>
    <w:rsid w:val="00C16DF2"/>
    <w:rsid w:val="00C557B8"/>
    <w:rsid w:val="00C65250"/>
    <w:rsid w:val="00CD6677"/>
    <w:rsid w:val="00D068CF"/>
    <w:rsid w:val="00D13036"/>
    <w:rsid w:val="00D20FD6"/>
    <w:rsid w:val="00D43E73"/>
    <w:rsid w:val="00D640C0"/>
    <w:rsid w:val="00D7452B"/>
    <w:rsid w:val="00D82232"/>
    <w:rsid w:val="00E37F23"/>
    <w:rsid w:val="00E6056C"/>
    <w:rsid w:val="00E93260"/>
    <w:rsid w:val="00E941B7"/>
    <w:rsid w:val="00EC2D3A"/>
    <w:rsid w:val="00F045DD"/>
    <w:rsid w:val="00F32473"/>
    <w:rsid w:val="00F543E0"/>
    <w:rsid w:val="00F70272"/>
    <w:rsid w:val="00F71A03"/>
    <w:rsid w:val="00F819DE"/>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B7033-EBFC-453C-B05F-537F57A1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52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5BA18-7CD4-41D9-B475-56781B96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jramsayj</dc:creator>
  <cp:lastModifiedBy>Greene, Sherina</cp:lastModifiedBy>
  <cp:revision>3</cp:revision>
  <dcterms:created xsi:type="dcterms:W3CDTF">2016-12-07T11:16:00Z</dcterms:created>
  <dcterms:modified xsi:type="dcterms:W3CDTF">2016-12-07T12:43:00Z</dcterms:modified>
</cp:coreProperties>
</file>