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7F641" w14:textId="77777777" w:rsidR="00BB1B63" w:rsidRPr="00811B97" w:rsidRDefault="00BB1B63" w:rsidP="00BB1B63">
      <w:pPr>
        <w:pStyle w:val="Title"/>
        <w:rPr>
          <w:rFonts w:ascii="Garamond" w:hAnsi="Garamond"/>
        </w:rPr>
      </w:pPr>
    </w:p>
    <w:p w14:paraId="1A0ED6A9" w14:textId="77777777" w:rsidR="00BB1B63" w:rsidRPr="00811B97" w:rsidRDefault="00BB1B63" w:rsidP="00BB1B63">
      <w:pPr>
        <w:pStyle w:val="Title"/>
        <w:rPr>
          <w:rFonts w:ascii="Garamond" w:hAnsi="Garamond"/>
        </w:rPr>
      </w:pPr>
    </w:p>
    <w:p w14:paraId="464DC9F7" w14:textId="77777777" w:rsidR="00BB1B63" w:rsidRPr="00811B97" w:rsidRDefault="00BB1B63" w:rsidP="00BB1B63">
      <w:pPr>
        <w:pStyle w:val="Title"/>
        <w:rPr>
          <w:rFonts w:ascii="Garamond" w:hAnsi="Garamond"/>
        </w:rPr>
      </w:pPr>
    </w:p>
    <w:p w14:paraId="13CD8B17" w14:textId="77777777" w:rsidR="00BB1B63" w:rsidRPr="003A7B86" w:rsidRDefault="00BB1B63" w:rsidP="00BB1B63">
      <w:pPr>
        <w:pStyle w:val="Title"/>
        <w:rPr>
          <w:sz w:val="48"/>
          <w:szCs w:val="48"/>
        </w:rPr>
      </w:pPr>
      <w:r w:rsidRPr="003A7B86">
        <w:rPr>
          <w:sz w:val="48"/>
          <w:szCs w:val="48"/>
        </w:rPr>
        <w:t>Principal Follow-Up Survey (P</w:t>
      </w:r>
      <w:r>
        <w:rPr>
          <w:sz w:val="48"/>
          <w:szCs w:val="48"/>
        </w:rPr>
        <w:t>FS</w:t>
      </w:r>
      <w:r w:rsidRPr="003A7B86">
        <w:rPr>
          <w:sz w:val="48"/>
          <w:szCs w:val="48"/>
        </w:rPr>
        <w:t xml:space="preserve"> 2016-17)</w:t>
      </w:r>
      <w:r>
        <w:rPr>
          <w:sz w:val="48"/>
          <w:szCs w:val="48"/>
        </w:rPr>
        <w:t xml:space="preserve"> to t</w:t>
      </w:r>
      <w:r w:rsidRPr="003A7B86">
        <w:rPr>
          <w:sz w:val="48"/>
          <w:szCs w:val="48"/>
        </w:rPr>
        <w:t xml:space="preserve">he National Teacher </w:t>
      </w:r>
      <w:r>
        <w:rPr>
          <w:sz w:val="48"/>
          <w:szCs w:val="48"/>
        </w:rPr>
        <w:t>a</w:t>
      </w:r>
      <w:r w:rsidRPr="003A7B86">
        <w:rPr>
          <w:sz w:val="48"/>
          <w:szCs w:val="48"/>
        </w:rPr>
        <w:t>nd Principal</w:t>
      </w:r>
    </w:p>
    <w:p w14:paraId="4F5D9AB7" w14:textId="77777777" w:rsidR="00BB1B63" w:rsidRPr="003A7B86" w:rsidRDefault="00BB1B63" w:rsidP="00BB1B63">
      <w:pPr>
        <w:pStyle w:val="Title"/>
        <w:rPr>
          <w:sz w:val="48"/>
          <w:szCs w:val="48"/>
        </w:rPr>
      </w:pPr>
      <w:r w:rsidRPr="003A7B86">
        <w:rPr>
          <w:sz w:val="48"/>
          <w:szCs w:val="48"/>
        </w:rPr>
        <w:t>Survey (N</w:t>
      </w:r>
      <w:r>
        <w:rPr>
          <w:sz w:val="48"/>
          <w:szCs w:val="48"/>
        </w:rPr>
        <w:t>TPS</w:t>
      </w:r>
      <w:r w:rsidRPr="003A7B86">
        <w:rPr>
          <w:sz w:val="48"/>
          <w:szCs w:val="48"/>
        </w:rPr>
        <w:t xml:space="preserve"> 2015-16)</w:t>
      </w:r>
    </w:p>
    <w:p w14:paraId="55054282" w14:textId="77777777" w:rsidR="00BB1B63" w:rsidRPr="00433634" w:rsidRDefault="00BB1B63" w:rsidP="00BB1B63">
      <w:pPr>
        <w:pStyle w:val="Title"/>
        <w:rPr>
          <w:b w:val="0"/>
          <w:bCs/>
        </w:rPr>
      </w:pPr>
    </w:p>
    <w:p w14:paraId="45D561DF" w14:textId="77777777" w:rsidR="00BB1B63" w:rsidRPr="00433634" w:rsidRDefault="00BB1B63" w:rsidP="00BB1B63">
      <w:pPr>
        <w:pStyle w:val="Title"/>
        <w:rPr>
          <w:b w:val="0"/>
          <w:bCs/>
        </w:rPr>
      </w:pPr>
    </w:p>
    <w:p w14:paraId="176800C8" w14:textId="319F46DE" w:rsidR="00BB1B63" w:rsidRPr="003A7B86" w:rsidRDefault="00BB1B63" w:rsidP="00BB1B63">
      <w:pPr>
        <w:pStyle w:val="Title"/>
        <w:rPr>
          <w:bCs/>
          <w:sz w:val="48"/>
          <w:szCs w:val="48"/>
        </w:rPr>
      </w:pPr>
      <w:r w:rsidRPr="003A7B86">
        <w:rPr>
          <w:bCs/>
          <w:sz w:val="48"/>
          <w:szCs w:val="48"/>
        </w:rPr>
        <w:t>Supporting Statement</w:t>
      </w:r>
    </w:p>
    <w:p w14:paraId="0BF2B1D4" w14:textId="4E62713E" w:rsidR="00BB1B63" w:rsidRPr="003A7B86" w:rsidRDefault="00BB1B63" w:rsidP="00BB1B63">
      <w:pPr>
        <w:pStyle w:val="Title"/>
        <w:rPr>
          <w:bCs/>
          <w:sz w:val="48"/>
          <w:szCs w:val="48"/>
        </w:rPr>
      </w:pPr>
      <w:r w:rsidRPr="003A7B86">
        <w:rPr>
          <w:bCs/>
          <w:sz w:val="48"/>
          <w:szCs w:val="48"/>
        </w:rPr>
        <w:t>Part</w:t>
      </w:r>
      <w:r>
        <w:rPr>
          <w:bCs/>
          <w:sz w:val="48"/>
          <w:szCs w:val="48"/>
        </w:rPr>
        <w:t>s</w:t>
      </w:r>
      <w:r w:rsidRPr="003A7B86">
        <w:rPr>
          <w:bCs/>
          <w:sz w:val="48"/>
          <w:szCs w:val="48"/>
        </w:rPr>
        <w:t xml:space="preserve"> </w:t>
      </w:r>
      <w:r>
        <w:rPr>
          <w:bCs/>
          <w:sz w:val="48"/>
          <w:szCs w:val="48"/>
        </w:rPr>
        <w:t>B &amp; C</w:t>
      </w:r>
    </w:p>
    <w:p w14:paraId="789CDC31" w14:textId="77777777" w:rsidR="00BB1B63" w:rsidRPr="00433634" w:rsidRDefault="00BB1B63" w:rsidP="00BB1B63">
      <w:pPr>
        <w:pStyle w:val="Title"/>
        <w:rPr>
          <w:b w:val="0"/>
          <w:bCs/>
          <w:sz w:val="40"/>
        </w:rPr>
      </w:pPr>
    </w:p>
    <w:p w14:paraId="1B12F7C1" w14:textId="77777777" w:rsidR="00BB1B63" w:rsidRDefault="00BB1B63" w:rsidP="00BB1B63">
      <w:pPr>
        <w:pStyle w:val="Title"/>
        <w:rPr>
          <w:b w:val="0"/>
          <w:bCs/>
          <w:sz w:val="40"/>
        </w:rPr>
      </w:pPr>
    </w:p>
    <w:p w14:paraId="7C443F1C" w14:textId="77777777" w:rsidR="00BB1B63" w:rsidRDefault="00BB1B63" w:rsidP="00BB1B63">
      <w:pPr>
        <w:pStyle w:val="Title"/>
        <w:rPr>
          <w:b w:val="0"/>
          <w:bCs/>
          <w:sz w:val="48"/>
          <w:szCs w:val="48"/>
        </w:rPr>
      </w:pPr>
      <w:r w:rsidRPr="003A7B86">
        <w:rPr>
          <w:b w:val="0"/>
          <w:bCs/>
          <w:sz w:val="48"/>
          <w:szCs w:val="48"/>
        </w:rPr>
        <w:t>OMB# 1850-new v.1</w:t>
      </w:r>
    </w:p>
    <w:p w14:paraId="312C8F43" w14:textId="4C15D2C9" w:rsidR="00BB1B63" w:rsidRPr="00433634" w:rsidRDefault="00BB1B63" w:rsidP="00BB1B63">
      <w:pPr>
        <w:pStyle w:val="Title"/>
        <w:rPr>
          <w:b w:val="0"/>
          <w:bCs/>
        </w:rPr>
      </w:pPr>
    </w:p>
    <w:p w14:paraId="60D6EC42" w14:textId="77777777" w:rsidR="00BB1B63" w:rsidRDefault="00BB1B63" w:rsidP="00BB1B63">
      <w:pPr>
        <w:pStyle w:val="Title"/>
        <w:rPr>
          <w:b w:val="0"/>
          <w:bCs/>
          <w:sz w:val="40"/>
        </w:rPr>
      </w:pPr>
    </w:p>
    <w:p w14:paraId="303292D8" w14:textId="77777777" w:rsidR="00BB1B63" w:rsidRPr="00BB1B63" w:rsidRDefault="00BB1B63" w:rsidP="00BB1B63">
      <w:pPr>
        <w:pStyle w:val="Title"/>
        <w:rPr>
          <w:b w:val="0"/>
          <w:bCs/>
          <w:sz w:val="24"/>
          <w:szCs w:val="24"/>
        </w:rPr>
      </w:pPr>
      <w:r w:rsidRPr="00BB1B63">
        <w:rPr>
          <w:b w:val="0"/>
          <w:bCs/>
          <w:sz w:val="24"/>
          <w:szCs w:val="24"/>
        </w:rPr>
        <w:t>October 2016</w:t>
      </w:r>
    </w:p>
    <w:p w14:paraId="1F382D68" w14:textId="77777777" w:rsidR="00BB1B63" w:rsidRPr="00433634" w:rsidRDefault="00BB1B63" w:rsidP="00BB1B63">
      <w:pPr>
        <w:pStyle w:val="Title"/>
        <w:rPr>
          <w:b w:val="0"/>
          <w:bCs/>
        </w:rPr>
      </w:pPr>
    </w:p>
    <w:p w14:paraId="4932A674" w14:textId="77777777" w:rsidR="00BB1B63" w:rsidRPr="00BB1B63" w:rsidRDefault="00BB1B63" w:rsidP="00BB1B63">
      <w:pPr>
        <w:pStyle w:val="Title"/>
        <w:rPr>
          <w:b w:val="0"/>
          <w:bCs/>
          <w:sz w:val="24"/>
          <w:szCs w:val="24"/>
        </w:rPr>
      </w:pPr>
      <w:r w:rsidRPr="00BB1B63">
        <w:rPr>
          <w:b w:val="0"/>
          <w:bCs/>
          <w:sz w:val="24"/>
          <w:szCs w:val="24"/>
        </w:rPr>
        <w:t>National Center for Education Statistics (NCES)</w:t>
      </w:r>
    </w:p>
    <w:p w14:paraId="37288868" w14:textId="77777777" w:rsidR="00BB1B63" w:rsidRPr="00BB1B63" w:rsidRDefault="00BB1B63" w:rsidP="00BB1B63">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b w:val="0"/>
          <w:bCs/>
          <w:szCs w:val="24"/>
        </w:rPr>
      </w:pPr>
      <w:r w:rsidRPr="00BB1B63">
        <w:rPr>
          <w:b w:val="0"/>
          <w:bCs/>
          <w:szCs w:val="24"/>
        </w:rPr>
        <w:t>U.S. Department of Education</w:t>
      </w:r>
    </w:p>
    <w:p w14:paraId="3D506C67" w14:textId="77777777" w:rsidR="00031CAD" w:rsidRDefault="00031CAD" w:rsidP="00172662">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ind w:right="-36"/>
        <w:jc w:val="center"/>
        <w:rPr>
          <w:b w:val="0"/>
          <w:bCs/>
          <w:sz w:val="40"/>
        </w:rPr>
      </w:pPr>
    </w:p>
    <w:p w14:paraId="5BA371F0" w14:textId="77777777" w:rsidR="000B01D4" w:rsidRDefault="000B01D4" w:rsidP="00172662">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ind w:right="-36"/>
        <w:jc w:val="center"/>
      </w:pPr>
    </w:p>
    <w:p w14:paraId="515B7BD1" w14:textId="77777777" w:rsidR="00DC1A08" w:rsidRPr="00955661" w:rsidRDefault="00DC1A08" w:rsidP="00172662">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ind w:right="-36"/>
        <w:jc w:val="center"/>
      </w:pPr>
      <w:r w:rsidRPr="00955661">
        <w:t>TABLE OF CONTENTS</w:t>
      </w:r>
    </w:p>
    <w:p w14:paraId="3DA9D6F2" w14:textId="77777777" w:rsidR="008A722E" w:rsidRPr="00955661" w:rsidRDefault="008A722E" w:rsidP="00172662">
      <w:pPr>
        <w:ind w:right="-36"/>
      </w:pPr>
    </w:p>
    <w:p w14:paraId="37A7C979" w14:textId="77777777" w:rsidR="00DC1A08" w:rsidRPr="007128EA" w:rsidRDefault="00DC1A08" w:rsidP="00172662">
      <w:pPr>
        <w:pStyle w:val="TOC1"/>
        <w:ind w:right="-36"/>
        <w:rPr>
          <w:rFonts w:ascii="Times New Roman" w:hAnsi="Times New Roman"/>
        </w:rPr>
      </w:pPr>
      <w:r w:rsidRPr="007128EA">
        <w:rPr>
          <w:rFonts w:ascii="Times New Roman" w:hAnsi="Times New Roman"/>
        </w:rPr>
        <w:t>B.</w:t>
      </w:r>
      <w:r w:rsidR="00AC1DBC" w:rsidRPr="007128EA">
        <w:rPr>
          <w:rFonts w:ascii="Times New Roman" w:hAnsi="Times New Roman"/>
        </w:rPr>
        <w:t xml:space="preserve"> </w:t>
      </w:r>
      <w:r w:rsidRPr="007128EA">
        <w:rPr>
          <w:rFonts w:ascii="Times New Roman" w:hAnsi="Times New Roman"/>
        </w:rPr>
        <w:t xml:space="preserve">Collection of Information </w:t>
      </w:r>
      <w:r w:rsidR="00E26F1C" w:rsidRPr="007128EA">
        <w:rPr>
          <w:rFonts w:ascii="Times New Roman" w:hAnsi="Times New Roman"/>
        </w:rPr>
        <w:t>Employing Statistical Methods</w:t>
      </w:r>
      <w:r w:rsidR="00E26F1C" w:rsidRPr="007128EA">
        <w:rPr>
          <w:rFonts w:ascii="Times New Roman" w:hAnsi="Times New Roman"/>
        </w:rPr>
        <w:tab/>
        <w:t>1</w:t>
      </w:r>
    </w:p>
    <w:p w14:paraId="3AE8EC57" w14:textId="77777777" w:rsidR="00DC1A08" w:rsidRPr="007128EA" w:rsidRDefault="00DC1A08" w:rsidP="00172662">
      <w:pPr>
        <w:ind w:right="-36"/>
      </w:pPr>
    </w:p>
    <w:p w14:paraId="14BFA717" w14:textId="77777777" w:rsidR="00DC1A08" w:rsidRPr="007128EA" w:rsidRDefault="00E26F1C" w:rsidP="00172662">
      <w:pPr>
        <w:pStyle w:val="TOC2"/>
        <w:ind w:right="-36"/>
      </w:pPr>
      <w:r w:rsidRPr="007128EA">
        <w:t>1. Respondent Universe</w:t>
      </w:r>
      <w:r w:rsidRPr="007128EA">
        <w:tab/>
        <w:t>1</w:t>
      </w:r>
    </w:p>
    <w:p w14:paraId="1779DCE6" w14:textId="77777777" w:rsidR="001932FE" w:rsidRPr="007128EA" w:rsidRDefault="001932FE" w:rsidP="00172662">
      <w:pPr>
        <w:pStyle w:val="TOC3"/>
        <w:ind w:right="-36"/>
        <w:rPr>
          <w:rFonts w:ascii="Times New Roman" w:hAnsi="Times New Roman"/>
        </w:rPr>
      </w:pPr>
      <w:r w:rsidRPr="007128EA">
        <w:rPr>
          <w:rFonts w:ascii="Times New Roman" w:hAnsi="Times New Roman"/>
        </w:rPr>
        <w:t>1a. Background on the NTPS 2015-16 sample</w:t>
      </w:r>
      <w:r w:rsidRPr="007128EA">
        <w:rPr>
          <w:rFonts w:ascii="Times New Roman" w:hAnsi="Times New Roman"/>
        </w:rPr>
        <w:tab/>
        <w:t>1</w:t>
      </w:r>
    </w:p>
    <w:p w14:paraId="391C183B" w14:textId="6ED5E084" w:rsidR="001932FE" w:rsidRPr="007128EA" w:rsidRDefault="001932FE" w:rsidP="00172662">
      <w:pPr>
        <w:pStyle w:val="TOC3"/>
        <w:ind w:right="-36"/>
        <w:rPr>
          <w:rFonts w:ascii="Times New Roman" w:hAnsi="Times New Roman"/>
        </w:rPr>
      </w:pPr>
      <w:r w:rsidRPr="007128EA">
        <w:rPr>
          <w:rFonts w:ascii="Times New Roman" w:hAnsi="Times New Roman"/>
        </w:rPr>
        <w:t xml:space="preserve">1b. </w:t>
      </w:r>
      <w:r w:rsidR="00BB1B63" w:rsidRPr="007128EA">
        <w:rPr>
          <w:rFonts w:ascii="Times New Roman" w:hAnsi="Times New Roman"/>
        </w:rPr>
        <w:t>Principal Follow-up Survey (PFS) Sample Design</w:t>
      </w:r>
      <w:r w:rsidRPr="007128EA">
        <w:rPr>
          <w:rFonts w:ascii="Times New Roman" w:hAnsi="Times New Roman"/>
        </w:rPr>
        <w:tab/>
        <w:t>2</w:t>
      </w:r>
    </w:p>
    <w:p w14:paraId="05DA5D83" w14:textId="04A87BD8" w:rsidR="00DC1A08" w:rsidRPr="007128EA" w:rsidRDefault="00DC1A08" w:rsidP="00172662">
      <w:pPr>
        <w:pStyle w:val="TOC2"/>
        <w:ind w:right="-36"/>
      </w:pPr>
      <w:r w:rsidRPr="007128EA">
        <w:t xml:space="preserve">2. Procedures </w:t>
      </w:r>
      <w:r w:rsidR="00E26F1C" w:rsidRPr="007128EA">
        <w:t xml:space="preserve">for </w:t>
      </w:r>
      <w:r w:rsidR="005528BA" w:rsidRPr="007128EA">
        <w:t>Collection of Information</w:t>
      </w:r>
      <w:r w:rsidR="005528BA" w:rsidRPr="007128EA">
        <w:tab/>
        <w:t>2</w:t>
      </w:r>
    </w:p>
    <w:p w14:paraId="1C94CA23" w14:textId="7C10EB5E" w:rsidR="00DC1A08" w:rsidRPr="007128EA" w:rsidRDefault="00DC1A08" w:rsidP="00172662">
      <w:pPr>
        <w:pStyle w:val="TOC2"/>
        <w:ind w:right="-36"/>
        <w:rPr>
          <w:szCs w:val="24"/>
        </w:rPr>
      </w:pPr>
      <w:r w:rsidRPr="007128EA">
        <w:rPr>
          <w:szCs w:val="24"/>
        </w:rPr>
        <w:t>3. Methods for Maximizing Response Rates</w:t>
      </w:r>
      <w:r w:rsidRPr="007128EA">
        <w:rPr>
          <w:szCs w:val="24"/>
        </w:rPr>
        <w:tab/>
      </w:r>
      <w:r w:rsidR="005528BA" w:rsidRPr="007128EA">
        <w:rPr>
          <w:szCs w:val="24"/>
        </w:rPr>
        <w:t>2</w:t>
      </w:r>
    </w:p>
    <w:p w14:paraId="131B55FE" w14:textId="0F3BBC72" w:rsidR="00103F49" w:rsidRPr="007128EA" w:rsidRDefault="00103F49" w:rsidP="00172662">
      <w:pPr>
        <w:pStyle w:val="TOC3"/>
        <w:ind w:right="-36"/>
        <w:rPr>
          <w:rFonts w:ascii="Times New Roman" w:hAnsi="Times New Roman"/>
        </w:rPr>
      </w:pPr>
      <w:r w:rsidRPr="007128EA">
        <w:rPr>
          <w:rFonts w:ascii="Times New Roman" w:hAnsi="Times New Roman"/>
        </w:rPr>
        <w:t>3a. Endorsements</w:t>
      </w:r>
      <w:r w:rsidR="00963DE3" w:rsidRPr="007128EA">
        <w:rPr>
          <w:rFonts w:ascii="Times New Roman" w:hAnsi="Times New Roman"/>
        </w:rPr>
        <w:tab/>
      </w:r>
      <w:r w:rsidR="007128EA" w:rsidRPr="007128EA">
        <w:rPr>
          <w:rFonts w:ascii="Times New Roman" w:hAnsi="Times New Roman"/>
        </w:rPr>
        <w:t>2</w:t>
      </w:r>
    </w:p>
    <w:p w14:paraId="1ABEAA5F" w14:textId="470B6BAC" w:rsidR="00103F49" w:rsidRPr="007128EA" w:rsidRDefault="00103F49" w:rsidP="00172662">
      <w:pPr>
        <w:pStyle w:val="TOC3"/>
        <w:ind w:right="-36"/>
        <w:rPr>
          <w:rFonts w:ascii="Times New Roman" w:hAnsi="Times New Roman"/>
        </w:rPr>
      </w:pPr>
      <w:r w:rsidRPr="007128EA">
        <w:rPr>
          <w:rFonts w:ascii="Times New Roman" w:hAnsi="Times New Roman"/>
        </w:rPr>
        <w:t>3b. Stressing</w:t>
      </w:r>
      <w:r w:rsidR="00963DE3" w:rsidRPr="007128EA">
        <w:rPr>
          <w:rFonts w:ascii="Times New Roman" w:hAnsi="Times New Roman"/>
        </w:rPr>
        <w:t xml:space="preserve"> the survey’s</w:t>
      </w:r>
      <w:r w:rsidRPr="007128EA">
        <w:rPr>
          <w:rFonts w:ascii="Times New Roman" w:hAnsi="Times New Roman"/>
        </w:rPr>
        <w:t xml:space="preserve"> importance</w:t>
      </w:r>
      <w:r w:rsidR="00963DE3" w:rsidRPr="007128EA">
        <w:rPr>
          <w:rFonts w:ascii="Times New Roman" w:hAnsi="Times New Roman"/>
        </w:rPr>
        <w:tab/>
      </w:r>
      <w:r w:rsidR="00F4549F" w:rsidRPr="007128EA">
        <w:rPr>
          <w:rFonts w:ascii="Times New Roman" w:hAnsi="Times New Roman"/>
        </w:rPr>
        <w:t>3</w:t>
      </w:r>
    </w:p>
    <w:p w14:paraId="1F9AC1BA" w14:textId="3CE05B75" w:rsidR="00103F49" w:rsidRPr="007128EA" w:rsidRDefault="00103F49" w:rsidP="00172662">
      <w:pPr>
        <w:pStyle w:val="TOC3"/>
        <w:ind w:right="-36"/>
        <w:rPr>
          <w:rFonts w:ascii="Times New Roman" w:hAnsi="Times New Roman"/>
        </w:rPr>
      </w:pPr>
      <w:r w:rsidRPr="007128EA">
        <w:rPr>
          <w:rFonts w:ascii="Times New Roman" w:hAnsi="Times New Roman"/>
        </w:rPr>
        <w:t>3c.</w:t>
      </w:r>
      <w:r w:rsidR="00FA3F84" w:rsidRPr="007128EA">
        <w:rPr>
          <w:rFonts w:ascii="Times New Roman" w:hAnsi="Times New Roman"/>
        </w:rPr>
        <w:t xml:space="preserve"> </w:t>
      </w:r>
      <w:r w:rsidRPr="007128EA">
        <w:rPr>
          <w:rFonts w:ascii="Times New Roman" w:hAnsi="Times New Roman"/>
        </w:rPr>
        <w:t>Extensive follow-up</w:t>
      </w:r>
      <w:r w:rsidR="00172662" w:rsidRPr="007128EA">
        <w:rPr>
          <w:rFonts w:ascii="Times New Roman" w:hAnsi="Times New Roman"/>
        </w:rPr>
        <w:t xml:space="preserve"> of </w:t>
      </w:r>
      <w:proofErr w:type="spellStart"/>
      <w:r w:rsidR="00172662" w:rsidRPr="007128EA">
        <w:rPr>
          <w:rFonts w:ascii="Times New Roman" w:hAnsi="Times New Roman"/>
        </w:rPr>
        <w:t>nonrespondents</w:t>
      </w:r>
      <w:proofErr w:type="spellEnd"/>
      <w:r w:rsidR="00172662" w:rsidRPr="007128EA">
        <w:rPr>
          <w:rFonts w:ascii="Times New Roman" w:hAnsi="Times New Roman"/>
        </w:rPr>
        <w:tab/>
      </w:r>
      <w:r w:rsidR="00F4549F" w:rsidRPr="007128EA">
        <w:rPr>
          <w:rFonts w:ascii="Times New Roman" w:hAnsi="Times New Roman"/>
        </w:rPr>
        <w:t>3</w:t>
      </w:r>
    </w:p>
    <w:p w14:paraId="0F06AD6D" w14:textId="4ACCBCBD" w:rsidR="00C4786F" w:rsidRPr="007128EA" w:rsidRDefault="00DC1A08" w:rsidP="00C4786F">
      <w:pPr>
        <w:pStyle w:val="TOC2"/>
        <w:ind w:right="-36"/>
      </w:pPr>
      <w:r w:rsidRPr="007128EA">
        <w:t>4. Te</w:t>
      </w:r>
      <w:r w:rsidR="00E26F1C" w:rsidRPr="007128EA">
        <w:t>sts of Procedures and Methods</w:t>
      </w:r>
      <w:r w:rsidR="00E26F1C" w:rsidRPr="007128EA">
        <w:tab/>
      </w:r>
      <w:r w:rsidR="00F4549F" w:rsidRPr="007128EA">
        <w:t>3</w:t>
      </w:r>
    </w:p>
    <w:p w14:paraId="55216A94" w14:textId="396B0C38" w:rsidR="00DC1A08" w:rsidRPr="007128EA" w:rsidRDefault="00E26F1C" w:rsidP="00172662">
      <w:pPr>
        <w:pStyle w:val="TOC2"/>
        <w:ind w:right="-36"/>
      </w:pPr>
      <w:r w:rsidRPr="007128EA">
        <w:t>5. Reviewing Statisticians</w:t>
      </w:r>
      <w:r w:rsidRPr="007128EA">
        <w:tab/>
      </w:r>
      <w:r w:rsidR="00F4549F" w:rsidRPr="007128EA">
        <w:t>3</w:t>
      </w:r>
    </w:p>
    <w:p w14:paraId="7E029A63" w14:textId="32B413E6" w:rsidR="00DC1A08" w:rsidRPr="007128EA" w:rsidRDefault="00BC3DA2" w:rsidP="00172662">
      <w:pPr>
        <w:pStyle w:val="TOC1"/>
        <w:ind w:right="-36"/>
        <w:rPr>
          <w:rFonts w:ascii="Times New Roman" w:hAnsi="Times New Roman"/>
        </w:rPr>
      </w:pPr>
      <w:r w:rsidRPr="007128EA">
        <w:rPr>
          <w:rFonts w:ascii="Times New Roman" w:hAnsi="Times New Roman"/>
        </w:rPr>
        <w:t>C.</w:t>
      </w:r>
      <w:r w:rsidR="00AC1DBC" w:rsidRPr="007128EA">
        <w:rPr>
          <w:rFonts w:ascii="Times New Roman" w:hAnsi="Times New Roman"/>
        </w:rPr>
        <w:t xml:space="preserve"> </w:t>
      </w:r>
      <w:r w:rsidR="00A331E4" w:rsidRPr="007128EA">
        <w:rPr>
          <w:rFonts w:ascii="Times New Roman" w:hAnsi="Times New Roman"/>
        </w:rPr>
        <w:t>Item Justification</w:t>
      </w:r>
      <w:r w:rsidR="00392F57" w:rsidRPr="007128EA">
        <w:rPr>
          <w:rFonts w:ascii="Times New Roman" w:hAnsi="Times New Roman"/>
        </w:rPr>
        <w:tab/>
      </w:r>
      <w:r w:rsidR="007128EA" w:rsidRPr="007128EA">
        <w:rPr>
          <w:rFonts w:ascii="Times New Roman" w:hAnsi="Times New Roman"/>
        </w:rPr>
        <w:t>3</w:t>
      </w:r>
    </w:p>
    <w:p w14:paraId="0EE2CAF9" w14:textId="57129F46" w:rsidR="00023F7D" w:rsidRPr="008B7522" w:rsidRDefault="00FA3F84" w:rsidP="008B7522">
      <w:pPr>
        <w:widowControl/>
        <w:ind w:right="-36"/>
        <w:rPr>
          <w:b/>
          <w:szCs w:val="24"/>
        </w:rPr>
      </w:pPr>
      <w:r w:rsidRPr="00955661">
        <w:rPr>
          <w:bCs/>
          <w:szCs w:val="24"/>
        </w:rPr>
        <w:br w:type="page"/>
      </w:r>
    </w:p>
    <w:p w14:paraId="2D917020" w14:textId="77777777" w:rsidR="00402B42" w:rsidRDefault="00402B42" w:rsidP="00BB1B63">
      <w:pPr>
        <w:pStyle w:val="BodyText3"/>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spacing w:after="120"/>
        <w:ind w:right="-36"/>
        <w:outlineLvl w:val="9"/>
        <w:rPr>
          <w:bCs w:val="0"/>
          <w:szCs w:val="24"/>
        </w:rPr>
      </w:pPr>
      <w:r w:rsidRPr="00955661">
        <w:rPr>
          <w:bCs w:val="0"/>
          <w:szCs w:val="24"/>
        </w:rPr>
        <w:lastRenderedPageBreak/>
        <w:t>PART B.</w:t>
      </w:r>
      <w:r w:rsidR="00AC1DBC">
        <w:rPr>
          <w:bCs w:val="0"/>
          <w:szCs w:val="24"/>
        </w:rPr>
        <w:t xml:space="preserve"> </w:t>
      </w:r>
      <w:r w:rsidRPr="00955661">
        <w:rPr>
          <w:bCs w:val="0"/>
          <w:szCs w:val="24"/>
        </w:rPr>
        <w:t>COLLECTION OF INFORMATION EMPLOYING STATISTICAL METHODS</w:t>
      </w:r>
    </w:p>
    <w:p w14:paraId="42F849A8" w14:textId="52FD6E61" w:rsidR="00402B42" w:rsidRPr="00955661" w:rsidRDefault="00402B42" w:rsidP="00BB1B63">
      <w:pPr>
        <w:pStyle w:val="Heading2"/>
        <w:widowControl/>
        <w:tabs>
          <w:tab w:val="clear" w:pos="0"/>
          <w:tab w:val="clear" w:pos="474"/>
          <w:tab w:val="clear" w:pos="948"/>
          <w:tab w:val="clear" w:pos="9360"/>
        </w:tabs>
        <w:spacing w:after="120"/>
        <w:ind w:left="0" w:right="-36" w:firstLine="0"/>
        <w:rPr>
          <w:b/>
          <w:szCs w:val="24"/>
        </w:rPr>
      </w:pPr>
      <w:r w:rsidRPr="00955661">
        <w:rPr>
          <w:b/>
          <w:szCs w:val="24"/>
        </w:rPr>
        <w:t>1.</w:t>
      </w:r>
      <w:r w:rsidRPr="00955661">
        <w:rPr>
          <w:b/>
          <w:szCs w:val="24"/>
        </w:rPr>
        <w:tab/>
        <w:t>Respondent Universe</w:t>
      </w:r>
    </w:p>
    <w:p w14:paraId="384B77DA" w14:textId="23BD9AC7" w:rsidR="000447A6" w:rsidRDefault="00555F31" w:rsidP="00BB1B63">
      <w:pPr>
        <w:pStyle w:val="BodyText3"/>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spacing w:after="120"/>
        <w:ind w:right="-36"/>
        <w:outlineLvl w:val="9"/>
        <w:rPr>
          <w:b w:val="0"/>
          <w:szCs w:val="24"/>
        </w:rPr>
      </w:pPr>
      <w:proofErr w:type="gramStart"/>
      <w:r w:rsidRPr="00955661">
        <w:rPr>
          <w:szCs w:val="24"/>
        </w:rPr>
        <w:t>1.a</w:t>
      </w:r>
      <w:proofErr w:type="gramEnd"/>
      <w:r w:rsidRPr="00955661">
        <w:rPr>
          <w:szCs w:val="24"/>
        </w:rPr>
        <w:t xml:space="preserve"> </w:t>
      </w:r>
      <w:r w:rsidR="000447A6">
        <w:rPr>
          <w:szCs w:val="24"/>
        </w:rPr>
        <w:t>Background on the NTPS</w:t>
      </w:r>
      <w:r w:rsidR="00DF44F0">
        <w:rPr>
          <w:szCs w:val="24"/>
        </w:rPr>
        <w:t xml:space="preserve"> </w:t>
      </w:r>
      <w:r w:rsidR="000447A6">
        <w:rPr>
          <w:szCs w:val="24"/>
        </w:rPr>
        <w:t>201</w:t>
      </w:r>
      <w:r w:rsidR="00DF44F0">
        <w:rPr>
          <w:szCs w:val="24"/>
        </w:rPr>
        <w:t>5-1</w:t>
      </w:r>
      <w:r w:rsidR="000447A6">
        <w:rPr>
          <w:szCs w:val="24"/>
        </w:rPr>
        <w:t>6 Sample</w:t>
      </w:r>
    </w:p>
    <w:p w14:paraId="6F1AAED2" w14:textId="4ED1D738" w:rsidR="000447A6" w:rsidRDefault="000447A6" w:rsidP="00BB1B63">
      <w:pPr>
        <w:pStyle w:val="NoSpacing"/>
        <w:spacing w:after="120"/>
      </w:pPr>
      <w:r>
        <w:t>The 2015–</w:t>
      </w:r>
      <w:r w:rsidR="00971B6A" w:rsidRPr="00955661">
        <w:t>16</w:t>
      </w:r>
      <w:r>
        <w:t xml:space="preserve"> National Teacher and Principal Survey (NTPS</w:t>
      </w:r>
      <w:r w:rsidR="00A47844" w:rsidRPr="00955661">
        <w:t xml:space="preserve"> </w:t>
      </w:r>
      <w:r w:rsidR="0067344B" w:rsidRPr="00955661">
        <w:t>2015-16</w:t>
      </w:r>
      <w:r>
        <w:t>) sample was a two-stage stratified sample. The schools were sampled first, and then teachers were selected within each sampled school.</w:t>
      </w:r>
    </w:p>
    <w:p w14:paraId="4FF69DC4" w14:textId="5B4CDD0E" w:rsidR="000447A6" w:rsidRDefault="000447A6" w:rsidP="00BB1B63">
      <w:pPr>
        <w:pStyle w:val="NoSpacing"/>
        <w:spacing w:after="120"/>
        <w:rPr>
          <w:rFonts w:eastAsia="MS Mincho"/>
        </w:rPr>
      </w:pPr>
      <w:r>
        <w:rPr>
          <w:rFonts w:eastAsia="MS Mincho"/>
        </w:rPr>
        <w:t xml:space="preserve">The NTPS school sample is a systematic probability proportionate to size (PPS) sample, where size is defined to be the square root of the </w:t>
      </w:r>
      <w:r>
        <w:t xml:space="preserve">full time equivalent </w:t>
      </w:r>
      <w:r>
        <w:rPr>
          <w:rFonts w:eastAsia="MS Mincho"/>
        </w:rPr>
        <w:t xml:space="preserve">number of teachers at the school. Unlike its predecessor, the School and Staffing Survey (SASS), the NTPS did not stratify schools prior to sampling. However, some schools were oversampled based on their assigned domains. The domains were defined by charter status (charter/not charter), </w:t>
      </w:r>
      <w:r w:rsidR="0046764A">
        <w:rPr>
          <w:rFonts w:eastAsia="MS Mincho"/>
        </w:rPr>
        <w:t>grade</w:t>
      </w:r>
      <w:r>
        <w:rPr>
          <w:rFonts w:eastAsia="MS Mincho"/>
        </w:rPr>
        <w:t xml:space="preserve"> level (primary/middle/high/combined), </w:t>
      </w:r>
      <w:proofErr w:type="spellStart"/>
      <w:r>
        <w:rPr>
          <w:rFonts w:eastAsia="MS Mincho"/>
        </w:rPr>
        <w:t>urbanicity</w:t>
      </w:r>
      <w:proofErr w:type="spellEnd"/>
      <w:r>
        <w:rPr>
          <w:rFonts w:eastAsia="MS Mincho"/>
        </w:rPr>
        <w:t xml:space="preserve"> (city/suburban/town/rural), and poverty status (&gt; 75% of enrollment eligible for free or reduced price lunch/otherwise).</w:t>
      </w:r>
    </w:p>
    <w:p w14:paraId="3EACCBE8" w14:textId="270D7FC9" w:rsidR="000447A6" w:rsidRDefault="00F02E1D" w:rsidP="00BB1B63">
      <w:pPr>
        <w:pStyle w:val="NoSpacing"/>
        <w:spacing w:after="120"/>
        <w:rPr>
          <w:rFonts w:eastAsia="MS Mincho"/>
        </w:rPr>
      </w:pPr>
      <w:r>
        <w:rPr>
          <w:rFonts w:eastAsia="MS Mincho"/>
        </w:rPr>
        <w:t>Public c</w:t>
      </w:r>
      <w:r w:rsidR="00971B6A" w:rsidRPr="00955661">
        <w:rPr>
          <w:rFonts w:eastAsia="MS Mincho"/>
        </w:rPr>
        <w:t>harter</w:t>
      </w:r>
      <w:r w:rsidR="000447A6">
        <w:rPr>
          <w:rFonts w:eastAsia="MS Mincho"/>
        </w:rPr>
        <w:t xml:space="preserve"> schools were oversampled at a rate 3.1 times their proportional sample allocation. Proportional allocation in this instance is defined as the domain’s sum of schools’ measures of size relative to the sum of measures of size of all schools in the sampling frame. Further oversampling applied to non-charter schools by grade level, whereby combined schools were oversampled at 2.4 times the proportional allocation, middle schools were oversampled at 1.17 times the proportional allocation, and high schools were oversampled at 1.12 times the proportional allocation. Primary schools were </w:t>
      </w:r>
      <w:proofErr w:type="spellStart"/>
      <w:r w:rsidR="000447A6">
        <w:rPr>
          <w:rFonts w:eastAsia="MS Mincho"/>
        </w:rPr>
        <w:t>undersampled</w:t>
      </w:r>
      <w:proofErr w:type="spellEnd"/>
      <w:r w:rsidR="000447A6">
        <w:rPr>
          <w:rFonts w:eastAsia="MS Mincho"/>
        </w:rPr>
        <w:t xml:space="preserve"> at a rate of 0.9 times their proportional allocation. In addition, once the grade level sampling differential was applied, non-charter schools had their probabilities further altered by </w:t>
      </w:r>
      <w:proofErr w:type="spellStart"/>
      <w:r w:rsidR="000447A6">
        <w:rPr>
          <w:rFonts w:eastAsia="MS Mincho"/>
        </w:rPr>
        <w:t>urbanicity</w:t>
      </w:r>
      <w:proofErr w:type="spellEnd"/>
      <w:r w:rsidR="000447A6">
        <w:rPr>
          <w:rFonts w:eastAsia="MS Mincho"/>
        </w:rPr>
        <w:t xml:space="preserve"> as follows: rural schools were oversampled at a rate of 1.05 times their previous rate, town schools were oversampled at a rate 1.27 times their previous rate, and suburban schools were </w:t>
      </w:r>
      <w:proofErr w:type="spellStart"/>
      <w:r w:rsidR="000447A6">
        <w:rPr>
          <w:rFonts w:eastAsia="MS Mincho"/>
        </w:rPr>
        <w:t>undersampled</w:t>
      </w:r>
      <w:proofErr w:type="spellEnd"/>
      <w:r w:rsidR="000447A6">
        <w:rPr>
          <w:rFonts w:eastAsia="MS Mincho"/>
        </w:rPr>
        <w:t xml:space="preserve"> at a rate of 0.95 times their previous rate.</w:t>
      </w:r>
    </w:p>
    <w:p w14:paraId="472E9906" w14:textId="43373FB3" w:rsidR="000447A6" w:rsidRDefault="000447A6" w:rsidP="00BB1B63">
      <w:pPr>
        <w:pStyle w:val="NoSpacing"/>
        <w:spacing w:after="120"/>
        <w:rPr>
          <w:rFonts w:eastAsia="MS Mincho"/>
        </w:rPr>
      </w:pPr>
      <w:r>
        <w:rPr>
          <w:rFonts w:eastAsia="MS Mincho"/>
        </w:rPr>
        <w:t>In addition to oversampling, the sample sizes of schools in six small states (Alaska, District of Columbia, Hawaii, Rhode Island, Vermont, and Wyoming) were inflated to</w:t>
      </w:r>
      <w:r>
        <w:t xml:space="preserve"> realize lower bounds on precision for these states</w:t>
      </w:r>
      <w:r w:rsidR="009C47F8" w:rsidRPr="00955661">
        <w:rPr>
          <w:rFonts w:eastAsia="MS Mincho"/>
        </w:rPr>
        <w:t xml:space="preserve"> and to enable the calculation of reliable key state estimates by aggregating </w:t>
      </w:r>
      <w:r w:rsidR="00A371A1" w:rsidRPr="00955661">
        <w:rPr>
          <w:rFonts w:eastAsia="MS Mincho"/>
        </w:rPr>
        <w:t xml:space="preserve">data from </w:t>
      </w:r>
      <w:r w:rsidR="009C47F8" w:rsidRPr="00955661">
        <w:rPr>
          <w:rFonts w:eastAsia="MS Mincho"/>
        </w:rPr>
        <w:t>multiple cycles of NTPS</w:t>
      </w:r>
      <w:r>
        <w:rPr>
          <w:rFonts w:eastAsia="MS Mincho"/>
        </w:rPr>
        <w:t>.</w:t>
      </w:r>
    </w:p>
    <w:p w14:paraId="155B986D" w14:textId="2EB3264F" w:rsidR="000447A6" w:rsidRPr="00B57AAD" w:rsidRDefault="000447A6" w:rsidP="00BB1B63">
      <w:pPr>
        <w:pStyle w:val="NoSpacing"/>
        <w:widowControl/>
        <w:spacing w:after="60"/>
        <w:rPr>
          <w:rFonts w:eastAsia="MS Mincho"/>
        </w:rPr>
      </w:pPr>
      <w:r>
        <w:rPr>
          <w:rFonts w:eastAsia="MS Mincho"/>
        </w:rPr>
        <w:t xml:space="preserve">Along with the names of </w:t>
      </w:r>
      <w:r w:rsidR="00040E31">
        <w:rPr>
          <w:rFonts w:eastAsia="MS Mincho"/>
        </w:rPr>
        <w:t>their</w:t>
      </w:r>
      <w:r>
        <w:rPr>
          <w:rFonts w:eastAsia="MS Mincho"/>
        </w:rPr>
        <w:t xml:space="preserve"> teachers</w:t>
      </w:r>
      <w:r w:rsidR="0092600F" w:rsidRPr="00955661">
        <w:rPr>
          <w:rFonts w:eastAsia="MS Mincho"/>
        </w:rPr>
        <w:t xml:space="preserve"> and </w:t>
      </w:r>
      <w:r w:rsidR="009C47F8" w:rsidRPr="00955661">
        <w:rPr>
          <w:rFonts w:eastAsia="MS Mincho"/>
        </w:rPr>
        <w:t xml:space="preserve">their </w:t>
      </w:r>
      <w:r w:rsidR="0092600F" w:rsidRPr="00955661">
        <w:rPr>
          <w:rFonts w:eastAsia="MS Mincho"/>
        </w:rPr>
        <w:t>email address</w:t>
      </w:r>
      <w:r>
        <w:rPr>
          <w:rFonts w:eastAsia="MS Mincho"/>
        </w:rPr>
        <w:t>, sampled schools were asked to provide the following descriptive characteristics of each teacher:</w:t>
      </w:r>
    </w:p>
    <w:p w14:paraId="75F33ADA" w14:textId="77777777" w:rsidR="000447A6" w:rsidRDefault="000447A6" w:rsidP="00BB1B63">
      <w:pPr>
        <w:widowControl/>
        <w:numPr>
          <w:ilvl w:val="0"/>
          <w:numId w:val="59"/>
        </w:numPr>
        <w:tabs>
          <w:tab w:val="clear" w:pos="360"/>
          <w:tab w:val="num" w:pos="720"/>
        </w:tabs>
        <w:spacing w:after="60"/>
        <w:rPr>
          <w:szCs w:val="24"/>
        </w:rPr>
      </w:pPr>
      <w:r>
        <w:rPr>
          <w:rFonts w:eastAsia="MS Mincho"/>
          <w:szCs w:val="24"/>
        </w:rPr>
        <w:t xml:space="preserve">teaching status: </w:t>
      </w:r>
      <w:r>
        <w:rPr>
          <w:szCs w:val="24"/>
        </w:rPr>
        <w:t>part-time or full-time; and</w:t>
      </w:r>
    </w:p>
    <w:p w14:paraId="0F25B250" w14:textId="77777777" w:rsidR="000447A6" w:rsidRDefault="000447A6" w:rsidP="00BB1B63">
      <w:pPr>
        <w:widowControl/>
        <w:numPr>
          <w:ilvl w:val="0"/>
          <w:numId w:val="59"/>
        </w:numPr>
        <w:tabs>
          <w:tab w:val="clear" w:pos="360"/>
          <w:tab w:val="left" w:pos="720"/>
        </w:tabs>
        <w:spacing w:after="120"/>
        <w:ind w:right="-36"/>
        <w:rPr>
          <w:rFonts w:eastAsia="MS Mincho"/>
          <w:szCs w:val="24"/>
        </w:rPr>
      </w:pPr>
      <w:proofErr w:type="gramStart"/>
      <w:r>
        <w:rPr>
          <w:rFonts w:eastAsia="MS Mincho"/>
          <w:szCs w:val="24"/>
        </w:rPr>
        <w:t>subject</w:t>
      </w:r>
      <w:proofErr w:type="gramEnd"/>
      <w:r>
        <w:rPr>
          <w:rFonts w:eastAsia="MS Mincho"/>
          <w:szCs w:val="24"/>
        </w:rPr>
        <w:t xml:space="preserve"> matter taught: teachers were classified as special education, general elementary, math, science, English/language arts, social studies, vocational/technical, or other.</w:t>
      </w:r>
    </w:p>
    <w:p w14:paraId="0FD38789" w14:textId="46EEE36A" w:rsidR="00B57AAD" w:rsidRDefault="000447A6" w:rsidP="0046764A">
      <w:pPr>
        <w:spacing w:after="120"/>
        <w:ind w:right="-36"/>
      </w:pPr>
      <w:r>
        <w:rPr>
          <w:szCs w:val="24"/>
        </w:rPr>
        <w:t xml:space="preserve">The above information for each teacher in a selected NTPS school comprised the </w:t>
      </w:r>
      <w:r w:rsidR="009C47F8" w:rsidRPr="00955661">
        <w:rPr>
          <w:szCs w:val="24"/>
        </w:rPr>
        <w:t xml:space="preserve">initial </w:t>
      </w:r>
      <w:r w:rsidR="00971B6A" w:rsidRPr="00955661">
        <w:rPr>
          <w:szCs w:val="24"/>
        </w:rPr>
        <w:t>teacher sampling frame.</w:t>
      </w:r>
      <w:r w:rsidR="009C47F8" w:rsidRPr="00955661">
        <w:rPr>
          <w:szCs w:val="24"/>
        </w:rPr>
        <w:t xml:space="preserve"> The frame was also supplemented with information from </w:t>
      </w:r>
      <w:r w:rsidR="0067344B" w:rsidRPr="00955661">
        <w:rPr>
          <w:szCs w:val="24"/>
        </w:rPr>
        <w:t xml:space="preserve">vendor-purchased </w:t>
      </w:r>
      <w:r w:rsidR="009C47F8" w:rsidRPr="00955661">
        <w:rPr>
          <w:szCs w:val="24"/>
        </w:rPr>
        <w:t>teacher</w:t>
      </w:r>
      <w:r w:rsidR="0067344B" w:rsidRPr="00955661">
        <w:rPr>
          <w:szCs w:val="24"/>
        </w:rPr>
        <w:t xml:space="preserve"> roster</w:t>
      </w:r>
      <w:r w:rsidR="009C47F8" w:rsidRPr="00955661">
        <w:rPr>
          <w:szCs w:val="24"/>
        </w:rPr>
        <w:t xml:space="preserve"> files and from a clerical look-up operation conducted as part of NTPS</w:t>
      </w:r>
      <w:r w:rsidR="0067344B" w:rsidRPr="00955661">
        <w:rPr>
          <w:szCs w:val="24"/>
        </w:rPr>
        <w:t xml:space="preserve"> where teacher lists were located on school and/or district websites</w:t>
      </w:r>
      <w:r w:rsidR="009C47F8" w:rsidRPr="00955661">
        <w:rPr>
          <w:szCs w:val="24"/>
        </w:rPr>
        <w:t>.</w:t>
      </w:r>
      <w:r>
        <w:rPr>
          <w:szCs w:val="24"/>
        </w:rPr>
        <w:t xml:space="preserve"> </w:t>
      </w:r>
      <w:r>
        <w:rPr>
          <w:rFonts w:eastAsia="MS Mincho"/>
          <w:szCs w:val="24"/>
        </w:rPr>
        <w:t>Within each sampled school, teachers were stratified by subject. The strata include math, science, English/language arts, social studies, and everything else. No oversampling was done for the teacher sample.</w:t>
      </w:r>
      <w:r w:rsidR="00BB1B63">
        <w:rPr>
          <w:rFonts w:eastAsia="MS Mincho"/>
          <w:szCs w:val="24"/>
        </w:rPr>
        <w:t xml:space="preserve"> </w:t>
      </w:r>
      <w:r w:rsidR="0046764A">
        <w:rPr>
          <w:rFonts w:eastAsia="MS Mincho"/>
          <w:szCs w:val="24"/>
        </w:rPr>
        <w:t xml:space="preserve">Teacher records within a school domain and teacher stratum were sorted by the teacher subject and the teacher line number code, which is a unique number assigned to identify the teacher within the list of keyed teachers. </w:t>
      </w:r>
      <w:r w:rsidR="00040E31" w:rsidRPr="00040E31">
        <w:rPr>
          <w:rFonts w:eastAsia="MS Mincho"/>
          <w:szCs w:val="24"/>
        </w:rPr>
        <w:t>Within each teacher stratum in each school, teachers were selected systematically with equal probability.</w:t>
      </w:r>
      <w:r w:rsidR="0046764A">
        <w:rPr>
          <w:rFonts w:eastAsia="MS Mincho"/>
          <w:szCs w:val="24"/>
        </w:rPr>
        <w:t xml:space="preserve"> </w:t>
      </w:r>
      <w:r>
        <w:t xml:space="preserve">The following table shows a summary of </w:t>
      </w:r>
      <w:r w:rsidRPr="004A2AAB">
        <w:t>the NTPS</w:t>
      </w:r>
      <w:r w:rsidR="00A47844" w:rsidRPr="004A2AAB">
        <w:t xml:space="preserve"> </w:t>
      </w:r>
      <w:r w:rsidRPr="004A2AAB">
        <w:t>201</w:t>
      </w:r>
      <w:r w:rsidR="004A2AAB" w:rsidRPr="004A2AAB">
        <w:t>5</w:t>
      </w:r>
      <w:r w:rsidR="00A47844" w:rsidRPr="004A2AAB">
        <w:t>-1</w:t>
      </w:r>
      <w:r w:rsidR="004A2AAB" w:rsidRPr="004A2AAB">
        <w:t>6</w:t>
      </w:r>
      <w:r>
        <w:t xml:space="preserve"> allocated </w:t>
      </w:r>
      <w:r>
        <w:rPr>
          <w:color w:val="000000"/>
        </w:rPr>
        <w:t>sample sizes</w:t>
      </w:r>
      <w:r>
        <w:t>:</w:t>
      </w:r>
    </w:p>
    <w:tbl>
      <w:tblPr>
        <w:tblStyle w:val="TableGrid"/>
        <w:tblW w:w="5000" w:type="pct"/>
        <w:tblLook w:val="0000" w:firstRow="0" w:lastRow="0" w:firstColumn="0" w:lastColumn="0" w:noHBand="0" w:noVBand="0"/>
      </w:tblPr>
      <w:tblGrid>
        <w:gridCol w:w="5844"/>
        <w:gridCol w:w="2442"/>
        <w:gridCol w:w="2442"/>
      </w:tblGrid>
      <w:tr w:rsidR="00040E31" w14:paraId="54E7D7BD" w14:textId="77777777" w:rsidTr="00BB1B63">
        <w:trPr>
          <w:trHeight w:val="144"/>
        </w:trPr>
        <w:tc>
          <w:tcPr>
            <w:tcW w:w="2724" w:type="pct"/>
          </w:tcPr>
          <w:p w14:paraId="346C5BA5" w14:textId="77777777" w:rsidR="00040E31" w:rsidRPr="0046764A" w:rsidRDefault="00040E31" w:rsidP="00BB1B63">
            <w:pPr>
              <w:pStyle w:val="NoSpacing"/>
              <w:ind w:right="-36"/>
              <w:jc w:val="center"/>
              <w:rPr>
                <w:rFonts w:ascii="Times New Roman" w:hAnsi="Times New Roman"/>
                <w:b/>
                <w:sz w:val="20"/>
                <w:szCs w:val="20"/>
              </w:rPr>
            </w:pPr>
            <w:r w:rsidRPr="0046764A">
              <w:rPr>
                <w:rFonts w:ascii="Times New Roman" w:hAnsi="Times New Roman"/>
                <w:b/>
                <w:sz w:val="20"/>
                <w:szCs w:val="20"/>
              </w:rPr>
              <w:t>Type of School</w:t>
            </w:r>
          </w:p>
        </w:tc>
        <w:tc>
          <w:tcPr>
            <w:tcW w:w="1138" w:type="pct"/>
            <w:hideMark/>
          </w:tcPr>
          <w:p w14:paraId="3C049272" w14:textId="77777777" w:rsidR="00040E31" w:rsidRPr="0046764A" w:rsidRDefault="00040E31" w:rsidP="00BB1B63">
            <w:pPr>
              <w:pStyle w:val="NoSpacing"/>
              <w:ind w:right="-36"/>
              <w:jc w:val="center"/>
              <w:rPr>
                <w:rFonts w:ascii="Times New Roman" w:hAnsi="Times New Roman"/>
                <w:b/>
                <w:sz w:val="20"/>
                <w:szCs w:val="20"/>
              </w:rPr>
            </w:pPr>
            <w:r w:rsidRPr="0046764A">
              <w:rPr>
                <w:rFonts w:ascii="Times New Roman" w:hAnsi="Times New Roman"/>
                <w:b/>
                <w:sz w:val="20"/>
                <w:szCs w:val="20"/>
              </w:rPr>
              <w:t>Number of Schools</w:t>
            </w:r>
          </w:p>
        </w:tc>
        <w:tc>
          <w:tcPr>
            <w:tcW w:w="1138" w:type="pct"/>
            <w:hideMark/>
          </w:tcPr>
          <w:p w14:paraId="16730086" w14:textId="77777777" w:rsidR="00040E31" w:rsidRPr="0046764A" w:rsidRDefault="00040E31" w:rsidP="00BB1B63">
            <w:pPr>
              <w:pStyle w:val="NoSpacing"/>
              <w:ind w:right="-36"/>
              <w:jc w:val="center"/>
              <w:rPr>
                <w:rFonts w:ascii="Times New Roman" w:hAnsi="Times New Roman"/>
                <w:b/>
                <w:sz w:val="20"/>
                <w:szCs w:val="20"/>
              </w:rPr>
            </w:pPr>
            <w:r w:rsidRPr="0046764A">
              <w:rPr>
                <w:rFonts w:ascii="Times New Roman" w:hAnsi="Times New Roman"/>
                <w:b/>
                <w:sz w:val="20"/>
                <w:szCs w:val="20"/>
              </w:rPr>
              <w:t>Number of Teachers*</w:t>
            </w:r>
          </w:p>
        </w:tc>
      </w:tr>
      <w:tr w:rsidR="00040E31" w14:paraId="6EC5CC1A" w14:textId="77777777" w:rsidTr="00BB1B63">
        <w:trPr>
          <w:trHeight w:val="144"/>
        </w:trPr>
        <w:tc>
          <w:tcPr>
            <w:tcW w:w="2724" w:type="pct"/>
            <w:hideMark/>
          </w:tcPr>
          <w:p w14:paraId="5D4C5D4D" w14:textId="77777777" w:rsidR="00040E31" w:rsidRPr="0046764A" w:rsidRDefault="00040E31" w:rsidP="00BB1B63">
            <w:pPr>
              <w:pStyle w:val="NoSpacing"/>
              <w:ind w:right="-36"/>
              <w:rPr>
                <w:rFonts w:ascii="Times New Roman" w:hAnsi="Times New Roman"/>
                <w:sz w:val="20"/>
                <w:szCs w:val="20"/>
              </w:rPr>
            </w:pPr>
            <w:r w:rsidRPr="0046764A">
              <w:rPr>
                <w:rFonts w:ascii="Times New Roman" w:hAnsi="Times New Roman"/>
                <w:sz w:val="20"/>
                <w:szCs w:val="20"/>
              </w:rPr>
              <w:t>Traditional Public</w:t>
            </w:r>
          </w:p>
        </w:tc>
        <w:tc>
          <w:tcPr>
            <w:tcW w:w="1138" w:type="pct"/>
            <w:hideMark/>
          </w:tcPr>
          <w:p w14:paraId="55A44589" w14:textId="77777777" w:rsidR="00040E31" w:rsidRPr="0046764A" w:rsidRDefault="00040E31" w:rsidP="00BB1B63">
            <w:pPr>
              <w:pStyle w:val="NoSpacing"/>
              <w:ind w:right="775"/>
              <w:jc w:val="right"/>
              <w:rPr>
                <w:rFonts w:ascii="Times New Roman" w:hAnsi="Times New Roman"/>
                <w:sz w:val="20"/>
                <w:szCs w:val="20"/>
              </w:rPr>
            </w:pPr>
            <w:r w:rsidRPr="0046764A">
              <w:rPr>
                <w:rFonts w:ascii="Times New Roman" w:hAnsi="Times New Roman"/>
                <w:sz w:val="20"/>
                <w:szCs w:val="20"/>
              </w:rPr>
              <w:t>7,127</w:t>
            </w:r>
          </w:p>
        </w:tc>
        <w:tc>
          <w:tcPr>
            <w:tcW w:w="1138" w:type="pct"/>
            <w:hideMark/>
          </w:tcPr>
          <w:p w14:paraId="1A0C8E8F" w14:textId="77777777" w:rsidR="00040E31" w:rsidRPr="0046764A" w:rsidRDefault="00040E31" w:rsidP="0046764A">
            <w:pPr>
              <w:pStyle w:val="NoSpacing"/>
              <w:ind w:right="792"/>
              <w:jc w:val="right"/>
              <w:rPr>
                <w:rFonts w:ascii="Times New Roman" w:hAnsi="Times New Roman"/>
                <w:sz w:val="20"/>
                <w:szCs w:val="20"/>
              </w:rPr>
            </w:pPr>
            <w:r w:rsidRPr="0046764A">
              <w:rPr>
                <w:rFonts w:ascii="Times New Roman" w:hAnsi="Times New Roman"/>
                <w:sz w:val="20"/>
                <w:szCs w:val="20"/>
              </w:rPr>
              <w:t>43,674</w:t>
            </w:r>
          </w:p>
        </w:tc>
      </w:tr>
      <w:tr w:rsidR="00040E31" w14:paraId="7AA0EF4F" w14:textId="77777777" w:rsidTr="00BB1B63">
        <w:trPr>
          <w:trHeight w:val="144"/>
        </w:trPr>
        <w:tc>
          <w:tcPr>
            <w:tcW w:w="2724" w:type="pct"/>
            <w:hideMark/>
          </w:tcPr>
          <w:p w14:paraId="3533FE94" w14:textId="77777777" w:rsidR="00040E31" w:rsidRPr="0046764A" w:rsidRDefault="00040E31" w:rsidP="00BB1B63">
            <w:pPr>
              <w:pStyle w:val="NoSpacing"/>
              <w:rPr>
                <w:rFonts w:ascii="Times New Roman" w:hAnsi="Times New Roman"/>
                <w:sz w:val="20"/>
                <w:szCs w:val="20"/>
              </w:rPr>
            </w:pPr>
            <w:r w:rsidRPr="0046764A">
              <w:rPr>
                <w:rFonts w:ascii="Times New Roman" w:hAnsi="Times New Roman"/>
                <w:sz w:val="20"/>
                <w:szCs w:val="20"/>
              </w:rPr>
              <w:t>Public Charter</w:t>
            </w:r>
          </w:p>
        </w:tc>
        <w:tc>
          <w:tcPr>
            <w:tcW w:w="1138" w:type="pct"/>
            <w:hideMark/>
          </w:tcPr>
          <w:p w14:paraId="26BA346E" w14:textId="77777777" w:rsidR="00040E31" w:rsidRPr="0046764A" w:rsidRDefault="00040E31" w:rsidP="00BB1B63">
            <w:pPr>
              <w:pStyle w:val="NoSpacing"/>
              <w:ind w:right="775"/>
              <w:jc w:val="right"/>
              <w:rPr>
                <w:rFonts w:ascii="Times New Roman" w:hAnsi="Times New Roman"/>
                <w:sz w:val="20"/>
                <w:szCs w:val="20"/>
              </w:rPr>
            </w:pPr>
            <w:r w:rsidRPr="0046764A">
              <w:rPr>
                <w:rFonts w:ascii="Times New Roman" w:hAnsi="Times New Roman"/>
                <w:sz w:val="20"/>
                <w:szCs w:val="20"/>
              </w:rPr>
              <w:t>1,173</w:t>
            </w:r>
          </w:p>
        </w:tc>
        <w:tc>
          <w:tcPr>
            <w:tcW w:w="1138" w:type="pct"/>
            <w:hideMark/>
          </w:tcPr>
          <w:p w14:paraId="507A306F" w14:textId="77777777" w:rsidR="00040E31" w:rsidRPr="0046764A" w:rsidRDefault="00040E31" w:rsidP="0046764A">
            <w:pPr>
              <w:pStyle w:val="NoSpacing"/>
              <w:ind w:right="792"/>
              <w:jc w:val="right"/>
              <w:rPr>
                <w:rFonts w:ascii="Times New Roman" w:hAnsi="Times New Roman"/>
                <w:sz w:val="20"/>
                <w:szCs w:val="20"/>
              </w:rPr>
            </w:pPr>
            <w:r w:rsidRPr="0046764A">
              <w:rPr>
                <w:rFonts w:ascii="Times New Roman" w:hAnsi="Times New Roman"/>
                <w:sz w:val="20"/>
                <w:szCs w:val="20"/>
              </w:rPr>
              <w:t>5,313</w:t>
            </w:r>
          </w:p>
        </w:tc>
      </w:tr>
      <w:tr w:rsidR="00040E31" w14:paraId="1D5D587D" w14:textId="77777777" w:rsidTr="00BB1B63">
        <w:trPr>
          <w:trHeight w:val="144"/>
        </w:trPr>
        <w:tc>
          <w:tcPr>
            <w:tcW w:w="2724" w:type="pct"/>
          </w:tcPr>
          <w:p w14:paraId="0B099380" w14:textId="0A23CAD5" w:rsidR="00040E31" w:rsidRPr="0046764A" w:rsidRDefault="00040E31" w:rsidP="00BB1B63">
            <w:pPr>
              <w:pStyle w:val="NoSpacing"/>
              <w:rPr>
                <w:rFonts w:ascii="Times New Roman" w:hAnsi="Times New Roman"/>
                <w:sz w:val="20"/>
              </w:rPr>
            </w:pPr>
            <w:r w:rsidRPr="0046764A">
              <w:rPr>
                <w:rFonts w:ascii="Times New Roman" w:hAnsi="Times New Roman"/>
                <w:sz w:val="20"/>
              </w:rPr>
              <w:t xml:space="preserve">Internet Experiment for Schools and </w:t>
            </w:r>
            <w:proofErr w:type="gramStart"/>
            <w:r w:rsidRPr="0046764A">
              <w:rPr>
                <w:rFonts w:ascii="Times New Roman" w:hAnsi="Times New Roman"/>
                <w:sz w:val="20"/>
              </w:rPr>
              <w:t>Principals</w:t>
            </w:r>
            <w:proofErr w:type="gramEnd"/>
            <w:r w:rsidRPr="0046764A">
              <w:rPr>
                <w:rFonts w:ascii="Times New Roman" w:hAnsi="Times New Roman"/>
                <w:sz w:val="20"/>
                <w:szCs w:val="20"/>
              </w:rPr>
              <w:br/>
              <w:t>(These data were experimental and will not be published. No teachers were sampled f</w:t>
            </w:r>
            <w:r w:rsidR="0046764A">
              <w:rPr>
                <w:rFonts w:ascii="Times New Roman" w:hAnsi="Times New Roman"/>
                <w:sz w:val="20"/>
                <w:szCs w:val="20"/>
              </w:rPr>
              <w:t>rom these experimental schools)</w:t>
            </w:r>
          </w:p>
        </w:tc>
        <w:tc>
          <w:tcPr>
            <w:tcW w:w="1138" w:type="pct"/>
          </w:tcPr>
          <w:p w14:paraId="096C5B43" w14:textId="77777777" w:rsidR="00040E31" w:rsidRPr="0046764A" w:rsidRDefault="00040E31" w:rsidP="00BB1B63">
            <w:pPr>
              <w:pStyle w:val="NoSpacing"/>
              <w:ind w:right="775"/>
              <w:jc w:val="right"/>
              <w:rPr>
                <w:rFonts w:ascii="Times New Roman" w:hAnsi="Times New Roman"/>
                <w:sz w:val="20"/>
              </w:rPr>
            </w:pPr>
            <w:r w:rsidRPr="0046764A">
              <w:rPr>
                <w:rFonts w:ascii="Times New Roman" w:hAnsi="Times New Roman"/>
                <w:sz w:val="20"/>
              </w:rPr>
              <w:t>1,000</w:t>
            </w:r>
          </w:p>
        </w:tc>
        <w:tc>
          <w:tcPr>
            <w:tcW w:w="1138" w:type="pct"/>
          </w:tcPr>
          <w:p w14:paraId="1CF5D0F0" w14:textId="77777777" w:rsidR="00040E31" w:rsidRPr="0046764A" w:rsidRDefault="00040E31" w:rsidP="0046764A">
            <w:pPr>
              <w:pStyle w:val="NoSpacing"/>
              <w:ind w:right="792"/>
              <w:jc w:val="right"/>
              <w:rPr>
                <w:rFonts w:ascii="Times New Roman" w:hAnsi="Times New Roman"/>
                <w:sz w:val="20"/>
              </w:rPr>
            </w:pPr>
          </w:p>
        </w:tc>
      </w:tr>
      <w:tr w:rsidR="00040E31" w:rsidRPr="0046764A" w14:paraId="045A6E5A" w14:textId="77777777" w:rsidTr="00BB1B63">
        <w:trPr>
          <w:trHeight w:val="144"/>
        </w:trPr>
        <w:tc>
          <w:tcPr>
            <w:tcW w:w="2724" w:type="pct"/>
            <w:hideMark/>
          </w:tcPr>
          <w:p w14:paraId="211869F6" w14:textId="77777777" w:rsidR="00040E31" w:rsidRPr="0046764A" w:rsidRDefault="00040E31" w:rsidP="00BB1B63">
            <w:pPr>
              <w:pStyle w:val="NoSpacing"/>
              <w:ind w:right="-36"/>
              <w:rPr>
                <w:rFonts w:ascii="Times New Roman" w:hAnsi="Times New Roman"/>
                <w:b/>
                <w:sz w:val="20"/>
                <w:szCs w:val="20"/>
              </w:rPr>
            </w:pPr>
            <w:r w:rsidRPr="0046764A">
              <w:rPr>
                <w:rFonts w:ascii="Times New Roman" w:hAnsi="Times New Roman"/>
                <w:b/>
                <w:sz w:val="20"/>
                <w:szCs w:val="20"/>
              </w:rPr>
              <w:t>Total</w:t>
            </w:r>
          </w:p>
        </w:tc>
        <w:tc>
          <w:tcPr>
            <w:tcW w:w="1138" w:type="pct"/>
            <w:hideMark/>
          </w:tcPr>
          <w:p w14:paraId="40A5BED6" w14:textId="77777777" w:rsidR="00040E31" w:rsidRPr="0046764A" w:rsidRDefault="00040E31" w:rsidP="00BB1B63">
            <w:pPr>
              <w:pStyle w:val="NoSpacing"/>
              <w:ind w:right="775"/>
              <w:jc w:val="right"/>
              <w:rPr>
                <w:rFonts w:ascii="Times New Roman" w:hAnsi="Times New Roman"/>
                <w:b/>
                <w:sz w:val="20"/>
                <w:szCs w:val="20"/>
              </w:rPr>
            </w:pPr>
            <w:r w:rsidRPr="0046764A">
              <w:rPr>
                <w:rFonts w:ascii="Times New Roman" w:hAnsi="Times New Roman"/>
                <w:b/>
                <w:sz w:val="20"/>
                <w:szCs w:val="20"/>
              </w:rPr>
              <w:t>9,300</w:t>
            </w:r>
          </w:p>
        </w:tc>
        <w:tc>
          <w:tcPr>
            <w:tcW w:w="1138" w:type="pct"/>
            <w:hideMark/>
          </w:tcPr>
          <w:p w14:paraId="3196E19F" w14:textId="77777777" w:rsidR="00040E31" w:rsidRPr="0046764A" w:rsidRDefault="00040E31" w:rsidP="0046764A">
            <w:pPr>
              <w:pStyle w:val="NoSpacing"/>
              <w:ind w:right="792"/>
              <w:jc w:val="right"/>
              <w:rPr>
                <w:rFonts w:ascii="Times New Roman" w:hAnsi="Times New Roman"/>
                <w:b/>
                <w:sz w:val="20"/>
                <w:szCs w:val="20"/>
              </w:rPr>
            </w:pPr>
            <w:r w:rsidRPr="0046764A">
              <w:rPr>
                <w:rFonts w:ascii="Times New Roman" w:hAnsi="Times New Roman"/>
                <w:b/>
                <w:sz w:val="20"/>
                <w:szCs w:val="20"/>
              </w:rPr>
              <w:t>48,987</w:t>
            </w:r>
          </w:p>
        </w:tc>
      </w:tr>
    </w:tbl>
    <w:p w14:paraId="2995DDC1" w14:textId="77777777" w:rsidR="00971B6A" w:rsidRPr="00BB1B63" w:rsidRDefault="00971B6A" w:rsidP="00BB1B63">
      <w:pPr>
        <w:suppressAutoHyphens/>
        <w:ind w:right="-43"/>
        <w:rPr>
          <w:sz w:val="14"/>
          <w:szCs w:val="14"/>
        </w:rPr>
      </w:pPr>
    </w:p>
    <w:p w14:paraId="6E1148CB" w14:textId="453119E4" w:rsidR="000447A6" w:rsidRDefault="00555F31" w:rsidP="00BB1B63">
      <w:pPr>
        <w:suppressAutoHyphens/>
        <w:spacing w:after="120"/>
        <w:ind w:right="-43"/>
        <w:rPr>
          <w:b/>
          <w:szCs w:val="24"/>
        </w:rPr>
      </w:pPr>
      <w:proofErr w:type="gramStart"/>
      <w:r w:rsidRPr="00955661">
        <w:rPr>
          <w:b/>
          <w:szCs w:val="24"/>
        </w:rPr>
        <w:lastRenderedPageBreak/>
        <w:t>1.b</w:t>
      </w:r>
      <w:proofErr w:type="gramEnd"/>
      <w:r w:rsidRPr="00955661">
        <w:rPr>
          <w:b/>
          <w:szCs w:val="24"/>
        </w:rPr>
        <w:t xml:space="preserve"> </w:t>
      </w:r>
      <w:r w:rsidR="00A259A1">
        <w:rPr>
          <w:b/>
          <w:szCs w:val="24"/>
        </w:rPr>
        <w:t>Principal</w:t>
      </w:r>
      <w:r w:rsidR="000447A6">
        <w:rPr>
          <w:b/>
          <w:szCs w:val="24"/>
        </w:rPr>
        <w:t xml:space="preserve"> Follow-up </w:t>
      </w:r>
      <w:r w:rsidR="00A259A1">
        <w:rPr>
          <w:b/>
          <w:szCs w:val="24"/>
        </w:rPr>
        <w:t>Survey (P</w:t>
      </w:r>
      <w:r w:rsidR="000447A6">
        <w:rPr>
          <w:b/>
          <w:szCs w:val="24"/>
        </w:rPr>
        <w:t>FS) Sample Design</w:t>
      </w:r>
    </w:p>
    <w:p w14:paraId="5A4F5AAE" w14:textId="77777777" w:rsidR="009E0C26" w:rsidRPr="009E0C26" w:rsidRDefault="009E0C26" w:rsidP="009E0C26">
      <w:pPr>
        <w:spacing w:after="120"/>
        <w:ind w:right="-43"/>
        <w:rPr>
          <w:szCs w:val="24"/>
        </w:rPr>
      </w:pPr>
      <w:r w:rsidRPr="009E0C26">
        <w:rPr>
          <w:szCs w:val="24"/>
        </w:rPr>
        <w:t xml:space="preserve">The sampling frame for PFS 2016-17 consists of all the traditional public and public charter school principals who completed a Principal Questionnaire during NTPS 2015-16. Any sampled NTPS principal who did not complete their questionnaire or was otherwise found to be out of scope for NTPS will not be included in the PFS frame. The PFS 2016-17 </w:t>
      </w:r>
      <w:proofErr w:type="gramStart"/>
      <w:r w:rsidRPr="009E0C26">
        <w:rPr>
          <w:szCs w:val="24"/>
        </w:rPr>
        <w:t>sample</w:t>
      </w:r>
      <w:proofErr w:type="gramEnd"/>
      <w:r w:rsidRPr="009E0C26">
        <w:rPr>
          <w:szCs w:val="24"/>
        </w:rPr>
        <w:t xml:space="preserve"> will include approximately 5,700 principals.</w:t>
      </w:r>
    </w:p>
    <w:p w14:paraId="3A03F81A" w14:textId="3156B72E" w:rsidR="00BB1B63" w:rsidRDefault="009E0C26" w:rsidP="009E0C26">
      <w:pPr>
        <w:spacing w:after="120"/>
        <w:ind w:right="-43"/>
        <w:rPr>
          <w:szCs w:val="24"/>
        </w:rPr>
      </w:pPr>
      <w:r w:rsidRPr="009E0C26">
        <w:rPr>
          <w:szCs w:val="24"/>
        </w:rPr>
        <w:t xml:space="preserve">PFS 2012-13 had a sample size of 7,512 principals from public and charter schools. The large discrepancy in sample size between the 2012-13 and 2016-17 administrations of the PFS is due to NTPS 2015-16 including fewer sampled schools than SASS 2011-12, because NTPS 2015-16 </w:t>
      </w:r>
      <w:proofErr w:type="gramStart"/>
      <w:r w:rsidRPr="009E0C26">
        <w:rPr>
          <w:szCs w:val="24"/>
        </w:rPr>
        <w:t>sample</w:t>
      </w:r>
      <w:proofErr w:type="gramEnd"/>
      <w:r w:rsidRPr="009E0C26">
        <w:rPr>
          <w:szCs w:val="24"/>
        </w:rPr>
        <w:t xml:space="preserve"> was selected to produce estimates at the national rather than state level</w:t>
      </w:r>
      <w:r w:rsidR="00A259A1" w:rsidRPr="00A259A1">
        <w:rPr>
          <w:szCs w:val="24"/>
        </w:rPr>
        <w:t>.</w:t>
      </w:r>
    </w:p>
    <w:p w14:paraId="70E7CFBD" w14:textId="77777777" w:rsidR="00BB1B63" w:rsidRDefault="00402B42" w:rsidP="00BB1B63">
      <w:pPr>
        <w:spacing w:after="120"/>
        <w:ind w:right="-43"/>
        <w:rPr>
          <w:b/>
        </w:rPr>
      </w:pPr>
      <w:r w:rsidRPr="00955661">
        <w:rPr>
          <w:b/>
          <w:color w:val="000000"/>
        </w:rPr>
        <w:t>2.</w:t>
      </w:r>
      <w:r w:rsidRPr="00955661">
        <w:rPr>
          <w:b/>
          <w:color w:val="000000"/>
        </w:rPr>
        <w:tab/>
      </w:r>
      <w:r w:rsidRPr="00955661">
        <w:rPr>
          <w:b/>
        </w:rPr>
        <w:t>Procedures for Collection of Information</w:t>
      </w:r>
    </w:p>
    <w:p w14:paraId="55230D30" w14:textId="77777777" w:rsidR="00BB1B63" w:rsidRDefault="00A259A1" w:rsidP="00BB1B63">
      <w:pPr>
        <w:widowControl/>
        <w:spacing w:after="120"/>
        <w:rPr>
          <w:u w:val="single"/>
        </w:rPr>
      </w:pPr>
      <w:r w:rsidRPr="00A259A1">
        <w:rPr>
          <w:u w:val="single"/>
        </w:rPr>
        <w:t>Paper Questionnaires</w:t>
      </w:r>
    </w:p>
    <w:p w14:paraId="259574C5" w14:textId="258EE08B" w:rsidR="00BB1B63" w:rsidRDefault="00040E31" w:rsidP="00406A04">
      <w:pPr>
        <w:widowControl/>
        <w:spacing w:after="120"/>
        <w:rPr>
          <w:szCs w:val="24"/>
        </w:rPr>
      </w:pPr>
      <w:r w:rsidRPr="00A259A1">
        <w:rPr>
          <w:szCs w:val="24"/>
        </w:rPr>
        <w:t>Two separate paper questionnaires will be developed for the 2016-17 PFS: one for schools</w:t>
      </w:r>
      <w:r>
        <w:rPr>
          <w:szCs w:val="24"/>
        </w:rPr>
        <w:t xml:space="preserve"> (PFS-1A)</w:t>
      </w:r>
      <w:r w:rsidRPr="00A259A1">
        <w:rPr>
          <w:szCs w:val="24"/>
        </w:rPr>
        <w:t xml:space="preserve"> and one for principals</w:t>
      </w:r>
      <w:r>
        <w:rPr>
          <w:szCs w:val="24"/>
        </w:rPr>
        <w:t xml:space="preserve"> (PFS-1C).</w:t>
      </w:r>
      <w:r w:rsidR="009E0C26">
        <w:rPr>
          <w:szCs w:val="24"/>
        </w:rPr>
        <w:t xml:space="preserve"> </w:t>
      </w:r>
      <w:r w:rsidR="00A259A1" w:rsidRPr="00A259A1">
        <w:rPr>
          <w:szCs w:val="24"/>
        </w:rPr>
        <w:t xml:space="preserve">The PFS-1A questionnaire will be mailed to each sampled principal’s 2015-16 school in order to gather occupational status information about that principal for the </w:t>
      </w:r>
      <w:r w:rsidR="009E0C26">
        <w:rPr>
          <w:szCs w:val="24"/>
        </w:rPr>
        <w:t>2016-17</w:t>
      </w:r>
      <w:r w:rsidR="00A259A1" w:rsidRPr="00A259A1">
        <w:rPr>
          <w:szCs w:val="24"/>
        </w:rPr>
        <w:t xml:space="preserve"> school </w:t>
      </w:r>
      <w:proofErr w:type="gramStart"/>
      <w:r w:rsidR="00A259A1" w:rsidRPr="00A259A1">
        <w:rPr>
          <w:szCs w:val="24"/>
        </w:rPr>
        <w:t>year</w:t>
      </w:r>
      <w:proofErr w:type="gramEnd"/>
      <w:r w:rsidR="00A259A1" w:rsidRPr="00A259A1">
        <w:rPr>
          <w:szCs w:val="24"/>
        </w:rPr>
        <w:t xml:space="preserve">. The PFS-1C </w:t>
      </w:r>
      <w:r w:rsidR="00966F1B" w:rsidRPr="00A259A1">
        <w:rPr>
          <w:szCs w:val="24"/>
        </w:rPr>
        <w:t>questionnaires will</w:t>
      </w:r>
      <w:r w:rsidR="00A259A1" w:rsidRPr="00A259A1">
        <w:rPr>
          <w:szCs w:val="24"/>
        </w:rPr>
        <w:t xml:space="preserve"> be mailed directly to the sampled principal’s home address</w:t>
      </w:r>
      <w:r w:rsidR="009E0C26">
        <w:rPr>
          <w:szCs w:val="24"/>
        </w:rPr>
        <w:t xml:space="preserve">, which was </w:t>
      </w:r>
      <w:r w:rsidR="00A259A1" w:rsidRPr="00A259A1">
        <w:rPr>
          <w:szCs w:val="24"/>
        </w:rPr>
        <w:t xml:space="preserve">collected on the 2015-16 </w:t>
      </w:r>
      <w:r w:rsidR="004E0966">
        <w:rPr>
          <w:szCs w:val="24"/>
        </w:rPr>
        <w:t xml:space="preserve">NTPS </w:t>
      </w:r>
      <w:r w:rsidR="009E0C26">
        <w:rPr>
          <w:szCs w:val="24"/>
        </w:rPr>
        <w:t>Principal Questionnaire,</w:t>
      </w:r>
      <w:r w:rsidR="00406A04">
        <w:rPr>
          <w:szCs w:val="24"/>
        </w:rPr>
        <w:t xml:space="preserve"> in order to (1) </w:t>
      </w:r>
      <w:r w:rsidR="00A259A1" w:rsidRPr="00A259A1">
        <w:rPr>
          <w:szCs w:val="24"/>
        </w:rPr>
        <w:t>collect occupation status information about the principal when the school fails to complete their PFS-1A; or</w:t>
      </w:r>
      <w:r w:rsidR="00406A04">
        <w:rPr>
          <w:szCs w:val="24"/>
        </w:rPr>
        <w:t xml:space="preserve"> (2) </w:t>
      </w:r>
      <w:r w:rsidR="00A259A1" w:rsidRPr="00A259A1">
        <w:rPr>
          <w:szCs w:val="24"/>
        </w:rPr>
        <w:t>verify the school’s response when the school has indicated that the principal has left their 2015-16 school (</w:t>
      </w:r>
      <w:r w:rsidR="005F1E20">
        <w:rPr>
          <w:szCs w:val="24"/>
        </w:rPr>
        <w:t xml:space="preserve">i.e., </w:t>
      </w:r>
      <w:r w:rsidR="00A259A1" w:rsidRPr="00A259A1">
        <w:rPr>
          <w:szCs w:val="24"/>
        </w:rPr>
        <w:t>is a non-stayer).</w:t>
      </w:r>
    </w:p>
    <w:p w14:paraId="232D7CCA" w14:textId="77777777" w:rsidR="00BB1B63" w:rsidRDefault="00040E31" w:rsidP="00BB1B63">
      <w:pPr>
        <w:widowControl/>
        <w:spacing w:after="120"/>
        <w:rPr>
          <w:szCs w:val="24"/>
        </w:rPr>
      </w:pPr>
      <w:r w:rsidRPr="00A259A1">
        <w:rPr>
          <w:szCs w:val="24"/>
        </w:rPr>
        <w:t xml:space="preserve">Paper PFS questionnaires will be checked-in and processed at </w:t>
      </w:r>
      <w:r>
        <w:rPr>
          <w:szCs w:val="24"/>
        </w:rPr>
        <w:t xml:space="preserve">the U.S. Census Bureau’s National Processing Center </w:t>
      </w:r>
      <w:r w:rsidRPr="00A259A1">
        <w:rPr>
          <w:szCs w:val="24"/>
        </w:rPr>
        <w:t>using the key</w:t>
      </w:r>
      <w:r>
        <w:rPr>
          <w:szCs w:val="24"/>
        </w:rPr>
        <w:t>-</w:t>
      </w:r>
      <w:r w:rsidRPr="00A259A1">
        <w:rPr>
          <w:szCs w:val="24"/>
        </w:rPr>
        <w:t>from</w:t>
      </w:r>
      <w:r>
        <w:rPr>
          <w:szCs w:val="24"/>
        </w:rPr>
        <w:t>-</w:t>
      </w:r>
      <w:r w:rsidRPr="00A259A1">
        <w:rPr>
          <w:szCs w:val="24"/>
        </w:rPr>
        <w:t>paper data methodology</w:t>
      </w:r>
      <w:r w:rsidR="00A259A1" w:rsidRPr="00A259A1">
        <w:rPr>
          <w:szCs w:val="24"/>
        </w:rPr>
        <w:t>.</w:t>
      </w:r>
    </w:p>
    <w:p w14:paraId="37D93911" w14:textId="71AD5F4A" w:rsidR="00C55CEA" w:rsidRPr="004D6013" w:rsidRDefault="00C55CEA" w:rsidP="00BB1B63">
      <w:pPr>
        <w:suppressAutoHyphens/>
        <w:spacing w:after="120"/>
        <w:ind w:right="-43"/>
        <w:rPr>
          <w:b/>
          <w:sz w:val="22"/>
          <w:szCs w:val="22"/>
        </w:rPr>
      </w:pPr>
      <w:r w:rsidRPr="004D6013">
        <w:rPr>
          <w:b/>
          <w:sz w:val="22"/>
          <w:szCs w:val="22"/>
        </w:rPr>
        <w:t>Weighted unit</w:t>
      </w:r>
      <w:r w:rsidR="00F52D2B">
        <w:rPr>
          <w:b/>
          <w:sz w:val="22"/>
          <w:szCs w:val="22"/>
        </w:rPr>
        <w:t xml:space="preserve"> and overall response rates of P</w:t>
      </w:r>
      <w:r w:rsidRPr="004D6013">
        <w:rPr>
          <w:b/>
          <w:sz w:val="22"/>
          <w:szCs w:val="22"/>
        </w:rPr>
        <w:t xml:space="preserve">FS </w:t>
      </w:r>
      <w:r w:rsidR="00F52D2B">
        <w:rPr>
          <w:b/>
          <w:sz w:val="22"/>
          <w:szCs w:val="22"/>
        </w:rPr>
        <w:t>Principals</w:t>
      </w:r>
      <w:r w:rsidRPr="004D6013">
        <w:rPr>
          <w:b/>
          <w:sz w:val="22"/>
          <w:szCs w:val="22"/>
        </w:rPr>
        <w:t>, using initial base weight, by sector and teaching status: 2012–13</w:t>
      </w:r>
    </w:p>
    <w:tbl>
      <w:tblPr>
        <w:tblStyle w:val="TableGrid"/>
        <w:tblW w:w="5000" w:type="pct"/>
        <w:tblLook w:val="04A0" w:firstRow="1" w:lastRow="0" w:firstColumn="1" w:lastColumn="0" w:noHBand="0" w:noVBand="1"/>
      </w:tblPr>
      <w:tblGrid>
        <w:gridCol w:w="3576"/>
        <w:gridCol w:w="3577"/>
        <w:gridCol w:w="3575"/>
      </w:tblGrid>
      <w:tr w:rsidR="00C55CEA" w:rsidRPr="00C55CEA" w14:paraId="6DFDFE37" w14:textId="77777777" w:rsidTr="005F1E20">
        <w:trPr>
          <w:trHeight w:val="133"/>
        </w:trPr>
        <w:tc>
          <w:tcPr>
            <w:tcW w:w="1667" w:type="pct"/>
            <w:vAlign w:val="center"/>
            <w:hideMark/>
          </w:tcPr>
          <w:p w14:paraId="236F01B1" w14:textId="77777777" w:rsidR="00C55CEA" w:rsidRPr="005F1E20" w:rsidRDefault="00C55CEA" w:rsidP="005F1E20">
            <w:pPr>
              <w:pStyle w:val="Default"/>
              <w:jc w:val="center"/>
              <w:rPr>
                <w:rFonts w:ascii="Times New Roman" w:hAnsi="Times New Roman"/>
                <w:b/>
                <w:sz w:val="20"/>
                <w:szCs w:val="20"/>
              </w:rPr>
            </w:pPr>
            <w:r w:rsidRPr="005F1E20">
              <w:rPr>
                <w:rFonts w:ascii="Times New Roman" w:hAnsi="Times New Roman"/>
                <w:b/>
                <w:sz w:val="20"/>
                <w:szCs w:val="20"/>
              </w:rPr>
              <w:t>Sector and teaching status</w:t>
            </w:r>
          </w:p>
        </w:tc>
        <w:tc>
          <w:tcPr>
            <w:tcW w:w="1667" w:type="pct"/>
            <w:vAlign w:val="center"/>
            <w:hideMark/>
          </w:tcPr>
          <w:p w14:paraId="74A0A5D6" w14:textId="77777777" w:rsidR="00C55CEA" w:rsidRPr="005F1E20" w:rsidRDefault="00C55CEA" w:rsidP="005F1E20">
            <w:pPr>
              <w:pStyle w:val="Default"/>
              <w:jc w:val="center"/>
              <w:rPr>
                <w:rFonts w:ascii="Times New Roman" w:hAnsi="Times New Roman"/>
                <w:b/>
                <w:sz w:val="20"/>
                <w:szCs w:val="20"/>
              </w:rPr>
            </w:pPr>
            <w:r w:rsidRPr="005F1E20">
              <w:rPr>
                <w:rFonts w:ascii="Times New Roman" w:hAnsi="Times New Roman"/>
                <w:b/>
                <w:sz w:val="20"/>
                <w:szCs w:val="20"/>
              </w:rPr>
              <w:t>Weighted unit response rate</w:t>
            </w:r>
          </w:p>
        </w:tc>
        <w:tc>
          <w:tcPr>
            <w:tcW w:w="1667" w:type="pct"/>
            <w:vAlign w:val="center"/>
            <w:hideMark/>
          </w:tcPr>
          <w:p w14:paraId="5206E7F8" w14:textId="7A696877" w:rsidR="00C55CEA" w:rsidRPr="005F1E20" w:rsidRDefault="00C55CEA" w:rsidP="005F1E20">
            <w:pPr>
              <w:pStyle w:val="Default"/>
              <w:jc w:val="center"/>
              <w:rPr>
                <w:rFonts w:ascii="Times New Roman" w:hAnsi="Times New Roman"/>
                <w:b/>
                <w:sz w:val="20"/>
                <w:szCs w:val="20"/>
              </w:rPr>
            </w:pPr>
            <w:r w:rsidRPr="005F1E20">
              <w:rPr>
                <w:rFonts w:ascii="Times New Roman" w:hAnsi="Times New Roman"/>
                <w:b/>
                <w:sz w:val="20"/>
                <w:szCs w:val="20"/>
              </w:rPr>
              <w:t>Weighted overall unit response rate</w:t>
            </w:r>
            <w:r w:rsidR="00040E31" w:rsidRPr="005F1E20">
              <w:rPr>
                <w:rStyle w:val="FootnoteReference"/>
                <w:rFonts w:ascii="Times New Roman" w:hAnsi="Times New Roman"/>
                <w:b/>
                <w:sz w:val="20"/>
                <w:szCs w:val="20"/>
              </w:rPr>
              <w:footnoteReference w:id="2"/>
            </w:r>
          </w:p>
        </w:tc>
      </w:tr>
      <w:tr w:rsidR="00C55CEA" w14:paraId="1D522819" w14:textId="77777777" w:rsidTr="005F1E20">
        <w:trPr>
          <w:trHeight w:val="118"/>
        </w:trPr>
        <w:tc>
          <w:tcPr>
            <w:tcW w:w="1667" w:type="pct"/>
            <w:vAlign w:val="center"/>
            <w:hideMark/>
          </w:tcPr>
          <w:p w14:paraId="440E7E1D" w14:textId="4A98A168" w:rsidR="00C55CEA" w:rsidRPr="005F1E20" w:rsidRDefault="00C55CEA" w:rsidP="005F1E20">
            <w:pPr>
              <w:pStyle w:val="Default"/>
              <w:rPr>
                <w:rFonts w:ascii="Times New Roman" w:hAnsi="Times New Roman"/>
                <w:sz w:val="20"/>
                <w:szCs w:val="20"/>
              </w:rPr>
            </w:pPr>
            <w:r w:rsidRPr="005F1E20">
              <w:rPr>
                <w:rFonts w:ascii="Times New Roman" w:hAnsi="Times New Roman"/>
                <w:sz w:val="20"/>
                <w:szCs w:val="20"/>
              </w:rPr>
              <w:t>Public</w:t>
            </w:r>
            <w:r w:rsidR="00E64F52" w:rsidRPr="005F1E20">
              <w:rPr>
                <w:rFonts w:ascii="Times New Roman" w:hAnsi="Times New Roman"/>
                <w:sz w:val="20"/>
                <w:szCs w:val="20"/>
              </w:rPr>
              <w:t xml:space="preserve"> schools</w:t>
            </w:r>
          </w:p>
        </w:tc>
        <w:tc>
          <w:tcPr>
            <w:tcW w:w="1667" w:type="pct"/>
            <w:vAlign w:val="center"/>
          </w:tcPr>
          <w:p w14:paraId="7B08FB38" w14:textId="2271932C" w:rsidR="00C55CEA" w:rsidRPr="005F1E20" w:rsidRDefault="00E64F52" w:rsidP="005F1E20">
            <w:pPr>
              <w:pStyle w:val="Default"/>
              <w:jc w:val="center"/>
              <w:rPr>
                <w:rFonts w:ascii="Times New Roman" w:hAnsi="Times New Roman"/>
                <w:sz w:val="20"/>
                <w:szCs w:val="20"/>
              </w:rPr>
            </w:pPr>
            <w:r w:rsidRPr="005F1E20">
              <w:rPr>
                <w:rFonts w:ascii="Times New Roman" w:hAnsi="Times New Roman"/>
                <w:sz w:val="20"/>
                <w:szCs w:val="20"/>
              </w:rPr>
              <w:t>99.7</w:t>
            </w:r>
          </w:p>
        </w:tc>
        <w:tc>
          <w:tcPr>
            <w:tcW w:w="1667" w:type="pct"/>
            <w:vAlign w:val="center"/>
          </w:tcPr>
          <w:p w14:paraId="229A87A2" w14:textId="2654E858" w:rsidR="00C55CEA" w:rsidRPr="005F1E20" w:rsidRDefault="00E64F52" w:rsidP="005F1E20">
            <w:pPr>
              <w:pStyle w:val="Default"/>
              <w:jc w:val="center"/>
              <w:rPr>
                <w:rFonts w:ascii="Times New Roman" w:hAnsi="Times New Roman"/>
                <w:sz w:val="20"/>
                <w:szCs w:val="20"/>
              </w:rPr>
            </w:pPr>
            <w:r w:rsidRPr="005F1E20">
              <w:rPr>
                <w:rFonts w:ascii="Times New Roman" w:hAnsi="Times New Roman"/>
                <w:sz w:val="20"/>
                <w:szCs w:val="20"/>
              </w:rPr>
              <w:t>72.7</w:t>
            </w:r>
          </w:p>
        </w:tc>
      </w:tr>
      <w:tr w:rsidR="00C55CEA" w14:paraId="4878AF5C" w14:textId="77777777" w:rsidTr="005F1E20">
        <w:trPr>
          <w:trHeight w:val="118"/>
        </w:trPr>
        <w:tc>
          <w:tcPr>
            <w:tcW w:w="1667" w:type="pct"/>
            <w:vAlign w:val="center"/>
            <w:hideMark/>
          </w:tcPr>
          <w:p w14:paraId="73D8FD2D" w14:textId="1A16E037" w:rsidR="00C55CEA" w:rsidRPr="005F1E20" w:rsidRDefault="00E64F52" w:rsidP="005F1E20">
            <w:pPr>
              <w:pStyle w:val="Default"/>
              <w:rPr>
                <w:rFonts w:ascii="Times New Roman" w:hAnsi="Times New Roman"/>
                <w:sz w:val="20"/>
                <w:szCs w:val="20"/>
              </w:rPr>
            </w:pPr>
            <w:r w:rsidRPr="005F1E20">
              <w:rPr>
                <w:rFonts w:ascii="Times New Roman" w:hAnsi="Times New Roman"/>
                <w:sz w:val="20"/>
                <w:szCs w:val="20"/>
              </w:rPr>
              <w:t>Charter Schools</w:t>
            </w:r>
          </w:p>
        </w:tc>
        <w:tc>
          <w:tcPr>
            <w:tcW w:w="1667" w:type="pct"/>
            <w:vAlign w:val="center"/>
          </w:tcPr>
          <w:p w14:paraId="6675AD18" w14:textId="2F5E5134" w:rsidR="00C55CEA" w:rsidRPr="005F1E20" w:rsidRDefault="00E64F52" w:rsidP="005F1E20">
            <w:pPr>
              <w:pStyle w:val="Default"/>
              <w:jc w:val="center"/>
              <w:rPr>
                <w:rFonts w:ascii="Times New Roman" w:hAnsi="Times New Roman"/>
                <w:sz w:val="20"/>
                <w:szCs w:val="20"/>
              </w:rPr>
            </w:pPr>
            <w:r w:rsidRPr="005F1E20">
              <w:rPr>
                <w:rFonts w:ascii="Times New Roman" w:hAnsi="Times New Roman"/>
                <w:sz w:val="20"/>
                <w:szCs w:val="20"/>
              </w:rPr>
              <w:t>99.1</w:t>
            </w:r>
          </w:p>
        </w:tc>
        <w:tc>
          <w:tcPr>
            <w:tcW w:w="1667" w:type="pct"/>
            <w:vAlign w:val="center"/>
          </w:tcPr>
          <w:p w14:paraId="4B7E5466" w14:textId="4779B069" w:rsidR="00C55CEA" w:rsidRPr="005F1E20" w:rsidRDefault="00E64F52" w:rsidP="005F1E20">
            <w:pPr>
              <w:pStyle w:val="Default"/>
              <w:jc w:val="center"/>
              <w:rPr>
                <w:rFonts w:ascii="Times New Roman" w:hAnsi="Times New Roman"/>
                <w:sz w:val="20"/>
                <w:szCs w:val="20"/>
              </w:rPr>
            </w:pPr>
            <w:r w:rsidRPr="005F1E20">
              <w:rPr>
                <w:rFonts w:ascii="Times New Roman" w:hAnsi="Times New Roman"/>
                <w:sz w:val="20"/>
                <w:szCs w:val="20"/>
              </w:rPr>
              <w:t>69.0</w:t>
            </w:r>
          </w:p>
        </w:tc>
      </w:tr>
      <w:tr w:rsidR="00C55CEA" w14:paraId="0A19C36E" w14:textId="77777777" w:rsidTr="005F1E20">
        <w:trPr>
          <w:trHeight w:val="118"/>
        </w:trPr>
        <w:tc>
          <w:tcPr>
            <w:tcW w:w="1667" w:type="pct"/>
            <w:vAlign w:val="center"/>
            <w:hideMark/>
          </w:tcPr>
          <w:p w14:paraId="58EC4240" w14:textId="61BC68AA" w:rsidR="00C55CEA" w:rsidRPr="005F1E20" w:rsidRDefault="00E64F52" w:rsidP="005F1E20">
            <w:pPr>
              <w:pStyle w:val="Default"/>
              <w:rPr>
                <w:rFonts w:ascii="Times New Roman" w:hAnsi="Times New Roman"/>
                <w:sz w:val="20"/>
                <w:szCs w:val="20"/>
              </w:rPr>
            </w:pPr>
            <w:r w:rsidRPr="005F1E20">
              <w:rPr>
                <w:rFonts w:ascii="Times New Roman" w:hAnsi="Times New Roman"/>
                <w:sz w:val="20"/>
                <w:szCs w:val="20"/>
              </w:rPr>
              <w:t>Private Schools</w:t>
            </w:r>
          </w:p>
        </w:tc>
        <w:tc>
          <w:tcPr>
            <w:tcW w:w="1667" w:type="pct"/>
            <w:vAlign w:val="center"/>
          </w:tcPr>
          <w:p w14:paraId="7AB66551" w14:textId="16665620" w:rsidR="00C55CEA" w:rsidRPr="005F1E20" w:rsidRDefault="00E64F52" w:rsidP="005F1E20">
            <w:pPr>
              <w:pStyle w:val="Default"/>
              <w:jc w:val="center"/>
              <w:rPr>
                <w:rFonts w:ascii="Times New Roman" w:hAnsi="Times New Roman"/>
                <w:sz w:val="20"/>
                <w:szCs w:val="20"/>
              </w:rPr>
            </w:pPr>
            <w:r w:rsidRPr="005F1E20">
              <w:rPr>
                <w:rFonts w:ascii="Times New Roman" w:hAnsi="Times New Roman"/>
                <w:sz w:val="20"/>
                <w:szCs w:val="20"/>
              </w:rPr>
              <w:t>97.6</w:t>
            </w:r>
          </w:p>
        </w:tc>
        <w:tc>
          <w:tcPr>
            <w:tcW w:w="1667" w:type="pct"/>
            <w:vAlign w:val="center"/>
          </w:tcPr>
          <w:p w14:paraId="4259CCFC" w14:textId="0B689DC8" w:rsidR="00C55CEA" w:rsidRPr="005F1E20" w:rsidRDefault="00E64F52" w:rsidP="005F1E20">
            <w:pPr>
              <w:pStyle w:val="Default"/>
              <w:jc w:val="center"/>
              <w:rPr>
                <w:rFonts w:ascii="Times New Roman" w:hAnsi="Times New Roman"/>
                <w:sz w:val="20"/>
                <w:szCs w:val="20"/>
              </w:rPr>
            </w:pPr>
            <w:r w:rsidRPr="005F1E20">
              <w:rPr>
                <w:rFonts w:ascii="Times New Roman" w:hAnsi="Times New Roman"/>
                <w:sz w:val="20"/>
                <w:szCs w:val="20"/>
              </w:rPr>
              <w:t>62.3</w:t>
            </w:r>
          </w:p>
        </w:tc>
      </w:tr>
    </w:tbl>
    <w:p w14:paraId="20479934" w14:textId="77777777" w:rsidR="00BB1B63" w:rsidRPr="00BB1B63" w:rsidRDefault="00BB1B63" w:rsidP="00BB1B63">
      <w:pPr>
        <w:suppressAutoHyphens/>
        <w:ind w:right="-43"/>
        <w:rPr>
          <w:sz w:val="14"/>
          <w:szCs w:val="14"/>
        </w:rPr>
      </w:pPr>
    </w:p>
    <w:p w14:paraId="05DCB2A4" w14:textId="77777777" w:rsidR="00F4549F" w:rsidRDefault="00F4549F" w:rsidP="00F4549F">
      <w:pPr>
        <w:suppressAutoHyphens/>
        <w:spacing w:after="120"/>
        <w:ind w:left="-84" w:right="-36" w:firstLine="84"/>
        <w:outlineLvl w:val="0"/>
        <w:rPr>
          <w:b/>
        </w:rPr>
      </w:pPr>
      <w:r w:rsidRPr="00955661">
        <w:rPr>
          <w:b/>
        </w:rPr>
        <w:t>3.</w:t>
      </w:r>
      <w:r w:rsidRPr="00955661">
        <w:rPr>
          <w:b/>
        </w:rPr>
        <w:tab/>
        <w:t>Methods for Maximizing Response Rates</w:t>
      </w:r>
    </w:p>
    <w:p w14:paraId="7EBDF459" w14:textId="77777777" w:rsidR="00F4549F" w:rsidRDefault="00F4549F" w:rsidP="00F4549F">
      <w:pPr>
        <w:suppressAutoHyphens/>
        <w:spacing w:after="120"/>
        <w:outlineLvl w:val="0"/>
      </w:pPr>
      <w:r w:rsidRPr="006C01C7">
        <w:t>A variety of procedures will be employed to maximize response rates at both the level of the responding unit (i.e., sample member) and at the level of the individual survey items in each survey questionnaire.</w:t>
      </w:r>
    </w:p>
    <w:p w14:paraId="5853F211" w14:textId="2F33F0A8" w:rsidR="00F4549F" w:rsidRDefault="005F1E20" w:rsidP="00F4549F">
      <w:pPr>
        <w:suppressAutoHyphens/>
        <w:spacing w:after="120"/>
        <w:outlineLvl w:val="0"/>
      </w:pPr>
      <w:r w:rsidRPr="005F1E20">
        <w:t xml:space="preserve">The entire survey process, starting with securing research cooperation from key public school groups and individual sample members and continuing throughout the distribution and collection of individual questionnaires, is designed to increase survey response rates. In addition, NCES believes that endorsements (see below), stressing the survey’s importance in communication materials, and extensive follow-up of </w:t>
      </w:r>
      <w:proofErr w:type="spellStart"/>
      <w:r w:rsidRPr="005F1E20">
        <w:t>nonrespondents</w:t>
      </w:r>
      <w:proofErr w:type="spellEnd"/>
      <w:r w:rsidRPr="005F1E20">
        <w:t xml:space="preserve"> will further facilitate the overall success of the survey and enhance response rates</w:t>
      </w:r>
      <w:r>
        <w:t>.</w:t>
      </w:r>
    </w:p>
    <w:p w14:paraId="277A5A0F" w14:textId="77777777" w:rsidR="00F4549F" w:rsidRDefault="00F4549F" w:rsidP="00F4549F">
      <w:pPr>
        <w:suppressAutoHyphens/>
        <w:spacing w:after="120"/>
        <w:ind w:right="-36"/>
        <w:outlineLvl w:val="0"/>
        <w:rPr>
          <w:b/>
          <w:iCs/>
        </w:rPr>
      </w:pPr>
      <w:proofErr w:type="gramStart"/>
      <w:r w:rsidRPr="00955661">
        <w:rPr>
          <w:b/>
        </w:rPr>
        <w:t>3.a</w:t>
      </w:r>
      <w:proofErr w:type="gramEnd"/>
      <w:r w:rsidRPr="00955661">
        <w:rPr>
          <w:b/>
        </w:rPr>
        <w:tab/>
      </w:r>
      <w:r w:rsidRPr="00955661">
        <w:rPr>
          <w:b/>
          <w:iCs/>
        </w:rPr>
        <w:t>Endorsements</w:t>
      </w:r>
    </w:p>
    <w:p w14:paraId="1BDDA9CC" w14:textId="5CC421BF" w:rsidR="00F4549F" w:rsidRPr="00955661" w:rsidRDefault="00F4549F" w:rsidP="00F4549F">
      <w:pPr>
        <w:suppressAutoHyphens/>
        <w:spacing w:after="60"/>
        <w:ind w:right="-36"/>
        <w:outlineLvl w:val="0"/>
      </w:pPr>
      <w:r w:rsidRPr="00955661">
        <w:t>The level of interest and cooperation demonstrated by key groups can often greatly influence the degree of participation of survey respondents. Endorsements are viewed as a critical factor in soliciting cooperation from state and local education officials for obtaining high participation ra</w:t>
      </w:r>
      <w:r>
        <w:t xml:space="preserve">tes. </w:t>
      </w:r>
      <w:bookmarkStart w:id="0" w:name="_GoBack"/>
      <w:bookmarkEnd w:id="0"/>
      <w:r>
        <w:t>The P</w:t>
      </w:r>
      <w:r w:rsidRPr="00955661">
        <w:t xml:space="preserve">FS </w:t>
      </w:r>
      <w:r>
        <w:t xml:space="preserve">is seeking endorsement from </w:t>
      </w:r>
      <w:r w:rsidRPr="00955661">
        <w:t>the following organizations or agencies:</w:t>
      </w:r>
    </w:p>
    <w:p w14:paraId="21C7C15E" w14:textId="77777777" w:rsidR="00F4549F" w:rsidRPr="007F0ADA" w:rsidRDefault="00F4549F" w:rsidP="00F4549F">
      <w:pPr>
        <w:pStyle w:val="Footer"/>
        <w:tabs>
          <w:tab w:val="clear" w:pos="4320"/>
          <w:tab w:val="clear" w:pos="8640"/>
        </w:tabs>
        <w:spacing w:after="60"/>
      </w:pPr>
      <w:r w:rsidRPr="007F0ADA">
        <w:t>American Association of School Administrators</w:t>
      </w:r>
    </w:p>
    <w:p w14:paraId="0751E6DA" w14:textId="77777777" w:rsidR="00F4549F" w:rsidRPr="007F0ADA" w:rsidRDefault="00F4549F" w:rsidP="00F4549F">
      <w:pPr>
        <w:spacing w:after="60"/>
      </w:pPr>
      <w:r w:rsidRPr="007F0ADA">
        <w:t>American Federation of Teachers</w:t>
      </w:r>
    </w:p>
    <w:p w14:paraId="6C11F968" w14:textId="77777777" w:rsidR="00F4549F" w:rsidRPr="007F0ADA" w:rsidRDefault="00F4549F" w:rsidP="00F4549F">
      <w:pPr>
        <w:spacing w:after="60"/>
      </w:pPr>
      <w:r w:rsidRPr="007F0ADA">
        <w:t>National Association of Elementary School Principals</w:t>
      </w:r>
    </w:p>
    <w:p w14:paraId="0899FE2D" w14:textId="77777777" w:rsidR="00F4549F" w:rsidRDefault="00F4549F" w:rsidP="00F4549F">
      <w:pPr>
        <w:spacing w:after="120"/>
        <w:rPr>
          <w:rFonts w:ascii="Garamond" w:hAnsi="Garamond"/>
        </w:rPr>
      </w:pPr>
      <w:r w:rsidRPr="007F0ADA">
        <w:lastRenderedPageBreak/>
        <w:t>National Association of Secondary School Principals</w:t>
      </w:r>
    </w:p>
    <w:p w14:paraId="16B8AD56" w14:textId="77777777" w:rsidR="00F4549F" w:rsidRDefault="00F4549F" w:rsidP="00F4549F">
      <w:pPr>
        <w:suppressAutoHyphens/>
        <w:spacing w:after="120"/>
        <w:ind w:right="-36"/>
        <w:outlineLvl w:val="0"/>
        <w:rPr>
          <w:b/>
        </w:rPr>
      </w:pPr>
      <w:proofErr w:type="gramStart"/>
      <w:r w:rsidRPr="00955661">
        <w:rPr>
          <w:b/>
        </w:rPr>
        <w:t>3.b</w:t>
      </w:r>
      <w:proofErr w:type="gramEnd"/>
      <w:r w:rsidRPr="00955661">
        <w:rPr>
          <w:b/>
        </w:rPr>
        <w:tab/>
      </w:r>
      <w:r w:rsidRPr="00955661">
        <w:rPr>
          <w:b/>
          <w:iCs/>
        </w:rPr>
        <w:t>Stressing the survey’s importance</w:t>
      </w:r>
    </w:p>
    <w:p w14:paraId="45DE7D6E" w14:textId="0EFB60FA" w:rsidR="00F4549F" w:rsidRDefault="00F4549F" w:rsidP="00F4549F">
      <w:pPr>
        <w:suppressAutoHyphens/>
        <w:spacing w:after="120"/>
        <w:ind w:right="-36"/>
        <w:outlineLvl w:val="0"/>
      </w:pPr>
      <w:r w:rsidRPr="00955661">
        <w:t xml:space="preserve">Official letters (initial and follow-up) from the NCES Commissioner will </w:t>
      </w:r>
      <w:r>
        <w:t xml:space="preserve">be used to </w:t>
      </w:r>
      <w:r w:rsidRPr="00955661">
        <w:t xml:space="preserve">motivate respondents to return their surveys. </w:t>
      </w:r>
      <w:r>
        <w:t xml:space="preserve">These letters will address the principal by name. </w:t>
      </w:r>
      <w:r w:rsidRPr="00955661">
        <w:t xml:space="preserve">The </w:t>
      </w:r>
      <w:r>
        <w:t xml:space="preserve">use of </w:t>
      </w:r>
      <w:r w:rsidRPr="00955661">
        <w:t xml:space="preserve">personalization of survey materials (e.g., cover letters and survey packets with names) </w:t>
      </w:r>
      <w:r>
        <w:t xml:space="preserve">in </w:t>
      </w:r>
      <w:r w:rsidR="00AA76E3">
        <w:t xml:space="preserve">NTPS </w:t>
      </w:r>
      <w:r>
        <w:t xml:space="preserve">2015-16 demonstrated </w:t>
      </w:r>
      <w:r w:rsidRPr="00955661">
        <w:t>a positive effect on the response rates.</w:t>
      </w:r>
      <w:r w:rsidR="00AA76E3">
        <w:t xml:space="preserve"> Both the Commissioner’s signature and the</w:t>
      </w:r>
      <w:r w:rsidR="00AA76E3" w:rsidRPr="00AA76E3">
        <w:t xml:space="preserve"> </w:t>
      </w:r>
      <w:r w:rsidR="00AA76E3">
        <w:t>endorsement</w:t>
      </w:r>
      <w:r w:rsidR="009065D5">
        <w:t>s</w:t>
      </w:r>
      <w:r w:rsidR="00AA76E3">
        <w:t xml:space="preserve"> from</w:t>
      </w:r>
      <w:r w:rsidR="00AA76E3" w:rsidRPr="00AA76E3">
        <w:t xml:space="preserve"> respected affiliations and organizations </w:t>
      </w:r>
      <w:r w:rsidR="00AA76E3">
        <w:t>are</w:t>
      </w:r>
      <w:r w:rsidR="00AA76E3" w:rsidRPr="00AA76E3">
        <w:t xml:space="preserve"> intended to increase the respondent’s perception of the importance of the survey.</w:t>
      </w:r>
    </w:p>
    <w:p w14:paraId="037EBFDA" w14:textId="77777777" w:rsidR="00F4549F" w:rsidRDefault="00F4549F" w:rsidP="00F4549F">
      <w:pPr>
        <w:suppressAutoHyphens/>
        <w:spacing w:after="120"/>
        <w:ind w:right="-36"/>
        <w:outlineLvl w:val="0"/>
        <w:rPr>
          <w:b/>
        </w:rPr>
      </w:pPr>
      <w:proofErr w:type="gramStart"/>
      <w:r w:rsidRPr="00955661">
        <w:rPr>
          <w:b/>
        </w:rPr>
        <w:t>3.c</w:t>
      </w:r>
      <w:proofErr w:type="gramEnd"/>
      <w:r w:rsidRPr="00955661">
        <w:rPr>
          <w:b/>
        </w:rPr>
        <w:tab/>
      </w:r>
      <w:r w:rsidRPr="00955661">
        <w:rPr>
          <w:b/>
          <w:iCs/>
        </w:rPr>
        <w:t xml:space="preserve">Extensive follow-up of </w:t>
      </w:r>
      <w:proofErr w:type="spellStart"/>
      <w:r w:rsidRPr="00955661">
        <w:rPr>
          <w:b/>
          <w:iCs/>
        </w:rPr>
        <w:t>nonrespondents</w:t>
      </w:r>
      <w:proofErr w:type="spellEnd"/>
    </w:p>
    <w:p w14:paraId="3092CE56" w14:textId="4E7487D0" w:rsidR="00F4549F" w:rsidRDefault="00F4549F" w:rsidP="00F4549F">
      <w:pPr>
        <w:suppressAutoHyphens/>
        <w:spacing w:after="120"/>
      </w:pPr>
      <w:r w:rsidRPr="007F0ADA">
        <w:t>For PFS</w:t>
      </w:r>
      <w:r w:rsidR="001B434B">
        <w:t xml:space="preserve"> 2016-17</w:t>
      </w:r>
      <w:r w:rsidRPr="007F0ADA">
        <w:t xml:space="preserve">, </w:t>
      </w:r>
      <w:r w:rsidR="001B434B" w:rsidRPr="007F0ADA">
        <w:t xml:space="preserve">mixed survey modes </w:t>
      </w:r>
      <w:r w:rsidRPr="007F0ADA">
        <w:t xml:space="preserve">will </w:t>
      </w:r>
      <w:r w:rsidR="001B434B">
        <w:t>be</w:t>
      </w:r>
      <w:r w:rsidRPr="007F0ADA">
        <w:t xml:space="preserve"> utilize</w:t>
      </w:r>
      <w:r w:rsidR="001B434B">
        <w:t xml:space="preserve">d </w:t>
      </w:r>
      <w:r w:rsidR="001B434B" w:rsidRPr="007F0ADA">
        <w:t xml:space="preserve">to maximize response levels </w:t>
      </w:r>
      <w:r w:rsidRPr="007F0ADA">
        <w:t>– self-administered mail instruments and telephone, as needed.</w:t>
      </w:r>
      <w:r>
        <w:t xml:space="preserve"> </w:t>
      </w:r>
      <w:r w:rsidRPr="007F0ADA">
        <w:t>Non-respondents will receive at least two reminders.</w:t>
      </w:r>
      <w:r>
        <w:t xml:space="preserve"> </w:t>
      </w:r>
      <w:r w:rsidRPr="007F0ADA">
        <w:t>Given the brevity of the instrument, we anticipate response rates at or above 90% with this approach.</w:t>
      </w:r>
    </w:p>
    <w:p w14:paraId="0B027F4E" w14:textId="77777777" w:rsidR="00F4549F" w:rsidRDefault="00F4549F" w:rsidP="00F4549F">
      <w:pPr>
        <w:suppressAutoHyphens/>
        <w:spacing w:after="120"/>
        <w:ind w:right="-36"/>
        <w:rPr>
          <w:b/>
        </w:rPr>
      </w:pPr>
      <w:r>
        <w:rPr>
          <w:b/>
        </w:rPr>
        <w:t>4</w:t>
      </w:r>
      <w:r w:rsidRPr="00955661">
        <w:rPr>
          <w:b/>
        </w:rPr>
        <w:t>.</w:t>
      </w:r>
      <w:r w:rsidRPr="00955661">
        <w:rPr>
          <w:b/>
        </w:rPr>
        <w:tab/>
        <w:t>Tests of Procedures and Methods</w:t>
      </w:r>
    </w:p>
    <w:p w14:paraId="42B18B77" w14:textId="77777777" w:rsidR="00406A04" w:rsidRPr="00406A04" w:rsidRDefault="00406A04" w:rsidP="00406A04">
      <w:pPr>
        <w:suppressAutoHyphens/>
        <w:spacing w:after="120"/>
        <w:ind w:right="-36"/>
        <w:outlineLvl w:val="0"/>
      </w:pPr>
      <w:r w:rsidRPr="00406A04">
        <w:t xml:space="preserve">The most recent administration of the PFS was during the 2012-13 school year and provided attrition rates for principals in K-12 public and private schools. The PFS sample included all principals interviewed in SASS 2011-12. Schools that had returned a completed SASS 2011-12 principal </w:t>
      </w:r>
      <w:proofErr w:type="gramStart"/>
      <w:r w:rsidRPr="00406A04">
        <w:t>questionnaire</w:t>
      </w:r>
      <w:proofErr w:type="gramEnd"/>
      <w:r w:rsidRPr="00406A04">
        <w:t xml:space="preserve"> were mailed the PFS form in the spring of 2013. The form collected from the school information about the current occupational status of the principal who was that school’s principal a year earlier, during SASS 2011-12.</w:t>
      </w:r>
    </w:p>
    <w:p w14:paraId="304026E1" w14:textId="77777777" w:rsidR="00406A04" w:rsidRPr="00406A04" w:rsidRDefault="00406A04" w:rsidP="00406A04">
      <w:pPr>
        <w:suppressAutoHyphens/>
        <w:spacing w:after="120"/>
        <w:ind w:right="-36"/>
        <w:outlineLvl w:val="0"/>
      </w:pPr>
      <w:r w:rsidRPr="00406A04">
        <w:t>Additionally, a validation study was conducted concurrently with yet separately from PFS 2012-13. This study analyzed the validity of school’s responses to PFS by re-interviewing the principals directly about their occupation status. In general, more variation in response was found than was expected. However, the ability to draw definitive conclusions was limited by the small sample size captured by the study and the difficulty in reaching a substantial portion of the original validation study sample.</w:t>
      </w:r>
    </w:p>
    <w:p w14:paraId="04D8F60A" w14:textId="282046A1" w:rsidR="00F4549F" w:rsidRPr="00406A04" w:rsidRDefault="00406A04" w:rsidP="00406A04">
      <w:pPr>
        <w:suppressAutoHyphens/>
        <w:spacing w:after="120"/>
        <w:ind w:right="-36"/>
        <w:outlineLvl w:val="0"/>
      </w:pPr>
      <w:r w:rsidRPr="00406A04">
        <w:t>NCES decided not to include a large-scale validation study in PFS 2016-17 data collection, but to instead follow-up directly with all principals who were identified as no longer serving as principal in their 2015-16 school (“non-stayers”) on the PFS form mailed to schools. The goal of following-up directly with principals is to assess how accurately schools report principal occupational status for principal non-stayers, and to obtain accurate attrition data for principal non-stayers.</w:t>
      </w:r>
    </w:p>
    <w:p w14:paraId="12639CBA" w14:textId="77777777" w:rsidR="00F4549F" w:rsidRPr="00CB083A" w:rsidRDefault="00F4549F" w:rsidP="00F4549F">
      <w:pPr>
        <w:suppressAutoHyphens/>
        <w:spacing w:after="120"/>
        <w:ind w:right="-36"/>
        <w:outlineLvl w:val="0"/>
        <w:rPr>
          <w:b/>
        </w:rPr>
      </w:pPr>
      <w:r w:rsidRPr="00955661">
        <w:rPr>
          <w:b/>
        </w:rPr>
        <w:t>5.</w:t>
      </w:r>
      <w:r w:rsidRPr="00955661">
        <w:rPr>
          <w:b/>
        </w:rPr>
        <w:tab/>
      </w:r>
      <w:r w:rsidRPr="00CB083A">
        <w:rPr>
          <w:b/>
        </w:rPr>
        <w:t>Reviewing Statisticians</w:t>
      </w:r>
    </w:p>
    <w:p w14:paraId="12803CCD" w14:textId="77777777" w:rsidR="00F4549F" w:rsidRDefault="00F4549F" w:rsidP="00F4549F">
      <w:pPr>
        <w:suppressAutoHyphens/>
        <w:spacing w:after="120"/>
        <w:ind w:right="-36"/>
        <w:outlineLvl w:val="0"/>
      </w:pPr>
      <w:r w:rsidRPr="00CB083A">
        <w:t xml:space="preserve">Andy </w:t>
      </w:r>
      <w:proofErr w:type="spellStart"/>
      <w:r w:rsidRPr="00CB083A">
        <w:t>Zukerberg</w:t>
      </w:r>
      <w:proofErr w:type="spellEnd"/>
      <w:r w:rsidRPr="00CB083A">
        <w:t>, Is</w:t>
      </w:r>
      <w:r>
        <w:t xml:space="preserve">aiah </w:t>
      </w:r>
      <w:proofErr w:type="spellStart"/>
      <w:r>
        <w:t>O’Rear</w:t>
      </w:r>
      <w:proofErr w:type="spellEnd"/>
      <w:r>
        <w:t>, Chelsea Owens</w:t>
      </w:r>
      <w:r w:rsidRPr="00CB083A">
        <w:t xml:space="preserve"> of NCES</w:t>
      </w:r>
      <w:r>
        <w:t>; Shawna Cox</w:t>
      </w:r>
      <w:r w:rsidRPr="00CB083A">
        <w:t xml:space="preserve"> of the Census Bureau</w:t>
      </w:r>
      <w:r>
        <w:t>; and</w:t>
      </w:r>
      <w:r w:rsidRPr="00CB083A">
        <w:t xml:space="preserve"> </w:t>
      </w:r>
      <w:r>
        <w:t xml:space="preserve">Rebecca </w:t>
      </w:r>
      <w:proofErr w:type="spellStart"/>
      <w:r>
        <w:t>Goldring</w:t>
      </w:r>
      <w:proofErr w:type="spellEnd"/>
      <w:r>
        <w:t xml:space="preserve"> </w:t>
      </w:r>
      <w:r w:rsidRPr="00CB083A">
        <w:t xml:space="preserve">of </w:t>
      </w:r>
      <w:proofErr w:type="spellStart"/>
      <w:r w:rsidRPr="00CB083A">
        <w:t>Westat</w:t>
      </w:r>
      <w:proofErr w:type="spellEnd"/>
      <w:r w:rsidRPr="00CB083A">
        <w:t xml:space="preserve"> </w:t>
      </w:r>
      <w:r>
        <w:t>reviewed and approved the P</w:t>
      </w:r>
      <w:r w:rsidRPr="00CB083A">
        <w:t xml:space="preserve">FS </w:t>
      </w:r>
      <w:r>
        <w:t>data collection plan</w:t>
      </w:r>
      <w:r w:rsidRPr="00CB083A">
        <w:t xml:space="preserve"> and related matters for statistical quality, feasibility, and suitability to the overall objectives of the survey.</w:t>
      </w:r>
    </w:p>
    <w:p w14:paraId="5CA944E9" w14:textId="7A747A8E" w:rsidR="00F4549F" w:rsidRDefault="00F4549F" w:rsidP="007128EA">
      <w:pPr>
        <w:suppressAutoHyphens/>
        <w:spacing w:before="240" w:after="120"/>
        <w:ind w:right="-43"/>
        <w:outlineLvl w:val="0"/>
        <w:rPr>
          <w:b/>
          <w:bCs/>
        </w:rPr>
      </w:pPr>
      <w:r w:rsidRPr="00CB083A">
        <w:rPr>
          <w:b/>
          <w:bCs/>
        </w:rPr>
        <w:t>PART C. ITEM JUSTIFICATION</w:t>
      </w:r>
    </w:p>
    <w:p w14:paraId="64C58093" w14:textId="77777777" w:rsidR="00F4549F" w:rsidRPr="0005565D" w:rsidRDefault="00F4549F" w:rsidP="00F4549F">
      <w:pPr>
        <w:suppressAutoHyphens/>
        <w:spacing w:after="120"/>
        <w:ind w:right="-36"/>
        <w:outlineLvl w:val="0"/>
        <w:rPr>
          <w:bCs/>
        </w:rPr>
      </w:pPr>
      <w:r w:rsidRPr="0005565D">
        <w:rPr>
          <w:bCs/>
        </w:rPr>
        <w:t>There are four versions of the PFS Questionnaire:</w:t>
      </w:r>
    </w:p>
    <w:p w14:paraId="07E270C1" w14:textId="77777777" w:rsidR="00F4549F" w:rsidRPr="0005565D" w:rsidRDefault="00F4549F" w:rsidP="00F4549F">
      <w:pPr>
        <w:pStyle w:val="ListParagraph"/>
        <w:numPr>
          <w:ilvl w:val="0"/>
          <w:numId w:val="58"/>
        </w:numPr>
        <w:suppressAutoHyphens/>
        <w:spacing w:after="120"/>
        <w:ind w:left="900" w:hanging="540"/>
        <w:outlineLvl w:val="0"/>
        <w:rPr>
          <w:rFonts w:ascii="Times New Roman" w:hAnsi="Times New Roman"/>
          <w:sz w:val="24"/>
          <w:szCs w:val="24"/>
        </w:rPr>
      </w:pPr>
      <w:r w:rsidRPr="0005565D">
        <w:rPr>
          <w:rFonts w:ascii="Times New Roman" w:hAnsi="Times New Roman"/>
          <w:sz w:val="24"/>
          <w:szCs w:val="24"/>
        </w:rPr>
        <w:t>PFS-1A is sent to public schools in the initial mail-out;</w:t>
      </w:r>
    </w:p>
    <w:p w14:paraId="150C5E6E" w14:textId="77777777" w:rsidR="00F4549F" w:rsidRPr="0005565D" w:rsidRDefault="00F4549F" w:rsidP="00F4549F">
      <w:pPr>
        <w:pStyle w:val="ListParagraph"/>
        <w:numPr>
          <w:ilvl w:val="0"/>
          <w:numId w:val="58"/>
        </w:numPr>
        <w:suppressAutoHyphens/>
        <w:spacing w:after="120"/>
        <w:ind w:left="900" w:hanging="540"/>
        <w:outlineLvl w:val="0"/>
        <w:rPr>
          <w:rFonts w:ascii="Times New Roman" w:hAnsi="Times New Roman"/>
          <w:sz w:val="24"/>
          <w:szCs w:val="24"/>
        </w:rPr>
      </w:pPr>
      <w:r w:rsidRPr="0005565D">
        <w:rPr>
          <w:rFonts w:ascii="Times New Roman" w:hAnsi="Times New Roman"/>
          <w:sz w:val="24"/>
          <w:szCs w:val="24"/>
        </w:rPr>
        <w:t>PFS-1A(T) is used to record responses from telephone follow-up to nonresponding schools that were sent PFS-1A;</w:t>
      </w:r>
    </w:p>
    <w:p w14:paraId="168F4BEC" w14:textId="474AEAD8" w:rsidR="00F4549F" w:rsidRPr="0005565D" w:rsidRDefault="00F4549F" w:rsidP="00F4549F">
      <w:pPr>
        <w:pStyle w:val="ListParagraph"/>
        <w:numPr>
          <w:ilvl w:val="0"/>
          <w:numId w:val="58"/>
        </w:numPr>
        <w:suppressAutoHyphens/>
        <w:spacing w:after="120"/>
        <w:ind w:left="900" w:hanging="540"/>
        <w:outlineLvl w:val="0"/>
        <w:rPr>
          <w:rFonts w:ascii="Times New Roman" w:hAnsi="Times New Roman"/>
          <w:sz w:val="24"/>
          <w:szCs w:val="24"/>
        </w:rPr>
      </w:pPr>
      <w:r w:rsidRPr="0005565D">
        <w:rPr>
          <w:rFonts w:ascii="Times New Roman" w:hAnsi="Times New Roman"/>
          <w:sz w:val="24"/>
          <w:szCs w:val="24"/>
        </w:rPr>
        <w:t>PFS-1C is sent directly to NTPS respondents who were public school principals when the PFS-1A indicates principal is</w:t>
      </w:r>
      <w:r>
        <w:rPr>
          <w:rFonts w:ascii="Times New Roman" w:hAnsi="Times New Roman"/>
          <w:sz w:val="24"/>
          <w:szCs w:val="24"/>
        </w:rPr>
        <w:t xml:space="preserve"> a non-stayer or if PFS-1A is a</w:t>
      </w:r>
      <w:r w:rsidR="007128EA">
        <w:rPr>
          <w:rFonts w:ascii="Times New Roman" w:hAnsi="Times New Roman"/>
          <w:sz w:val="24"/>
          <w:szCs w:val="24"/>
        </w:rPr>
        <w:t xml:space="preserve"> non-response; and</w:t>
      </w:r>
    </w:p>
    <w:p w14:paraId="12606BC9" w14:textId="77777777" w:rsidR="00F4549F" w:rsidRDefault="00F4549F" w:rsidP="00F4549F">
      <w:pPr>
        <w:pStyle w:val="ListParagraph"/>
        <w:numPr>
          <w:ilvl w:val="0"/>
          <w:numId w:val="58"/>
        </w:numPr>
        <w:suppressAutoHyphens/>
        <w:spacing w:after="120"/>
        <w:ind w:left="900" w:hanging="540"/>
        <w:outlineLvl w:val="0"/>
        <w:rPr>
          <w:rFonts w:ascii="Times New Roman" w:hAnsi="Times New Roman"/>
          <w:sz w:val="24"/>
          <w:szCs w:val="24"/>
        </w:rPr>
      </w:pPr>
      <w:r w:rsidRPr="0005565D">
        <w:rPr>
          <w:rFonts w:ascii="Times New Roman" w:hAnsi="Times New Roman"/>
          <w:sz w:val="24"/>
          <w:szCs w:val="24"/>
        </w:rPr>
        <w:t>PFS-</w:t>
      </w:r>
      <w:proofErr w:type="gramStart"/>
      <w:r w:rsidRPr="0005565D">
        <w:rPr>
          <w:rFonts w:ascii="Times New Roman" w:hAnsi="Times New Roman"/>
          <w:sz w:val="24"/>
          <w:szCs w:val="24"/>
        </w:rPr>
        <w:t>1C(</w:t>
      </w:r>
      <w:proofErr w:type="gramEnd"/>
      <w:r w:rsidRPr="0005565D">
        <w:rPr>
          <w:rFonts w:ascii="Times New Roman" w:hAnsi="Times New Roman"/>
          <w:sz w:val="24"/>
          <w:szCs w:val="24"/>
        </w:rPr>
        <w:t>T) is used to record responses from telephone follow-up with nonresponding public school principals that were sent PFS-1C.</w:t>
      </w:r>
    </w:p>
    <w:p w14:paraId="7F18C570" w14:textId="4A2D9D09" w:rsidR="0005565D" w:rsidRPr="00CB083A" w:rsidRDefault="00F4549F" w:rsidP="00F4549F">
      <w:pPr>
        <w:suppressAutoHyphens/>
        <w:spacing w:after="120"/>
        <w:ind w:right="-36"/>
        <w:outlineLvl w:val="0"/>
      </w:pPr>
      <w:r>
        <w:t>PFS questionnaires have not been modified from the PFS 2012-13 Collection.</w:t>
      </w:r>
    </w:p>
    <w:sectPr w:rsidR="0005565D" w:rsidRPr="00CB083A" w:rsidSect="00BB1B63">
      <w:headerReference w:type="default" r:id="rId9"/>
      <w:footerReference w:type="default" r:id="rId10"/>
      <w:pgSz w:w="12240" w:h="15840" w:code="1"/>
      <w:pgMar w:top="864" w:right="864" w:bottom="720" w:left="864" w:header="432" w:footer="432"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0BD3D" w14:textId="77777777" w:rsidR="0019692F" w:rsidRDefault="0019692F">
      <w:pPr>
        <w:spacing w:line="20" w:lineRule="exact"/>
      </w:pPr>
    </w:p>
  </w:endnote>
  <w:endnote w:type="continuationSeparator" w:id="0">
    <w:p w14:paraId="394D577C" w14:textId="77777777" w:rsidR="0019692F" w:rsidRDefault="0019692F">
      <w:r>
        <w:t xml:space="preserve"> </w:t>
      </w:r>
    </w:p>
  </w:endnote>
  <w:endnote w:type="continuationNotice" w:id="1">
    <w:p w14:paraId="1D1C1B15" w14:textId="77777777" w:rsidR="0019692F" w:rsidRDefault="0019692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E71CF" w14:textId="77777777" w:rsidR="002D392F" w:rsidRDefault="002D392F">
    <w:pPr>
      <w:pStyle w:val="Footer"/>
      <w:jc w:val="center"/>
    </w:pPr>
    <w:r>
      <w:fldChar w:fldCharType="begin"/>
    </w:r>
    <w:r>
      <w:instrText xml:space="preserve"> PAGE   \* MERGEFORMAT </w:instrText>
    </w:r>
    <w:r>
      <w:fldChar w:fldCharType="separate"/>
    </w:r>
    <w:r w:rsidR="009065D5">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CE693" w14:textId="77777777" w:rsidR="0019692F" w:rsidRDefault="0019692F">
      <w:r>
        <w:separator/>
      </w:r>
    </w:p>
  </w:footnote>
  <w:footnote w:type="continuationSeparator" w:id="0">
    <w:p w14:paraId="4DF57C97" w14:textId="77777777" w:rsidR="0019692F" w:rsidRDefault="0019692F">
      <w:r>
        <w:continuationSeparator/>
      </w:r>
    </w:p>
  </w:footnote>
  <w:footnote w:type="continuationNotice" w:id="1">
    <w:p w14:paraId="2FADE0A4" w14:textId="77777777" w:rsidR="0019692F" w:rsidRDefault="0019692F"/>
  </w:footnote>
  <w:footnote w:id="2">
    <w:p w14:paraId="38D9A227" w14:textId="0DE31FF9" w:rsidR="00040E31" w:rsidRPr="00F4549F" w:rsidRDefault="00040E31">
      <w:pPr>
        <w:pStyle w:val="FootnoteText"/>
        <w:rPr>
          <w:sz w:val="20"/>
        </w:rPr>
      </w:pPr>
      <w:r w:rsidRPr="00F4549F">
        <w:rPr>
          <w:rStyle w:val="FootnoteReference"/>
          <w:sz w:val="20"/>
        </w:rPr>
        <w:footnoteRef/>
      </w:r>
      <w:r w:rsidRPr="00F4549F">
        <w:rPr>
          <w:sz w:val="20"/>
        </w:rPr>
        <w:t xml:space="preserve"> The weighted overall unit response rate is a function of the 2011-12 SASS Principal </w:t>
      </w:r>
      <w:proofErr w:type="gramStart"/>
      <w:r w:rsidRPr="00F4549F">
        <w:rPr>
          <w:sz w:val="20"/>
        </w:rPr>
        <w:t>response</w:t>
      </w:r>
      <w:proofErr w:type="gramEnd"/>
      <w:r w:rsidRPr="00F4549F">
        <w:rPr>
          <w:sz w:val="20"/>
        </w:rPr>
        <w:t xml:space="preserve"> rate multiplied by the 2012-13 Principal Follow-up Survey response 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9D092" w14:textId="77777777" w:rsidR="002D392F" w:rsidRDefault="002D3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8BEEB83C"/>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FFFFFF89"/>
    <w:multiLevelType w:val="singleLevel"/>
    <w:tmpl w:val="87AE8D90"/>
    <w:lvl w:ilvl="0">
      <w:start w:val="1"/>
      <w:numFmt w:val="bullet"/>
      <w:pStyle w:val="ListBullet21"/>
      <w:lvlText w:val=""/>
      <w:lvlJc w:val="left"/>
      <w:pPr>
        <w:tabs>
          <w:tab w:val="num" w:pos="360"/>
        </w:tabs>
        <w:ind w:left="360" w:hanging="360"/>
      </w:pPr>
      <w:rPr>
        <w:rFonts w:ascii="Symbol" w:hAnsi="Symbol" w:hint="default"/>
      </w:rPr>
    </w:lvl>
  </w:abstractNum>
  <w:abstractNum w:abstractNumId="2">
    <w:nsid w:val="00000001"/>
    <w:multiLevelType w:val="singleLevel"/>
    <w:tmpl w:val="00000000"/>
    <w:lvl w:ilvl="0">
      <w:start w:val="1"/>
      <w:numFmt w:val="decimal"/>
      <w:pStyle w:val="1"/>
      <w:lvlText w:val="%1."/>
      <w:lvlJc w:val="left"/>
      <w:pPr>
        <w:tabs>
          <w:tab w:val="num" w:pos="1440"/>
        </w:tabs>
      </w:pPr>
    </w:lvl>
  </w:abstractNum>
  <w:abstractNum w:abstractNumId="3">
    <w:nsid w:val="026D4B4C"/>
    <w:multiLevelType w:val="hybridMultilevel"/>
    <w:tmpl w:val="BF4AFA0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35E665B"/>
    <w:multiLevelType w:val="hybridMultilevel"/>
    <w:tmpl w:val="F8F43ED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45974A4"/>
    <w:multiLevelType w:val="hybridMultilevel"/>
    <w:tmpl w:val="28F49E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4B368C1"/>
    <w:multiLevelType w:val="hybridMultilevel"/>
    <w:tmpl w:val="E56E590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4F7349B"/>
    <w:multiLevelType w:val="hybridMultilevel"/>
    <w:tmpl w:val="B51A1440"/>
    <w:lvl w:ilvl="0" w:tplc="E87681B6">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pStyle w:val="ESHeading2"/>
      <w:lvlText w:val="o"/>
      <w:lvlJc w:val="left"/>
      <w:pPr>
        <w:tabs>
          <w:tab w:val="num" w:pos="1440"/>
        </w:tabs>
        <w:ind w:left="1440" w:hanging="360"/>
      </w:pPr>
      <w:rPr>
        <w:rFonts w:ascii="Courier New" w:hAnsi="Courier New" w:cs="Arial Unicode MS" w:hint="default"/>
      </w:rPr>
    </w:lvl>
    <w:lvl w:ilvl="2" w:tplc="04090005" w:tentative="1">
      <w:start w:val="1"/>
      <w:numFmt w:val="bullet"/>
      <w:pStyle w:val="ES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50C4D65"/>
    <w:multiLevelType w:val="hybridMultilevel"/>
    <w:tmpl w:val="5D4484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1A6E85"/>
    <w:multiLevelType w:val="hybridMultilevel"/>
    <w:tmpl w:val="7562C9B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095B1688"/>
    <w:multiLevelType w:val="hybridMultilevel"/>
    <w:tmpl w:val="3B3240A8"/>
    <w:lvl w:ilvl="0" w:tplc="845896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1320A8"/>
    <w:multiLevelType w:val="hybridMultilevel"/>
    <w:tmpl w:val="E5B88196"/>
    <w:lvl w:ilvl="0" w:tplc="04090019">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2">
    <w:nsid w:val="0F166B56"/>
    <w:multiLevelType w:val="hybridMultilevel"/>
    <w:tmpl w:val="DC3EC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503F43"/>
    <w:multiLevelType w:val="hybridMultilevel"/>
    <w:tmpl w:val="48D81A84"/>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2CD6AA0"/>
    <w:multiLevelType w:val="hybridMultilevel"/>
    <w:tmpl w:val="6D1E9C4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320681B"/>
    <w:multiLevelType w:val="hybridMultilevel"/>
    <w:tmpl w:val="03D45654"/>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7">
    <w:nsid w:val="15632896"/>
    <w:multiLevelType w:val="hybridMultilevel"/>
    <w:tmpl w:val="91889A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934711"/>
    <w:multiLevelType w:val="hybridMultilevel"/>
    <w:tmpl w:val="211C97E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17D8753E"/>
    <w:multiLevelType w:val="hybridMultilevel"/>
    <w:tmpl w:val="463E2FE8"/>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18664732"/>
    <w:multiLevelType w:val="hybridMultilevel"/>
    <w:tmpl w:val="3580F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D4F1E63"/>
    <w:multiLevelType w:val="hybridMultilevel"/>
    <w:tmpl w:val="F402B93A"/>
    <w:lvl w:ilvl="0" w:tplc="04090001">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4690AA2"/>
    <w:multiLevelType w:val="hybridMultilevel"/>
    <w:tmpl w:val="37180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564147F"/>
    <w:multiLevelType w:val="hybridMultilevel"/>
    <w:tmpl w:val="F5F0C2C0"/>
    <w:lvl w:ilvl="0" w:tplc="04090001">
      <w:start w:val="1"/>
      <w:numFmt w:val="bullet"/>
      <w:pStyle w:val="Quick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2BCA1D3C"/>
    <w:multiLevelType w:val="hybridMultilevel"/>
    <w:tmpl w:val="600AFDD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2E6926F8"/>
    <w:multiLevelType w:val="hybridMultilevel"/>
    <w:tmpl w:val="80805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6F1F6C"/>
    <w:multiLevelType w:val="hybridMultilevel"/>
    <w:tmpl w:val="72B6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A65533"/>
    <w:multiLevelType w:val="hybridMultilevel"/>
    <w:tmpl w:val="847630B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386B23BF"/>
    <w:multiLevelType w:val="hybridMultilevel"/>
    <w:tmpl w:val="2E8E51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8B1208F"/>
    <w:multiLevelType w:val="hybridMultilevel"/>
    <w:tmpl w:val="EBB28C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9A22892"/>
    <w:multiLevelType w:val="hybridMultilevel"/>
    <w:tmpl w:val="2350FCF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3FEB4CD4"/>
    <w:multiLevelType w:val="hybridMultilevel"/>
    <w:tmpl w:val="653A014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3D6376E"/>
    <w:multiLevelType w:val="hybridMultilevel"/>
    <w:tmpl w:val="785CCA0A"/>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51871B1"/>
    <w:multiLevelType w:val="hybridMultilevel"/>
    <w:tmpl w:val="B156C444"/>
    <w:lvl w:ilvl="0" w:tplc="A29E009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54B1802"/>
    <w:multiLevelType w:val="hybridMultilevel"/>
    <w:tmpl w:val="7ED8C30E"/>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38">
    <w:nsid w:val="49A45ECB"/>
    <w:multiLevelType w:val="hybridMultilevel"/>
    <w:tmpl w:val="DDEC2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B485681"/>
    <w:multiLevelType w:val="singleLevel"/>
    <w:tmpl w:val="0409000F"/>
    <w:lvl w:ilvl="0">
      <w:start w:val="1"/>
      <w:numFmt w:val="decimal"/>
      <w:pStyle w:val="ListBullet2"/>
      <w:lvlText w:val="%1."/>
      <w:lvlJc w:val="left"/>
      <w:pPr>
        <w:tabs>
          <w:tab w:val="num" w:pos="360"/>
        </w:tabs>
        <w:ind w:left="360" w:hanging="360"/>
      </w:pPr>
    </w:lvl>
  </w:abstractNum>
  <w:abstractNum w:abstractNumId="40">
    <w:nsid w:val="4E845E51"/>
    <w:multiLevelType w:val="hybridMultilevel"/>
    <w:tmpl w:val="1F08C668"/>
    <w:lvl w:ilvl="0" w:tplc="808AA928">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4EF254AB"/>
    <w:multiLevelType w:val="hybridMultilevel"/>
    <w:tmpl w:val="74DE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04538E8"/>
    <w:multiLevelType w:val="hybridMultilevel"/>
    <w:tmpl w:val="CE3C758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535A7147"/>
    <w:multiLevelType w:val="hybridMultilevel"/>
    <w:tmpl w:val="BA806EE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553B0EF9"/>
    <w:multiLevelType w:val="hybridMultilevel"/>
    <w:tmpl w:val="31CA6F1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591419C3"/>
    <w:multiLevelType w:val="hybridMultilevel"/>
    <w:tmpl w:val="FD74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985060E"/>
    <w:multiLevelType w:val="hybridMultilevel"/>
    <w:tmpl w:val="F338769A"/>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5A7C7F9C"/>
    <w:multiLevelType w:val="hybridMultilevel"/>
    <w:tmpl w:val="ABAEB42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5AB347D4"/>
    <w:multiLevelType w:val="hybridMultilevel"/>
    <w:tmpl w:val="926A54B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50">
    <w:nsid w:val="5F7A0D5B"/>
    <w:multiLevelType w:val="hybridMultilevel"/>
    <w:tmpl w:val="FD02F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39B7BD0"/>
    <w:multiLevelType w:val="hybridMultilevel"/>
    <w:tmpl w:val="4C560E8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nsid w:val="64931C0A"/>
    <w:multiLevelType w:val="hybridMultilevel"/>
    <w:tmpl w:val="D24C5C82"/>
    <w:lvl w:ilvl="0" w:tplc="48D0D9C0">
      <w:start w:val="1"/>
      <w:numFmt w:val="upperRoman"/>
      <w:pStyle w:val="QuickA"/>
      <w:lvlText w:val="%1."/>
      <w:lvlJc w:val="left"/>
      <w:pPr>
        <w:tabs>
          <w:tab w:val="num" w:pos="1080"/>
        </w:tabs>
        <w:ind w:left="1080" w:hanging="720"/>
      </w:pPr>
      <w:rPr>
        <w:rFonts w:hint="default"/>
      </w:rPr>
    </w:lvl>
    <w:lvl w:ilvl="1" w:tplc="D2D494E6">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594305F"/>
    <w:multiLevelType w:val="hybridMultilevel"/>
    <w:tmpl w:val="EDF45ACA"/>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66534384"/>
    <w:multiLevelType w:val="hybridMultilevel"/>
    <w:tmpl w:val="B9F8E656"/>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6BE80091"/>
    <w:multiLevelType w:val="hybridMultilevel"/>
    <w:tmpl w:val="8C1C91E8"/>
    <w:lvl w:ilvl="0" w:tplc="C72EB58E">
      <w:start w:val="3"/>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6">
    <w:nsid w:val="71B8749D"/>
    <w:multiLevelType w:val="hybridMultilevel"/>
    <w:tmpl w:val="E1B2269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71F21C92"/>
    <w:multiLevelType w:val="hybridMultilevel"/>
    <w:tmpl w:val="F0A0BB7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44D79E9"/>
    <w:multiLevelType w:val="hybridMultilevel"/>
    <w:tmpl w:val="856E3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64C1BFD"/>
    <w:multiLevelType w:val="hybridMultilevel"/>
    <w:tmpl w:val="52DE5E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7DF45E35"/>
    <w:multiLevelType w:val="hybridMultilevel"/>
    <w:tmpl w:val="D772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CD48E5"/>
    <w:multiLevelType w:val="hybridMultilevel"/>
    <w:tmpl w:val="801C34B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nsid w:val="7F0A702A"/>
    <w:multiLevelType w:val="hybridMultilevel"/>
    <w:tmpl w:val="8C868CC2"/>
    <w:lvl w:ilvl="0" w:tplc="76D08A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6"/>
  </w:num>
  <w:num w:numId="2">
    <w:abstractNumId w:val="39"/>
  </w:num>
  <w:num w:numId="3">
    <w:abstractNumId w:val="49"/>
  </w:num>
  <w:num w:numId="4">
    <w:abstractNumId w:val="37"/>
  </w:num>
  <w:num w:numId="5">
    <w:abstractNumId w:val="52"/>
  </w:num>
  <w:num w:numId="6">
    <w:abstractNumId w:val="23"/>
  </w:num>
  <w:num w:numId="7">
    <w:abstractNumId w:val="21"/>
  </w:num>
  <w:num w:numId="8">
    <w:abstractNumId w:val="16"/>
  </w:num>
  <w:num w:numId="9">
    <w:abstractNumId w:val="7"/>
  </w:num>
  <w:num w:numId="10">
    <w:abstractNumId w:val="1"/>
  </w:num>
  <w:num w:numId="11">
    <w:abstractNumId w:val="24"/>
  </w:num>
  <w:num w:numId="12">
    <w:abstractNumId w:val="2"/>
    <w:lvlOverride w:ilvl="0">
      <w:lvl w:ilvl="0">
        <w:start w:val="1"/>
        <w:numFmt w:val="decimal"/>
        <w:pStyle w:val="1"/>
        <w:lvlText w:val="%1."/>
        <w:lvlJc w:val="left"/>
      </w:lvl>
    </w:lvlOverride>
  </w:num>
  <w:num w:numId="13">
    <w:abstractNumId w:val="22"/>
  </w:num>
  <w:num w:numId="14">
    <w:abstractNumId w:val="60"/>
  </w:num>
  <w:num w:numId="15">
    <w:abstractNumId w:val="27"/>
  </w:num>
  <w:num w:numId="16">
    <w:abstractNumId w:val="35"/>
  </w:num>
  <w:num w:numId="17">
    <w:abstractNumId w:val="30"/>
  </w:num>
  <w:num w:numId="18">
    <w:abstractNumId w:val="38"/>
  </w:num>
  <w:num w:numId="19">
    <w:abstractNumId w:val="20"/>
  </w:num>
  <w:num w:numId="20">
    <w:abstractNumId w:val="50"/>
  </w:num>
  <w:num w:numId="21">
    <w:abstractNumId w:val="55"/>
  </w:num>
  <w:num w:numId="22">
    <w:abstractNumId w:val="5"/>
  </w:num>
  <w:num w:numId="23">
    <w:abstractNumId w:val="9"/>
  </w:num>
  <w:num w:numId="24">
    <w:abstractNumId w:val="3"/>
  </w:num>
  <w:num w:numId="25">
    <w:abstractNumId w:val="47"/>
  </w:num>
  <w:num w:numId="26">
    <w:abstractNumId w:val="13"/>
  </w:num>
  <w:num w:numId="27">
    <w:abstractNumId w:val="42"/>
  </w:num>
  <w:num w:numId="28">
    <w:abstractNumId w:val="6"/>
  </w:num>
  <w:num w:numId="29">
    <w:abstractNumId w:val="48"/>
  </w:num>
  <w:num w:numId="30">
    <w:abstractNumId w:val="19"/>
  </w:num>
  <w:num w:numId="31">
    <w:abstractNumId w:val="25"/>
  </w:num>
  <w:num w:numId="32">
    <w:abstractNumId w:val="54"/>
  </w:num>
  <w:num w:numId="33">
    <w:abstractNumId w:val="61"/>
  </w:num>
  <w:num w:numId="34">
    <w:abstractNumId w:val="40"/>
  </w:num>
  <w:num w:numId="35">
    <w:abstractNumId w:val="18"/>
  </w:num>
  <w:num w:numId="36">
    <w:abstractNumId w:val="56"/>
  </w:num>
  <w:num w:numId="37">
    <w:abstractNumId w:val="51"/>
  </w:num>
  <w:num w:numId="38">
    <w:abstractNumId w:val="46"/>
  </w:num>
  <w:num w:numId="39">
    <w:abstractNumId w:val="29"/>
  </w:num>
  <w:num w:numId="40">
    <w:abstractNumId w:val="34"/>
  </w:num>
  <w:num w:numId="41">
    <w:abstractNumId w:val="33"/>
  </w:num>
  <w:num w:numId="42">
    <w:abstractNumId w:val="32"/>
  </w:num>
  <w:num w:numId="43">
    <w:abstractNumId w:val="4"/>
  </w:num>
  <w:num w:numId="44">
    <w:abstractNumId w:val="53"/>
  </w:num>
  <w:num w:numId="45">
    <w:abstractNumId w:val="36"/>
  </w:num>
  <w:num w:numId="46">
    <w:abstractNumId w:val="44"/>
  </w:num>
  <w:num w:numId="47">
    <w:abstractNumId w:val="45"/>
  </w:num>
  <w:num w:numId="48">
    <w:abstractNumId w:val="15"/>
  </w:num>
  <w:num w:numId="49">
    <w:abstractNumId w:val="10"/>
  </w:num>
  <w:num w:numId="50">
    <w:abstractNumId w:val="12"/>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num>
  <w:num w:numId="53">
    <w:abstractNumId w:val="31"/>
  </w:num>
  <w:num w:numId="54">
    <w:abstractNumId w:val="59"/>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 w:numId="57">
    <w:abstractNumId w:val="62"/>
  </w:num>
  <w:num w:numId="58">
    <w:abstractNumId w:val="28"/>
  </w:num>
  <w:num w:numId="59">
    <w:abstractNumId w:val="0"/>
  </w:num>
  <w:num w:numId="60">
    <w:abstractNumId w:val="57"/>
  </w:num>
  <w:num w:numId="61">
    <w:abstractNumId w:val="41"/>
  </w:num>
  <w:num w:numId="62">
    <w:abstractNumId w:val="0"/>
    <w:lvlOverride w:ilvl="0">
      <w:startOverride w:val="1"/>
    </w:lvlOverride>
    <w:lvlOverride w:ilvl="1"/>
    <w:lvlOverride w:ilvl="2"/>
    <w:lvlOverride w:ilvl="3"/>
    <w:lvlOverride w:ilvl="4"/>
    <w:lvlOverride w:ilvl="5"/>
    <w:lvlOverride w:ilvl="6"/>
    <w:lvlOverride w:ilvl="7"/>
    <w:lvlOverride w:ilvl="8"/>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32"/>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45e714a-e69a-4e73-ae8c-12462421f9d2"/>
  </w:docVars>
  <w:rsids>
    <w:rsidRoot w:val="00EC5CA0"/>
    <w:rsid w:val="00000A0C"/>
    <w:rsid w:val="00003CE6"/>
    <w:rsid w:val="00007C69"/>
    <w:rsid w:val="00023F7D"/>
    <w:rsid w:val="00031CAD"/>
    <w:rsid w:val="00034B75"/>
    <w:rsid w:val="00040E31"/>
    <w:rsid w:val="00042BD8"/>
    <w:rsid w:val="000447A6"/>
    <w:rsid w:val="00045B43"/>
    <w:rsid w:val="00051EE2"/>
    <w:rsid w:val="0005565D"/>
    <w:rsid w:val="000579FC"/>
    <w:rsid w:val="0006139F"/>
    <w:rsid w:val="00065724"/>
    <w:rsid w:val="00080AC7"/>
    <w:rsid w:val="000A2B54"/>
    <w:rsid w:val="000A3550"/>
    <w:rsid w:val="000A4130"/>
    <w:rsid w:val="000A6FC0"/>
    <w:rsid w:val="000A7904"/>
    <w:rsid w:val="000B01D4"/>
    <w:rsid w:val="000B093B"/>
    <w:rsid w:val="000B11EA"/>
    <w:rsid w:val="000B202A"/>
    <w:rsid w:val="000B6262"/>
    <w:rsid w:val="000C195E"/>
    <w:rsid w:val="000C1CFC"/>
    <w:rsid w:val="000C639F"/>
    <w:rsid w:val="000D1457"/>
    <w:rsid w:val="000D2BF7"/>
    <w:rsid w:val="000D51F5"/>
    <w:rsid w:val="000D543E"/>
    <w:rsid w:val="000D5CFE"/>
    <w:rsid w:val="000E4829"/>
    <w:rsid w:val="000E623F"/>
    <w:rsid w:val="000F0EEF"/>
    <w:rsid w:val="000F3EBC"/>
    <w:rsid w:val="000F5613"/>
    <w:rsid w:val="000F5A2F"/>
    <w:rsid w:val="000F7557"/>
    <w:rsid w:val="00101E5A"/>
    <w:rsid w:val="00103F49"/>
    <w:rsid w:val="00106849"/>
    <w:rsid w:val="001075EA"/>
    <w:rsid w:val="00110AF9"/>
    <w:rsid w:val="00112233"/>
    <w:rsid w:val="00112895"/>
    <w:rsid w:val="001137A6"/>
    <w:rsid w:val="001146C5"/>
    <w:rsid w:val="00115C9B"/>
    <w:rsid w:val="00117471"/>
    <w:rsid w:val="00141ACC"/>
    <w:rsid w:val="00143825"/>
    <w:rsid w:val="001469D0"/>
    <w:rsid w:val="0015266A"/>
    <w:rsid w:val="00153157"/>
    <w:rsid w:val="00163F69"/>
    <w:rsid w:val="00167F9E"/>
    <w:rsid w:val="00172662"/>
    <w:rsid w:val="00172815"/>
    <w:rsid w:val="00172E98"/>
    <w:rsid w:val="00175048"/>
    <w:rsid w:val="00175A4F"/>
    <w:rsid w:val="00175D6F"/>
    <w:rsid w:val="0017732E"/>
    <w:rsid w:val="00180811"/>
    <w:rsid w:val="00182B59"/>
    <w:rsid w:val="00183E44"/>
    <w:rsid w:val="001865E8"/>
    <w:rsid w:val="001932FE"/>
    <w:rsid w:val="001933F2"/>
    <w:rsid w:val="00196316"/>
    <w:rsid w:val="001966CF"/>
    <w:rsid w:val="0019692F"/>
    <w:rsid w:val="001A1479"/>
    <w:rsid w:val="001A26F0"/>
    <w:rsid w:val="001A556C"/>
    <w:rsid w:val="001B00C4"/>
    <w:rsid w:val="001B2B73"/>
    <w:rsid w:val="001B434B"/>
    <w:rsid w:val="001B5B74"/>
    <w:rsid w:val="001C7C0C"/>
    <w:rsid w:val="001D7E72"/>
    <w:rsid w:val="001E75B9"/>
    <w:rsid w:val="001F2275"/>
    <w:rsid w:val="00206AF4"/>
    <w:rsid w:val="00207E8C"/>
    <w:rsid w:val="00210DBF"/>
    <w:rsid w:val="002166A3"/>
    <w:rsid w:val="00220A7F"/>
    <w:rsid w:val="00223503"/>
    <w:rsid w:val="00225F70"/>
    <w:rsid w:val="00233132"/>
    <w:rsid w:val="00237FDA"/>
    <w:rsid w:val="0024088D"/>
    <w:rsid w:val="002469F5"/>
    <w:rsid w:val="00247523"/>
    <w:rsid w:val="00253EBD"/>
    <w:rsid w:val="00265EC6"/>
    <w:rsid w:val="00266490"/>
    <w:rsid w:val="0027442D"/>
    <w:rsid w:val="002770AD"/>
    <w:rsid w:val="00284D01"/>
    <w:rsid w:val="00286414"/>
    <w:rsid w:val="002913C1"/>
    <w:rsid w:val="00291823"/>
    <w:rsid w:val="00296A08"/>
    <w:rsid w:val="002A3548"/>
    <w:rsid w:val="002A52FC"/>
    <w:rsid w:val="002B0A4A"/>
    <w:rsid w:val="002B2EE2"/>
    <w:rsid w:val="002B49D0"/>
    <w:rsid w:val="002B4B64"/>
    <w:rsid w:val="002B5D63"/>
    <w:rsid w:val="002C2B88"/>
    <w:rsid w:val="002C3A40"/>
    <w:rsid w:val="002C7A98"/>
    <w:rsid w:val="002D2767"/>
    <w:rsid w:val="002D2AC6"/>
    <w:rsid w:val="002D392F"/>
    <w:rsid w:val="002D6CF7"/>
    <w:rsid w:val="002E08C4"/>
    <w:rsid w:val="002E2184"/>
    <w:rsid w:val="002E4019"/>
    <w:rsid w:val="002E6D6B"/>
    <w:rsid w:val="002F0BE2"/>
    <w:rsid w:val="002F6BFA"/>
    <w:rsid w:val="003006DB"/>
    <w:rsid w:val="0030155D"/>
    <w:rsid w:val="00301D09"/>
    <w:rsid w:val="003023C7"/>
    <w:rsid w:val="00311BA6"/>
    <w:rsid w:val="00313B63"/>
    <w:rsid w:val="00315145"/>
    <w:rsid w:val="00325393"/>
    <w:rsid w:val="00331799"/>
    <w:rsid w:val="00334CD5"/>
    <w:rsid w:val="00334EC2"/>
    <w:rsid w:val="003428A4"/>
    <w:rsid w:val="00343F9F"/>
    <w:rsid w:val="003446BA"/>
    <w:rsid w:val="0034478D"/>
    <w:rsid w:val="00346557"/>
    <w:rsid w:val="00346D8B"/>
    <w:rsid w:val="00353163"/>
    <w:rsid w:val="003557B1"/>
    <w:rsid w:val="00360302"/>
    <w:rsid w:val="00366191"/>
    <w:rsid w:val="00367802"/>
    <w:rsid w:val="00371658"/>
    <w:rsid w:val="0037245B"/>
    <w:rsid w:val="00381B0B"/>
    <w:rsid w:val="00384FE6"/>
    <w:rsid w:val="00392F57"/>
    <w:rsid w:val="00397ED0"/>
    <w:rsid w:val="003A4461"/>
    <w:rsid w:val="003A5BD6"/>
    <w:rsid w:val="003B2ACD"/>
    <w:rsid w:val="003C01BA"/>
    <w:rsid w:val="003C1A93"/>
    <w:rsid w:val="003C2D43"/>
    <w:rsid w:val="003C6DE6"/>
    <w:rsid w:val="003C7693"/>
    <w:rsid w:val="003D5725"/>
    <w:rsid w:val="003D6671"/>
    <w:rsid w:val="003E46CD"/>
    <w:rsid w:val="003F2171"/>
    <w:rsid w:val="003F51A1"/>
    <w:rsid w:val="003F70E1"/>
    <w:rsid w:val="00400057"/>
    <w:rsid w:val="00402B42"/>
    <w:rsid w:val="004036B2"/>
    <w:rsid w:val="00403853"/>
    <w:rsid w:val="00403B6B"/>
    <w:rsid w:val="00406A04"/>
    <w:rsid w:val="00410424"/>
    <w:rsid w:val="00430478"/>
    <w:rsid w:val="00430DA2"/>
    <w:rsid w:val="00432642"/>
    <w:rsid w:val="0043431C"/>
    <w:rsid w:val="0044162E"/>
    <w:rsid w:val="00442364"/>
    <w:rsid w:val="00445257"/>
    <w:rsid w:val="00450A45"/>
    <w:rsid w:val="0045186B"/>
    <w:rsid w:val="00452E0C"/>
    <w:rsid w:val="00452FDB"/>
    <w:rsid w:val="004560F0"/>
    <w:rsid w:val="00463E34"/>
    <w:rsid w:val="004653A6"/>
    <w:rsid w:val="0046764A"/>
    <w:rsid w:val="004745AA"/>
    <w:rsid w:val="00482FFF"/>
    <w:rsid w:val="004870EA"/>
    <w:rsid w:val="00487196"/>
    <w:rsid w:val="0049648B"/>
    <w:rsid w:val="004A2AAB"/>
    <w:rsid w:val="004A2CFD"/>
    <w:rsid w:val="004A3E27"/>
    <w:rsid w:val="004A3E29"/>
    <w:rsid w:val="004A65DF"/>
    <w:rsid w:val="004C00EE"/>
    <w:rsid w:val="004D3CD6"/>
    <w:rsid w:val="004D6013"/>
    <w:rsid w:val="004E0966"/>
    <w:rsid w:val="004E1AF8"/>
    <w:rsid w:val="004E2E91"/>
    <w:rsid w:val="004E68C4"/>
    <w:rsid w:val="004E74EA"/>
    <w:rsid w:val="004F01E5"/>
    <w:rsid w:val="004F13C6"/>
    <w:rsid w:val="004F5167"/>
    <w:rsid w:val="0050390C"/>
    <w:rsid w:val="00505C2D"/>
    <w:rsid w:val="00506253"/>
    <w:rsid w:val="00506E2E"/>
    <w:rsid w:val="005107FD"/>
    <w:rsid w:val="00512EC9"/>
    <w:rsid w:val="005173E2"/>
    <w:rsid w:val="00524F21"/>
    <w:rsid w:val="00540FAB"/>
    <w:rsid w:val="00541B7D"/>
    <w:rsid w:val="0054318E"/>
    <w:rsid w:val="00546950"/>
    <w:rsid w:val="005469D1"/>
    <w:rsid w:val="00552443"/>
    <w:rsid w:val="00552526"/>
    <w:rsid w:val="005528BA"/>
    <w:rsid w:val="00555F31"/>
    <w:rsid w:val="005628A4"/>
    <w:rsid w:val="005629E3"/>
    <w:rsid w:val="00563242"/>
    <w:rsid w:val="005807E0"/>
    <w:rsid w:val="00581AE7"/>
    <w:rsid w:val="00581F1E"/>
    <w:rsid w:val="00593D17"/>
    <w:rsid w:val="005942C3"/>
    <w:rsid w:val="00594CF2"/>
    <w:rsid w:val="005A0056"/>
    <w:rsid w:val="005A0DFB"/>
    <w:rsid w:val="005B2829"/>
    <w:rsid w:val="005C015B"/>
    <w:rsid w:val="005C1110"/>
    <w:rsid w:val="005C42C2"/>
    <w:rsid w:val="005D0F04"/>
    <w:rsid w:val="005D22A0"/>
    <w:rsid w:val="005D4062"/>
    <w:rsid w:val="005D52CC"/>
    <w:rsid w:val="005D5802"/>
    <w:rsid w:val="005D7842"/>
    <w:rsid w:val="005D7A19"/>
    <w:rsid w:val="005E3CAC"/>
    <w:rsid w:val="005F1E20"/>
    <w:rsid w:val="005F5FAE"/>
    <w:rsid w:val="005F7B56"/>
    <w:rsid w:val="0060216B"/>
    <w:rsid w:val="006051A4"/>
    <w:rsid w:val="00607C56"/>
    <w:rsid w:val="006117EA"/>
    <w:rsid w:val="0061661E"/>
    <w:rsid w:val="00617DB5"/>
    <w:rsid w:val="00621B26"/>
    <w:rsid w:val="00623556"/>
    <w:rsid w:val="00626847"/>
    <w:rsid w:val="006314B1"/>
    <w:rsid w:val="00640087"/>
    <w:rsid w:val="006442BB"/>
    <w:rsid w:val="00644EE3"/>
    <w:rsid w:val="006512A7"/>
    <w:rsid w:val="006635D1"/>
    <w:rsid w:val="00670D5C"/>
    <w:rsid w:val="006711D7"/>
    <w:rsid w:val="00672ED3"/>
    <w:rsid w:val="0067344B"/>
    <w:rsid w:val="00674F40"/>
    <w:rsid w:val="00675263"/>
    <w:rsid w:val="00680201"/>
    <w:rsid w:val="00680D71"/>
    <w:rsid w:val="0068601B"/>
    <w:rsid w:val="00687E58"/>
    <w:rsid w:val="0069418F"/>
    <w:rsid w:val="00694C91"/>
    <w:rsid w:val="006A4485"/>
    <w:rsid w:val="006A5667"/>
    <w:rsid w:val="006A5765"/>
    <w:rsid w:val="006A640B"/>
    <w:rsid w:val="006A65F6"/>
    <w:rsid w:val="006B2FB4"/>
    <w:rsid w:val="006B601D"/>
    <w:rsid w:val="006C01C7"/>
    <w:rsid w:val="006C1D73"/>
    <w:rsid w:val="006C7573"/>
    <w:rsid w:val="006D21FF"/>
    <w:rsid w:val="006D3626"/>
    <w:rsid w:val="006D46CA"/>
    <w:rsid w:val="006E3DC5"/>
    <w:rsid w:val="006E73CC"/>
    <w:rsid w:val="006F2185"/>
    <w:rsid w:val="006F38A8"/>
    <w:rsid w:val="006F405F"/>
    <w:rsid w:val="006F5367"/>
    <w:rsid w:val="006F63D5"/>
    <w:rsid w:val="006F6B36"/>
    <w:rsid w:val="006F6E1E"/>
    <w:rsid w:val="007048FD"/>
    <w:rsid w:val="007065ED"/>
    <w:rsid w:val="00706E6C"/>
    <w:rsid w:val="0071149B"/>
    <w:rsid w:val="007128EA"/>
    <w:rsid w:val="00712C8C"/>
    <w:rsid w:val="00713AE4"/>
    <w:rsid w:val="007145CB"/>
    <w:rsid w:val="00714A95"/>
    <w:rsid w:val="007172A1"/>
    <w:rsid w:val="007235C6"/>
    <w:rsid w:val="007345E0"/>
    <w:rsid w:val="0073613A"/>
    <w:rsid w:val="007368B3"/>
    <w:rsid w:val="00737E0C"/>
    <w:rsid w:val="00743B5E"/>
    <w:rsid w:val="00743DEC"/>
    <w:rsid w:val="00757EC6"/>
    <w:rsid w:val="007651AA"/>
    <w:rsid w:val="007662AF"/>
    <w:rsid w:val="00767188"/>
    <w:rsid w:val="007715DB"/>
    <w:rsid w:val="00777A15"/>
    <w:rsid w:val="00781DA7"/>
    <w:rsid w:val="0078502F"/>
    <w:rsid w:val="00791A8F"/>
    <w:rsid w:val="007A0483"/>
    <w:rsid w:val="007A1FB5"/>
    <w:rsid w:val="007A2C2B"/>
    <w:rsid w:val="007A2EDA"/>
    <w:rsid w:val="007B20FF"/>
    <w:rsid w:val="007B36B8"/>
    <w:rsid w:val="007B5198"/>
    <w:rsid w:val="007B781F"/>
    <w:rsid w:val="007B7A5E"/>
    <w:rsid w:val="007B7BC3"/>
    <w:rsid w:val="007C10C4"/>
    <w:rsid w:val="007C1523"/>
    <w:rsid w:val="007C2CF4"/>
    <w:rsid w:val="007D25C2"/>
    <w:rsid w:val="007D2B7A"/>
    <w:rsid w:val="007D4C97"/>
    <w:rsid w:val="007D701E"/>
    <w:rsid w:val="007E5074"/>
    <w:rsid w:val="007E5B19"/>
    <w:rsid w:val="007E678A"/>
    <w:rsid w:val="007E747C"/>
    <w:rsid w:val="007F0ADA"/>
    <w:rsid w:val="007F1E24"/>
    <w:rsid w:val="007F54DF"/>
    <w:rsid w:val="008030F6"/>
    <w:rsid w:val="0080335D"/>
    <w:rsid w:val="008041D6"/>
    <w:rsid w:val="0080479F"/>
    <w:rsid w:val="00805F2B"/>
    <w:rsid w:val="00811A9D"/>
    <w:rsid w:val="00811B97"/>
    <w:rsid w:val="0081219E"/>
    <w:rsid w:val="008163F0"/>
    <w:rsid w:val="00826D5C"/>
    <w:rsid w:val="00827C7D"/>
    <w:rsid w:val="00831416"/>
    <w:rsid w:val="00837F1F"/>
    <w:rsid w:val="00841292"/>
    <w:rsid w:val="00841FC7"/>
    <w:rsid w:val="008423DD"/>
    <w:rsid w:val="0084444A"/>
    <w:rsid w:val="0085679C"/>
    <w:rsid w:val="008616D0"/>
    <w:rsid w:val="00861A82"/>
    <w:rsid w:val="008647A4"/>
    <w:rsid w:val="00865337"/>
    <w:rsid w:val="00870DE2"/>
    <w:rsid w:val="0087137B"/>
    <w:rsid w:val="0088434F"/>
    <w:rsid w:val="00884EEE"/>
    <w:rsid w:val="00891DF6"/>
    <w:rsid w:val="00896B69"/>
    <w:rsid w:val="0089700B"/>
    <w:rsid w:val="008A722E"/>
    <w:rsid w:val="008B00EB"/>
    <w:rsid w:val="008B7522"/>
    <w:rsid w:val="008B7A26"/>
    <w:rsid w:val="008D138C"/>
    <w:rsid w:val="008D1645"/>
    <w:rsid w:val="008E1219"/>
    <w:rsid w:val="008E37EA"/>
    <w:rsid w:val="008E4D6C"/>
    <w:rsid w:val="008E7579"/>
    <w:rsid w:val="008F3A17"/>
    <w:rsid w:val="00904028"/>
    <w:rsid w:val="00904DE5"/>
    <w:rsid w:val="009065D5"/>
    <w:rsid w:val="00915842"/>
    <w:rsid w:val="009174D1"/>
    <w:rsid w:val="0092332F"/>
    <w:rsid w:val="009246C7"/>
    <w:rsid w:val="0092600F"/>
    <w:rsid w:val="00933147"/>
    <w:rsid w:val="00933B4B"/>
    <w:rsid w:val="00941229"/>
    <w:rsid w:val="00941B2A"/>
    <w:rsid w:val="009443EA"/>
    <w:rsid w:val="00945966"/>
    <w:rsid w:val="00946A92"/>
    <w:rsid w:val="0095244E"/>
    <w:rsid w:val="00955661"/>
    <w:rsid w:val="00963144"/>
    <w:rsid w:val="00963DE3"/>
    <w:rsid w:val="009662D1"/>
    <w:rsid w:val="009664BB"/>
    <w:rsid w:val="009665FE"/>
    <w:rsid w:val="00966F1B"/>
    <w:rsid w:val="00967705"/>
    <w:rsid w:val="00971887"/>
    <w:rsid w:val="00971B6A"/>
    <w:rsid w:val="00972006"/>
    <w:rsid w:val="0098326B"/>
    <w:rsid w:val="009859AF"/>
    <w:rsid w:val="009A10D5"/>
    <w:rsid w:val="009A1E7A"/>
    <w:rsid w:val="009B1CEB"/>
    <w:rsid w:val="009B3B0A"/>
    <w:rsid w:val="009B769B"/>
    <w:rsid w:val="009C0FFB"/>
    <w:rsid w:val="009C1D39"/>
    <w:rsid w:val="009C47F8"/>
    <w:rsid w:val="009D5814"/>
    <w:rsid w:val="009D5BFA"/>
    <w:rsid w:val="009E0C26"/>
    <w:rsid w:val="009E0D7C"/>
    <w:rsid w:val="009E634E"/>
    <w:rsid w:val="009F5943"/>
    <w:rsid w:val="009F6C98"/>
    <w:rsid w:val="00A01DD1"/>
    <w:rsid w:val="00A063A7"/>
    <w:rsid w:val="00A06D25"/>
    <w:rsid w:val="00A20221"/>
    <w:rsid w:val="00A23795"/>
    <w:rsid w:val="00A259A1"/>
    <w:rsid w:val="00A331E4"/>
    <w:rsid w:val="00A35BF2"/>
    <w:rsid w:val="00A371A1"/>
    <w:rsid w:val="00A402BA"/>
    <w:rsid w:val="00A447BA"/>
    <w:rsid w:val="00A47844"/>
    <w:rsid w:val="00A508CD"/>
    <w:rsid w:val="00A57A35"/>
    <w:rsid w:val="00A60987"/>
    <w:rsid w:val="00A72564"/>
    <w:rsid w:val="00A73F14"/>
    <w:rsid w:val="00A77A29"/>
    <w:rsid w:val="00A80C79"/>
    <w:rsid w:val="00A824B4"/>
    <w:rsid w:val="00A83662"/>
    <w:rsid w:val="00A8730A"/>
    <w:rsid w:val="00A90406"/>
    <w:rsid w:val="00A93376"/>
    <w:rsid w:val="00A96197"/>
    <w:rsid w:val="00A96F11"/>
    <w:rsid w:val="00AA1150"/>
    <w:rsid w:val="00AA1B8D"/>
    <w:rsid w:val="00AA1DDA"/>
    <w:rsid w:val="00AA54D8"/>
    <w:rsid w:val="00AA76E3"/>
    <w:rsid w:val="00AB095A"/>
    <w:rsid w:val="00AB2972"/>
    <w:rsid w:val="00AB4169"/>
    <w:rsid w:val="00AB62C4"/>
    <w:rsid w:val="00AB7F2C"/>
    <w:rsid w:val="00AC0E59"/>
    <w:rsid w:val="00AC1DBC"/>
    <w:rsid w:val="00AE0944"/>
    <w:rsid w:val="00AE0D38"/>
    <w:rsid w:val="00AF14DE"/>
    <w:rsid w:val="00AF3727"/>
    <w:rsid w:val="00AF7F3B"/>
    <w:rsid w:val="00B0370C"/>
    <w:rsid w:val="00B12365"/>
    <w:rsid w:val="00B140C8"/>
    <w:rsid w:val="00B16502"/>
    <w:rsid w:val="00B200A2"/>
    <w:rsid w:val="00B207E3"/>
    <w:rsid w:val="00B20CBF"/>
    <w:rsid w:val="00B221F4"/>
    <w:rsid w:val="00B225F6"/>
    <w:rsid w:val="00B345D3"/>
    <w:rsid w:val="00B348AF"/>
    <w:rsid w:val="00B36CE4"/>
    <w:rsid w:val="00B42254"/>
    <w:rsid w:val="00B4508E"/>
    <w:rsid w:val="00B4721A"/>
    <w:rsid w:val="00B4794C"/>
    <w:rsid w:val="00B51ED8"/>
    <w:rsid w:val="00B5389C"/>
    <w:rsid w:val="00B54A99"/>
    <w:rsid w:val="00B5661F"/>
    <w:rsid w:val="00B572E1"/>
    <w:rsid w:val="00B57AAD"/>
    <w:rsid w:val="00B57E03"/>
    <w:rsid w:val="00B62941"/>
    <w:rsid w:val="00B62CB4"/>
    <w:rsid w:val="00B63B18"/>
    <w:rsid w:val="00B67044"/>
    <w:rsid w:val="00B67F91"/>
    <w:rsid w:val="00B726C5"/>
    <w:rsid w:val="00B80605"/>
    <w:rsid w:val="00B81E6C"/>
    <w:rsid w:val="00B83E63"/>
    <w:rsid w:val="00B859D8"/>
    <w:rsid w:val="00BA134E"/>
    <w:rsid w:val="00BA70D1"/>
    <w:rsid w:val="00BB14A8"/>
    <w:rsid w:val="00BB1B63"/>
    <w:rsid w:val="00BB2EB3"/>
    <w:rsid w:val="00BB4A20"/>
    <w:rsid w:val="00BB7536"/>
    <w:rsid w:val="00BC3DA2"/>
    <w:rsid w:val="00BC665C"/>
    <w:rsid w:val="00BD22E4"/>
    <w:rsid w:val="00BE2334"/>
    <w:rsid w:val="00BE240D"/>
    <w:rsid w:val="00BE2963"/>
    <w:rsid w:val="00BF0AE8"/>
    <w:rsid w:val="00BF20E5"/>
    <w:rsid w:val="00BF6B7E"/>
    <w:rsid w:val="00C03D59"/>
    <w:rsid w:val="00C06653"/>
    <w:rsid w:val="00C1040B"/>
    <w:rsid w:val="00C10F91"/>
    <w:rsid w:val="00C15044"/>
    <w:rsid w:val="00C26E20"/>
    <w:rsid w:val="00C27888"/>
    <w:rsid w:val="00C305A1"/>
    <w:rsid w:val="00C30906"/>
    <w:rsid w:val="00C33F66"/>
    <w:rsid w:val="00C351E1"/>
    <w:rsid w:val="00C40F0B"/>
    <w:rsid w:val="00C46F03"/>
    <w:rsid w:val="00C4786F"/>
    <w:rsid w:val="00C51626"/>
    <w:rsid w:val="00C54927"/>
    <w:rsid w:val="00C55CEA"/>
    <w:rsid w:val="00C6043D"/>
    <w:rsid w:val="00C63D72"/>
    <w:rsid w:val="00C66C0C"/>
    <w:rsid w:val="00C77211"/>
    <w:rsid w:val="00C82CD5"/>
    <w:rsid w:val="00C831F2"/>
    <w:rsid w:val="00C862B4"/>
    <w:rsid w:val="00C905C4"/>
    <w:rsid w:val="00C96720"/>
    <w:rsid w:val="00CB083A"/>
    <w:rsid w:val="00CB579B"/>
    <w:rsid w:val="00CB5825"/>
    <w:rsid w:val="00CC2C93"/>
    <w:rsid w:val="00CC35E3"/>
    <w:rsid w:val="00CC7DD9"/>
    <w:rsid w:val="00CD02CA"/>
    <w:rsid w:val="00CD0C66"/>
    <w:rsid w:val="00CD0F9B"/>
    <w:rsid w:val="00CE2BD5"/>
    <w:rsid w:val="00CE6E80"/>
    <w:rsid w:val="00CF3914"/>
    <w:rsid w:val="00CF7698"/>
    <w:rsid w:val="00D011CA"/>
    <w:rsid w:val="00D02542"/>
    <w:rsid w:val="00D04968"/>
    <w:rsid w:val="00D07892"/>
    <w:rsid w:val="00D118F9"/>
    <w:rsid w:val="00D15767"/>
    <w:rsid w:val="00D168ED"/>
    <w:rsid w:val="00D22958"/>
    <w:rsid w:val="00D232B4"/>
    <w:rsid w:val="00D25AF7"/>
    <w:rsid w:val="00D33234"/>
    <w:rsid w:val="00D33D06"/>
    <w:rsid w:val="00D3710A"/>
    <w:rsid w:val="00D3736B"/>
    <w:rsid w:val="00D505E3"/>
    <w:rsid w:val="00D5123E"/>
    <w:rsid w:val="00D566A6"/>
    <w:rsid w:val="00D64725"/>
    <w:rsid w:val="00D64958"/>
    <w:rsid w:val="00D64E8A"/>
    <w:rsid w:val="00D73464"/>
    <w:rsid w:val="00D86422"/>
    <w:rsid w:val="00D86C6D"/>
    <w:rsid w:val="00D908CC"/>
    <w:rsid w:val="00D92474"/>
    <w:rsid w:val="00D950B2"/>
    <w:rsid w:val="00D953DA"/>
    <w:rsid w:val="00D970D4"/>
    <w:rsid w:val="00DA55B8"/>
    <w:rsid w:val="00DA61B1"/>
    <w:rsid w:val="00DA6312"/>
    <w:rsid w:val="00DB1CE2"/>
    <w:rsid w:val="00DB3CD5"/>
    <w:rsid w:val="00DB4EE6"/>
    <w:rsid w:val="00DB70BC"/>
    <w:rsid w:val="00DC0534"/>
    <w:rsid w:val="00DC1A08"/>
    <w:rsid w:val="00DC3AEB"/>
    <w:rsid w:val="00DC79E9"/>
    <w:rsid w:val="00DD1045"/>
    <w:rsid w:val="00DD6E7E"/>
    <w:rsid w:val="00DD756F"/>
    <w:rsid w:val="00DE3C5C"/>
    <w:rsid w:val="00DF1833"/>
    <w:rsid w:val="00DF2C55"/>
    <w:rsid w:val="00DF44F0"/>
    <w:rsid w:val="00DF6C5A"/>
    <w:rsid w:val="00E00111"/>
    <w:rsid w:val="00E040F2"/>
    <w:rsid w:val="00E04450"/>
    <w:rsid w:val="00E057D2"/>
    <w:rsid w:val="00E1136F"/>
    <w:rsid w:val="00E22006"/>
    <w:rsid w:val="00E26C0A"/>
    <w:rsid w:val="00E26F1C"/>
    <w:rsid w:val="00E30662"/>
    <w:rsid w:val="00E33A01"/>
    <w:rsid w:val="00E4473A"/>
    <w:rsid w:val="00E50B03"/>
    <w:rsid w:val="00E57214"/>
    <w:rsid w:val="00E6148E"/>
    <w:rsid w:val="00E64F52"/>
    <w:rsid w:val="00E6677B"/>
    <w:rsid w:val="00E70C4F"/>
    <w:rsid w:val="00E76260"/>
    <w:rsid w:val="00E83BEB"/>
    <w:rsid w:val="00E8608C"/>
    <w:rsid w:val="00E91073"/>
    <w:rsid w:val="00E94B20"/>
    <w:rsid w:val="00E963EB"/>
    <w:rsid w:val="00EA0DE6"/>
    <w:rsid w:val="00EB4B2B"/>
    <w:rsid w:val="00EB5CE4"/>
    <w:rsid w:val="00EB698F"/>
    <w:rsid w:val="00EC4142"/>
    <w:rsid w:val="00EC425E"/>
    <w:rsid w:val="00EC447D"/>
    <w:rsid w:val="00EC5120"/>
    <w:rsid w:val="00EC5CA0"/>
    <w:rsid w:val="00EC719F"/>
    <w:rsid w:val="00ED11E8"/>
    <w:rsid w:val="00ED45CC"/>
    <w:rsid w:val="00EE4151"/>
    <w:rsid w:val="00EE798D"/>
    <w:rsid w:val="00EF7CA7"/>
    <w:rsid w:val="00EF7DB5"/>
    <w:rsid w:val="00F00C95"/>
    <w:rsid w:val="00F01B31"/>
    <w:rsid w:val="00F02E1D"/>
    <w:rsid w:val="00F11CC1"/>
    <w:rsid w:val="00F13A6A"/>
    <w:rsid w:val="00F1435E"/>
    <w:rsid w:val="00F14E4F"/>
    <w:rsid w:val="00F15D0C"/>
    <w:rsid w:val="00F17311"/>
    <w:rsid w:val="00F1762E"/>
    <w:rsid w:val="00F34894"/>
    <w:rsid w:val="00F4549F"/>
    <w:rsid w:val="00F45D0E"/>
    <w:rsid w:val="00F466F5"/>
    <w:rsid w:val="00F500FD"/>
    <w:rsid w:val="00F5184E"/>
    <w:rsid w:val="00F51DCA"/>
    <w:rsid w:val="00F522DB"/>
    <w:rsid w:val="00F52D2B"/>
    <w:rsid w:val="00F5534E"/>
    <w:rsid w:val="00F554F7"/>
    <w:rsid w:val="00F6341E"/>
    <w:rsid w:val="00F63A8C"/>
    <w:rsid w:val="00F700F5"/>
    <w:rsid w:val="00F76312"/>
    <w:rsid w:val="00F83925"/>
    <w:rsid w:val="00FA3F84"/>
    <w:rsid w:val="00FA4DBC"/>
    <w:rsid w:val="00FA522A"/>
    <w:rsid w:val="00FA5A72"/>
    <w:rsid w:val="00FA6ED3"/>
    <w:rsid w:val="00FB3D05"/>
    <w:rsid w:val="00FB416B"/>
    <w:rsid w:val="00FC1458"/>
    <w:rsid w:val="00FC6663"/>
    <w:rsid w:val="00FC72F6"/>
    <w:rsid w:val="00FD010F"/>
    <w:rsid w:val="00FD16BF"/>
    <w:rsid w:val="00FE1FEB"/>
    <w:rsid w:val="00FE37E3"/>
    <w:rsid w:val="00FF0138"/>
    <w:rsid w:val="00FF25C5"/>
    <w:rsid w:val="00FF77A6"/>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83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945966"/>
    <w:pPr>
      <w:widowControl w:val="0"/>
    </w:pPr>
    <w:rPr>
      <w:snapToGrid w:val="0"/>
      <w:sz w:val="24"/>
    </w:rPr>
  </w:style>
  <w:style w:type="paragraph" w:styleId="Heading1">
    <w:name w:val="heading 1"/>
    <w:basedOn w:val="Normal"/>
    <w:next w:val="Normal"/>
    <w:link w:val="Heading1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basedOn w:val="Normal"/>
    <w:next w:val="Normal"/>
    <w:link w:val="Heading2Char"/>
    <w:qFormat/>
    <w:rsid w:val="00945966"/>
    <w:pPr>
      <w:keepNext/>
      <w:tabs>
        <w:tab w:val="left" w:pos="0"/>
        <w:tab w:val="right" w:leader="dot" w:pos="474"/>
        <w:tab w:val="right" w:leader="dot" w:pos="948"/>
        <w:tab w:val="right" w:leader="dot" w:pos="9360"/>
      </w:tabs>
      <w:suppressAutoHyphens/>
      <w:ind w:left="948" w:hanging="948"/>
      <w:outlineLvl w:val="1"/>
    </w:pPr>
  </w:style>
  <w:style w:type="paragraph" w:styleId="Heading3">
    <w:name w:val="heading 3"/>
    <w:basedOn w:val="Normal"/>
    <w:next w:val="Normal"/>
    <w:link w:val="Heading3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color w:val="FF0000"/>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
    <w:basedOn w:val="Normal"/>
    <w:link w:val="FootnoteTextChar"/>
    <w:semiHidden/>
    <w:rsid w:val="00945966"/>
  </w:style>
  <w:style w:type="character" w:styleId="FootnoteReference">
    <w:name w:val="footnote reference"/>
    <w:aliases w:val="fr"/>
    <w:semiHidden/>
    <w:rsid w:val="00945966"/>
    <w:rPr>
      <w:vertAlign w:val="superscript"/>
    </w:rPr>
  </w:style>
  <w:style w:type="paragraph" w:styleId="TOC1">
    <w:name w:val="toc 1"/>
    <w:basedOn w:val="Normal"/>
    <w:next w:val="Normal"/>
    <w:autoRedefine/>
    <w:uiPriority w:val="39"/>
    <w:rsid w:val="00BB7536"/>
    <w:pPr>
      <w:tabs>
        <w:tab w:val="right" w:leader="dot" w:pos="9360"/>
      </w:tabs>
      <w:suppressAutoHyphens/>
      <w:spacing w:before="240"/>
      <w:ind w:left="720" w:right="720"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semiHidden/>
    <w:rsid w:val="00103F49"/>
    <w:pPr>
      <w:tabs>
        <w:tab w:val="left" w:pos="1200"/>
        <w:tab w:val="right" w:leader="dot" w:pos="9360"/>
      </w:tabs>
      <w:suppressAutoHyphens/>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uiPriority w:val="99"/>
    <w:semiHidden/>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bCs/>
      <w:iCs/>
      <w:snapToGrid/>
      <w:szCs w:val="28"/>
    </w:rPr>
  </w:style>
  <w:style w:type="paragraph" w:styleId="CommentText">
    <w:name w:val="annotation text"/>
    <w:basedOn w:val="Normal"/>
    <w:link w:val="CommentTextChar"/>
    <w:semiHidden/>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bCs/>
      <w:snapToGrid/>
      <w:color w:val="auto"/>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bCs/>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bCs/>
      <w:snapToGrid/>
      <w:color w:val="auto"/>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lear" w:pos="9360"/>
        <w:tab w:val="center" w:pos="4320"/>
        <w:tab w:val="right" w:pos="864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basedOn w:val="TableNormal"/>
    <w:uiPriority w:val="59"/>
    <w:rsid w:val="00AA11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02B42"/>
    <w:rPr>
      <w:b/>
      <w:snapToGrid/>
      <w:sz w:val="24"/>
    </w:rPr>
  </w:style>
  <w:style w:type="character" w:customStyle="1" w:styleId="Heading2Char">
    <w:name w:val="Heading 2 Char"/>
    <w:link w:val="Heading2"/>
    <w:rsid w:val="00402B42"/>
    <w:rPr>
      <w:snapToGrid/>
      <w:sz w:val="24"/>
    </w:rPr>
  </w:style>
  <w:style w:type="character" w:customStyle="1" w:styleId="Heading3Char">
    <w:name w:val="Heading 3 Char"/>
    <w:link w:val="Heading3"/>
    <w:rsid w:val="00402B42"/>
    <w:rPr>
      <w:snapToGrid/>
      <w:color w:val="FF000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
    <w:link w:val="FootnoteText"/>
    <w:semiHidden/>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semiHidden/>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B221F4"/>
    <w:pPr>
      <w:tabs>
        <w:tab w:val="num" w:pos="360"/>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
    <w:basedOn w:val="Normal"/>
    <w:rsid w:val="00402B42"/>
    <w:pPr>
      <w:widowControl/>
      <w:spacing w:before="120" w:after="120"/>
    </w:pPr>
    <w:rPr>
      <w:snapToGrid/>
      <w:sz w:val="22"/>
      <w:szCs w:val="22"/>
    </w:rPr>
  </w:style>
  <w:style w:type="paragraph" w:customStyle="1" w:styleId="BodyText10">
    <w:name w:val="Body Text1"/>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styleId="NoSpacing">
    <w:name w:val="No Spacing"/>
    <w:uiPriority w:val="1"/>
    <w:qFormat/>
    <w:rsid w:val="00971B6A"/>
    <w:pPr>
      <w:widowControl w:val="0"/>
    </w:pPr>
    <w:rPr>
      <w:snapToGrid w:val="0"/>
      <w:sz w:val="24"/>
    </w:rPr>
  </w:style>
  <w:style w:type="paragraph" w:customStyle="1" w:styleId="Default">
    <w:name w:val="Default"/>
    <w:basedOn w:val="Normal"/>
    <w:rsid w:val="00C55CEA"/>
    <w:pPr>
      <w:widowControl/>
      <w:autoSpaceDE w:val="0"/>
      <w:autoSpaceDN w:val="0"/>
    </w:pPr>
    <w:rPr>
      <w:rFonts w:eastAsiaTheme="minorHAnsi"/>
      <w:snapToGrid/>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945966"/>
    <w:pPr>
      <w:widowControl w:val="0"/>
    </w:pPr>
    <w:rPr>
      <w:snapToGrid w:val="0"/>
      <w:sz w:val="24"/>
    </w:rPr>
  </w:style>
  <w:style w:type="paragraph" w:styleId="Heading1">
    <w:name w:val="heading 1"/>
    <w:basedOn w:val="Normal"/>
    <w:next w:val="Normal"/>
    <w:link w:val="Heading1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basedOn w:val="Normal"/>
    <w:next w:val="Normal"/>
    <w:link w:val="Heading2Char"/>
    <w:qFormat/>
    <w:rsid w:val="00945966"/>
    <w:pPr>
      <w:keepNext/>
      <w:tabs>
        <w:tab w:val="left" w:pos="0"/>
        <w:tab w:val="right" w:leader="dot" w:pos="474"/>
        <w:tab w:val="right" w:leader="dot" w:pos="948"/>
        <w:tab w:val="right" w:leader="dot" w:pos="9360"/>
      </w:tabs>
      <w:suppressAutoHyphens/>
      <w:ind w:left="948" w:hanging="948"/>
      <w:outlineLvl w:val="1"/>
    </w:pPr>
  </w:style>
  <w:style w:type="paragraph" w:styleId="Heading3">
    <w:name w:val="heading 3"/>
    <w:basedOn w:val="Normal"/>
    <w:next w:val="Normal"/>
    <w:link w:val="Heading3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color w:val="FF0000"/>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
    <w:basedOn w:val="Normal"/>
    <w:link w:val="FootnoteTextChar"/>
    <w:semiHidden/>
    <w:rsid w:val="00945966"/>
  </w:style>
  <w:style w:type="character" w:styleId="FootnoteReference">
    <w:name w:val="footnote reference"/>
    <w:aliases w:val="fr"/>
    <w:semiHidden/>
    <w:rsid w:val="00945966"/>
    <w:rPr>
      <w:vertAlign w:val="superscript"/>
    </w:rPr>
  </w:style>
  <w:style w:type="paragraph" w:styleId="TOC1">
    <w:name w:val="toc 1"/>
    <w:basedOn w:val="Normal"/>
    <w:next w:val="Normal"/>
    <w:autoRedefine/>
    <w:uiPriority w:val="39"/>
    <w:rsid w:val="00BB7536"/>
    <w:pPr>
      <w:tabs>
        <w:tab w:val="right" w:leader="dot" w:pos="9360"/>
      </w:tabs>
      <w:suppressAutoHyphens/>
      <w:spacing w:before="240"/>
      <w:ind w:left="720" w:right="720"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semiHidden/>
    <w:rsid w:val="00103F49"/>
    <w:pPr>
      <w:tabs>
        <w:tab w:val="left" w:pos="1200"/>
        <w:tab w:val="right" w:leader="dot" w:pos="9360"/>
      </w:tabs>
      <w:suppressAutoHyphens/>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uiPriority w:val="99"/>
    <w:semiHidden/>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bCs/>
      <w:iCs/>
      <w:snapToGrid/>
      <w:szCs w:val="28"/>
    </w:rPr>
  </w:style>
  <w:style w:type="paragraph" w:styleId="CommentText">
    <w:name w:val="annotation text"/>
    <w:basedOn w:val="Normal"/>
    <w:link w:val="CommentTextChar"/>
    <w:semiHidden/>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bCs/>
      <w:snapToGrid/>
      <w:color w:val="auto"/>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bCs/>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bCs/>
      <w:snapToGrid/>
      <w:color w:val="auto"/>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lear" w:pos="9360"/>
        <w:tab w:val="center" w:pos="4320"/>
        <w:tab w:val="right" w:pos="864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basedOn w:val="TableNormal"/>
    <w:uiPriority w:val="59"/>
    <w:rsid w:val="00AA11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02B42"/>
    <w:rPr>
      <w:b/>
      <w:snapToGrid/>
      <w:sz w:val="24"/>
    </w:rPr>
  </w:style>
  <w:style w:type="character" w:customStyle="1" w:styleId="Heading2Char">
    <w:name w:val="Heading 2 Char"/>
    <w:link w:val="Heading2"/>
    <w:rsid w:val="00402B42"/>
    <w:rPr>
      <w:snapToGrid/>
      <w:sz w:val="24"/>
    </w:rPr>
  </w:style>
  <w:style w:type="character" w:customStyle="1" w:styleId="Heading3Char">
    <w:name w:val="Heading 3 Char"/>
    <w:link w:val="Heading3"/>
    <w:rsid w:val="00402B42"/>
    <w:rPr>
      <w:snapToGrid/>
      <w:color w:val="FF000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
    <w:link w:val="FootnoteText"/>
    <w:semiHidden/>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semiHidden/>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B221F4"/>
    <w:pPr>
      <w:tabs>
        <w:tab w:val="num" w:pos="360"/>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
    <w:basedOn w:val="Normal"/>
    <w:rsid w:val="00402B42"/>
    <w:pPr>
      <w:widowControl/>
      <w:spacing w:before="120" w:after="120"/>
    </w:pPr>
    <w:rPr>
      <w:snapToGrid/>
      <w:sz w:val="22"/>
      <w:szCs w:val="22"/>
    </w:rPr>
  </w:style>
  <w:style w:type="paragraph" w:customStyle="1" w:styleId="BodyText10">
    <w:name w:val="Body Text1"/>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styleId="NoSpacing">
    <w:name w:val="No Spacing"/>
    <w:uiPriority w:val="1"/>
    <w:qFormat/>
    <w:rsid w:val="00971B6A"/>
    <w:pPr>
      <w:widowControl w:val="0"/>
    </w:pPr>
    <w:rPr>
      <w:snapToGrid w:val="0"/>
      <w:sz w:val="24"/>
    </w:rPr>
  </w:style>
  <w:style w:type="paragraph" w:customStyle="1" w:styleId="Default">
    <w:name w:val="Default"/>
    <w:basedOn w:val="Normal"/>
    <w:rsid w:val="00C55CEA"/>
    <w:pPr>
      <w:widowControl/>
      <w:autoSpaceDE w:val="0"/>
      <w:autoSpaceDN w:val="0"/>
    </w:pPr>
    <w:rPr>
      <w:rFonts w:eastAsiaTheme="minorHAnsi"/>
      <w:snapToGrid/>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471">
      <w:bodyDiv w:val="1"/>
      <w:marLeft w:val="0"/>
      <w:marRight w:val="0"/>
      <w:marTop w:val="0"/>
      <w:marBottom w:val="0"/>
      <w:divBdr>
        <w:top w:val="none" w:sz="0" w:space="0" w:color="auto"/>
        <w:left w:val="none" w:sz="0" w:space="0" w:color="auto"/>
        <w:bottom w:val="none" w:sz="0" w:space="0" w:color="auto"/>
        <w:right w:val="none" w:sz="0" w:space="0" w:color="auto"/>
      </w:divBdr>
    </w:div>
    <w:div w:id="127166260">
      <w:bodyDiv w:val="1"/>
      <w:marLeft w:val="0"/>
      <w:marRight w:val="0"/>
      <w:marTop w:val="0"/>
      <w:marBottom w:val="0"/>
      <w:divBdr>
        <w:top w:val="none" w:sz="0" w:space="0" w:color="auto"/>
        <w:left w:val="none" w:sz="0" w:space="0" w:color="auto"/>
        <w:bottom w:val="none" w:sz="0" w:space="0" w:color="auto"/>
        <w:right w:val="none" w:sz="0" w:space="0" w:color="auto"/>
      </w:divBdr>
    </w:div>
    <w:div w:id="647630619">
      <w:bodyDiv w:val="1"/>
      <w:marLeft w:val="0"/>
      <w:marRight w:val="0"/>
      <w:marTop w:val="0"/>
      <w:marBottom w:val="0"/>
      <w:divBdr>
        <w:top w:val="none" w:sz="0" w:space="0" w:color="auto"/>
        <w:left w:val="none" w:sz="0" w:space="0" w:color="auto"/>
        <w:bottom w:val="none" w:sz="0" w:space="0" w:color="auto"/>
        <w:right w:val="none" w:sz="0" w:space="0" w:color="auto"/>
      </w:divBdr>
    </w:div>
    <w:div w:id="1055159111">
      <w:bodyDiv w:val="1"/>
      <w:marLeft w:val="0"/>
      <w:marRight w:val="0"/>
      <w:marTop w:val="0"/>
      <w:marBottom w:val="0"/>
      <w:divBdr>
        <w:top w:val="none" w:sz="0" w:space="0" w:color="auto"/>
        <w:left w:val="none" w:sz="0" w:space="0" w:color="auto"/>
        <w:bottom w:val="none" w:sz="0" w:space="0" w:color="auto"/>
        <w:right w:val="none" w:sz="0" w:space="0" w:color="auto"/>
      </w:divBdr>
    </w:div>
    <w:div w:id="1118135281">
      <w:bodyDiv w:val="1"/>
      <w:marLeft w:val="0"/>
      <w:marRight w:val="0"/>
      <w:marTop w:val="0"/>
      <w:marBottom w:val="0"/>
      <w:divBdr>
        <w:top w:val="none" w:sz="0" w:space="0" w:color="auto"/>
        <w:left w:val="none" w:sz="0" w:space="0" w:color="auto"/>
        <w:bottom w:val="none" w:sz="0" w:space="0" w:color="auto"/>
        <w:right w:val="none" w:sz="0" w:space="0" w:color="auto"/>
      </w:divBdr>
    </w:div>
    <w:div w:id="1168784787">
      <w:bodyDiv w:val="1"/>
      <w:marLeft w:val="0"/>
      <w:marRight w:val="0"/>
      <w:marTop w:val="0"/>
      <w:marBottom w:val="0"/>
      <w:divBdr>
        <w:top w:val="none" w:sz="0" w:space="0" w:color="auto"/>
        <w:left w:val="none" w:sz="0" w:space="0" w:color="auto"/>
        <w:bottom w:val="none" w:sz="0" w:space="0" w:color="auto"/>
        <w:right w:val="none" w:sz="0" w:space="0" w:color="auto"/>
      </w:divBdr>
    </w:div>
    <w:div w:id="1399867655">
      <w:bodyDiv w:val="1"/>
      <w:marLeft w:val="0"/>
      <w:marRight w:val="0"/>
      <w:marTop w:val="0"/>
      <w:marBottom w:val="0"/>
      <w:divBdr>
        <w:top w:val="none" w:sz="0" w:space="0" w:color="auto"/>
        <w:left w:val="none" w:sz="0" w:space="0" w:color="auto"/>
        <w:bottom w:val="none" w:sz="0" w:space="0" w:color="auto"/>
        <w:right w:val="none" w:sz="0" w:space="0" w:color="auto"/>
      </w:divBdr>
    </w:div>
    <w:div w:id="1810170854">
      <w:bodyDiv w:val="1"/>
      <w:marLeft w:val="0"/>
      <w:marRight w:val="0"/>
      <w:marTop w:val="0"/>
      <w:marBottom w:val="0"/>
      <w:divBdr>
        <w:top w:val="none" w:sz="0" w:space="0" w:color="auto"/>
        <w:left w:val="none" w:sz="0" w:space="0" w:color="auto"/>
        <w:bottom w:val="none" w:sz="0" w:space="0" w:color="auto"/>
        <w:right w:val="none" w:sz="0" w:space="0" w:color="auto"/>
      </w:divBdr>
    </w:div>
    <w:div w:id="2014911261">
      <w:bodyDiv w:val="1"/>
      <w:marLeft w:val="0"/>
      <w:marRight w:val="0"/>
      <w:marTop w:val="0"/>
      <w:marBottom w:val="0"/>
      <w:divBdr>
        <w:top w:val="none" w:sz="0" w:space="0" w:color="auto"/>
        <w:left w:val="none" w:sz="0" w:space="0" w:color="auto"/>
        <w:bottom w:val="none" w:sz="0" w:space="0" w:color="auto"/>
        <w:right w:val="none" w:sz="0" w:space="0" w:color="auto"/>
      </w:divBdr>
    </w:div>
    <w:div w:id="201714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7B4DF-AEF6-45FA-81F1-35BC8AC1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11486</CharactersWithSpaces>
  <SharedDoc>false</SharedDoc>
  <HLinks>
    <vt:vector size="72" baseType="variant">
      <vt:variant>
        <vt:i4>2687034</vt:i4>
      </vt:variant>
      <vt:variant>
        <vt:i4>33</vt:i4>
      </vt:variant>
      <vt:variant>
        <vt:i4>0</vt:i4>
      </vt:variant>
      <vt:variant>
        <vt:i4>5</vt:i4>
      </vt:variant>
      <vt:variant>
        <vt:lpwstr>mailto:Martin_West@brown.edu</vt:lpwstr>
      </vt:variant>
      <vt:variant>
        <vt:lpwstr/>
      </vt:variant>
      <vt:variant>
        <vt:i4>3145755</vt:i4>
      </vt:variant>
      <vt:variant>
        <vt:i4>30</vt:i4>
      </vt:variant>
      <vt:variant>
        <vt:i4>0</vt:i4>
      </vt:variant>
      <vt:variant>
        <vt:i4>5</vt:i4>
      </vt:variant>
      <vt:variant>
        <vt:lpwstr>mailto:mastrong@ucsc.edu</vt:lpwstr>
      </vt:variant>
      <vt:variant>
        <vt:lpwstr/>
      </vt:variant>
      <vt:variant>
        <vt:i4>852011</vt:i4>
      </vt:variant>
      <vt:variant>
        <vt:i4>27</vt:i4>
      </vt:variant>
      <vt:variant>
        <vt:i4>0</vt:i4>
      </vt:variant>
      <vt:variant>
        <vt:i4>5</vt:i4>
      </vt:variant>
      <vt:variant>
        <vt:lpwstr>mailto:sgrivkin@amherst.edu</vt:lpwstr>
      </vt:variant>
      <vt:variant>
        <vt:lpwstr/>
      </vt:variant>
      <vt:variant>
        <vt:i4>7274589</vt:i4>
      </vt:variant>
      <vt:variant>
        <vt:i4>24</vt:i4>
      </vt:variant>
      <vt:variant>
        <vt:i4>0</vt:i4>
      </vt:variant>
      <vt:variant>
        <vt:i4>5</vt:i4>
      </vt:variant>
      <vt:variant>
        <vt:lpwstr>mailto:hnelson@aft.org</vt:lpwstr>
      </vt:variant>
      <vt:variant>
        <vt:lpwstr/>
      </vt:variant>
      <vt:variant>
        <vt:i4>6094968</vt:i4>
      </vt:variant>
      <vt:variant>
        <vt:i4>21</vt:i4>
      </vt:variant>
      <vt:variant>
        <vt:i4>0</vt:i4>
      </vt:variant>
      <vt:variant>
        <vt:i4>5</vt:i4>
      </vt:variant>
      <vt:variant>
        <vt:lpwstr>mailto:Michael.C.Long@orcmacro.com</vt:lpwstr>
      </vt:variant>
      <vt:variant>
        <vt:lpwstr/>
      </vt:variant>
      <vt:variant>
        <vt:i4>6750286</vt:i4>
      </vt:variant>
      <vt:variant>
        <vt:i4>18</vt:i4>
      </vt:variant>
      <vt:variant>
        <vt:i4>0</vt:i4>
      </vt:variant>
      <vt:variant>
        <vt:i4>5</vt:i4>
      </vt:variant>
      <vt:variant>
        <vt:lpwstr>mailto:esilva@educationsector.org</vt:lpwstr>
      </vt:variant>
      <vt:variant>
        <vt:lpwstr/>
      </vt:variant>
      <vt:variant>
        <vt:i4>6226047</vt:i4>
      </vt:variant>
      <vt:variant>
        <vt:i4>15</vt:i4>
      </vt:variant>
      <vt:variant>
        <vt:i4>0</vt:i4>
      </vt:variant>
      <vt:variant>
        <vt:i4>5</vt:i4>
      </vt:variant>
      <vt:variant>
        <vt:lpwstr>mailto:podgurskym@missouri.edu</vt:lpwstr>
      </vt:variant>
      <vt:variant>
        <vt:lpwstr/>
      </vt:variant>
      <vt:variant>
        <vt:i4>8061033</vt:i4>
      </vt:variant>
      <vt:variant>
        <vt:i4>12</vt:i4>
      </vt:variant>
      <vt:variant>
        <vt:i4>0</vt:i4>
      </vt:variant>
      <vt:variant>
        <vt:i4>5</vt:i4>
      </vt:variant>
      <vt:variant>
        <vt:lpwstr>http://nces.ed.gov/pubsearch/pubsinfo.asp?pubid=2010337</vt:lpwstr>
      </vt:variant>
      <vt:variant>
        <vt:lpwstr/>
      </vt:variant>
      <vt:variant>
        <vt:i4>4784190</vt:i4>
      </vt:variant>
      <vt:variant>
        <vt:i4>9</vt:i4>
      </vt:variant>
      <vt:variant>
        <vt:i4>0</vt:i4>
      </vt:variant>
      <vt:variant>
        <vt:i4>5</vt:i4>
      </vt:variant>
      <vt:variant>
        <vt:lpwstr>http://www.nap.edu/openbook.php?record_id=13114&amp;page=169</vt:lpwstr>
      </vt:variant>
      <vt:variant>
        <vt:lpwstr/>
      </vt:variant>
      <vt:variant>
        <vt:i4>2293828</vt:i4>
      </vt:variant>
      <vt:variant>
        <vt:i4>6</vt:i4>
      </vt:variant>
      <vt:variant>
        <vt:i4>0</vt:i4>
      </vt:variant>
      <vt:variant>
        <vt:i4>5</vt:i4>
      </vt:variant>
      <vt:variant>
        <vt:lpwstr>http://www.ruraledu.org/search.php?kw=Washington&amp;pager_view=all</vt:lpwstr>
      </vt:variant>
      <vt:variant>
        <vt:lpwstr/>
      </vt:variant>
      <vt:variant>
        <vt:i4>7209021</vt:i4>
      </vt:variant>
      <vt:variant>
        <vt:i4>3</vt:i4>
      </vt:variant>
      <vt:variant>
        <vt:i4>0</vt:i4>
      </vt:variant>
      <vt:variant>
        <vt:i4>5</vt:i4>
      </vt:variant>
      <vt:variant>
        <vt:lpwstr>http://www.charterschoolcenter.org/resource/national-charter-school-principal-and-teacher-attrition-and-mobility-data-two-nces-reports-</vt:lpwstr>
      </vt:variant>
      <vt:variant>
        <vt:lpwstr/>
      </vt:variant>
      <vt:variant>
        <vt:i4>6488126</vt:i4>
      </vt:variant>
      <vt:variant>
        <vt:i4>0</vt:i4>
      </vt:variant>
      <vt:variant>
        <vt:i4>0</vt:i4>
      </vt:variant>
      <vt:variant>
        <vt:i4>5</vt:i4>
      </vt:variant>
      <vt:variant>
        <vt:lpwstr>http://www.doemass.org/research/reports/1211edworkforce.doc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Kubzdela, Kashka</cp:lastModifiedBy>
  <cp:revision>10</cp:revision>
  <cp:lastPrinted>2012-05-22T14:30:00Z</cp:lastPrinted>
  <dcterms:created xsi:type="dcterms:W3CDTF">2016-10-06T21:30:00Z</dcterms:created>
  <dcterms:modified xsi:type="dcterms:W3CDTF">2016-11-09T01:06:00Z</dcterms:modified>
</cp:coreProperties>
</file>