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19C" w:rsidRDefault="0025473E" w:rsidP="0091219C">
      <w:pPr>
        <w:pStyle w:val="NormalWeb"/>
        <w:contextualSpacing/>
        <w:jc w:val="center"/>
        <w:rPr>
          <w:rFonts w:ascii="Arial" w:hAnsi="Arial" w:cs="Arial"/>
          <w:b/>
          <w:bCs/>
          <w:sz w:val="28"/>
          <w:szCs w:val="28"/>
        </w:rPr>
      </w:pPr>
      <w:bookmarkStart w:id="0" w:name="_GoBack"/>
      <w:bookmarkEnd w:id="0"/>
      <w:r>
        <w:rPr>
          <w:rFonts w:ascii="Arial" w:hAnsi="Arial" w:cs="Arial"/>
          <w:b/>
          <w:bCs/>
          <w:sz w:val="28"/>
          <w:szCs w:val="28"/>
        </w:rPr>
        <w:t xml:space="preserve"> </w:t>
      </w:r>
      <w:r w:rsidR="00CA02F9" w:rsidRPr="00523F4A">
        <w:rPr>
          <w:rFonts w:ascii="Arial" w:hAnsi="Arial" w:cs="Arial"/>
          <w:b/>
          <w:bCs/>
          <w:sz w:val="28"/>
          <w:szCs w:val="28"/>
        </w:rPr>
        <w:t>Department of Transportation</w:t>
      </w:r>
    </w:p>
    <w:p w:rsidR="0091219C" w:rsidRPr="00523F4A" w:rsidRDefault="0091219C" w:rsidP="0067631C">
      <w:pPr>
        <w:pStyle w:val="NormalWeb"/>
        <w:tabs>
          <w:tab w:val="left" w:pos="4770"/>
        </w:tabs>
        <w:spacing w:before="0" w:beforeAutospacing="0" w:after="0" w:afterAutospacing="0"/>
        <w:contextualSpacing/>
        <w:jc w:val="center"/>
        <w:rPr>
          <w:rFonts w:ascii="Arial" w:hAnsi="Arial" w:cs="Arial"/>
          <w:b/>
          <w:bCs/>
          <w:sz w:val="28"/>
          <w:szCs w:val="28"/>
        </w:rPr>
      </w:pPr>
      <w:r>
        <w:rPr>
          <w:rFonts w:ascii="Arial" w:hAnsi="Arial" w:cs="Arial"/>
          <w:b/>
          <w:bCs/>
          <w:sz w:val="28"/>
          <w:szCs w:val="28"/>
        </w:rPr>
        <w:t>Office of the Chief Information Officer</w:t>
      </w:r>
    </w:p>
    <w:p w:rsidR="0091219C" w:rsidRDefault="0091219C" w:rsidP="0067631C">
      <w:pPr>
        <w:pStyle w:val="NormalWeb"/>
        <w:spacing w:before="0" w:beforeAutospacing="0" w:after="0" w:afterAutospacing="0"/>
        <w:contextualSpacing/>
        <w:jc w:val="center"/>
        <w:rPr>
          <w:rFonts w:ascii="Arial" w:hAnsi="Arial" w:cs="Arial"/>
          <w:b/>
          <w:bCs/>
          <w:sz w:val="28"/>
          <w:szCs w:val="28"/>
          <w:u w:val="single"/>
        </w:rPr>
      </w:pPr>
    </w:p>
    <w:p w:rsidR="008123C6" w:rsidRPr="00523F4A" w:rsidRDefault="00CA02F9" w:rsidP="0067631C">
      <w:pPr>
        <w:pStyle w:val="NormalWeb"/>
        <w:spacing w:before="0" w:beforeAutospacing="0" w:after="0" w:afterAutospacing="0"/>
        <w:contextualSpacing/>
        <w:jc w:val="center"/>
        <w:rPr>
          <w:rFonts w:ascii="Arial" w:hAnsi="Arial" w:cs="Arial"/>
          <w:b/>
          <w:bCs/>
          <w:sz w:val="28"/>
          <w:szCs w:val="28"/>
          <w:u w:val="single"/>
        </w:rPr>
      </w:pPr>
      <w:r w:rsidRPr="00523F4A">
        <w:rPr>
          <w:rFonts w:ascii="Arial" w:hAnsi="Arial" w:cs="Arial"/>
          <w:b/>
          <w:bCs/>
          <w:sz w:val="28"/>
          <w:szCs w:val="28"/>
          <w:u w:val="single"/>
        </w:rPr>
        <w:t>SUPPORTING STATEMENT</w:t>
      </w:r>
    </w:p>
    <w:p w:rsidR="00523F4A" w:rsidRPr="00523F4A" w:rsidRDefault="00523F4A" w:rsidP="0067631C">
      <w:pPr>
        <w:contextualSpacing/>
        <w:jc w:val="center"/>
        <w:rPr>
          <w:rFonts w:ascii="Arial" w:hAnsi="Arial" w:cs="Arial"/>
          <w:b/>
          <w:smallCaps/>
          <w:sz w:val="28"/>
          <w:szCs w:val="28"/>
        </w:rPr>
      </w:pPr>
      <w:r w:rsidRPr="00523F4A">
        <w:rPr>
          <w:rFonts w:ascii="Arial" w:hAnsi="Arial" w:cs="Arial"/>
          <w:b/>
          <w:smallCaps/>
          <w:sz w:val="28"/>
          <w:szCs w:val="28"/>
        </w:rPr>
        <w:t>Commercial Driver</w:t>
      </w:r>
      <w:r w:rsidR="004A40A1">
        <w:rPr>
          <w:rFonts w:ascii="Arial" w:hAnsi="Arial" w:cs="Arial"/>
          <w:b/>
          <w:smallCaps/>
          <w:sz w:val="28"/>
          <w:szCs w:val="28"/>
        </w:rPr>
        <w:t>’s</w:t>
      </w:r>
      <w:r w:rsidRPr="00523F4A">
        <w:rPr>
          <w:rFonts w:ascii="Arial" w:hAnsi="Arial" w:cs="Arial"/>
          <w:b/>
          <w:smallCaps/>
          <w:sz w:val="28"/>
          <w:szCs w:val="28"/>
        </w:rPr>
        <w:t xml:space="preserve"> </w:t>
      </w:r>
      <w:r w:rsidR="000969AA">
        <w:rPr>
          <w:rFonts w:ascii="Arial" w:hAnsi="Arial" w:cs="Arial"/>
          <w:b/>
          <w:smallCaps/>
          <w:sz w:val="28"/>
          <w:szCs w:val="28"/>
        </w:rPr>
        <w:t>License</w:t>
      </w:r>
    </w:p>
    <w:p w:rsidR="00523F4A" w:rsidRDefault="00523F4A" w:rsidP="0067631C">
      <w:pPr>
        <w:contextualSpacing/>
        <w:jc w:val="center"/>
        <w:rPr>
          <w:rFonts w:ascii="Arial" w:hAnsi="Arial" w:cs="Arial"/>
          <w:b/>
          <w:smallCaps/>
          <w:sz w:val="28"/>
          <w:szCs w:val="28"/>
        </w:rPr>
      </w:pPr>
      <w:r w:rsidRPr="00523F4A">
        <w:rPr>
          <w:rFonts w:ascii="Arial" w:hAnsi="Arial" w:cs="Arial"/>
          <w:b/>
          <w:smallCaps/>
          <w:sz w:val="28"/>
          <w:szCs w:val="28"/>
        </w:rPr>
        <w:t xml:space="preserve">Drug and Alcohol </w:t>
      </w:r>
      <w:r w:rsidR="000969AA">
        <w:rPr>
          <w:rFonts w:ascii="Arial" w:hAnsi="Arial" w:cs="Arial"/>
          <w:b/>
          <w:smallCaps/>
          <w:sz w:val="28"/>
          <w:szCs w:val="28"/>
        </w:rPr>
        <w:t>Clearinghouse</w:t>
      </w:r>
    </w:p>
    <w:p w:rsidR="00220CFF" w:rsidRDefault="00220CFF" w:rsidP="0067631C">
      <w:pPr>
        <w:contextualSpacing/>
        <w:jc w:val="center"/>
        <w:rPr>
          <w:rFonts w:ascii="Arial" w:hAnsi="Arial" w:cs="Arial"/>
          <w:b/>
          <w:smallCaps/>
          <w:sz w:val="28"/>
          <w:szCs w:val="28"/>
        </w:rPr>
      </w:pPr>
    </w:p>
    <w:p w:rsidR="00220CFF" w:rsidRPr="008123C6" w:rsidRDefault="00E2136B" w:rsidP="0067631C">
      <w:pPr>
        <w:contextualSpacing/>
        <w:jc w:val="center"/>
        <w:rPr>
          <w:rFonts w:ascii="Arial" w:hAnsi="Arial" w:cs="Arial"/>
          <w:b/>
        </w:rPr>
      </w:pPr>
      <w:r>
        <w:rPr>
          <w:rFonts w:ascii="Arial" w:hAnsi="Arial" w:cs="Arial"/>
          <w:b/>
        </w:rPr>
        <w:t xml:space="preserve">December </w:t>
      </w:r>
      <w:r w:rsidR="00B50B69">
        <w:rPr>
          <w:rFonts w:ascii="Arial" w:hAnsi="Arial" w:cs="Arial"/>
          <w:b/>
        </w:rPr>
        <w:t>2016</w:t>
      </w:r>
    </w:p>
    <w:p w:rsidR="00523F4A" w:rsidRPr="00A83DD1" w:rsidRDefault="00523F4A" w:rsidP="0067631C">
      <w:pPr>
        <w:contextualSpacing/>
        <w:jc w:val="center"/>
        <w:rPr>
          <w:rFonts w:ascii="Times New Roman Bold" w:hAnsi="Times New Roman Bold"/>
          <w:b/>
          <w:smallCaps/>
          <w:sz w:val="32"/>
          <w:szCs w:val="32"/>
        </w:rPr>
      </w:pPr>
    </w:p>
    <w:p w:rsidR="0091219C" w:rsidRDefault="0091219C" w:rsidP="0067631C">
      <w:pPr>
        <w:pStyle w:val="NormalWeb"/>
        <w:spacing w:before="0" w:beforeAutospacing="0" w:after="0" w:afterAutospacing="0"/>
        <w:contextualSpacing/>
        <w:rPr>
          <w:rFonts w:ascii="Arial" w:hAnsi="Arial" w:cs="Arial"/>
          <w:b/>
          <w:bCs/>
          <w:szCs w:val="20"/>
          <w:u w:val="single"/>
        </w:rPr>
      </w:pPr>
      <w:r w:rsidRPr="0091219C">
        <w:rPr>
          <w:rFonts w:ascii="Arial" w:hAnsi="Arial" w:cs="Arial"/>
          <w:b/>
          <w:bCs/>
          <w:szCs w:val="20"/>
          <w:u w:val="single"/>
        </w:rPr>
        <w:t>INTRODUCTION</w:t>
      </w:r>
    </w:p>
    <w:p w:rsidR="0067631C" w:rsidRDefault="0067631C" w:rsidP="0067631C">
      <w:pPr>
        <w:pStyle w:val="NormalWeb"/>
        <w:spacing w:before="0" w:beforeAutospacing="0" w:after="0" w:afterAutospacing="0"/>
        <w:contextualSpacing/>
        <w:jc w:val="both"/>
        <w:rPr>
          <w:rFonts w:ascii="Arial" w:hAnsi="Arial" w:cs="Arial"/>
          <w:b/>
          <w:bCs/>
          <w:szCs w:val="20"/>
        </w:rPr>
      </w:pPr>
    </w:p>
    <w:p w:rsidR="0067631C" w:rsidRDefault="0067631C" w:rsidP="0067631C">
      <w:pPr>
        <w:pStyle w:val="NormalWeb"/>
        <w:spacing w:before="0" w:beforeAutospacing="0" w:after="0" w:afterAutospacing="0"/>
        <w:contextualSpacing/>
        <w:jc w:val="both"/>
        <w:rPr>
          <w:rFonts w:ascii="Arial" w:hAnsi="Arial" w:cs="Arial"/>
          <w:b/>
          <w:bCs/>
          <w:szCs w:val="20"/>
        </w:rPr>
      </w:pPr>
      <w:r>
        <w:rPr>
          <w:rFonts w:ascii="Arial" w:hAnsi="Arial" w:cs="Arial"/>
          <w:b/>
          <w:bCs/>
          <w:szCs w:val="20"/>
        </w:rPr>
        <w:t>This is to request the Office of Management and Budget’s (OMB) approval of a new information collection request (ICR) contained in the final rule entitled, “Commercial Driver’s License (CDL) Drug and Alcohol Clearinghouse.” (Clearinghouse) (See Attachment A)</w:t>
      </w:r>
    </w:p>
    <w:p w:rsidR="0067631C" w:rsidRPr="0091219C" w:rsidRDefault="0067631C" w:rsidP="0067631C">
      <w:pPr>
        <w:pStyle w:val="NormalWeb"/>
        <w:spacing w:before="0" w:beforeAutospacing="0" w:after="0" w:afterAutospacing="0"/>
        <w:contextualSpacing/>
        <w:jc w:val="both"/>
        <w:rPr>
          <w:rFonts w:ascii="Arial" w:hAnsi="Arial" w:cs="Arial"/>
          <w:b/>
          <w:bCs/>
          <w:szCs w:val="20"/>
        </w:rPr>
      </w:pPr>
    </w:p>
    <w:p w:rsidR="008123C6" w:rsidRDefault="0091219C" w:rsidP="0067631C">
      <w:pPr>
        <w:pStyle w:val="NormalWeb"/>
        <w:spacing w:before="0" w:beforeAutospacing="0" w:after="0" w:afterAutospacing="0"/>
        <w:contextualSpacing/>
        <w:rPr>
          <w:rFonts w:ascii="Arial" w:hAnsi="Arial" w:cs="Arial"/>
          <w:b/>
          <w:bCs/>
          <w:szCs w:val="20"/>
          <w:u w:val="single"/>
        </w:rPr>
      </w:pPr>
      <w:r w:rsidRPr="0091219C">
        <w:rPr>
          <w:rFonts w:ascii="Arial" w:hAnsi="Arial" w:cs="Arial"/>
          <w:b/>
          <w:bCs/>
          <w:szCs w:val="20"/>
          <w:u w:val="single"/>
        </w:rPr>
        <w:t>Part A.  Justification</w:t>
      </w:r>
    </w:p>
    <w:p w:rsidR="0067631C" w:rsidRPr="00516D3A" w:rsidRDefault="0067631C" w:rsidP="0067631C">
      <w:pPr>
        <w:pStyle w:val="NormalWeb"/>
        <w:spacing w:before="0" w:beforeAutospacing="0" w:after="0" w:afterAutospacing="0"/>
        <w:contextualSpacing/>
        <w:rPr>
          <w:rFonts w:ascii="Arial" w:hAnsi="Arial" w:cs="Arial"/>
          <w:bCs/>
          <w:szCs w:val="20"/>
        </w:rPr>
      </w:pPr>
    </w:p>
    <w:p w:rsidR="00CA02F9" w:rsidRDefault="00CA02F9" w:rsidP="0067631C">
      <w:pPr>
        <w:pStyle w:val="NormalWeb"/>
        <w:spacing w:before="0" w:beforeAutospacing="0" w:after="0" w:afterAutospacing="0"/>
        <w:contextualSpacing/>
        <w:rPr>
          <w:rFonts w:ascii="Arial" w:hAnsi="Arial" w:cs="Arial"/>
        </w:rPr>
      </w:pPr>
      <w:r>
        <w:rPr>
          <w:rFonts w:ascii="Arial" w:hAnsi="Arial" w:cs="Arial"/>
          <w:b/>
          <w:bCs/>
          <w:szCs w:val="20"/>
        </w:rPr>
        <w:t>1. Circumstances that make the collection of information necessary.</w:t>
      </w:r>
    </w:p>
    <w:p w:rsidR="00354EFA" w:rsidRDefault="00954F14" w:rsidP="00354EFA">
      <w:pPr>
        <w:jc w:val="both"/>
      </w:pPr>
      <w:r w:rsidRPr="00A0449D">
        <w:t>In 1999, a New Orleans bus crash resulted in 22 passenger fatalities.</w:t>
      </w:r>
      <w:r>
        <w:t xml:space="preserve">  The motor</w:t>
      </w:r>
      <w:r w:rsidR="00E2136B">
        <w:t xml:space="preserve"> </w:t>
      </w:r>
      <w:r>
        <w:t>coach driver’s post-accident drug test showed use of marijuana and a sedating</w:t>
      </w:r>
      <w:r w:rsidR="00DE487A">
        <w:t xml:space="preserve"> antihistamine</w:t>
      </w:r>
      <w:r>
        <w:t xml:space="preserve"> prior to going on duty. </w:t>
      </w:r>
      <w:r w:rsidRPr="00A0449D">
        <w:t xml:space="preserve"> The driver had </w:t>
      </w:r>
      <w:r>
        <w:t xml:space="preserve">also </w:t>
      </w:r>
      <w:r w:rsidRPr="00A0449D">
        <w:t>failed pre-employment drug testing when applying for previous positions, a fact not revealed or known to the current employer. The driver also failed to disclose on his employment application a previous employer who fired him after a positive drug test.</w:t>
      </w:r>
    </w:p>
    <w:p w:rsidR="00354EFA" w:rsidRDefault="00354EFA" w:rsidP="00354EFA">
      <w:pPr>
        <w:jc w:val="both"/>
      </w:pPr>
    </w:p>
    <w:p w:rsidR="00354EFA" w:rsidRDefault="00354EFA" w:rsidP="00354EFA">
      <w:pPr>
        <w:jc w:val="both"/>
      </w:pPr>
      <w:r>
        <w:t xml:space="preserve">As a result, the National Transportation Safety Board (NTSB) made recommendations to the Agency pertaining to the reporting of </w:t>
      </w:r>
      <w:r w:rsidR="009578BD">
        <w:t xml:space="preserve">CDL </w:t>
      </w:r>
      <w:r>
        <w:t xml:space="preserve">driver drug- and alcohol-testing results. </w:t>
      </w:r>
      <w:r w:rsidR="00B50B69">
        <w:t>Specifically, the</w:t>
      </w:r>
      <w:r>
        <w:t xml:space="preserve"> NTSB recommended that the Federal Motor Carrier Safety Administration (FMCSA) “develop a system that records all positive drug and alcohol test results and refusal determinations that are conducted under the U.S. Department of Transportation (DOT) testing requirements</w:t>
      </w:r>
      <w:r w:rsidR="00C150E7">
        <w:t xml:space="preserve"> and</w:t>
      </w:r>
      <w:r>
        <w:t xml:space="preserve"> require prospective employers to query the system before making a hiring decision</w:t>
      </w:r>
      <w:r w:rsidR="00C150E7">
        <w:t>.</w:t>
      </w:r>
      <w:r>
        <w:t xml:space="preserve">” This </w:t>
      </w:r>
      <w:r w:rsidR="002F5BCF">
        <w:t>rule</w:t>
      </w:r>
      <w:r>
        <w:t xml:space="preserve"> addresses the NTSB’s recommendation</w:t>
      </w:r>
      <w:r w:rsidR="00E102F8">
        <w:t xml:space="preserve"> and also responds to the </w:t>
      </w:r>
      <w:r w:rsidR="00CC678C">
        <w:t xml:space="preserve">Moving Ahead </w:t>
      </w:r>
      <w:r w:rsidR="00E102F8">
        <w:t xml:space="preserve">for </w:t>
      </w:r>
      <w:r w:rsidR="00CC678C">
        <w:t>Progress in the 21</w:t>
      </w:r>
      <w:r w:rsidR="00CC678C" w:rsidRPr="00FC3E43">
        <w:rPr>
          <w:vertAlign w:val="superscript"/>
        </w:rPr>
        <w:t>st</w:t>
      </w:r>
      <w:r w:rsidR="00CC678C">
        <w:t xml:space="preserve"> Century </w:t>
      </w:r>
      <w:r w:rsidR="00E102F8">
        <w:t xml:space="preserve">Act </w:t>
      </w:r>
      <w:r w:rsidR="00CC678C">
        <w:t>(MAP-21)</w:t>
      </w:r>
      <w:r w:rsidR="00E102F8">
        <w:t xml:space="preserve"> provision mandating the</w:t>
      </w:r>
      <w:r w:rsidR="00CC678C">
        <w:t xml:space="preserve"> establishment </w:t>
      </w:r>
      <w:proofErr w:type="gramStart"/>
      <w:r w:rsidR="00CC678C">
        <w:t>of  the</w:t>
      </w:r>
      <w:proofErr w:type="gramEnd"/>
      <w:r w:rsidR="00CC678C">
        <w:t xml:space="preserve"> Clearinghouse.</w:t>
      </w:r>
    </w:p>
    <w:p w:rsidR="00062064" w:rsidRDefault="00062064" w:rsidP="00354EFA">
      <w:pPr>
        <w:jc w:val="both"/>
      </w:pPr>
    </w:p>
    <w:p w:rsidR="00E2136B" w:rsidRDefault="00062064" w:rsidP="00E2136B">
      <w:pPr>
        <w:jc w:val="both"/>
      </w:pPr>
      <w:r>
        <w:t>This information collection supports the DOT Strategic Goal of Safety by ensuring that drivers are qualified to operate trucks and buses on our nation’s highways</w:t>
      </w:r>
      <w:r w:rsidR="002C27AF">
        <w:t>.</w:t>
      </w:r>
      <w:r w:rsidR="00E2136B">
        <w:t xml:space="preserve">  </w:t>
      </w:r>
      <w:r w:rsidR="00E2136B" w:rsidRPr="007114C4">
        <w:t xml:space="preserve">The final rule </w:t>
      </w:r>
      <w:r w:rsidR="00E2136B">
        <w:t>(</w:t>
      </w:r>
      <w:r w:rsidR="00E2136B" w:rsidRPr="007114C4">
        <w:t>81 FR 87686</w:t>
      </w:r>
      <w:r w:rsidR="00E2136B">
        <w:t xml:space="preserve">) </w:t>
      </w:r>
      <w:r w:rsidR="00E2136B" w:rsidRPr="007114C4">
        <w:t xml:space="preserve">was published on December 5, 2016, the effective date of the final rule is January 4, 2017, and the compliance </w:t>
      </w:r>
      <w:r w:rsidR="00E2136B">
        <w:t>date is January 6, 2020.  N</w:t>
      </w:r>
      <w:r w:rsidR="00E2136B" w:rsidRPr="007114C4">
        <w:t>o bu</w:t>
      </w:r>
      <w:r w:rsidR="00E2136B">
        <w:t>rden hours or annual costs are being</w:t>
      </w:r>
      <w:r w:rsidR="00E2136B" w:rsidRPr="007114C4">
        <w:t xml:space="preserve"> requested for the first three years, between 20</w:t>
      </w:r>
      <w:r w:rsidR="00E2136B">
        <w:t>17 and 2020, for this ICR</w:t>
      </w:r>
      <w:r w:rsidR="00E2136B" w:rsidRPr="007114C4">
        <w:t>.  A</w:t>
      </w:r>
      <w:r w:rsidR="00E2136B">
        <w:t xml:space="preserve">n ICR renewal for the estimated </w:t>
      </w:r>
      <w:r w:rsidR="00E2136B" w:rsidRPr="007114C4">
        <w:t>burden hours</w:t>
      </w:r>
      <w:r w:rsidR="00E2136B">
        <w:t xml:space="preserve"> and costs, presented in question 12, </w:t>
      </w:r>
      <w:r w:rsidR="00E2136B" w:rsidRPr="007114C4">
        <w:t xml:space="preserve">will be submitted by </w:t>
      </w:r>
      <w:r w:rsidR="00E2136B">
        <w:t>the Agency to OMB for approval in the year 2019, o</w:t>
      </w:r>
      <w:r w:rsidR="00E2136B" w:rsidRPr="007114C4">
        <w:t xml:space="preserve">n time for the </w:t>
      </w:r>
      <w:r w:rsidR="00E2136B">
        <w:t>compliance date on January 6, 2020</w:t>
      </w:r>
      <w:r w:rsidR="00E2136B" w:rsidRPr="007114C4">
        <w:t>.</w:t>
      </w:r>
    </w:p>
    <w:p w:rsidR="00062064" w:rsidRDefault="00062064" w:rsidP="00354EFA">
      <w:pPr>
        <w:jc w:val="both"/>
      </w:pPr>
    </w:p>
    <w:p w:rsidR="00354EFA" w:rsidRDefault="00354EFA" w:rsidP="007D7EDE">
      <w:pPr>
        <w:jc w:val="both"/>
      </w:pPr>
    </w:p>
    <w:p w:rsidR="00CA02F9" w:rsidRDefault="00CA02F9" w:rsidP="00977BBD">
      <w:pPr>
        <w:pStyle w:val="NormalWeb"/>
        <w:keepNext/>
        <w:rPr>
          <w:rFonts w:ascii="Arial" w:hAnsi="Arial" w:cs="Arial"/>
        </w:rPr>
      </w:pPr>
      <w:r>
        <w:rPr>
          <w:rFonts w:ascii="Arial" w:hAnsi="Arial" w:cs="Arial"/>
          <w:b/>
          <w:bCs/>
          <w:szCs w:val="20"/>
        </w:rPr>
        <w:lastRenderedPageBreak/>
        <w:t xml:space="preserve">2. How, by whom, how frequently, and for what purpose the information will be used. </w:t>
      </w:r>
    </w:p>
    <w:p w:rsidR="00354EFA" w:rsidRPr="00354EFA" w:rsidRDefault="00354EFA" w:rsidP="00B91B1F">
      <w:pPr>
        <w:pStyle w:val="BodyTextIndent2"/>
        <w:spacing w:line="240" w:lineRule="auto"/>
        <w:ind w:firstLine="0"/>
        <w:jc w:val="both"/>
        <w:rPr>
          <w:rFonts w:ascii="Times New Roman" w:hAnsi="Times New Roman" w:cs="Times New Roman"/>
        </w:rPr>
      </w:pPr>
      <w:r w:rsidRPr="00354EFA">
        <w:rPr>
          <w:rFonts w:ascii="Times New Roman" w:hAnsi="Times New Roman" w:cs="Times New Roman"/>
        </w:rPr>
        <w:t xml:space="preserve">The information </w:t>
      </w:r>
      <w:r w:rsidR="00C13B7A">
        <w:rPr>
          <w:rFonts w:ascii="Times New Roman" w:hAnsi="Times New Roman" w:cs="Times New Roman"/>
        </w:rPr>
        <w:t>will</w:t>
      </w:r>
      <w:r w:rsidR="00C13B7A" w:rsidRPr="00354EFA">
        <w:rPr>
          <w:rFonts w:ascii="Times New Roman" w:hAnsi="Times New Roman" w:cs="Times New Roman"/>
        </w:rPr>
        <w:t xml:space="preserve"> </w:t>
      </w:r>
      <w:r w:rsidRPr="00354EFA">
        <w:rPr>
          <w:rFonts w:ascii="Times New Roman" w:hAnsi="Times New Roman" w:cs="Times New Roman"/>
        </w:rPr>
        <w:t xml:space="preserve">be used by employers </w:t>
      </w:r>
      <w:r w:rsidR="00DE487A">
        <w:rPr>
          <w:rFonts w:ascii="Times New Roman" w:hAnsi="Times New Roman" w:cs="Times New Roman"/>
        </w:rPr>
        <w:t xml:space="preserve">and SDLAs </w:t>
      </w:r>
      <w:r w:rsidRPr="00354EFA">
        <w:rPr>
          <w:rFonts w:ascii="Times New Roman" w:hAnsi="Times New Roman" w:cs="Times New Roman"/>
        </w:rPr>
        <w:t xml:space="preserve">to identify drivers who have </w:t>
      </w:r>
      <w:r w:rsidR="00426EE9">
        <w:rPr>
          <w:rFonts w:ascii="Times New Roman" w:hAnsi="Times New Roman" w:cs="Times New Roman"/>
        </w:rPr>
        <w:t>violated the Agency’s</w:t>
      </w:r>
      <w:r w:rsidR="00426EE9" w:rsidRPr="00354EFA">
        <w:rPr>
          <w:rFonts w:ascii="Times New Roman" w:hAnsi="Times New Roman" w:cs="Times New Roman"/>
        </w:rPr>
        <w:t xml:space="preserve"> </w:t>
      </w:r>
      <w:r w:rsidRPr="00354EFA">
        <w:rPr>
          <w:rFonts w:ascii="Times New Roman" w:hAnsi="Times New Roman" w:cs="Times New Roman"/>
        </w:rPr>
        <w:t xml:space="preserve">drug and alcohol </w:t>
      </w:r>
      <w:r w:rsidR="00426EE9">
        <w:rPr>
          <w:rFonts w:ascii="Times New Roman" w:hAnsi="Times New Roman" w:cs="Times New Roman"/>
        </w:rPr>
        <w:t>rules</w:t>
      </w:r>
      <w:r w:rsidR="00D25E01">
        <w:rPr>
          <w:rFonts w:ascii="Times New Roman" w:hAnsi="Times New Roman" w:cs="Times New Roman"/>
        </w:rPr>
        <w:t xml:space="preserve">, and are </w:t>
      </w:r>
      <w:r w:rsidR="00920595">
        <w:rPr>
          <w:rFonts w:ascii="Times New Roman" w:hAnsi="Times New Roman" w:cs="Times New Roman"/>
        </w:rPr>
        <w:t>prohibited</w:t>
      </w:r>
      <w:r w:rsidR="00D25E01">
        <w:rPr>
          <w:rFonts w:ascii="Times New Roman" w:hAnsi="Times New Roman" w:cs="Times New Roman"/>
        </w:rPr>
        <w:t xml:space="preserve"> </w:t>
      </w:r>
      <w:r w:rsidR="00920595">
        <w:rPr>
          <w:rFonts w:ascii="Times New Roman" w:hAnsi="Times New Roman" w:cs="Times New Roman"/>
        </w:rPr>
        <w:t xml:space="preserve">from </w:t>
      </w:r>
      <w:r w:rsidR="00D25E01">
        <w:rPr>
          <w:rFonts w:ascii="Times New Roman" w:hAnsi="Times New Roman" w:cs="Times New Roman"/>
        </w:rPr>
        <w:t>operat</w:t>
      </w:r>
      <w:r w:rsidR="00920595">
        <w:rPr>
          <w:rFonts w:ascii="Times New Roman" w:hAnsi="Times New Roman" w:cs="Times New Roman"/>
        </w:rPr>
        <w:t>ing</w:t>
      </w:r>
      <w:r w:rsidR="00D25E01">
        <w:rPr>
          <w:rFonts w:ascii="Times New Roman" w:hAnsi="Times New Roman" w:cs="Times New Roman"/>
        </w:rPr>
        <w:t xml:space="preserve"> commercial motor vehicles</w:t>
      </w:r>
      <w:r w:rsidR="00920595">
        <w:rPr>
          <w:rFonts w:ascii="Times New Roman" w:hAnsi="Times New Roman" w:cs="Times New Roman"/>
        </w:rPr>
        <w:t xml:space="preserve"> (CMV</w:t>
      </w:r>
      <w:r w:rsidR="00200746">
        <w:rPr>
          <w:rFonts w:ascii="Times New Roman" w:hAnsi="Times New Roman" w:cs="Times New Roman"/>
        </w:rPr>
        <w:t>s</w:t>
      </w:r>
      <w:r w:rsidR="00920595">
        <w:rPr>
          <w:rFonts w:ascii="Times New Roman" w:hAnsi="Times New Roman" w:cs="Times New Roman"/>
        </w:rPr>
        <w:t>)</w:t>
      </w:r>
      <w:r w:rsidRPr="00354EFA">
        <w:rPr>
          <w:rFonts w:ascii="Times New Roman" w:hAnsi="Times New Roman" w:cs="Times New Roman"/>
        </w:rPr>
        <w:t xml:space="preserve">. </w:t>
      </w:r>
      <w:r w:rsidR="0001369F">
        <w:rPr>
          <w:rFonts w:ascii="Times New Roman" w:hAnsi="Times New Roman" w:cs="Times New Roman"/>
        </w:rPr>
        <w:t>The information will also be used by FMCSA for research and enforcement purposes.  The NTSB will use information about drivers involved in specific crash investigations.</w:t>
      </w:r>
    </w:p>
    <w:p w:rsidR="00354EFA" w:rsidRDefault="00354EFA" w:rsidP="00354EFA">
      <w:pPr>
        <w:jc w:val="both"/>
      </w:pPr>
    </w:p>
    <w:p w:rsidR="00354EFA" w:rsidRDefault="00354EFA" w:rsidP="00354EFA">
      <w:pPr>
        <w:jc w:val="both"/>
      </w:pPr>
      <w:r>
        <w:t>The purpose of this rule is to mandate</w:t>
      </w:r>
      <w:r w:rsidR="00E61704">
        <w:t xml:space="preserve"> querying and</w:t>
      </w:r>
      <w:r>
        <w:t xml:space="preserve"> reporting requirements in order to diminish or eliminate the problem of </w:t>
      </w:r>
      <w:r w:rsidR="00CD5EF9">
        <w:t xml:space="preserve">CDL </w:t>
      </w:r>
      <w:r>
        <w:t>holders testing positive for drugs or alcohol, and then continuing to operate CMV</w:t>
      </w:r>
      <w:r w:rsidR="00200746">
        <w:t>s</w:t>
      </w:r>
      <w:r>
        <w:t xml:space="preserve"> without participating in </w:t>
      </w:r>
      <w:r w:rsidR="00200746">
        <w:t xml:space="preserve">the </w:t>
      </w:r>
      <w:r>
        <w:t xml:space="preserve">required return-to-duty process. </w:t>
      </w:r>
    </w:p>
    <w:p w:rsidR="00354EFA" w:rsidRDefault="00354EFA" w:rsidP="00354EFA">
      <w:pPr>
        <w:jc w:val="both"/>
      </w:pPr>
    </w:p>
    <w:p w:rsidR="00CE0633" w:rsidRDefault="00354EFA" w:rsidP="00354EFA">
      <w:pPr>
        <w:jc w:val="both"/>
      </w:pPr>
      <w:r>
        <w:t xml:space="preserve">The </w:t>
      </w:r>
      <w:r w:rsidR="003C059B">
        <w:t xml:space="preserve">FMCSA </w:t>
      </w:r>
      <w:r w:rsidR="00C13B7A">
        <w:t>revises</w:t>
      </w:r>
      <w:r>
        <w:t xml:space="preserve"> </w:t>
      </w:r>
      <w:r w:rsidR="00CE0633">
        <w:t>the following:</w:t>
      </w:r>
    </w:p>
    <w:p w:rsidR="00CA02F9" w:rsidRDefault="00354EFA" w:rsidP="00354EFA">
      <w:pPr>
        <w:jc w:val="both"/>
      </w:pPr>
      <w:r>
        <w:t xml:space="preserve">49 CFR </w:t>
      </w:r>
      <w:proofErr w:type="gramStart"/>
      <w:r>
        <w:t>part</w:t>
      </w:r>
      <w:proofErr w:type="gramEnd"/>
      <w:r>
        <w:t xml:space="preserve"> 382, </w:t>
      </w:r>
      <w:r w:rsidR="00527DE9" w:rsidRPr="004F3127">
        <w:t>Controlled Substances and Alcohol Use and Testing</w:t>
      </w:r>
    </w:p>
    <w:p w:rsidR="00CE0633" w:rsidRDefault="00CE0633" w:rsidP="00354EFA">
      <w:pPr>
        <w:jc w:val="both"/>
      </w:pPr>
      <w:r>
        <w:t>49 CFR part 383, Commercial Driver’s License Standards; Requirements and Penalties</w:t>
      </w:r>
    </w:p>
    <w:p w:rsidR="00CE0633" w:rsidRDefault="00CE0633" w:rsidP="00354EFA">
      <w:pPr>
        <w:jc w:val="both"/>
        <w:rPr>
          <w:rFonts w:cs="Arial"/>
          <w:szCs w:val="18"/>
        </w:rPr>
      </w:pPr>
      <w:r>
        <w:rPr>
          <w:rFonts w:cs="Arial"/>
          <w:szCs w:val="18"/>
        </w:rPr>
        <w:t xml:space="preserve">49 CFR </w:t>
      </w:r>
      <w:proofErr w:type="gramStart"/>
      <w:r>
        <w:rPr>
          <w:rFonts w:cs="Arial"/>
          <w:szCs w:val="18"/>
        </w:rPr>
        <w:t>part</w:t>
      </w:r>
      <w:proofErr w:type="gramEnd"/>
      <w:r>
        <w:rPr>
          <w:rFonts w:cs="Arial"/>
          <w:szCs w:val="18"/>
        </w:rPr>
        <w:t xml:space="preserve"> 384, State Compliance </w:t>
      </w:r>
      <w:r w:rsidR="00F71BA8">
        <w:rPr>
          <w:rFonts w:cs="Arial"/>
          <w:szCs w:val="18"/>
        </w:rPr>
        <w:t>with</w:t>
      </w:r>
      <w:r>
        <w:rPr>
          <w:rFonts w:cs="Arial"/>
          <w:szCs w:val="18"/>
        </w:rPr>
        <w:t xml:space="preserve"> Commercial Driver’s License Program</w:t>
      </w:r>
    </w:p>
    <w:p w:rsidR="00CE0633" w:rsidRPr="00354EFA" w:rsidRDefault="00CE0633" w:rsidP="00354EFA">
      <w:pPr>
        <w:jc w:val="both"/>
        <w:rPr>
          <w:rFonts w:cs="Arial"/>
          <w:szCs w:val="18"/>
        </w:rPr>
      </w:pPr>
      <w:r>
        <w:rPr>
          <w:rFonts w:cs="Arial"/>
          <w:szCs w:val="18"/>
        </w:rPr>
        <w:t>49</w:t>
      </w:r>
      <w:r w:rsidR="00B50B69">
        <w:rPr>
          <w:rFonts w:cs="Arial"/>
          <w:szCs w:val="18"/>
        </w:rPr>
        <w:t xml:space="preserve"> </w:t>
      </w:r>
      <w:r>
        <w:rPr>
          <w:rFonts w:cs="Arial"/>
          <w:szCs w:val="18"/>
        </w:rPr>
        <w:t xml:space="preserve">CFR </w:t>
      </w:r>
      <w:proofErr w:type="gramStart"/>
      <w:r>
        <w:rPr>
          <w:rFonts w:cs="Arial"/>
          <w:szCs w:val="18"/>
        </w:rPr>
        <w:t>part</w:t>
      </w:r>
      <w:proofErr w:type="gramEnd"/>
      <w:r>
        <w:rPr>
          <w:rFonts w:cs="Arial"/>
          <w:szCs w:val="18"/>
        </w:rPr>
        <w:t xml:space="preserve"> 391, Qualifications of Drivers and Longer Combination Vehicle (LCV) Driver Instructors</w:t>
      </w:r>
    </w:p>
    <w:p w:rsidR="00CA02F9" w:rsidRDefault="00CA02F9" w:rsidP="00977BBD">
      <w:pPr>
        <w:pStyle w:val="NormalWeb"/>
        <w:keepNext/>
        <w:rPr>
          <w:rFonts w:ascii="Arial" w:hAnsi="Arial" w:cs="Arial"/>
          <w:szCs w:val="20"/>
        </w:rPr>
      </w:pPr>
      <w:r>
        <w:rPr>
          <w:rFonts w:ascii="Arial" w:hAnsi="Arial"/>
          <w:b/>
        </w:rPr>
        <w:t>3. Extent of automated information collection.</w:t>
      </w:r>
      <w:r>
        <w:rPr>
          <w:rFonts w:ascii="Arial" w:hAnsi="Arial" w:cs="Arial"/>
          <w:szCs w:val="20"/>
        </w:rPr>
        <w:t xml:space="preserve"> </w:t>
      </w:r>
    </w:p>
    <w:p w:rsidR="00354EFA" w:rsidRDefault="00354EFA" w:rsidP="00354EFA">
      <w:pPr>
        <w:jc w:val="both"/>
      </w:pPr>
      <w:r w:rsidRPr="00354EFA">
        <w:rPr>
          <w:bCs/>
          <w:szCs w:val="20"/>
        </w:rPr>
        <w:t>FMCSA estimates that all</w:t>
      </w:r>
      <w:r w:rsidR="00CA02F9" w:rsidRPr="00354EFA">
        <w:rPr>
          <w:bCs/>
          <w:szCs w:val="20"/>
        </w:rPr>
        <w:t xml:space="preserve"> of the information </w:t>
      </w:r>
      <w:r w:rsidR="00C13B7A">
        <w:rPr>
          <w:bCs/>
          <w:szCs w:val="20"/>
        </w:rPr>
        <w:t>will</w:t>
      </w:r>
      <w:r w:rsidR="00C13B7A" w:rsidRPr="00354EFA">
        <w:rPr>
          <w:bCs/>
          <w:szCs w:val="20"/>
        </w:rPr>
        <w:t xml:space="preserve"> </w:t>
      </w:r>
      <w:r w:rsidR="00CA02F9" w:rsidRPr="00354EFA">
        <w:rPr>
          <w:bCs/>
          <w:szCs w:val="20"/>
        </w:rPr>
        <w:t>be disseminated by</w:t>
      </w:r>
      <w:r w:rsidR="00426EE9">
        <w:rPr>
          <w:bCs/>
          <w:szCs w:val="20"/>
        </w:rPr>
        <w:t xml:space="preserve"> logging into a secure web</w:t>
      </w:r>
      <w:r w:rsidR="00B96289">
        <w:rPr>
          <w:bCs/>
          <w:szCs w:val="20"/>
        </w:rPr>
        <w:t xml:space="preserve"> </w:t>
      </w:r>
      <w:r w:rsidR="00144E66">
        <w:rPr>
          <w:bCs/>
          <w:szCs w:val="20"/>
        </w:rPr>
        <w:t>site</w:t>
      </w:r>
      <w:r w:rsidR="00144E66" w:rsidRPr="00354EFA">
        <w:rPr>
          <w:szCs w:val="20"/>
        </w:rPr>
        <w:t>;</w:t>
      </w:r>
      <w:r w:rsidRPr="00354EFA">
        <w:rPr>
          <w:szCs w:val="20"/>
        </w:rPr>
        <w:t xml:space="preserve"> with the exception of the n</w:t>
      </w:r>
      <w:r w:rsidR="0061220F">
        <w:rPr>
          <w:szCs w:val="20"/>
        </w:rPr>
        <w:t xml:space="preserve">otification </w:t>
      </w:r>
      <w:r w:rsidR="00426EE9">
        <w:rPr>
          <w:szCs w:val="20"/>
        </w:rPr>
        <w:t xml:space="preserve">to </w:t>
      </w:r>
      <w:r w:rsidR="00144E66">
        <w:rPr>
          <w:szCs w:val="20"/>
        </w:rPr>
        <w:t>drivers,</w:t>
      </w:r>
      <w:r w:rsidR="0061220F">
        <w:rPr>
          <w:szCs w:val="20"/>
        </w:rPr>
        <w:t xml:space="preserve"> (</w:t>
      </w:r>
      <w:r w:rsidRPr="00354EFA">
        <w:t xml:space="preserve">FMCSA </w:t>
      </w:r>
      <w:r w:rsidR="00C13B7A">
        <w:t>will</w:t>
      </w:r>
      <w:r w:rsidR="00C13B7A" w:rsidRPr="00354EFA">
        <w:t xml:space="preserve"> </w:t>
      </w:r>
      <w:r w:rsidRPr="00354EFA">
        <w:t xml:space="preserve">notify each driver </w:t>
      </w:r>
      <w:r w:rsidR="00426EE9">
        <w:t xml:space="preserve">via U.S. Mail </w:t>
      </w:r>
      <w:r w:rsidRPr="00354EFA">
        <w:t>that information about them has been reported to</w:t>
      </w:r>
      <w:r w:rsidR="00A13018">
        <w:t>, revised or removed from</w:t>
      </w:r>
      <w:r w:rsidRPr="00354EFA">
        <w:t xml:space="preserve"> the database</w:t>
      </w:r>
      <w:r w:rsidR="00CD5EF9">
        <w:t xml:space="preserve"> unless the driver provides an alternative method of notification</w:t>
      </w:r>
      <w:r w:rsidR="00DE487A">
        <w:t>,</w:t>
      </w:r>
      <w:r w:rsidR="00CD5EF9">
        <w:t xml:space="preserve"> such as email</w:t>
      </w:r>
      <w:r w:rsidR="0061220F">
        <w:t>)</w:t>
      </w:r>
      <w:r w:rsidRPr="00354EFA">
        <w:t xml:space="preserve">. </w:t>
      </w:r>
      <w:r w:rsidR="00C6027D">
        <w:t>Thus, of the s</w:t>
      </w:r>
      <w:r w:rsidR="009A4E23">
        <w:t>ix</w:t>
      </w:r>
      <w:r w:rsidR="0061220F">
        <w:t xml:space="preserve"> stated requirements of the rule, all </w:t>
      </w:r>
      <w:r w:rsidR="00C13B7A">
        <w:t xml:space="preserve">will </w:t>
      </w:r>
      <w:r w:rsidR="0061220F">
        <w:t xml:space="preserve">be </w:t>
      </w:r>
      <w:r w:rsidR="00CC678C">
        <w:t>electronic except</w:t>
      </w:r>
      <w:r w:rsidR="0061220F">
        <w:t xml:space="preserve"> for the </w:t>
      </w:r>
      <w:r w:rsidR="00CC678C">
        <w:t>number six</w:t>
      </w:r>
      <w:r w:rsidR="0061220F">
        <w:t xml:space="preserve"> below:</w:t>
      </w:r>
    </w:p>
    <w:p w:rsidR="0061220F" w:rsidRDefault="0061220F" w:rsidP="00354EFA">
      <w:pPr>
        <w:jc w:val="both"/>
      </w:pPr>
    </w:p>
    <w:p w:rsidR="0061220F" w:rsidRDefault="0061220F" w:rsidP="0061220F">
      <w:pPr>
        <w:numPr>
          <w:ilvl w:val="0"/>
          <w:numId w:val="13"/>
        </w:numPr>
        <w:jc w:val="both"/>
      </w:pPr>
      <w:r>
        <w:t xml:space="preserve">Medical Review Officers (MROs) </w:t>
      </w:r>
      <w:r w:rsidR="00C13B7A">
        <w:t xml:space="preserve">will </w:t>
      </w:r>
      <w:r>
        <w:t>submit verified positive controlled</w:t>
      </w:r>
      <w:r w:rsidR="00D25E01">
        <w:t xml:space="preserve"> </w:t>
      </w:r>
      <w:r>
        <w:t>substances test</w:t>
      </w:r>
      <w:r w:rsidR="00D25E01">
        <w:t xml:space="preserve"> </w:t>
      </w:r>
      <w:r>
        <w:t xml:space="preserve">results </w:t>
      </w:r>
      <w:r w:rsidR="00D25E01">
        <w:t>and medical refusals</w:t>
      </w:r>
      <w:r>
        <w:t xml:space="preserve"> to the Agency. </w:t>
      </w:r>
    </w:p>
    <w:p w:rsidR="0061220F" w:rsidRDefault="0061220F" w:rsidP="0061220F">
      <w:pPr>
        <w:numPr>
          <w:ilvl w:val="0"/>
          <w:numId w:val="13"/>
        </w:numPr>
        <w:jc w:val="both"/>
      </w:pPr>
      <w:r>
        <w:t xml:space="preserve">Substance Abuse Professionals (SAPs) </w:t>
      </w:r>
      <w:r w:rsidR="00C13B7A">
        <w:t xml:space="preserve">will </w:t>
      </w:r>
      <w:r>
        <w:t>report</w:t>
      </w:r>
      <w:r w:rsidR="00CD5EF9">
        <w:t xml:space="preserve"> </w:t>
      </w:r>
      <w:r w:rsidR="00D33D2B">
        <w:t>driver information upon complet</w:t>
      </w:r>
      <w:r w:rsidR="00B50B69">
        <w:t>ing</w:t>
      </w:r>
      <w:r w:rsidR="00D33D2B">
        <w:t xml:space="preserve"> an initial assessment and </w:t>
      </w:r>
      <w:r w:rsidR="00D25E01">
        <w:t>the completion date of the return to duty process</w:t>
      </w:r>
      <w:r>
        <w:t xml:space="preserve">. </w:t>
      </w:r>
    </w:p>
    <w:p w:rsidR="0061220F" w:rsidRDefault="0061220F" w:rsidP="0061220F">
      <w:pPr>
        <w:numPr>
          <w:ilvl w:val="0"/>
          <w:numId w:val="13"/>
        </w:numPr>
        <w:jc w:val="both"/>
      </w:pPr>
      <w:r>
        <w:t>Employers</w:t>
      </w:r>
      <w:r w:rsidR="00057D8E">
        <w:t xml:space="preserve"> </w:t>
      </w:r>
      <w:r>
        <w:t xml:space="preserve">or designated service agents </w:t>
      </w:r>
      <w:r w:rsidR="00CD5EF9">
        <w:t xml:space="preserve">(C/TPAs) </w:t>
      </w:r>
      <w:r w:rsidR="00C13B7A">
        <w:t xml:space="preserve">will </w:t>
      </w:r>
      <w:r w:rsidR="00A13018">
        <w:t xml:space="preserve">report </w:t>
      </w:r>
      <w:r>
        <w:t xml:space="preserve">verified alcohol test results at or above 0.04 </w:t>
      </w:r>
      <w:proofErr w:type="gramStart"/>
      <w:r>
        <w:t>alcohol-concentration</w:t>
      </w:r>
      <w:proofErr w:type="gramEnd"/>
      <w:r>
        <w:t xml:space="preserve"> for drivers to the Agency.</w:t>
      </w:r>
    </w:p>
    <w:p w:rsidR="0061220F" w:rsidRDefault="00D25E01" w:rsidP="0061220F">
      <w:pPr>
        <w:numPr>
          <w:ilvl w:val="0"/>
          <w:numId w:val="13"/>
        </w:numPr>
        <w:jc w:val="both"/>
      </w:pPr>
      <w:r>
        <w:t>E</w:t>
      </w:r>
      <w:r w:rsidR="0061220F">
        <w:t xml:space="preserve">mployers or C/TPAs acting on the employer’s behalf </w:t>
      </w:r>
      <w:r w:rsidR="00C13B7A">
        <w:t xml:space="preserve">will </w:t>
      </w:r>
      <w:r w:rsidR="0061220F">
        <w:t>submit information on refusals to test.</w:t>
      </w:r>
    </w:p>
    <w:p w:rsidR="00A13018" w:rsidRDefault="00532ED8" w:rsidP="000F69C1">
      <w:pPr>
        <w:numPr>
          <w:ilvl w:val="0"/>
          <w:numId w:val="13"/>
        </w:numPr>
        <w:jc w:val="both"/>
      </w:pPr>
      <w:r>
        <w:t>Employers would report any violation of part 382 subpart B, including violations based on actual knowledge of drug or alcohol use</w:t>
      </w:r>
      <w:r w:rsidR="00A045FA">
        <w:t>, as defined in § 382.107</w:t>
      </w:r>
      <w:r>
        <w:t xml:space="preserve">.  </w:t>
      </w:r>
    </w:p>
    <w:p w:rsidR="00157EEF" w:rsidRDefault="00157EEF" w:rsidP="000F69C1">
      <w:pPr>
        <w:numPr>
          <w:ilvl w:val="0"/>
          <w:numId w:val="13"/>
        </w:numPr>
        <w:jc w:val="both"/>
      </w:pPr>
      <w:r>
        <w:t>The Clearinghouse will provide notice to the driver each time his or her information is released in connection with a full query.  In addition, a driver will be given the option to receive electronic notification each time someone conducts a limited query on that driver.  The driver will be given the opportunity to opt in and provide electronic contact information when he or she registers with the Clearinghouse; otherwise the default method of notification will be U.S. mail.</w:t>
      </w:r>
    </w:p>
    <w:p w:rsidR="00CA02F9" w:rsidRDefault="00CA02F9">
      <w:pPr>
        <w:pStyle w:val="NormalWeb"/>
        <w:keepNext/>
        <w:rPr>
          <w:rFonts w:ascii="Arial" w:hAnsi="Arial" w:cs="Arial"/>
          <w:szCs w:val="20"/>
        </w:rPr>
      </w:pPr>
      <w:r>
        <w:rPr>
          <w:rFonts w:ascii="Arial" w:hAnsi="Arial" w:cs="Arial"/>
          <w:b/>
          <w:bCs/>
          <w:szCs w:val="20"/>
        </w:rPr>
        <w:lastRenderedPageBreak/>
        <w:t>4. Efforts to identify duplication.</w:t>
      </w:r>
      <w:r>
        <w:rPr>
          <w:rFonts w:ascii="Arial" w:hAnsi="Arial" w:cs="Arial"/>
          <w:szCs w:val="20"/>
        </w:rPr>
        <w:t xml:space="preserve"> </w:t>
      </w:r>
    </w:p>
    <w:p w:rsidR="00CD5EF9" w:rsidRDefault="00CD5EF9" w:rsidP="00354EFA">
      <w:r>
        <w:t> </w:t>
      </w:r>
      <w:r w:rsidR="00EE569E" w:rsidRPr="003C059B">
        <w:t xml:space="preserve">The FMCSA is not aware of any other </w:t>
      </w:r>
      <w:r w:rsidR="00720A31">
        <w:t>efforts</w:t>
      </w:r>
      <w:r w:rsidR="00720A31" w:rsidRPr="003C059B">
        <w:t xml:space="preserve"> </w:t>
      </w:r>
      <w:r w:rsidR="00200746">
        <w:t>that</w:t>
      </w:r>
      <w:r w:rsidR="00200746" w:rsidRPr="003C059B">
        <w:t xml:space="preserve"> </w:t>
      </w:r>
      <w:r w:rsidR="00987B09" w:rsidRPr="00987B09">
        <w:rPr>
          <w:iCs/>
        </w:rPr>
        <w:t>conflict</w:t>
      </w:r>
      <w:r w:rsidR="00EE569E" w:rsidRPr="003C059B">
        <w:t xml:space="preserve"> with </w:t>
      </w:r>
      <w:r w:rsidR="00C13B7A">
        <w:t>this</w:t>
      </w:r>
      <w:r w:rsidR="00EE569E" w:rsidRPr="003C059B">
        <w:t xml:space="preserve"> action. </w:t>
      </w:r>
    </w:p>
    <w:p w:rsidR="004B4C7C" w:rsidRDefault="004015FC" w:rsidP="004B4C7C">
      <w:pPr>
        <w:spacing w:before="100" w:beforeAutospacing="1" w:after="100" w:afterAutospacing="1"/>
        <w:rPr>
          <w:rFonts w:ascii="Arial" w:hAnsi="Arial" w:cs="Arial"/>
          <w:b/>
          <w:bCs/>
          <w:szCs w:val="20"/>
        </w:rPr>
      </w:pPr>
      <w:r>
        <w:rPr>
          <w:rFonts w:ascii="Arial" w:hAnsi="Arial"/>
          <w:b/>
        </w:rPr>
        <w:t>5. Efforts to minimize the burden on small businesses or other small entities</w:t>
      </w:r>
      <w:r>
        <w:rPr>
          <w:rFonts w:ascii="Arial" w:hAnsi="Arial" w:cs="Arial"/>
          <w:b/>
          <w:bCs/>
          <w:szCs w:val="20"/>
        </w:rPr>
        <w:t>.</w:t>
      </w:r>
    </w:p>
    <w:p w:rsidR="00CB4915" w:rsidRDefault="00CB4915" w:rsidP="00CB4915">
      <w:pPr>
        <w:jc w:val="both"/>
      </w:pPr>
      <w:r>
        <w:t>The FMCSA drug and alcohol testing regulations apply to more than an estimated 520,000</w:t>
      </w:r>
      <w:r w:rsidRPr="00B11CA8">
        <w:t xml:space="preserve"> </w:t>
      </w:r>
      <w:r>
        <w:t>carriers consisting of about 4 million driver</w:t>
      </w:r>
      <w:r w:rsidRPr="00B11CA8">
        <w:t>s</w:t>
      </w:r>
      <w:r>
        <w:t>. An estimated 99 percent or 515,</w:t>
      </w:r>
      <w:r w:rsidRPr="00E6418B">
        <w:t>000</w:t>
      </w:r>
      <w:r>
        <w:t xml:space="preserve"> of these motor carriers are considered small entities. In addition, an estimated 11,000 MROs, 5000 C/TPAs, and 15,000 SAPs would verify and report positive drug and alcohol test results, test refusals, </w:t>
      </w:r>
      <w:r w:rsidR="006B64FA">
        <w:t xml:space="preserve">or </w:t>
      </w:r>
      <w:r>
        <w:t xml:space="preserve">information about </w:t>
      </w:r>
      <w:r w:rsidR="006B64FA">
        <w:t xml:space="preserve">the </w:t>
      </w:r>
      <w:r>
        <w:t>return to duty processes. MROs, C/TPAs, and SAPs are most likely small entities.</w:t>
      </w:r>
    </w:p>
    <w:p w:rsidR="00CB4915" w:rsidRDefault="00CB4915" w:rsidP="00CB4915"/>
    <w:p w:rsidR="001E433E" w:rsidRDefault="00CB4915" w:rsidP="00B91B1F">
      <w:pPr>
        <w:jc w:val="both"/>
      </w:pPr>
      <w:r>
        <w:t xml:space="preserve">The requirement to submit drug and alcohol test information </w:t>
      </w:r>
      <w:r w:rsidR="006B64FA">
        <w:t>pertaining to</w:t>
      </w:r>
      <w:r>
        <w:t xml:space="preserve"> CDL holders applies to all motor carriers conducting operations regardless of size.</w:t>
      </w:r>
      <w:r w:rsidRPr="00673E3A">
        <w:rPr>
          <w:color w:val="FF0000"/>
        </w:rPr>
        <w:t xml:space="preserve"> </w:t>
      </w:r>
      <w:r>
        <w:t>T</w:t>
      </w:r>
      <w:r w:rsidRPr="00B4583A">
        <w:t>he FMCSA is requesting no more information t</w:t>
      </w:r>
      <w:r>
        <w:t>han is absolutely necessary to e</w:t>
      </w:r>
      <w:r w:rsidRPr="00B4583A">
        <w:t>nsure compliance with</w:t>
      </w:r>
      <w:r w:rsidR="00C262BA">
        <w:t xml:space="preserve"> the MAP-21 requirements and</w:t>
      </w:r>
      <w:r w:rsidRPr="00B4583A">
        <w:t xml:space="preserve"> applicable safety regulations</w:t>
      </w:r>
      <w:r>
        <w:t>. </w:t>
      </w:r>
      <w:r w:rsidR="00282663">
        <w:t xml:space="preserve"> </w:t>
      </w:r>
    </w:p>
    <w:p w:rsidR="00282663" w:rsidRDefault="00282663" w:rsidP="00B91B1F">
      <w:pPr>
        <w:jc w:val="both"/>
      </w:pPr>
    </w:p>
    <w:p w:rsidR="00282663" w:rsidRDefault="00282663" w:rsidP="00B91B1F">
      <w:pPr>
        <w:jc w:val="both"/>
        <w:rPr>
          <w:rFonts w:ascii="Arial" w:hAnsi="Arial" w:cs="Arial"/>
          <w:b/>
          <w:bCs/>
          <w:szCs w:val="20"/>
        </w:rPr>
      </w:pPr>
      <w:r>
        <w:t xml:space="preserve">Under current </w:t>
      </w:r>
      <w:r w:rsidR="00FB79AD">
        <w:t xml:space="preserve">FMCSA </w:t>
      </w:r>
      <w:r>
        <w:t>regulations, as part of the pre-employment screening,</w:t>
      </w:r>
      <w:r w:rsidR="00FB79AD">
        <w:t xml:space="preserve"> prospective</w:t>
      </w:r>
      <w:r>
        <w:t xml:space="preserve"> employers are required to contact</w:t>
      </w:r>
      <w:r w:rsidR="00DF50AA">
        <w:t xml:space="preserve"> a</w:t>
      </w:r>
      <w:r w:rsidR="00F6600A">
        <w:t xml:space="preserve"> </w:t>
      </w:r>
      <w:r w:rsidR="00FB79AD">
        <w:t>potential hire’s</w:t>
      </w:r>
      <w:r w:rsidR="00F6600A">
        <w:t xml:space="preserve"> previous employers </w:t>
      </w:r>
      <w:r w:rsidR="00DF50AA">
        <w:t xml:space="preserve">dating back </w:t>
      </w:r>
      <w:r w:rsidR="00F6600A">
        <w:t>three</w:t>
      </w:r>
      <w:r w:rsidR="00DF50AA">
        <w:t xml:space="preserve"> years.  </w:t>
      </w:r>
      <w:r>
        <w:t>A</w:t>
      </w:r>
      <w:r w:rsidR="00AB216E">
        <w:t>fter three years</w:t>
      </w:r>
      <w:r w:rsidR="00DF50AA">
        <w:t xml:space="preserve"> of entities reporting violations to the Clearinghouse, </w:t>
      </w:r>
      <w:r w:rsidR="00FB79AD">
        <w:t xml:space="preserve">prospective </w:t>
      </w:r>
      <w:r w:rsidR="00DF50AA">
        <w:t xml:space="preserve">employers, for a fee, </w:t>
      </w:r>
      <w:r w:rsidR="006B64FA">
        <w:t xml:space="preserve">generally </w:t>
      </w:r>
      <w:r w:rsidR="00DF50AA">
        <w:t>w</w:t>
      </w:r>
      <w:r w:rsidR="00AB216E">
        <w:t xml:space="preserve">ill be </w:t>
      </w:r>
      <w:r w:rsidR="00DF50AA">
        <w:t>able to make pre-employment queries to the Clearinghouse in lieu of contacting a driver’s previous employers.  This will reduce the time required by</w:t>
      </w:r>
      <w:r w:rsidR="00FB79AD">
        <w:t xml:space="preserve"> prospective</w:t>
      </w:r>
      <w:r w:rsidR="00DF50AA">
        <w:t xml:space="preserve"> employers to complete the pre-employment screening</w:t>
      </w:r>
      <w:r w:rsidR="00FB79AD">
        <w:t>.</w:t>
      </w:r>
    </w:p>
    <w:p w:rsidR="00CA02F9" w:rsidRDefault="00CA02F9">
      <w:pPr>
        <w:pStyle w:val="NormalWeb"/>
        <w:keepNext/>
        <w:rPr>
          <w:rFonts w:ascii="Arial" w:hAnsi="Arial" w:cs="Arial"/>
          <w:b/>
          <w:bCs/>
          <w:szCs w:val="20"/>
        </w:rPr>
      </w:pPr>
      <w:r>
        <w:rPr>
          <w:rFonts w:ascii="Arial" w:hAnsi="Arial" w:cs="Arial"/>
          <w:b/>
          <w:bCs/>
          <w:szCs w:val="20"/>
        </w:rPr>
        <w:t>6. Impact of less frequent collection of information.</w:t>
      </w:r>
    </w:p>
    <w:p w:rsidR="00C1670D" w:rsidRPr="00E14C53" w:rsidRDefault="00354EFA">
      <w:pPr>
        <w:pStyle w:val="NormalWeb"/>
        <w:rPr>
          <w:szCs w:val="20"/>
        </w:rPr>
      </w:pPr>
      <w:r w:rsidRPr="00354EFA">
        <w:rPr>
          <w:szCs w:val="20"/>
        </w:rPr>
        <w:t>F</w:t>
      </w:r>
      <w:r w:rsidR="00CA02F9" w:rsidRPr="00354EFA">
        <w:rPr>
          <w:szCs w:val="20"/>
        </w:rPr>
        <w:t xml:space="preserve">requency is based on the number of </w:t>
      </w:r>
      <w:r w:rsidRPr="00354EFA">
        <w:rPr>
          <w:szCs w:val="20"/>
        </w:rPr>
        <w:t xml:space="preserve">positive drug and alcohol tests. </w:t>
      </w:r>
      <w:r w:rsidR="00E415C3">
        <w:rPr>
          <w:szCs w:val="20"/>
        </w:rPr>
        <w:t>With</w:t>
      </w:r>
      <w:r w:rsidR="009A60C1">
        <w:rPr>
          <w:szCs w:val="20"/>
        </w:rPr>
        <w:t xml:space="preserve"> fewer positive tests,</w:t>
      </w:r>
      <w:r w:rsidRPr="00354EFA">
        <w:rPr>
          <w:szCs w:val="20"/>
        </w:rPr>
        <w:t xml:space="preserve"> the</w:t>
      </w:r>
      <w:r w:rsidR="00E415C3">
        <w:rPr>
          <w:szCs w:val="20"/>
        </w:rPr>
        <w:t xml:space="preserve">re </w:t>
      </w:r>
      <w:r w:rsidR="00CC1ADB">
        <w:rPr>
          <w:szCs w:val="20"/>
        </w:rPr>
        <w:t xml:space="preserve">will </w:t>
      </w:r>
      <w:r w:rsidR="00E415C3">
        <w:rPr>
          <w:szCs w:val="20"/>
        </w:rPr>
        <w:t>be</w:t>
      </w:r>
      <w:r w:rsidRPr="00354EFA">
        <w:rPr>
          <w:szCs w:val="20"/>
        </w:rPr>
        <w:t xml:space="preserve"> less frequent collection of information</w:t>
      </w:r>
      <w:r w:rsidR="00CA02F9" w:rsidRPr="00354EFA">
        <w:rPr>
          <w:szCs w:val="20"/>
        </w:rPr>
        <w:t xml:space="preserve">. </w:t>
      </w:r>
      <w:r w:rsidR="00F762CC">
        <w:rPr>
          <w:szCs w:val="20"/>
        </w:rPr>
        <w:t>All information (except driver-notification</w:t>
      </w:r>
      <w:r w:rsidR="00164054">
        <w:rPr>
          <w:szCs w:val="20"/>
        </w:rPr>
        <w:t>s</w:t>
      </w:r>
      <w:r w:rsidR="00A97342">
        <w:rPr>
          <w:szCs w:val="20"/>
        </w:rPr>
        <w:t xml:space="preserve"> by FMCSA</w:t>
      </w:r>
      <w:r w:rsidR="00F762CC">
        <w:rPr>
          <w:szCs w:val="20"/>
        </w:rPr>
        <w:t xml:space="preserve">) will be transmitted electronically. </w:t>
      </w:r>
    </w:p>
    <w:p w:rsidR="00CA02F9" w:rsidRDefault="00CA02F9" w:rsidP="00977BBD">
      <w:pPr>
        <w:pStyle w:val="NormalWeb"/>
        <w:keepNext/>
        <w:rPr>
          <w:rFonts w:ascii="Arial" w:hAnsi="Arial" w:cs="Arial"/>
        </w:rPr>
      </w:pPr>
      <w:r>
        <w:rPr>
          <w:rFonts w:ascii="Arial" w:hAnsi="Arial" w:cs="Arial"/>
          <w:b/>
          <w:bCs/>
          <w:szCs w:val="20"/>
        </w:rPr>
        <w:t>7. Special circumstances.</w:t>
      </w:r>
      <w:r>
        <w:rPr>
          <w:rFonts w:ascii="Arial" w:hAnsi="Arial" w:cs="Arial"/>
          <w:szCs w:val="20"/>
        </w:rPr>
        <w:t xml:space="preserve"> </w:t>
      </w:r>
    </w:p>
    <w:p w:rsidR="00E14C53" w:rsidRDefault="008F2434">
      <w:pPr>
        <w:pStyle w:val="NormalWeb"/>
      </w:pPr>
      <w:r>
        <w:t>Information collected occurs more frequently than on a quarterly basis as the database is updated with each additional positive test</w:t>
      </w:r>
      <w:r w:rsidR="006B64FA">
        <w:t xml:space="preserve"> (or other violation)</w:t>
      </w:r>
      <w:r>
        <w:t xml:space="preserve"> that occurs. </w:t>
      </w:r>
      <w:r w:rsidR="00164054">
        <w:t>This is to provide employers with the most current information possible to keep unqualified drivers from being re-employed by other motor carriers.</w:t>
      </w:r>
    </w:p>
    <w:p w:rsidR="00CA02F9" w:rsidRDefault="00CA02F9">
      <w:pPr>
        <w:pStyle w:val="NormalWeb"/>
        <w:keepNext/>
        <w:rPr>
          <w:rFonts w:ascii="Arial" w:hAnsi="Arial" w:cs="Arial"/>
          <w:b/>
          <w:bCs/>
          <w:szCs w:val="20"/>
        </w:rPr>
      </w:pPr>
      <w:r>
        <w:rPr>
          <w:rFonts w:ascii="Arial" w:hAnsi="Arial" w:cs="Arial"/>
          <w:b/>
          <w:bCs/>
          <w:szCs w:val="20"/>
        </w:rPr>
        <w:t>8. Compliance with 5 CFR § 1320.8.</w:t>
      </w:r>
    </w:p>
    <w:p w:rsidR="00CA02F9" w:rsidRDefault="00CD5EF9" w:rsidP="009A60C1">
      <w:pPr>
        <w:jc w:val="both"/>
      </w:pPr>
      <w:r>
        <w:t xml:space="preserve">The </w:t>
      </w:r>
      <w:r w:rsidR="009A60C1">
        <w:t xml:space="preserve">NTSB made recommendations to the Agency pertaining to the reporting of </w:t>
      </w:r>
      <w:r w:rsidR="006B64FA">
        <w:t xml:space="preserve">CMV </w:t>
      </w:r>
      <w:r w:rsidR="009A60C1">
        <w:t>driver drug and alcohol</w:t>
      </w:r>
      <w:r w:rsidR="00F94F21">
        <w:t xml:space="preserve"> </w:t>
      </w:r>
      <w:r w:rsidR="009A60C1">
        <w:t xml:space="preserve">testing results. Specifically, the NTSB recommended that the FMCSA “develop a system that records all positive drug and alcohol test results and refusal determinations that are conducted under the USDOT testing requirements, require prospective employers to query the system before making a hiring decision, and require certifying authorities to query the system </w:t>
      </w:r>
      <w:r w:rsidR="009A60C1">
        <w:lastRenderedPageBreak/>
        <w:t xml:space="preserve">before making a certification decision.” This </w:t>
      </w:r>
      <w:r w:rsidR="00CC1ADB">
        <w:t>requirement</w:t>
      </w:r>
      <w:r w:rsidR="00E6374C">
        <w:t xml:space="preserve"> </w:t>
      </w:r>
      <w:r w:rsidR="009A60C1">
        <w:t>addresses the NTSB’s recommendation.</w:t>
      </w:r>
    </w:p>
    <w:p w:rsidR="00B92B29" w:rsidRDefault="00B92B29" w:rsidP="009A60C1">
      <w:pPr>
        <w:jc w:val="both"/>
      </w:pPr>
    </w:p>
    <w:p w:rsidR="00E14C53" w:rsidRDefault="00B92B29" w:rsidP="009A60C1">
      <w:pPr>
        <w:jc w:val="both"/>
        <w:rPr>
          <w:rFonts w:cs="Century"/>
          <w:color w:val="000000"/>
        </w:rPr>
      </w:pPr>
      <w:r w:rsidRPr="002266C0">
        <w:rPr>
          <w:color w:val="000000"/>
        </w:rPr>
        <w:t>Two Government Accountability Office (GAO) reports discuss</w:t>
      </w:r>
      <w:r w:rsidR="00CC1ADB">
        <w:rPr>
          <w:color w:val="000000"/>
        </w:rPr>
        <w:t>ed</w:t>
      </w:r>
      <w:r w:rsidRPr="002266C0">
        <w:rPr>
          <w:color w:val="000000"/>
        </w:rPr>
        <w:t xml:space="preserve"> “job hopping” by drivers after failing</w:t>
      </w:r>
      <w:r>
        <w:rPr>
          <w:color w:val="000000"/>
        </w:rPr>
        <w:t xml:space="preserve">, or refusing to submit to, drug or alcohol </w:t>
      </w:r>
      <w:r w:rsidR="00A13018">
        <w:rPr>
          <w:color w:val="000000"/>
        </w:rPr>
        <w:t xml:space="preserve">tests </w:t>
      </w:r>
      <w:r>
        <w:rPr>
          <w:color w:val="000000"/>
        </w:rPr>
        <w:t xml:space="preserve">(see: </w:t>
      </w:r>
      <w:r w:rsidRPr="002266C0">
        <w:rPr>
          <w:color w:val="000000"/>
        </w:rPr>
        <w:t>GAO</w:t>
      </w:r>
      <w:r>
        <w:rPr>
          <w:color w:val="000000"/>
        </w:rPr>
        <w:noBreakHyphen/>
        <w:t>0</w:t>
      </w:r>
      <w:r w:rsidRPr="002266C0">
        <w:rPr>
          <w:color w:val="000000"/>
        </w:rPr>
        <w:t>8</w:t>
      </w:r>
      <w:r>
        <w:rPr>
          <w:color w:val="000000"/>
        </w:rPr>
        <w:noBreakHyphen/>
      </w:r>
      <w:r w:rsidRPr="002266C0">
        <w:rPr>
          <w:color w:val="000000"/>
        </w:rPr>
        <w:t>600</w:t>
      </w:r>
      <w:r w:rsidR="00516D3A">
        <w:rPr>
          <w:color w:val="000000"/>
        </w:rPr>
        <w:t xml:space="preserve"> (Attachment </w:t>
      </w:r>
      <w:r w:rsidR="00166F40">
        <w:rPr>
          <w:color w:val="000000"/>
        </w:rPr>
        <w:t>B)</w:t>
      </w:r>
      <w:r w:rsidR="00166F40" w:rsidRPr="002266C0">
        <w:rPr>
          <w:color w:val="000000"/>
        </w:rPr>
        <w:t xml:space="preserve"> </w:t>
      </w:r>
      <w:r w:rsidRPr="002266C0">
        <w:rPr>
          <w:color w:val="000000"/>
        </w:rPr>
        <w:t>and GAO-08-0829R</w:t>
      </w:r>
      <w:r w:rsidR="00516D3A">
        <w:rPr>
          <w:color w:val="000000"/>
        </w:rPr>
        <w:t xml:space="preserve"> (Attachment </w:t>
      </w:r>
      <w:r w:rsidR="00166F40">
        <w:rPr>
          <w:color w:val="000000"/>
        </w:rPr>
        <w:t>C))</w:t>
      </w:r>
      <w:r w:rsidR="00166F40" w:rsidRPr="002266C0">
        <w:rPr>
          <w:color w:val="000000"/>
        </w:rPr>
        <w:t xml:space="preserve">. </w:t>
      </w:r>
      <w:r w:rsidRPr="002266C0">
        <w:rPr>
          <w:color w:val="000000"/>
        </w:rPr>
        <w:t xml:space="preserve">The GAO </w:t>
      </w:r>
      <w:r w:rsidRPr="002266C0">
        <w:rPr>
          <w:rFonts w:cs="Century"/>
          <w:color w:val="000000"/>
        </w:rPr>
        <w:t xml:space="preserve">identified </w:t>
      </w:r>
      <w:r>
        <w:rPr>
          <w:rFonts w:cs="Century"/>
          <w:color w:val="000000"/>
        </w:rPr>
        <w:t xml:space="preserve">and verified </w:t>
      </w:r>
      <w:r w:rsidR="00E02372">
        <w:rPr>
          <w:rFonts w:cs="Century"/>
          <w:color w:val="000000"/>
        </w:rPr>
        <w:t>43</w:t>
      </w:r>
      <w:r w:rsidRPr="002266C0">
        <w:rPr>
          <w:rFonts w:cs="Century"/>
          <w:color w:val="000000"/>
        </w:rPr>
        <w:t xml:space="preserve"> cases</w:t>
      </w:r>
      <w:r>
        <w:rPr>
          <w:rFonts w:cs="Century"/>
          <w:color w:val="000000"/>
        </w:rPr>
        <w:t xml:space="preserve"> (based on insider information supplied by a third party to a Congressman) </w:t>
      </w:r>
      <w:r w:rsidRPr="002266C0">
        <w:rPr>
          <w:rFonts w:cs="Century"/>
          <w:color w:val="000000"/>
        </w:rPr>
        <w:t>where drivers had tes</w:t>
      </w:r>
      <w:r>
        <w:rPr>
          <w:rFonts w:cs="Century"/>
          <w:color w:val="000000"/>
        </w:rPr>
        <w:t>ted positive for illegal drugs (</w:t>
      </w:r>
      <w:r w:rsidRPr="002266C0">
        <w:rPr>
          <w:rFonts w:cs="Century"/>
          <w:color w:val="000000"/>
        </w:rPr>
        <w:t>such as cocai</w:t>
      </w:r>
      <w:r>
        <w:rPr>
          <w:rFonts w:cs="Century"/>
          <w:color w:val="000000"/>
        </w:rPr>
        <w:t>ne, marijuana, and amphetamines) with one employer—a</w:t>
      </w:r>
      <w:r w:rsidRPr="002266C0">
        <w:rPr>
          <w:rFonts w:cs="Century"/>
          <w:color w:val="000000"/>
        </w:rPr>
        <w:t xml:space="preserve">nd within </w:t>
      </w:r>
      <w:r>
        <w:rPr>
          <w:rFonts w:cs="Century"/>
          <w:color w:val="000000"/>
        </w:rPr>
        <w:t>one</w:t>
      </w:r>
      <w:r w:rsidRPr="002266C0">
        <w:rPr>
          <w:rFonts w:cs="Century"/>
          <w:color w:val="000000"/>
        </w:rPr>
        <w:t xml:space="preserve"> month tested negative with another employer. </w:t>
      </w:r>
      <w:r>
        <w:rPr>
          <w:rFonts w:cs="Century"/>
          <w:color w:val="000000"/>
        </w:rPr>
        <w:t xml:space="preserve">In its recommendations to Congress, the GAO advocated a national database and this </w:t>
      </w:r>
      <w:r w:rsidR="00CC1ADB">
        <w:rPr>
          <w:rFonts w:cs="Century"/>
          <w:color w:val="000000"/>
        </w:rPr>
        <w:t xml:space="preserve">rule requirement </w:t>
      </w:r>
      <w:r>
        <w:rPr>
          <w:rFonts w:cs="Century"/>
          <w:color w:val="000000"/>
        </w:rPr>
        <w:t>as possible methods to eliminate the job-hopping problems it verified.</w:t>
      </w:r>
      <w:r w:rsidR="00157EEF">
        <w:rPr>
          <w:rFonts w:cs="Century"/>
          <w:color w:val="000000"/>
        </w:rPr>
        <w:t xml:space="preserve"> </w:t>
      </w:r>
      <w:proofErr w:type="gramStart"/>
      <w:r w:rsidR="00157EEF">
        <w:rPr>
          <w:rFonts w:cs="Century"/>
          <w:color w:val="000000"/>
        </w:rPr>
        <w:t>Also, s</w:t>
      </w:r>
      <w:r w:rsidR="00144E66">
        <w:t>ection 32402 of the MAP-21</w:t>
      </w:r>
      <w:r w:rsidR="00157EEF">
        <w:t xml:space="preserve"> (Pub.</w:t>
      </w:r>
      <w:proofErr w:type="gramEnd"/>
      <w:r w:rsidR="00157EEF">
        <w:t xml:space="preserve"> L. 112-141, 126 Stat. 405), codified at 49 U.S.C. 31306a, directs the Secretary of Transportation (Secretary) to establish a national Clearinghouse containing CMV operators’ violations of FMCSA’s drug and alcohol testing program. </w:t>
      </w:r>
      <w:proofErr w:type="gramStart"/>
      <w:r w:rsidR="00C262BA">
        <w:t>The final rule implements that mandate.</w:t>
      </w:r>
      <w:proofErr w:type="gramEnd"/>
    </w:p>
    <w:p w:rsidR="00CA02F9" w:rsidRDefault="00CA02F9" w:rsidP="00977BBD">
      <w:pPr>
        <w:pStyle w:val="NormalWeb"/>
        <w:keepNext/>
        <w:rPr>
          <w:rFonts w:ascii="Arial" w:hAnsi="Arial" w:cs="Arial"/>
          <w:b/>
          <w:bCs/>
          <w:szCs w:val="20"/>
        </w:rPr>
      </w:pPr>
      <w:r>
        <w:rPr>
          <w:rFonts w:ascii="Arial" w:hAnsi="Arial" w:cs="Arial"/>
          <w:b/>
          <w:bCs/>
          <w:szCs w:val="20"/>
        </w:rPr>
        <w:t>9. Payments or gifts to respondents.</w:t>
      </w:r>
    </w:p>
    <w:p w:rsidR="008123C6" w:rsidRPr="00E14C53" w:rsidRDefault="00CA02F9">
      <w:pPr>
        <w:pStyle w:val="NormalWeb"/>
        <w:rPr>
          <w:szCs w:val="20"/>
        </w:rPr>
      </w:pPr>
      <w:r w:rsidRPr="00382CA3">
        <w:rPr>
          <w:szCs w:val="20"/>
        </w:rPr>
        <w:t xml:space="preserve">There are no payments or gifts </w:t>
      </w:r>
      <w:r w:rsidR="00382CA3">
        <w:rPr>
          <w:szCs w:val="20"/>
        </w:rPr>
        <w:t xml:space="preserve">provided </w:t>
      </w:r>
      <w:r w:rsidRPr="00382CA3">
        <w:rPr>
          <w:szCs w:val="20"/>
        </w:rPr>
        <w:t>to respondents for this information collection.</w:t>
      </w:r>
    </w:p>
    <w:p w:rsidR="008C1856" w:rsidRPr="00A32AD5" w:rsidRDefault="00CA02F9" w:rsidP="00977BBD">
      <w:pPr>
        <w:keepNext/>
        <w:rPr>
          <w:rFonts w:ascii="Arial" w:hAnsi="Arial"/>
          <w:b/>
        </w:rPr>
      </w:pPr>
      <w:r w:rsidRPr="00A32AD5">
        <w:rPr>
          <w:rFonts w:ascii="Arial" w:hAnsi="Arial"/>
          <w:b/>
        </w:rPr>
        <w:t>10. Assurances of Confidentiality</w:t>
      </w:r>
      <w:r w:rsidR="008C1856" w:rsidRPr="00A32AD5">
        <w:rPr>
          <w:rFonts w:ascii="Arial" w:hAnsi="Arial"/>
          <w:b/>
        </w:rPr>
        <w:t>.</w:t>
      </w:r>
    </w:p>
    <w:p w:rsidR="008223D8" w:rsidRPr="00A32AD5" w:rsidRDefault="008223D8" w:rsidP="00977BBD">
      <w:pPr>
        <w:keepNext/>
        <w:rPr>
          <w:rFonts w:ascii="Arial" w:hAnsi="Arial"/>
          <w:b/>
        </w:rPr>
      </w:pPr>
    </w:p>
    <w:p w:rsidR="008223D8" w:rsidRPr="00A32AD5" w:rsidRDefault="008223D8" w:rsidP="00B91B1F">
      <w:pPr>
        <w:keepNext/>
        <w:jc w:val="both"/>
        <w:rPr>
          <w:rFonts w:ascii="Arial" w:hAnsi="Arial"/>
          <w:b/>
        </w:rPr>
      </w:pPr>
      <w:r w:rsidRPr="00A32AD5">
        <w:t>There is assurance of confidentiality for items included in this information collection.  They are addressed in detail in the Privacy Impact Analysis (</w:t>
      </w:r>
      <w:r w:rsidR="00C059FD">
        <w:t xml:space="preserve">see </w:t>
      </w:r>
      <w:r w:rsidR="00CC1ADB">
        <w:t>FMCSA-2011-</w:t>
      </w:r>
      <w:r w:rsidR="00B9415B">
        <w:t>0031</w:t>
      </w:r>
      <w:r w:rsidRPr="00A32AD5">
        <w:t>) prepared for this rulemaking.</w:t>
      </w:r>
    </w:p>
    <w:p w:rsidR="00CA02F9" w:rsidRPr="00A32AD5" w:rsidRDefault="00CA02F9">
      <w:pPr>
        <w:pStyle w:val="NormalWeb"/>
        <w:keepNext/>
        <w:rPr>
          <w:rFonts w:ascii="Arial" w:hAnsi="Arial" w:cs="Arial"/>
          <w:b/>
          <w:bCs/>
          <w:szCs w:val="20"/>
        </w:rPr>
      </w:pPr>
      <w:r w:rsidRPr="00A32AD5">
        <w:rPr>
          <w:rFonts w:ascii="Arial" w:hAnsi="Arial" w:cs="Arial"/>
          <w:b/>
          <w:bCs/>
          <w:szCs w:val="20"/>
        </w:rPr>
        <w:t>11. Justification for Sensitive Information.</w:t>
      </w:r>
    </w:p>
    <w:p w:rsidR="008223D8" w:rsidRDefault="008223D8" w:rsidP="008223D8">
      <w:pPr>
        <w:keepNext/>
      </w:pPr>
      <w:r w:rsidRPr="00A32AD5">
        <w:t>This information collection includes Personally Identifiable Information, which is considered sensitive information.  This is addressed in detail in the Privacy Impact Analysis (</w:t>
      </w:r>
      <w:r w:rsidR="00C059FD">
        <w:t xml:space="preserve">see </w:t>
      </w:r>
      <w:r w:rsidR="00CC1ADB">
        <w:t>FMCSA-2011-0031</w:t>
      </w:r>
      <w:r w:rsidRPr="00A32AD5">
        <w:t>) prepared for this rulemaking.</w:t>
      </w:r>
    </w:p>
    <w:p w:rsidR="004015FC" w:rsidRDefault="004015FC" w:rsidP="004015FC">
      <w:pPr>
        <w:pStyle w:val="NormalWeb"/>
        <w:keepNext/>
        <w:rPr>
          <w:rFonts w:ascii="Arial" w:hAnsi="Arial" w:cs="Arial"/>
          <w:b/>
          <w:bCs/>
          <w:szCs w:val="20"/>
        </w:rPr>
      </w:pPr>
      <w:r>
        <w:rPr>
          <w:rFonts w:ascii="Arial" w:hAnsi="Arial"/>
          <w:b/>
        </w:rPr>
        <w:t xml:space="preserve">12. Estimates of Burden Hours </w:t>
      </w:r>
      <w:r w:rsidR="00A17228">
        <w:rPr>
          <w:rFonts w:ascii="Arial" w:hAnsi="Arial"/>
          <w:b/>
        </w:rPr>
        <w:t xml:space="preserve">and Cost </w:t>
      </w:r>
      <w:r>
        <w:rPr>
          <w:rFonts w:ascii="Arial" w:hAnsi="Arial"/>
          <w:b/>
        </w:rPr>
        <w:t>for Information Requested.</w:t>
      </w:r>
      <w:r>
        <w:rPr>
          <w:rFonts w:ascii="Arial" w:hAnsi="Arial" w:cs="Arial"/>
          <w:b/>
          <w:bCs/>
          <w:szCs w:val="20"/>
        </w:rPr>
        <w:t xml:space="preserve"> </w:t>
      </w:r>
    </w:p>
    <w:p w:rsidR="00FE5D78" w:rsidRDefault="00E2136B" w:rsidP="00FE5D78">
      <w:pPr>
        <w:jc w:val="both"/>
      </w:pPr>
      <w:r>
        <w:t xml:space="preserve">During the first three years of implementation of the final rule, </w:t>
      </w:r>
      <w:r w:rsidR="00097876">
        <w:t xml:space="preserve">from </w:t>
      </w:r>
      <w:r>
        <w:t>January 2017 to January 2020, the burden hours and costs imposed on the industry are minimal.  The a</w:t>
      </w:r>
      <w:r w:rsidR="004E350E">
        <w:t xml:space="preserve">nnual burden hours for </w:t>
      </w:r>
      <w:r w:rsidR="00B9415B">
        <w:t>this</w:t>
      </w:r>
      <w:r w:rsidR="004E350E">
        <w:t xml:space="preserve"> rule </w:t>
      </w:r>
      <w:r w:rsidR="00B9415B">
        <w:t xml:space="preserve">requirement </w:t>
      </w:r>
      <w:r>
        <w:t xml:space="preserve">at the time of compliance and beyond is a </w:t>
      </w:r>
      <w:r w:rsidR="00547E02">
        <w:t xml:space="preserve">total </w:t>
      </w:r>
      <w:r>
        <w:t xml:space="preserve">of </w:t>
      </w:r>
      <w:r w:rsidR="00547E02">
        <w:t>1,8</w:t>
      </w:r>
      <w:r w:rsidR="00FB79AD">
        <w:t>64</w:t>
      </w:r>
      <w:r w:rsidR="00547E02">
        <w:t>,</w:t>
      </w:r>
      <w:r w:rsidR="00F71BA8">
        <w:t>251</w:t>
      </w:r>
      <w:r w:rsidR="00547E02">
        <w:t xml:space="preserve"> and </w:t>
      </w:r>
      <w:r w:rsidR="004E350E">
        <w:t xml:space="preserve">can be separated into </w:t>
      </w:r>
      <w:r w:rsidR="00F71BA8">
        <w:t>10</w:t>
      </w:r>
      <w:r w:rsidR="004E350E">
        <w:t xml:space="preserve"> parts</w:t>
      </w:r>
      <w:r w:rsidR="00FE5D78">
        <w:t>.  The estimated cost associated with these burden hours is $6</w:t>
      </w:r>
      <w:r w:rsidR="00F226CA">
        <w:t>1.3</w:t>
      </w:r>
      <w:r w:rsidR="00FE5D78">
        <w:t xml:space="preserve"> million.  The burden hours for specific tasks performed by entities that, report to, or make queries of the Clearinghouse are described below. </w:t>
      </w:r>
    </w:p>
    <w:p w:rsidR="00580B6E" w:rsidRDefault="00580B6E" w:rsidP="004E350E">
      <w:pPr>
        <w:jc w:val="both"/>
      </w:pPr>
    </w:p>
    <w:p w:rsidR="00AF75DD" w:rsidRDefault="00DC46EC" w:rsidP="00B91B1F">
      <w:pPr>
        <w:pStyle w:val="ListParagraph"/>
        <w:numPr>
          <w:ilvl w:val="0"/>
          <w:numId w:val="40"/>
        </w:numPr>
        <w:ind w:left="720"/>
        <w:jc w:val="both"/>
      </w:pPr>
      <w:r>
        <w:t xml:space="preserve">Employers </w:t>
      </w:r>
      <w:r w:rsidR="00B9415B">
        <w:t xml:space="preserve">will </w:t>
      </w:r>
      <w:r w:rsidR="007D6529">
        <w:t xml:space="preserve">make </w:t>
      </w:r>
      <w:r w:rsidR="001A18A5">
        <w:t>5,200,000 limited queries annually (4,000,000 drivers plus an estimated</w:t>
      </w:r>
      <w:r w:rsidR="00635E4A">
        <w:t xml:space="preserve"> </w:t>
      </w:r>
      <w:r w:rsidR="001A18A5">
        <w:t xml:space="preserve">1,200,000 drivers with multiple employers) </w:t>
      </w:r>
      <w:r w:rsidR="007D6529">
        <w:t>to</w:t>
      </w:r>
      <w:r>
        <w:t xml:space="preserve"> the Clearinghouse for each of their drivers. </w:t>
      </w:r>
      <w:r w:rsidR="001A18A5">
        <w:t xml:space="preserve"> A limited query </w:t>
      </w:r>
      <w:r w:rsidR="005206D3">
        <w:t xml:space="preserve">informs the employer that test </w:t>
      </w:r>
      <w:r w:rsidR="00635E4A">
        <w:t>information exists in a driver’s record.</w:t>
      </w:r>
      <w:r w:rsidR="005206D3">
        <w:t xml:space="preserve"> Drivers are required to provide consent for a limited query</w:t>
      </w:r>
      <w:r w:rsidR="00630942">
        <w:t>.</w:t>
      </w:r>
      <w:r w:rsidR="00630942" w:rsidRPr="00630942">
        <w:t xml:space="preserve"> </w:t>
      </w:r>
      <w:r w:rsidR="00630942" w:rsidRPr="007D05D3">
        <w:t>FMCSA envisions that employers w</w:t>
      </w:r>
      <w:r w:rsidR="00630942">
        <w:t>ill</w:t>
      </w:r>
      <w:r w:rsidR="00630942" w:rsidRPr="007D05D3">
        <w:t xml:space="preserve"> obtain </w:t>
      </w:r>
      <w:r w:rsidR="00630942">
        <w:t xml:space="preserve">a </w:t>
      </w:r>
      <w:r w:rsidR="00630942" w:rsidRPr="007D05D3">
        <w:t xml:space="preserve">general </w:t>
      </w:r>
      <w:r w:rsidR="00630942">
        <w:t>consent from drivers when they are hired</w:t>
      </w:r>
      <w:r w:rsidR="00630942" w:rsidRPr="007D05D3">
        <w:t xml:space="preserve"> to conduct a limited query (or queries) from drivers</w:t>
      </w:r>
      <w:r w:rsidR="00630942">
        <w:t xml:space="preserve">.  </w:t>
      </w:r>
      <w:r w:rsidR="005206D3">
        <w:t xml:space="preserve"> </w:t>
      </w:r>
      <w:r w:rsidR="00630942">
        <w:t xml:space="preserve">Therefore, drivers </w:t>
      </w:r>
      <w:r w:rsidR="005206D3">
        <w:t xml:space="preserve">are not required </w:t>
      </w:r>
      <w:r w:rsidR="005206D3">
        <w:lastRenderedPageBreak/>
        <w:t xml:space="preserve">to provide consent </w:t>
      </w:r>
      <w:r w:rsidR="00630942">
        <w:t xml:space="preserve">to a limited query </w:t>
      </w:r>
      <w:r w:rsidR="005206D3">
        <w:t xml:space="preserve">through the Clearinghouse.  </w:t>
      </w:r>
      <w:r w:rsidR="005206D3" w:rsidRPr="005206D3">
        <w:t>The Agency estimates that a “bookkeeping, accounting, or auditing” clerk will spend ten minutes (1/6th of an hour) to conduct a limited query on a single driver. Given 5,200,000 limited queries, the total number of hours spent to complete them is estimated at 867,000 (5,200,000 queries x 1/6 hours per query = 866,667 hours, rounded to the nearest thousand).</w:t>
      </w:r>
      <w:r w:rsidR="00AF75DD">
        <w:t xml:space="preserve">  FMCSA assumes that this task will be performed by a bookkeeping clerk.  The Bureau of Labor Statistics (BLS) estimates the hourly wage (including fringe benefits and overhead) for an individual employed in this capacity is $34.02 per hour.</w:t>
      </w:r>
      <w:r w:rsidR="006A4319">
        <w:rPr>
          <w:rStyle w:val="FootnoteReference"/>
        </w:rPr>
        <w:footnoteReference w:id="1"/>
      </w:r>
      <w:r w:rsidR="00AF75DD">
        <w:t xml:space="preserve">  Therefore the estimated total cost of this task is $29 million ($29 million = 867,000</w:t>
      </w:r>
      <w:r w:rsidR="006A30B4">
        <w:t xml:space="preserve"> hours</w:t>
      </w:r>
      <w:r w:rsidR="00AF75DD">
        <w:t xml:space="preserve"> x $34.02, rounded to the nearest million)</w:t>
      </w:r>
    </w:p>
    <w:p w:rsidR="00DC46EC" w:rsidRDefault="00DC46EC" w:rsidP="00A64EFE">
      <w:pPr>
        <w:pStyle w:val="ListParagraph"/>
        <w:jc w:val="both"/>
      </w:pPr>
    </w:p>
    <w:p w:rsidR="004B4C7C" w:rsidRDefault="00DC46EC" w:rsidP="00D67C87">
      <w:pPr>
        <w:pStyle w:val="ListParagraph"/>
        <w:numPr>
          <w:ilvl w:val="0"/>
          <w:numId w:val="40"/>
        </w:numPr>
        <w:tabs>
          <w:tab w:val="left" w:pos="2340"/>
        </w:tabs>
        <w:ind w:left="720"/>
        <w:jc w:val="both"/>
      </w:pPr>
      <w:r>
        <w:t xml:space="preserve">Employers </w:t>
      </w:r>
      <w:r w:rsidR="00B9415B">
        <w:t xml:space="preserve">will </w:t>
      </w:r>
      <w:r w:rsidR="00997F6E">
        <w:t xml:space="preserve">make full </w:t>
      </w:r>
      <w:r w:rsidR="007866BB">
        <w:t>quer</w:t>
      </w:r>
      <w:r w:rsidR="00997F6E">
        <w:t>ies</w:t>
      </w:r>
      <w:r>
        <w:t xml:space="preserve"> </w:t>
      </w:r>
      <w:r w:rsidR="007866BB">
        <w:t xml:space="preserve">to </w:t>
      </w:r>
      <w:r>
        <w:t>the Clearinghouse as part of the pre-employment screening process of potential</w:t>
      </w:r>
      <w:r w:rsidR="00D3273F">
        <w:t xml:space="preserve"> hires</w:t>
      </w:r>
      <w:r>
        <w:t xml:space="preserve">. FMCSA estimates employers </w:t>
      </w:r>
      <w:r w:rsidR="00B9415B">
        <w:t xml:space="preserve">will </w:t>
      </w:r>
      <w:r>
        <w:t xml:space="preserve">perform a total of </w:t>
      </w:r>
      <w:r w:rsidR="00F71969">
        <w:t>1,996,328</w:t>
      </w:r>
      <w:r>
        <w:t xml:space="preserve"> pre-employment </w:t>
      </w:r>
      <w:r w:rsidR="00997F6E">
        <w:t xml:space="preserve">full </w:t>
      </w:r>
      <w:r>
        <w:t>queries per year.</w:t>
      </w:r>
      <w:r w:rsidR="00630942">
        <w:t xml:space="preserve"> T</w:t>
      </w:r>
      <w:r>
        <w:t xml:space="preserve">he Agency estimates that a bookkeeping clerk </w:t>
      </w:r>
      <w:r w:rsidR="00B9415B">
        <w:t xml:space="preserve">will </w:t>
      </w:r>
      <w:r>
        <w:t xml:space="preserve">spend ten minutes (1/6th of an hour) to conduct a </w:t>
      </w:r>
      <w:r w:rsidR="00630942">
        <w:t xml:space="preserve">full </w:t>
      </w:r>
      <w:r>
        <w:t xml:space="preserve">query on a single driver. Given </w:t>
      </w:r>
      <w:r w:rsidR="00F71969">
        <w:t>1,996,328</w:t>
      </w:r>
      <w:r>
        <w:t xml:space="preserve"> queries, the total number of hours spent to complete them is estimated at </w:t>
      </w:r>
      <w:r w:rsidR="00550B57">
        <w:t>3</w:t>
      </w:r>
      <w:r w:rsidR="00F71969">
        <w:t>33</w:t>
      </w:r>
      <w:r w:rsidR="00550B57">
        <w:t>,000</w:t>
      </w:r>
      <w:r>
        <w:t xml:space="preserve"> (</w:t>
      </w:r>
      <w:r w:rsidR="006A4319">
        <w:t xml:space="preserve">332,751 = </w:t>
      </w:r>
      <w:r w:rsidR="00550B57">
        <w:t>1,</w:t>
      </w:r>
      <w:r w:rsidR="00F71969">
        <w:t>996,328</w:t>
      </w:r>
      <w:r>
        <w:t xml:space="preserve"> queries x 1/6 hours per query</w:t>
      </w:r>
      <w:r w:rsidR="006A4319">
        <w:t>,</w:t>
      </w:r>
      <w:r w:rsidR="00550B57">
        <w:t xml:space="preserve"> rounded to the nearest thousand</w:t>
      </w:r>
      <w:r>
        <w:t>).</w:t>
      </w:r>
      <w:r w:rsidR="00AF75DD">
        <w:t xml:space="preserve">  Based on the BLS $34.02 per hour wage</w:t>
      </w:r>
      <w:r w:rsidR="00661C50">
        <w:t xml:space="preserve"> for a bookkeeping clerk, t</w:t>
      </w:r>
      <w:r w:rsidR="00AF75DD">
        <w:t>he estimated cost of performing this task is $11 million</w:t>
      </w:r>
      <w:r>
        <w:t xml:space="preserve"> </w:t>
      </w:r>
      <w:r w:rsidR="00661C50">
        <w:t>($11</w:t>
      </w:r>
      <w:r w:rsidR="00D3273F">
        <w:t>,</w:t>
      </w:r>
      <w:r w:rsidR="00661C50">
        <w:t>3</w:t>
      </w:r>
      <w:r w:rsidR="00D3273F">
        <w:t>28,660</w:t>
      </w:r>
      <w:r w:rsidR="00661C50">
        <w:t xml:space="preserve"> million</w:t>
      </w:r>
      <w:r w:rsidR="00D3273F">
        <w:t xml:space="preserve"> </w:t>
      </w:r>
      <w:r w:rsidR="00661C50">
        <w:t>= 333,000</w:t>
      </w:r>
      <w:r w:rsidR="006A30B4">
        <w:t xml:space="preserve"> hours </w:t>
      </w:r>
      <w:r w:rsidR="00661C50">
        <w:t>x $34.02, round to the nearest million).</w:t>
      </w:r>
    </w:p>
    <w:p w:rsidR="00DC46EC" w:rsidRDefault="00DC46EC" w:rsidP="00D67C87">
      <w:pPr>
        <w:tabs>
          <w:tab w:val="left" w:pos="2340"/>
        </w:tabs>
        <w:ind w:left="720"/>
        <w:jc w:val="both"/>
      </w:pPr>
    </w:p>
    <w:p w:rsidR="004B4C7C" w:rsidRDefault="00DC46EC" w:rsidP="00D67C87">
      <w:pPr>
        <w:pStyle w:val="ListParagraph"/>
        <w:numPr>
          <w:ilvl w:val="0"/>
          <w:numId w:val="40"/>
        </w:numPr>
        <w:tabs>
          <w:tab w:val="left" w:pos="2340"/>
        </w:tabs>
        <w:ind w:left="720"/>
        <w:jc w:val="both"/>
      </w:pPr>
      <w:r>
        <w:t xml:space="preserve">Employers </w:t>
      </w:r>
      <w:r w:rsidR="006B64FA">
        <w:t xml:space="preserve">may </w:t>
      </w:r>
      <w:r>
        <w:t>designate C/TPAs</w:t>
      </w:r>
      <w:r w:rsidR="006B64FA">
        <w:t xml:space="preserve"> to query and/or report to</w:t>
      </w:r>
      <w:r>
        <w:t xml:space="preserve"> the Clearinghouse</w:t>
      </w:r>
      <w:r w:rsidR="006B64FA">
        <w:t xml:space="preserve"> on their behalf</w:t>
      </w:r>
      <w:r>
        <w:t xml:space="preserve">. </w:t>
      </w:r>
      <w:r w:rsidR="00630942">
        <w:t xml:space="preserve"> </w:t>
      </w:r>
      <w:r>
        <w:t xml:space="preserve">FMCSA estimates that a bookkeeping clerk </w:t>
      </w:r>
      <w:r w:rsidR="00B9415B">
        <w:t xml:space="preserve">will </w:t>
      </w:r>
      <w:r>
        <w:t xml:space="preserve">spend ten minutes (1/6th of an hour) to designate a C/TPA. If each of the 520,000 motor carriers designate a C/TPA, then the total number of hours spent to fulfill this requirement is estimated to be </w:t>
      </w:r>
      <w:r w:rsidR="00F92A3F">
        <w:t>87,000</w:t>
      </w:r>
      <w:r>
        <w:t xml:space="preserve"> (520,000 designations x 1/6 hours per designation = 86,667 hours</w:t>
      </w:r>
      <w:r w:rsidR="00F92A3F">
        <w:t>, rounded to the nearest thousand)</w:t>
      </w:r>
      <w:r>
        <w:t xml:space="preserve">. </w:t>
      </w:r>
      <w:r w:rsidR="00661C50">
        <w:t>Based on the BLS $34.02 per hour wage for a bookkeeping clerk, the estimated cost of performing this task is $3 million ($2</w:t>
      </w:r>
      <w:r w:rsidR="00D3273F">
        <w:t>,</w:t>
      </w:r>
      <w:r w:rsidR="00661C50">
        <w:t>9</w:t>
      </w:r>
      <w:r w:rsidR="00D3273F">
        <w:t>48,411</w:t>
      </w:r>
      <w:r w:rsidR="00661C50">
        <w:t xml:space="preserve"> million = </w:t>
      </w:r>
      <w:r w:rsidR="006A30B4">
        <w:t>86,667 hours</w:t>
      </w:r>
      <w:r w:rsidR="00661C50">
        <w:t xml:space="preserve"> x $34.02, round to the nearest million).</w:t>
      </w:r>
    </w:p>
    <w:p w:rsidR="00DC46EC" w:rsidRDefault="00DC46EC" w:rsidP="00D67C87">
      <w:pPr>
        <w:tabs>
          <w:tab w:val="left" w:pos="2340"/>
        </w:tabs>
        <w:ind w:left="720"/>
        <w:jc w:val="both"/>
      </w:pPr>
    </w:p>
    <w:p w:rsidR="004B4C7C" w:rsidRDefault="00254CD9" w:rsidP="00D67C87">
      <w:pPr>
        <w:pStyle w:val="ListParagraph"/>
        <w:numPr>
          <w:ilvl w:val="0"/>
          <w:numId w:val="40"/>
        </w:numPr>
        <w:tabs>
          <w:tab w:val="left" w:pos="2340"/>
        </w:tabs>
        <w:ind w:left="720"/>
        <w:jc w:val="both"/>
      </w:pPr>
      <w:r w:rsidRPr="00D059E5">
        <w:t xml:space="preserve">SAPs </w:t>
      </w:r>
      <w:r w:rsidR="00B9415B">
        <w:t xml:space="preserve">will </w:t>
      </w:r>
      <w:r>
        <w:t>be</w:t>
      </w:r>
      <w:r w:rsidRPr="00D059E5">
        <w:t xml:space="preserve"> require</w:t>
      </w:r>
      <w:r>
        <w:t>d</w:t>
      </w:r>
      <w:r w:rsidRPr="00D059E5">
        <w:t xml:space="preserve"> to </w:t>
      </w:r>
      <w:r w:rsidR="001D2821">
        <w:t>input</w:t>
      </w:r>
      <w:r w:rsidRPr="00D059E5">
        <w:t xml:space="preserve"> information to the Clearinghouse about driver</w:t>
      </w:r>
      <w:r>
        <w:t xml:space="preserve">s initiating and completing the return-to-duty process. FMCSA estimates that </w:t>
      </w:r>
      <w:r w:rsidR="00F71969">
        <w:t>55,580</w:t>
      </w:r>
      <w:r>
        <w:t xml:space="preserve"> drivers </w:t>
      </w:r>
      <w:r w:rsidR="00B9415B">
        <w:t xml:space="preserve">will </w:t>
      </w:r>
      <w:r>
        <w:t xml:space="preserve">be required to have their information </w:t>
      </w:r>
      <w:r w:rsidR="00342E95">
        <w:t>input</w:t>
      </w:r>
      <w:r>
        <w:t xml:space="preserve"> by an SAP. The Agency estimates that SAPs </w:t>
      </w:r>
      <w:r w:rsidR="00B9415B">
        <w:t xml:space="preserve">will </w:t>
      </w:r>
      <w:r>
        <w:t xml:space="preserve">spend a total of ten minutes </w:t>
      </w:r>
      <w:r w:rsidRPr="007A6D11">
        <w:t>(1/6</w:t>
      </w:r>
      <w:r w:rsidRPr="00926714">
        <w:rPr>
          <w:vertAlign w:val="superscript"/>
        </w:rPr>
        <w:t>th</w:t>
      </w:r>
      <w:r w:rsidRPr="007A6D11">
        <w:t xml:space="preserve"> of an hour) </w:t>
      </w:r>
      <w:r>
        <w:t>entering driver information</w:t>
      </w:r>
      <w:r w:rsidR="00F71969">
        <w:t xml:space="preserve"> upon completion of an initial assessment</w:t>
      </w:r>
      <w:r w:rsidR="006A4319">
        <w:t>.</w:t>
      </w:r>
      <w:r w:rsidR="00F71969">
        <w:t xml:space="preserve"> </w:t>
      </w:r>
      <w:r>
        <w:t xml:space="preserve"> Therefore, the total number of hours spent to fulfill this requirement is estimated at </w:t>
      </w:r>
      <w:r w:rsidR="00743F13">
        <w:t xml:space="preserve">9,000 </w:t>
      </w:r>
      <w:r w:rsidR="00630942">
        <w:t>(</w:t>
      </w:r>
      <w:r w:rsidR="006A4319">
        <w:t xml:space="preserve">9,263 = </w:t>
      </w:r>
      <w:r w:rsidR="00743F13">
        <w:t>55,580</w:t>
      </w:r>
      <w:r>
        <w:t xml:space="preserve"> designations x 1/6 hours per designation</w:t>
      </w:r>
      <w:r w:rsidR="00BC3BA9">
        <w:t>, rounded to the nearest thousand</w:t>
      </w:r>
      <w:r>
        <w:t>).</w:t>
      </w:r>
      <w:r w:rsidR="006A30B4">
        <w:t xml:space="preserve">  FMCSA assumes that this task will be performed by an Occupational Health and Safety Specialist. The BLS estimated hourly wage with fringe benefits and overhead </w:t>
      </w:r>
      <w:r w:rsidR="006A4319">
        <w:t>for th</w:t>
      </w:r>
      <w:r w:rsidR="006A30B4">
        <w:t>is</w:t>
      </w:r>
      <w:r w:rsidR="006A4319">
        <w:t xml:space="preserve"> occupation is</w:t>
      </w:r>
      <w:r w:rsidR="006A30B4">
        <w:t xml:space="preserve"> $64.65 per hour.  The </w:t>
      </w:r>
      <w:r w:rsidR="006A30B4">
        <w:lastRenderedPageBreak/>
        <w:t xml:space="preserve">estimated cost for SAPs to complete this task is $600,000 ($599,000 = 9,000 hours  x $64.65, rounded to the near hundred thousand) </w:t>
      </w:r>
    </w:p>
    <w:p w:rsidR="00DC46EC" w:rsidRDefault="00DC46EC" w:rsidP="00D67C87">
      <w:pPr>
        <w:tabs>
          <w:tab w:val="left" w:pos="2340"/>
        </w:tabs>
        <w:ind w:left="720"/>
        <w:jc w:val="both"/>
      </w:pPr>
    </w:p>
    <w:p w:rsidR="000B7BE2" w:rsidRDefault="00DC46EC" w:rsidP="00D67C87">
      <w:pPr>
        <w:pStyle w:val="ListParagraph"/>
        <w:numPr>
          <w:ilvl w:val="0"/>
          <w:numId w:val="40"/>
        </w:numPr>
        <w:tabs>
          <w:tab w:val="left" w:pos="2340"/>
        </w:tabs>
        <w:ind w:left="720"/>
        <w:jc w:val="both"/>
      </w:pPr>
      <w:r>
        <w:t xml:space="preserve">MROs, SAPs, C/TPAs, and employers </w:t>
      </w:r>
      <w:r w:rsidR="00B9415B">
        <w:t xml:space="preserve">will </w:t>
      </w:r>
      <w:r>
        <w:t>be required to report</w:t>
      </w:r>
      <w:r w:rsidR="00214F63">
        <w:t xml:space="preserve"> information</w:t>
      </w:r>
      <w:r>
        <w:t xml:space="preserve"> </w:t>
      </w:r>
      <w:r w:rsidR="00164054">
        <w:t>to the Clearinghouse</w:t>
      </w:r>
      <w:r>
        <w:t xml:space="preserve">. The number of reports total </w:t>
      </w:r>
      <w:r w:rsidR="00F92A3F">
        <w:t>1</w:t>
      </w:r>
      <w:r w:rsidR="00AD3E7B">
        <w:t>17</w:t>
      </w:r>
      <w:r w:rsidR="00F92A3F">
        <w:t>,000</w:t>
      </w:r>
      <w:r>
        <w:t xml:space="preserve"> (</w:t>
      </w:r>
      <w:r w:rsidR="00AD3E7B">
        <w:t>52,000</w:t>
      </w:r>
      <w:r>
        <w:t xml:space="preserve"> positive </w:t>
      </w:r>
      <w:r w:rsidR="00BC3BA9">
        <w:t xml:space="preserve">drug </w:t>
      </w:r>
      <w:r>
        <w:t>test</w:t>
      </w:r>
      <w:r w:rsidR="00BC3BA9">
        <w:t>s</w:t>
      </w:r>
      <w:r>
        <w:t xml:space="preserve"> </w:t>
      </w:r>
      <w:r w:rsidR="00C1468A">
        <w:t xml:space="preserve">and </w:t>
      </w:r>
      <w:r w:rsidR="00997F6E">
        <w:t>failures to appear</w:t>
      </w:r>
      <w:r>
        <w:t xml:space="preserve"> reported by MROs to the Clearinghouse, </w:t>
      </w:r>
      <w:r w:rsidR="00F92A3F">
        <w:t>6,</w:t>
      </w:r>
      <w:r w:rsidR="00AD3E7B">
        <w:t>5</w:t>
      </w:r>
      <w:r w:rsidR="00F92A3F">
        <w:t>00</w:t>
      </w:r>
      <w:r>
        <w:t xml:space="preserve"> alcohol test results</w:t>
      </w:r>
      <w:r w:rsidR="00C1468A">
        <w:t xml:space="preserve"> and </w:t>
      </w:r>
      <w:r w:rsidR="00997F6E">
        <w:t xml:space="preserve">failures to appear </w:t>
      </w:r>
      <w:r>
        <w:t xml:space="preserve">reported by employers or C/TPAs to the Clearinghouse, and </w:t>
      </w:r>
      <w:r w:rsidR="00AD3E7B">
        <w:t>5</w:t>
      </w:r>
      <w:r w:rsidR="00BC3BA9">
        <w:t>5</w:t>
      </w:r>
      <w:r w:rsidR="00AD3E7B">
        <w:t>,</w:t>
      </w:r>
      <w:r w:rsidR="00BC3BA9">
        <w:t>8</w:t>
      </w:r>
      <w:r w:rsidR="00AD3E7B">
        <w:t>00</w:t>
      </w:r>
      <w:r>
        <w:t xml:space="preserve"> </w:t>
      </w:r>
      <w:r w:rsidR="00164054">
        <w:t>return-to-duty</w:t>
      </w:r>
      <w:r>
        <w:t xml:space="preserve"> reports to the Clearinghouse by SAPs). The Agency estimates that a bookkeeping clerk </w:t>
      </w:r>
      <w:r w:rsidR="00B9415B">
        <w:t xml:space="preserve">will </w:t>
      </w:r>
      <w:r>
        <w:t xml:space="preserve">spend ten minutes to report positive test results, report information on </w:t>
      </w:r>
      <w:r w:rsidR="00630942">
        <w:t>a driver’s failure to appear for a test</w:t>
      </w:r>
      <w:r>
        <w:t xml:space="preserve">, or report information on treatment processes to the Clearinghouse. In sum, </w:t>
      </w:r>
      <w:r w:rsidR="00F92A3F">
        <w:t>2</w:t>
      </w:r>
      <w:r w:rsidR="00AD3E7B">
        <w:t>0</w:t>
      </w:r>
      <w:r w:rsidR="00F92A3F">
        <w:t>,000</w:t>
      </w:r>
      <w:r>
        <w:t xml:space="preserve"> hours </w:t>
      </w:r>
      <w:r w:rsidR="00B9415B">
        <w:t xml:space="preserve">will </w:t>
      </w:r>
      <w:r>
        <w:t>be spent on reporting test results to the Clearinghouse (</w:t>
      </w:r>
      <w:r w:rsidR="006A30B4">
        <w:t xml:space="preserve">19,500 hours = </w:t>
      </w:r>
      <w:r w:rsidR="00F92A3F">
        <w:t>1</w:t>
      </w:r>
      <w:r w:rsidR="00AD3E7B">
        <w:t>17</w:t>
      </w:r>
      <w:r w:rsidR="00F92A3F">
        <w:t>,000</w:t>
      </w:r>
      <w:r>
        <w:t xml:space="preserve"> reports x 1/6 hours per report</w:t>
      </w:r>
      <w:r w:rsidR="008F718D">
        <w:t>, rounded to the nearest thousand</w:t>
      </w:r>
      <w:r>
        <w:t>).</w:t>
      </w:r>
      <w:r w:rsidR="00511052">
        <w:t xml:space="preserve">  The estimated cost for this task is $700,000 ($663,390 = 19,500 hours x $34.02, rounded to the nearest hundred thousand).</w:t>
      </w:r>
    </w:p>
    <w:p w:rsidR="000B7BE2" w:rsidRDefault="000B7BE2" w:rsidP="00B91B1F">
      <w:pPr>
        <w:pStyle w:val="ListParagraph"/>
      </w:pPr>
    </w:p>
    <w:p w:rsidR="000B7BE2" w:rsidRDefault="000B7BE2" w:rsidP="00B91B1F">
      <w:pPr>
        <w:pStyle w:val="ListParagraph"/>
        <w:numPr>
          <w:ilvl w:val="0"/>
          <w:numId w:val="40"/>
        </w:numPr>
        <w:tabs>
          <w:tab w:val="left" w:pos="2340"/>
        </w:tabs>
        <w:ind w:left="720"/>
        <w:jc w:val="both"/>
      </w:pPr>
      <w:r>
        <w:t>Employers, C/TPAs, MROs, and SAPs will be required to register and become familiar with the new processes and requirements of the Clearinghouse. Given 520,000 carriers, the Agency estimates there will be 5000 C/TPAs, 11,000 MROs, and 15,000 SAPs that will be required to fulfill these requirements. FMCSA estimates that it will take a bookkeeping clerk ten minutes (1/6th of an hour) to register and receive credentials and another ten minutes to become familiar with the new processes. Given 551,000 such instances of registration, reception of credentials, and familiarization, the total number of hours spent to fulfill this requirement is estimated at 183,667 (</w:t>
      </w:r>
      <w:r w:rsidR="00D2577C">
        <w:t xml:space="preserve">183,667 = </w:t>
      </w:r>
      <w:r>
        <w:t>551,000 registration-familiarizations x 1/3 hours per registration-familiarization</w:t>
      </w:r>
      <w:r w:rsidR="00D2577C">
        <w:t>)</w:t>
      </w:r>
      <w:r>
        <w:t>. However, the Agency assumes that these entities do not have to register and become familiar with the rules annually, but instead only once every four years. The 183,667 hours dedicated to registration and familiarization every four years amounts to 45,917 hours annually (45,917 = 183,667 / 4).  FMCSA assumes a $34.02 per hour wage for a bookkeeper clerk assigned this task.  The estimated cost of these tasks is $</w:t>
      </w:r>
      <w:r w:rsidR="007E65F8">
        <w:t xml:space="preserve">1 </w:t>
      </w:r>
      <w:r>
        <w:t xml:space="preserve">million ($1,562,096 = 45,917 hours x $34.02, rounded to the nearest million). </w:t>
      </w:r>
    </w:p>
    <w:p w:rsidR="00511052" w:rsidRDefault="00511052" w:rsidP="00B91B1F">
      <w:pPr>
        <w:pStyle w:val="ListParagraph"/>
        <w:tabs>
          <w:tab w:val="left" w:pos="2340"/>
        </w:tabs>
        <w:jc w:val="both"/>
      </w:pPr>
    </w:p>
    <w:p w:rsidR="004B4C7C" w:rsidRDefault="000B7BE2" w:rsidP="00D67C87">
      <w:pPr>
        <w:pStyle w:val="ListParagraph"/>
        <w:numPr>
          <w:ilvl w:val="0"/>
          <w:numId w:val="40"/>
        </w:numPr>
        <w:tabs>
          <w:tab w:val="left" w:pos="2340"/>
        </w:tabs>
        <w:ind w:left="720"/>
        <w:jc w:val="both"/>
      </w:pPr>
      <w:r>
        <w:t>E</w:t>
      </w:r>
      <w:r w:rsidR="00DC46EC">
        <w:t xml:space="preserve">mployers and C/TPAs must verify the names of persons authorized to </w:t>
      </w:r>
      <w:r w:rsidR="008F41E4">
        <w:t>r</w:t>
      </w:r>
      <w:r w:rsidR="00DC46EC">
        <w:t xml:space="preserve">eport and obtain information from the Clearinghouse. </w:t>
      </w:r>
      <w:r w:rsidR="00343458">
        <w:t xml:space="preserve">If each employer authorizes one person, and one quarter of employers authorize an additional second person, then employers will verify 650,000 people (520,000 + (520,000 x ¼) = 520,000 + 130,000 = 650,000). </w:t>
      </w:r>
      <w:r w:rsidR="00AD7857">
        <w:t xml:space="preserve">If each C/TPA authorizes one person, then the </w:t>
      </w:r>
      <w:r w:rsidR="00343458">
        <w:t xml:space="preserve">total </w:t>
      </w:r>
      <w:r w:rsidR="00AD7857">
        <w:t>number of verifications is estimated to be 655,000</w:t>
      </w:r>
      <w:r w:rsidR="00343458">
        <w:t xml:space="preserve"> (650,000 for employers + 5,000 for C/TPAs)</w:t>
      </w:r>
      <w:r w:rsidR="00AD7857">
        <w:t xml:space="preserve">.  </w:t>
      </w:r>
      <w:r w:rsidR="00D01323">
        <w:t xml:space="preserve">Further, the </w:t>
      </w:r>
      <w:r w:rsidR="00DC46EC">
        <w:t xml:space="preserve">FMCSA estimates that it </w:t>
      </w:r>
      <w:r w:rsidR="00B9415B">
        <w:t xml:space="preserve">will </w:t>
      </w:r>
      <w:r w:rsidR="00DC46EC">
        <w:t>take a bookkeeping clerk ten minutes (1/6th of an hour) to verify each person authorized</w:t>
      </w:r>
      <w:r w:rsidR="00630942">
        <w:t>.  T</w:t>
      </w:r>
      <w:r w:rsidR="00DC46EC">
        <w:t>he total number of hours spent to fulfill this requirement is 109</w:t>
      </w:r>
      <w:r w:rsidR="00A40313">
        <w:t>,167 (109,167 = 6</w:t>
      </w:r>
      <w:r w:rsidR="00DC46EC">
        <w:t>55,000 x 1/6 hours per registration-familiarization</w:t>
      </w:r>
      <w:r w:rsidR="00A40313">
        <w:t>, rounded to nearest thousand</w:t>
      </w:r>
      <w:r w:rsidR="00DC46EC">
        <w:t>).</w:t>
      </w:r>
      <w:r>
        <w:t xml:space="preserve">  The estimate cost for these tasks performed by a bookkeeper clerk at $34.02 per hour is $4 million ($3,713,861, rounded to the nearest million).</w:t>
      </w:r>
    </w:p>
    <w:p w:rsidR="004B4C7C" w:rsidRDefault="004B4C7C" w:rsidP="00926714">
      <w:pPr>
        <w:tabs>
          <w:tab w:val="left" w:pos="2340"/>
        </w:tabs>
        <w:ind w:left="720"/>
        <w:jc w:val="both"/>
      </w:pPr>
    </w:p>
    <w:p w:rsidR="004B4C7C" w:rsidRDefault="007866BB" w:rsidP="00B91B1F">
      <w:pPr>
        <w:pStyle w:val="ListParagraph"/>
        <w:numPr>
          <w:ilvl w:val="0"/>
          <w:numId w:val="40"/>
        </w:numPr>
        <w:ind w:left="720"/>
        <w:jc w:val="both"/>
      </w:pPr>
      <w:r>
        <w:t>Item (</w:t>
      </w:r>
      <w:r w:rsidR="008F41E4">
        <w:t>a</w:t>
      </w:r>
      <w:r>
        <w:t>)</w:t>
      </w:r>
      <w:r w:rsidR="00FF61B1">
        <w:t xml:space="preserve"> above,</w:t>
      </w:r>
      <w:r w:rsidR="00887653">
        <w:t xml:space="preserve"> </w:t>
      </w:r>
      <w:r>
        <w:t>describe</w:t>
      </w:r>
      <w:r w:rsidR="00887653">
        <w:t>s</w:t>
      </w:r>
      <w:r>
        <w:t xml:space="preserve"> </w:t>
      </w:r>
      <w:r w:rsidR="00420A3F">
        <w:t xml:space="preserve">how employers’ cost of performing annual queries is </w:t>
      </w:r>
      <w:r w:rsidR="00EF283C">
        <w:t xml:space="preserve">estimated. </w:t>
      </w:r>
      <w:r w:rsidR="008F41E4">
        <w:t>Drivers will also incur time-related costs to comply with th</w:t>
      </w:r>
      <w:r w:rsidR="00EF283C">
        <w:t xml:space="preserve">e requirement </w:t>
      </w:r>
      <w:r w:rsidR="008F41E4">
        <w:t>of the</w:t>
      </w:r>
      <w:r w:rsidR="00EF283C">
        <w:t xml:space="preserve"> annual query process for which they are responsible.</w:t>
      </w:r>
      <w:r>
        <w:t xml:space="preserve"> </w:t>
      </w:r>
      <w:r w:rsidR="00F00321">
        <w:t xml:space="preserve"> FMCSA assumes that </w:t>
      </w:r>
      <w:r w:rsidR="00887653">
        <w:t xml:space="preserve">all </w:t>
      </w:r>
      <w:r w:rsidR="00F00321">
        <w:t xml:space="preserve">employers will </w:t>
      </w:r>
      <w:r w:rsidR="00887653">
        <w:lastRenderedPageBreak/>
        <w:t xml:space="preserve">initially </w:t>
      </w:r>
      <w:r w:rsidR="00F00321">
        <w:t>make limited queries to comply with the annual query requirement</w:t>
      </w:r>
      <w:r w:rsidR="00887653">
        <w:t xml:space="preserve">. </w:t>
      </w:r>
      <w:r w:rsidR="007D05D3" w:rsidRPr="007D05D3">
        <w:t xml:space="preserve">FMCSA </w:t>
      </w:r>
      <w:r w:rsidR="00721566">
        <w:t xml:space="preserve">assumes </w:t>
      </w:r>
      <w:r w:rsidR="007D05D3" w:rsidRPr="007D05D3">
        <w:t>that employers w</w:t>
      </w:r>
      <w:r w:rsidR="006D4611">
        <w:t>ill</w:t>
      </w:r>
      <w:r w:rsidR="007D05D3" w:rsidRPr="007D05D3">
        <w:t xml:space="preserve"> obtain </w:t>
      </w:r>
      <w:r w:rsidR="007D05D3">
        <w:t xml:space="preserve">a </w:t>
      </w:r>
      <w:r w:rsidR="007D05D3" w:rsidRPr="007D05D3">
        <w:t xml:space="preserve">general </w:t>
      </w:r>
      <w:r w:rsidR="007D05D3">
        <w:t>consent</w:t>
      </w:r>
      <w:r w:rsidR="006D4611">
        <w:t xml:space="preserve"> from drivers when they are hired</w:t>
      </w:r>
      <w:r w:rsidR="00EF283C">
        <w:t xml:space="preserve"> that will serve as drivers’ consent for the employer to make </w:t>
      </w:r>
      <w:proofErr w:type="gramStart"/>
      <w:r w:rsidR="00EF283C">
        <w:t>a be</w:t>
      </w:r>
      <w:proofErr w:type="gramEnd"/>
      <w:r w:rsidR="00EF283C">
        <w:t xml:space="preserve"> </w:t>
      </w:r>
      <w:r w:rsidR="007D05D3" w:rsidRPr="007D05D3">
        <w:t xml:space="preserve">a limited </w:t>
      </w:r>
      <w:r w:rsidR="00721566">
        <w:t xml:space="preserve">annual </w:t>
      </w:r>
      <w:r w:rsidR="007D05D3" w:rsidRPr="007D05D3">
        <w:t>query (or queries) from drivers at the time</w:t>
      </w:r>
      <w:r w:rsidR="00721566">
        <w:t xml:space="preserve"> they submit an employment application</w:t>
      </w:r>
      <w:r w:rsidR="006D4611">
        <w:t>.</w:t>
      </w:r>
      <w:r w:rsidR="00271586">
        <w:t xml:space="preserve">  </w:t>
      </w:r>
      <w:r w:rsidR="00D2577C">
        <w:t>T</w:t>
      </w:r>
      <w:r w:rsidR="00FF61B1">
        <w:t xml:space="preserve">he Agency </w:t>
      </w:r>
      <w:r w:rsidR="00EF283C">
        <w:t>believes this is not a new requirement created by the rule.  Normal hiring processes typically require</w:t>
      </w:r>
      <w:r w:rsidR="00721566">
        <w:t xml:space="preserve"> </w:t>
      </w:r>
      <w:r w:rsidR="00EF283C">
        <w:t xml:space="preserve">job applicants to provide their employment history, including supervisors whom the employer may contact for </w:t>
      </w:r>
      <w:r w:rsidR="00721566">
        <w:t>history of job-</w:t>
      </w:r>
      <w:r w:rsidR="00EF283C">
        <w:t xml:space="preserve">performance </w:t>
      </w:r>
      <w:r w:rsidR="00721566">
        <w:t>and drug and alcohol violations.</w:t>
      </w:r>
      <w:r w:rsidR="007D05D3">
        <w:t xml:space="preserve"> </w:t>
      </w:r>
      <w:r w:rsidR="008F41E4">
        <w:t xml:space="preserve">Driver </w:t>
      </w:r>
      <w:r w:rsidR="00721566">
        <w:t xml:space="preserve">must </w:t>
      </w:r>
      <w:r w:rsidR="008F41E4">
        <w:t>consent</w:t>
      </w:r>
      <w:r w:rsidR="00721566">
        <w:t xml:space="preserve">, via the Clearinghouse, to an employer’s request for </w:t>
      </w:r>
      <w:r w:rsidR="00271586">
        <w:t xml:space="preserve">a full annual query before the driver’s information is made available to the employer.  </w:t>
      </w:r>
      <w:r w:rsidR="00721566">
        <w:t>Therefore, d</w:t>
      </w:r>
      <w:r w:rsidR="00271586">
        <w:t>rivers’</w:t>
      </w:r>
      <w:r w:rsidR="00721566">
        <w:t xml:space="preserve"> time required to </w:t>
      </w:r>
      <w:r w:rsidR="00271586">
        <w:t xml:space="preserve">consent for performing a full annual query is </w:t>
      </w:r>
      <w:r w:rsidR="00721566">
        <w:t>treated as a</w:t>
      </w:r>
      <w:r w:rsidR="00271586">
        <w:t xml:space="preserve"> cost</w:t>
      </w:r>
      <w:r w:rsidR="00721566">
        <w:t xml:space="preserve"> of the rule.</w:t>
      </w:r>
      <w:r w:rsidR="00271586">
        <w:t xml:space="preserve">  </w:t>
      </w:r>
      <w:r w:rsidR="007D05D3">
        <w:t>T</w:t>
      </w:r>
      <w:r w:rsidR="00DC46EC">
        <w:t xml:space="preserve">he Agency estimates that </w:t>
      </w:r>
      <w:r w:rsidR="008F41E4">
        <w:t>driver consent</w:t>
      </w:r>
      <w:r w:rsidR="00721566">
        <w:t>s</w:t>
      </w:r>
      <w:r w:rsidR="008F41E4">
        <w:t xml:space="preserve"> will be required for </w:t>
      </w:r>
      <w:r w:rsidR="00E423A9">
        <w:t>361</w:t>
      </w:r>
      <w:r w:rsidR="00282550">
        <w:t>,000</w:t>
      </w:r>
      <w:r w:rsidR="00DC46EC">
        <w:t xml:space="preserve"> annual </w:t>
      </w:r>
      <w:r w:rsidR="008E3694">
        <w:t xml:space="preserve">full </w:t>
      </w:r>
      <w:r w:rsidR="00DC46EC">
        <w:t>queries</w:t>
      </w:r>
      <w:r w:rsidR="008F41E4">
        <w:t>.</w:t>
      </w:r>
      <w:r w:rsidR="00DC46EC">
        <w:t xml:space="preserve"> </w:t>
      </w:r>
      <w:r w:rsidR="00282550">
        <w:t xml:space="preserve">This number is derived from 95 percent of drivers </w:t>
      </w:r>
      <w:r w:rsidR="00721566">
        <w:t>who do not exit the industry</w:t>
      </w:r>
      <w:r w:rsidR="00282550">
        <w:t xml:space="preserve"> after a positive </w:t>
      </w:r>
      <w:r w:rsidR="00721566">
        <w:t xml:space="preserve">drug or alcohol </w:t>
      </w:r>
      <w:r w:rsidR="00282550">
        <w:t xml:space="preserve">test, which is 95 percent of the </w:t>
      </w:r>
      <w:r w:rsidR="00CD7F0E">
        <w:t>58,500</w:t>
      </w:r>
      <w:r w:rsidR="006A1906">
        <w:t xml:space="preserve"> </w:t>
      </w:r>
      <w:r w:rsidR="00282550">
        <w:t>annual positive tests at full participation</w:t>
      </w:r>
      <w:r w:rsidR="00645000">
        <w:t>, or</w:t>
      </w:r>
      <w:r w:rsidR="00282550">
        <w:t xml:space="preserve"> </w:t>
      </w:r>
      <w:r w:rsidR="00E423A9">
        <w:t>55,575</w:t>
      </w:r>
      <w:r w:rsidR="00282550">
        <w:t xml:space="preserve">. </w:t>
      </w:r>
      <w:r w:rsidR="00A855E6">
        <w:t xml:space="preserve">Of these drivers, 30 percent are assumed to have multiple employers, which </w:t>
      </w:r>
      <w:r w:rsidR="00721566">
        <w:t>require</w:t>
      </w:r>
      <w:r w:rsidR="00A855E6">
        <w:t xml:space="preserve"> an additional 16,673 full annual queries (16,673 = 55,575 x 30 percent)</w:t>
      </w:r>
      <w:r w:rsidR="00721566">
        <w:t>.</w:t>
      </w:r>
      <w:r w:rsidR="00A855E6">
        <w:t xml:space="preserve">  Thus,</w:t>
      </w:r>
      <w:r w:rsidR="00645000">
        <w:t xml:space="preserve"> </w:t>
      </w:r>
      <w:r w:rsidR="00721566">
        <w:t xml:space="preserve">the </w:t>
      </w:r>
      <w:r w:rsidR="00645000">
        <w:t xml:space="preserve">total </w:t>
      </w:r>
      <w:r w:rsidR="00721566">
        <w:t>number</w:t>
      </w:r>
      <w:r w:rsidR="00645000">
        <w:t xml:space="preserve"> of </w:t>
      </w:r>
      <w:r w:rsidR="00144E66">
        <w:t>annual full</w:t>
      </w:r>
      <w:r w:rsidR="00645000">
        <w:t xml:space="preserve"> queries</w:t>
      </w:r>
      <w:r w:rsidR="002D4D99">
        <w:t xml:space="preserve"> required by the rule is </w:t>
      </w:r>
      <w:r w:rsidR="00A855E6">
        <w:t>estimated at</w:t>
      </w:r>
      <w:r w:rsidR="00645000">
        <w:t xml:space="preserve"> </w:t>
      </w:r>
      <w:r w:rsidR="00E423A9">
        <w:t>72,248</w:t>
      </w:r>
      <w:r w:rsidR="00645000">
        <w:t xml:space="preserve"> (</w:t>
      </w:r>
      <w:r w:rsidR="00A855E6">
        <w:t xml:space="preserve">72,248 = </w:t>
      </w:r>
      <w:r w:rsidR="00E423A9">
        <w:t>55,575</w:t>
      </w:r>
      <w:r w:rsidR="00A855E6">
        <w:t xml:space="preserve"> + 16,673).</w:t>
      </w:r>
      <w:r w:rsidR="00645000">
        <w:t xml:space="preserve"> </w:t>
      </w:r>
      <w:r w:rsidR="00A855E6">
        <w:t>D</w:t>
      </w:r>
      <w:r w:rsidR="00645000">
        <w:t xml:space="preserve">river information stored in the Clearinghouse will remain active and available for query for </w:t>
      </w:r>
      <w:r w:rsidR="00EA7139">
        <w:t xml:space="preserve">up to </w:t>
      </w:r>
      <w:r w:rsidR="00645000">
        <w:t xml:space="preserve">five years from the date that </w:t>
      </w:r>
      <w:r w:rsidR="00721566">
        <w:t xml:space="preserve">a drug or </w:t>
      </w:r>
      <w:r w:rsidR="002D4D99">
        <w:t>alcohol violation</w:t>
      </w:r>
      <w:r w:rsidR="00645000">
        <w:t xml:space="preserve"> </w:t>
      </w:r>
      <w:r w:rsidR="00721566">
        <w:t xml:space="preserve">is </w:t>
      </w:r>
      <w:r w:rsidR="00EA7139">
        <w:t>reported to the Clearinghouse</w:t>
      </w:r>
      <w:r w:rsidR="00645000">
        <w:t xml:space="preserve">. </w:t>
      </w:r>
      <w:r w:rsidR="00A855E6">
        <w:t xml:space="preserve"> </w:t>
      </w:r>
      <w:r w:rsidR="009B498F">
        <w:t xml:space="preserve">Therefore, a limited query for a driver with a violation </w:t>
      </w:r>
      <w:r w:rsidR="00A855E6">
        <w:t>would continue to show up in</w:t>
      </w:r>
      <w:r w:rsidR="00721566">
        <w:t xml:space="preserve"> response to</w:t>
      </w:r>
      <w:r w:rsidR="00A855E6">
        <w:t xml:space="preserve"> a limited query for 5 years</w:t>
      </w:r>
      <w:r w:rsidR="00721566">
        <w:t xml:space="preserve">.  This will then require </w:t>
      </w:r>
      <w:r w:rsidR="002D4D99">
        <w:t>an employer</w:t>
      </w:r>
      <w:r w:rsidR="009B498F">
        <w:t xml:space="preserve"> to make a full query.</w:t>
      </w:r>
      <w:r w:rsidR="00A855E6">
        <w:t xml:space="preserve"> </w:t>
      </w:r>
      <w:r w:rsidR="00645000">
        <w:t xml:space="preserve">This result </w:t>
      </w:r>
      <w:r w:rsidR="001B01E3">
        <w:t xml:space="preserve">in 361,000 </w:t>
      </w:r>
      <w:r w:rsidR="009B498F">
        <w:t xml:space="preserve">additional annual </w:t>
      </w:r>
      <w:r w:rsidR="00645000">
        <w:t>full queries (</w:t>
      </w:r>
      <w:r w:rsidR="001B01E3">
        <w:t xml:space="preserve">361,240 = </w:t>
      </w:r>
      <w:r w:rsidR="00E423A9">
        <w:t>72,248</w:t>
      </w:r>
      <w:r w:rsidR="00645000">
        <w:t xml:space="preserve"> x 5 years, rounded to the nearest thousand). </w:t>
      </w:r>
      <w:r w:rsidR="00DC46EC">
        <w:t xml:space="preserve">Given ten minutes (1/6th of an hour) for a driver to consent to release of information, the number of hours spent on driver consent is estimated to be </w:t>
      </w:r>
      <w:r w:rsidR="00E423A9">
        <w:t>60,167</w:t>
      </w:r>
      <w:r w:rsidR="00DC46EC">
        <w:t xml:space="preserve"> (</w:t>
      </w:r>
      <w:r w:rsidR="009B498F">
        <w:t xml:space="preserve">60,167  = </w:t>
      </w:r>
      <w:r w:rsidR="00E423A9">
        <w:t>361</w:t>
      </w:r>
      <w:r w:rsidR="00547E02">
        <w:t>,000</w:t>
      </w:r>
      <w:r w:rsidR="00DC46EC">
        <w:t xml:space="preserve"> queries x 1/6 hours per query</w:t>
      </w:r>
      <w:r w:rsidR="009B498F">
        <w:t>)</w:t>
      </w:r>
      <w:r w:rsidR="00DC46EC">
        <w:t>.</w:t>
      </w:r>
      <w:r w:rsidR="009B498F">
        <w:t xml:space="preserve">  The estimated cost to drivers required to consent to annual full queries is $2 million based on BLS estimated hourly wage for a truck driver of $29.07</w:t>
      </w:r>
      <w:r w:rsidR="00196906">
        <w:t xml:space="preserve"> per hour</w:t>
      </w:r>
      <w:r w:rsidR="009B498F">
        <w:t xml:space="preserve"> including fringe benefits and overhead  ($</w:t>
      </w:r>
      <w:r w:rsidR="00A64EFE">
        <w:t>1,749,054</w:t>
      </w:r>
      <w:r w:rsidR="009B498F">
        <w:t xml:space="preserve"> million = 60,167 hours x $29.07</w:t>
      </w:r>
      <w:r w:rsidR="00196906">
        <w:t xml:space="preserve"> per hour</w:t>
      </w:r>
      <w:r w:rsidR="009B498F">
        <w:t xml:space="preserve">, rounded to the nearest million). </w:t>
      </w:r>
    </w:p>
    <w:p w:rsidR="00FF61B1" w:rsidRDefault="00FF61B1" w:rsidP="00B91B1F">
      <w:pPr>
        <w:pStyle w:val="ListParagraph"/>
        <w:tabs>
          <w:tab w:val="left" w:pos="2340"/>
        </w:tabs>
        <w:jc w:val="both"/>
      </w:pPr>
    </w:p>
    <w:p w:rsidR="00FF61B1" w:rsidRDefault="00FF61B1" w:rsidP="00B91B1F">
      <w:pPr>
        <w:pStyle w:val="ListParagraph"/>
        <w:numPr>
          <w:ilvl w:val="0"/>
          <w:numId w:val="40"/>
        </w:numPr>
        <w:tabs>
          <w:tab w:val="left" w:pos="2340"/>
        </w:tabs>
        <w:ind w:left="720"/>
        <w:jc w:val="both"/>
      </w:pPr>
      <w:r>
        <w:t>As described in Item 2</w:t>
      </w:r>
      <w:r w:rsidRPr="007D05D3">
        <w:t xml:space="preserve">, pre-employment queries are full queries that require driver consent made through the Clearinghouse before </w:t>
      </w:r>
      <w:r w:rsidR="006D4611">
        <w:t xml:space="preserve">the </w:t>
      </w:r>
      <w:r w:rsidRPr="007D05D3">
        <w:t xml:space="preserve">driver-specific </w:t>
      </w:r>
      <w:r w:rsidR="006D4611">
        <w:t>information</w:t>
      </w:r>
      <w:r w:rsidRPr="007D05D3">
        <w:t xml:space="preserve"> is made available to the employer</w:t>
      </w:r>
      <w:r>
        <w:t xml:space="preserve">.  </w:t>
      </w:r>
      <w:r w:rsidRPr="007D05D3">
        <w:t xml:space="preserve"> FMCSA estimates that</w:t>
      </w:r>
      <w:r>
        <w:t xml:space="preserve"> it will take </w:t>
      </w:r>
      <w:r w:rsidRPr="007D05D3">
        <w:t>a driver ten minutes (1/6th of an hour) to provide driver consent to release information. Given 1,996,328 pre-employment queries that require driver consent, the number of hours spent on consent verification is estimated at 33</w:t>
      </w:r>
      <w:r w:rsidR="00A64EFE">
        <w:t>0</w:t>
      </w:r>
      <w:r w:rsidRPr="007D05D3">
        <w:t>,</w:t>
      </w:r>
      <w:r w:rsidR="00A64EFE">
        <w:t>000</w:t>
      </w:r>
      <w:r w:rsidRPr="007D05D3">
        <w:t xml:space="preserve"> (</w:t>
      </w:r>
      <w:r w:rsidR="00196906" w:rsidRPr="007D05D3">
        <w:t xml:space="preserve">332,721 </w:t>
      </w:r>
      <w:r w:rsidR="00196906">
        <w:t xml:space="preserve">= </w:t>
      </w:r>
      <w:r w:rsidRPr="007D05D3">
        <w:t>1,996,328 queries x 1/6 hours per query</w:t>
      </w:r>
      <w:r w:rsidR="00A64EFE">
        <w:t>, rounded to the nearest thousand</w:t>
      </w:r>
      <w:r w:rsidRPr="007D05D3">
        <w:t>).</w:t>
      </w:r>
      <w:r w:rsidR="00196906">
        <w:t xml:space="preserve">  At a drivers hourly wage of $29.07, the estimated cost of this task is $10 million ($9,67</w:t>
      </w:r>
      <w:r w:rsidR="00A64EFE">
        <w:t>2</w:t>
      </w:r>
      <w:r w:rsidR="00196906">
        <w:t>,</w:t>
      </w:r>
      <w:r w:rsidR="00A64EFE">
        <w:t xml:space="preserve">199 </w:t>
      </w:r>
      <w:r w:rsidR="00196906">
        <w:t>= 332,721 hours x $29.07 per hour, rounded to the nearest million).</w:t>
      </w:r>
    </w:p>
    <w:p w:rsidR="00FF61B1" w:rsidRDefault="00FF61B1" w:rsidP="00B91B1F">
      <w:pPr>
        <w:pStyle w:val="ListParagraph"/>
        <w:tabs>
          <w:tab w:val="left" w:pos="2340"/>
        </w:tabs>
        <w:jc w:val="both"/>
      </w:pPr>
    </w:p>
    <w:p w:rsidR="00FF61B1" w:rsidRDefault="00FF61B1" w:rsidP="00B91B1F">
      <w:pPr>
        <w:pStyle w:val="ListParagraph"/>
        <w:numPr>
          <w:ilvl w:val="0"/>
          <w:numId w:val="40"/>
        </w:numPr>
        <w:tabs>
          <w:tab w:val="left" w:pos="2340"/>
        </w:tabs>
        <w:ind w:left="720"/>
        <w:jc w:val="both"/>
      </w:pPr>
      <w:r w:rsidRPr="00FF61B1">
        <w:t xml:space="preserve">The final rule requires SDLAs to access a driver’s information in the Clearinghouse prior to issuing, renewing, upgrading, or transferring a CDL to determine whether the driver is qualified to operate a CMV.  FMCSA intends to integrate this function into the CDLIS pointer system, which connects the records of CDL-holders in all 50 States and the District of Columbia.   </w:t>
      </w:r>
      <w:r w:rsidR="0087779E" w:rsidRPr="001E6A57">
        <w:t xml:space="preserve">FMCSA will work closely with AAMVA, which administers CDLIS, to provide for the most efficient and least burdensome method of granting </w:t>
      </w:r>
      <w:r w:rsidR="0087779E" w:rsidRPr="001E6A57">
        <w:lastRenderedPageBreak/>
        <w:t>SDLAs access to the Clearinghouse.</w:t>
      </w:r>
      <w:r w:rsidRPr="00FF61B1">
        <w:t xml:space="preserve"> The marginal costs associated with including the additional functionality required to grant access to the Clearinghouse are negligible.  Accordingly, FMCSA does not associate any specific cost to this final rule.</w:t>
      </w:r>
    </w:p>
    <w:p w:rsidR="00FF61B1" w:rsidRDefault="00FF61B1" w:rsidP="00D67C87">
      <w:pPr>
        <w:ind w:left="720"/>
        <w:jc w:val="both"/>
      </w:pPr>
    </w:p>
    <w:p w:rsidR="00DC46EC" w:rsidRPr="00D67C87" w:rsidRDefault="00DC46EC" w:rsidP="00DC46EC">
      <w:pPr>
        <w:jc w:val="both"/>
        <w:rPr>
          <w:u w:val="single"/>
        </w:rPr>
      </w:pPr>
    </w:p>
    <w:p w:rsidR="00440A59" w:rsidRDefault="004015FC" w:rsidP="00D67C87">
      <w:pPr>
        <w:jc w:val="both"/>
      </w:pPr>
      <w:r>
        <w:t xml:space="preserve">The table below </w:t>
      </w:r>
      <w:r w:rsidR="00547E02">
        <w:t xml:space="preserve">summarizes the </w:t>
      </w:r>
      <w:r>
        <w:t xml:space="preserve">calculations </w:t>
      </w:r>
      <w:r w:rsidR="00D3273F">
        <w:t>described above.</w:t>
      </w:r>
    </w:p>
    <w:p w:rsidR="00720A31" w:rsidRDefault="00720A31" w:rsidP="004015FC">
      <w:pPr>
        <w:jc w:val="both"/>
      </w:pPr>
    </w:p>
    <w:tbl>
      <w:tblPr>
        <w:tblW w:w="9935" w:type="dxa"/>
        <w:jc w:val="center"/>
        <w:tblLook w:val="04A0" w:firstRow="1" w:lastRow="0" w:firstColumn="1" w:lastColumn="0" w:noHBand="0" w:noVBand="1"/>
      </w:tblPr>
      <w:tblGrid>
        <w:gridCol w:w="2195"/>
        <w:gridCol w:w="1094"/>
        <w:gridCol w:w="1216"/>
        <w:gridCol w:w="1407"/>
        <w:gridCol w:w="774"/>
        <w:gridCol w:w="1402"/>
        <w:gridCol w:w="718"/>
        <w:gridCol w:w="1129"/>
      </w:tblGrid>
      <w:tr w:rsidR="00E21181" w:rsidRPr="005917B7" w:rsidTr="00B91B1F">
        <w:trPr>
          <w:trHeight w:val="585"/>
          <w:jc w:val="center"/>
        </w:trPr>
        <w:tc>
          <w:tcPr>
            <w:tcW w:w="9935" w:type="dxa"/>
            <w:gridSpan w:val="8"/>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E21181" w:rsidRPr="005917B7" w:rsidRDefault="00E21181" w:rsidP="005917B7">
            <w:pPr>
              <w:jc w:val="center"/>
              <w:rPr>
                <w:rFonts w:ascii="Arial Narrow" w:hAnsi="Arial Narrow"/>
                <w:b/>
                <w:bCs/>
                <w:color w:val="000000"/>
                <w:sz w:val="20"/>
                <w:szCs w:val="20"/>
              </w:rPr>
            </w:pPr>
            <w:r w:rsidRPr="005917B7">
              <w:rPr>
                <w:rFonts w:ascii="Arial Narrow" w:hAnsi="Arial Narrow"/>
                <w:b/>
                <w:bCs/>
                <w:color w:val="000000"/>
                <w:sz w:val="20"/>
                <w:szCs w:val="20"/>
              </w:rPr>
              <w:t>Total Annual Number of Burden Hours</w:t>
            </w:r>
            <w:r>
              <w:rPr>
                <w:rFonts w:ascii="Arial Narrow" w:hAnsi="Arial Narrow"/>
                <w:b/>
                <w:bCs/>
                <w:color w:val="000000"/>
                <w:sz w:val="20"/>
                <w:szCs w:val="20"/>
              </w:rPr>
              <w:t xml:space="preserve"> and Associated Cost by Task</w:t>
            </w:r>
            <w:r>
              <w:rPr>
                <w:rStyle w:val="FootnoteReference"/>
              </w:rPr>
              <w:footnoteReference w:id="2"/>
            </w:r>
          </w:p>
        </w:tc>
      </w:tr>
      <w:tr w:rsidR="00A64EFE" w:rsidRPr="005917B7" w:rsidTr="00B91B1F">
        <w:trPr>
          <w:trHeight w:val="405"/>
          <w:jc w:val="center"/>
        </w:trPr>
        <w:tc>
          <w:tcPr>
            <w:tcW w:w="2195" w:type="dxa"/>
            <w:tcBorders>
              <w:top w:val="nil"/>
              <w:left w:val="single" w:sz="4" w:space="0" w:color="auto"/>
              <w:bottom w:val="single" w:sz="4" w:space="0" w:color="auto"/>
              <w:right w:val="single" w:sz="4" w:space="0" w:color="auto"/>
            </w:tcBorders>
            <w:shd w:val="clear" w:color="000000" w:fill="BFBFBF"/>
            <w:noWrap/>
            <w:vAlign w:val="center"/>
            <w:hideMark/>
          </w:tcPr>
          <w:p w:rsidR="00196906" w:rsidRPr="005917B7" w:rsidRDefault="00196906" w:rsidP="005917B7">
            <w:pPr>
              <w:jc w:val="center"/>
              <w:rPr>
                <w:rFonts w:ascii="Arial Narrow" w:hAnsi="Arial Narrow"/>
                <w:b/>
                <w:bCs/>
                <w:color w:val="000000"/>
                <w:sz w:val="18"/>
                <w:szCs w:val="18"/>
              </w:rPr>
            </w:pPr>
            <w:r w:rsidRPr="005917B7">
              <w:rPr>
                <w:rFonts w:ascii="Arial Narrow" w:hAnsi="Arial Narrow"/>
                <w:b/>
                <w:bCs/>
                <w:color w:val="000000"/>
                <w:sz w:val="18"/>
                <w:szCs w:val="18"/>
              </w:rPr>
              <w:t>Submissions</w:t>
            </w:r>
          </w:p>
        </w:tc>
        <w:tc>
          <w:tcPr>
            <w:tcW w:w="1094" w:type="dxa"/>
            <w:tcBorders>
              <w:top w:val="nil"/>
              <w:left w:val="nil"/>
              <w:bottom w:val="single" w:sz="4" w:space="0" w:color="auto"/>
              <w:right w:val="single" w:sz="4" w:space="0" w:color="auto"/>
            </w:tcBorders>
            <w:shd w:val="clear" w:color="000000" w:fill="BFBFBF"/>
            <w:noWrap/>
            <w:vAlign w:val="center"/>
            <w:hideMark/>
          </w:tcPr>
          <w:p w:rsidR="00196906" w:rsidRPr="005917B7" w:rsidRDefault="00196906" w:rsidP="005917B7">
            <w:pPr>
              <w:jc w:val="center"/>
              <w:rPr>
                <w:rFonts w:ascii="Arial Narrow" w:hAnsi="Arial Narrow"/>
                <w:b/>
                <w:bCs/>
                <w:color w:val="000000"/>
                <w:sz w:val="18"/>
                <w:szCs w:val="18"/>
              </w:rPr>
            </w:pPr>
            <w:r w:rsidRPr="005917B7">
              <w:rPr>
                <w:rFonts w:ascii="Arial Narrow" w:hAnsi="Arial Narrow"/>
                <w:b/>
                <w:bCs/>
                <w:color w:val="000000"/>
                <w:sz w:val="18"/>
                <w:szCs w:val="18"/>
              </w:rPr>
              <w:t>Responsible</w:t>
            </w:r>
          </w:p>
        </w:tc>
        <w:tc>
          <w:tcPr>
            <w:tcW w:w="1216" w:type="dxa"/>
            <w:tcBorders>
              <w:top w:val="nil"/>
              <w:left w:val="nil"/>
              <w:bottom w:val="single" w:sz="4" w:space="0" w:color="auto"/>
              <w:right w:val="single" w:sz="4" w:space="0" w:color="auto"/>
            </w:tcBorders>
            <w:shd w:val="clear" w:color="000000" w:fill="BFBFBF"/>
            <w:noWrap/>
            <w:vAlign w:val="center"/>
            <w:hideMark/>
          </w:tcPr>
          <w:p w:rsidR="00196906" w:rsidRPr="005917B7" w:rsidRDefault="00196906" w:rsidP="005917B7">
            <w:pPr>
              <w:jc w:val="center"/>
              <w:rPr>
                <w:rFonts w:ascii="Arial Narrow" w:hAnsi="Arial Narrow"/>
                <w:b/>
                <w:bCs/>
                <w:color w:val="000000"/>
                <w:sz w:val="18"/>
                <w:szCs w:val="18"/>
              </w:rPr>
            </w:pPr>
            <w:r w:rsidRPr="005917B7">
              <w:rPr>
                <w:rFonts w:ascii="Arial Narrow" w:hAnsi="Arial Narrow"/>
                <w:b/>
                <w:bCs/>
                <w:color w:val="000000"/>
                <w:sz w:val="18"/>
                <w:szCs w:val="18"/>
              </w:rPr>
              <w:t>Performed by</w:t>
            </w:r>
          </w:p>
        </w:tc>
        <w:tc>
          <w:tcPr>
            <w:tcW w:w="1407" w:type="dxa"/>
            <w:tcBorders>
              <w:top w:val="nil"/>
              <w:left w:val="nil"/>
              <w:bottom w:val="single" w:sz="4" w:space="0" w:color="auto"/>
              <w:right w:val="single" w:sz="4" w:space="0" w:color="auto"/>
            </w:tcBorders>
            <w:shd w:val="clear" w:color="000000" w:fill="BFBFBF"/>
            <w:noWrap/>
            <w:vAlign w:val="center"/>
            <w:hideMark/>
          </w:tcPr>
          <w:p w:rsidR="00196906" w:rsidRPr="005917B7" w:rsidRDefault="00196906" w:rsidP="005917B7">
            <w:pPr>
              <w:jc w:val="center"/>
              <w:rPr>
                <w:rFonts w:ascii="Arial Narrow" w:hAnsi="Arial Narrow"/>
                <w:b/>
                <w:bCs/>
                <w:color w:val="000000"/>
                <w:sz w:val="18"/>
                <w:szCs w:val="18"/>
              </w:rPr>
            </w:pPr>
            <w:r w:rsidRPr="005917B7">
              <w:rPr>
                <w:rFonts w:ascii="Arial Narrow" w:hAnsi="Arial Narrow"/>
                <w:b/>
                <w:bCs/>
                <w:color w:val="000000"/>
                <w:sz w:val="18"/>
                <w:szCs w:val="18"/>
              </w:rPr>
              <w:t>Instances</w:t>
            </w:r>
          </w:p>
        </w:tc>
        <w:tc>
          <w:tcPr>
            <w:tcW w:w="774" w:type="dxa"/>
            <w:tcBorders>
              <w:top w:val="nil"/>
              <w:left w:val="nil"/>
              <w:bottom w:val="single" w:sz="4" w:space="0" w:color="auto"/>
              <w:right w:val="single" w:sz="4" w:space="0" w:color="auto"/>
            </w:tcBorders>
            <w:shd w:val="clear" w:color="000000" w:fill="BFBFBF"/>
            <w:noWrap/>
            <w:vAlign w:val="center"/>
            <w:hideMark/>
          </w:tcPr>
          <w:p w:rsidR="00196906" w:rsidRPr="005917B7" w:rsidRDefault="00196906" w:rsidP="005917B7">
            <w:pPr>
              <w:jc w:val="center"/>
              <w:rPr>
                <w:rFonts w:ascii="Arial Narrow" w:hAnsi="Arial Narrow"/>
                <w:b/>
                <w:bCs/>
                <w:color w:val="000000"/>
                <w:sz w:val="18"/>
                <w:szCs w:val="18"/>
              </w:rPr>
            </w:pPr>
            <w:r w:rsidRPr="005917B7">
              <w:rPr>
                <w:rFonts w:ascii="Arial Narrow" w:hAnsi="Arial Narrow"/>
                <w:b/>
                <w:bCs/>
                <w:color w:val="000000"/>
                <w:sz w:val="18"/>
                <w:szCs w:val="18"/>
              </w:rPr>
              <w:t>Minutes</w:t>
            </w:r>
          </w:p>
        </w:tc>
        <w:tc>
          <w:tcPr>
            <w:tcW w:w="1402" w:type="dxa"/>
            <w:tcBorders>
              <w:top w:val="nil"/>
              <w:left w:val="nil"/>
              <w:bottom w:val="single" w:sz="4" w:space="0" w:color="auto"/>
              <w:right w:val="single" w:sz="4" w:space="0" w:color="auto"/>
            </w:tcBorders>
            <w:shd w:val="clear" w:color="000000" w:fill="BFBFBF"/>
            <w:noWrap/>
            <w:vAlign w:val="center"/>
            <w:hideMark/>
          </w:tcPr>
          <w:p w:rsidR="00196906" w:rsidRPr="005917B7" w:rsidRDefault="00196906" w:rsidP="005917B7">
            <w:pPr>
              <w:jc w:val="center"/>
              <w:rPr>
                <w:rFonts w:ascii="Arial Narrow" w:hAnsi="Arial Narrow"/>
                <w:b/>
                <w:bCs/>
                <w:color w:val="000000"/>
                <w:sz w:val="18"/>
                <w:szCs w:val="18"/>
              </w:rPr>
            </w:pPr>
            <w:r w:rsidRPr="005917B7">
              <w:rPr>
                <w:rFonts w:ascii="Arial Narrow" w:hAnsi="Arial Narrow"/>
                <w:b/>
                <w:bCs/>
                <w:color w:val="000000"/>
                <w:sz w:val="18"/>
                <w:szCs w:val="18"/>
              </w:rPr>
              <w:t>Total Hours</w:t>
            </w:r>
          </w:p>
        </w:tc>
        <w:tc>
          <w:tcPr>
            <w:tcW w:w="718" w:type="dxa"/>
            <w:tcBorders>
              <w:top w:val="nil"/>
              <w:left w:val="nil"/>
              <w:bottom w:val="single" w:sz="4" w:space="0" w:color="auto"/>
              <w:right w:val="single" w:sz="4" w:space="0" w:color="auto"/>
            </w:tcBorders>
            <w:shd w:val="clear" w:color="000000" w:fill="BFBFBF"/>
          </w:tcPr>
          <w:p w:rsidR="00196906" w:rsidRPr="005917B7" w:rsidRDefault="00196906" w:rsidP="005917B7">
            <w:pPr>
              <w:jc w:val="center"/>
              <w:rPr>
                <w:rFonts w:ascii="Arial Narrow" w:hAnsi="Arial Narrow"/>
                <w:b/>
                <w:bCs/>
                <w:color w:val="000000"/>
                <w:sz w:val="18"/>
                <w:szCs w:val="18"/>
              </w:rPr>
            </w:pPr>
            <w:r>
              <w:rPr>
                <w:rFonts w:ascii="Arial Narrow" w:hAnsi="Arial Narrow"/>
                <w:b/>
                <w:bCs/>
                <w:color w:val="000000"/>
                <w:sz w:val="18"/>
                <w:szCs w:val="18"/>
              </w:rPr>
              <w:t>Hourly Wage</w:t>
            </w:r>
          </w:p>
        </w:tc>
        <w:tc>
          <w:tcPr>
            <w:tcW w:w="1129" w:type="dxa"/>
            <w:tcBorders>
              <w:top w:val="nil"/>
              <w:left w:val="nil"/>
              <w:bottom w:val="single" w:sz="4" w:space="0" w:color="auto"/>
              <w:right w:val="single" w:sz="4" w:space="0" w:color="auto"/>
            </w:tcBorders>
            <w:shd w:val="clear" w:color="000000" w:fill="BFBFBF"/>
          </w:tcPr>
          <w:p w:rsidR="00196906" w:rsidRPr="005917B7" w:rsidRDefault="00196906" w:rsidP="00A64EFE">
            <w:pPr>
              <w:jc w:val="center"/>
              <w:rPr>
                <w:rFonts w:ascii="Arial Narrow" w:hAnsi="Arial Narrow"/>
                <w:b/>
                <w:bCs/>
                <w:color w:val="000000"/>
                <w:sz w:val="18"/>
                <w:szCs w:val="18"/>
              </w:rPr>
            </w:pPr>
            <w:r>
              <w:rPr>
                <w:rFonts w:ascii="Arial Narrow" w:hAnsi="Arial Narrow"/>
                <w:b/>
                <w:bCs/>
                <w:color w:val="000000"/>
                <w:sz w:val="18"/>
                <w:szCs w:val="18"/>
              </w:rPr>
              <w:t>Total Cost</w:t>
            </w:r>
          </w:p>
        </w:tc>
      </w:tr>
      <w:tr w:rsidR="00A64EFE" w:rsidRPr="005917B7" w:rsidTr="00B91B1F">
        <w:trPr>
          <w:trHeight w:val="300"/>
          <w:jc w:val="center"/>
        </w:trPr>
        <w:tc>
          <w:tcPr>
            <w:tcW w:w="2195" w:type="dxa"/>
            <w:tcBorders>
              <w:top w:val="nil"/>
              <w:left w:val="single" w:sz="4" w:space="0" w:color="auto"/>
              <w:bottom w:val="single" w:sz="4" w:space="0" w:color="auto"/>
              <w:right w:val="single" w:sz="4" w:space="0" w:color="auto"/>
            </w:tcBorders>
            <w:shd w:val="clear" w:color="auto" w:fill="auto"/>
            <w:noWrap/>
            <w:vAlign w:val="center"/>
            <w:hideMark/>
          </w:tcPr>
          <w:p w:rsidR="00196906" w:rsidRPr="005917B7" w:rsidRDefault="00196906" w:rsidP="005917B7">
            <w:pPr>
              <w:jc w:val="center"/>
              <w:rPr>
                <w:rFonts w:ascii="Arial Narrow" w:hAnsi="Arial Narrow"/>
                <w:b/>
                <w:bCs/>
                <w:color w:val="000000"/>
                <w:sz w:val="18"/>
                <w:szCs w:val="18"/>
              </w:rPr>
            </w:pPr>
            <w:r w:rsidRPr="005917B7">
              <w:rPr>
                <w:rFonts w:ascii="Arial Narrow" w:hAnsi="Arial Narrow"/>
                <w:b/>
                <w:bCs/>
                <w:color w:val="000000"/>
                <w:sz w:val="18"/>
                <w:szCs w:val="18"/>
              </w:rPr>
              <w:t>Annual Queries</w:t>
            </w:r>
          </w:p>
        </w:tc>
        <w:tc>
          <w:tcPr>
            <w:tcW w:w="1094" w:type="dxa"/>
            <w:tcBorders>
              <w:top w:val="nil"/>
              <w:left w:val="nil"/>
              <w:bottom w:val="single" w:sz="4" w:space="0" w:color="auto"/>
              <w:right w:val="single" w:sz="4" w:space="0" w:color="auto"/>
            </w:tcBorders>
            <w:shd w:val="clear" w:color="auto" w:fill="auto"/>
            <w:noWrap/>
            <w:vAlign w:val="center"/>
          </w:tcPr>
          <w:p w:rsidR="00196906" w:rsidRPr="005917B7" w:rsidRDefault="00196906" w:rsidP="005917B7">
            <w:pPr>
              <w:jc w:val="center"/>
              <w:rPr>
                <w:rFonts w:ascii="Arial Narrow" w:hAnsi="Arial Narrow"/>
                <w:color w:val="000000"/>
                <w:sz w:val="18"/>
                <w:szCs w:val="18"/>
              </w:rPr>
            </w:pPr>
            <w:r w:rsidRPr="005917B7">
              <w:rPr>
                <w:rFonts w:ascii="Arial Narrow" w:hAnsi="Arial Narrow"/>
                <w:color w:val="000000"/>
                <w:sz w:val="18"/>
                <w:szCs w:val="18"/>
              </w:rPr>
              <w:t>Employer</w:t>
            </w:r>
          </w:p>
        </w:tc>
        <w:tc>
          <w:tcPr>
            <w:tcW w:w="1216" w:type="dxa"/>
            <w:tcBorders>
              <w:top w:val="nil"/>
              <w:left w:val="nil"/>
              <w:bottom w:val="single" w:sz="4" w:space="0" w:color="auto"/>
              <w:right w:val="single" w:sz="4" w:space="0" w:color="auto"/>
            </w:tcBorders>
            <w:shd w:val="clear" w:color="auto" w:fill="auto"/>
            <w:noWrap/>
            <w:vAlign w:val="center"/>
            <w:hideMark/>
          </w:tcPr>
          <w:p w:rsidR="00196906" w:rsidRPr="005917B7" w:rsidRDefault="00196906" w:rsidP="005917B7">
            <w:pPr>
              <w:jc w:val="center"/>
              <w:rPr>
                <w:rFonts w:ascii="Arial Narrow" w:hAnsi="Arial Narrow"/>
                <w:color w:val="000000"/>
                <w:sz w:val="18"/>
                <w:szCs w:val="18"/>
              </w:rPr>
            </w:pPr>
            <w:r w:rsidRPr="005917B7">
              <w:rPr>
                <w:rFonts w:ascii="Arial Narrow" w:hAnsi="Arial Narrow"/>
                <w:color w:val="000000"/>
                <w:sz w:val="18"/>
                <w:szCs w:val="18"/>
              </w:rPr>
              <w:t>Bookkeeping Clerk</w:t>
            </w:r>
          </w:p>
        </w:tc>
        <w:tc>
          <w:tcPr>
            <w:tcW w:w="1407" w:type="dxa"/>
            <w:tcBorders>
              <w:top w:val="nil"/>
              <w:left w:val="nil"/>
              <w:bottom w:val="single" w:sz="4" w:space="0" w:color="auto"/>
              <w:right w:val="single" w:sz="4" w:space="0" w:color="auto"/>
            </w:tcBorders>
            <w:shd w:val="clear" w:color="auto" w:fill="auto"/>
            <w:noWrap/>
            <w:vAlign w:val="center"/>
            <w:hideMark/>
          </w:tcPr>
          <w:p w:rsidR="00196906" w:rsidRPr="005917B7" w:rsidRDefault="00196906" w:rsidP="005917B7">
            <w:pPr>
              <w:jc w:val="center"/>
              <w:rPr>
                <w:rFonts w:ascii="Arial Narrow" w:hAnsi="Arial Narrow"/>
                <w:color w:val="000000"/>
                <w:sz w:val="18"/>
                <w:szCs w:val="18"/>
              </w:rPr>
            </w:pPr>
            <w:r w:rsidRPr="005917B7">
              <w:rPr>
                <w:rFonts w:ascii="Arial Narrow" w:hAnsi="Arial Narrow"/>
                <w:color w:val="000000"/>
                <w:sz w:val="18"/>
                <w:szCs w:val="18"/>
              </w:rPr>
              <w:t>5,200,000</w:t>
            </w:r>
          </w:p>
        </w:tc>
        <w:tc>
          <w:tcPr>
            <w:tcW w:w="774" w:type="dxa"/>
            <w:tcBorders>
              <w:top w:val="nil"/>
              <w:left w:val="nil"/>
              <w:bottom w:val="single" w:sz="4" w:space="0" w:color="auto"/>
              <w:right w:val="single" w:sz="4" w:space="0" w:color="auto"/>
            </w:tcBorders>
            <w:shd w:val="clear" w:color="auto" w:fill="auto"/>
            <w:noWrap/>
            <w:vAlign w:val="center"/>
            <w:hideMark/>
          </w:tcPr>
          <w:p w:rsidR="00196906" w:rsidRPr="005917B7" w:rsidRDefault="00196906" w:rsidP="005917B7">
            <w:pPr>
              <w:jc w:val="center"/>
              <w:rPr>
                <w:rFonts w:ascii="Arial Narrow" w:hAnsi="Arial Narrow"/>
                <w:color w:val="000000"/>
                <w:sz w:val="18"/>
                <w:szCs w:val="18"/>
              </w:rPr>
            </w:pPr>
            <w:r w:rsidRPr="005917B7">
              <w:rPr>
                <w:rFonts w:ascii="Arial Narrow" w:hAnsi="Arial Narrow"/>
                <w:color w:val="000000"/>
                <w:sz w:val="18"/>
                <w:szCs w:val="18"/>
              </w:rPr>
              <w:t>10</w:t>
            </w:r>
          </w:p>
        </w:tc>
        <w:tc>
          <w:tcPr>
            <w:tcW w:w="1402" w:type="dxa"/>
            <w:tcBorders>
              <w:top w:val="nil"/>
              <w:left w:val="nil"/>
              <w:bottom w:val="single" w:sz="4" w:space="0" w:color="auto"/>
              <w:right w:val="single" w:sz="4" w:space="0" w:color="auto"/>
            </w:tcBorders>
            <w:shd w:val="clear" w:color="auto" w:fill="auto"/>
            <w:noWrap/>
            <w:vAlign w:val="center"/>
            <w:hideMark/>
          </w:tcPr>
          <w:p w:rsidR="00196906" w:rsidRPr="005917B7" w:rsidRDefault="00196906" w:rsidP="001648C1">
            <w:pPr>
              <w:jc w:val="center"/>
              <w:rPr>
                <w:rFonts w:ascii="Arial Narrow" w:hAnsi="Arial Narrow"/>
                <w:color w:val="000000"/>
                <w:sz w:val="18"/>
                <w:szCs w:val="18"/>
              </w:rPr>
            </w:pPr>
            <w:r w:rsidRPr="005917B7">
              <w:rPr>
                <w:rFonts w:ascii="Arial Narrow" w:hAnsi="Arial Narrow"/>
                <w:color w:val="000000"/>
                <w:sz w:val="18"/>
                <w:szCs w:val="18"/>
              </w:rPr>
              <w:t>867,000</w:t>
            </w:r>
          </w:p>
        </w:tc>
        <w:tc>
          <w:tcPr>
            <w:tcW w:w="718" w:type="dxa"/>
            <w:tcBorders>
              <w:top w:val="nil"/>
              <w:left w:val="nil"/>
              <w:bottom w:val="single" w:sz="4" w:space="0" w:color="auto"/>
              <w:right w:val="single" w:sz="4" w:space="0" w:color="auto"/>
            </w:tcBorders>
            <w:vAlign w:val="center"/>
          </w:tcPr>
          <w:p w:rsidR="00196906" w:rsidRPr="005917B7" w:rsidRDefault="00196906" w:rsidP="00B91B1F">
            <w:pPr>
              <w:jc w:val="center"/>
              <w:rPr>
                <w:rFonts w:ascii="Arial Narrow" w:hAnsi="Arial Narrow"/>
                <w:color w:val="000000"/>
                <w:sz w:val="18"/>
                <w:szCs w:val="18"/>
              </w:rPr>
            </w:pPr>
            <w:r>
              <w:rPr>
                <w:rFonts w:ascii="Arial Narrow" w:hAnsi="Arial Narrow"/>
                <w:color w:val="000000"/>
                <w:sz w:val="18"/>
                <w:szCs w:val="18"/>
              </w:rPr>
              <w:t>$34.02</w:t>
            </w:r>
          </w:p>
        </w:tc>
        <w:tc>
          <w:tcPr>
            <w:tcW w:w="1129" w:type="dxa"/>
            <w:tcBorders>
              <w:top w:val="nil"/>
              <w:left w:val="nil"/>
              <w:bottom w:val="single" w:sz="4" w:space="0" w:color="auto"/>
              <w:right w:val="single" w:sz="4" w:space="0" w:color="auto"/>
            </w:tcBorders>
            <w:vAlign w:val="center"/>
          </w:tcPr>
          <w:p w:rsidR="00196906" w:rsidRPr="005917B7" w:rsidRDefault="00196906" w:rsidP="00B91B1F">
            <w:pPr>
              <w:jc w:val="center"/>
              <w:rPr>
                <w:rFonts w:ascii="Arial Narrow" w:hAnsi="Arial Narrow"/>
                <w:color w:val="000000"/>
                <w:sz w:val="18"/>
                <w:szCs w:val="18"/>
              </w:rPr>
            </w:pPr>
            <w:r>
              <w:rPr>
                <w:rFonts w:ascii="Arial Narrow" w:hAnsi="Arial Narrow"/>
                <w:color w:val="000000"/>
                <w:sz w:val="18"/>
                <w:szCs w:val="18"/>
              </w:rPr>
              <w:t>$29,000,000</w:t>
            </w:r>
          </w:p>
        </w:tc>
      </w:tr>
      <w:tr w:rsidR="00A64EFE" w:rsidRPr="005917B7" w:rsidTr="00B91B1F">
        <w:trPr>
          <w:trHeight w:val="300"/>
          <w:jc w:val="center"/>
        </w:trPr>
        <w:tc>
          <w:tcPr>
            <w:tcW w:w="2195" w:type="dxa"/>
            <w:tcBorders>
              <w:top w:val="nil"/>
              <w:left w:val="single" w:sz="4" w:space="0" w:color="auto"/>
              <w:bottom w:val="single" w:sz="4" w:space="0" w:color="auto"/>
              <w:right w:val="single" w:sz="4" w:space="0" w:color="auto"/>
            </w:tcBorders>
            <w:shd w:val="clear" w:color="auto" w:fill="auto"/>
            <w:noWrap/>
            <w:vAlign w:val="center"/>
            <w:hideMark/>
          </w:tcPr>
          <w:p w:rsidR="00196906" w:rsidRPr="005917B7" w:rsidRDefault="00196906" w:rsidP="005917B7">
            <w:pPr>
              <w:jc w:val="center"/>
              <w:rPr>
                <w:rFonts w:ascii="Arial Narrow" w:hAnsi="Arial Narrow"/>
                <w:b/>
                <w:bCs/>
                <w:color w:val="000000"/>
                <w:sz w:val="18"/>
                <w:szCs w:val="18"/>
              </w:rPr>
            </w:pPr>
            <w:r w:rsidRPr="005917B7">
              <w:rPr>
                <w:rFonts w:ascii="Arial Narrow" w:hAnsi="Arial Narrow"/>
                <w:b/>
                <w:bCs/>
                <w:color w:val="000000"/>
                <w:sz w:val="18"/>
                <w:szCs w:val="18"/>
              </w:rPr>
              <w:t>Pre-Employment Queries</w:t>
            </w:r>
          </w:p>
        </w:tc>
        <w:tc>
          <w:tcPr>
            <w:tcW w:w="1094" w:type="dxa"/>
            <w:tcBorders>
              <w:top w:val="nil"/>
              <w:left w:val="nil"/>
              <w:bottom w:val="single" w:sz="4" w:space="0" w:color="auto"/>
              <w:right w:val="single" w:sz="4" w:space="0" w:color="auto"/>
            </w:tcBorders>
            <w:shd w:val="clear" w:color="auto" w:fill="auto"/>
            <w:noWrap/>
            <w:vAlign w:val="center"/>
          </w:tcPr>
          <w:p w:rsidR="00196906" w:rsidRPr="005917B7" w:rsidRDefault="00196906" w:rsidP="005917B7">
            <w:pPr>
              <w:jc w:val="center"/>
              <w:rPr>
                <w:rFonts w:ascii="Arial Narrow" w:hAnsi="Arial Narrow"/>
                <w:color w:val="000000"/>
                <w:sz w:val="18"/>
                <w:szCs w:val="18"/>
              </w:rPr>
            </w:pPr>
            <w:r w:rsidRPr="005917B7">
              <w:rPr>
                <w:rFonts w:ascii="Arial Narrow" w:hAnsi="Arial Narrow"/>
                <w:color w:val="000000"/>
                <w:sz w:val="18"/>
                <w:szCs w:val="18"/>
              </w:rPr>
              <w:t>Employer</w:t>
            </w:r>
          </w:p>
        </w:tc>
        <w:tc>
          <w:tcPr>
            <w:tcW w:w="1216" w:type="dxa"/>
            <w:tcBorders>
              <w:top w:val="nil"/>
              <w:left w:val="nil"/>
              <w:bottom w:val="single" w:sz="4" w:space="0" w:color="auto"/>
              <w:right w:val="single" w:sz="4" w:space="0" w:color="auto"/>
            </w:tcBorders>
            <w:shd w:val="clear" w:color="auto" w:fill="auto"/>
            <w:noWrap/>
            <w:vAlign w:val="center"/>
            <w:hideMark/>
          </w:tcPr>
          <w:p w:rsidR="00196906" w:rsidRPr="005917B7" w:rsidRDefault="00196906" w:rsidP="005917B7">
            <w:pPr>
              <w:jc w:val="center"/>
              <w:rPr>
                <w:rFonts w:ascii="Arial Narrow" w:hAnsi="Arial Narrow"/>
                <w:color w:val="000000"/>
                <w:sz w:val="18"/>
                <w:szCs w:val="18"/>
              </w:rPr>
            </w:pPr>
            <w:r w:rsidRPr="005917B7">
              <w:rPr>
                <w:rFonts w:ascii="Arial Narrow" w:hAnsi="Arial Narrow"/>
                <w:color w:val="000000"/>
                <w:sz w:val="18"/>
                <w:szCs w:val="18"/>
              </w:rPr>
              <w:t>Bookkeeping Clerk</w:t>
            </w:r>
          </w:p>
        </w:tc>
        <w:tc>
          <w:tcPr>
            <w:tcW w:w="1407" w:type="dxa"/>
            <w:tcBorders>
              <w:top w:val="nil"/>
              <w:left w:val="nil"/>
              <w:bottom w:val="single" w:sz="4" w:space="0" w:color="auto"/>
              <w:right w:val="single" w:sz="4" w:space="0" w:color="auto"/>
            </w:tcBorders>
            <w:shd w:val="clear" w:color="auto" w:fill="auto"/>
            <w:noWrap/>
            <w:vAlign w:val="center"/>
            <w:hideMark/>
          </w:tcPr>
          <w:p w:rsidR="00196906" w:rsidRPr="005917B7" w:rsidRDefault="00196906" w:rsidP="005917B7">
            <w:pPr>
              <w:jc w:val="center"/>
              <w:rPr>
                <w:rFonts w:ascii="Arial Narrow" w:hAnsi="Arial Narrow"/>
                <w:color w:val="000000"/>
                <w:sz w:val="18"/>
                <w:szCs w:val="18"/>
              </w:rPr>
            </w:pPr>
            <w:r w:rsidRPr="005917B7">
              <w:rPr>
                <w:rFonts w:ascii="Arial Narrow" w:hAnsi="Arial Narrow"/>
                <w:color w:val="000000"/>
                <w:sz w:val="18"/>
                <w:szCs w:val="18"/>
              </w:rPr>
              <w:t>1,996,328</w:t>
            </w:r>
          </w:p>
        </w:tc>
        <w:tc>
          <w:tcPr>
            <w:tcW w:w="774" w:type="dxa"/>
            <w:tcBorders>
              <w:top w:val="nil"/>
              <w:left w:val="nil"/>
              <w:bottom w:val="single" w:sz="4" w:space="0" w:color="auto"/>
              <w:right w:val="single" w:sz="4" w:space="0" w:color="auto"/>
            </w:tcBorders>
            <w:shd w:val="clear" w:color="auto" w:fill="auto"/>
            <w:noWrap/>
            <w:vAlign w:val="center"/>
            <w:hideMark/>
          </w:tcPr>
          <w:p w:rsidR="00196906" w:rsidRPr="005917B7" w:rsidRDefault="00196906" w:rsidP="005917B7">
            <w:pPr>
              <w:jc w:val="center"/>
              <w:rPr>
                <w:rFonts w:ascii="Arial Narrow" w:hAnsi="Arial Narrow"/>
                <w:color w:val="000000"/>
                <w:sz w:val="18"/>
                <w:szCs w:val="18"/>
              </w:rPr>
            </w:pPr>
            <w:r w:rsidRPr="005917B7">
              <w:rPr>
                <w:rFonts w:ascii="Arial Narrow" w:hAnsi="Arial Narrow"/>
                <w:color w:val="000000"/>
                <w:sz w:val="18"/>
                <w:szCs w:val="18"/>
              </w:rPr>
              <w:t>10</w:t>
            </w:r>
          </w:p>
        </w:tc>
        <w:tc>
          <w:tcPr>
            <w:tcW w:w="1402" w:type="dxa"/>
            <w:tcBorders>
              <w:top w:val="nil"/>
              <w:left w:val="nil"/>
              <w:bottom w:val="single" w:sz="4" w:space="0" w:color="auto"/>
              <w:right w:val="single" w:sz="4" w:space="0" w:color="auto"/>
            </w:tcBorders>
            <w:shd w:val="clear" w:color="auto" w:fill="auto"/>
            <w:noWrap/>
            <w:vAlign w:val="center"/>
            <w:hideMark/>
          </w:tcPr>
          <w:p w:rsidR="00196906" w:rsidRPr="005917B7" w:rsidRDefault="00196906" w:rsidP="005917B7">
            <w:pPr>
              <w:jc w:val="center"/>
              <w:rPr>
                <w:rFonts w:ascii="Arial Narrow" w:hAnsi="Arial Narrow"/>
                <w:color w:val="000000"/>
                <w:sz w:val="18"/>
                <w:szCs w:val="18"/>
              </w:rPr>
            </w:pPr>
            <w:r w:rsidRPr="005917B7">
              <w:rPr>
                <w:rFonts w:ascii="Arial Narrow" w:hAnsi="Arial Narrow"/>
                <w:color w:val="000000"/>
                <w:sz w:val="18"/>
                <w:szCs w:val="18"/>
              </w:rPr>
              <w:t>333,000</w:t>
            </w:r>
          </w:p>
        </w:tc>
        <w:tc>
          <w:tcPr>
            <w:tcW w:w="718" w:type="dxa"/>
            <w:tcBorders>
              <w:top w:val="nil"/>
              <w:left w:val="nil"/>
              <w:bottom w:val="single" w:sz="4" w:space="0" w:color="auto"/>
              <w:right w:val="single" w:sz="4" w:space="0" w:color="auto"/>
            </w:tcBorders>
            <w:vAlign w:val="center"/>
          </w:tcPr>
          <w:p w:rsidR="00196906" w:rsidRPr="005917B7" w:rsidRDefault="00196906" w:rsidP="00B91B1F">
            <w:pPr>
              <w:jc w:val="center"/>
              <w:rPr>
                <w:rFonts w:ascii="Arial Narrow" w:hAnsi="Arial Narrow"/>
                <w:color w:val="000000"/>
                <w:sz w:val="18"/>
                <w:szCs w:val="18"/>
              </w:rPr>
            </w:pPr>
            <w:r>
              <w:rPr>
                <w:rFonts w:ascii="Arial Narrow" w:hAnsi="Arial Narrow"/>
                <w:color w:val="000000"/>
                <w:sz w:val="18"/>
                <w:szCs w:val="18"/>
              </w:rPr>
              <w:t>$34.02</w:t>
            </w:r>
          </w:p>
        </w:tc>
        <w:tc>
          <w:tcPr>
            <w:tcW w:w="1129" w:type="dxa"/>
            <w:tcBorders>
              <w:top w:val="nil"/>
              <w:left w:val="nil"/>
              <w:bottom w:val="single" w:sz="4" w:space="0" w:color="auto"/>
              <w:right w:val="single" w:sz="4" w:space="0" w:color="auto"/>
            </w:tcBorders>
            <w:vAlign w:val="center"/>
          </w:tcPr>
          <w:p w:rsidR="00196906" w:rsidRPr="005917B7" w:rsidRDefault="00196906" w:rsidP="00B91B1F">
            <w:pPr>
              <w:jc w:val="center"/>
              <w:rPr>
                <w:rFonts w:ascii="Arial Narrow" w:hAnsi="Arial Narrow"/>
                <w:color w:val="000000"/>
                <w:sz w:val="18"/>
                <w:szCs w:val="18"/>
              </w:rPr>
            </w:pPr>
            <w:r>
              <w:rPr>
                <w:rFonts w:ascii="Arial Narrow" w:hAnsi="Arial Narrow"/>
                <w:color w:val="000000"/>
                <w:sz w:val="18"/>
                <w:szCs w:val="18"/>
              </w:rPr>
              <w:t>$11,000,000</w:t>
            </w:r>
          </w:p>
        </w:tc>
      </w:tr>
      <w:tr w:rsidR="00A64EFE" w:rsidRPr="005917B7" w:rsidTr="00B91B1F">
        <w:trPr>
          <w:trHeight w:val="300"/>
          <w:jc w:val="center"/>
        </w:trPr>
        <w:tc>
          <w:tcPr>
            <w:tcW w:w="2195" w:type="dxa"/>
            <w:tcBorders>
              <w:top w:val="nil"/>
              <w:left w:val="single" w:sz="4" w:space="0" w:color="auto"/>
              <w:bottom w:val="single" w:sz="4" w:space="0" w:color="auto"/>
              <w:right w:val="single" w:sz="4" w:space="0" w:color="auto"/>
            </w:tcBorders>
            <w:shd w:val="clear" w:color="auto" w:fill="auto"/>
            <w:noWrap/>
            <w:vAlign w:val="center"/>
            <w:hideMark/>
          </w:tcPr>
          <w:p w:rsidR="00196906" w:rsidRPr="005917B7" w:rsidRDefault="00196906" w:rsidP="005917B7">
            <w:pPr>
              <w:jc w:val="center"/>
              <w:rPr>
                <w:rFonts w:ascii="Arial Narrow" w:hAnsi="Arial Narrow"/>
                <w:b/>
                <w:bCs/>
                <w:color w:val="000000"/>
                <w:sz w:val="18"/>
                <w:szCs w:val="18"/>
              </w:rPr>
            </w:pPr>
            <w:r w:rsidRPr="005917B7">
              <w:rPr>
                <w:rFonts w:ascii="Arial Narrow" w:hAnsi="Arial Narrow"/>
                <w:b/>
                <w:bCs/>
                <w:color w:val="000000"/>
                <w:sz w:val="18"/>
                <w:szCs w:val="18"/>
              </w:rPr>
              <w:t>Designate C/TPAs</w:t>
            </w:r>
          </w:p>
        </w:tc>
        <w:tc>
          <w:tcPr>
            <w:tcW w:w="1094" w:type="dxa"/>
            <w:tcBorders>
              <w:top w:val="nil"/>
              <w:left w:val="nil"/>
              <w:bottom w:val="single" w:sz="4" w:space="0" w:color="auto"/>
              <w:right w:val="single" w:sz="4" w:space="0" w:color="auto"/>
            </w:tcBorders>
            <w:shd w:val="clear" w:color="auto" w:fill="auto"/>
            <w:noWrap/>
            <w:vAlign w:val="center"/>
          </w:tcPr>
          <w:p w:rsidR="00196906" w:rsidRPr="005917B7" w:rsidRDefault="00196906" w:rsidP="005917B7">
            <w:pPr>
              <w:jc w:val="center"/>
              <w:rPr>
                <w:rFonts w:ascii="Arial Narrow" w:hAnsi="Arial Narrow"/>
                <w:color w:val="000000"/>
                <w:sz w:val="18"/>
                <w:szCs w:val="18"/>
              </w:rPr>
            </w:pPr>
            <w:r w:rsidRPr="005917B7">
              <w:rPr>
                <w:rFonts w:ascii="Arial Narrow" w:hAnsi="Arial Narrow"/>
                <w:color w:val="000000"/>
                <w:sz w:val="18"/>
                <w:szCs w:val="18"/>
              </w:rPr>
              <w:t>Employer</w:t>
            </w:r>
          </w:p>
        </w:tc>
        <w:tc>
          <w:tcPr>
            <w:tcW w:w="1216" w:type="dxa"/>
            <w:tcBorders>
              <w:top w:val="nil"/>
              <w:left w:val="nil"/>
              <w:bottom w:val="single" w:sz="4" w:space="0" w:color="auto"/>
              <w:right w:val="single" w:sz="4" w:space="0" w:color="auto"/>
            </w:tcBorders>
            <w:shd w:val="clear" w:color="auto" w:fill="auto"/>
            <w:noWrap/>
            <w:vAlign w:val="center"/>
            <w:hideMark/>
          </w:tcPr>
          <w:p w:rsidR="00196906" w:rsidRPr="005917B7" w:rsidRDefault="00196906" w:rsidP="005917B7">
            <w:pPr>
              <w:jc w:val="center"/>
              <w:rPr>
                <w:rFonts w:ascii="Arial Narrow" w:hAnsi="Arial Narrow"/>
                <w:color w:val="000000"/>
                <w:sz w:val="18"/>
                <w:szCs w:val="18"/>
              </w:rPr>
            </w:pPr>
            <w:r w:rsidRPr="005917B7">
              <w:rPr>
                <w:rFonts w:ascii="Arial Narrow" w:hAnsi="Arial Narrow"/>
                <w:color w:val="000000"/>
                <w:sz w:val="18"/>
                <w:szCs w:val="18"/>
              </w:rPr>
              <w:t>Bookkeeping Clerk</w:t>
            </w:r>
          </w:p>
        </w:tc>
        <w:tc>
          <w:tcPr>
            <w:tcW w:w="1407" w:type="dxa"/>
            <w:tcBorders>
              <w:top w:val="nil"/>
              <w:left w:val="nil"/>
              <w:bottom w:val="single" w:sz="4" w:space="0" w:color="auto"/>
              <w:right w:val="single" w:sz="4" w:space="0" w:color="auto"/>
            </w:tcBorders>
            <w:shd w:val="clear" w:color="auto" w:fill="auto"/>
            <w:noWrap/>
            <w:vAlign w:val="center"/>
            <w:hideMark/>
          </w:tcPr>
          <w:p w:rsidR="00196906" w:rsidRPr="005917B7" w:rsidRDefault="00196906" w:rsidP="005917B7">
            <w:pPr>
              <w:jc w:val="center"/>
              <w:rPr>
                <w:rFonts w:ascii="Arial Narrow" w:hAnsi="Arial Narrow"/>
                <w:color w:val="000000"/>
                <w:sz w:val="18"/>
                <w:szCs w:val="18"/>
              </w:rPr>
            </w:pPr>
            <w:r w:rsidRPr="005917B7">
              <w:rPr>
                <w:rFonts w:ascii="Arial Narrow" w:hAnsi="Arial Narrow"/>
                <w:color w:val="000000"/>
                <w:sz w:val="18"/>
                <w:szCs w:val="18"/>
              </w:rPr>
              <w:t>520,000</w:t>
            </w:r>
          </w:p>
        </w:tc>
        <w:tc>
          <w:tcPr>
            <w:tcW w:w="774" w:type="dxa"/>
            <w:tcBorders>
              <w:top w:val="nil"/>
              <w:left w:val="nil"/>
              <w:bottom w:val="single" w:sz="4" w:space="0" w:color="auto"/>
              <w:right w:val="single" w:sz="4" w:space="0" w:color="auto"/>
            </w:tcBorders>
            <w:shd w:val="clear" w:color="auto" w:fill="auto"/>
            <w:noWrap/>
            <w:vAlign w:val="center"/>
            <w:hideMark/>
          </w:tcPr>
          <w:p w:rsidR="00196906" w:rsidRPr="005917B7" w:rsidRDefault="00196906" w:rsidP="005917B7">
            <w:pPr>
              <w:jc w:val="center"/>
              <w:rPr>
                <w:rFonts w:ascii="Arial Narrow" w:hAnsi="Arial Narrow"/>
                <w:color w:val="000000"/>
                <w:sz w:val="18"/>
                <w:szCs w:val="18"/>
              </w:rPr>
            </w:pPr>
            <w:r w:rsidRPr="005917B7">
              <w:rPr>
                <w:rFonts w:ascii="Arial Narrow" w:hAnsi="Arial Narrow"/>
                <w:color w:val="000000"/>
                <w:sz w:val="18"/>
                <w:szCs w:val="18"/>
              </w:rPr>
              <w:t>10</w:t>
            </w:r>
          </w:p>
        </w:tc>
        <w:tc>
          <w:tcPr>
            <w:tcW w:w="1402" w:type="dxa"/>
            <w:tcBorders>
              <w:top w:val="nil"/>
              <w:left w:val="nil"/>
              <w:bottom w:val="single" w:sz="4" w:space="0" w:color="auto"/>
              <w:right w:val="single" w:sz="4" w:space="0" w:color="auto"/>
            </w:tcBorders>
            <w:shd w:val="clear" w:color="auto" w:fill="auto"/>
            <w:noWrap/>
            <w:vAlign w:val="center"/>
            <w:hideMark/>
          </w:tcPr>
          <w:p w:rsidR="00196906" w:rsidRPr="005917B7" w:rsidRDefault="00196906" w:rsidP="005917B7">
            <w:pPr>
              <w:jc w:val="center"/>
              <w:rPr>
                <w:rFonts w:ascii="Arial Narrow" w:hAnsi="Arial Narrow"/>
                <w:color w:val="000000"/>
                <w:sz w:val="18"/>
                <w:szCs w:val="18"/>
              </w:rPr>
            </w:pPr>
            <w:r w:rsidRPr="005917B7">
              <w:rPr>
                <w:rFonts w:ascii="Arial Narrow" w:hAnsi="Arial Narrow"/>
                <w:color w:val="000000"/>
                <w:sz w:val="18"/>
                <w:szCs w:val="18"/>
              </w:rPr>
              <w:t>87,000</w:t>
            </w:r>
          </w:p>
        </w:tc>
        <w:tc>
          <w:tcPr>
            <w:tcW w:w="718" w:type="dxa"/>
            <w:tcBorders>
              <w:top w:val="nil"/>
              <w:left w:val="nil"/>
              <w:bottom w:val="single" w:sz="4" w:space="0" w:color="auto"/>
              <w:right w:val="single" w:sz="4" w:space="0" w:color="auto"/>
            </w:tcBorders>
            <w:vAlign w:val="center"/>
          </w:tcPr>
          <w:p w:rsidR="00196906" w:rsidRPr="005917B7" w:rsidRDefault="00196906" w:rsidP="00B91B1F">
            <w:pPr>
              <w:jc w:val="center"/>
              <w:rPr>
                <w:rFonts w:ascii="Arial Narrow" w:hAnsi="Arial Narrow"/>
                <w:color w:val="000000"/>
                <w:sz w:val="18"/>
                <w:szCs w:val="18"/>
              </w:rPr>
            </w:pPr>
            <w:r>
              <w:rPr>
                <w:rFonts w:ascii="Arial Narrow" w:hAnsi="Arial Narrow"/>
                <w:color w:val="000000"/>
                <w:sz w:val="18"/>
                <w:szCs w:val="18"/>
              </w:rPr>
              <w:t>$34.02</w:t>
            </w:r>
          </w:p>
        </w:tc>
        <w:tc>
          <w:tcPr>
            <w:tcW w:w="1129" w:type="dxa"/>
            <w:tcBorders>
              <w:top w:val="nil"/>
              <w:left w:val="nil"/>
              <w:bottom w:val="single" w:sz="4" w:space="0" w:color="auto"/>
              <w:right w:val="single" w:sz="4" w:space="0" w:color="auto"/>
            </w:tcBorders>
            <w:vAlign w:val="center"/>
          </w:tcPr>
          <w:p w:rsidR="00196906" w:rsidRPr="005917B7" w:rsidRDefault="00196906" w:rsidP="00B91B1F">
            <w:pPr>
              <w:jc w:val="center"/>
              <w:rPr>
                <w:rFonts w:ascii="Arial Narrow" w:hAnsi="Arial Narrow"/>
                <w:color w:val="000000"/>
                <w:sz w:val="18"/>
                <w:szCs w:val="18"/>
              </w:rPr>
            </w:pPr>
            <w:r>
              <w:rPr>
                <w:rFonts w:ascii="Arial Narrow" w:hAnsi="Arial Narrow"/>
                <w:color w:val="000000"/>
                <w:sz w:val="18"/>
                <w:szCs w:val="18"/>
              </w:rPr>
              <w:t>$3,000,000</w:t>
            </w:r>
          </w:p>
        </w:tc>
      </w:tr>
      <w:tr w:rsidR="00A64EFE" w:rsidRPr="005917B7" w:rsidTr="00B91B1F">
        <w:trPr>
          <w:trHeight w:val="555"/>
          <w:jc w:val="center"/>
        </w:trPr>
        <w:tc>
          <w:tcPr>
            <w:tcW w:w="2195" w:type="dxa"/>
            <w:tcBorders>
              <w:top w:val="nil"/>
              <w:left w:val="single" w:sz="4" w:space="0" w:color="auto"/>
              <w:bottom w:val="single" w:sz="4" w:space="0" w:color="auto"/>
              <w:right w:val="single" w:sz="4" w:space="0" w:color="auto"/>
            </w:tcBorders>
            <w:shd w:val="clear" w:color="auto" w:fill="auto"/>
            <w:noWrap/>
            <w:vAlign w:val="center"/>
            <w:hideMark/>
          </w:tcPr>
          <w:p w:rsidR="00196906" w:rsidRPr="005917B7" w:rsidRDefault="00196906" w:rsidP="005917B7">
            <w:pPr>
              <w:jc w:val="center"/>
              <w:rPr>
                <w:rFonts w:ascii="Arial Narrow" w:hAnsi="Arial Narrow"/>
                <w:b/>
                <w:bCs/>
                <w:color w:val="000000"/>
                <w:sz w:val="18"/>
                <w:szCs w:val="18"/>
              </w:rPr>
            </w:pPr>
            <w:r w:rsidRPr="005917B7">
              <w:rPr>
                <w:rFonts w:ascii="Arial Narrow" w:hAnsi="Arial Narrow"/>
                <w:b/>
                <w:bCs/>
                <w:color w:val="000000"/>
                <w:sz w:val="18"/>
                <w:szCs w:val="18"/>
              </w:rPr>
              <w:t>SAPs Report Driver Information Following Initial Assessment</w:t>
            </w:r>
          </w:p>
        </w:tc>
        <w:tc>
          <w:tcPr>
            <w:tcW w:w="1094" w:type="dxa"/>
            <w:tcBorders>
              <w:top w:val="nil"/>
              <w:left w:val="nil"/>
              <w:bottom w:val="single" w:sz="4" w:space="0" w:color="auto"/>
              <w:right w:val="single" w:sz="4" w:space="0" w:color="auto"/>
            </w:tcBorders>
            <w:shd w:val="clear" w:color="auto" w:fill="auto"/>
            <w:noWrap/>
            <w:vAlign w:val="center"/>
            <w:hideMark/>
          </w:tcPr>
          <w:p w:rsidR="00196906" w:rsidRPr="005917B7" w:rsidRDefault="00196906" w:rsidP="005917B7">
            <w:pPr>
              <w:jc w:val="center"/>
              <w:rPr>
                <w:rFonts w:ascii="Arial Narrow" w:hAnsi="Arial Narrow"/>
                <w:color w:val="000000"/>
                <w:sz w:val="18"/>
                <w:szCs w:val="18"/>
              </w:rPr>
            </w:pPr>
            <w:r w:rsidRPr="005917B7">
              <w:rPr>
                <w:rFonts w:ascii="Arial Narrow" w:hAnsi="Arial Narrow"/>
                <w:color w:val="000000"/>
                <w:sz w:val="18"/>
                <w:szCs w:val="18"/>
              </w:rPr>
              <w:t>SAPs</w:t>
            </w:r>
          </w:p>
        </w:tc>
        <w:tc>
          <w:tcPr>
            <w:tcW w:w="1216" w:type="dxa"/>
            <w:tcBorders>
              <w:top w:val="nil"/>
              <w:left w:val="nil"/>
              <w:bottom w:val="single" w:sz="4" w:space="0" w:color="auto"/>
              <w:right w:val="single" w:sz="4" w:space="0" w:color="auto"/>
            </w:tcBorders>
            <w:shd w:val="clear" w:color="auto" w:fill="auto"/>
            <w:vAlign w:val="center"/>
            <w:hideMark/>
          </w:tcPr>
          <w:p w:rsidR="00196906" w:rsidRPr="005917B7" w:rsidRDefault="00196906" w:rsidP="005917B7">
            <w:pPr>
              <w:jc w:val="center"/>
              <w:rPr>
                <w:rFonts w:ascii="Arial Narrow" w:hAnsi="Arial Narrow"/>
                <w:color w:val="000000"/>
                <w:sz w:val="18"/>
                <w:szCs w:val="18"/>
              </w:rPr>
            </w:pPr>
            <w:r w:rsidRPr="005917B7">
              <w:rPr>
                <w:rFonts w:ascii="Arial Narrow" w:hAnsi="Arial Narrow"/>
                <w:color w:val="000000"/>
                <w:sz w:val="18"/>
                <w:szCs w:val="18"/>
              </w:rPr>
              <w:t>Occupational Health Specialist</w:t>
            </w:r>
          </w:p>
        </w:tc>
        <w:tc>
          <w:tcPr>
            <w:tcW w:w="1407" w:type="dxa"/>
            <w:tcBorders>
              <w:top w:val="nil"/>
              <w:left w:val="nil"/>
              <w:bottom w:val="single" w:sz="4" w:space="0" w:color="auto"/>
              <w:right w:val="single" w:sz="4" w:space="0" w:color="auto"/>
            </w:tcBorders>
            <w:shd w:val="clear" w:color="auto" w:fill="auto"/>
            <w:noWrap/>
            <w:vAlign w:val="center"/>
            <w:hideMark/>
          </w:tcPr>
          <w:p w:rsidR="00196906" w:rsidRPr="005917B7" w:rsidRDefault="00196906" w:rsidP="005917B7">
            <w:pPr>
              <w:jc w:val="center"/>
              <w:rPr>
                <w:rFonts w:ascii="Arial Narrow" w:hAnsi="Arial Narrow"/>
                <w:color w:val="000000"/>
                <w:sz w:val="18"/>
                <w:szCs w:val="18"/>
              </w:rPr>
            </w:pPr>
            <w:r w:rsidRPr="005917B7">
              <w:rPr>
                <w:rFonts w:ascii="Arial Narrow" w:hAnsi="Arial Narrow"/>
                <w:color w:val="000000"/>
                <w:sz w:val="18"/>
                <w:szCs w:val="18"/>
              </w:rPr>
              <w:t>55,580</w:t>
            </w:r>
          </w:p>
        </w:tc>
        <w:tc>
          <w:tcPr>
            <w:tcW w:w="774" w:type="dxa"/>
            <w:tcBorders>
              <w:top w:val="nil"/>
              <w:left w:val="nil"/>
              <w:bottom w:val="single" w:sz="4" w:space="0" w:color="auto"/>
              <w:right w:val="single" w:sz="4" w:space="0" w:color="auto"/>
            </w:tcBorders>
            <w:shd w:val="clear" w:color="auto" w:fill="auto"/>
            <w:noWrap/>
            <w:vAlign w:val="center"/>
            <w:hideMark/>
          </w:tcPr>
          <w:p w:rsidR="00196906" w:rsidRPr="005917B7" w:rsidRDefault="00196906" w:rsidP="005917B7">
            <w:pPr>
              <w:jc w:val="center"/>
              <w:rPr>
                <w:rFonts w:ascii="Arial Narrow" w:hAnsi="Arial Narrow"/>
                <w:color w:val="000000"/>
                <w:sz w:val="18"/>
                <w:szCs w:val="18"/>
              </w:rPr>
            </w:pPr>
            <w:r w:rsidRPr="005917B7">
              <w:rPr>
                <w:rFonts w:ascii="Arial Narrow" w:hAnsi="Arial Narrow"/>
                <w:color w:val="000000"/>
                <w:sz w:val="18"/>
                <w:szCs w:val="18"/>
              </w:rPr>
              <w:t>10</w:t>
            </w:r>
          </w:p>
        </w:tc>
        <w:tc>
          <w:tcPr>
            <w:tcW w:w="1402" w:type="dxa"/>
            <w:tcBorders>
              <w:top w:val="nil"/>
              <w:left w:val="nil"/>
              <w:bottom w:val="single" w:sz="4" w:space="0" w:color="auto"/>
              <w:right w:val="single" w:sz="4" w:space="0" w:color="auto"/>
            </w:tcBorders>
            <w:shd w:val="clear" w:color="auto" w:fill="auto"/>
            <w:noWrap/>
            <w:vAlign w:val="center"/>
            <w:hideMark/>
          </w:tcPr>
          <w:p w:rsidR="00196906" w:rsidRPr="005917B7" w:rsidRDefault="00196906" w:rsidP="005917B7">
            <w:pPr>
              <w:jc w:val="center"/>
              <w:rPr>
                <w:rFonts w:ascii="Arial Narrow" w:hAnsi="Arial Narrow"/>
                <w:color w:val="000000"/>
                <w:sz w:val="18"/>
                <w:szCs w:val="18"/>
              </w:rPr>
            </w:pPr>
            <w:r w:rsidRPr="005917B7">
              <w:rPr>
                <w:rFonts w:ascii="Arial Narrow" w:hAnsi="Arial Narrow"/>
                <w:color w:val="000000"/>
                <w:sz w:val="18"/>
                <w:szCs w:val="18"/>
              </w:rPr>
              <w:t>9,000</w:t>
            </w:r>
          </w:p>
        </w:tc>
        <w:tc>
          <w:tcPr>
            <w:tcW w:w="718" w:type="dxa"/>
            <w:tcBorders>
              <w:top w:val="nil"/>
              <w:left w:val="nil"/>
              <w:bottom w:val="single" w:sz="4" w:space="0" w:color="auto"/>
              <w:right w:val="single" w:sz="4" w:space="0" w:color="auto"/>
            </w:tcBorders>
            <w:vAlign w:val="center"/>
          </w:tcPr>
          <w:p w:rsidR="00196906" w:rsidRPr="005917B7" w:rsidRDefault="00196906" w:rsidP="00B91B1F">
            <w:pPr>
              <w:jc w:val="center"/>
              <w:rPr>
                <w:rFonts w:ascii="Arial Narrow" w:hAnsi="Arial Narrow"/>
                <w:color w:val="000000"/>
                <w:sz w:val="18"/>
                <w:szCs w:val="18"/>
              </w:rPr>
            </w:pPr>
            <w:r>
              <w:rPr>
                <w:rFonts w:ascii="Arial Narrow" w:hAnsi="Arial Narrow"/>
                <w:color w:val="000000"/>
                <w:sz w:val="18"/>
                <w:szCs w:val="18"/>
              </w:rPr>
              <w:t>$64.65</w:t>
            </w:r>
          </w:p>
        </w:tc>
        <w:tc>
          <w:tcPr>
            <w:tcW w:w="1129" w:type="dxa"/>
            <w:tcBorders>
              <w:top w:val="nil"/>
              <w:left w:val="nil"/>
              <w:bottom w:val="single" w:sz="4" w:space="0" w:color="auto"/>
              <w:right w:val="single" w:sz="4" w:space="0" w:color="auto"/>
            </w:tcBorders>
            <w:vAlign w:val="center"/>
          </w:tcPr>
          <w:p w:rsidR="00196906" w:rsidRPr="005917B7" w:rsidRDefault="00196906" w:rsidP="00B91B1F">
            <w:pPr>
              <w:jc w:val="center"/>
              <w:rPr>
                <w:rFonts w:ascii="Arial Narrow" w:hAnsi="Arial Narrow"/>
                <w:color w:val="000000"/>
                <w:sz w:val="18"/>
                <w:szCs w:val="18"/>
              </w:rPr>
            </w:pPr>
            <w:r>
              <w:rPr>
                <w:rFonts w:ascii="Arial Narrow" w:hAnsi="Arial Narrow"/>
                <w:color w:val="000000"/>
                <w:sz w:val="18"/>
                <w:szCs w:val="18"/>
              </w:rPr>
              <w:t>$600,000</w:t>
            </w:r>
          </w:p>
        </w:tc>
      </w:tr>
      <w:tr w:rsidR="00A64EFE" w:rsidRPr="005917B7" w:rsidTr="00B91B1F">
        <w:trPr>
          <w:trHeight w:val="300"/>
          <w:jc w:val="center"/>
        </w:trPr>
        <w:tc>
          <w:tcPr>
            <w:tcW w:w="2195" w:type="dxa"/>
            <w:tcBorders>
              <w:top w:val="nil"/>
              <w:left w:val="single" w:sz="4" w:space="0" w:color="auto"/>
              <w:bottom w:val="single" w:sz="4" w:space="0" w:color="auto"/>
              <w:right w:val="single" w:sz="4" w:space="0" w:color="auto"/>
            </w:tcBorders>
            <w:shd w:val="clear" w:color="auto" w:fill="auto"/>
            <w:noWrap/>
            <w:vAlign w:val="center"/>
            <w:hideMark/>
          </w:tcPr>
          <w:p w:rsidR="00196906" w:rsidRPr="005917B7" w:rsidRDefault="00196906" w:rsidP="005917B7">
            <w:pPr>
              <w:jc w:val="center"/>
              <w:rPr>
                <w:rFonts w:ascii="Arial Narrow" w:hAnsi="Arial Narrow"/>
                <w:b/>
                <w:bCs/>
                <w:color w:val="000000"/>
                <w:sz w:val="18"/>
                <w:szCs w:val="18"/>
              </w:rPr>
            </w:pPr>
            <w:r w:rsidRPr="005917B7">
              <w:rPr>
                <w:rFonts w:ascii="Arial Narrow" w:hAnsi="Arial Narrow"/>
                <w:b/>
                <w:bCs/>
                <w:color w:val="000000"/>
                <w:sz w:val="18"/>
                <w:szCs w:val="18"/>
              </w:rPr>
              <w:t>Report/Notify Positive Tests</w:t>
            </w:r>
            <w:r>
              <w:rPr>
                <w:rFonts w:ascii="Arial Narrow" w:hAnsi="Arial Narrow"/>
                <w:b/>
                <w:bCs/>
                <w:color w:val="000000"/>
                <w:sz w:val="18"/>
                <w:szCs w:val="18"/>
              </w:rPr>
              <w:t>/Other Violations</w:t>
            </w:r>
          </w:p>
        </w:tc>
        <w:tc>
          <w:tcPr>
            <w:tcW w:w="1094" w:type="dxa"/>
            <w:tcBorders>
              <w:top w:val="nil"/>
              <w:left w:val="nil"/>
              <w:bottom w:val="single" w:sz="4" w:space="0" w:color="auto"/>
              <w:right w:val="single" w:sz="4" w:space="0" w:color="auto"/>
            </w:tcBorders>
            <w:shd w:val="clear" w:color="auto" w:fill="auto"/>
            <w:noWrap/>
            <w:vAlign w:val="center"/>
            <w:hideMark/>
          </w:tcPr>
          <w:p w:rsidR="00196906" w:rsidRPr="005917B7" w:rsidRDefault="00196906" w:rsidP="005917B7">
            <w:pPr>
              <w:jc w:val="center"/>
              <w:rPr>
                <w:rFonts w:ascii="Arial Narrow" w:hAnsi="Arial Narrow"/>
                <w:color w:val="000000"/>
                <w:sz w:val="18"/>
                <w:szCs w:val="18"/>
              </w:rPr>
            </w:pPr>
            <w:r w:rsidRPr="005917B7">
              <w:rPr>
                <w:rFonts w:ascii="Arial Narrow" w:hAnsi="Arial Narrow"/>
                <w:color w:val="000000"/>
                <w:sz w:val="18"/>
                <w:szCs w:val="18"/>
              </w:rPr>
              <w:t>Various</w:t>
            </w:r>
          </w:p>
        </w:tc>
        <w:tc>
          <w:tcPr>
            <w:tcW w:w="1216" w:type="dxa"/>
            <w:tcBorders>
              <w:top w:val="nil"/>
              <w:left w:val="nil"/>
              <w:bottom w:val="single" w:sz="4" w:space="0" w:color="auto"/>
              <w:right w:val="single" w:sz="4" w:space="0" w:color="auto"/>
            </w:tcBorders>
            <w:shd w:val="clear" w:color="auto" w:fill="auto"/>
            <w:noWrap/>
            <w:vAlign w:val="center"/>
            <w:hideMark/>
          </w:tcPr>
          <w:p w:rsidR="00196906" w:rsidRPr="005917B7" w:rsidRDefault="00196906" w:rsidP="005917B7">
            <w:pPr>
              <w:jc w:val="center"/>
              <w:rPr>
                <w:rFonts w:ascii="Arial Narrow" w:hAnsi="Arial Narrow"/>
                <w:color w:val="000000"/>
                <w:sz w:val="18"/>
                <w:szCs w:val="18"/>
              </w:rPr>
            </w:pPr>
            <w:r w:rsidRPr="005917B7">
              <w:rPr>
                <w:rFonts w:ascii="Arial Narrow" w:hAnsi="Arial Narrow"/>
                <w:color w:val="000000"/>
                <w:sz w:val="18"/>
                <w:szCs w:val="18"/>
              </w:rPr>
              <w:t>Bookkeeping Clerk</w:t>
            </w:r>
          </w:p>
        </w:tc>
        <w:tc>
          <w:tcPr>
            <w:tcW w:w="1407" w:type="dxa"/>
            <w:tcBorders>
              <w:top w:val="nil"/>
              <w:left w:val="nil"/>
              <w:bottom w:val="single" w:sz="4" w:space="0" w:color="auto"/>
              <w:right w:val="single" w:sz="4" w:space="0" w:color="auto"/>
            </w:tcBorders>
            <w:shd w:val="clear" w:color="auto" w:fill="auto"/>
            <w:noWrap/>
            <w:vAlign w:val="center"/>
            <w:hideMark/>
          </w:tcPr>
          <w:p w:rsidR="00196906" w:rsidRPr="005917B7" w:rsidRDefault="00196906" w:rsidP="005917B7">
            <w:pPr>
              <w:jc w:val="center"/>
              <w:rPr>
                <w:rFonts w:ascii="Arial Narrow" w:hAnsi="Arial Narrow"/>
                <w:color w:val="000000"/>
                <w:sz w:val="18"/>
                <w:szCs w:val="18"/>
              </w:rPr>
            </w:pPr>
            <w:r w:rsidRPr="005917B7">
              <w:rPr>
                <w:rFonts w:ascii="Arial Narrow" w:hAnsi="Arial Narrow"/>
                <w:color w:val="000000"/>
                <w:sz w:val="18"/>
                <w:szCs w:val="18"/>
              </w:rPr>
              <w:t>117,000</w:t>
            </w:r>
          </w:p>
        </w:tc>
        <w:tc>
          <w:tcPr>
            <w:tcW w:w="774" w:type="dxa"/>
            <w:tcBorders>
              <w:top w:val="nil"/>
              <w:left w:val="nil"/>
              <w:bottom w:val="single" w:sz="4" w:space="0" w:color="auto"/>
              <w:right w:val="single" w:sz="4" w:space="0" w:color="auto"/>
            </w:tcBorders>
            <w:shd w:val="clear" w:color="auto" w:fill="auto"/>
            <w:noWrap/>
            <w:vAlign w:val="center"/>
            <w:hideMark/>
          </w:tcPr>
          <w:p w:rsidR="00196906" w:rsidRPr="005917B7" w:rsidRDefault="00196906" w:rsidP="005917B7">
            <w:pPr>
              <w:jc w:val="center"/>
              <w:rPr>
                <w:rFonts w:ascii="Arial Narrow" w:hAnsi="Arial Narrow"/>
                <w:color w:val="000000"/>
                <w:sz w:val="18"/>
                <w:szCs w:val="18"/>
              </w:rPr>
            </w:pPr>
            <w:r w:rsidRPr="005917B7">
              <w:rPr>
                <w:rFonts w:ascii="Arial Narrow" w:hAnsi="Arial Narrow"/>
                <w:color w:val="000000"/>
                <w:sz w:val="18"/>
                <w:szCs w:val="18"/>
              </w:rPr>
              <w:t>10</w:t>
            </w:r>
          </w:p>
        </w:tc>
        <w:tc>
          <w:tcPr>
            <w:tcW w:w="1402" w:type="dxa"/>
            <w:tcBorders>
              <w:top w:val="nil"/>
              <w:left w:val="nil"/>
              <w:bottom w:val="single" w:sz="4" w:space="0" w:color="auto"/>
              <w:right w:val="single" w:sz="4" w:space="0" w:color="auto"/>
            </w:tcBorders>
            <w:shd w:val="clear" w:color="auto" w:fill="auto"/>
            <w:noWrap/>
            <w:vAlign w:val="center"/>
            <w:hideMark/>
          </w:tcPr>
          <w:p w:rsidR="00196906" w:rsidRPr="005917B7" w:rsidRDefault="00196906" w:rsidP="005917B7">
            <w:pPr>
              <w:jc w:val="center"/>
              <w:rPr>
                <w:rFonts w:ascii="Arial Narrow" w:hAnsi="Arial Narrow"/>
                <w:color w:val="000000"/>
                <w:sz w:val="18"/>
                <w:szCs w:val="18"/>
              </w:rPr>
            </w:pPr>
            <w:r w:rsidRPr="005917B7">
              <w:rPr>
                <w:rFonts w:ascii="Arial Narrow" w:hAnsi="Arial Narrow"/>
                <w:color w:val="000000"/>
                <w:sz w:val="18"/>
                <w:szCs w:val="18"/>
              </w:rPr>
              <w:t>20,000</w:t>
            </w:r>
          </w:p>
        </w:tc>
        <w:tc>
          <w:tcPr>
            <w:tcW w:w="718" w:type="dxa"/>
            <w:tcBorders>
              <w:top w:val="nil"/>
              <w:left w:val="nil"/>
              <w:bottom w:val="single" w:sz="4" w:space="0" w:color="auto"/>
              <w:right w:val="single" w:sz="4" w:space="0" w:color="auto"/>
            </w:tcBorders>
            <w:vAlign w:val="center"/>
          </w:tcPr>
          <w:p w:rsidR="00196906" w:rsidRPr="005917B7" w:rsidRDefault="00196906" w:rsidP="00B91B1F">
            <w:pPr>
              <w:jc w:val="center"/>
              <w:rPr>
                <w:rFonts w:ascii="Arial Narrow" w:hAnsi="Arial Narrow"/>
                <w:color w:val="000000"/>
                <w:sz w:val="18"/>
                <w:szCs w:val="18"/>
              </w:rPr>
            </w:pPr>
            <w:r>
              <w:rPr>
                <w:rFonts w:ascii="Arial Narrow" w:hAnsi="Arial Narrow"/>
                <w:color w:val="000000"/>
                <w:sz w:val="18"/>
                <w:szCs w:val="18"/>
              </w:rPr>
              <w:t>$34.02</w:t>
            </w:r>
          </w:p>
        </w:tc>
        <w:tc>
          <w:tcPr>
            <w:tcW w:w="1129" w:type="dxa"/>
            <w:tcBorders>
              <w:top w:val="nil"/>
              <w:left w:val="nil"/>
              <w:bottom w:val="single" w:sz="4" w:space="0" w:color="auto"/>
              <w:right w:val="single" w:sz="4" w:space="0" w:color="auto"/>
            </w:tcBorders>
            <w:vAlign w:val="center"/>
          </w:tcPr>
          <w:p w:rsidR="00196906" w:rsidRPr="005917B7" w:rsidRDefault="00196906" w:rsidP="00B91B1F">
            <w:pPr>
              <w:jc w:val="center"/>
              <w:rPr>
                <w:rFonts w:ascii="Arial Narrow" w:hAnsi="Arial Narrow"/>
                <w:color w:val="000000"/>
                <w:sz w:val="18"/>
                <w:szCs w:val="18"/>
              </w:rPr>
            </w:pPr>
            <w:r>
              <w:rPr>
                <w:rFonts w:ascii="Arial Narrow" w:hAnsi="Arial Narrow"/>
                <w:color w:val="000000"/>
                <w:sz w:val="18"/>
                <w:szCs w:val="18"/>
              </w:rPr>
              <w:t>$700,000</w:t>
            </w:r>
          </w:p>
        </w:tc>
      </w:tr>
      <w:tr w:rsidR="00A64EFE" w:rsidRPr="005917B7" w:rsidTr="00B91B1F">
        <w:trPr>
          <w:trHeight w:val="300"/>
          <w:jc w:val="center"/>
        </w:trPr>
        <w:tc>
          <w:tcPr>
            <w:tcW w:w="2195" w:type="dxa"/>
            <w:tcBorders>
              <w:top w:val="nil"/>
              <w:left w:val="single" w:sz="4" w:space="0" w:color="auto"/>
              <w:bottom w:val="single" w:sz="4" w:space="0" w:color="auto"/>
              <w:right w:val="single" w:sz="4" w:space="0" w:color="auto"/>
            </w:tcBorders>
            <w:shd w:val="clear" w:color="auto" w:fill="auto"/>
            <w:noWrap/>
            <w:vAlign w:val="center"/>
            <w:hideMark/>
          </w:tcPr>
          <w:p w:rsidR="00196906" w:rsidRPr="005917B7" w:rsidRDefault="00196906" w:rsidP="001648C1">
            <w:pPr>
              <w:jc w:val="center"/>
              <w:rPr>
                <w:rFonts w:ascii="Arial Narrow" w:hAnsi="Arial Narrow"/>
                <w:b/>
                <w:bCs/>
                <w:color w:val="000000"/>
                <w:sz w:val="18"/>
                <w:szCs w:val="18"/>
              </w:rPr>
            </w:pPr>
            <w:r w:rsidRPr="005917B7">
              <w:rPr>
                <w:rFonts w:ascii="Arial Narrow" w:hAnsi="Arial Narrow"/>
                <w:b/>
                <w:bCs/>
                <w:color w:val="000000"/>
                <w:sz w:val="18"/>
                <w:szCs w:val="18"/>
              </w:rPr>
              <w:t xml:space="preserve">Register / Familiarize </w:t>
            </w:r>
          </w:p>
        </w:tc>
        <w:tc>
          <w:tcPr>
            <w:tcW w:w="1094" w:type="dxa"/>
            <w:tcBorders>
              <w:top w:val="nil"/>
              <w:left w:val="nil"/>
              <w:bottom w:val="single" w:sz="4" w:space="0" w:color="auto"/>
              <w:right w:val="single" w:sz="4" w:space="0" w:color="auto"/>
            </w:tcBorders>
            <w:shd w:val="clear" w:color="auto" w:fill="auto"/>
            <w:noWrap/>
            <w:vAlign w:val="center"/>
            <w:hideMark/>
          </w:tcPr>
          <w:p w:rsidR="00196906" w:rsidRPr="005917B7" w:rsidRDefault="00196906" w:rsidP="005917B7">
            <w:pPr>
              <w:jc w:val="center"/>
              <w:rPr>
                <w:rFonts w:ascii="Arial Narrow" w:hAnsi="Arial Narrow"/>
                <w:color w:val="000000"/>
                <w:sz w:val="18"/>
                <w:szCs w:val="18"/>
              </w:rPr>
            </w:pPr>
            <w:r w:rsidRPr="005917B7">
              <w:rPr>
                <w:rFonts w:ascii="Arial Narrow" w:hAnsi="Arial Narrow"/>
                <w:color w:val="000000"/>
                <w:sz w:val="18"/>
                <w:szCs w:val="18"/>
              </w:rPr>
              <w:t>Various</w:t>
            </w:r>
          </w:p>
        </w:tc>
        <w:tc>
          <w:tcPr>
            <w:tcW w:w="1216" w:type="dxa"/>
            <w:tcBorders>
              <w:top w:val="nil"/>
              <w:left w:val="nil"/>
              <w:bottom w:val="single" w:sz="4" w:space="0" w:color="auto"/>
              <w:right w:val="single" w:sz="4" w:space="0" w:color="auto"/>
            </w:tcBorders>
            <w:shd w:val="clear" w:color="auto" w:fill="auto"/>
            <w:noWrap/>
            <w:vAlign w:val="center"/>
            <w:hideMark/>
          </w:tcPr>
          <w:p w:rsidR="00196906" w:rsidRPr="005917B7" w:rsidRDefault="00196906" w:rsidP="005917B7">
            <w:pPr>
              <w:jc w:val="center"/>
              <w:rPr>
                <w:rFonts w:ascii="Arial Narrow" w:hAnsi="Arial Narrow"/>
                <w:color w:val="000000"/>
                <w:sz w:val="18"/>
                <w:szCs w:val="18"/>
              </w:rPr>
            </w:pPr>
            <w:r w:rsidRPr="005917B7">
              <w:rPr>
                <w:rFonts w:ascii="Arial Narrow" w:hAnsi="Arial Narrow"/>
                <w:color w:val="000000"/>
                <w:sz w:val="18"/>
                <w:szCs w:val="18"/>
              </w:rPr>
              <w:t>Bookkeeping Clerk</w:t>
            </w:r>
          </w:p>
        </w:tc>
        <w:tc>
          <w:tcPr>
            <w:tcW w:w="1407" w:type="dxa"/>
            <w:tcBorders>
              <w:top w:val="nil"/>
              <w:left w:val="nil"/>
              <w:bottom w:val="single" w:sz="4" w:space="0" w:color="auto"/>
              <w:right w:val="single" w:sz="4" w:space="0" w:color="auto"/>
            </w:tcBorders>
            <w:shd w:val="clear" w:color="auto" w:fill="auto"/>
            <w:noWrap/>
            <w:vAlign w:val="center"/>
            <w:hideMark/>
          </w:tcPr>
          <w:p w:rsidR="00196906" w:rsidRPr="005917B7" w:rsidRDefault="007E65F8" w:rsidP="005917B7">
            <w:pPr>
              <w:jc w:val="center"/>
              <w:rPr>
                <w:rFonts w:ascii="Arial Narrow" w:hAnsi="Arial Narrow"/>
                <w:color w:val="000000"/>
                <w:sz w:val="18"/>
                <w:szCs w:val="18"/>
              </w:rPr>
            </w:pPr>
            <w:r>
              <w:rPr>
                <w:rFonts w:ascii="Arial Narrow" w:hAnsi="Arial Narrow"/>
                <w:color w:val="000000"/>
                <w:sz w:val="18"/>
                <w:szCs w:val="18"/>
              </w:rPr>
              <w:t>137,750</w:t>
            </w:r>
          </w:p>
        </w:tc>
        <w:tc>
          <w:tcPr>
            <w:tcW w:w="774" w:type="dxa"/>
            <w:tcBorders>
              <w:top w:val="nil"/>
              <w:left w:val="nil"/>
              <w:bottom w:val="single" w:sz="4" w:space="0" w:color="auto"/>
              <w:right w:val="single" w:sz="4" w:space="0" w:color="auto"/>
            </w:tcBorders>
            <w:shd w:val="clear" w:color="auto" w:fill="auto"/>
            <w:noWrap/>
            <w:vAlign w:val="center"/>
            <w:hideMark/>
          </w:tcPr>
          <w:p w:rsidR="00196906" w:rsidRPr="005917B7" w:rsidRDefault="00A40313" w:rsidP="001648C1">
            <w:pPr>
              <w:jc w:val="center"/>
              <w:rPr>
                <w:rFonts w:ascii="Arial Narrow" w:hAnsi="Arial Narrow"/>
                <w:color w:val="000000"/>
                <w:sz w:val="18"/>
                <w:szCs w:val="18"/>
              </w:rPr>
            </w:pPr>
            <w:r>
              <w:rPr>
                <w:rFonts w:ascii="Arial Narrow" w:hAnsi="Arial Narrow"/>
                <w:color w:val="000000"/>
                <w:sz w:val="18"/>
                <w:szCs w:val="18"/>
              </w:rPr>
              <w:t>20</w:t>
            </w:r>
          </w:p>
        </w:tc>
        <w:tc>
          <w:tcPr>
            <w:tcW w:w="1402" w:type="dxa"/>
            <w:tcBorders>
              <w:top w:val="nil"/>
              <w:left w:val="nil"/>
              <w:bottom w:val="single" w:sz="4" w:space="0" w:color="auto"/>
              <w:right w:val="single" w:sz="4" w:space="0" w:color="auto"/>
            </w:tcBorders>
            <w:shd w:val="clear" w:color="auto" w:fill="auto"/>
            <w:noWrap/>
            <w:vAlign w:val="center"/>
            <w:hideMark/>
          </w:tcPr>
          <w:p w:rsidR="00196906" w:rsidRPr="005917B7" w:rsidRDefault="007E65F8" w:rsidP="005917B7">
            <w:pPr>
              <w:jc w:val="center"/>
              <w:rPr>
                <w:rFonts w:ascii="Arial Narrow" w:hAnsi="Arial Narrow"/>
                <w:color w:val="000000"/>
                <w:sz w:val="18"/>
                <w:szCs w:val="18"/>
              </w:rPr>
            </w:pPr>
            <w:r>
              <w:rPr>
                <w:rFonts w:ascii="Arial Narrow" w:hAnsi="Arial Narrow"/>
                <w:color w:val="000000"/>
                <w:sz w:val="18"/>
                <w:szCs w:val="18"/>
              </w:rPr>
              <w:t>45,917</w:t>
            </w:r>
          </w:p>
        </w:tc>
        <w:tc>
          <w:tcPr>
            <w:tcW w:w="718" w:type="dxa"/>
            <w:tcBorders>
              <w:top w:val="nil"/>
              <w:left w:val="nil"/>
              <w:bottom w:val="single" w:sz="4" w:space="0" w:color="auto"/>
              <w:right w:val="single" w:sz="4" w:space="0" w:color="auto"/>
            </w:tcBorders>
            <w:vAlign w:val="center"/>
          </w:tcPr>
          <w:p w:rsidR="00196906" w:rsidRPr="005917B7" w:rsidRDefault="007E65F8" w:rsidP="00B91B1F">
            <w:pPr>
              <w:jc w:val="center"/>
              <w:rPr>
                <w:rFonts w:ascii="Arial Narrow" w:hAnsi="Arial Narrow"/>
                <w:color w:val="000000"/>
                <w:sz w:val="18"/>
                <w:szCs w:val="18"/>
              </w:rPr>
            </w:pPr>
            <w:r>
              <w:rPr>
                <w:rFonts w:ascii="Arial Narrow" w:hAnsi="Arial Narrow"/>
                <w:color w:val="000000"/>
                <w:sz w:val="18"/>
                <w:szCs w:val="18"/>
              </w:rPr>
              <w:t>$34.02</w:t>
            </w:r>
          </w:p>
        </w:tc>
        <w:tc>
          <w:tcPr>
            <w:tcW w:w="1129" w:type="dxa"/>
            <w:tcBorders>
              <w:top w:val="nil"/>
              <w:left w:val="nil"/>
              <w:bottom w:val="single" w:sz="4" w:space="0" w:color="auto"/>
              <w:right w:val="single" w:sz="4" w:space="0" w:color="auto"/>
            </w:tcBorders>
            <w:vAlign w:val="center"/>
          </w:tcPr>
          <w:p w:rsidR="00196906" w:rsidRPr="005917B7" w:rsidRDefault="007E65F8" w:rsidP="00B91B1F">
            <w:pPr>
              <w:jc w:val="center"/>
              <w:rPr>
                <w:rFonts w:ascii="Arial Narrow" w:hAnsi="Arial Narrow"/>
                <w:color w:val="000000"/>
                <w:sz w:val="18"/>
                <w:szCs w:val="18"/>
              </w:rPr>
            </w:pPr>
            <w:r>
              <w:rPr>
                <w:rFonts w:ascii="Arial Narrow" w:hAnsi="Arial Narrow"/>
                <w:color w:val="000000"/>
                <w:sz w:val="18"/>
                <w:szCs w:val="18"/>
              </w:rPr>
              <w:t>$1,000,000</w:t>
            </w:r>
          </w:p>
        </w:tc>
      </w:tr>
      <w:tr w:rsidR="00815698" w:rsidRPr="00B91B1F" w:rsidTr="00B91B1F">
        <w:trPr>
          <w:trHeight w:val="300"/>
          <w:jc w:val="center"/>
        </w:trPr>
        <w:tc>
          <w:tcPr>
            <w:tcW w:w="2195" w:type="dxa"/>
            <w:tcBorders>
              <w:top w:val="nil"/>
              <w:left w:val="single" w:sz="4" w:space="0" w:color="auto"/>
              <w:bottom w:val="single" w:sz="4" w:space="0" w:color="auto"/>
              <w:right w:val="single" w:sz="4" w:space="0" w:color="auto"/>
            </w:tcBorders>
            <w:shd w:val="clear" w:color="auto" w:fill="auto"/>
            <w:noWrap/>
            <w:vAlign w:val="bottom"/>
          </w:tcPr>
          <w:p w:rsidR="00815698" w:rsidRPr="005917B7" w:rsidRDefault="00815698" w:rsidP="00A64EFE">
            <w:pPr>
              <w:jc w:val="center"/>
              <w:rPr>
                <w:rFonts w:ascii="Arial Narrow" w:hAnsi="Arial Narrow"/>
                <w:b/>
                <w:bCs/>
                <w:color w:val="000000"/>
                <w:sz w:val="18"/>
                <w:szCs w:val="18"/>
              </w:rPr>
            </w:pPr>
            <w:r>
              <w:rPr>
                <w:rFonts w:ascii="Arial Narrow" w:hAnsi="Arial Narrow"/>
                <w:b/>
                <w:bCs/>
                <w:color w:val="000000"/>
                <w:sz w:val="18"/>
                <w:szCs w:val="18"/>
              </w:rPr>
              <w:t>Authorization Verification</w:t>
            </w:r>
          </w:p>
        </w:tc>
        <w:tc>
          <w:tcPr>
            <w:tcW w:w="1094" w:type="dxa"/>
            <w:tcBorders>
              <w:top w:val="nil"/>
              <w:left w:val="nil"/>
              <w:bottom w:val="single" w:sz="4" w:space="0" w:color="auto"/>
              <w:right w:val="single" w:sz="4" w:space="0" w:color="auto"/>
            </w:tcBorders>
            <w:shd w:val="clear" w:color="auto" w:fill="auto"/>
            <w:noWrap/>
            <w:vAlign w:val="center"/>
          </w:tcPr>
          <w:p w:rsidR="00815698" w:rsidRDefault="00815698" w:rsidP="005917B7">
            <w:pPr>
              <w:jc w:val="center"/>
              <w:rPr>
                <w:rFonts w:ascii="Arial Narrow" w:hAnsi="Arial Narrow"/>
                <w:color w:val="000000"/>
                <w:sz w:val="18"/>
                <w:szCs w:val="18"/>
              </w:rPr>
            </w:pPr>
            <w:r>
              <w:rPr>
                <w:rFonts w:ascii="Arial Narrow" w:hAnsi="Arial Narrow"/>
                <w:color w:val="000000"/>
                <w:sz w:val="18"/>
                <w:szCs w:val="18"/>
              </w:rPr>
              <w:t>Various</w:t>
            </w:r>
          </w:p>
        </w:tc>
        <w:tc>
          <w:tcPr>
            <w:tcW w:w="1216" w:type="dxa"/>
            <w:tcBorders>
              <w:top w:val="nil"/>
              <w:left w:val="nil"/>
              <w:bottom w:val="single" w:sz="4" w:space="0" w:color="auto"/>
              <w:right w:val="single" w:sz="4" w:space="0" w:color="auto"/>
            </w:tcBorders>
            <w:shd w:val="clear" w:color="auto" w:fill="auto"/>
            <w:noWrap/>
            <w:vAlign w:val="center"/>
          </w:tcPr>
          <w:p w:rsidR="00815698" w:rsidRDefault="00815698" w:rsidP="005917B7">
            <w:pPr>
              <w:jc w:val="center"/>
              <w:rPr>
                <w:rFonts w:ascii="Arial Narrow" w:hAnsi="Arial Narrow"/>
                <w:color w:val="000000"/>
                <w:sz w:val="18"/>
                <w:szCs w:val="18"/>
              </w:rPr>
            </w:pPr>
          </w:p>
        </w:tc>
        <w:tc>
          <w:tcPr>
            <w:tcW w:w="1407" w:type="dxa"/>
            <w:tcBorders>
              <w:top w:val="nil"/>
              <w:left w:val="nil"/>
              <w:bottom w:val="single" w:sz="4" w:space="0" w:color="auto"/>
              <w:right w:val="single" w:sz="4" w:space="0" w:color="auto"/>
            </w:tcBorders>
            <w:shd w:val="clear" w:color="auto" w:fill="auto"/>
            <w:noWrap/>
            <w:vAlign w:val="center"/>
          </w:tcPr>
          <w:p w:rsidR="00815698" w:rsidRDefault="00A40313" w:rsidP="005917B7">
            <w:pPr>
              <w:jc w:val="center"/>
              <w:rPr>
                <w:rFonts w:ascii="Arial Narrow" w:hAnsi="Arial Narrow"/>
                <w:color w:val="000000"/>
                <w:sz w:val="18"/>
                <w:szCs w:val="18"/>
              </w:rPr>
            </w:pPr>
            <w:r>
              <w:rPr>
                <w:rFonts w:ascii="Arial Narrow" w:hAnsi="Arial Narrow"/>
                <w:color w:val="000000"/>
                <w:sz w:val="18"/>
                <w:szCs w:val="18"/>
              </w:rPr>
              <w:t>655,000</w:t>
            </w:r>
          </w:p>
        </w:tc>
        <w:tc>
          <w:tcPr>
            <w:tcW w:w="774" w:type="dxa"/>
            <w:tcBorders>
              <w:top w:val="nil"/>
              <w:left w:val="nil"/>
              <w:bottom w:val="single" w:sz="4" w:space="0" w:color="auto"/>
              <w:right w:val="single" w:sz="4" w:space="0" w:color="auto"/>
            </w:tcBorders>
            <w:shd w:val="clear" w:color="auto" w:fill="auto"/>
            <w:noWrap/>
            <w:vAlign w:val="center"/>
          </w:tcPr>
          <w:p w:rsidR="00815698" w:rsidRDefault="00A40313" w:rsidP="005917B7">
            <w:pPr>
              <w:jc w:val="center"/>
              <w:rPr>
                <w:rFonts w:ascii="Arial Narrow" w:hAnsi="Arial Narrow"/>
                <w:color w:val="000000"/>
                <w:sz w:val="18"/>
                <w:szCs w:val="18"/>
              </w:rPr>
            </w:pPr>
            <w:r>
              <w:rPr>
                <w:rFonts w:ascii="Arial Narrow" w:hAnsi="Arial Narrow"/>
                <w:color w:val="000000"/>
                <w:sz w:val="18"/>
                <w:szCs w:val="18"/>
              </w:rPr>
              <w:t>10</w:t>
            </w:r>
          </w:p>
        </w:tc>
        <w:tc>
          <w:tcPr>
            <w:tcW w:w="1402" w:type="dxa"/>
            <w:tcBorders>
              <w:top w:val="nil"/>
              <w:left w:val="nil"/>
              <w:bottom w:val="single" w:sz="4" w:space="0" w:color="auto"/>
              <w:right w:val="single" w:sz="4" w:space="0" w:color="auto"/>
            </w:tcBorders>
            <w:shd w:val="clear" w:color="auto" w:fill="auto"/>
            <w:noWrap/>
            <w:vAlign w:val="center"/>
          </w:tcPr>
          <w:p w:rsidR="00815698" w:rsidRDefault="00A40313" w:rsidP="005917B7">
            <w:pPr>
              <w:jc w:val="center"/>
              <w:rPr>
                <w:rFonts w:ascii="Arial Narrow" w:hAnsi="Arial Narrow"/>
                <w:color w:val="000000"/>
                <w:sz w:val="18"/>
                <w:szCs w:val="18"/>
              </w:rPr>
            </w:pPr>
            <w:r>
              <w:rPr>
                <w:rFonts w:ascii="Arial Narrow" w:hAnsi="Arial Narrow"/>
                <w:color w:val="000000"/>
                <w:sz w:val="18"/>
                <w:szCs w:val="18"/>
              </w:rPr>
              <w:t>109,167</w:t>
            </w:r>
          </w:p>
        </w:tc>
        <w:tc>
          <w:tcPr>
            <w:tcW w:w="718" w:type="dxa"/>
            <w:tcBorders>
              <w:top w:val="nil"/>
              <w:left w:val="nil"/>
              <w:bottom w:val="single" w:sz="4" w:space="0" w:color="auto"/>
              <w:right w:val="single" w:sz="4" w:space="0" w:color="auto"/>
            </w:tcBorders>
            <w:vAlign w:val="center"/>
          </w:tcPr>
          <w:p w:rsidR="00815698" w:rsidRPr="001648C1" w:rsidRDefault="00815698" w:rsidP="00B91B1F">
            <w:pPr>
              <w:jc w:val="center"/>
              <w:rPr>
                <w:rFonts w:ascii="Arial Narrow" w:hAnsi="Arial Narrow" w:cs="Arial"/>
                <w:color w:val="000000"/>
                <w:sz w:val="18"/>
                <w:szCs w:val="18"/>
              </w:rPr>
            </w:pPr>
            <w:r w:rsidRPr="00B91B1F">
              <w:rPr>
                <w:rFonts w:ascii="Arial Narrow" w:hAnsi="Arial Narrow" w:cs="Arial"/>
                <w:sz w:val="18"/>
                <w:szCs w:val="18"/>
              </w:rPr>
              <w:t>$34.02</w:t>
            </w:r>
          </w:p>
        </w:tc>
        <w:tc>
          <w:tcPr>
            <w:tcW w:w="1129" w:type="dxa"/>
            <w:tcBorders>
              <w:top w:val="nil"/>
              <w:left w:val="nil"/>
              <w:bottom w:val="single" w:sz="4" w:space="0" w:color="auto"/>
              <w:right w:val="single" w:sz="4" w:space="0" w:color="auto"/>
            </w:tcBorders>
            <w:vAlign w:val="center"/>
          </w:tcPr>
          <w:p w:rsidR="00815698" w:rsidRPr="001648C1" w:rsidRDefault="00815698" w:rsidP="00B91B1F">
            <w:pPr>
              <w:jc w:val="center"/>
              <w:rPr>
                <w:rFonts w:ascii="Arial Narrow" w:hAnsi="Arial Narrow" w:cs="Arial"/>
                <w:color w:val="000000"/>
                <w:sz w:val="18"/>
                <w:szCs w:val="18"/>
              </w:rPr>
            </w:pPr>
            <w:r w:rsidRPr="00B91B1F">
              <w:rPr>
                <w:rFonts w:ascii="Arial Narrow" w:hAnsi="Arial Narrow" w:cs="Arial"/>
                <w:sz w:val="18"/>
                <w:szCs w:val="18"/>
              </w:rPr>
              <w:t>$</w:t>
            </w:r>
            <w:r w:rsidR="00A40313">
              <w:rPr>
                <w:rFonts w:ascii="Arial Narrow" w:hAnsi="Arial Narrow" w:cs="Arial"/>
                <w:sz w:val="18"/>
                <w:szCs w:val="18"/>
              </w:rPr>
              <w:t>4</w:t>
            </w:r>
            <w:r w:rsidRPr="00B91B1F">
              <w:rPr>
                <w:rFonts w:ascii="Arial Narrow" w:hAnsi="Arial Narrow" w:cs="Arial"/>
                <w:sz w:val="18"/>
                <w:szCs w:val="18"/>
              </w:rPr>
              <w:t>,000,000</w:t>
            </w:r>
          </w:p>
        </w:tc>
      </w:tr>
      <w:tr w:rsidR="00A64EFE" w:rsidRPr="005917B7" w:rsidTr="00B91B1F">
        <w:trPr>
          <w:trHeight w:val="300"/>
          <w:jc w:val="center"/>
        </w:trPr>
        <w:tc>
          <w:tcPr>
            <w:tcW w:w="2195" w:type="dxa"/>
            <w:tcBorders>
              <w:top w:val="nil"/>
              <w:left w:val="single" w:sz="4" w:space="0" w:color="auto"/>
              <w:bottom w:val="single" w:sz="4" w:space="0" w:color="auto"/>
              <w:right w:val="single" w:sz="4" w:space="0" w:color="auto"/>
            </w:tcBorders>
            <w:shd w:val="clear" w:color="auto" w:fill="auto"/>
            <w:noWrap/>
            <w:vAlign w:val="bottom"/>
          </w:tcPr>
          <w:p w:rsidR="00D70A0F" w:rsidRPr="005917B7" w:rsidRDefault="00D70A0F" w:rsidP="00A64EFE">
            <w:pPr>
              <w:jc w:val="center"/>
              <w:rPr>
                <w:rFonts w:ascii="Arial Narrow" w:hAnsi="Arial Narrow"/>
                <w:b/>
                <w:bCs/>
                <w:color w:val="000000"/>
                <w:sz w:val="18"/>
                <w:szCs w:val="18"/>
              </w:rPr>
            </w:pPr>
            <w:r w:rsidRPr="005917B7">
              <w:rPr>
                <w:rFonts w:ascii="Arial Narrow" w:hAnsi="Arial Narrow"/>
                <w:b/>
                <w:bCs/>
                <w:color w:val="000000"/>
                <w:sz w:val="18"/>
                <w:szCs w:val="18"/>
              </w:rPr>
              <w:t>Driver Consent Verification</w:t>
            </w:r>
            <w:r>
              <w:rPr>
                <w:rFonts w:ascii="Arial Narrow" w:hAnsi="Arial Narrow"/>
                <w:b/>
                <w:bCs/>
                <w:color w:val="000000"/>
                <w:sz w:val="18"/>
                <w:szCs w:val="18"/>
              </w:rPr>
              <w:t xml:space="preserve"> Full Annual Queries</w:t>
            </w:r>
          </w:p>
        </w:tc>
        <w:tc>
          <w:tcPr>
            <w:tcW w:w="1094" w:type="dxa"/>
            <w:tcBorders>
              <w:top w:val="nil"/>
              <w:left w:val="nil"/>
              <w:bottom w:val="single" w:sz="4" w:space="0" w:color="auto"/>
              <w:right w:val="single" w:sz="4" w:space="0" w:color="auto"/>
            </w:tcBorders>
            <w:shd w:val="clear" w:color="auto" w:fill="auto"/>
            <w:noWrap/>
            <w:vAlign w:val="center"/>
          </w:tcPr>
          <w:p w:rsidR="00D70A0F" w:rsidRPr="005917B7" w:rsidRDefault="00D70A0F" w:rsidP="005917B7">
            <w:pPr>
              <w:jc w:val="center"/>
              <w:rPr>
                <w:rFonts w:ascii="Arial Narrow" w:hAnsi="Arial Narrow"/>
                <w:color w:val="000000"/>
                <w:sz w:val="18"/>
                <w:szCs w:val="18"/>
              </w:rPr>
            </w:pPr>
            <w:r>
              <w:rPr>
                <w:rFonts w:ascii="Arial Narrow" w:hAnsi="Arial Narrow"/>
                <w:color w:val="000000"/>
                <w:sz w:val="18"/>
                <w:szCs w:val="18"/>
              </w:rPr>
              <w:t>Drivers</w:t>
            </w:r>
          </w:p>
        </w:tc>
        <w:tc>
          <w:tcPr>
            <w:tcW w:w="1216" w:type="dxa"/>
            <w:tcBorders>
              <w:top w:val="nil"/>
              <w:left w:val="nil"/>
              <w:bottom w:val="single" w:sz="4" w:space="0" w:color="auto"/>
              <w:right w:val="single" w:sz="4" w:space="0" w:color="auto"/>
            </w:tcBorders>
            <w:shd w:val="clear" w:color="auto" w:fill="auto"/>
            <w:noWrap/>
            <w:vAlign w:val="center"/>
          </w:tcPr>
          <w:p w:rsidR="00D70A0F" w:rsidRPr="005917B7" w:rsidRDefault="00D70A0F" w:rsidP="005917B7">
            <w:pPr>
              <w:jc w:val="center"/>
              <w:rPr>
                <w:rFonts w:ascii="Arial Narrow" w:hAnsi="Arial Narrow"/>
                <w:color w:val="000000"/>
                <w:sz w:val="18"/>
                <w:szCs w:val="18"/>
              </w:rPr>
            </w:pPr>
            <w:r>
              <w:rPr>
                <w:rFonts w:ascii="Arial Narrow" w:hAnsi="Arial Narrow"/>
                <w:color w:val="000000"/>
                <w:sz w:val="18"/>
                <w:szCs w:val="18"/>
              </w:rPr>
              <w:t>Drivers</w:t>
            </w:r>
          </w:p>
        </w:tc>
        <w:tc>
          <w:tcPr>
            <w:tcW w:w="1407" w:type="dxa"/>
            <w:tcBorders>
              <w:top w:val="nil"/>
              <w:left w:val="nil"/>
              <w:bottom w:val="single" w:sz="4" w:space="0" w:color="auto"/>
              <w:right w:val="single" w:sz="4" w:space="0" w:color="auto"/>
            </w:tcBorders>
            <w:shd w:val="clear" w:color="auto" w:fill="auto"/>
            <w:noWrap/>
            <w:vAlign w:val="center"/>
          </w:tcPr>
          <w:p w:rsidR="00D70A0F" w:rsidRPr="005917B7" w:rsidRDefault="00D70A0F" w:rsidP="005917B7">
            <w:pPr>
              <w:jc w:val="center"/>
              <w:rPr>
                <w:rFonts w:ascii="Arial Narrow" w:hAnsi="Arial Narrow"/>
                <w:color w:val="000000"/>
                <w:sz w:val="18"/>
                <w:szCs w:val="18"/>
              </w:rPr>
            </w:pPr>
            <w:r>
              <w:rPr>
                <w:rFonts w:ascii="Arial Narrow" w:hAnsi="Arial Narrow"/>
                <w:color w:val="000000"/>
                <w:sz w:val="18"/>
                <w:szCs w:val="18"/>
              </w:rPr>
              <w:t>361,000</w:t>
            </w:r>
          </w:p>
        </w:tc>
        <w:tc>
          <w:tcPr>
            <w:tcW w:w="774" w:type="dxa"/>
            <w:tcBorders>
              <w:top w:val="nil"/>
              <w:left w:val="nil"/>
              <w:bottom w:val="single" w:sz="4" w:space="0" w:color="auto"/>
              <w:right w:val="single" w:sz="4" w:space="0" w:color="auto"/>
            </w:tcBorders>
            <w:shd w:val="clear" w:color="auto" w:fill="auto"/>
            <w:noWrap/>
            <w:vAlign w:val="center"/>
          </w:tcPr>
          <w:p w:rsidR="00D70A0F" w:rsidRPr="005917B7" w:rsidDel="005E7536" w:rsidRDefault="00A64EFE" w:rsidP="005917B7">
            <w:pPr>
              <w:jc w:val="center"/>
              <w:rPr>
                <w:rFonts w:ascii="Arial Narrow" w:hAnsi="Arial Narrow"/>
                <w:color w:val="000000"/>
                <w:sz w:val="18"/>
                <w:szCs w:val="18"/>
              </w:rPr>
            </w:pPr>
            <w:r>
              <w:rPr>
                <w:rFonts w:ascii="Arial Narrow" w:hAnsi="Arial Narrow"/>
                <w:color w:val="000000"/>
                <w:sz w:val="18"/>
                <w:szCs w:val="18"/>
              </w:rPr>
              <w:t>10</w:t>
            </w:r>
          </w:p>
        </w:tc>
        <w:tc>
          <w:tcPr>
            <w:tcW w:w="1402" w:type="dxa"/>
            <w:tcBorders>
              <w:top w:val="nil"/>
              <w:left w:val="nil"/>
              <w:bottom w:val="single" w:sz="4" w:space="0" w:color="auto"/>
              <w:right w:val="single" w:sz="4" w:space="0" w:color="auto"/>
            </w:tcBorders>
            <w:shd w:val="clear" w:color="auto" w:fill="auto"/>
            <w:noWrap/>
            <w:vAlign w:val="center"/>
          </w:tcPr>
          <w:p w:rsidR="00D70A0F" w:rsidRPr="005917B7" w:rsidRDefault="00A64EFE" w:rsidP="005917B7">
            <w:pPr>
              <w:jc w:val="center"/>
              <w:rPr>
                <w:rFonts w:ascii="Arial Narrow" w:hAnsi="Arial Narrow"/>
                <w:color w:val="000000"/>
                <w:sz w:val="18"/>
                <w:szCs w:val="18"/>
              </w:rPr>
            </w:pPr>
            <w:r>
              <w:rPr>
                <w:rFonts w:ascii="Arial Narrow" w:hAnsi="Arial Narrow"/>
                <w:color w:val="000000"/>
                <w:sz w:val="18"/>
                <w:szCs w:val="18"/>
              </w:rPr>
              <w:t>60,167</w:t>
            </w:r>
          </w:p>
        </w:tc>
        <w:tc>
          <w:tcPr>
            <w:tcW w:w="718" w:type="dxa"/>
            <w:tcBorders>
              <w:top w:val="nil"/>
              <w:left w:val="nil"/>
              <w:bottom w:val="single" w:sz="4" w:space="0" w:color="auto"/>
              <w:right w:val="single" w:sz="4" w:space="0" w:color="auto"/>
            </w:tcBorders>
            <w:vAlign w:val="center"/>
          </w:tcPr>
          <w:p w:rsidR="00D70A0F" w:rsidRDefault="00A64EFE" w:rsidP="00B91B1F">
            <w:pPr>
              <w:jc w:val="center"/>
              <w:rPr>
                <w:rFonts w:ascii="Arial Narrow" w:hAnsi="Arial Narrow"/>
                <w:color w:val="000000"/>
                <w:sz w:val="18"/>
                <w:szCs w:val="18"/>
              </w:rPr>
            </w:pPr>
            <w:r>
              <w:rPr>
                <w:rFonts w:ascii="Arial Narrow" w:hAnsi="Arial Narrow"/>
                <w:color w:val="000000"/>
                <w:sz w:val="18"/>
                <w:szCs w:val="18"/>
              </w:rPr>
              <w:t>$29.07</w:t>
            </w:r>
          </w:p>
        </w:tc>
        <w:tc>
          <w:tcPr>
            <w:tcW w:w="1129" w:type="dxa"/>
            <w:tcBorders>
              <w:top w:val="nil"/>
              <w:left w:val="nil"/>
              <w:bottom w:val="single" w:sz="4" w:space="0" w:color="auto"/>
              <w:right w:val="single" w:sz="4" w:space="0" w:color="auto"/>
            </w:tcBorders>
            <w:vAlign w:val="center"/>
          </w:tcPr>
          <w:p w:rsidR="00D70A0F" w:rsidRPr="005917B7" w:rsidRDefault="00A64EFE" w:rsidP="00B91B1F">
            <w:pPr>
              <w:jc w:val="center"/>
              <w:rPr>
                <w:rFonts w:ascii="Arial Narrow" w:hAnsi="Arial Narrow"/>
                <w:color w:val="000000"/>
                <w:sz w:val="18"/>
                <w:szCs w:val="18"/>
              </w:rPr>
            </w:pPr>
            <w:r>
              <w:rPr>
                <w:rFonts w:ascii="Arial Narrow" w:hAnsi="Arial Narrow"/>
                <w:color w:val="000000"/>
                <w:sz w:val="18"/>
                <w:szCs w:val="18"/>
              </w:rPr>
              <w:t>$2,000,000</w:t>
            </w:r>
          </w:p>
        </w:tc>
      </w:tr>
      <w:tr w:rsidR="00A64EFE" w:rsidRPr="005917B7" w:rsidTr="00B91B1F">
        <w:trPr>
          <w:trHeight w:val="300"/>
          <w:jc w:val="center"/>
        </w:trPr>
        <w:tc>
          <w:tcPr>
            <w:tcW w:w="2195" w:type="dxa"/>
            <w:tcBorders>
              <w:top w:val="nil"/>
              <w:left w:val="single" w:sz="4" w:space="0" w:color="auto"/>
              <w:bottom w:val="single" w:sz="4" w:space="0" w:color="auto"/>
              <w:right w:val="single" w:sz="4" w:space="0" w:color="auto"/>
            </w:tcBorders>
            <w:shd w:val="clear" w:color="auto" w:fill="auto"/>
            <w:noWrap/>
          </w:tcPr>
          <w:p w:rsidR="00A64EFE" w:rsidRPr="00B91B1F" w:rsidRDefault="00A64EFE" w:rsidP="00B91B1F">
            <w:pPr>
              <w:jc w:val="center"/>
              <w:rPr>
                <w:rFonts w:ascii="Arial Narrow" w:hAnsi="Arial Narrow"/>
                <w:b/>
                <w:sz w:val="20"/>
                <w:szCs w:val="20"/>
              </w:rPr>
            </w:pPr>
            <w:r w:rsidRPr="00B91B1F">
              <w:rPr>
                <w:rFonts w:ascii="Arial Narrow" w:hAnsi="Arial Narrow"/>
                <w:b/>
                <w:sz w:val="20"/>
                <w:szCs w:val="20"/>
              </w:rPr>
              <w:t>Driver Consent Verifications for Pre-employment Queries</w:t>
            </w:r>
          </w:p>
        </w:tc>
        <w:tc>
          <w:tcPr>
            <w:tcW w:w="1094" w:type="dxa"/>
            <w:tcBorders>
              <w:top w:val="nil"/>
              <w:left w:val="nil"/>
              <w:bottom w:val="single" w:sz="4" w:space="0" w:color="auto"/>
              <w:right w:val="single" w:sz="4" w:space="0" w:color="auto"/>
            </w:tcBorders>
            <w:shd w:val="clear" w:color="auto" w:fill="auto"/>
            <w:noWrap/>
            <w:vAlign w:val="center"/>
          </w:tcPr>
          <w:p w:rsidR="00A64EFE" w:rsidRPr="00A64EFE" w:rsidRDefault="00A64EFE" w:rsidP="00B91B1F">
            <w:pPr>
              <w:jc w:val="center"/>
              <w:rPr>
                <w:rFonts w:ascii="Arial Narrow" w:hAnsi="Arial Narrow"/>
                <w:sz w:val="20"/>
                <w:szCs w:val="20"/>
              </w:rPr>
            </w:pPr>
            <w:r w:rsidRPr="00A64EFE">
              <w:rPr>
                <w:rFonts w:ascii="Arial Narrow" w:hAnsi="Arial Narrow"/>
                <w:sz w:val="20"/>
                <w:szCs w:val="20"/>
              </w:rPr>
              <w:t>Drivers</w:t>
            </w:r>
          </w:p>
        </w:tc>
        <w:tc>
          <w:tcPr>
            <w:tcW w:w="1216" w:type="dxa"/>
            <w:tcBorders>
              <w:top w:val="nil"/>
              <w:left w:val="nil"/>
              <w:bottom w:val="single" w:sz="4" w:space="0" w:color="auto"/>
              <w:right w:val="single" w:sz="4" w:space="0" w:color="auto"/>
            </w:tcBorders>
            <w:shd w:val="clear" w:color="auto" w:fill="auto"/>
            <w:noWrap/>
            <w:vAlign w:val="center"/>
          </w:tcPr>
          <w:p w:rsidR="00A64EFE" w:rsidRPr="00A64EFE" w:rsidRDefault="00A64EFE" w:rsidP="00B91B1F">
            <w:pPr>
              <w:jc w:val="center"/>
              <w:rPr>
                <w:rFonts w:ascii="Arial Narrow" w:hAnsi="Arial Narrow"/>
                <w:sz w:val="20"/>
                <w:szCs w:val="20"/>
              </w:rPr>
            </w:pPr>
            <w:r w:rsidRPr="00A64EFE">
              <w:rPr>
                <w:rFonts w:ascii="Arial Narrow" w:hAnsi="Arial Narrow"/>
                <w:sz w:val="20"/>
                <w:szCs w:val="20"/>
              </w:rPr>
              <w:t>Drivers</w:t>
            </w:r>
          </w:p>
        </w:tc>
        <w:tc>
          <w:tcPr>
            <w:tcW w:w="1407" w:type="dxa"/>
            <w:tcBorders>
              <w:top w:val="nil"/>
              <w:left w:val="nil"/>
              <w:bottom w:val="single" w:sz="4" w:space="0" w:color="auto"/>
              <w:right w:val="single" w:sz="4" w:space="0" w:color="auto"/>
            </w:tcBorders>
            <w:shd w:val="clear" w:color="auto" w:fill="auto"/>
            <w:noWrap/>
            <w:vAlign w:val="center"/>
          </w:tcPr>
          <w:p w:rsidR="00A64EFE" w:rsidRPr="00A64EFE" w:rsidRDefault="00A64EFE" w:rsidP="00B91B1F">
            <w:pPr>
              <w:jc w:val="center"/>
              <w:rPr>
                <w:rFonts w:ascii="Arial Narrow" w:hAnsi="Arial Narrow"/>
                <w:sz w:val="20"/>
                <w:szCs w:val="20"/>
              </w:rPr>
            </w:pPr>
            <w:r w:rsidRPr="00A64EFE">
              <w:rPr>
                <w:rFonts w:ascii="Arial Narrow" w:hAnsi="Arial Narrow"/>
                <w:sz w:val="20"/>
                <w:szCs w:val="20"/>
              </w:rPr>
              <w:t>1,996,328</w:t>
            </w:r>
          </w:p>
        </w:tc>
        <w:tc>
          <w:tcPr>
            <w:tcW w:w="774" w:type="dxa"/>
            <w:tcBorders>
              <w:top w:val="nil"/>
              <w:left w:val="nil"/>
              <w:bottom w:val="single" w:sz="4" w:space="0" w:color="auto"/>
              <w:right w:val="single" w:sz="4" w:space="0" w:color="auto"/>
            </w:tcBorders>
            <w:shd w:val="clear" w:color="auto" w:fill="auto"/>
            <w:noWrap/>
            <w:vAlign w:val="center"/>
          </w:tcPr>
          <w:p w:rsidR="00A64EFE" w:rsidRPr="00A64EFE" w:rsidRDefault="00A64EFE" w:rsidP="00B91B1F">
            <w:pPr>
              <w:jc w:val="center"/>
              <w:rPr>
                <w:rFonts w:ascii="Arial Narrow" w:hAnsi="Arial Narrow"/>
                <w:sz w:val="20"/>
                <w:szCs w:val="20"/>
              </w:rPr>
            </w:pPr>
            <w:r w:rsidRPr="00A64EFE">
              <w:rPr>
                <w:rFonts w:ascii="Arial Narrow" w:hAnsi="Arial Narrow"/>
                <w:sz w:val="20"/>
                <w:szCs w:val="20"/>
              </w:rPr>
              <w:t>10</w:t>
            </w:r>
          </w:p>
        </w:tc>
        <w:tc>
          <w:tcPr>
            <w:tcW w:w="1402" w:type="dxa"/>
            <w:tcBorders>
              <w:top w:val="nil"/>
              <w:left w:val="nil"/>
              <w:bottom w:val="single" w:sz="4" w:space="0" w:color="auto"/>
              <w:right w:val="single" w:sz="4" w:space="0" w:color="auto"/>
            </w:tcBorders>
            <w:shd w:val="clear" w:color="auto" w:fill="auto"/>
            <w:noWrap/>
            <w:vAlign w:val="center"/>
          </w:tcPr>
          <w:p w:rsidR="00DC6E87" w:rsidRPr="00A64EFE" w:rsidRDefault="00A64EFE" w:rsidP="00B91B1F">
            <w:pPr>
              <w:jc w:val="center"/>
              <w:rPr>
                <w:rFonts w:ascii="Arial Narrow" w:hAnsi="Arial Narrow"/>
                <w:sz w:val="20"/>
                <w:szCs w:val="20"/>
              </w:rPr>
            </w:pPr>
            <w:r w:rsidRPr="00A64EFE">
              <w:rPr>
                <w:rFonts w:ascii="Arial Narrow" w:hAnsi="Arial Narrow"/>
                <w:sz w:val="20"/>
                <w:szCs w:val="20"/>
              </w:rPr>
              <w:t>333,000</w:t>
            </w:r>
          </w:p>
        </w:tc>
        <w:tc>
          <w:tcPr>
            <w:tcW w:w="718" w:type="dxa"/>
            <w:tcBorders>
              <w:top w:val="nil"/>
              <w:left w:val="nil"/>
              <w:bottom w:val="single" w:sz="4" w:space="0" w:color="auto"/>
              <w:right w:val="single" w:sz="4" w:space="0" w:color="auto"/>
            </w:tcBorders>
            <w:vAlign w:val="center"/>
          </w:tcPr>
          <w:p w:rsidR="00A64EFE" w:rsidRPr="00A64EFE" w:rsidRDefault="00A64EFE" w:rsidP="00B91B1F">
            <w:pPr>
              <w:jc w:val="center"/>
              <w:rPr>
                <w:rFonts w:ascii="Arial Narrow" w:hAnsi="Arial Narrow"/>
                <w:sz w:val="20"/>
                <w:szCs w:val="20"/>
              </w:rPr>
            </w:pPr>
            <w:r w:rsidRPr="00A64EFE">
              <w:rPr>
                <w:rFonts w:ascii="Arial Narrow" w:hAnsi="Arial Narrow"/>
                <w:sz w:val="20"/>
                <w:szCs w:val="20"/>
              </w:rPr>
              <w:t>$29.07</w:t>
            </w:r>
          </w:p>
        </w:tc>
        <w:tc>
          <w:tcPr>
            <w:tcW w:w="1129" w:type="dxa"/>
            <w:tcBorders>
              <w:top w:val="nil"/>
              <w:left w:val="nil"/>
              <w:bottom w:val="single" w:sz="4" w:space="0" w:color="auto"/>
              <w:right w:val="single" w:sz="4" w:space="0" w:color="auto"/>
            </w:tcBorders>
            <w:vAlign w:val="center"/>
          </w:tcPr>
          <w:p w:rsidR="00A64EFE" w:rsidRPr="00A64EFE" w:rsidRDefault="00A64EFE" w:rsidP="00B91B1F">
            <w:pPr>
              <w:jc w:val="center"/>
              <w:rPr>
                <w:rFonts w:ascii="Arial Narrow" w:hAnsi="Arial Narrow"/>
                <w:sz w:val="20"/>
                <w:szCs w:val="20"/>
              </w:rPr>
            </w:pPr>
            <w:r w:rsidRPr="00A64EFE">
              <w:rPr>
                <w:rFonts w:ascii="Arial Narrow" w:hAnsi="Arial Narrow"/>
                <w:sz w:val="20"/>
                <w:szCs w:val="20"/>
              </w:rPr>
              <w:t>$10,000,000</w:t>
            </w:r>
          </w:p>
        </w:tc>
      </w:tr>
      <w:tr w:rsidR="00A64EFE" w:rsidRPr="005917B7" w:rsidTr="00B91B1F">
        <w:trPr>
          <w:trHeight w:val="300"/>
          <w:jc w:val="center"/>
        </w:trPr>
        <w:tc>
          <w:tcPr>
            <w:tcW w:w="2195" w:type="dxa"/>
            <w:tcBorders>
              <w:top w:val="nil"/>
              <w:left w:val="single" w:sz="4" w:space="0" w:color="auto"/>
              <w:bottom w:val="single" w:sz="4" w:space="0" w:color="auto"/>
              <w:right w:val="single" w:sz="4" w:space="0" w:color="auto"/>
            </w:tcBorders>
            <w:shd w:val="clear" w:color="auto" w:fill="auto"/>
            <w:noWrap/>
            <w:vAlign w:val="bottom"/>
            <w:hideMark/>
          </w:tcPr>
          <w:p w:rsidR="00196906" w:rsidRPr="005917B7" w:rsidRDefault="00196906" w:rsidP="005917B7">
            <w:pPr>
              <w:jc w:val="center"/>
              <w:rPr>
                <w:rFonts w:ascii="Arial Narrow" w:hAnsi="Arial Narrow"/>
                <w:b/>
                <w:bCs/>
                <w:color w:val="000000"/>
                <w:sz w:val="18"/>
                <w:szCs w:val="18"/>
              </w:rPr>
            </w:pPr>
            <w:r w:rsidRPr="005917B7">
              <w:rPr>
                <w:rFonts w:ascii="Arial Narrow" w:hAnsi="Arial Narrow"/>
                <w:b/>
                <w:bCs/>
                <w:color w:val="000000"/>
                <w:sz w:val="18"/>
                <w:szCs w:val="18"/>
              </w:rPr>
              <w:t>New-CDL and CDL-Renewal Queries</w:t>
            </w:r>
          </w:p>
        </w:tc>
        <w:tc>
          <w:tcPr>
            <w:tcW w:w="1094" w:type="dxa"/>
            <w:tcBorders>
              <w:top w:val="nil"/>
              <w:left w:val="nil"/>
              <w:bottom w:val="single" w:sz="4" w:space="0" w:color="auto"/>
              <w:right w:val="single" w:sz="4" w:space="0" w:color="auto"/>
            </w:tcBorders>
            <w:shd w:val="clear" w:color="auto" w:fill="auto"/>
            <w:noWrap/>
            <w:vAlign w:val="center"/>
            <w:hideMark/>
          </w:tcPr>
          <w:p w:rsidR="00196906" w:rsidRPr="005917B7" w:rsidRDefault="00196906" w:rsidP="005917B7">
            <w:pPr>
              <w:jc w:val="center"/>
              <w:rPr>
                <w:rFonts w:ascii="Arial Narrow" w:hAnsi="Arial Narrow"/>
                <w:color w:val="000000"/>
                <w:sz w:val="18"/>
                <w:szCs w:val="18"/>
              </w:rPr>
            </w:pPr>
            <w:r w:rsidRPr="005917B7">
              <w:rPr>
                <w:rFonts w:ascii="Arial Narrow" w:hAnsi="Arial Narrow"/>
                <w:color w:val="000000"/>
                <w:sz w:val="18"/>
                <w:szCs w:val="18"/>
              </w:rPr>
              <w:t>SDLAs</w:t>
            </w:r>
          </w:p>
        </w:tc>
        <w:tc>
          <w:tcPr>
            <w:tcW w:w="1216" w:type="dxa"/>
            <w:tcBorders>
              <w:top w:val="nil"/>
              <w:left w:val="nil"/>
              <w:bottom w:val="single" w:sz="4" w:space="0" w:color="auto"/>
              <w:right w:val="single" w:sz="4" w:space="0" w:color="auto"/>
            </w:tcBorders>
            <w:shd w:val="clear" w:color="auto" w:fill="auto"/>
            <w:noWrap/>
            <w:vAlign w:val="center"/>
            <w:hideMark/>
          </w:tcPr>
          <w:p w:rsidR="00196906" w:rsidRPr="005917B7" w:rsidRDefault="00196906" w:rsidP="005917B7">
            <w:pPr>
              <w:jc w:val="center"/>
              <w:rPr>
                <w:rFonts w:ascii="Arial Narrow" w:hAnsi="Arial Narrow"/>
                <w:color w:val="000000"/>
                <w:sz w:val="18"/>
                <w:szCs w:val="18"/>
              </w:rPr>
            </w:pPr>
            <w:r w:rsidRPr="005917B7">
              <w:rPr>
                <w:rFonts w:ascii="Arial Narrow" w:hAnsi="Arial Narrow"/>
                <w:color w:val="000000"/>
                <w:sz w:val="18"/>
                <w:szCs w:val="18"/>
              </w:rPr>
              <w:t>SDLAs</w:t>
            </w:r>
          </w:p>
        </w:tc>
        <w:tc>
          <w:tcPr>
            <w:tcW w:w="1407" w:type="dxa"/>
            <w:tcBorders>
              <w:top w:val="nil"/>
              <w:left w:val="nil"/>
              <w:bottom w:val="single" w:sz="4" w:space="0" w:color="auto"/>
              <w:right w:val="single" w:sz="4" w:space="0" w:color="auto"/>
            </w:tcBorders>
            <w:shd w:val="clear" w:color="auto" w:fill="auto"/>
            <w:noWrap/>
            <w:vAlign w:val="center"/>
            <w:hideMark/>
          </w:tcPr>
          <w:p w:rsidR="00196906" w:rsidRPr="005917B7" w:rsidRDefault="00196906" w:rsidP="005917B7">
            <w:pPr>
              <w:jc w:val="center"/>
              <w:rPr>
                <w:rFonts w:ascii="Arial Narrow" w:hAnsi="Arial Narrow"/>
                <w:color w:val="000000"/>
                <w:sz w:val="18"/>
                <w:szCs w:val="18"/>
              </w:rPr>
            </w:pPr>
            <w:r w:rsidRPr="005917B7">
              <w:rPr>
                <w:rFonts w:ascii="Arial Narrow" w:hAnsi="Arial Narrow"/>
                <w:color w:val="000000"/>
                <w:sz w:val="18"/>
                <w:szCs w:val="18"/>
              </w:rPr>
              <w:t>0</w:t>
            </w:r>
          </w:p>
        </w:tc>
        <w:tc>
          <w:tcPr>
            <w:tcW w:w="774" w:type="dxa"/>
            <w:tcBorders>
              <w:top w:val="nil"/>
              <w:left w:val="nil"/>
              <w:bottom w:val="single" w:sz="4" w:space="0" w:color="auto"/>
              <w:right w:val="single" w:sz="4" w:space="0" w:color="auto"/>
            </w:tcBorders>
            <w:shd w:val="clear" w:color="auto" w:fill="auto"/>
            <w:noWrap/>
            <w:vAlign w:val="center"/>
            <w:hideMark/>
          </w:tcPr>
          <w:p w:rsidR="00196906" w:rsidRPr="005917B7" w:rsidRDefault="00A64EFE" w:rsidP="005917B7">
            <w:pPr>
              <w:jc w:val="center"/>
              <w:rPr>
                <w:rFonts w:ascii="Arial Narrow" w:hAnsi="Arial Narrow"/>
                <w:color w:val="000000"/>
                <w:sz w:val="18"/>
                <w:szCs w:val="18"/>
              </w:rPr>
            </w:pPr>
            <w:r>
              <w:rPr>
                <w:rFonts w:ascii="Arial Narrow" w:hAnsi="Arial Narrow"/>
                <w:color w:val="000000"/>
                <w:sz w:val="18"/>
                <w:szCs w:val="18"/>
              </w:rPr>
              <w:t>0</w:t>
            </w:r>
          </w:p>
        </w:tc>
        <w:tc>
          <w:tcPr>
            <w:tcW w:w="1402" w:type="dxa"/>
            <w:tcBorders>
              <w:top w:val="nil"/>
              <w:left w:val="nil"/>
              <w:bottom w:val="single" w:sz="4" w:space="0" w:color="auto"/>
              <w:right w:val="single" w:sz="4" w:space="0" w:color="auto"/>
            </w:tcBorders>
            <w:shd w:val="clear" w:color="auto" w:fill="auto"/>
            <w:noWrap/>
            <w:vAlign w:val="center"/>
            <w:hideMark/>
          </w:tcPr>
          <w:p w:rsidR="00196906" w:rsidRPr="005917B7" w:rsidRDefault="00196906" w:rsidP="001648C1">
            <w:pPr>
              <w:jc w:val="center"/>
              <w:rPr>
                <w:rFonts w:ascii="Arial Narrow" w:hAnsi="Arial Narrow"/>
                <w:color w:val="000000"/>
                <w:sz w:val="18"/>
                <w:szCs w:val="18"/>
              </w:rPr>
            </w:pPr>
            <w:r w:rsidRPr="005917B7">
              <w:rPr>
                <w:rFonts w:ascii="Arial Narrow" w:hAnsi="Arial Narrow"/>
                <w:color w:val="000000"/>
                <w:sz w:val="18"/>
                <w:szCs w:val="18"/>
              </w:rPr>
              <w:t>0</w:t>
            </w:r>
          </w:p>
        </w:tc>
        <w:tc>
          <w:tcPr>
            <w:tcW w:w="718" w:type="dxa"/>
            <w:tcBorders>
              <w:top w:val="nil"/>
              <w:left w:val="nil"/>
              <w:bottom w:val="single" w:sz="4" w:space="0" w:color="auto"/>
              <w:right w:val="single" w:sz="4" w:space="0" w:color="auto"/>
            </w:tcBorders>
            <w:vAlign w:val="center"/>
          </w:tcPr>
          <w:p w:rsidR="00196906" w:rsidRPr="005917B7" w:rsidRDefault="00196906" w:rsidP="00B91B1F">
            <w:pPr>
              <w:jc w:val="center"/>
              <w:rPr>
                <w:rFonts w:ascii="Arial Narrow" w:hAnsi="Arial Narrow"/>
                <w:color w:val="000000"/>
                <w:sz w:val="18"/>
                <w:szCs w:val="18"/>
              </w:rPr>
            </w:pPr>
            <w:r>
              <w:rPr>
                <w:rFonts w:ascii="Arial Narrow" w:hAnsi="Arial Narrow"/>
                <w:color w:val="000000"/>
                <w:sz w:val="18"/>
                <w:szCs w:val="18"/>
              </w:rPr>
              <w:t>0</w:t>
            </w:r>
          </w:p>
        </w:tc>
        <w:tc>
          <w:tcPr>
            <w:tcW w:w="1129" w:type="dxa"/>
            <w:tcBorders>
              <w:top w:val="nil"/>
              <w:left w:val="nil"/>
              <w:bottom w:val="single" w:sz="4" w:space="0" w:color="auto"/>
              <w:right w:val="single" w:sz="4" w:space="0" w:color="auto"/>
            </w:tcBorders>
            <w:vAlign w:val="center"/>
          </w:tcPr>
          <w:p w:rsidR="00196906" w:rsidRPr="005917B7" w:rsidRDefault="00A64EFE" w:rsidP="00B91B1F">
            <w:pPr>
              <w:jc w:val="center"/>
              <w:rPr>
                <w:rFonts w:ascii="Arial Narrow" w:hAnsi="Arial Narrow"/>
                <w:color w:val="000000"/>
                <w:sz w:val="18"/>
                <w:szCs w:val="18"/>
              </w:rPr>
            </w:pPr>
            <w:r>
              <w:rPr>
                <w:rFonts w:ascii="Arial Narrow" w:hAnsi="Arial Narrow"/>
                <w:color w:val="000000"/>
                <w:sz w:val="18"/>
                <w:szCs w:val="18"/>
              </w:rPr>
              <w:t>0</w:t>
            </w:r>
          </w:p>
        </w:tc>
      </w:tr>
      <w:tr w:rsidR="00A64EFE" w:rsidRPr="005917B7" w:rsidTr="00B91B1F">
        <w:trPr>
          <w:trHeight w:val="300"/>
          <w:jc w:val="center"/>
        </w:trPr>
        <w:tc>
          <w:tcPr>
            <w:tcW w:w="2195" w:type="dxa"/>
            <w:tcBorders>
              <w:top w:val="nil"/>
              <w:left w:val="single" w:sz="4" w:space="0" w:color="auto"/>
              <w:bottom w:val="single" w:sz="4" w:space="0" w:color="auto"/>
              <w:right w:val="single" w:sz="4" w:space="0" w:color="auto"/>
            </w:tcBorders>
            <w:shd w:val="clear" w:color="auto" w:fill="auto"/>
            <w:noWrap/>
            <w:vAlign w:val="center"/>
            <w:hideMark/>
          </w:tcPr>
          <w:p w:rsidR="00196906" w:rsidRPr="005917B7" w:rsidRDefault="00196906" w:rsidP="001648C1">
            <w:pPr>
              <w:jc w:val="center"/>
              <w:rPr>
                <w:rFonts w:ascii="Arial Narrow" w:hAnsi="Arial Narrow"/>
                <w:b/>
                <w:bCs/>
                <w:color w:val="000000"/>
                <w:sz w:val="18"/>
                <w:szCs w:val="18"/>
              </w:rPr>
            </w:pPr>
            <w:r w:rsidRPr="005917B7">
              <w:rPr>
                <w:rFonts w:ascii="Arial Narrow" w:hAnsi="Arial Narrow"/>
                <w:b/>
                <w:bCs/>
                <w:color w:val="000000"/>
                <w:sz w:val="18"/>
                <w:szCs w:val="18"/>
              </w:rPr>
              <w:t xml:space="preserve">Total </w:t>
            </w:r>
          </w:p>
        </w:tc>
        <w:tc>
          <w:tcPr>
            <w:tcW w:w="1094" w:type="dxa"/>
            <w:tcBorders>
              <w:top w:val="nil"/>
              <w:left w:val="nil"/>
              <w:bottom w:val="single" w:sz="4" w:space="0" w:color="auto"/>
              <w:right w:val="single" w:sz="4" w:space="0" w:color="auto"/>
            </w:tcBorders>
            <w:shd w:val="clear" w:color="auto" w:fill="auto"/>
            <w:noWrap/>
            <w:vAlign w:val="center"/>
            <w:hideMark/>
          </w:tcPr>
          <w:p w:rsidR="00196906" w:rsidRPr="005917B7" w:rsidRDefault="00196906" w:rsidP="00B91B1F">
            <w:pPr>
              <w:jc w:val="center"/>
              <w:rPr>
                <w:rFonts w:ascii="Arial Narrow" w:hAnsi="Arial Narrow"/>
                <w:color w:val="000000"/>
                <w:sz w:val="18"/>
                <w:szCs w:val="18"/>
              </w:rPr>
            </w:pPr>
          </w:p>
        </w:tc>
        <w:tc>
          <w:tcPr>
            <w:tcW w:w="1216" w:type="dxa"/>
            <w:tcBorders>
              <w:top w:val="nil"/>
              <w:left w:val="nil"/>
              <w:bottom w:val="single" w:sz="4" w:space="0" w:color="auto"/>
              <w:right w:val="single" w:sz="4" w:space="0" w:color="auto"/>
            </w:tcBorders>
            <w:shd w:val="clear" w:color="auto" w:fill="auto"/>
            <w:noWrap/>
            <w:vAlign w:val="center"/>
            <w:hideMark/>
          </w:tcPr>
          <w:p w:rsidR="00196906" w:rsidRPr="005917B7" w:rsidRDefault="00196906" w:rsidP="00B91B1F">
            <w:pPr>
              <w:jc w:val="center"/>
              <w:rPr>
                <w:rFonts w:ascii="Arial Narrow" w:hAnsi="Arial Narrow"/>
                <w:color w:val="000000"/>
                <w:sz w:val="18"/>
                <w:szCs w:val="18"/>
              </w:rPr>
            </w:pPr>
          </w:p>
        </w:tc>
        <w:tc>
          <w:tcPr>
            <w:tcW w:w="1407" w:type="dxa"/>
            <w:tcBorders>
              <w:top w:val="nil"/>
              <w:left w:val="nil"/>
              <w:bottom w:val="single" w:sz="4" w:space="0" w:color="auto"/>
              <w:right w:val="single" w:sz="4" w:space="0" w:color="auto"/>
            </w:tcBorders>
            <w:shd w:val="clear" w:color="auto" w:fill="auto"/>
            <w:noWrap/>
            <w:vAlign w:val="center"/>
            <w:hideMark/>
          </w:tcPr>
          <w:p w:rsidR="00196906" w:rsidRPr="005917B7" w:rsidRDefault="00196906" w:rsidP="001648C1">
            <w:pPr>
              <w:jc w:val="center"/>
              <w:rPr>
                <w:rFonts w:ascii="Arial Narrow" w:hAnsi="Arial Narrow"/>
                <w:b/>
                <w:bCs/>
                <w:color w:val="000000"/>
                <w:sz w:val="18"/>
                <w:szCs w:val="18"/>
              </w:rPr>
            </w:pPr>
            <w:r w:rsidRPr="005917B7">
              <w:rPr>
                <w:rFonts w:ascii="Arial Narrow" w:hAnsi="Arial Narrow"/>
                <w:b/>
                <w:bCs/>
                <w:color w:val="000000"/>
                <w:sz w:val="18"/>
                <w:szCs w:val="18"/>
              </w:rPr>
              <w:t>11,03</w:t>
            </w:r>
            <w:r w:rsidR="007E65F8">
              <w:rPr>
                <w:rFonts w:ascii="Arial Narrow" w:hAnsi="Arial Narrow"/>
                <w:b/>
                <w:bCs/>
                <w:color w:val="000000"/>
                <w:sz w:val="18"/>
                <w:szCs w:val="18"/>
              </w:rPr>
              <w:t>8</w:t>
            </w:r>
            <w:r w:rsidRPr="005917B7">
              <w:rPr>
                <w:rFonts w:ascii="Arial Narrow" w:hAnsi="Arial Narrow"/>
                <w:b/>
                <w:bCs/>
                <w:color w:val="000000"/>
                <w:sz w:val="18"/>
                <w:szCs w:val="18"/>
              </w:rPr>
              <w:t>,</w:t>
            </w:r>
            <w:r w:rsidR="007E65F8">
              <w:rPr>
                <w:rFonts w:ascii="Arial Narrow" w:hAnsi="Arial Narrow"/>
                <w:b/>
                <w:bCs/>
                <w:color w:val="000000"/>
                <w:sz w:val="18"/>
                <w:szCs w:val="18"/>
              </w:rPr>
              <w:t>986</w:t>
            </w:r>
          </w:p>
        </w:tc>
        <w:tc>
          <w:tcPr>
            <w:tcW w:w="774" w:type="dxa"/>
            <w:tcBorders>
              <w:top w:val="nil"/>
              <w:left w:val="nil"/>
              <w:bottom w:val="single" w:sz="4" w:space="0" w:color="auto"/>
              <w:right w:val="single" w:sz="4" w:space="0" w:color="auto"/>
            </w:tcBorders>
            <w:shd w:val="clear" w:color="auto" w:fill="auto"/>
            <w:noWrap/>
            <w:vAlign w:val="center"/>
            <w:hideMark/>
          </w:tcPr>
          <w:p w:rsidR="00196906" w:rsidRPr="005917B7" w:rsidRDefault="00196906" w:rsidP="00B91B1F">
            <w:pPr>
              <w:jc w:val="center"/>
              <w:rPr>
                <w:rFonts w:ascii="Arial Narrow" w:hAnsi="Arial Narrow"/>
                <w:color w:val="000000"/>
                <w:sz w:val="18"/>
                <w:szCs w:val="18"/>
              </w:rPr>
            </w:pPr>
          </w:p>
        </w:tc>
        <w:tc>
          <w:tcPr>
            <w:tcW w:w="1402" w:type="dxa"/>
            <w:tcBorders>
              <w:top w:val="nil"/>
              <w:left w:val="nil"/>
              <w:bottom w:val="single" w:sz="4" w:space="0" w:color="auto"/>
              <w:right w:val="single" w:sz="4" w:space="0" w:color="auto"/>
            </w:tcBorders>
            <w:shd w:val="clear" w:color="auto" w:fill="auto"/>
            <w:noWrap/>
            <w:vAlign w:val="center"/>
            <w:hideMark/>
          </w:tcPr>
          <w:p w:rsidR="007E65F8" w:rsidRPr="005917B7" w:rsidRDefault="00196906" w:rsidP="00B91B1F">
            <w:pPr>
              <w:jc w:val="center"/>
              <w:rPr>
                <w:rFonts w:ascii="Arial Narrow" w:hAnsi="Arial Narrow"/>
                <w:b/>
                <w:bCs/>
                <w:color w:val="000000"/>
                <w:sz w:val="18"/>
                <w:szCs w:val="18"/>
              </w:rPr>
            </w:pPr>
            <w:r w:rsidRPr="005917B7">
              <w:rPr>
                <w:rFonts w:ascii="Arial Narrow" w:hAnsi="Arial Narrow"/>
                <w:b/>
                <w:bCs/>
                <w:color w:val="000000"/>
                <w:sz w:val="18"/>
                <w:szCs w:val="18"/>
              </w:rPr>
              <w:t>1,864,</w:t>
            </w:r>
            <w:r w:rsidR="007E65F8">
              <w:rPr>
                <w:rFonts w:ascii="Arial Narrow" w:hAnsi="Arial Narrow"/>
                <w:b/>
                <w:bCs/>
                <w:color w:val="000000"/>
                <w:sz w:val="18"/>
                <w:szCs w:val="18"/>
              </w:rPr>
              <w:t>251</w:t>
            </w:r>
          </w:p>
        </w:tc>
        <w:tc>
          <w:tcPr>
            <w:tcW w:w="718" w:type="dxa"/>
            <w:tcBorders>
              <w:top w:val="nil"/>
              <w:left w:val="nil"/>
              <w:bottom w:val="single" w:sz="4" w:space="0" w:color="auto"/>
              <w:right w:val="single" w:sz="4" w:space="0" w:color="auto"/>
            </w:tcBorders>
            <w:vAlign w:val="center"/>
          </w:tcPr>
          <w:p w:rsidR="00196906" w:rsidRPr="005917B7" w:rsidRDefault="00196906" w:rsidP="00B91B1F">
            <w:pPr>
              <w:jc w:val="center"/>
              <w:rPr>
                <w:rFonts w:ascii="Arial Narrow" w:hAnsi="Arial Narrow"/>
                <w:b/>
                <w:bCs/>
                <w:color w:val="000000"/>
                <w:sz w:val="18"/>
                <w:szCs w:val="18"/>
              </w:rPr>
            </w:pPr>
          </w:p>
        </w:tc>
        <w:tc>
          <w:tcPr>
            <w:tcW w:w="1129" w:type="dxa"/>
            <w:tcBorders>
              <w:top w:val="nil"/>
              <w:left w:val="nil"/>
              <w:bottom w:val="single" w:sz="4" w:space="0" w:color="auto"/>
              <w:right w:val="single" w:sz="4" w:space="0" w:color="auto"/>
            </w:tcBorders>
            <w:vAlign w:val="center"/>
          </w:tcPr>
          <w:p w:rsidR="00196906" w:rsidRPr="005917B7" w:rsidRDefault="007E65F8" w:rsidP="00B91B1F">
            <w:pPr>
              <w:jc w:val="center"/>
              <w:rPr>
                <w:rFonts w:ascii="Arial Narrow" w:hAnsi="Arial Narrow"/>
                <w:b/>
                <w:bCs/>
                <w:color w:val="000000"/>
                <w:sz w:val="18"/>
                <w:szCs w:val="18"/>
              </w:rPr>
            </w:pPr>
            <w:r>
              <w:rPr>
                <w:rFonts w:ascii="Arial Narrow" w:hAnsi="Arial Narrow"/>
                <w:b/>
                <w:bCs/>
                <w:color w:val="000000"/>
                <w:sz w:val="18"/>
                <w:szCs w:val="18"/>
              </w:rPr>
              <w:t>$61,300,000</w:t>
            </w:r>
          </w:p>
        </w:tc>
      </w:tr>
    </w:tbl>
    <w:p w:rsidR="0050652C" w:rsidRDefault="0050652C" w:rsidP="004015FC">
      <w:pPr>
        <w:jc w:val="both"/>
      </w:pPr>
    </w:p>
    <w:p w:rsidR="004015FC" w:rsidRDefault="004015FC" w:rsidP="004015FC">
      <w:pPr>
        <w:rPr>
          <w:b/>
        </w:rPr>
      </w:pPr>
      <w:r>
        <w:rPr>
          <w:b/>
        </w:rPr>
        <w:t xml:space="preserve">Estimated Annual Burden Hours:  </w:t>
      </w:r>
      <w:r w:rsidR="005917B7">
        <w:rPr>
          <w:b/>
        </w:rPr>
        <w:t>1,864,</w:t>
      </w:r>
      <w:r w:rsidR="007E65F8">
        <w:rPr>
          <w:b/>
        </w:rPr>
        <w:t>251</w:t>
      </w:r>
    </w:p>
    <w:p w:rsidR="007E65F8" w:rsidRDefault="004015FC" w:rsidP="003948D6">
      <w:pPr>
        <w:rPr>
          <w:b/>
        </w:rPr>
      </w:pPr>
      <w:r>
        <w:rPr>
          <w:b/>
        </w:rPr>
        <w:t xml:space="preserve">Estimated Annual Number Respondents: </w:t>
      </w:r>
      <w:r w:rsidR="005917B7">
        <w:rPr>
          <w:b/>
        </w:rPr>
        <w:t>11</w:t>
      </w:r>
      <w:r w:rsidR="007E65F8">
        <w:rPr>
          <w:b/>
        </w:rPr>
        <w:t>,038</w:t>
      </w:r>
      <w:r w:rsidR="005917B7">
        <w:rPr>
          <w:b/>
        </w:rPr>
        <w:t>,</w:t>
      </w:r>
      <w:r w:rsidR="007E65F8">
        <w:rPr>
          <w:b/>
        </w:rPr>
        <w:t>986</w:t>
      </w:r>
    </w:p>
    <w:p w:rsidR="003948D6" w:rsidRDefault="00A93402" w:rsidP="003948D6">
      <w:pPr>
        <w:rPr>
          <w:b/>
        </w:rPr>
      </w:pPr>
      <w:r>
        <w:rPr>
          <w:b/>
        </w:rPr>
        <w:t xml:space="preserve"> </w:t>
      </w:r>
    </w:p>
    <w:p w:rsidR="004015FC" w:rsidRDefault="004015FC" w:rsidP="004015FC">
      <w:pPr>
        <w:pStyle w:val="NormalWeb"/>
        <w:keepNext/>
        <w:rPr>
          <w:rFonts w:ascii="Arial" w:hAnsi="Arial"/>
          <w:b/>
        </w:rPr>
      </w:pPr>
      <w:r>
        <w:rPr>
          <w:rFonts w:ascii="Arial" w:hAnsi="Arial"/>
          <w:b/>
        </w:rPr>
        <w:t>13. Estimates of Costs to Respondents</w:t>
      </w:r>
      <w:r w:rsidR="00A17228">
        <w:rPr>
          <w:rFonts w:ascii="Arial" w:hAnsi="Arial"/>
          <w:b/>
        </w:rPr>
        <w:t xml:space="preserve"> other </w:t>
      </w:r>
      <w:r w:rsidR="00A24B31">
        <w:rPr>
          <w:rFonts w:ascii="Arial" w:hAnsi="Arial"/>
          <w:b/>
        </w:rPr>
        <w:t>t</w:t>
      </w:r>
      <w:r w:rsidR="00A17228">
        <w:rPr>
          <w:rFonts w:ascii="Arial" w:hAnsi="Arial"/>
          <w:b/>
        </w:rPr>
        <w:t>han Reporting Burden Costs</w:t>
      </w:r>
    </w:p>
    <w:p w:rsidR="001648C1" w:rsidRDefault="00E93E61" w:rsidP="00B91B1F">
      <w:pPr>
        <w:jc w:val="both"/>
      </w:pPr>
      <w:r>
        <w:t>Item 12 contains the monetized cost</w:t>
      </w:r>
      <w:r w:rsidR="00FF4AC7">
        <w:t xml:space="preserve"> of time </w:t>
      </w:r>
      <w:r w:rsidR="000E13D5">
        <w:t>of respondents</w:t>
      </w:r>
      <w:r w:rsidR="00FF4AC7">
        <w:t xml:space="preserve"> </w:t>
      </w:r>
      <w:r w:rsidR="000E13D5">
        <w:t xml:space="preserve">to </w:t>
      </w:r>
      <w:r>
        <w:t>mak</w:t>
      </w:r>
      <w:r w:rsidR="000E13D5">
        <w:t>e</w:t>
      </w:r>
      <w:r>
        <w:t xml:space="preserve"> queries of, </w:t>
      </w:r>
      <w:r w:rsidR="00FF4AC7">
        <w:t xml:space="preserve">and </w:t>
      </w:r>
      <w:r>
        <w:t>report</w:t>
      </w:r>
      <w:r w:rsidR="000E13D5">
        <w:t xml:space="preserve"> information to,</w:t>
      </w:r>
      <w:r>
        <w:t xml:space="preserve"> the Clearinghouse</w:t>
      </w:r>
      <w:r w:rsidR="00FF4AC7">
        <w:t xml:space="preserve">. </w:t>
      </w:r>
      <w:r w:rsidR="001648C1">
        <w:t xml:space="preserve"> As shown in the table below, i</w:t>
      </w:r>
      <w:r w:rsidR="009F7806">
        <w:t>n addition to the costs in Item 12, employers will be</w:t>
      </w:r>
      <w:r w:rsidR="000E13D5">
        <w:t xml:space="preserve"> charged</w:t>
      </w:r>
      <w:r w:rsidR="009F7806">
        <w:t xml:space="preserve"> Clearinghouse access fees estimated at </w:t>
      </w:r>
      <w:r w:rsidR="000E13D5">
        <w:t xml:space="preserve">$23.9 million. </w:t>
      </w:r>
      <w:r w:rsidR="00FF4AC7">
        <w:t xml:space="preserve"> </w:t>
      </w:r>
      <w:r>
        <w:t xml:space="preserve">FMCSA intends to retain the services of a contractor to </w:t>
      </w:r>
      <w:r w:rsidR="00EB6588">
        <w:t>operate and maintain the Clearinghouse.  The contract</w:t>
      </w:r>
      <w:r w:rsidR="000E13D5">
        <w:t>or</w:t>
      </w:r>
      <w:r w:rsidR="00EB6588">
        <w:t xml:space="preserve"> will recover these costs through access fees</w:t>
      </w:r>
      <w:r w:rsidR="001B01E3">
        <w:t>.  For purpose of estimating access fees paid by employers, FMCSA</w:t>
      </w:r>
      <w:r w:rsidR="00EB6588">
        <w:t xml:space="preserve"> </w:t>
      </w:r>
      <w:r w:rsidR="000E13D5">
        <w:t xml:space="preserve">assumed per query rates </w:t>
      </w:r>
      <w:r w:rsidR="00FF4AC7">
        <w:t>of $5 for</w:t>
      </w:r>
      <w:r w:rsidR="00EB6588">
        <w:t xml:space="preserve"> </w:t>
      </w:r>
      <w:r w:rsidR="000E13D5">
        <w:t xml:space="preserve">full </w:t>
      </w:r>
      <w:r w:rsidR="00EB6588">
        <w:t xml:space="preserve">queries and </w:t>
      </w:r>
      <w:r w:rsidR="00FF4AC7">
        <w:t>$2.50 for limited queries.</w:t>
      </w:r>
      <w:r w:rsidR="001B01E3">
        <w:t xml:space="preserve">  </w:t>
      </w:r>
      <w:r w:rsidR="001B01E3" w:rsidRPr="001B01E3">
        <w:t xml:space="preserve">FMCSA will issue a request for proposal (RFP) for a contractor to develop, operate and </w:t>
      </w:r>
      <w:r w:rsidR="001B01E3" w:rsidRPr="001B01E3">
        <w:lastRenderedPageBreak/>
        <w:t xml:space="preserve">maintain the Clearinghouse. The RFP will require the contractor to develop an internet data collection system that will permit batch processing of queries and test results, pre-population of recurring data items (e.g., contact information after entities complete the registration process) and a fee structure that must include transaction-specific fees and subscription rates. </w:t>
      </w:r>
      <w:r w:rsidR="00AB20BF" w:rsidRPr="001B01E3">
        <w:t>FMCSA</w:t>
      </w:r>
      <w:r w:rsidR="00AB20BF">
        <w:t>’s</w:t>
      </w:r>
      <w:r w:rsidR="00AB20BF" w:rsidRPr="001B01E3">
        <w:t xml:space="preserve"> </w:t>
      </w:r>
      <w:r w:rsidR="00AB20BF">
        <w:t>reliance</w:t>
      </w:r>
      <w:r w:rsidR="00C262BA">
        <w:t xml:space="preserve"> </w:t>
      </w:r>
      <w:r w:rsidR="001B01E3" w:rsidRPr="001B01E3">
        <w:t xml:space="preserve">on the competitive bidding process </w:t>
      </w:r>
      <w:r w:rsidR="001B01E3">
        <w:t>for a contractor will</w:t>
      </w:r>
      <w:r w:rsidR="001B01E3" w:rsidRPr="001B01E3">
        <w:t xml:space="preserve"> result in an internet data collection and dissemination system that will minimize transaction costs to all entities required to interact with the Clearinghouse. As a result, FMCSA believes its estimate </w:t>
      </w:r>
      <w:proofErr w:type="gramStart"/>
      <w:r w:rsidR="001B01E3" w:rsidRPr="001B01E3">
        <w:t>of  fees</w:t>
      </w:r>
      <w:proofErr w:type="gramEnd"/>
      <w:r w:rsidR="001B01E3" w:rsidRPr="001B01E3">
        <w:t xml:space="preserve"> for pre-employment queries, limited annual and full annual queries, and labor-related costs associated with the activities of all entities using the Clearinghouse are conservatively high. </w:t>
      </w:r>
      <w:r w:rsidR="001648C1">
        <w:t xml:space="preserve">Other non-reporting related costs borne by respondents include $56 million in return-to-duty costs, $11.5 million in opportunity costs </w:t>
      </w:r>
      <w:r w:rsidR="001B01E3">
        <w:t xml:space="preserve">that </w:t>
      </w:r>
      <w:r w:rsidR="00943E32">
        <w:t xml:space="preserve">are estimated to be incurred by </w:t>
      </w:r>
      <w:r w:rsidR="001648C1">
        <w:t>employers for driver</w:t>
      </w:r>
      <w:r w:rsidR="001B01E3">
        <w:t>s’</w:t>
      </w:r>
      <w:r w:rsidR="001648C1">
        <w:t xml:space="preserve"> on-duty hours for</w:t>
      </w:r>
      <w:r w:rsidR="001B01E3">
        <w:t>gone for</w:t>
      </w:r>
      <w:r w:rsidR="001648C1">
        <w:t xml:space="preserve"> those drivers </w:t>
      </w:r>
      <w:r w:rsidR="00943E32">
        <w:t xml:space="preserve">barred from performing safety-sensitive functions after drug and alcohol violations are </w:t>
      </w:r>
      <w:r w:rsidR="001648C1">
        <w:t xml:space="preserve">detected as a result of the rule. </w:t>
      </w:r>
    </w:p>
    <w:tbl>
      <w:tblPr>
        <w:tblStyle w:val="TableGrid"/>
        <w:tblpPr w:leftFromText="4752" w:rightFromText="2592" w:topFromText="288" w:bottomFromText="288" w:vertAnchor="text" w:tblpXSpec="center" w:tblpY="1"/>
        <w:tblOverlap w:val="never"/>
        <w:tblW w:w="0" w:type="auto"/>
        <w:tblLook w:val="04A0" w:firstRow="1" w:lastRow="0" w:firstColumn="1" w:lastColumn="0" w:noHBand="0" w:noVBand="1"/>
      </w:tblPr>
      <w:tblGrid>
        <w:gridCol w:w="2571"/>
        <w:gridCol w:w="2488"/>
        <w:gridCol w:w="2362"/>
        <w:gridCol w:w="2155"/>
      </w:tblGrid>
      <w:tr w:rsidR="00050E06" w:rsidTr="00B91B1F">
        <w:tc>
          <w:tcPr>
            <w:tcW w:w="9576" w:type="dxa"/>
            <w:gridSpan w:val="4"/>
            <w:tcBorders>
              <w:top w:val="single" w:sz="4" w:space="0" w:color="auto"/>
              <w:left w:val="single" w:sz="4" w:space="0" w:color="auto"/>
              <w:right w:val="single" w:sz="4" w:space="0" w:color="auto"/>
            </w:tcBorders>
            <w:shd w:val="clear" w:color="auto" w:fill="BFBFBF" w:themeFill="background1" w:themeFillShade="BF"/>
          </w:tcPr>
          <w:p w:rsidR="00050E06" w:rsidRPr="00050E06" w:rsidRDefault="00050E06" w:rsidP="001648C1">
            <w:pPr>
              <w:jc w:val="center"/>
              <w:rPr>
                <w:rFonts w:ascii="Arial Narrow" w:hAnsi="Arial Narrow"/>
                <w:b/>
                <w:sz w:val="20"/>
                <w:szCs w:val="20"/>
              </w:rPr>
            </w:pPr>
            <w:r w:rsidRPr="00050E06">
              <w:rPr>
                <w:rFonts w:ascii="Arial Narrow" w:hAnsi="Arial Narrow"/>
                <w:b/>
                <w:sz w:val="20"/>
                <w:szCs w:val="20"/>
              </w:rPr>
              <w:t>Employer Clearinghouse Access Fees</w:t>
            </w:r>
          </w:p>
        </w:tc>
      </w:tr>
      <w:tr w:rsidR="00FC50BF" w:rsidTr="00B91B1F">
        <w:tc>
          <w:tcPr>
            <w:tcW w:w="2571" w:type="dxa"/>
            <w:shd w:val="clear" w:color="auto" w:fill="BFBFBF" w:themeFill="background1" w:themeFillShade="BF"/>
            <w:vAlign w:val="center"/>
          </w:tcPr>
          <w:p w:rsidR="00FC50BF" w:rsidRPr="00050E06" w:rsidRDefault="00FC50BF" w:rsidP="001648C1">
            <w:pPr>
              <w:jc w:val="center"/>
              <w:rPr>
                <w:rFonts w:ascii="Arial Narrow" w:hAnsi="Arial Narrow" w:cs="Arial"/>
                <w:b/>
                <w:sz w:val="20"/>
                <w:szCs w:val="20"/>
              </w:rPr>
            </w:pPr>
            <w:r w:rsidRPr="00050E06">
              <w:rPr>
                <w:rFonts w:ascii="Arial Narrow" w:hAnsi="Arial Narrow" w:cs="Arial"/>
                <w:b/>
                <w:sz w:val="20"/>
                <w:szCs w:val="20"/>
              </w:rPr>
              <w:t>Query Type</w:t>
            </w:r>
          </w:p>
        </w:tc>
        <w:tc>
          <w:tcPr>
            <w:tcW w:w="2488" w:type="dxa"/>
            <w:shd w:val="clear" w:color="auto" w:fill="BFBFBF" w:themeFill="background1" w:themeFillShade="BF"/>
            <w:vAlign w:val="center"/>
          </w:tcPr>
          <w:p w:rsidR="00FC50BF" w:rsidRPr="00050E06" w:rsidRDefault="00FC50BF" w:rsidP="001648C1">
            <w:pPr>
              <w:jc w:val="center"/>
              <w:rPr>
                <w:rFonts w:ascii="Arial Narrow" w:hAnsi="Arial Narrow" w:cs="Arial"/>
                <w:b/>
                <w:sz w:val="20"/>
                <w:szCs w:val="20"/>
              </w:rPr>
            </w:pPr>
            <w:r w:rsidRPr="00050E06">
              <w:rPr>
                <w:rFonts w:ascii="Arial Narrow" w:hAnsi="Arial Narrow" w:cs="Arial"/>
                <w:b/>
                <w:sz w:val="20"/>
                <w:szCs w:val="20"/>
              </w:rPr>
              <w:t>Estimated Number of Queries</w:t>
            </w:r>
          </w:p>
        </w:tc>
        <w:tc>
          <w:tcPr>
            <w:tcW w:w="2362" w:type="dxa"/>
            <w:shd w:val="clear" w:color="auto" w:fill="BFBFBF" w:themeFill="background1" w:themeFillShade="BF"/>
            <w:vAlign w:val="center"/>
          </w:tcPr>
          <w:p w:rsidR="00FC50BF" w:rsidRPr="00050E06" w:rsidRDefault="00FC50BF" w:rsidP="001648C1">
            <w:pPr>
              <w:jc w:val="center"/>
              <w:rPr>
                <w:rFonts w:ascii="Arial Narrow" w:hAnsi="Arial Narrow" w:cs="Arial"/>
                <w:b/>
                <w:sz w:val="20"/>
                <w:szCs w:val="20"/>
              </w:rPr>
            </w:pPr>
            <w:r w:rsidRPr="00050E06">
              <w:rPr>
                <w:rFonts w:ascii="Arial Narrow" w:hAnsi="Arial Narrow" w:cs="Arial"/>
                <w:b/>
                <w:sz w:val="20"/>
                <w:szCs w:val="20"/>
              </w:rPr>
              <w:t>Cost per Query</w:t>
            </w:r>
          </w:p>
        </w:tc>
        <w:tc>
          <w:tcPr>
            <w:tcW w:w="2155" w:type="dxa"/>
            <w:shd w:val="clear" w:color="auto" w:fill="BFBFBF" w:themeFill="background1" w:themeFillShade="BF"/>
            <w:vAlign w:val="center"/>
          </w:tcPr>
          <w:p w:rsidR="00FC50BF" w:rsidRPr="00050E06" w:rsidRDefault="00FC50BF" w:rsidP="001648C1">
            <w:pPr>
              <w:jc w:val="center"/>
              <w:rPr>
                <w:rFonts w:ascii="Arial Narrow" w:hAnsi="Arial Narrow" w:cs="Arial"/>
                <w:b/>
                <w:sz w:val="20"/>
                <w:szCs w:val="20"/>
              </w:rPr>
            </w:pPr>
            <w:r w:rsidRPr="00050E06">
              <w:rPr>
                <w:rFonts w:ascii="Arial Narrow" w:hAnsi="Arial Narrow" w:cs="Arial"/>
                <w:b/>
                <w:sz w:val="20"/>
                <w:szCs w:val="20"/>
              </w:rPr>
              <w:t>Cost</w:t>
            </w:r>
          </w:p>
        </w:tc>
      </w:tr>
      <w:tr w:rsidR="00E21181" w:rsidTr="00B91B1F">
        <w:tc>
          <w:tcPr>
            <w:tcW w:w="2571" w:type="dxa"/>
          </w:tcPr>
          <w:p w:rsidR="00E21181" w:rsidRPr="00050E06" w:rsidRDefault="00E21181" w:rsidP="001648C1">
            <w:pPr>
              <w:jc w:val="center"/>
              <w:rPr>
                <w:rFonts w:ascii="Arial Narrow" w:hAnsi="Arial Narrow"/>
                <w:sz w:val="20"/>
                <w:szCs w:val="20"/>
              </w:rPr>
            </w:pPr>
            <w:r w:rsidRPr="00050E06">
              <w:rPr>
                <w:rFonts w:ascii="Arial Narrow" w:hAnsi="Arial Narrow"/>
                <w:sz w:val="20"/>
                <w:szCs w:val="20"/>
              </w:rPr>
              <w:t>Pre-employment Query</w:t>
            </w:r>
          </w:p>
        </w:tc>
        <w:tc>
          <w:tcPr>
            <w:tcW w:w="2488" w:type="dxa"/>
          </w:tcPr>
          <w:p w:rsidR="00E21181" w:rsidRPr="00050E06" w:rsidRDefault="00E21181" w:rsidP="001648C1">
            <w:pPr>
              <w:jc w:val="center"/>
              <w:rPr>
                <w:rFonts w:ascii="Arial Narrow" w:hAnsi="Arial Narrow"/>
                <w:sz w:val="20"/>
                <w:szCs w:val="20"/>
              </w:rPr>
            </w:pPr>
            <w:r w:rsidRPr="00050E06">
              <w:rPr>
                <w:rFonts w:ascii="Arial Narrow" w:hAnsi="Arial Narrow"/>
                <w:sz w:val="20"/>
                <w:szCs w:val="20"/>
              </w:rPr>
              <w:t>1,996,328</w:t>
            </w:r>
          </w:p>
        </w:tc>
        <w:tc>
          <w:tcPr>
            <w:tcW w:w="2362" w:type="dxa"/>
          </w:tcPr>
          <w:p w:rsidR="00E21181" w:rsidRPr="001648C1" w:rsidRDefault="00E21181" w:rsidP="001648C1">
            <w:pPr>
              <w:jc w:val="center"/>
              <w:rPr>
                <w:rFonts w:ascii="Arial Narrow" w:hAnsi="Arial Narrow" w:cs="Arial"/>
                <w:sz w:val="20"/>
                <w:szCs w:val="20"/>
              </w:rPr>
            </w:pPr>
            <w:r w:rsidRPr="00B91B1F">
              <w:rPr>
                <w:rFonts w:ascii="Arial Narrow" w:hAnsi="Arial Narrow" w:cs="Arial"/>
                <w:sz w:val="20"/>
                <w:szCs w:val="20"/>
              </w:rPr>
              <w:t>$5.00</w:t>
            </w:r>
          </w:p>
        </w:tc>
        <w:tc>
          <w:tcPr>
            <w:tcW w:w="2155" w:type="dxa"/>
          </w:tcPr>
          <w:p w:rsidR="00E21181" w:rsidRPr="001648C1" w:rsidRDefault="00E21181" w:rsidP="001648C1">
            <w:pPr>
              <w:jc w:val="center"/>
              <w:rPr>
                <w:rFonts w:ascii="Arial Narrow" w:hAnsi="Arial Narrow"/>
                <w:sz w:val="20"/>
                <w:szCs w:val="20"/>
              </w:rPr>
            </w:pPr>
            <w:r w:rsidRPr="00B91B1F">
              <w:rPr>
                <w:rFonts w:ascii="Arial Narrow" w:hAnsi="Arial Narrow"/>
                <w:sz w:val="20"/>
                <w:szCs w:val="20"/>
              </w:rPr>
              <w:t xml:space="preserve">$9,981,638 </w:t>
            </w:r>
          </w:p>
        </w:tc>
      </w:tr>
      <w:tr w:rsidR="00E21181" w:rsidTr="00B91B1F">
        <w:tc>
          <w:tcPr>
            <w:tcW w:w="2571" w:type="dxa"/>
          </w:tcPr>
          <w:p w:rsidR="00E21181" w:rsidRPr="00050E06" w:rsidRDefault="00E21181" w:rsidP="001648C1">
            <w:pPr>
              <w:jc w:val="center"/>
              <w:rPr>
                <w:rFonts w:ascii="Arial Narrow" w:hAnsi="Arial Narrow"/>
                <w:sz w:val="20"/>
                <w:szCs w:val="20"/>
              </w:rPr>
            </w:pPr>
            <w:r w:rsidRPr="00050E06">
              <w:rPr>
                <w:rFonts w:ascii="Arial Narrow" w:hAnsi="Arial Narrow"/>
                <w:sz w:val="20"/>
                <w:szCs w:val="20"/>
              </w:rPr>
              <w:t>Annual Query-Limited</w:t>
            </w:r>
          </w:p>
        </w:tc>
        <w:tc>
          <w:tcPr>
            <w:tcW w:w="2488" w:type="dxa"/>
          </w:tcPr>
          <w:p w:rsidR="00E21181" w:rsidRPr="00050E06" w:rsidRDefault="00E21181" w:rsidP="001648C1">
            <w:pPr>
              <w:jc w:val="center"/>
              <w:rPr>
                <w:rFonts w:ascii="Arial Narrow" w:hAnsi="Arial Narrow"/>
                <w:sz w:val="20"/>
                <w:szCs w:val="20"/>
              </w:rPr>
            </w:pPr>
            <w:r w:rsidRPr="00050E06">
              <w:rPr>
                <w:rFonts w:ascii="Arial Narrow" w:hAnsi="Arial Narrow"/>
                <w:sz w:val="20"/>
                <w:szCs w:val="20"/>
              </w:rPr>
              <w:t>4,839,000</w:t>
            </w:r>
          </w:p>
        </w:tc>
        <w:tc>
          <w:tcPr>
            <w:tcW w:w="2362" w:type="dxa"/>
          </w:tcPr>
          <w:p w:rsidR="00E21181" w:rsidRPr="001648C1" w:rsidRDefault="00E21181" w:rsidP="001648C1">
            <w:pPr>
              <w:jc w:val="center"/>
              <w:rPr>
                <w:rFonts w:ascii="Arial Narrow" w:hAnsi="Arial Narrow" w:cs="Arial"/>
                <w:sz w:val="20"/>
                <w:szCs w:val="20"/>
              </w:rPr>
            </w:pPr>
            <w:r w:rsidRPr="00B91B1F">
              <w:rPr>
                <w:rFonts w:ascii="Arial Narrow" w:hAnsi="Arial Narrow" w:cs="Arial"/>
                <w:sz w:val="20"/>
                <w:szCs w:val="20"/>
              </w:rPr>
              <w:t>$2.50</w:t>
            </w:r>
          </w:p>
        </w:tc>
        <w:tc>
          <w:tcPr>
            <w:tcW w:w="2155" w:type="dxa"/>
          </w:tcPr>
          <w:p w:rsidR="00E21181" w:rsidRPr="001648C1" w:rsidRDefault="00E21181" w:rsidP="001648C1">
            <w:pPr>
              <w:jc w:val="center"/>
              <w:rPr>
                <w:rFonts w:ascii="Arial Narrow" w:hAnsi="Arial Narrow"/>
                <w:sz w:val="20"/>
                <w:szCs w:val="20"/>
              </w:rPr>
            </w:pPr>
            <w:r w:rsidRPr="00B91B1F">
              <w:rPr>
                <w:rFonts w:ascii="Arial Narrow" w:hAnsi="Arial Narrow"/>
                <w:sz w:val="20"/>
                <w:szCs w:val="20"/>
              </w:rPr>
              <w:t xml:space="preserve">$12,097,500 </w:t>
            </w:r>
          </w:p>
        </w:tc>
      </w:tr>
      <w:tr w:rsidR="00E21181" w:rsidTr="00B91B1F">
        <w:tc>
          <w:tcPr>
            <w:tcW w:w="2571" w:type="dxa"/>
          </w:tcPr>
          <w:p w:rsidR="00E21181" w:rsidRPr="00050E06" w:rsidRDefault="00E21181" w:rsidP="001648C1">
            <w:pPr>
              <w:jc w:val="center"/>
              <w:rPr>
                <w:rFonts w:ascii="Arial Narrow" w:hAnsi="Arial Narrow"/>
                <w:sz w:val="20"/>
                <w:szCs w:val="20"/>
              </w:rPr>
            </w:pPr>
            <w:r w:rsidRPr="00050E06">
              <w:rPr>
                <w:rFonts w:ascii="Arial Narrow" w:hAnsi="Arial Narrow"/>
                <w:sz w:val="20"/>
                <w:szCs w:val="20"/>
              </w:rPr>
              <w:t>Annual Query-Full</w:t>
            </w:r>
          </w:p>
        </w:tc>
        <w:tc>
          <w:tcPr>
            <w:tcW w:w="2488" w:type="dxa"/>
          </w:tcPr>
          <w:p w:rsidR="00E21181" w:rsidRPr="00050E06" w:rsidRDefault="00E21181" w:rsidP="001648C1">
            <w:pPr>
              <w:jc w:val="center"/>
              <w:rPr>
                <w:rFonts w:ascii="Arial Narrow" w:hAnsi="Arial Narrow"/>
                <w:sz w:val="20"/>
                <w:szCs w:val="20"/>
              </w:rPr>
            </w:pPr>
            <w:r w:rsidRPr="00050E06">
              <w:rPr>
                <w:rFonts w:ascii="Arial Narrow" w:hAnsi="Arial Narrow"/>
                <w:sz w:val="20"/>
                <w:szCs w:val="20"/>
              </w:rPr>
              <w:t>361,000</w:t>
            </w:r>
          </w:p>
        </w:tc>
        <w:tc>
          <w:tcPr>
            <w:tcW w:w="2362" w:type="dxa"/>
          </w:tcPr>
          <w:p w:rsidR="00E21181" w:rsidRPr="001648C1" w:rsidRDefault="00E21181" w:rsidP="001648C1">
            <w:pPr>
              <w:jc w:val="center"/>
              <w:rPr>
                <w:rFonts w:ascii="Arial Narrow" w:hAnsi="Arial Narrow" w:cs="Arial"/>
                <w:sz w:val="20"/>
                <w:szCs w:val="20"/>
              </w:rPr>
            </w:pPr>
            <w:r w:rsidRPr="00B91B1F">
              <w:rPr>
                <w:rFonts w:ascii="Arial Narrow" w:hAnsi="Arial Narrow" w:cs="Arial"/>
                <w:sz w:val="20"/>
                <w:szCs w:val="20"/>
              </w:rPr>
              <w:t>$5.00</w:t>
            </w:r>
          </w:p>
        </w:tc>
        <w:tc>
          <w:tcPr>
            <w:tcW w:w="2155" w:type="dxa"/>
          </w:tcPr>
          <w:p w:rsidR="00E21181" w:rsidRPr="001648C1" w:rsidRDefault="00E21181" w:rsidP="001648C1">
            <w:pPr>
              <w:jc w:val="center"/>
              <w:rPr>
                <w:rFonts w:ascii="Arial Narrow" w:hAnsi="Arial Narrow"/>
                <w:sz w:val="20"/>
                <w:szCs w:val="20"/>
              </w:rPr>
            </w:pPr>
            <w:r w:rsidRPr="00B91B1F">
              <w:rPr>
                <w:rFonts w:ascii="Arial Narrow" w:hAnsi="Arial Narrow"/>
                <w:sz w:val="20"/>
                <w:szCs w:val="20"/>
              </w:rPr>
              <w:t xml:space="preserve">$1,805,000 </w:t>
            </w:r>
          </w:p>
        </w:tc>
      </w:tr>
      <w:tr w:rsidR="00FC50BF" w:rsidTr="00B91B1F">
        <w:tc>
          <w:tcPr>
            <w:tcW w:w="2571" w:type="dxa"/>
            <w:vAlign w:val="center"/>
          </w:tcPr>
          <w:p w:rsidR="00FC50BF" w:rsidRPr="00B91B1F" w:rsidRDefault="00FC50BF" w:rsidP="001648C1">
            <w:pPr>
              <w:jc w:val="center"/>
              <w:rPr>
                <w:rFonts w:ascii="Arial Narrow" w:hAnsi="Arial Narrow"/>
                <w:b/>
                <w:sz w:val="20"/>
                <w:szCs w:val="20"/>
              </w:rPr>
            </w:pPr>
            <w:r w:rsidRPr="00B91B1F">
              <w:rPr>
                <w:rFonts w:ascii="Arial Narrow" w:hAnsi="Arial Narrow"/>
                <w:b/>
                <w:sz w:val="20"/>
                <w:szCs w:val="20"/>
              </w:rPr>
              <w:t>Total</w:t>
            </w:r>
          </w:p>
        </w:tc>
        <w:tc>
          <w:tcPr>
            <w:tcW w:w="2488" w:type="dxa"/>
          </w:tcPr>
          <w:p w:rsidR="00FC50BF" w:rsidRPr="00B91B1F" w:rsidRDefault="00E21181" w:rsidP="001648C1">
            <w:pPr>
              <w:jc w:val="center"/>
              <w:rPr>
                <w:rFonts w:ascii="Arial Narrow" w:hAnsi="Arial Narrow"/>
                <w:sz w:val="20"/>
                <w:szCs w:val="20"/>
              </w:rPr>
            </w:pPr>
            <w:r w:rsidRPr="00B91B1F">
              <w:rPr>
                <w:rFonts w:ascii="Arial Narrow" w:hAnsi="Arial Narrow"/>
                <w:sz w:val="20"/>
                <w:szCs w:val="20"/>
              </w:rPr>
              <w:t>$23,884,138</w:t>
            </w:r>
          </w:p>
        </w:tc>
        <w:tc>
          <w:tcPr>
            <w:tcW w:w="2362" w:type="dxa"/>
          </w:tcPr>
          <w:p w:rsidR="00FC50BF" w:rsidRPr="00050E06" w:rsidRDefault="00FC50BF" w:rsidP="001648C1">
            <w:pPr>
              <w:jc w:val="center"/>
              <w:rPr>
                <w:rFonts w:ascii="Arial Narrow" w:hAnsi="Arial Narrow"/>
              </w:rPr>
            </w:pPr>
          </w:p>
        </w:tc>
        <w:tc>
          <w:tcPr>
            <w:tcW w:w="2155" w:type="dxa"/>
          </w:tcPr>
          <w:p w:rsidR="00FC50BF" w:rsidRPr="00B91B1F" w:rsidRDefault="00E21181" w:rsidP="001648C1">
            <w:pPr>
              <w:jc w:val="center"/>
              <w:rPr>
                <w:rFonts w:ascii="Arial Narrow" w:hAnsi="Arial Narrow"/>
                <w:sz w:val="20"/>
                <w:szCs w:val="20"/>
              </w:rPr>
            </w:pPr>
            <w:r w:rsidRPr="00B91B1F">
              <w:rPr>
                <w:rFonts w:ascii="Arial Narrow" w:hAnsi="Arial Narrow"/>
                <w:sz w:val="20"/>
                <w:szCs w:val="20"/>
              </w:rPr>
              <w:t>$23,884,138</w:t>
            </w:r>
          </w:p>
        </w:tc>
      </w:tr>
    </w:tbl>
    <w:p w:rsidR="00FC50BF" w:rsidRDefault="00FC50BF">
      <w:pPr>
        <w:jc w:val="both"/>
      </w:pPr>
    </w:p>
    <w:p w:rsidR="000C7E7A" w:rsidRPr="000C7E7A" w:rsidRDefault="0000466C" w:rsidP="000C7E7A">
      <w:pPr>
        <w:tabs>
          <w:tab w:val="left" w:pos="720"/>
        </w:tabs>
        <w:ind w:left="720" w:firstLine="720"/>
        <w:jc w:val="both"/>
      </w:pPr>
      <w:r>
        <w:t xml:space="preserve"> </w:t>
      </w:r>
    </w:p>
    <w:p w:rsidR="004015FC" w:rsidRDefault="00F2237B" w:rsidP="00F2237B">
      <w:pPr>
        <w:pStyle w:val="NormalWeb"/>
        <w:widowControl w:val="0"/>
        <w:rPr>
          <w:rFonts w:ascii="Arial" w:hAnsi="Arial" w:cs="Arial"/>
          <w:b/>
          <w:bCs/>
          <w:szCs w:val="20"/>
        </w:rPr>
      </w:pPr>
      <w:r>
        <w:rPr>
          <w:rFonts w:ascii="Arial" w:hAnsi="Arial"/>
          <w:b/>
        </w:rPr>
        <w:t xml:space="preserve">14.  </w:t>
      </w:r>
      <w:r w:rsidR="004015FC">
        <w:rPr>
          <w:rFonts w:ascii="Arial" w:hAnsi="Arial"/>
          <w:b/>
        </w:rPr>
        <w:t>Estimate of Total Annual Costs to the Federal Government.</w:t>
      </w:r>
    </w:p>
    <w:p w:rsidR="00DE1AC7" w:rsidRDefault="0064048F" w:rsidP="00655035">
      <w:pPr>
        <w:jc w:val="both"/>
        <w:rPr>
          <w:rFonts w:ascii="Arial Narrow" w:hAnsi="Arial Narrow"/>
          <w:b/>
          <w:bCs/>
          <w:color w:val="000000"/>
          <w:sz w:val="20"/>
          <w:szCs w:val="20"/>
        </w:rPr>
      </w:pPr>
      <w:r>
        <w:t>FMCSA will incur cost</w:t>
      </w:r>
      <w:r w:rsidR="00926714">
        <w:t>s</w:t>
      </w:r>
      <w:r>
        <w:t xml:space="preserve"> to </w:t>
      </w:r>
      <w:r w:rsidR="003F5388">
        <w:t xml:space="preserve">develop </w:t>
      </w:r>
      <w:r w:rsidR="00AB20BF">
        <w:t xml:space="preserve">the </w:t>
      </w:r>
      <w:r w:rsidR="006F139E">
        <w:t>C</w:t>
      </w:r>
      <w:r w:rsidR="003F5388">
        <w:t>learinghouse</w:t>
      </w:r>
      <w:r w:rsidR="00630942">
        <w:t xml:space="preserve">, </w:t>
      </w:r>
      <w:r>
        <w:t xml:space="preserve">continuously </w:t>
      </w:r>
      <w:r w:rsidR="003F5388">
        <w:t>manage</w:t>
      </w:r>
      <w:r>
        <w:t xml:space="preserve"> </w:t>
      </w:r>
      <w:r w:rsidR="003F5388">
        <w:t>driver records</w:t>
      </w:r>
      <w:r w:rsidR="00630942">
        <w:t xml:space="preserve"> and provide through the Clearinghouse notification to drivers of request</w:t>
      </w:r>
      <w:r w:rsidR="00926714">
        <w:t>s</w:t>
      </w:r>
      <w:r w:rsidR="00630942">
        <w:t xml:space="preserve"> for </w:t>
      </w:r>
      <w:r w:rsidR="00926714">
        <w:t>full queries</w:t>
      </w:r>
      <w:r w:rsidR="006A33C9">
        <w:t xml:space="preserve">. </w:t>
      </w:r>
      <w:r w:rsidR="006A33C9" w:rsidRPr="006A33C9">
        <w:t xml:space="preserve"> FMCSA estimates that </w:t>
      </w:r>
      <w:r w:rsidR="006A33C9">
        <w:t xml:space="preserve">the Agency’s </w:t>
      </w:r>
      <w:r w:rsidR="006A33C9" w:rsidRPr="006A33C9">
        <w:t>IT costs will be $ 2.2 mi</w:t>
      </w:r>
      <w:r w:rsidR="006A33C9">
        <w:t>llion annually</w:t>
      </w:r>
      <w:r w:rsidR="00630942">
        <w:t>.</w:t>
      </w:r>
      <w:r w:rsidR="003F5388">
        <w:rPr>
          <w:rStyle w:val="FootnoteReference"/>
        </w:rPr>
        <w:footnoteReference w:id="3"/>
      </w:r>
      <w:r w:rsidR="003F5388">
        <w:t xml:space="preserve"> </w:t>
      </w:r>
      <w:r w:rsidR="00FC3E43" w:rsidRPr="00FC3E43">
        <w:t xml:space="preserve">  </w:t>
      </w:r>
    </w:p>
    <w:p w:rsidR="00DE1AC7" w:rsidRDefault="00DE1AC7">
      <w:pPr>
        <w:jc w:val="both"/>
        <w:rPr>
          <w:rFonts w:ascii="Arial Narrow" w:hAnsi="Arial Narrow"/>
          <w:b/>
          <w:bCs/>
          <w:color w:val="000000"/>
          <w:sz w:val="20"/>
          <w:szCs w:val="20"/>
        </w:rPr>
      </w:pPr>
    </w:p>
    <w:p w:rsidR="004015FC" w:rsidRDefault="004015FC" w:rsidP="004015FC">
      <w:pPr>
        <w:pStyle w:val="NormalWeb"/>
        <w:keepNext/>
        <w:rPr>
          <w:rFonts w:ascii="Arial" w:hAnsi="Arial" w:cs="Arial"/>
          <w:b/>
          <w:bCs/>
          <w:szCs w:val="20"/>
        </w:rPr>
      </w:pPr>
      <w:r>
        <w:rPr>
          <w:rFonts w:ascii="Arial" w:hAnsi="Arial"/>
          <w:b/>
        </w:rPr>
        <w:t>15. Explanation of Program Changes or Adjustments.</w:t>
      </w:r>
    </w:p>
    <w:p w:rsidR="004B4C7C" w:rsidRDefault="00DD3810" w:rsidP="004B4C7C">
      <w:pPr>
        <w:pStyle w:val="NormalWeb"/>
        <w:jc w:val="both"/>
        <w:rPr>
          <w:rFonts w:ascii="Arial" w:hAnsi="Arial" w:cs="Arial"/>
          <w:szCs w:val="20"/>
        </w:rPr>
      </w:pPr>
      <w:r>
        <w:t xml:space="preserve">This program increase is due to </w:t>
      </w:r>
      <w:r w:rsidR="00E056D1">
        <w:t>the</w:t>
      </w:r>
      <w:r>
        <w:t xml:space="preserve"> ICR requirement in </w:t>
      </w:r>
      <w:r w:rsidR="00E056D1">
        <w:t>the rule</w:t>
      </w:r>
      <w:r>
        <w:t xml:space="preserve">. </w:t>
      </w:r>
      <w:r w:rsidR="00D61A57">
        <w:t>From item</w:t>
      </w:r>
      <w:r w:rsidR="00D61A57" w:rsidRPr="00F70D33">
        <w:t xml:space="preserve"> 12 above, the additional </w:t>
      </w:r>
      <w:r w:rsidR="00D61A57">
        <w:t>burden-hours of this rule are</w:t>
      </w:r>
      <w:r w:rsidR="00D61A57" w:rsidRPr="00F70D33">
        <w:t xml:space="preserve"> </w:t>
      </w:r>
      <w:r w:rsidR="003212D0">
        <w:t>1,8</w:t>
      </w:r>
      <w:r w:rsidR="00B32378">
        <w:t>64</w:t>
      </w:r>
      <w:r w:rsidR="003212D0">
        <w:t>,</w:t>
      </w:r>
      <w:r w:rsidR="00F71BA8">
        <w:t>251</w:t>
      </w:r>
      <w:r w:rsidR="00D61A57" w:rsidRPr="00F70D33">
        <w:t xml:space="preserve"> annually.</w:t>
      </w:r>
    </w:p>
    <w:p w:rsidR="00CA02F9" w:rsidRDefault="00CA02F9">
      <w:pPr>
        <w:pStyle w:val="NormalWeb"/>
        <w:keepNext/>
        <w:rPr>
          <w:rFonts w:ascii="Arial" w:hAnsi="Arial" w:cs="Arial"/>
          <w:b/>
          <w:bCs/>
          <w:szCs w:val="20"/>
        </w:rPr>
      </w:pPr>
      <w:r>
        <w:rPr>
          <w:rFonts w:ascii="Arial" w:hAnsi="Arial" w:cs="Arial"/>
          <w:b/>
          <w:bCs/>
          <w:szCs w:val="20"/>
        </w:rPr>
        <w:t>16. Publication of Results of Data Collection.</w:t>
      </w:r>
    </w:p>
    <w:p w:rsidR="00CA02F9" w:rsidRPr="00382CA3" w:rsidRDefault="00CA02F9">
      <w:pPr>
        <w:pStyle w:val="NormalWeb"/>
        <w:rPr>
          <w:szCs w:val="20"/>
        </w:rPr>
      </w:pPr>
      <w:r w:rsidRPr="00382CA3">
        <w:rPr>
          <w:szCs w:val="20"/>
        </w:rPr>
        <w:t xml:space="preserve">FMCSA </w:t>
      </w:r>
      <w:r w:rsidR="00E102F8">
        <w:rPr>
          <w:szCs w:val="20"/>
        </w:rPr>
        <w:t xml:space="preserve">will not </w:t>
      </w:r>
      <w:r w:rsidRPr="00382CA3">
        <w:rPr>
          <w:szCs w:val="20"/>
        </w:rPr>
        <w:t>publish any</w:t>
      </w:r>
      <w:r w:rsidR="00FD63B0">
        <w:rPr>
          <w:szCs w:val="20"/>
        </w:rPr>
        <w:t xml:space="preserve"> individual drive</w:t>
      </w:r>
      <w:r w:rsidR="00E102F8">
        <w:rPr>
          <w:szCs w:val="20"/>
        </w:rPr>
        <w:t>r</w:t>
      </w:r>
      <w:r w:rsidR="00FD63B0">
        <w:rPr>
          <w:szCs w:val="20"/>
        </w:rPr>
        <w:t>’s test</w:t>
      </w:r>
      <w:r w:rsidRPr="00382CA3">
        <w:rPr>
          <w:szCs w:val="20"/>
        </w:rPr>
        <w:t xml:space="preserve"> results</w:t>
      </w:r>
      <w:r w:rsidR="00FD63B0">
        <w:rPr>
          <w:szCs w:val="20"/>
        </w:rPr>
        <w:t xml:space="preserve"> </w:t>
      </w:r>
      <w:r w:rsidR="00E102F8">
        <w:rPr>
          <w:szCs w:val="20"/>
        </w:rPr>
        <w:t xml:space="preserve">or any other information containing </w:t>
      </w:r>
      <w:r w:rsidR="00FD63B0">
        <w:rPr>
          <w:szCs w:val="20"/>
        </w:rPr>
        <w:t>personally identifiable information</w:t>
      </w:r>
      <w:r w:rsidRPr="00382CA3">
        <w:rPr>
          <w:szCs w:val="20"/>
        </w:rPr>
        <w:t>.</w:t>
      </w:r>
    </w:p>
    <w:p w:rsidR="00CA02F9" w:rsidRDefault="009A60C1" w:rsidP="00977BBD">
      <w:pPr>
        <w:pStyle w:val="NormalWeb"/>
        <w:keepNext/>
        <w:rPr>
          <w:rFonts w:ascii="Arial" w:hAnsi="Arial" w:cs="Arial"/>
          <w:b/>
          <w:bCs/>
          <w:szCs w:val="20"/>
        </w:rPr>
      </w:pPr>
      <w:r>
        <w:rPr>
          <w:rFonts w:ascii="Arial" w:hAnsi="Arial" w:cs="Arial"/>
          <w:b/>
          <w:bCs/>
          <w:szCs w:val="20"/>
        </w:rPr>
        <w:lastRenderedPageBreak/>
        <w:t>17. Approval for Exemption of Display of</w:t>
      </w:r>
      <w:r w:rsidR="00CA02F9">
        <w:rPr>
          <w:rFonts w:ascii="Arial" w:hAnsi="Arial" w:cs="Arial"/>
          <w:b/>
          <w:bCs/>
          <w:szCs w:val="20"/>
        </w:rPr>
        <w:t xml:space="preserve"> the Expiration Date of OMB Approval.</w:t>
      </w:r>
    </w:p>
    <w:p w:rsidR="00CA02F9" w:rsidRPr="00382CA3" w:rsidRDefault="00CA02F9">
      <w:pPr>
        <w:pStyle w:val="NormalWeb"/>
        <w:rPr>
          <w:szCs w:val="20"/>
        </w:rPr>
      </w:pPr>
      <w:r w:rsidRPr="00382CA3">
        <w:rPr>
          <w:szCs w:val="20"/>
        </w:rPr>
        <w:t>The FMCS</w:t>
      </w:r>
      <w:r w:rsidR="00382CA3" w:rsidRPr="00382CA3">
        <w:rPr>
          <w:szCs w:val="20"/>
        </w:rPr>
        <w:t>A is not seeking approval to exempt</w:t>
      </w:r>
      <w:r w:rsidRPr="00382CA3">
        <w:rPr>
          <w:szCs w:val="20"/>
        </w:rPr>
        <w:t xml:space="preserve"> display </w:t>
      </w:r>
      <w:r w:rsidR="00382CA3" w:rsidRPr="00382CA3">
        <w:rPr>
          <w:szCs w:val="20"/>
        </w:rPr>
        <w:t xml:space="preserve">of </w:t>
      </w:r>
      <w:r w:rsidRPr="00382CA3">
        <w:rPr>
          <w:szCs w:val="20"/>
        </w:rPr>
        <w:t>the expiration date of OMB approval of the information collection.</w:t>
      </w:r>
    </w:p>
    <w:p w:rsidR="00CA02F9" w:rsidRDefault="00CA02F9">
      <w:pPr>
        <w:pStyle w:val="NormalWeb"/>
        <w:keepNext/>
        <w:rPr>
          <w:rFonts w:ascii="Arial" w:hAnsi="Arial" w:cs="Arial"/>
          <w:b/>
          <w:bCs/>
          <w:szCs w:val="20"/>
        </w:rPr>
      </w:pPr>
      <w:r>
        <w:rPr>
          <w:rFonts w:ascii="Arial" w:hAnsi="Arial" w:cs="Arial"/>
          <w:b/>
          <w:bCs/>
          <w:szCs w:val="20"/>
        </w:rPr>
        <w:t>18. Exceptions to Certification Statement.</w:t>
      </w:r>
    </w:p>
    <w:p w:rsidR="00CA02F9" w:rsidRDefault="00CA02F9" w:rsidP="002042D9">
      <w:pPr>
        <w:pStyle w:val="NormalWeb"/>
        <w:rPr>
          <w:rFonts w:ascii="Arial" w:hAnsi="Arial" w:cs="Arial"/>
          <w:szCs w:val="20"/>
        </w:rPr>
      </w:pPr>
      <w:r w:rsidRPr="00382CA3">
        <w:rPr>
          <w:szCs w:val="20"/>
        </w:rPr>
        <w:t>There are no exceptions to the certification statement</w:t>
      </w:r>
      <w:r>
        <w:rPr>
          <w:rFonts w:ascii="Arial" w:hAnsi="Arial" w:cs="Arial"/>
          <w:szCs w:val="20"/>
        </w:rPr>
        <w:t>.</w:t>
      </w:r>
    </w:p>
    <w:p w:rsidR="00516D3A" w:rsidRDefault="002B5B36" w:rsidP="00E6418B">
      <w:pPr>
        <w:pStyle w:val="NormalWeb"/>
        <w:keepNext/>
        <w:rPr>
          <w:rFonts w:ascii="Arial" w:hAnsi="Arial" w:cs="Arial"/>
          <w:b/>
          <w:szCs w:val="20"/>
          <w:u w:val="single"/>
        </w:rPr>
      </w:pPr>
      <w:r w:rsidRPr="002B5B36">
        <w:rPr>
          <w:rFonts w:ascii="Arial" w:hAnsi="Arial" w:cs="Arial"/>
          <w:b/>
          <w:szCs w:val="20"/>
          <w:u w:val="single"/>
        </w:rPr>
        <w:t>Attachments</w:t>
      </w:r>
    </w:p>
    <w:p w:rsidR="00166F40" w:rsidRPr="0058582E" w:rsidRDefault="00E056D1" w:rsidP="00166F40">
      <w:pPr>
        <w:pStyle w:val="NormalWeb"/>
        <w:keepNext/>
        <w:numPr>
          <w:ilvl w:val="0"/>
          <w:numId w:val="28"/>
        </w:numPr>
        <w:rPr>
          <w:bCs/>
          <w:szCs w:val="20"/>
        </w:rPr>
      </w:pPr>
      <w:r>
        <w:rPr>
          <w:bCs/>
          <w:szCs w:val="20"/>
        </w:rPr>
        <w:t>Final rule</w:t>
      </w:r>
      <w:r w:rsidR="004B4C7C" w:rsidRPr="004B4C7C">
        <w:rPr>
          <w:bCs/>
          <w:szCs w:val="20"/>
        </w:rPr>
        <w:t xml:space="preserve"> entitled, “Commercial Driver License Drug and Alcohol Clearinghouse</w:t>
      </w:r>
      <w:r w:rsidR="00597C20">
        <w:rPr>
          <w:bCs/>
          <w:szCs w:val="20"/>
        </w:rPr>
        <w:t>,” 81 FR 87686, December 5, 2016.</w:t>
      </w:r>
    </w:p>
    <w:p w:rsidR="00166F40" w:rsidRPr="0058582E" w:rsidRDefault="004B4C7C" w:rsidP="00166F40">
      <w:pPr>
        <w:pStyle w:val="NormalWeb"/>
        <w:keepNext/>
        <w:numPr>
          <w:ilvl w:val="0"/>
          <w:numId w:val="28"/>
        </w:numPr>
        <w:rPr>
          <w:bCs/>
          <w:szCs w:val="20"/>
        </w:rPr>
      </w:pPr>
      <w:r w:rsidRPr="004B4C7C">
        <w:rPr>
          <w:bCs/>
          <w:szCs w:val="20"/>
        </w:rPr>
        <w:t>GAO-08-600 Report.  ”Improvements to Drug Testing Programs Could Better Identify Illegal Drug Users and Keep them off the Road”</w:t>
      </w:r>
    </w:p>
    <w:p w:rsidR="00166F40" w:rsidRPr="0058582E" w:rsidRDefault="004B4C7C" w:rsidP="00166F40">
      <w:pPr>
        <w:pStyle w:val="NormalWeb"/>
        <w:keepNext/>
        <w:numPr>
          <w:ilvl w:val="0"/>
          <w:numId w:val="28"/>
        </w:numPr>
        <w:rPr>
          <w:bCs/>
          <w:szCs w:val="20"/>
        </w:rPr>
      </w:pPr>
      <w:r w:rsidRPr="004B4C7C">
        <w:rPr>
          <w:bCs/>
          <w:szCs w:val="20"/>
        </w:rPr>
        <w:t>GAO-08-0829R Report.  ”Examples of Job Hopping by Commercial Drivers after Failing Drug Tests”</w:t>
      </w:r>
    </w:p>
    <w:p w:rsidR="00516D3A" w:rsidRDefault="00516D3A" w:rsidP="00977BBD">
      <w:pPr>
        <w:pStyle w:val="NormalWeb"/>
        <w:keepNext/>
        <w:rPr>
          <w:rFonts w:ascii="Arial" w:hAnsi="Arial" w:cs="Arial"/>
          <w:bCs/>
          <w:szCs w:val="20"/>
        </w:rPr>
      </w:pPr>
      <w:r w:rsidRPr="00516D3A">
        <w:rPr>
          <w:rFonts w:ascii="Arial" w:hAnsi="Arial" w:cs="Arial"/>
          <w:b/>
          <w:bCs/>
          <w:szCs w:val="20"/>
          <w:u w:val="single"/>
        </w:rPr>
        <w:t xml:space="preserve">Part B.  </w:t>
      </w:r>
      <w:proofErr w:type="gramStart"/>
      <w:r w:rsidRPr="00516D3A">
        <w:rPr>
          <w:rFonts w:ascii="Arial" w:hAnsi="Arial" w:cs="Arial"/>
          <w:b/>
          <w:bCs/>
          <w:szCs w:val="20"/>
          <w:u w:val="single"/>
        </w:rPr>
        <w:t>Collections of Information Employing Statistical Methods</w:t>
      </w:r>
      <w:r>
        <w:rPr>
          <w:rFonts w:ascii="Arial" w:hAnsi="Arial" w:cs="Arial"/>
          <w:b/>
          <w:bCs/>
          <w:szCs w:val="20"/>
        </w:rPr>
        <w:t>.</w:t>
      </w:r>
      <w:proofErr w:type="gramEnd"/>
    </w:p>
    <w:p w:rsidR="002B5B36" w:rsidRPr="0058582E" w:rsidRDefault="004B4C7C" w:rsidP="002042D9">
      <w:pPr>
        <w:pStyle w:val="NormalWeb"/>
        <w:rPr>
          <w:szCs w:val="20"/>
        </w:rPr>
      </w:pPr>
      <w:r w:rsidRPr="004B4C7C">
        <w:rPr>
          <w:bCs/>
          <w:szCs w:val="20"/>
        </w:rPr>
        <w:t>This ICR does not employ statistical methodologies.</w:t>
      </w:r>
    </w:p>
    <w:sectPr w:rsidR="002B5B36" w:rsidRPr="0058582E" w:rsidSect="002F76AA">
      <w:footerReference w:type="even" r:id="rId9"/>
      <w:footerReference w:type="defaul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0F53" w:rsidRDefault="00430F53">
      <w:r>
        <w:separator/>
      </w:r>
    </w:p>
  </w:endnote>
  <w:endnote w:type="continuationSeparator" w:id="0">
    <w:p w:rsidR="00430F53" w:rsidRDefault="00430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font>
  <w:font w:name="Century">
    <w:panose1 w:val="0204060405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A0F" w:rsidRDefault="00D70A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70A0F" w:rsidRDefault="00D70A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9807049"/>
      <w:docPartObj>
        <w:docPartGallery w:val="Page Numbers (Bottom of Page)"/>
        <w:docPartUnique/>
      </w:docPartObj>
    </w:sdtPr>
    <w:sdtEndPr/>
    <w:sdtContent>
      <w:p w:rsidR="00D70A0F" w:rsidRDefault="00D70A0F">
        <w:pPr>
          <w:pStyle w:val="Footer"/>
          <w:jc w:val="center"/>
        </w:pPr>
        <w:r>
          <w:fldChar w:fldCharType="begin"/>
        </w:r>
        <w:r>
          <w:instrText xml:space="preserve"> PAGE   \* MERGEFORMAT </w:instrText>
        </w:r>
        <w:r>
          <w:fldChar w:fldCharType="separate"/>
        </w:r>
        <w:r w:rsidR="00DA0F94">
          <w:rPr>
            <w:noProof/>
          </w:rPr>
          <w:t>2</w:t>
        </w:r>
        <w:r>
          <w:rPr>
            <w:noProof/>
          </w:rPr>
          <w:fldChar w:fldCharType="end"/>
        </w:r>
      </w:p>
    </w:sdtContent>
  </w:sdt>
  <w:p w:rsidR="00D70A0F" w:rsidRDefault="00D70A0F" w:rsidP="00DF6135">
    <w:pPr>
      <w:pStyle w:val="Footer"/>
      <w:tabs>
        <w:tab w:val="clear" w:pos="4320"/>
        <w:tab w:val="clear" w:pos="8640"/>
        <w:tab w:val="right" w:pos="9360"/>
      </w:tabs>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9807048"/>
      <w:docPartObj>
        <w:docPartGallery w:val="Page Numbers (Bottom of Page)"/>
        <w:docPartUnique/>
      </w:docPartObj>
    </w:sdtPr>
    <w:sdtEndPr/>
    <w:sdtContent>
      <w:p w:rsidR="00D70A0F" w:rsidRDefault="00D70A0F">
        <w:pPr>
          <w:pStyle w:val="Footer"/>
          <w:jc w:val="center"/>
        </w:pPr>
        <w:r>
          <w:fldChar w:fldCharType="begin"/>
        </w:r>
        <w:r>
          <w:instrText xml:space="preserve"> PAGE   \* MERGEFORMAT </w:instrText>
        </w:r>
        <w:r>
          <w:fldChar w:fldCharType="separate"/>
        </w:r>
        <w:r w:rsidR="00DA0F94">
          <w:rPr>
            <w:noProof/>
          </w:rPr>
          <w:t>1</w:t>
        </w:r>
        <w:r>
          <w:rPr>
            <w:noProof/>
          </w:rPr>
          <w:fldChar w:fldCharType="end"/>
        </w:r>
      </w:p>
    </w:sdtContent>
  </w:sdt>
  <w:p w:rsidR="00D70A0F" w:rsidRDefault="00D70A0F" w:rsidP="005F0224">
    <w:pPr>
      <w:pStyle w:val="Footer"/>
      <w:tabs>
        <w:tab w:val="clear" w:pos="4320"/>
        <w:tab w:val="clear" w:pos="8640"/>
        <w:tab w:val="right" w:pos="9360"/>
      </w:tabs>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0F53" w:rsidRDefault="00430F53">
      <w:r>
        <w:separator/>
      </w:r>
    </w:p>
  </w:footnote>
  <w:footnote w:type="continuationSeparator" w:id="0">
    <w:p w:rsidR="00430F53" w:rsidRDefault="00430F53">
      <w:r>
        <w:continuationSeparator/>
      </w:r>
    </w:p>
  </w:footnote>
  <w:footnote w:id="1">
    <w:p w:rsidR="006A4319" w:rsidRDefault="006A4319">
      <w:pPr>
        <w:pStyle w:val="FootnoteText"/>
      </w:pPr>
      <w:r>
        <w:rPr>
          <w:rStyle w:val="FootnoteReference"/>
        </w:rPr>
        <w:footnoteRef/>
      </w:r>
      <w:r>
        <w:t xml:space="preserve"> All Bureau of Labor Statistics (BLS) hourly wage rates excluding fringe benefits and employer overhead are from the May 2014 Occupational Employment Statistics </w:t>
      </w:r>
      <w:r w:rsidR="002D4D99" w:rsidRPr="00B91B1F">
        <w:t>at http</w:t>
      </w:r>
      <w:r w:rsidRPr="00B91B1F">
        <w:t>://www.bls.gov/oes/2014/may/oes_stru.htm#53-0000. The fringe benefit rate (53 percent) is from the BLS Employer Costs for Employee Compensation—December 2014.” at http://www.bls.gov/news.release/pdf/ecec.pdf.</w:t>
      </w:r>
      <w:r w:rsidRPr="00B91B1F">
        <w:rPr>
          <w:u w:val="single"/>
        </w:rPr>
        <w:t xml:space="preserve">  The</w:t>
      </w:r>
      <w:r>
        <w:t xml:space="preserve"> overhead rate (27 percent of labor costs) is from  </w:t>
      </w:r>
      <w:r w:rsidRPr="00C958D1">
        <w:t>“Truck Costing Model for Transportation Managers</w:t>
      </w:r>
      <w:r>
        <w:t>,</w:t>
      </w:r>
      <w:r w:rsidRPr="00C958D1">
        <w:t>” Upper Great Plains Transportation Institute,</w:t>
      </w:r>
      <w:r>
        <w:t xml:space="preserve">” </w:t>
      </w:r>
      <w:r w:rsidRPr="00C958D1">
        <w:t xml:space="preserve"> North</w:t>
      </w:r>
      <w:r w:rsidRPr="008B5C52">
        <w:t xml:space="preserve"> Dakota State University (2003)</w:t>
      </w:r>
      <w:r>
        <w:t xml:space="preserve"> at </w:t>
      </w:r>
      <w:r w:rsidRPr="008B5C52">
        <w:t xml:space="preserve"> </w:t>
      </w:r>
      <w:r>
        <w:t xml:space="preserve"> </w:t>
      </w:r>
      <w:r w:rsidRPr="00A64AF3">
        <w:rPr>
          <w:bCs/>
        </w:rPr>
        <w:t>http://ntl.bts.gov/lib/24000/24200/24223/24223.pdf</w:t>
      </w:r>
      <w:r>
        <w:rPr>
          <w:bCs/>
        </w:rPr>
        <w:t>.</w:t>
      </w:r>
      <w:r w:rsidRPr="00A64AF3" w:rsidDel="00A64AF3">
        <w:rPr>
          <w:bCs/>
        </w:rPr>
        <w:t xml:space="preserve"> </w:t>
      </w:r>
      <w:r>
        <w:rPr>
          <w:bCs/>
        </w:rPr>
        <w:t xml:space="preserve"> </w:t>
      </w:r>
      <w:proofErr w:type="gramStart"/>
      <w:r>
        <w:rPr>
          <w:bCs/>
        </w:rPr>
        <w:t>Accessed December 21, 2015.</w:t>
      </w:r>
      <w:proofErr w:type="gramEnd"/>
    </w:p>
  </w:footnote>
  <w:footnote w:id="2">
    <w:p w:rsidR="00E21181" w:rsidRDefault="00E21181" w:rsidP="00E21181">
      <w:pPr>
        <w:pStyle w:val="FootnoteText"/>
      </w:pPr>
      <w:r>
        <w:rPr>
          <w:rStyle w:val="FootnoteReference"/>
        </w:rPr>
        <w:footnoteRef/>
      </w:r>
      <w:r>
        <w:t xml:space="preserve"> There is no reporting burden hours associated with the return to duty process.  Therefore, the $56 million of estimated annual return-to duty- costs are excluded from the estimated annual burden costs.  The annual cost of the Clearinghouse incurred by the government is identified in Item 14. </w:t>
      </w:r>
    </w:p>
  </w:footnote>
  <w:footnote w:id="3">
    <w:p w:rsidR="00D70A0F" w:rsidRPr="00CC2DC2" w:rsidRDefault="00D70A0F" w:rsidP="003F5388">
      <w:pPr>
        <w:pStyle w:val="SuperRIAFootnote"/>
      </w:pPr>
      <w:r>
        <w:rPr>
          <w:rStyle w:val="FootnoteReference"/>
        </w:rPr>
        <w:footnoteRef/>
      </w:r>
      <w:r>
        <w:t xml:space="preserve"> This is the value of the contract to develop and administer the FMCSA National Registry of Certified Medical Examiners (NRCME), a similar database used to store and retrieve driver medical records. However, the Agency believes this estimate is conservative for the Drug &amp; Alcohol Clearinghouse because it has many less records to store and manage than NRCME</w:t>
      </w:r>
      <w:r w:rsidRPr="00DC7641">
        <w:t>, “</w:t>
      </w:r>
      <w:r>
        <w:t>National Registry of Certified Medical Examiners</w:t>
      </w:r>
      <w:r w:rsidRPr="00DC7641">
        <w:t>,” Final Rule (</w:t>
      </w:r>
      <w:r>
        <w:t>77 FR 24104</w:t>
      </w:r>
      <w:r w:rsidRPr="00DC7641">
        <w:t>, Apr</w:t>
      </w:r>
      <w:r>
        <w:t>il 20, 2012</w:t>
      </w:r>
      <w:r w:rsidRPr="00DC7641">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4211E"/>
    <w:multiLevelType w:val="hybridMultilevel"/>
    <w:tmpl w:val="F4A2A3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B548AF"/>
    <w:multiLevelType w:val="hybridMultilevel"/>
    <w:tmpl w:val="420E65D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9E36E31"/>
    <w:multiLevelType w:val="hybridMultilevel"/>
    <w:tmpl w:val="A0042890"/>
    <w:lvl w:ilvl="0" w:tplc="0409000F">
      <w:start w:val="1"/>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B73780B"/>
    <w:multiLevelType w:val="hybridMultilevel"/>
    <w:tmpl w:val="E5B281A0"/>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E421A94"/>
    <w:multiLevelType w:val="hybridMultilevel"/>
    <w:tmpl w:val="9C169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A83F17"/>
    <w:multiLevelType w:val="hybridMultilevel"/>
    <w:tmpl w:val="3ADA1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EE040C"/>
    <w:multiLevelType w:val="hybridMultilevel"/>
    <w:tmpl w:val="C8D41C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971988"/>
    <w:multiLevelType w:val="hybridMultilevel"/>
    <w:tmpl w:val="2EFA8C3A"/>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CCC6C6B"/>
    <w:multiLevelType w:val="multilevel"/>
    <w:tmpl w:val="2180AF02"/>
    <w:lvl w:ilvl="0">
      <w:start w:val="1"/>
      <w:numFmt w:val="decimal"/>
      <w:pStyle w:val="double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1CE24F02"/>
    <w:multiLevelType w:val="hybridMultilevel"/>
    <w:tmpl w:val="85A0BEA6"/>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C74040"/>
    <w:multiLevelType w:val="hybridMultilevel"/>
    <w:tmpl w:val="524460F6"/>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8003FC"/>
    <w:multiLevelType w:val="hybridMultilevel"/>
    <w:tmpl w:val="BE8C7D52"/>
    <w:lvl w:ilvl="0" w:tplc="41BAC9BA">
      <w:start w:val="1"/>
      <w:numFmt w:val="decimal"/>
      <w:lvlText w:val="%1."/>
      <w:lvlJc w:val="left"/>
      <w:pPr>
        <w:ind w:left="720" w:hanging="360"/>
      </w:pPr>
      <w:rPr>
        <w:rFonts w:ascii="Times New Roman" w:eastAsia="Times New Roman" w:hAnsi="Times New Roman" w:cs="Times New Roman"/>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FB59C6"/>
    <w:multiLevelType w:val="hybridMultilevel"/>
    <w:tmpl w:val="BA0A81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9DE73D8"/>
    <w:multiLevelType w:val="hybridMultilevel"/>
    <w:tmpl w:val="CF184A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9EB4DED"/>
    <w:multiLevelType w:val="hybridMultilevel"/>
    <w:tmpl w:val="83909D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A2C2718"/>
    <w:multiLevelType w:val="hybridMultilevel"/>
    <w:tmpl w:val="9CD634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A4A0CE2"/>
    <w:multiLevelType w:val="hybridMultilevel"/>
    <w:tmpl w:val="9CA28E32"/>
    <w:lvl w:ilvl="0" w:tplc="04090015">
      <w:start w:val="1"/>
      <w:numFmt w:val="upperLetter"/>
      <w:lvlText w:val="%1."/>
      <w:lvlJc w:val="left"/>
      <w:pPr>
        <w:tabs>
          <w:tab w:val="num" w:pos="645"/>
        </w:tabs>
        <w:ind w:left="64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C684F35"/>
    <w:multiLevelType w:val="hybridMultilevel"/>
    <w:tmpl w:val="2DB863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C88149D"/>
    <w:multiLevelType w:val="hybridMultilevel"/>
    <w:tmpl w:val="0BDAE7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F713BEE"/>
    <w:multiLevelType w:val="hybridMultilevel"/>
    <w:tmpl w:val="D53AB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6632C5"/>
    <w:multiLevelType w:val="hybridMultilevel"/>
    <w:tmpl w:val="F230DD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3601463"/>
    <w:multiLevelType w:val="hybridMultilevel"/>
    <w:tmpl w:val="B5BC86C4"/>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35F652C9"/>
    <w:multiLevelType w:val="hybridMultilevel"/>
    <w:tmpl w:val="CFF46278"/>
    <w:lvl w:ilvl="0" w:tplc="28964F76">
      <w:start w:val="1"/>
      <w:numFmt w:val="decimal"/>
      <w:lvlText w:val="%1)"/>
      <w:lvlJc w:val="left"/>
      <w:pPr>
        <w:tabs>
          <w:tab w:val="num" w:pos="720"/>
        </w:tabs>
        <w:ind w:left="720" w:hanging="360"/>
      </w:pPr>
      <w:rPr>
        <w:b/>
      </w:rPr>
    </w:lvl>
    <w:lvl w:ilvl="1" w:tplc="04090001">
      <w:start w:val="1"/>
      <w:numFmt w:val="bullet"/>
      <w:lvlText w:val=""/>
      <w:lvlJc w:val="left"/>
      <w:pPr>
        <w:tabs>
          <w:tab w:val="num" w:pos="1440"/>
        </w:tabs>
        <w:ind w:left="1440" w:hanging="360"/>
      </w:pPr>
      <w:rPr>
        <w:rFonts w:ascii="Symbol" w:hAnsi="Symbol"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91234BD"/>
    <w:multiLevelType w:val="hybridMultilevel"/>
    <w:tmpl w:val="FD44DD0E"/>
    <w:lvl w:ilvl="0" w:tplc="A70CE9E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96F1A70"/>
    <w:multiLevelType w:val="hybridMultilevel"/>
    <w:tmpl w:val="00D083AE"/>
    <w:lvl w:ilvl="0" w:tplc="04090019">
      <w:start w:val="1"/>
      <w:numFmt w:val="lowerLetter"/>
      <w:lvlText w:val="%1."/>
      <w:lvlJc w:val="left"/>
      <w:pPr>
        <w:ind w:left="216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3C665D20"/>
    <w:multiLevelType w:val="hybridMultilevel"/>
    <w:tmpl w:val="ADE486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3542072"/>
    <w:multiLevelType w:val="hybridMultilevel"/>
    <w:tmpl w:val="F3E41A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6277FF9"/>
    <w:multiLevelType w:val="hybridMultilevel"/>
    <w:tmpl w:val="885E1C20"/>
    <w:lvl w:ilvl="0" w:tplc="8F4E304A">
      <w:start w:val="1"/>
      <w:numFmt w:val="decimal"/>
      <w:lvlText w:val="%1."/>
      <w:lvlJc w:val="left"/>
      <w:pPr>
        <w:ind w:left="720" w:hanging="360"/>
      </w:pPr>
      <w:rPr>
        <w:rFonts w:ascii="Times New Roman" w:hAnsi="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77A601F"/>
    <w:multiLevelType w:val="hybridMultilevel"/>
    <w:tmpl w:val="970C21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A6A0998"/>
    <w:multiLevelType w:val="hybridMultilevel"/>
    <w:tmpl w:val="AEE067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B7468B1"/>
    <w:multiLevelType w:val="hybridMultilevel"/>
    <w:tmpl w:val="835E550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4951585"/>
    <w:multiLevelType w:val="hybridMultilevel"/>
    <w:tmpl w:val="7174CA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7E82298"/>
    <w:multiLevelType w:val="hybridMultilevel"/>
    <w:tmpl w:val="1494E89A"/>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AAB0EDA"/>
    <w:multiLevelType w:val="hybridMultilevel"/>
    <w:tmpl w:val="FAFC4E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EDB4D9B"/>
    <w:multiLevelType w:val="hybridMultilevel"/>
    <w:tmpl w:val="5DAE7A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18579B7"/>
    <w:multiLevelType w:val="hybridMultilevel"/>
    <w:tmpl w:val="5E66C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7062EA3"/>
    <w:multiLevelType w:val="hybridMultilevel"/>
    <w:tmpl w:val="BB66B3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B01416D"/>
    <w:multiLevelType w:val="hybridMultilevel"/>
    <w:tmpl w:val="F7BA5B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EE64C68"/>
    <w:multiLevelType w:val="hybridMultilevel"/>
    <w:tmpl w:val="CF904D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A461C09"/>
    <w:multiLevelType w:val="hybridMultilevel"/>
    <w:tmpl w:val="6096F8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D7706BA"/>
    <w:multiLevelType w:val="hybridMultilevel"/>
    <w:tmpl w:val="5B485D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36"/>
  </w:num>
  <w:num w:numId="3">
    <w:abstractNumId w:val="13"/>
  </w:num>
  <w:num w:numId="4">
    <w:abstractNumId w:val="28"/>
  </w:num>
  <w:num w:numId="5">
    <w:abstractNumId w:val="20"/>
  </w:num>
  <w:num w:numId="6">
    <w:abstractNumId w:val="12"/>
  </w:num>
  <w:num w:numId="7">
    <w:abstractNumId w:val="7"/>
  </w:num>
  <w:num w:numId="8">
    <w:abstractNumId w:val="3"/>
  </w:num>
  <w:num w:numId="9">
    <w:abstractNumId w:val="21"/>
  </w:num>
  <w:num w:numId="10">
    <w:abstractNumId w:val="16"/>
  </w:num>
  <w:num w:numId="11">
    <w:abstractNumId w:val="1"/>
  </w:num>
  <w:num w:numId="12">
    <w:abstractNumId w:val="14"/>
  </w:num>
  <w:num w:numId="13">
    <w:abstractNumId w:val="2"/>
  </w:num>
  <w:num w:numId="14">
    <w:abstractNumId w:val="34"/>
  </w:num>
  <w:num w:numId="15">
    <w:abstractNumId w:val="29"/>
  </w:num>
  <w:num w:numId="16">
    <w:abstractNumId w:val="30"/>
  </w:num>
  <w:num w:numId="17">
    <w:abstractNumId w:val="27"/>
  </w:num>
  <w:num w:numId="18">
    <w:abstractNumId w:val="31"/>
  </w:num>
  <w:num w:numId="19">
    <w:abstractNumId w:val="25"/>
  </w:num>
  <w:num w:numId="20">
    <w:abstractNumId w:val="38"/>
  </w:num>
  <w:num w:numId="21">
    <w:abstractNumId w:val="6"/>
  </w:num>
  <w:num w:numId="22">
    <w:abstractNumId w:val="22"/>
  </w:num>
  <w:num w:numId="23">
    <w:abstractNumId w:val="8"/>
  </w:num>
  <w:num w:numId="24">
    <w:abstractNumId w:val="5"/>
  </w:num>
  <w:num w:numId="25">
    <w:abstractNumId w:val="11"/>
  </w:num>
  <w:num w:numId="26">
    <w:abstractNumId w:val="35"/>
  </w:num>
  <w:num w:numId="27">
    <w:abstractNumId w:val="4"/>
  </w:num>
  <w:num w:numId="28">
    <w:abstractNumId w:val="18"/>
  </w:num>
  <w:num w:numId="29">
    <w:abstractNumId w:val="15"/>
  </w:num>
  <w:num w:numId="30">
    <w:abstractNumId w:val="19"/>
  </w:num>
  <w:num w:numId="31">
    <w:abstractNumId w:val="0"/>
  </w:num>
  <w:num w:numId="32">
    <w:abstractNumId w:val="37"/>
  </w:num>
  <w:num w:numId="33">
    <w:abstractNumId w:val="39"/>
  </w:num>
  <w:num w:numId="34">
    <w:abstractNumId w:val="40"/>
  </w:num>
  <w:num w:numId="35">
    <w:abstractNumId w:val="17"/>
  </w:num>
  <w:num w:numId="36">
    <w:abstractNumId w:val="23"/>
  </w:num>
  <w:num w:numId="37">
    <w:abstractNumId w:val="32"/>
  </w:num>
  <w:num w:numId="38">
    <w:abstractNumId w:val="10"/>
  </w:num>
  <w:num w:numId="39">
    <w:abstractNumId w:val="24"/>
  </w:num>
  <w:num w:numId="40">
    <w:abstractNumId w:val="9"/>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F4A"/>
    <w:rsid w:val="00002726"/>
    <w:rsid w:val="000030E5"/>
    <w:rsid w:val="0000466C"/>
    <w:rsid w:val="0001153C"/>
    <w:rsid w:val="00012EFD"/>
    <w:rsid w:val="0001369F"/>
    <w:rsid w:val="00020D66"/>
    <w:rsid w:val="0002394F"/>
    <w:rsid w:val="0002448E"/>
    <w:rsid w:val="0002783B"/>
    <w:rsid w:val="00034CA0"/>
    <w:rsid w:val="00035FC0"/>
    <w:rsid w:val="000374A0"/>
    <w:rsid w:val="00041790"/>
    <w:rsid w:val="000446DB"/>
    <w:rsid w:val="00050E06"/>
    <w:rsid w:val="00052D4B"/>
    <w:rsid w:val="0005511D"/>
    <w:rsid w:val="00056552"/>
    <w:rsid w:val="000565EB"/>
    <w:rsid w:val="00056E2C"/>
    <w:rsid w:val="00057D8E"/>
    <w:rsid w:val="00062064"/>
    <w:rsid w:val="00065129"/>
    <w:rsid w:val="000670BD"/>
    <w:rsid w:val="0008167C"/>
    <w:rsid w:val="000929F3"/>
    <w:rsid w:val="00095090"/>
    <w:rsid w:val="000969AA"/>
    <w:rsid w:val="00097876"/>
    <w:rsid w:val="000A53F6"/>
    <w:rsid w:val="000A667E"/>
    <w:rsid w:val="000A733C"/>
    <w:rsid w:val="000B0BCA"/>
    <w:rsid w:val="000B0FF7"/>
    <w:rsid w:val="000B38FF"/>
    <w:rsid w:val="000B442D"/>
    <w:rsid w:val="000B7BE2"/>
    <w:rsid w:val="000C0FD5"/>
    <w:rsid w:val="000C21A3"/>
    <w:rsid w:val="000C41A2"/>
    <w:rsid w:val="000C5AB8"/>
    <w:rsid w:val="000C7E7A"/>
    <w:rsid w:val="000E13D5"/>
    <w:rsid w:val="000E2884"/>
    <w:rsid w:val="000F3862"/>
    <w:rsid w:val="000F3ACC"/>
    <w:rsid w:val="000F4840"/>
    <w:rsid w:val="000F69C1"/>
    <w:rsid w:val="000F6B26"/>
    <w:rsid w:val="000F6D36"/>
    <w:rsid w:val="000F6EB2"/>
    <w:rsid w:val="001028CE"/>
    <w:rsid w:val="00104031"/>
    <w:rsid w:val="001078A7"/>
    <w:rsid w:val="00125FC6"/>
    <w:rsid w:val="00132D20"/>
    <w:rsid w:val="001347AA"/>
    <w:rsid w:val="0013656F"/>
    <w:rsid w:val="00144015"/>
    <w:rsid w:val="00144E66"/>
    <w:rsid w:val="001466B3"/>
    <w:rsid w:val="00146EE2"/>
    <w:rsid w:val="00153AD6"/>
    <w:rsid w:val="00157EEF"/>
    <w:rsid w:val="001604A2"/>
    <w:rsid w:val="00164054"/>
    <w:rsid w:val="001648C1"/>
    <w:rsid w:val="00166F40"/>
    <w:rsid w:val="00171640"/>
    <w:rsid w:val="00176E88"/>
    <w:rsid w:val="00193405"/>
    <w:rsid w:val="00196906"/>
    <w:rsid w:val="001A122F"/>
    <w:rsid w:val="001A1429"/>
    <w:rsid w:val="001A18A5"/>
    <w:rsid w:val="001A5A79"/>
    <w:rsid w:val="001B01E3"/>
    <w:rsid w:val="001B080D"/>
    <w:rsid w:val="001B0B47"/>
    <w:rsid w:val="001B5099"/>
    <w:rsid w:val="001D07C0"/>
    <w:rsid w:val="001D0847"/>
    <w:rsid w:val="001D19CF"/>
    <w:rsid w:val="001D2821"/>
    <w:rsid w:val="001D30DC"/>
    <w:rsid w:val="001E433E"/>
    <w:rsid w:val="001E4B8B"/>
    <w:rsid w:val="001F2D52"/>
    <w:rsid w:val="00200746"/>
    <w:rsid w:val="0020403C"/>
    <w:rsid w:val="002042D9"/>
    <w:rsid w:val="0020494B"/>
    <w:rsid w:val="00204C0A"/>
    <w:rsid w:val="00207B57"/>
    <w:rsid w:val="00214F63"/>
    <w:rsid w:val="00216452"/>
    <w:rsid w:val="00220985"/>
    <w:rsid w:val="00220CFF"/>
    <w:rsid w:val="00222CF1"/>
    <w:rsid w:val="00222F15"/>
    <w:rsid w:val="00227EAE"/>
    <w:rsid w:val="002409E2"/>
    <w:rsid w:val="002418AC"/>
    <w:rsid w:val="002437DB"/>
    <w:rsid w:val="00245663"/>
    <w:rsid w:val="0025473E"/>
    <w:rsid w:val="00254CD9"/>
    <w:rsid w:val="00255059"/>
    <w:rsid w:val="00255E37"/>
    <w:rsid w:val="002658DE"/>
    <w:rsid w:val="002661BB"/>
    <w:rsid w:val="00271586"/>
    <w:rsid w:val="002735E9"/>
    <w:rsid w:val="00274EA8"/>
    <w:rsid w:val="00282550"/>
    <w:rsid w:val="00282609"/>
    <w:rsid w:val="00282663"/>
    <w:rsid w:val="00290D76"/>
    <w:rsid w:val="00295D8A"/>
    <w:rsid w:val="00296C8B"/>
    <w:rsid w:val="002A0F7F"/>
    <w:rsid w:val="002A10F4"/>
    <w:rsid w:val="002A28C9"/>
    <w:rsid w:val="002A428B"/>
    <w:rsid w:val="002A4A22"/>
    <w:rsid w:val="002B5B36"/>
    <w:rsid w:val="002B6E26"/>
    <w:rsid w:val="002B6F56"/>
    <w:rsid w:val="002C27AF"/>
    <w:rsid w:val="002C49F6"/>
    <w:rsid w:val="002C57C3"/>
    <w:rsid w:val="002C58C6"/>
    <w:rsid w:val="002C7626"/>
    <w:rsid w:val="002C7866"/>
    <w:rsid w:val="002D25F6"/>
    <w:rsid w:val="002D29BB"/>
    <w:rsid w:val="002D4D99"/>
    <w:rsid w:val="002D578A"/>
    <w:rsid w:val="002D7985"/>
    <w:rsid w:val="002E100A"/>
    <w:rsid w:val="002F5BCF"/>
    <w:rsid w:val="002F76AA"/>
    <w:rsid w:val="003020AC"/>
    <w:rsid w:val="00310DA7"/>
    <w:rsid w:val="003146A7"/>
    <w:rsid w:val="003212D0"/>
    <w:rsid w:val="00325044"/>
    <w:rsid w:val="0032588D"/>
    <w:rsid w:val="003323B4"/>
    <w:rsid w:val="003334C3"/>
    <w:rsid w:val="00334EBE"/>
    <w:rsid w:val="0033532E"/>
    <w:rsid w:val="00340010"/>
    <w:rsid w:val="003412C5"/>
    <w:rsid w:val="00342E95"/>
    <w:rsid w:val="00343458"/>
    <w:rsid w:val="0034529E"/>
    <w:rsid w:val="003518A8"/>
    <w:rsid w:val="00354EFA"/>
    <w:rsid w:val="0035673F"/>
    <w:rsid w:val="0036408C"/>
    <w:rsid w:val="003673D8"/>
    <w:rsid w:val="00373932"/>
    <w:rsid w:val="00373A70"/>
    <w:rsid w:val="00376EA1"/>
    <w:rsid w:val="00382C35"/>
    <w:rsid w:val="00382CA3"/>
    <w:rsid w:val="00385199"/>
    <w:rsid w:val="003875A2"/>
    <w:rsid w:val="0039047C"/>
    <w:rsid w:val="0039205B"/>
    <w:rsid w:val="003948D6"/>
    <w:rsid w:val="00395FCC"/>
    <w:rsid w:val="003A5BA5"/>
    <w:rsid w:val="003C059B"/>
    <w:rsid w:val="003C1616"/>
    <w:rsid w:val="003D3EF9"/>
    <w:rsid w:val="003D4C1D"/>
    <w:rsid w:val="003D5942"/>
    <w:rsid w:val="003D7E41"/>
    <w:rsid w:val="003E1873"/>
    <w:rsid w:val="003E628E"/>
    <w:rsid w:val="003E7107"/>
    <w:rsid w:val="003F0880"/>
    <w:rsid w:val="003F5388"/>
    <w:rsid w:val="003F56CB"/>
    <w:rsid w:val="004015FC"/>
    <w:rsid w:val="0040447B"/>
    <w:rsid w:val="00406FE9"/>
    <w:rsid w:val="004133CD"/>
    <w:rsid w:val="00414A97"/>
    <w:rsid w:val="004154B1"/>
    <w:rsid w:val="00415CD7"/>
    <w:rsid w:val="00420990"/>
    <w:rsid w:val="00420A3F"/>
    <w:rsid w:val="00420F14"/>
    <w:rsid w:val="004218F6"/>
    <w:rsid w:val="004234E6"/>
    <w:rsid w:val="00424689"/>
    <w:rsid w:val="00426EE9"/>
    <w:rsid w:val="00427834"/>
    <w:rsid w:val="00427C5A"/>
    <w:rsid w:val="00427DCA"/>
    <w:rsid w:val="00430F53"/>
    <w:rsid w:val="004324A6"/>
    <w:rsid w:val="004406B5"/>
    <w:rsid w:val="00440A59"/>
    <w:rsid w:val="0044153B"/>
    <w:rsid w:val="0044564F"/>
    <w:rsid w:val="00452470"/>
    <w:rsid w:val="004565AA"/>
    <w:rsid w:val="004617F4"/>
    <w:rsid w:val="00464CF0"/>
    <w:rsid w:val="00466F83"/>
    <w:rsid w:val="00470EAD"/>
    <w:rsid w:val="00470FB2"/>
    <w:rsid w:val="00475B2D"/>
    <w:rsid w:val="004973D4"/>
    <w:rsid w:val="004A046B"/>
    <w:rsid w:val="004A40A1"/>
    <w:rsid w:val="004A4274"/>
    <w:rsid w:val="004B18AB"/>
    <w:rsid w:val="004B1B47"/>
    <w:rsid w:val="004B3B3F"/>
    <w:rsid w:val="004B4C7C"/>
    <w:rsid w:val="004C0867"/>
    <w:rsid w:val="004C6800"/>
    <w:rsid w:val="004C6846"/>
    <w:rsid w:val="004D1B42"/>
    <w:rsid w:val="004D3157"/>
    <w:rsid w:val="004E1213"/>
    <w:rsid w:val="004E1716"/>
    <w:rsid w:val="004E350E"/>
    <w:rsid w:val="004E3965"/>
    <w:rsid w:val="004F0F5B"/>
    <w:rsid w:val="004F3127"/>
    <w:rsid w:val="004F7DDA"/>
    <w:rsid w:val="00502291"/>
    <w:rsid w:val="0050291D"/>
    <w:rsid w:val="00504E1F"/>
    <w:rsid w:val="0050652C"/>
    <w:rsid w:val="00511052"/>
    <w:rsid w:val="00516D3A"/>
    <w:rsid w:val="005206D3"/>
    <w:rsid w:val="00523F4A"/>
    <w:rsid w:val="0052673A"/>
    <w:rsid w:val="00527DE9"/>
    <w:rsid w:val="00531889"/>
    <w:rsid w:val="005321C8"/>
    <w:rsid w:val="00532ED8"/>
    <w:rsid w:val="00533FAC"/>
    <w:rsid w:val="00536B4B"/>
    <w:rsid w:val="00537709"/>
    <w:rsid w:val="00537F50"/>
    <w:rsid w:val="00544666"/>
    <w:rsid w:val="005476D2"/>
    <w:rsid w:val="00547B72"/>
    <w:rsid w:val="00547E02"/>
    <w:rsid w:val="00550B57"/>
    <w:rsid w:val="00553A17"/>
    <w:rsid w:val="00553F74"/>
    <w:rsid w:val="00557DFE"/>
    <w:rsid w:val="00560F71"/>
    <w:rsid w:val="00562E2A"/>
    <w:rsid w:val="00564173"/>
    <w:rsid w:val="00566961"/>
    <w:rsid w:val="005757C6"/>
    <w:rsid w:val="00580B6E"/>
    <w:rsid w:val="0058582E"/>
    <w:rsid w:val="00585CC1"/>
    <w:rsid w:val="00585D33"/>
    <w:rsid w:val="005917B7"/>
    <w:rsid w:val="005923C4"/>
    <w:rsid w:val="005951DF"/>
    <w:rsid w:val="00597C20"/>
    <w:rsid w:val="005A0383"/>
    <w:rsid w:val="005B277C"/>
    <w:rsid w:val="005B2811"/>
    <w:rsid w:val="005B43D2"/>
    <w:rsid w:val="005B608E"/>
    <w:rsid w:val="005C1F28"/>
    <w:rsid w:val="005C3338"/>
    <w:rsid w:val="005C46C5"/>
    <w:rsid w:val="005C4D7D"/>
    <w:rsid w:val="005D46FB"/>
    <w:rsid w:val="005D60B6"/>
    <w:rsid w:val="005D6606"/>
    <w:rsid w:val="005D6A98"/>
    <w:rsid w:val="005E4405"/>
    <w:rsid w:val="005E51B9"/>
    <w:rsid w:val="005E55FA"/>
    <w:rsid w:val="005E7536"/>
    <w:rsid w:val="005F0224"/>
    <w:rsid w:val="005F19A9"/>
    <w:rsid w:val="005F21B8"/>
    <w:rsid w:val="005F2AA4"/>
    <w:rsid w:val="005F5E78"/>
    <w:rsid w:val="005F5F07"/>
    <w:rsid w:val="005F68D0"/>
    <w:rsid w:val="005F692F"/>
    <w:rsid w:val="00602149"/>
    <w:rsid w:val="0061220F"/>
    <w:rsid w:val="006168E6"/>
    <w:rsid w:val="006170FB"/>
    <w:rsid w:val="00621AB3"/>
    <w:rsid w:val="00627984"/>
    <w:rsid w:val="0063086B"/>
    <w:rsid w:val="00630942"/>
    <w:rsid w:val="00635E4A"/>
    <w:rsid w:val="0064048F"/>
    <w:rsid w:val="00645000"/>
    <w:rsid w:val="00646B3A"/>
    <w:rsid w:val="006472E0"/>
    <w:rsid w:val="00651100"/>
    <w:rsid w:val="00651126"/>
    <w:rsid w:val="00652872"/>
    <w:rsid w:val="00652F56"/>
    <w:rsid w:val="00654A87"/>
    <w:rsid w:val="00655035"/>
    <w:rsid w:val="00660ED8"/>
    <w:rsid w:val="00661C50"/>
    <w:rsid w:val="0066632E"/>
    <w:rsid w:val="006714B2"/>
    <w:rsid w:val="0067631C"/>
    <w:rsid w:val="00690D38"/>
    <w:rsid w:val="00691662"/>
    <w:rsid w:val="006A0FF8"/>
    <w:rsid w:val="006A1906"/>
    <w:rsid w:val="006A30B4"/>
    <w:rsid w:val="006A33C9"/>
    <w:rsid w:val="006A4319"/>
    <w:rsid w:val="006A5094"/>
    <w:rsid w:val="006A707A"/>
    <w:rsid w:val="006A7D4A"/>
    <w:rsid w:val="006B64FA"/>
    <w:rsid w:val="006C4696"/>
    <w:rsid w:val="006D2084"/>
    <w:rsid w:val="006D2D63"/>
    <w:rsid w:val="006D4611"/>
    <w:rsid w:val="006E0E87"/>
    <w:rsid w:val="006E2D32"/>
    <w:rsid w:val="006F139E"/>
    <w:rsid w:val="006F274B"/>
    <w:rsid w:val="006F4AC2"/>
    <w:rsid w:val="006F656C"/>
    <w:rsid w:val="00720A31"/>
    <w:rsid w:val="00721566"/>
    <w:rsid w:val="0072320B"/>
    <w:rsid w:val="00723467"/>
    <w:rsid w:val="007258E9"/>
    <w:rsid w:val="007267D2"/>
    <w:rsid w:val="007279CE"/>
    <w:rsid w:val="00735F4A"/>
    <w:rsid w:val="00737255"/>
    <w:rsid w:val="0074206C"/>
    <w:rsid w:val="00742679"/>
    <w:rsid w:val="00743F13"/>
    <w:rsid w:val="00746A20"/>
    <w:rsid w:val="00751EA7"/>
    <w:rsid w:val="00761245"/>
    <w:rsid w:val="00762630"/>
    <w:rsid w:val="0076316B"/>
    <w:rsid w:val="00771CF0"/>
    <w:rsid w:val="00773E74"/>
    <w:rsid w:val="0077565C"/>
    <w:rsid w:val="00784B5B"/>
    <w:rsid w:val="007866BB"/>
    <w:rsid w:val="00787C8F"/>
    <w:rsid w:val="00791D30"/>
    <w:rsid w:val="007956D1"/>
    <w:rsid w:val="00796DA4"/>
    <w:rsid w:val="007A3563"/>
    <w:rsid w:val="007A3E08"/>
    <w:rsid w:val="007C10DF"/>
    <w:rsid w:val="007C34D6"/>
    <w:rsid w:val="007C5609"/>
    <w:rsid w:val="007C65C6"/>
    <w:rsid w:val="007D05D3"/>
    <w:rsid w:val="007D12E3"/>
    <w:rsid w:val="007D57F0"/>
    <w:rsid w:val="007D6529"/>
    <w:rsid w:val="007D7EDE"/>
    <w:rsid w:val="007E03D5"/>
    <w:rsid w:val="007E1466"/>
    <w:rsid w:val="007E5B1B"/>
    <w:rsid w:val="007E65F8"/>
    <w:rsid w:val="007F038C"/>
    <w:rsid w:val="00800133"/>
    <w:rsid w:val="00801C59"/>
    <w:rsid w:val="008123C6"/>
    <w:rsid w:val="00815698"/>
    <w:rsid w:val="00817932"/>
    <w:rsid w:val="008223D8"/>
    <w:rsid w:val="00822518"/>
    <w:rsid w:val="00822E77"/>
    <w:rsid w:val="00824A14"/>
    <w:rsid w:val="00825B41"/>
    <w:rsid w:val="0083009D"/>
    <w:rsid w:val="008317F3"/>
    <w:rsid w:val="00831BC9"/>
    <w:rsid w:val="00842ACA"/>
    <w:rsid w:val="00843BDB"/>
    <w:rsid w:val="00845A51"/>
    <w:rsid w:val="00862CB5"/>
    <w:rsid w:val="00863D11"/>
    <w:rsid w:val="00870B80"/>
    <w:rsid w:val="008711B3"/>
    <w:rsid w:val="0087779E"/>
    <w:rsid w:val="008807BE"/>
    <w:rsid w:val="008868C4"/>
    <w:rsid w:val="00886C3E"/>
    <w:rsid w:val="00887653"/>
    <w:rsid w:val="00890157"/>
    <w:rsid w:val="00895CF3"/>
    <w:rsid w:val="00896160"/>
    <w:rsid w:val="008A2258"/>
    <w:rsid w:val="008A62A1"/>
    <w:rsid w:val="008A79CF"/>
    <w:rsid w:val="008A7CA1"/>
    <w:rsid w:val="008B03F2"/>
    <w:rsid w:val="008C1856"/>
    <w:rsid w:val="008C1A04"/>
    <w:rsid w:val="008C3BEA"/>
    <w:rsid w:val="008D2500"/>
    <w:rsid w:val="008E1B2F"/>
    <w:rsid w:val="008E3694"/>
    <w:rsid w:val="008E43FA"/>
    <w:rsid w:val="008F2434"/>
    <w:rsid w:val="008F41E4"/>
    <w:rsid w:val="008F5F31"/>
    <w:rsid w:val="008F6FE3"/>
    <w:rsid w:val="008F718D"/>
    <w:rsid w:val="0091219C"/>
    <w:rsid w:val="00920383"/>
    <w:rsid w:val="00920595"/>
    <w:rsid w:val="009221F5"/>
    <w:rsid w:val="009234C8"/>
    <w:rsid w:val="00923D31"/>
    <w:rsid w:val="00924D0B"/>
    <w:rsid w:val="00926714"/>
    <w:rsid w:val="009271EA"/>
    <w:rsid w:val="0093337F"/>
    <w:rsid w:val="009340E7"/>
    <w:rsid w:val="00934EAC"/>
    <w:rsid w:val="009358ED"/>
    <w:rsid w:val="00936010"/>
    <w:rsid w:val="00942FB1"/>
    <w:rsid w:val="00943E32"/>
    <w:rsid w:val="009506E6"/>
    <w:rsid w:val="00954F14"/>
    <w:rsid w:val="009578BD"/>
    <w:rsid w:val="00966433"/>
    <w:rsid w:val="00967DA4"/>
    <w:rsid w:val="009723B7"/>
    <w:rsid w:val="00976BBB"/>
    <w:rsid w:val="00977BBD"/>
    <w:rsid w:val="00980CDA"/>
    <w:rsid w:val="00983E2C"/>
    <w:rsid w:val="00984FCD"/>
    <w:rsid w:val="00985062"/>
    <w:rsid w:val="00986520"/>
    <w:rsid w:val="0098701A"/>
    <w:rsid w:val="00987B09"/>
    <w:rsid w:val="00991C08"/>
    <w:rsid w:val="00991D3F"/>
    <w:rsid w:val="00997194"/>
    <w:rsid w:val="00997C9C"/>
    <w:rsid w:val="00997F6E"/>
    <w:rsid w:val="009A4E23"/>
    <w:rsid w:val="009A60C1"/>
    <w:rsid w:val="009B103F"/>
    <w:rsid w:val="009B333A"/>
    <w:rsid w:val="009B498F"/>
    <w:rsid w:val="009B5B6F"/>
    <w:rsid w:val="009B7BB3"/>
    <w:rsid w:val="009C15D5"/>
    <w:rsid w:val="009C2039"/>
    <w:rsid w:val="009C6424"/>
    <w:rsid w:val="009C7136"/>
    <w:rsid w:val="009D0A14"/>
    <w:rsid w:val="009D304D"/>
    <w:rsid w:val="009D3F19"/>
    <w:rsid w:val="009E0C14"/>
    <w:rsid w:val="009F4A3A"/>
    <w:rsid w:val="009F7806"/>
    <w:rsid w:val="00A00E6B"/>
    <w:rsid w:val="00A045FA"/>
    <w:rsid w:val="00A0483B"/>
    <w:rsid w:val="00A05765"/>
    <w:rsid w:val="00A05D51"/>
    <w:rsid w:val="00A115DC"/>
    <w:rsid w:val="00A13018"/>
    <w:rsid w:val="00A157D6"/>
    <w:rsid w:val="00A17228"/>
    <w:rsid w:val="00A24B31"/>
    <w:rsid w:val="00A25F84"/>
    <w:rsid w:val="00A313AD"/>
    <w:rsid w:val="00A32988"/>
    <w:rsid w:val="00A32AD5"/>
    <w:rsid w:val="00A37455"/>
    <w:rsid w:val="00A40313"/>
    <w:rsid w:val="00A41374"/>
    <w:rsid w:val="00A45EB3"/>
    <w:rsid w:val="00A47E3B"/>
    <w:rsid w:val="00A505D4"/>
    <w:rsid w:val="00A50B1A"/>
    <w:rsid w:val="00A53F21"/>
    <w:rsid w:val="00A55841"/>
    <w:rsid w:val="00A558B6"/>
    <w:rsid w:val="00A578B9"/>
    <w:rsid w:val="00A6498E"/>
    <w:rsid w:val="00A64EFE"/>
    <w:rsid w:val="00A66805"/>
    <w:rsid w:val="00A73116"/>
    <w:rsid w:val="00A766C6"/>
    <w:rsid w:val="00A8244F"/>
    <w:rsid w:val="00A855E6"/>
    <w:rsid w:val="00A90623"/>
    <w:rsid w:val="00A93402"/>
    <w:rsid w:val="00A970B6"/>
    <w:rsid w:val="00A97342"/>
    <w:rsid w:val="00AB20BF"/>
    <w:rsid w:val="00AB216E"/>
    <w:rsid w:val="00AB3C5B"/>
    <w:rsid w:val="00AC112A"/>
    <w:rsid w:val="00AC3846"/>
    <w:rsid w:val="00AC4535"/>
    <w:rsid w:val="00AC6106"/>
    <w:rsid w:val="00AD3E7B"/>
    <w:rsid w:val="00AD7857"/>
    <w:rsid w:val="00AE1333"/>
    <w:rsid w:val="00AE6314"/>
    <w:rsid w:val="00AF1A96"/>
    <w:rsid w:val="00AF49A2"/>
    <w:rsid w:val="00AF5D38"/>
    <w:rsid w:val="00AF5F02"/>
    <w:rsid w:val="00AF712D"/>
    <w:rsid w:val="00AF75DD"/>
    <w:rsid w:val="00B00CCF"/>
    <w:rsid w:val="00B15C3B"/>
    <w:rsid w:val="00B22F04"/>
    <w:rsid w:val="00B24F3E"/>
    <w:rsid w:val="00B25A77"/>
    <w:rsid w:val="00B32378"/>
    <w:rsid w:val="00B3556D"/>
    <w:rsid w:val="00B46C48"/>
    <w:rsid w:val="00B50B69"/>
    <w:rsid w:val="00B52E0A"/>
    <w:rsid w:val="00B60B0F"/>
    <w:rsid w:val="00B625AD"/>
    <w:rsid w:val="00B652F9"/>
    <w:rsid w:val="00B72436"/>
    <w:rsid w:val="00B757CD"/>
    <w:rsid w:val="00B763DD"/>
    <w:rsid w:val="00B76418"/>
    <w:rsid w:val="00B76DF8"/>
    <w:rsid w:val="00B80300"/>
    <w:rsid w:val="00B809EC"/>
    <w:rsid w:val="00B81C4E"/>
    <w:rsid w:val="00B8288D"/>
    <w:rsid w:val="00B91B1F"/>
    <w:rsid w:val="00B92B29"/>
    <w:rsid w:val="00B9415B"/>
    <w:rsid w:val="00B96289"/>
    <w:rsid w:val="00B9708A"/>
    <w:rsid w:val="00BA1C54"/>
    <w:rsid w:val="00BA6CAC"/>
    <w:rsid w:val="00BA7AA0"/>
    <w:rsid w:val="00BB0357"/>
    <w:rsid w:val="00BB3E50"/>
    <w:rsid w:val="00BB6161"/>
    <w:rsid w:val="00BB702C"/>
    <w:rsid w:val="00BB75D5"/>
    <w:rsid w:val="00BC3BA9"/>
    <w:rsid w:val="00BC7591"/>
    <w:rsid w:val="00BD7BA5"/>
    <w:rsid w:val="00BE1499"/>
    <w:rsid w:val="00BE1CD2"/>
    <w:rsid w:val="00BE2FDA"/>
    <w:rsid w:val="00BE459B"/>
    <w:rsid w:val="00BE7F54"/>
    <w:rsid w:val="00C000F3"/>
    <w:rsid w:val="00C02AB6"/>
    <w:rsid w:val="00C03573"/>
    <w:rsid w:val="00C044A9"/>
    <w:rsid w:val="00C059FD"/>
    <w:rsid w:val="00C13B7A"/>
    <w:rsid w:val="00C1468A"/>
    <w:rsid w:val="00C150E7"/>
    <w:rsid w:val="00C15E12"/>
    <w:rsid w:val="00C1670D"/>
    <w:rsid w:val="00C262BA"/>
    <w:rsid w:val="00C26A5A"/>
    <w:rsid w:val="00C31417"/>
    <w:rsid w:val="00C320D6"/>
    <w:rsid w:val="00C37049"/>
    <w:rsid w:val="00C416E1"/>
    <w:rsid w:val="00C4463C"/>
    <w:rsid w:val="00C6027D"/>
    <w:rsid w:val="00C60A0F"/>
    <w:rsid w:val="00C73AAC"/>
    <w:rsid w:val="00C75931"/>
    <w:rsid w:val="00C80888"/>
    <w:rsid w:val="00C832D6"/>
    <w:rsid w:val="00C86E9D"/>
    <w:rsid w:val="00C905E3"/>
    <w:rsid w:val="00C94F51"/>
    <w:rsid w:val="00C953C4"/>
    <w:rsid w:val="00C97AF0"/>
    <w:rsid w:val="00CA02F9"/>
    <w:rsid w:val="00CA1F5B"/>
    <w:rsid w:val="00CA3975"/>
    <w:rsid w:val="00CB406E"/>
    <w:rsid w:val="00CB4915"/>
    <w:rsid w:val="00CC1ADB"/>
    <w:rsid w:val="00CC43D6"/>
    <w:rsid w:val="00CC4773"/>
    <w:rsid w:val="00CC678C"/>
    <w:rsid w:val="00CC67C2"/>
    <w:rsid w:val="00CC7A21"/>
    <w:rsid w:val="00CD076B"/>
    <w:rsid w:val="00CD132A"/>
    <w:rsid w:val="00CD5EF9"/>
    <w:rsid w:val="00CD7F0E"/>
    <w:rsid w:val="00CE0633"/>
    <w:rsid w:val="00CE0828"/>
    <w:rsid w:val="00CE298E"/>
    <w:rsid w:val="00CE5987"/>
    <w:rsid w:val="00CE7239"/>
    <w:rsid w:val="00CF253C"/>
    <w:rsid w:val="00CF516B"/>
    <w:rsid w:val="00D00F23"/>
    <w:rsid w:val="00D01323"/>
    <w:rsid w:val="00D17C0D"/>
    <w:rsid w:val="00D2577C"/>
    <w:rsid w:val="00D25850"/>
    <w:rsid w:val="00D25E01"/>
    <w:rsid w:val="00D26022"/>
    <w:rsid w:val="00D31036"/>
    <w:rsid w:val="00D3273F"/>
    <w:rsid w:val="00D33D2B"/>
    <w:rsid w:val="00D349C0"/>
    <w:rsid w:val="00D50376"/>
    <w:rsid w:val="00D50537"/>
    <w:rsid w:val="00D52A29"/>
    <w:rsid w:val="00D6055F"/>
    <w:rsid w:val="00D60748"/>
    <w:rsid w:val="00D61A57"/>
    <w:rsid w:val="00D63B56"/>
    <w:rsid w:val="00D67C87"/>
    <w:rsid w:val="00D70638"/>
    <w:rsid w:val="00D70A0F"/>
    <w:rsid w:val="00D765B1"/>
    <w:rsid w:val="00D76BA6"/>
    <w:rsid w:val="00D805AD"/>
    <w:rsid w:val="00D81160"/>
    <w:rsid w:val="00D86628"/>
    <w:rsid w:val="00D9248E"/>
    <w:rsid w:val="00D92736"/>
    <w:rsid w:val="00D9373F"/>
    <w:rsid w:val="00DA0F94"/>
    <w:rsid w:val="00DA111B"/>
    <w:rsid w:val="00DA14F5"/>
    <w:rsid w:val="00DA2E76"/>
    <w:rsid w:val="00DA3269"/>
    <w:rsid w:val="00DA33A9"/>
    <w:rsid w:val="00DB25B2"/>
    <w:rsid w:val="00DB35EC"/>
    <w:rsid w:val="00DC46EC"/>
    <w:rsid w:val="00DC6E87"/>
    <w:rsid w:val="00DD16C9"/>
    <w:rsid w:val="00DD3810"/>
    <w:rsid w:val="00DD6F0A"/>
    <w:rsid w:val="00DE13A5"/>
    <w:rsid w:val="00DE157C"/>
    <w:rsid w:val="00DE1AC7"/>
    <w:rsid w:val="00DE3709"/>
    <w:rsid w:val="00DE4120"/>
    <w:rsid w:val="00DE4853"/>
    <w:rsid w:val="00DE487A"/>
    <w:rsid w:val="00DE57AA"/>
    <w:rsid w:val="00DF1582"/>
    <w:rsid w:val="00DF1FC1"/>
    <w:rsid w:val="00DF336E"/>
    <w:rsid w:val="00DF50AA"/>
    <w:rsid w:val="00DF6135"/>
    <w:rsid w:val="00E01436"/>
    <w:rsid w:val="00E02372"/>
    <w:rsid w:val="00E056D1"/>
    <w:rsid w:val="00E0600E"/>
    <w:rsid w:val="00E102F8"/>
    <w:rsid w:val="00E11F61"/>
    <w:rsid w:val="00E148CD"/>
    <w:rsid w:val="00E14C53"/>
    <w:rsid w:val="00E14D7D"/>
    <w:rsid w:val="00E15B45"/>
    <w:rsid w:val="00E15E39"/>
    <w:rsid w:val="00E17164"/>
    <w:rsid w:val="00E21181"/>
    <w:rsid w:val="00E2136B"/>
    <w:rsid w:val="00E21D24"/>
    <w:rsid w:val="00E22A21"/>
    <w:rsid w:val="00E25A53"/>
    <w:rsid w:val="00E2764A"/>
    <w:rsid w:val="00E32433"/>
    <w:rsid w:val="00E32715"/>
    <w:rsid w:val="00E35BE6"/>
    <w:rsid w:val="00E35CEC"/>
    <w:rsid w:val="00E406DE"/>
    <w:rsid w:val="00E415C3"/>
    <w:rsid w:val="00E423A9"/>
    <w:rsid w:val="00E437B5"/>
    <w:rsid w:val="00E53F07"/>
    <w:rsid w:val="00E544C0"/>
    <w:rsid w:val="00E61531"/>
    <w:rsid w:val="00E61704"/>
    <w:rsid w:val="00E6374C"/>
    <w:rsid w:val="00E6418B"/>
    <w:rsid w:val="00E66455"/>
    <w:rsid w:val="00E670F5"/>
    <w:rsid w:val="00E714BB"/>
    <w:rsid w:val="00E71ECC"/>
    <w:rsid w:val="00E7472A"/>
    <w:rsid w:val="00E9075E"/>
    <w:rsid w:val="00E93E61"/>
    <w:rsid w:val="00E94843"/>
    <w:rsid w:val="00E979E2"/>
    <w:rsid w:val="00EA2D38"/>
    <w:rsid w:val="00EA56D0"/>
    <w:rsid w:val="00EA7139"/>
    <w:rsid w:val="00EB014F"/>
    <w:rsid w:val="00EB2DC4"/>
    <w:rsid w:val="00EB6588"/>
    <w:rsid w:val="00EC1926"/>
    <w:rsid w:val="00EC4167"/>
    <w:rsid w:val="00ED3D9A"/>
    <w:rsid w:val="00EE0346"/>
    <w:rsid w:val="00EE569E"/>
    <w:rsid w:val="00EE6C4C"/>
    <w:rsid w:val="00EF0F2C"/>
    <w:rsid w:val="00EF283C"/>
    <w:rsid w:val="00EF4D62"/>
    <w:rsid w:val="00EF5EBA"/>
    <w:rsid w:val="00EF665B"/>
    <w:rsid w:val="00F00321"/>
    <w:rsid w:val="00F0099A"/>
    <w:rsid w:val="00F0580B"/>
    <w:rsid w:val="00F1295F"/>
    <w:rsid w:val="00F16F62"/>
    <w:rsid w:val="00F205B1"/>
    <w:rsid w:val="00F2237B"/>
    <w:rsid w:val="00F226CA"/>
    <w:rsid w:val="00F32E85"/>
    <w:rsid w:val="00F3538F"/>
    <w:rsid w:val="00F35D18"/>
    <w:rsid w:val="00F41B3E"/>
    <w:rsid w:val="00F44AF3"/>
    <w:rsid w:val="00F44F86"/>
    <w:rsid w:val="00F45F70"/>
    <w:rsid w:val="00F547F9"/>
    <w:rsid w:val="00F571B3"/>
    <w:rsid w:val="00F64B2C"/>
    <w:rsid w:val="00F6600A"/>
    <w:rsid w:val="00F71969"/>
    <w:rsid w:val="00F71BA8"/>
    <w:rsid w:val="00F71BFD"/>
    <w:rsid w:val="00F762CC"/>
    <w:rsid w:val="00F8476F"/>
    <w:rsid w:val="00F869EE"/>
    <w:rsid w:val="00F86F7C"/>
    <w:rsid w:val="00F877FF"/>
    <w:rsid w:val="00F911F5"/>
    <w:rsid w:val="00F92A3F"/>
    <w:rsid w:val="00F94F21"/>
    <w:rsid w:val="00F95252"/>
    <w:rsid w:val="00F963E2"/>
    <w:rsid w:val="00F96599"/>
    <w:rsid w:val="00F97B10"/>
    <w:rsid w:val="00FB24CB"/>
    <w:rsid w:val="00FB31F3"/>
    <w:rsid w:val="00FB3C9B"/>
    <w:rsid w:val="00FB3E24"/>
    <w:rsid w:val="00FB66F9"/>
    <w:rsid w:val="00FB79AD"/>
    <w:rsid w:val="00FC2849"/>
    <w:rsid w:val="00FC3E43"/>
    <w:rsid w:val="00FC50BF"/>
    <w:rsid w:val="00FC5894"/>
    <w:rsid w:val="00FD63B0"/>
    <w:rsid w:val="00FD64CB"/>
    <w:rsid w:val="00FE5D78"/>
    <w:rsid w:val="00FF2404"/>
    <w:rsid w:val="00FF4AC7"/>
    <w:rsid w:val="00FF61B1"/>
    <w:rsid w:val="00FF6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6AA"/>
    <w:rPr>
      <w:sz w:val="24"/>
      <w:szCs w:val="24"/>
    </w:rPr>
  </w:style>
  <w:style w:type="paragraph" w:styleId="Heading1">
    <w:name w:val="heading 1"/>
    <w:basedOn w:val="Normal"/>
    <w:next w:val="Normal"/>
    <w:qFormat/>
    <w:rsid w:val="002F76AA"/>
    <w:pPr>
      <w:keepNext/>
      <w:autoSpaceDE w:val="0"/>
      <w:autoSpaceDN w:val="0"/>
      <w:adjustRightInd w:val="0"/>
      <w:spacing w:line="480" w:lineRule="auto"/>
      <w:outlineLvl w:val="0"/>
    </w:pPr>
    <w:rPr>
      <w:rFonts w:ascii="Arial" w:hAnsi="Arial" w:cs="Arial"/>
      <w:bCs/>
      <w:color w:val="000000"/>
      <w:u w:val="single"/>
    </w:rPr>
  </w:style>
  <w:style w:type="paragraph" w:styleId="Heading2">
    <w:name w:val="heading 2"/>
    <w:basedOn w:val="Normal"/>
    <w:next w:val="Normal"/>
    <w:qFormat/>
    <w:rsid w:val="002F76AA"/>
    <w:pPr>
      <w:keepNext/>
      <w:outlineLvl w:val="1"/>
    </w:pPr>
    <w:rPr>
      <w:rFonts w:ascii="Arial" w:hAnsi="Arial" w:cs="Arial"/>
      <w:b/>
      <w:bCs/>
      <w:color w:val="000000"/>
    </w:rPr>
  </w:style>
  <w:style w:type="paragraph" w:styleId="Heading3">
    <w:name w:val="heading 3"/>
    <w:basedOn w:val="Normal"/>
    <w:next w:val="Normal"/>
    <w:qFormat/>
    <w:rsid w:val="002F76A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F76AA"/>
    <w:pPr>
      <w:spacing w:before="100" w:beforeAutospacing="1" w:after="100" w:afterAutospacing="1"/>
    </w:pPr>
  </w:style>
  <w:style w:type="character" w:styleId="Hyperlink">
    <w:name w:val="Hyperlink"/>
    <w:basedOn w:val="DefaultParagraphFont"/>
    <w:rsid w:val="002F76AA"/>
    <w:rPr>
      <w:color w:val="0000FF"/>
      <w:u w:val="single"/>
    </w:rPr>
  </w:style>
  <w:style w:type="paragraph" w:styleId="BodyTextIndent">
    <w:name w:val="Body Text Indent"/>
    <w:basedOn w:val="Normal"/>
    <w:rsid w:val="002F76AA"/>
    <w:pPr>
      <w:ind w:left="360"/>
    </w:pPr>
  </w:style>
  <w:style w:type="paragraph" w:styleId="BodyText2">
    <w:name w:val="Body Text 2"/>
    <w:basedOn w:val="Normal"/>
    <w:rsid w:val="002F76AA"/>
    <w:pPr>
      <w:spacing w:after="120" w:line="480" w:lineRule="auto"/>
    </w:pPr>
  </w:style>
  <w:style w:type="paragraph" w:styleId="FootnoteText">
    <w:name w:val="footnote text"/>
    <w:basedOn w:val="Normal"/>
    <w:link w:val="FootnoteTextChar"/>
    <w:uiPriority w:val="99"/>
    <w:rsid w:val="002F76AA"/>
    <w:rPr>
      <w:sz w:val="20"/>
      <w:szCs w:val="20"/>
    </w:rPr>
  </w:style>
  <w:style w:type="character" w:styleId="FootnoteReference">
    <w:name w:val="footnote reference"/>
    <w:basedOn w:val="DefaultParagraphFont"/>
    <w:uiPriority w:val="99"/>
    <w:rsid w:val="002F76AA"/>
    <w:rPr>
      <w:vertAlign w:val="superscript"/>
    </w:rPr>
  </w:style>
  <w:style w:type="paragraph" w:styleId="Footer">
    <w:name w:val="footer"/>
    <w:basedOn w:val="Normal"/>
    <w:link w:val="FooterChar"/>
    <w:uiPriority w:val="99"/>
    <w:rsid w:val="002F76AA"/>
    <w:pPr>
      <w:tabs>
        <w:tab w:val="center" w:pos="4320"/>
        <w:tab w:val="right" w:pos="8640"/>
      </w:tabs>
    </w:pPr>
  </w:style>
  <w:style w:type="paragraph" w:customStyle="1" w:styleId="FedRegPreambleParagraphNormal">
    <w:name w:val="FedReg Preamble Paragraph Normal"/>
    <w:rsid w:val="002F76AA"/>
    <w:pPr>
      <w:spacing w:line="480" w:lineRule="auto"/>
      <w:ind w:firstLine="720"/>
    </w:pPr>
    <w:rPr>
      <w:rFonts w:ascii="Arial" w:hAnsi="Arial"/>
      <w:sz w:val="24"/>
    </w:rPr>
  </w:style>
  <w:style w:type="paragraph" w:styleId="BodyTextIndent2">
    <w:name w:val="Body Text Indent 2"/>
    <w:basedOn w:val="Normal"/>
    <w:rsid w:val="002F76AA"/>
    <w:pPr>
      <w:spacing w:line="480" w:lineRule="auto"/>
      <w:ind w:firstLine="720"/>
    </w:pPr>
    <w:rPr>
      <w:rFonts w:ascii="Arial" w:hAnsi="Arial" w:cs="Arial"/>
      <w:color w:val="000000"/>
    </w:rPr>
  </w:style>
  <w:style w:type="paragraph" w:styleId="BodyTextIndent3">
    <w:name w:val="Body Text Indent 3"/>
    <w:basedOn w:val="Normal"/>
    <w:rsid w:val="002F76AA"/>
    <w:pPr>
      <w:ind w:firstLine="720"/>
    </w:pPr>
    <w:rPr>
      <w:rFonts w:ascii="Arial" w:hAnsi="Arial" w:cs="Arial"/>
    </w:rPr>
  </w:style>
  <w:style w:type="paragraph" w:customStyle="1" w:styleId="doublebullet">
    <w:name w:val="double bullet"/>
    <w:basedOn w:val="Normal"/>
    <w:rsid w:val="00A32AD5"/>
    <w:pPr>
      <w:numPr>
        <w:numId w:val="23"/>
      </w:numPr>
    </w:pPr>
  </w:style>
  <w:style w:type="paragraph" w:customStyle="1" w:styleId="head3">
    <w:name w:val="head3"/>
    <w:basedOn w:val="Normal"/>
    <w:rsid w:val="002F76AA"/>
    <w:rPr>
      <w:rFonts w:ascii="Arial" w:hAnsi="Arial" w:cs="Arial"/>
      <w:bCs/>
      <w:i/>
      <w:sz w:val="28"/>
    </w:rPr>
  </w:style>
  <w:style w:type="paragraph" w:customStyle="1" w:styleId="fedregpreambletitlenormal">
    <w:name w:val="fedregpreambletitlenormal"/>
    <w:basedOn w:val="Normal"/>
    <w:rsid w:val="002F76AA"/>
    <w:pPr>
      <w:spacing w:before="100" w:beforeAutospacing="1" w:after="100" w:afterAutospacing="1"/>
    </w:pPr>
  </w:style>
  <w:style w:type="paragraph" w:customStyle="1" w:styleId="OmniPage2">
    <w:name w:val="OmniPage #2"/>
    <w:basedOn w:val="Normal"/>
    <w:rsid w:val="002F76AA"/>
    <w:pPr>
      <w:spacing w:line="300" w:lineRule="exact"/>
    </w:pPr>
    <w:rPr>
      <w:sz w:val="20"/>
      <w:szCs w:val="20"/>
    </w:rPr>
  </w:style>
  <w:style w:type="paragraph" w:customStyle="1" w:styleId="OmniPage4">
    <w:name w:val="OmniPage #4"/>
    <w:basedOn w:val="Normal"/>
    <w:rsid w:val="002F76AA"/>
    <w:pPr>
      <w:spacing w:line="240" w:lineRule="exact"/>
    </w:pPr>
    <w:rPr>
      <w:sz w:val="20"/>
      <w:szCs w:val="20"/>
    </w:rPr>
  </w:style>
  <w:style w:type="character" w:styleId="FollowedHyperlink">
    <w:name w:val="FollowedHyperlink"/>
    <w:basedOn w:val="DefaultParagraphFont"/>
    <w:rsid w:val="002F76AA"/>
    <w:rPr>
      <w:color w:val="800080"/>
      <w:u w:val="single"/>
    </w:rPr>
  </w:style>
  <w:style w:type="character" w:styleId="PageNumber">
    <w:name w:val="page number"/>
    <w:basedOn w:val="DefaultParagraphFont"/>
    <w:rsid w:val="002F76AA"/>
  </w:style>
  <w:style w:type="paragraph" w:styleId="BalloonText">
    <w:name w:val="Balloon Text"/>
    <w:basedOn w:val="Normal"/>
    <w:semiHidden/>
    <w:rsid w:val="002F76AA"/>
    <w:rPr>
      <w:rFonts w:ascii="Tahoma" w:hAnsi="Tahoma" w:cs="Tahoma"/>
      <w:sz w:val="16"/>
      <w:szCs w:val="16"/>
    </w:rPr>
  </w:style>
  <w:style w:type="character" w:styleId="CommentReference">
    <w:name w:val="annotation reference"/>
    <w:basedOn w:val="DefaultParagraphFont"/>
    <w:uiPriority w:val="99"/>
    <w:semiHidden/>
    <w:rsid w:val="002F76AA"/>
    <w:rPr>
      <w:sz w:val="16"/>
      <w:szCs w:val="16"/>
    </w:rPr>
  </w:style>
  <w:style w:type="paragraph" w:styleId="CommentText">
    <w:name w:val="annotation text"/>
    <w:basedOn w:val="Normal"/>
    <w:link w:val="CommentTextChar"/>
    <w:uiPriority w:val="99"/>
    <w:semiHidden/>
    <w:rsid w:val="002F76AA"/>
    <w:rPr>
      <w:sz w:val="20"/>
      <w:szCs w:val="20"/>
    </w:rPr>
  </w:style>
  <w:style w:type="paragraph" w:styleId="CommentSubject">
    <w:name w:val="annotation subject"/>
    <w:basedOn w:val="CommentText"/>
    <w:next w:val="CommentText"/>
    <w:semiHidden/>
    <w:rsid w:val="002F76AA"/>
    <w:rPr>
      <w:b/>
      <w:bCs/>
    </w:rPr>
  </w:style>
  <w:style w:type="paragraph" w:styleId="Header">
    <w:name w:val="header"/>
    <w:aliases w:val="h1"/>
    <w:basedOn w:val="Normal"/>
    <w:rsid w:val="002F76AA"/>
    <w:pPr>
      <w:tabs>
        <w:tab w:val="center" w:pos="4320"/>
        <w:tab w:val="right" w:pos="8640"/>
      </w:tabs>
    </w:pPr>
  </w:style>
  <w:style w:type="paragraph" w:customStyle="1" w:styleId="OmniPage3">
    <w:name w:val="OmniPage #3"/>
    <w:basedOn w:val="Normal"/>
    <w:rsid w:val="002F76AA"/>
    <w:pPr>
      <w:spacing w:line="120" w:lineRule="exact"/>
    </w:pPr>
    <w:rPr>
      <w:sz w:val="20"/>
      <w:szCs w:val="20"/>
    </w:rPr>
  </w:style>
  <w:style w:type="character" w:customStyle="1" w:styleId="FootnoteTextChar">
    <w:name w:val="Footnote Text Char"/>
    <w:basedOn w:val="DefaultParagraphFont"/>
    <w:link w:val="FootnoteText"/>
    <w:uiPriority w:val="99"/>
    <w:rsid w:val="00A32AD5"/>
  </w:style>
  <w:style w:type="character" w:customStyle="1" w:styleId="FootnoteTextChar1">
    <w:name w:val="Footnote Text Char1"/>
    <w:basedOn w:val="DefaultParagraphFont"/>
    <w:uiPriority w:val="99"/>
    <w:semiHidden/>
    <w:locked/>
    <w:rsid w:val="00A32AD5"/>
    <w:rPr>
      <w:rFonts w:cs="Times New Roman"/>
      <w:lang w:val="en-US" w:eastAsia="en-US" w:bidi="ar-SA"/>
    </w:rPr>
  </w:style>
  <w:style w:type="paragraph" w:styleId="Revision">
    <w:name w:val="Revision"/>
    <w:hidden/>
    <w:uiPriority w:val="99"/>
    <w:semiHidden/>
    <w:rsid w:val="004015FC"/>
    <w:rPr>
      <w:sz w:val="24"/>
      <w:szCs w:val="24"/>
    </w:rPr>
  </w:style>
  <w:style w:type="character" w:customStyle="1" w:styleId="FooterChar">
    <w:name w:val="Footer Char"/>
    <w:basedOn w:val="DefaultParagraphFont"/>
    <w:link w:val="Footer"/>
    <w:uiPriority w:val="99"/>
    <w:rsid w:val="003D7E41"/>
    <w:rPr>
      <w:sz w:val="24"/>
      <w:szCs w:val="24"/>
    </w:rPr>
  </w:style>
  <w:style w:type="character" w:customStyle="1" w:styleId="CommentTextChar">
    <w:name w:val="Comment Text Char"/>
    <w:basedOn w:val="DefaultParagraphFont"/>
    <w:link w:val="CommentText"/>
    <w:uiPriority w:val="99"/>
    <w:semiHidden/>
    <w:rsid w:val="0050652C"/>
  </w:style>
  <w:style w:type="paragraph" w:styleId="ListParagraph">
    <w:name w:val="List Paragraph"/>
    <w:basedOn w:val="Normal"/>
    <w:uiPriority w:val="34"/>
    <w:qFormat/>
    <w:rsid w:val="00DC46EC"/>
    <w:pPr>
      <w:ind w:left="720"/>
      <w:contextualSpacing/>
    </w:pPr>
  </w:style>
  <w:style w:type="paragraph" w:customStyle="1" w:styleId="SuperRIAFootnote">
    <w:name w:val="Super RIA Footnote"/>
    <w:basedOn w:val="Normal"/>
    <w:link w:val="SuperRIAFootnoteChar"/>
    <w:qFormat/>
    <w:rsid w:val="003F5388"/>
    <w:pPr>
      <w:widowControl w:val="0"/>
      <w:tabs>
        <w:tab w:val="left" w:pos="360"/>
      </w:tabs>
      <w:suppressAutoHyphens/>
      <w:autoSpaceDE w:val="0"/>
      <w:adjustRightInd w:val="0"/>
      <w:spacing w:before="60"/>
      <w:jc w:val="both"/>
      <w:textAlignment w:val="baseline"/>
    </w:pPr>
    <w:rPr>
      <w:sz w:val="20"/>
      <w:szCs w:val="20"/>
      <w:lang w:eastAsia="ar-SA"/>
    </w:rPr>
  </w:style>
  <w:style w:type="character" w:customStyle="1" w:styleId="SuperRIAFootnoteChar">
    <w:name w:val="Super RIA Footnote Char"/>
    <w:link w:val="SuperRIAFootnote"/>
    <w:rsid w:val="003F5388"/>
    <w:rPr>
      <w:lang w:eastAsia="ar-SA"/>
    </w:rPr>
  </w:style>
  <w:style w:type="table" w:styleId="TableGrid">
    <w:name w:val="Table Grid"/>
    <w:basedOn w:val="TableNormal"/>
    <w:rsid w:val="00FC50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6AA"/>
    <w:rPr>
      <w:sz w:val="24"/>
      <w:szCs w:val="24"/>
    </w:rPr>
  </w:style>
  <w:style w:type="paragraph" w:styleId="Heading1">
    <w:name w:val="heading 1"/>
    <w:basedOn w:val="Normal"/>
    <w:next w:val="Normal"/>
    <w:qFormat/>
    <w:rsid w:val="002F76AA"/>
    <w:pPr>
      <w:keepNext/>
      <w:autoSpaceDE w:val="0"/>
      <w:autoSpaceDN w:val="0"/>
      <w:adjustRightInd w:val="0"/>
      <w:spacing w:line="480" w:lineRule="auto"/>
      <w:outlineLvl w:val="0"/>
    </w:pPr>
    <w:rPr>
      <w:rFonts w:ascii="Arial" w:hAnsi="Arial" w:cs="Arial"/>
      <w:bCs/>
      <w:color w:val="000000"/>
      <w:u w:val="single"/>
    </w:rPr>
  </w:style>
  <w:style w:type="paragraph" w:styleId="Heading2">
    <w:name w:val="heading 2"/>
    <w:basedOn w:val="Normal"/>
    <w:next w:val="Normal"/>
    <w:qFormat/>
    <w:rsid w:val="002F76AA"/>
    <w:pPr>
      <w:keepNext/>
      <w:outlineLvl w:val="1"/>
    </w:pPr>
    <w:rPr>
      <w:rFonts w:ascii="Arial" w:hAnsi="Arial" w:cs="Arial"/>
      <w:b/>
      <w:bCs/>
      <w:color w:val="000000"/>
    </w:rPr>
  </w:style>
  <w:style w:type="paragraph" w:styleId="Heading3">
    <w:name w:val="heading 3"/>
    <w:basedOn w:val="Normal"/>
    <w:next w:val="Normal"/>
    <w:qFormat/>
    <w:rsid w:val="002F76A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F76AA"/>
    <w:pPr>
      <w:spacing w:before="100" w:beforeAutospacing="1" w:after="100" w:afterAutospacing="1"/>
    </w:pPr>
  </w:style>
  <w:style w:type="character" w:styleId="Hyperlink">
    <w:name w:val="Hyperlink"/>
    <w:basedOn w:val="DefaultParagraphFont"/>
    <w:rsid w:val="002F76AA"/>
    <w:rPr>
      <w:color w:val="0000FF"/>
      <w:u w:val="single"/>
    </w:rPr>
  </w:style>
  <w:style w:type="paragraph" w:styleId="BodyTextIndent">
    <w:name w:val="Body Text Indent"/>
    <w:basedOn w:val="Normal"/>
    <w:rsid w:val="002F76AA"/>
    <w:pPr>
      <w:ind w:left="360"/>
    </w:pPr>
  </w:style>
  <w:style w:type="paragraph" w:styleId="BodyText2">
    <w:name w:val="Body Text 2"/>
    <w:basedOn w:val="Normal"/>
    <w:rsid w:val="002F76AA"/>
    <w:pPr>
      <w:spacing w:after="120" w:line="480" w:lineRule="auto"/>
    </w:pPr>
  </w:style>
  <w:style w:type="paragraph" w:styleId="FootnoteText">
    <w:name w:val="footnote text"/>
    <w:basedOn w:val="Normal"/>
    <w:link w:val="FootnoteTextChar"/>
    <w:uiPriority w:val="99"/>
    <w:rsid w:val="002F76AA"/>
    <w:rPr>
      <w:sz w:val="20"/>
      <w:szCs w:val="20"/>
    </w:rPr>
  </w:style>
  <w:style w:type="character" w:styleId="FootnoteReference">
    <w:name w:val="footnote reference"/>
    <w:basedOn w:val="DefaultParagraphFont"/>
    <w:uiPriority w:val="99"/>
    <w:rsid w:val="002F76AA"/>
    <w:rPr>
      <w:vertAlign w:val="superscript"/>
    </w:rPr>
  </w:style>
  <w:style w:type="paragraph" w:styleId="Footer">
    <w:name w:val="footer"/>
    <w:basedOn w:val="Normal"/>
    <w:link w:val="FooterChar"/>
    <w:uiPriority w:val="99"/>
    <w:rsid w:val="002F76AA"/>
    <w:pPr>
      <w:tabs>
        <w:tab w:val="center" w:pos="4320"/>
        <w:tab w:val="right" w:pos="8640"/>
      </w:tabs>
    </w:pPr>
  </w:style>
  <w:style w:type="paragraph" w:customStyle="1" w:styleId="FedRegPreambleParagraphNormal">
    <w:name w:val="FedReg Preamble Paragraph Normal"/>
    <w:rsid w:val="002F76AA"/>
    <w:pPr>
      <w:spacing w:line="480" w:lineRule="auto"/>
      <w:ind w:firstLine="720"/>
    </w:pPr>
    <w:rPr>
      <w:rFonts w:ascii="Arial" w:hAnsi="Arial"/>
      <w:sz w:val="24"/>
    </w:rPr>
  </w:style>
  <w:style w:type="paragraph" w:styleId="BodyTextIndent2">
    <w:name w:val="Body Text Indent 2"/>
    <w:basedOn w:val="Normal"/>
    <w:rsid w:val="002F76AA"/>
    <w:pPr>
      <w:spacing w:line="480" w:lineRule="auto"/>
      <w:ind w:firstLine="720"/>
    </w:pPr>
    <w:rPr>
      <w:rFonts w:ascii="Arial" w:hAnsi="Arial" w:cs="Arial"/>
      <w:color w:val="000000"/>
    </w:rPr>
  </w:style>
  <w:style w:type="paragraph" w:styleId="BodyTextIndent3">
    <w:name w:val="Body Text Indent 3"/>
    <w:basedOn w:val="Normal"/>
    <w:rsid w:val="002F76AA"/>
    <w:pPr>
      <w:ind w:firstLine="720"/>
    </w:pPr>
    <w:rPr>
      <w:rFonts w:ascii="Arial" w:hAnsi="Arial" w:cs="Arial"/>
    </w:rPr>
  </w:style>
  <w:style w:type="paragraph" w:customStyle="1" w:styleId="doublebullet">
    <w:name w:val="double bullet"/>
    <w:basedOn w:val="Normal"/>
    <w:rsid w:val="00A32AD5"/>
    <w:pPr>
      <w:numPr>
        <w:numId w:val="23"/>
      </w:numPr>
    </w:pPr>
  </w:style>
  <w:style w:type="paragraph" w:customStyle="1" w:styleId="head3">
    <w:name w:val="head3"/>
    <w:basedOn w:val="Normal"/>
    <w:rsid w:val="002F76AA"/>
    <w:rPr>
      <w:rFonts w:ascii="Arial" w:hAnsi="Arial" w:cs="Arial"/>
      <w:bCs/>
      <w:i/>
      <w:sz w:val="28"/>
    </w:rPr>
  </w:style>
  <w:style w:type="paragraph" w:customStyle="1" w:styleId="fedregpreambletitlenormal">
    <w:name w:val="fedregpreambletitlenormal"/>
    <w:basedOn w:val="Normal"/>
    <w:rsid w:val="002F76AA"/>
    <w:pPr>
      <w:spacing w:before="100" w:beforeAutospacing="1" w:after="100" w:afterAutospacing="1"/>
    </w:pPr>
  </w:style>
  <w:style w:type="paragraph" w:customStyle="1" w:styleId="OmniPage2">
    <w:name w:val="OmniPage #2"/>
    <w:basedOn w:val="Normal"/>
    <w:rsid w:val="002F76AA"/>
    <w:pPr>
      <w:spacing w:line="300" w:lineRule="exact"/>
    </w:pPr>
    <w:rPr>
      <w:sz w:val="20"/>
      <w:szCs w:val="20"/>
    </w:rPr>
  </w:style>
  <w:style w:type="paragraph" w:customStyle="1" w:styleId="OmniPage4">
    <w:name w:val="OmniPage #4"/>
    <w:basedOn w:val="Normal"/>
    <w:rsid w:val="002F76AA"/>
    <w:pPr>
      <w:spacing w:line="240" w:lineRule="exact"/>
    </w:pPr>
    <w:rPr>
      <w:sz w:val="20"/>
      <w:szCs w:val="20"/>
    </w:rPr>
  </w:style>
  <w:style w:type="character" w:styleId="FollowedHyperlink">
    <w:name w:val="FollowedHyperlink"/>
    <w:basedOn w:val="DefaultParagraphFont"/>
    <w:rsid w:val="002F76AA"/>
    <w:rPr>
      <w:color w:val="800080"/>
      <w:u w:val="single"/>
    </w:rPr>
  </w:style>
  <w:style w:type="character" w:styleId="PageNumber">
    <w:name w:val="page number"/>
    <w:basedOn w:val="DefaultParagraphFont"/>
    <w:rsid w:val="002F76AA"/>
  </w:style>
  <w:style w:type="paragraph" w:styleId="BalloonText">
    <w:name w:val="Balloon Text"/>
    <w:basedOn w:val="Normal"/>
    <w:semiHidden/>
    <w:rsid w:val="002F76AA"/>
    <w:rPr>
      <w:rFonts w:ascii="Tahoma" w:hAnsi="Tahoma" w:cs="Tahoma"/>
      <w:sz w:val="16"/>
      <w:szCs w:val="16"/>
    </w:rPr>
  </w:style>
  <w:style w:type="character" w:styleId="CommentReference">
    <w:name w:val="annotation reference"/>
    <w:basedOn w:val="DefaultParagraphFont"/>
    <w:uiPriority w:val="99"/>
    <w:semiHidden/>
    <w:rsid w:val="002F76AA"/>
    <w:rPr>
      <w:sz w:val="16"/>
      <w:szCs w:val="16"/>
    </w:rPr>
  </w:style>
  <w:style w:type="paragraph" w:styleId="CommentText">
    <w:name w:val="annotation text"/>
    <w:basedOn w:val="Normal"/>
    <w:link w:val="CommentTextChar"/>
    <w:uiPriority w:val="99"/>
    <w:semiHidden/>
    <w:rsid w:val="002F76AA"/>
    <w:rPr>
      <w:sz w:val="20"/>
      <w:szCs w:val="20"/>
    </w:rPr>
  </w:style>
  <w:style w:type="paragraph" w:styleId="CommentSubject">
    <w:name w:val="annotation subject"/>
    <w:basedOn w:val="CommentText"/>
    <w:next w:val="CommentText"/>
    <w:semiHidden/>
    <w:rsid w:val="002F76AA"/>
    <w:rPr>
      <w:b/>
      <w:bCs/>
    </w:rPr>
  </w:style>
  <w:style w:type="paragraph" w:styleId="Header">
    <w:name w:val="header"/>
    <w:aliases w:val="h1"/>
    <w:basedOn w:val="Normal"/>
    <w:rsid w:val="002F76AA"/>
    <w:pPr>
      <w:tabs>
        <w:tab w:val="center" w:pos="4320"/>
        <w:tab w:val="right" w:pos="8640"/>
      </w:tabs>
    </w:pPr>
  </w:style>
  <w:style w:type="paragraph" w:customStyle="1" w:styleId="OmniPage3">
    <w:name w:val="OmniPage #3"/>
    <w:basedOn w:val="Normal"/>
    <w:rsid w:val="002F76AA"/>
    <w:pPr>
      <w:spacing w:line="120" w:lineRule="exact"/>
    </w:pPr>
    <w:rPr>
      <w:sz w:val="20"/>
      <w:szCs w:val="20"/>
    </w:rPr>
  </w:style>
  <w:style w:type="character" w:customStyle="1" w:styleId="FootnoteTextChar">
    <w:name w:val="Footnote Text Char"/>
    <w:basedOn w:val="DefaultParagraphFont"/>
    <w:link w:val="FootnoteText"/>
    <w:uiPriority w:val="99"/>
    <w:rsid w:val="00A32AD5"/>
  </w:style>
  <w:style w:type="character" w:customStyle="1" w:styleId="FootnoteTextChar1">
    <w:name w:val="Footnote Text Char1"/>
    <w:basedOn w:val="DefaultParagraphFont"/>
    <w:uiPriority w:val="99"/>
    <w:semiHidden/>
    <w:locked/>
    <w:rsid w:val="00A32AD5"/>
    <w:rPr>
      <w:rFonts w:cs="Times New Roman"/>
      <w:lang w:val="en-US" w:eastAsia="en-US" w:bidi="ar-SA"/>
    </w:rPr>
  </w:style>
  <w:style w:type="paragraph" w:styleId="Revision">
    <w:name w:val="Revision"/>
    <w:hidden/>
    <w:uiPriority w:val="99"/>
    <w:semiHidden/>
    <w:rsid w:val="004015FC"/>
    <w:rPr>
      <w:sz w:val="24"/>
      <w:szCs w:val="24"/>
    </w:rPr>
  </w:style>
  <w:style w:type="character" w:customStyle="1" w:styleId="FooterChar">
    <w:name w:val="Footer Char"/>
    <w:basedOn w:val="DefaultParagraphFont"/>
    <w:link w:val="Footer"/>
    <w:uiPriority w:val="99"/>
    <w:rsid w:val="003D7E41"/>
    <w:rPr>
      <w:sz w:val="24"/>
      <w:szCs w:val="24"/>
    </w:rPr>
  </w:style>
  <w:style w:type="character" w:customStyle="1" w:styleId="CommentTextChar">
    <w:name w:val="Comment Text Char"/>
    <w:basedOn w:val="DefaultParagraphFont"/>
    <w:link w:val="CommentText"/>
    <w:uiPriority w:val="99"/>
    <w:semiHidden/>
    <w:rsid w:val="0050652C"/>
  </w:style>
  <w:style w:type="paragraph" w:styleId="ListParagraph">
    <w:name w:val="List Paragraph"/>
    <w:basedOn w:val="Normal"/>
    <w:uiPriority w:val="34"/>
    <w:qFormat/>
    <w:rsid w:val="00DC46EC"/>
    <w:pPr>
      <w:ind w:left="720"/>
      <w:contextualSpacing/>
    </w:pPr>
  </w:style>
  <w:style w:type="paragraph" w:customStyle="1" w:styleId="SuperRIAFootnote">
    <w:name w:val="Super RIA Footnote"/>
    <w:basedOn w:val="Normal"/>
    <w:link w:val="SuperRIAFootnoteChar"/>
    <w:qFormat/>
    <w:rsid w:val="003F5388"/>
    <w:pPr>
      <w:widowControl w:val="0"/>
      <w:tabs>
        <w:tab w:val="left" w:pos="360"/>
      </w:tabs>
      <w:suppressAutoHyphens/>
      <w:autoSpaceDE w:val="0"/>
      <w:adjustRightInd w:val="0"/>
      <w:spacing w:before="60"/>
      <w:jc w:val="both"/>
      <w:textAlignment w:val="baseline"/>
    </w:pPr>
    <w:rPr>
      <w:sz w:val="20"/>
      <w:szCs w:val="20"/>
      <w:lang w:eastAsia="ar-SA"/>
    </w:rPr>
  </w:style>
  <w:style w:type="character" w:customStyle="1" w:styleId="SuperRIAFootnoteChar">
    <w:name w:val="Super RIA Footnote Char"/>
    <w:link w:val="SuperRIAFootnote"/>
    <w:rsid w:val="003F5388"/>
    <w:rPr>
      <w:lang w:eastAsia="ar-SA"/>
    </w:rPr>
  </w:style>
  <w:style w:type="table" w:styleId="TableGrid">
    <w:name w:val="Table Grid"/>
    <w:basedOn w:val="TableNormal"/>
    <w:rsid w:val="00FC50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96994">
      <w:bodyDiv w:val="1"/>
      <w:marLeft w:val="0"/>
      <w:marRight w:val="0"/>
      <w:marTop w:val="0"/>
      <w:marBottom w:val="0"/>
      <w:divBdr>
        <w:top w:val="none" w:sz="0" w:space="0" w:color="auto"/>
        <w:left w:val="none" w:sz="0" w:space="0" w:color="auto"/>
        <w:bottom w:val="none" w:sz="0" w:space="0" w:color="auto"/>
        <w:right w:val="none" w:sz="0" w:space="0" w:color="auto"/>
      </w:divBdr>
    </w:div>
    <w:div w:id="77364500">
      <w:bodyDiv w:val="1"/>
      <w:marLeft w:val="0"/>
      <w:marRight w:val="0"/>
      <w:marTop w:val="0"/>
      <w:marBottom w:val="0"/>
      <w:divBdr>
        <w:top w:val="none" w:sz="0" w:space="0" w:color="auto"/>
        <w:left w:val="none" w:sz="0" w:space="0" w:color="auto"/>
        <w:bottom w:val="none" w:sz="0" w:space="0" w:color="auto"/>
        <w:right w:val="none" w:sz="0" w:space="0" w:color="auto"/>
      </w:divBdr>
    </w:div>
    <w:div w:id="99573475">
      <w:bodyDiv w:val="1"/>
      <w:marLeft w:val="0"/>
      <w:marRight w:val="0"/>
      <w:marTop w:val="0"/>
      <w:marBottom w:val="0"/>
      <w:divBdr>
        <w:top w:val="none" w:sz="0" w:space="0" w:color="auto"/>
        <w:left w:val="none" w:sz="0" w:space="0" w:color="auto"/>
        <w:bottom w:val="none" w:sz="0" w:space="0" w:color="auto"/>
        <w:right w:val="none" w:sz="0" w:space="0" w:color="auto"/>
      </w:divBdr>
    </w:div>
    <w:div w:id="118227478">
      <w:bodyDiv w:val="1"/>
      <w:marLeft w:val="0"/>
      <w:marRight w:val="0"/>
      <w:marTop w:val="0"/>
      <w:marBottom w:val="0"/>
      <w:divBdr>
        <w:top w:val="none" w:sz="0" w:space="0" w:color="auto"/>
        <w:left w:val="none" w:sz="0" w:space="0" w:color="auto"/>
        <w:bottom w:val="none" w:sz="0" w:space="0" w:color="auto"/>
        <w:right w:val="none" w:sz="0" w:space="0" w:color="auto"/>
      </w:divBdr>
    </w:div>
    <w:div w:id="130170866">
      <w:bodyDiv w:val="1"/>
      <w:marLeft w:val="0"/>
      <w:marRight w:val="0"/>
      <w:marTop w:val="0"/>
      <w:marBottom w:val="0"/>
      <w:divBdr>
        <w:top w:val="none" w:sz="0" w:space="0" w:color="auto"/>
        <w:left w:val="none" w:sz="0" w:space="0" w:color="auto"/>
        <w:bottom w:val="none" w:sz="0" w:space="0" w:color="auto"/>
        <w:right w:val="none" w:sz="0" w:space="0" w:color="auto"/>
      </w:divBdr>
    </w:div>
    <w:div w:id="148979333">
      <w:bodyDiv w:val="1"/>
      <w:marLeft w:val="0"/>
      <w:marRight w:val="0"/>
      <w:marTop w:val="0"/>
      <w:marBottom w:val="0"/>
      <w:divBdr>
        <w:top w:val="none" w:sz="0" w:space="0" w:color="auto"/>
        <w:left w:val="none" w:sz="0" w:space="0" w:color="auto"/>
        <w:bottom w:val="none" w:sz="0" w:space="0" w:color="auto"/>
        <w:right w:val="none" w:sz="0" w:space="0" w:color="auto"/>
      </w:divBdr>
    </w:div>
    <w:div w:id="155734287">
      <w:bodyDiv w:val="1"/>
      <w:marLeft w:val="0"/>
      <w:marRight w:val="0"/>
      <w:marTop w:val="0"/>
      <w:marBottom w:val="0"/>
      <w:divBdr>
        <w:top w:val="none" w:sz="0" w:space="0" w:color="auto"/>
        <w:left w:val="none" w:sz="0" w:space="0" w:color="auto"/>
        <w:bottom w:val="none" w:sz="0" w:space="0" w:color="auto"/>
        <w:right w:val="none" w:sz="0" w:space="0" w:color="auto"/>
      </w:divBdr>
    </w:div>
    <w:div w:id="274407808">
      <w:bodyDiv w:val="1"/>
      <w:marLeft w:val="0"/>
      <w:marRight w:val="0"/>
      <w:marTop w:val="0"/>
      <w:marBottom w:val="0"/>
      <w:divBdr>
        <w:top w:val="none" w:sz="0" w:space="0" w:color="auto"/>
        <w:left w:val="none" w:sz="0" w:space="0" w:color="auto"/>
        <w:bottom w:val="none" w:sz="0" w:space="0" w:color="auto"/>
        <w:right w:val="none" w:sz="0" w:space="0" w:color="auto"/>
      </w:divBdr>
    </w:div>
    <w:div w:id="283931382">
      <w:bodyDiv w:val="1"/>
      <w:marLeft w:val="0"/>
      <w:marRight w:val="0"/>
      <w:marTop w:val="0"/>
      <w:marBottom w:val="0"/>
      <w:divBdr>
        <w:top w:val="none" w:sz="0" w:space="0" w:color="auto"/>
        <w:left w:val="none" w:sz="0" w:space="0" w:color="auto"/>
        <w:bottom w:val="none" w:sz="0" w:space="0" w:color="auto"/>
        <w:right w:val="none" w:sz="0" w:space="0" w:color="auto"/>
      </w:divBdr>
    </w:div>
    <w:div w:id="287443004">
      <w:bodyDiv w:val="1"/>
      <w:marLeft w:val="0"/>
      <w:marRight w:val="0"/>
      <w:marTop w:val="0"/>
      <w:marBottom w:val="0"/>
      <w:divBdr>
        <w:top w:val="none" w:sz="0" w:space="0" w:color="auto"/>
        <w:left w:val="none" w:sz="0" w:space="0" w:color="auto"/>
        <w:bottom w:val="none" w:sz="0" w:space="0" w:color="auto"/>
        <w:right w:val="none" w:sz="0" w:space="0" w:color="auto"/>
      </w:divBdr>
    </w:div>
    <w:div w:id="313990453">
      <w:bodyDiv w:val="1"/>
      <w:marLeft w:val="0"/>
      <w:marRight w:val="0"/>
      <w:marTop w:val="0"/>
      <w:marBottom w:val="0"/>
      <w:divBdr>
        <w:top w:val="none" w:sz="0" w:space="0" w:color="auto"/>
        <w:left w:val="none" w:sz="0" w:space="0" w:color="auto"/>
        <w:bottom w:val="none" w:sz="0" w:space="0" w:color="auto"/>
        <w:right w:val="none" w:sz="0" w:space="0" w:color="auto"/>
      </w:divBdr>
    </w:div>
    <w:div w:id="420417689">
      <w:bodyDiv w:val="1"/>
      <w:marLeft w:val="0"/>
      <w:marRight w:val="0"/>
      <w:marTop w:val="0"/>
      <w:marBottom w:val="0"/>
      <w:divBdr>
        <w:top w:val="none" w:sz="0" w:space="0" w:color="auto"/>
        <w:left w:val="none" w:sz="0" w:space="0" w:color="auto"/>
        <w:bottom w:val="none" w:sz="0" w:space="0" w:color="auto"/>
        <w:right w:val="none" w:sz="0" w:space="0" w:color="auto"/>
      </w:divBdr>
    </w:div>
    <w:div w:id="432677652">
      <w:bodyDiv w:val="1"/>
      <w:marLeft w:val="0"/>
      <w:marRight w:val="0"/>
      <w:marTop w:val="0"/>
      <w:marBottom w:val="0"/>
      <w:divBdr>
        <w:top w:val="none" w:sz="0" w:space="0" w:color="auto"/>
        <w:left w:val="none" w:sz="0" w:space="0" w:color="auto"/>
        <w:bottom w:val="none" w:sz="0" w:space="0" w:color="auto"/>
        <w:right w:val="none" w:sz="0" w:space="0" w:color="auto"/>
      </w:divBdr>
    </w:div>
    <w:div w:id="517282232">
      <w:bodyDiv w:val="1"/>
      <w:marLeft w:val="0"/>
      <w:marRight w:val="0"/>
      <w:marTop w:val="0"/>
      <w:marBottom w:val="0"/>
      <w:divBdr>
        <w:top w:val="none" w:sz="0" w:space="0" w:color="auto"/>
        <w:left w:val="none" w:sz="0" w:space="0" w:color="auto"/>
        <w:bottom w:val="none" w:sz="0" w:space="0" w:color="auto"/>
        <w:right w:val="none" w:sz="0" w:space="0" w:color="auto"/>
      </w:divBdr>
    </w:div>
    <w:div w:id="707729559">
      <w:bodyDiv w:val="1"/>
      <w:marLeft w:val="0"/>
      <w:marRight w:val="0"/>
      <w:marTop w:val="0"/>
      <w:marBottom w:val="0"/>
      <w:divBdr>
        <w:top w:val="none" w:sz="0" w:space="0" w:color="auto"/>
        <w:left w:val="none" w:sz="0" w:space="0" w:color="auto"/>
        <w:bottom w:val="none" w:sz="0" w:space="0" w:color="auto"/>
        <w:right w:val="none" w:sz="0" w:space="0" w:color="auto"/>
      </w:divBdr>
    </w:div>
    <w:div w:id="1045642590">
      <w:bodyDiv w:val="1"/>
      <w:marLeft w:val="0"/>
      <w:marRight w:val="0"/>
      <w:marTop w:val="0"/>
      <w:marBottom w:val="0"/>
      <w:divBdr>
        <w:top w:val="none" w:sz="0" w:space="0" w:color="auto"/>
        <w:left w:val="none" w:sz="0" w:space="0" w:color="auto"/>
        <w:bottom w:val="none" w:sz="0" w:space="0" w:color="auto"/>
        <w:right w:val="none" w:sz="0" w:space="0" w:color="auto"/>
      </w:divBdr>
    </w:div>
    <w:div w:id="1061757967">
      <w:bodyDiv w:val="1"/>
      <w:marLeft w:val="0"/>
      <w:marRight w:val="0"/>
      <w:marTop w:val="0"/>
      <w:marBottom w:val="0"/>
      <w:divBdr>
        <w:top w:val="none" w:sz="0" w:space="0" w:color="auto"/>
        <w:left w:val="none" w:sz="0" w:space="0" w:color="auto"/>
        <w:bottom w:val="none" w:sz="0" w:space="0" w:color="auto"/>
        <w:right w:val="none" w:sz="0" w:space="0" w:color="auto"/>
      </w:divBdr>
    </w:div>
    <w:div w:id="1178035582">
      <w:bodyDiv w:val="1"/>
      <w:marLeft w:val="0"/>
      <w:marRight w:val="0"/>
      <w:marTop w:val="0"/>
      <w:marBottom w:val="0"/>
      <w:divBdr>
        <w:top w:val="none" w:sz="0" w:space="0" w:color="auto"/>
        <w:left w:val="none" w:sz="0" w:space="0" w:color="auto"/>
        <w:bottom w:val="none" w:sz="0" w:space="0" w:color="auto"/>
        <w:right w:val="none" w:sz="0" w:space="0" w:color="auto"/>
      </w:divBdr>
    </w:div>
    <w:div w:id="1217357071">
      <w:bodyDiv w:val="1"/>
      <w:marLeft w:val="0"/>
      <w:marRight w:val="0"/>
      <w:marTop w:val="0"/>
      <w:marBottom w:val="0"/>
      <w:divBdr>
        <w:top w:val="none" w:sz="0" w:space="0" w:color="auto"/>
        <w:left w:val="none" w:sz="0" w:space="0" w:color="auto"/>
        <w:bottom w:val="none" w:sz="0" w:space="0" w:color="auto"/>
        <w:right w:val="none" w:sz="0" w:space="0" w:color="auto"/>
      </w:divBdr>
    </w:div>
    <w:div w:id="1273828961">
      <w:bodyDiv w:val="1"/>
      <w:marLeft w:val="0"/>
      <w:marRight w:val="0"/>
      <w:marTop w:val="0"/>
      <w:marBottom w:val="0"/>
      <w:divBdr>
        <w:top w:val="none" w:sz="0" w:space="0" w:color="auto"/>
        <w:left w:val="none" w:sz="0" w:space="0" w:color="auto"/>
        <w:bottom w:val="none" w:sz="0" w:space="0" w:color="auto"/>
        <w:right w:val="none" w:sz="0" w:space="0" w:color="auto"/>
      </w:divBdr>
    </w:div>
    <w:div w:id="1364207087">
      <w:bodyDiv w:val="1"/>
      <w:marLeft w:val="0"/>
      <w:marRight w:val="0"/>
      <w:marTop w:val="0"/>
      <w:marBottom w:val="0"/>
      <w:divBdr>
        <w:top w:val="none" w:sz="0" w:space="0" w:color="auto"/>
        <w:left w:val="none" w:sz="0" w:space="0" w:color="auto"/>
        <w:bottom w:val="none" w:sz="0" w:space="0" w:color="auto"/>
        <w:right w:val="none" w:sz="0" w:space="0" w:color="auto"/>
      </w:divBdr>
    </w:div>
    <w:div w:id="1370186245">
      <w:bodyDiv w:val="1"/>
      <w:marLeft w:val="0"/>
      <w:marRight w:val="0"/>
      <w:marTop w:val="0"/>
      <w:marBottom w:val="0"/>
      <w:divBdr>
        <w:top w:val="none" w:sz="0" w:space="0" w:color="auto"/>
        <w:left w:val="none" w:sz="0" w:space="0" w:color="auto"/>
        <w:bottom w:val="none" w:sz="0" w:space="0" w:color="auto"/>
        <w:right w:val="none" w:sz="0" w:space="0" w:color="auto"/>
      </w:divBdr>
    </w:div>
    <w:div w:id="1434738827">
      <w:bodyDiv w:val="1"/>
      <w:marLeft w:val="0"/>
      <w:marRight w:val="0"/>
      <w:marTop w:val="0"/>
      <w:marBottom w:val="0"/>
      <w:divBdr>
        <w:top w:val="none" w:sz="0" w:space="0" w:color="auto"/>
        <w:left w:val="none" w:sz="0" w:space="0" w:color="auto"/>
        <w:bottom w:val="none" w:sz="0" w:space="0" w:color="auto"/>
        <w:right w:val="none" w:sz="0" w:space="0" w:color="auto"/>
      </w:divBdr>
    </w:div>
    <w:div w:id="1564097585">
      <w:bodyDiv w:val="1"/>
      <w:marLeft w:val="0"/>
      <w:marRight w:val="0"/>
      <w:marTop w:val="0"/>
      <w:marBottom w:val="0"/>
      <w:divBdr>
        <w:top w:val="none" w:sz="0" w:space="0" w:color="auto"/>
        <w:left w:val="none" w:sz="0" w:space="0" w:color="auto"/>
        <w:bottom w:val="none" w:sz="0" w:space="0" w:color="auto"/>
        <w:right w:val="none" w:sz="0" w:space="0" w:color="auto"/>
      </w:divBdr>
    </w:div>
    <w:div w:id="1588882418">
      <w:bodyDiv w:val="1"/>
      <w:marLeft w:val="0"/>
      <w:marRight w:val="0"/>
      <w:marTop w:val="0"/>
      <w:marBottom w:val="0"/>
      <w:divBdr>
        <w:top w:val="none" w:sz="0" w:space="0" w:color="auto"/>
        <w:left w:val="none" w:sz="0" w:space="0" w:color="auto"/>
        <w:bottom w:val="none" w:sz="0" w:space="0" w:color="auto"/>
        <w:right w:val="none" w:sz="0" w:space="0" w:color="auto"/>
      </w:divBdr>
    </w:div>
    <w:div w:id="1670015954">
      <w:bodyDiv w:val="1"/>
      <w:marLeft w:val="0"/>
      <w:marRight w:val="0"/>
      <w:marTop w:val="0"/>
      <w:marBottom w:val="0"/>
      <w:divBdr>
        <w:top w:val="none" w:sz="0" w:space="0" w:color="auto"/>
        <w:left w:val="none" w:sz="0" w:space="0" w:color="auto"/>
        <w:bottom w:val="none" w:sz="0" w:space="0" w:color="auto"/>
        <w:right w:val="none" w:sz="0" w:space="0" w:color="auto"/>
      </w:divBdr>
    </w:div>
    <w:div w:id="1692803598">
      <w:bodyDiv w:val="1"/>
      <w:marLeft w:val="0"/>
      <w:marRight w:val="0"/>
      <w:marTop w:val="0"/>
      <w:marBottom w:val="0"/>
      <w:divBdr>
        <w:top w:val="none" w:sz="0" w:space="0" w:color="auto"/>
        <w:left w:val="none" w:sz="0" w:space="0" w:color="auto"/>
        <w:bottom w:val="none" w:sz="0" w:space="0" w:color="auto"/>
        <w:right w:val="none" w:sz="0" w:space="0" w:color="auto"/>
      </w:divBdr>
    </w:div>
    <w:div w:id="1710110636">
      <w:bodyDiv w:val="1"/>
      <w:marLeft w:val="0"/>
      <w:marRight w:val="0"/>
      <w:marTop w:val="0"/>
      <w:marBottom w:val="0"/>
      <w:divBdr>
        <w:top w:val="none" w:sz="0" w:space="0" w:color="auto"/>
        <w:left w:val="none" w:sz="0" w:space="0" w:color="auto"/>
        <w:bottom w:val="none" w:sz="0" w:space="0" w:color="auto"/>
        <w:right w:val="none" w:sz="0" w:space="0" w:color="auto"/>
      </w:divBdr>
    </w:div>
    <w:div w:id="1724138387">
      <w:bodyDiv w:val="1"/>
      <w:marLeft w:val="0"/>
      <w:marRight w:val="0"/>
      <w:marTop w:val="0"/>
      <w:marBottom w:val="0"/>
      <w:divBdr>
        <w:top w:val="none" w:sz="0" w:space="0" w:color="auto"/>
        <w:left w:val="none" w:sz="0" w:space="0" w:color="auto"/>
        <w:bottom w:val="none" w:sz="0" w:space="0" w:color="auto"/>
        <w:right w:val="none" w:sz="0" w:space="0" w:color="auto"/>
      </w:divBdr>
    </w:div>
    <w:div w:id="1769504712">
      <w:bodyDiv w:val="1"/>
      <w:marLeft w:val="0"/>
      <w:marRight w:val="0"/>
      <w:marTop w:val="0"/>
      <w:marBottom w:val="0"/>
      <w:divBdr>
        <w:top w:val="none" w:sz="0" w:space="0" w:color="auto"/>
        <w:left w:val="none" w:sz="0" w:space="0" w:color="auto"/>
        <w:bottom w:val="none" w:sz="0" w:space="0" w:color="auto"/>
        <w:right w:val="none" w:sz="0" w:space="0" w:color="auto"/>
      </w:divBdr>
    </w:div>
    <w:div w:id="1781101510">
      <w:bodyDiv w:val="1"/>
      <w:marLeft w:val="0"/>
      <w:marRight w:val="0"/>
      <w:marTop w:val="0"/>
      <w:marBottom w:val="0"/>
      <w:divBdr>
        <w:top w:val="none" w:sz="0" w:space="0" w:color="auto"/>
        <w:left w:val="none" w:sz="0" w:space="0" w:color="auto"/>
        <w:bottom w:val="none" w:sz="0" w:space="0" w:color="auto"/>
        <w:right w:val="none" w:sz="0" w:space="0" w:color="auto"/>
      </w:divBdr>
    </w:div>
    <w:div w:id="1795128249">
      <w:bodyDiv w:val="1"/>
      <w:marLeft w:val="0"/>
      <w:marRight w:val="0"/>
      <w:marTop w:val="0"/>
      <w:marBottom w:val="0"/>
      <w:divBdr>
        <w:top w:val="none" w:sz="0" w:space="0" w:color="auto"/>
        <w:left w:val="none" w:sz="0" w:space="0" w:color="auto"/>
        <w:bottom w:val="none" w:sz="0" w:space="0" w:color="auto"/>
        <w:right w:val="none" w:sz="0" w:space="0" w:color="auto"/>
      </w:divBdr>
    </w:div>
    <w:div w:id="1828747391">
      <w:bodyDiv w:val="1"/>
      <w:marLeft w:val="0"/>
      <w:marRight w:val="0"/>
      <w:marTop w:val="0"/>
      <w:marBottom w:val="0"/>
      <w:divBdr>
        <w:top w:val="none" w:sz="0" w:space="0" w:color="auto"/>
        <w:left w:val="none" w:sz="0" w:space="0" w:color="auto"/>
        <w:bottom w:val="none" w:sz="0" w:space="0" w:color="auto"/>
        <w:right w:val="none" w:sz="0" w:space="0" w:color="auto"/>
      </w:divBdr>
    </w:div>
    <w:div w:id="1864975378">
      <w:bodyDiv w:val="1"/>
      <w:marLeft w:val="0"/>
      <w:marRight w:val="0"/>
      <w:marTop w:val="0"/>
      <w:marBottom w:val="0"/>
      <w:divBdr>
        <w:top w:val="none" w:sz="0" w:space="0" w:color="auto"/>
        <w:left w:val="none" w:sz="0" w:space="0" w:color="auto"/>
        <w:bottom w:val="none" w:sz="0" w:space="0" w:color="auto"/>
        <w:right w:val="none" w:sz="0" w:space="0" w:color="auto"/>
      </w:divBdr>
    </w:div>
    <w:div w:id="1881548515">
      <w:bodyDiv w:val="1"/>
      <w:marLeft w:val="0"/>
      <w:marRight w:val="0"/>
      <w:marTop w:val="0"/>
      <w:marBottom w:val="0"/>
      <w:divBdr>
        <w:top w:val="none" w:sz="0" w:space="0" w:color="auto"/>
        <w:left w:val="none" w:sz="0" w:space="0" w:color="auto"/>
        <w:bottom w:val="none" w:sz="0" w:space="0" w:color="auto"/>
        <w:right w:val="none" w:sz="0" w:space="0" w:color="auto"/>
      </w:divBdr>
    </w:div>
    <w:div w:id="2050640045">
      <w:bodyDiv w:val="1"/>
      <w:marLeft w:val="0"/>
      <w:marRight w:val="0"/>
      <w:marTop w:val="0"/>
      <w:marBottom w:val="0"/>
      <w:divBdr>
        <w:top w:val="none" w:sz="0" w:space="0" w:color="auto"/>
        <w:left w:val="none" w:sz="0" w:space="0" w:color="auto"/>
        <w:bottom w:val="none" w:sz="0" w:space="0" w:color="auto"/>
        <w:right w:val="none" w:sz="0" w:space="0" w:color="auto"/>
      </w:divBdr>
    </w:div>
    <w:div w:id="2112429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176FD-E35E-4B2F-8FBC-042114E77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3884</Words>
  <Characters>22140</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Information Collection Supporting Statement</vt:lpstr>
    </vt:vector>
  </TitlesOfParts>
  <Manager>Loretta Bitner</Manager>
  <Company>FMCSA</Company>
  <LinksUpToDate>false</LinksUpToDate>
  <CharactersWithSpaces>25973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Supporting Statement</dc:title>
  <dc:subject>Practices of Household Goods Brokers, 2126-NEW</dc:subject>
  <dc:creator>FMCSA Commercial Enforcement Division (MC-ECC), Washington D.C.</dc:creator>
  <cp:lastModifiedBy>Roxane Oliver</cp:lastModifiedBy>
  <cp:revision>2</cp:revision>
  <cp:lastPrinted>2016-05-16T12:39:00Z</cp:lastPrinted>
  <dcterms:created xsi:type="dcterms:W3CDTF">2016-12-21T19:57:00Z</dcterms:created>
  <dcterms:modified xsi:type="dcterms:W3CDTF">2016-12-21T19:57:00Z</dcterms:modified>
</cp:coreProperties>
</file>