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303AC15" w14:textId="77777777" w:rsidR="0002474B" w:rsidRPr="00884530" w:rsidRDefault="0002474B" w:rsidP="0002474B">
      <w:pPr>
        <w:jc w:val="center"/>
        <w:rPr>
          <w:b/>
          <w:sz w:val="24"/>
          <w:szCs w:val="24"/>
        </w:rPr>
      </w:pPr>
      <w:r w:rsidRPr="00884530">
        <w:rPr>
          <w:b/>
          <w:sz w:val="24"/>
          <w:szCs w:val="24"/>
        </w:rPr>
        <w:t>SUPPORTING STATEMENT</w:t>
      </w:r>
    </w:p>
    <w:p w14:paraId="0EED582E" w14:textId="77777777" w:rsidR="00D42FF3" w:rsidRPr="00884530" w:rsidRDefault="00D42FF3" w:rsidP="0083695D">
      <w:pPr>
        <w:rPr>
          <w:sz w:val="24"/>
          <w:szCs w:val="24"/>
        </w:rPr>
      </w:pPr>
    </w:p>
    <w:p w14:paraId="425C992E" w14:textId="77777777" w:rsidR="00D42FF3" w:rsidRPr="00BA3CE1" w:rsidRDefault="00D42FF3" w:rsidP="0083695D">
      <w:pPr>
        <w:rPr>
          <w:b/>
          <w:sz w:val="24"/>
          <w:szCs w:val="24"/>
        </w:rPr>
      </w:pPr>
      <w:r w:rsidRPr="00BA3CE1">
        <w:rPr>
          <w:b/>
          <w:sz w:val="24"/>
          <w:szCs w:val="24"/>
        </w:rPr>
        <w:t>A.</w:t>
      </w:r>
      <w:r w:rsidRPr="00BA3CE1">
        <w:rPr>
          <w:b/>
          <w:sz w:val="24"/>
          <w:szCs w:val="24"/>
        </w:rPr>
        <w:tab/>
        <w:t>Justification:</w:t>
      </w:r>
    </w:p>
    <w:p w14:paraId="756D4396" w14:textId="77777777" w:rsidR="00D42FF3" w:rsidRPr="00884530" w:rsidRDefault="00D42FF3" w:rsidP="0083695D">
      <w:pPr>
        <w:rPr>
          <w:sz w:val="24"/>
          <w:szCs w:val="24"/>
        </w:rPr>
      </w:pPr>
    </w:p>
    <w:p w14:paraId="7BC6D570" w14:textId="77777777" w:rsidR="00016677" w:rsidRPr="00884530" w:rsidRDefault="00D42FF3" w:rsidP="0083695D">
      <w:pPr>
        <w:rPr>
          <w:b/>
          <w:sz w:val="24"/>
          <w:szCs w:val="24"/>
        </w:rPr>
      </w:pPr>
      <w:r w:rsidRPr="00884530">
        <w:rPr>
          <w:b/>
          <w:sz w:val="24"/>
          <w:szCs w:val="24"/>
        </w:rPr>
        <w:t>1.  Explain the circumstances that make the collection of information necessary.  Identify any legal or administrative requirements that necessitate the collection.</w:t>
      </w:r>
    </w:p>
    <w:p w14:paraId="15F724F3" w14:textId="77777777" w:rsidR="00496644" w:rsidRPr="00884530" w:rsidRDefault="00496644" w:rsidP="004966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60"/>
        <w:rPr>
          <w:sz w:val="24"/>
          <w:szCs w:val="24"/>
          <w:shd w:val="clear" w:color="auto" w:fill="FFFFFF"/>
        </w:rPr>
      </w:pPr>
    </w:p>
    <w:p w14:paraId="45512A1C" w14:textId="5F4DA232" w:rsidR="00304A36" w:rsidRDefault="00304759" w:rsidP="00304A36">
      <w:pPr>
        <w:ind w:firstLine="720"/>
        <w:rPr>
          <w:sz w:val="24"/>
          <w:szCs w:val="24"/>
          <w:shd w:val="clear" w:color="auto" w:fill="FFFFFF"/>
        </w:rPr>
      </w:pPr>
      <w:r>
        <w:rPr>
          <w:b/>
          <w:spacing w:val="-3"/>
          <w:sz w:val="24"/>
          <w:szCs w:val="22"/>
        </w:rPr>
        <w:t>Circumstances Necessitating Change to Information Collection</w:t>
      </w:r>
      <w:r>
        <w:rPr>
          <w:spacing w:val="-3"/>
          <w:sz w:val="24"/>
          <w:szCs w:val="22"/>
        </w:rPr>
        <w:t xml:space="preserve">:  </w:t>
      </w:r>
      <w:r w:rsidR="00304A36" w:rsidRPr="00884530">
        <w:rPr>
          <w:sz w:val="24"/>
          <w:szCs w:val="24"/>
          <w:shd w:val="clear" w:color="auto" w:fill="FFFFFF"/>
        </w:rPr>
        <w:t xml:space="preserve">The Federal Communications Commission (FCC or Commission) is requesting Office of Management and Budget (OMB) approval </w:t>
      </w:r>
      <w:r w:rsidR="00DD7442">
        <w:rPr>
          <w:sz w:val="24"/>
          <w:szCs w:val="24"/>
          <w:shd w:val="clear" w:color="auto" w:fill="FFFFFF"/>
        </w:rPr>
        <w:t>of</w:t>
      </w:r>
      <w:r w:rsidR="00DD7442" w:rsidRPr="00884530">
        <w:rPr>
          <w:sz w:val="24"/>
          <w:szCs w:val="24"/>
          <w:shd w:val="clear" w:color="auto" w:fill="FFFFFF"/>
        </w:rPr>
        <w:t xml:space="preserve"> </w:t>
      </w:r>
      <w:r w:rsidR="00304A36" w:rsidRPr="00884530">
        <w:rPr>
          <w:sz w:val="24"/>
          <w:szCs w:val="24"/>
          <w:shd w:val="clear" w:color="auto" w:fill="FFFFFF"/>
        </w:rPr>
        <w:t xml:space="preserve">a revision of this information collection. The </w:t>
      </w:r>
      <w:r w:rsidR="00DD7442">
        <w:rPr>
          <w:sz w:val="24"/>
          <w:szCs w:val="24"/>
          <w:shd w:val="clear" w:color="auto" w:fill="FFFFFF"/>
        </w:rPr>
        <w:t xml:space="preserve">revision pertains to a </w:t>
      </w:r>
      <w:r w:rsidR="009920C5" w:rsidRPr="00AE4A46">
        <w:rPr>
          <w:i/>
          <w:sz w:val="24"/>
          <w:szCs w:val="24"/>
          <w:shd w:val="clear" w:color="auto" w:fill="FFFFFF"/>
        </w:rPr>
        <w:t>Report and Order</w:t>
      </w:r>
      <w:r w:rsidR="009920C5">
        <w:rPr>
          <w:sz w:val="24"/>
          <w:szCs w:val="24"/>
          <w:shd w:val="clear" w:color="auto" w:fill="FFFFFF"/>
        </w:rPr>
        <w:t xml:space="preserve">, and </w:t>
      </w:r>
      <w:r w:rsidR="009920C5" w:rsidRPr="00AE4A46">
        <w:rPr>
          <w:i/>
          <w:sz w:val="24"/>
          <w:szCs w:val="24"/>
          <w:shd w:val="clear" w:color="auto" w:fill="FFFFFF"/>
        </w:rPr>
        <w:t>Order on Reconsideration</w:t>
      </w:r>
      <w:r w:rsidR="00DD7442" w:rsidRPr="00AE4A46">
        <w:rPr>
          <w:i/>
          <w:sz w:val="24"/>
          <w:szCs w:val="24"/>
          <w:shd w:val="clear" w:color="auto" w:fill="FFFFFF"/>
        </w:rPr>
        <w:t xml:space="preserve"> </w:t>
      </w:r>
      <w:r w:rsidR="00DD7442">
        <w:rPr>
          <w:sz w:val="24"/>
          <w:szCs w:val="24"/>
          <w:shd w:val="clear" w:color="auto" w:fill="FFFFFF"/>
        </w:rPr>
        <w:t>(</w:t>
      </w:r>
      <w:r w:rsidR="009920C5" w:rsidRPr="009920C5">
        <w:rPr>
          <w:i/>
          <w:sz w:val="24"/>
          <w:szCs w:val="24"/>
          <w:shd w:val="clear" w:color="auto" w:fill="FFFFFF"/>
        </w:rPr>
        <w:t>Report and Order</w:t>
      </w:r>
      <w:r w:rsidR="008C31D3">
        <w:rPr>
          <w:i/>
          <w:sz w:val="24"/>
          <w:szCs w:val="24"/>
          <w:shd w:val="clear" w:color="auto" w:fill="FFFFFF"/>
        </w:rPr>
        <w:t xml:space="preserve"> and Order on Reconsideration</w:t>
      </w:r>
      <w:r w:rsidR="00DD7442">
        <w:rPr>
          <w:sz w:val="24"/>
          <w:szCs w:val="24"/>
          <w:shd w:val="clear" w:color="auto" w:fill="FFFFFF"/>
        </w:rPr>
        <w:t>)</w:t>
      </w:r>
      <w:r w:rsidR="00F16DC7">
        <w:rPr>
          <w:sz w:val="24"/>
          <w:szCs w:val="24"/>
          <w:shd w:val="clear" w:color="auto" w:fill="FFFFFF"/>
        </w:rPr>
        <w:t xml:space="preserve"> </w:t>
      </w:r>
      <w:r w:rsidR="00DD7442">
        <w:rPr>
          <w:sz w:val="24"/>
          <w:szCs w:val="24"/>
          <w:shd w:val="clear" w:color="auto" w:fill="FFFFFF"/>
        </w:rPr>
        <w:t>adopt</w:t>
      </w:r>
      <w:r w:rsidR="009920C5">
        <w:rPr>
          <w:sz w:val="24"/>
          <w:szCs w:val="24"/>
          <w:shd w:val="clear" w:color="auto" w:fill="FFFFFF"/>
        </w:rPr>
        <w:t>ed by the Commission on May, 25, 2016</w:t>
      </w:r>
      <w:r w:rsidR="00F16DC7">
        <w:rPr>
          <w:sz w:val="24"/>
          <w:szCs w:val="24"/>
          <w:shd w:val="clear" w:color="auto" w:fill="FFFFFF"/>
        </w:rPr>
        <w:t>, as</w:t>
      </w:r>
      <w:r w:rsidR="00DD7442">
        <w:rPr>
          <w:sz w:val="24"/>
          <w:szCs w:val="24"/>
          <w:shd w:val="clear" w:color="auto" w:fill="FFFFFF"/>
        </w:rPr>
        <w:t xml:space="preserve"> FCC 1</w:t>
      </w:r>
      <w:r w:rsidR="009920C5">
        <w:rPr>
          <w:sz w:val="24"/>
          <w:szCs w:val="24"/>
          <w:shd w:val="clear" w:color="auto" w:fill="FFFFFF"/>
        </w:rPr>
        <w:t>6-63</w:t>
      </w:r>
      <w:r w:rsidR="00F16DC7">
        <w:rPr>
          <w:sz w:val="24"/>
          <w:szCs w:val="24"/>
          <w:shd w:val="clear" w:color="auto" w:fill="FFFFFF"/>
        </w:rPr>
        <w:t>.</w:t>
      </w:r>
      <w:r w:rsidR="008C2545">
        <w:rPr>
          <w:rStyle w:val="FootnoteReference"/>
          <w:sz w:val="24"/>
          <w:szCs w:val="24"/>
          <w:shd w:val="clear" w:color="auto" w:fill="FFFFFF"/>
        </w:rPr>
        <w:footnoteReference w:id="1"/>
      </w:r>
      <w:r w:rsidR="00DD7442">
        <w:rPr>
          <w:sz w:val="24"/>
          <w:szCs w:val="24"/>
          <w:shd w:val="clear" w:color="auto" w:fill="FFFFFF"/>
        </w:rPr>
        <w:t xml:space="preserve"> </w:t>
      </w:r>
      <w:r w:rsidR="00304A36" w:rsidRPr="00884530">
        <w:rPr>
          <w:sz w:val="24"/>
          <w:szCs w:val="24"/>
          <w:shd w:val="clear" w:color="auto" w:fill="FFFFFF"/>
        </w:rPr>
        <w:t xml:space="preserve"> </w:t>
      </w:r>
      <w:r w:rsidR="00DD7442">
        <w:rPr>
          <w:sz w:val="24"/>
          <w:szCs w:val="24"/>
          <w:shd w:val="clear" w:color="auto" w:fill="FFFFFF"/>
        </w:rPr>
        <w:t xml:space="preserve">The </w:t>
      </w:r>
      <w:r w:rsidR="009920C5">
        <w:rPr>
          <w:i/>
          <w:sz w:val="24"/>
          <w:szCs w:val="24"/>
          <w:shd w:val="clear" w:color="auto" w:fill="FFFFFF"/>
        </w:rPr>
        <w:t>Report and Order</w:t>
      </w:r>
      <w:r w:rsidR="008C31D3">
        <w:rPr>
          <w:i/>
          <w:sz w:val="24"/>
          <w:szCs w:val="24"/>
          <w:shd w:val="clear" w:color="auto" w:fill="FFFFFF"/>
        </w:rPr>
        <w:t xml:space="preserve"> </w:t>
      </w:r>
      <w:r w:rsidR="008C31D3" w:rsidRPr="009979BD">
        <w:rPr>
          <w:sz w:val="24"/>
          <w:szCs w:val="24"/>
          <w:shd w:val="clear" w:color="auto" w:fill="FFFFFF"/>
        </w:rPr>
        <w:t>and</w:t>
      </w:r>
      <w:r w:rsidR="008C31D3">
        <w:rPr>
          <w:i/>
          <w:sz w:val="24"/>
          <w:szCs w:val="24"/>
          <w:shd w:val="clear" w:color="auto" w:fill="FFFFFF"/>
        </w:rPr>
        <w:t xml:space="preserve"> Order on Reconsideration</w:t>
      </w:r>
      <w:r w:rsidR="00DD7442">
        <w:rPr>
          <w:sz w:val="24"/>
          <w:szCs w:val="24"/>
          <w:shd w:val="clear" w:color="auto" w:fill="FFFFFF"/>
        </w:rPr>
        <w:t xml:space="preserve"> </w:t>
      </w:r>
      <w:r w:rsidR="009920C5">
        <w:rPr>
          <w:sz w:val="24"/>
          <w:szCs w:val="24"/>
          <w:shd w:val="clear" w:color="auto" w:fill="FFFFFF"/>
        </w:rPr>
        <w:t>adopt</w:t>
      </w:r>
      <w:r w:rsidR="00DD7442">
        <w:rPr>
          <w:sz w:val="24"/>
          <w:szCs w:val="24"/>
          <w:shd w:val="clear" w:color="auto" w:fill="FFFFFF"/>
        </w:rPr>
        <w:t xml:space="preserve"> improvements to the Commission’s Part 4 rules governing disruptions to communications</w:t>
      </w:r>
      <w:r w:rsidR="00304A36" w:rsidRPr="00884530">
        <w:rPr>
          <w:sz w:val="24"/>
          <w:szCs w:val="24"/>
          <w:shd w:val="clear" w:color="auto" w:fill="FFFFFF"/>
        </w:rPr>
        <w:t>.</w:t>
      </w:r>
      <w:r w:rsidR="00DD7442">
        <w:rPr>
          <w:sz w:val="24"/>
          <w:szCs w:val="24"/>
          <w:shd w:val="clear" w:color="auto" w:fill="FFFFFF"/>
        </w:rPr>
        <w:t xml:space="preserve"> </w:t>
      </w:r>
      <w:r w:rsidR="009920C5">
        <w:rPr>
          <w:sz w:val="24"/>
          <w:szCs w:val="24"/>
          <w:shd w:val="clear" w:color="auto" w:fill="FFFFFF"/>
        </w:rPr>
        <w:t xml:space="preserve"> </w:t>
      </w:r>
      <w:r w:rsidR="00DD7442">
        <w:rPr>
          <w:sz w:val="24"/>
          <w:szCs w:val="24"/>
          <w:shd w:val="clear" w:color="auto" w:fill="FFFFFF"/>
        </w:rPr>
        <w:t xml:space="preserve">We estimate that </w:t>
      </w:r>
      <w:r w:rsidR="009979BD">
        <w:rPr>
          <w:sz w:val="24"/>
          <w:szCs w:val="24"/>
          <w:shd w:val="clear" w:color="auto" w:fill="FFFFFF"/>
        </w:rPr>
        <w:t xml:space="preserve">the </w:t>
      </w:r>
      <w:r w:rsidR="00DD7442">
        <w:rPr>
          <w:sz w:val="24"/>
          <w:szCs w:val="24"/>
          <w:shd w:val="clear" w:color="auto" w:fill="FFFFFF"/>
        </w:rPr>
        <w:t xml:space="preserve">adoption of these </w:t>
      </w:r>
      <w:r w:rsidR="009920C5">
        <w:rPr>
          <w:sz w:val="24"/>
          <w:szCs w:val="24"/>
          <w:shd w:val="clear" w:color="auto" w:fill="FFFFFF"/>
        </w:rPr>
        <w:t>final</w:t>
      </w:r>
      <w:r w:rsidR="00FB05F7">
        <w:rPr>
          <w:sz w:val="24"/>
          <w:szCs w:val="24"/>
          <w:shd w:val="clear" w:color="auto" w:fill="FFFFFF"/>
        </w:rPr>
        <w:t xml:space="preserve"> rules</w:t>
      </w:r>
      <w:r w:rsidR="00DD7442">
        <w:rPr>
          <w:sz w:val="24"/>
          <w:szCs w:val="24"/>
          <w:shd w:val="clear" w:color="auto" w:fill="FFFFFF"/>
        </w:rPr>
        <w:t xml:space="preserve"> would lead to a net </w:t>
      </w:r>
      <w:r w:rsidR="009979BD">
        <w:rPr>
          <w:sz w:val="24"/>
          <w:szCs w:val="24"/>
          <w:shd w:val="clear" w:color="auto" w:fill="FFFFFF"/>
        </w:rPr>
        <w:t>de</w:t>
      </w:r>
      <w:r w:rsidR="00DD7442">
        <w:rPr>
          <w:sz w:val="24"/>
          <w:szCs w:val="24"/>
          <w:shd w:val="clear" w:color="auto" w:fill="FFFFFF"/>
        </w:rPr>
        <w:t>crease in the reporting burdens associated with this information collection.</w:t>
      </w:r>
    </w:p>
    <w:p w14:paraId="55C957FA" w14:textId="77777777" w:rsidR="00304A36" w:rsidRDefault="00304A36" w:rsidP="00304A36">
      <w:pPr>
        <w:ind w:firstLine="720"/>
        <w:rPr>
          <w:sz w:val="24"/>
          <w:szCs w:val="24"/>
          <w:shd w:val="clear" w:color="auto" w:fill="FFFFFF"/>
        </w:rPr>
      </w:pPr>
    </w:p>
    <w:p w14:paraId="2840E990" w14:textId="41C7659D" w:rsidR="00304A36" w:rsidRDefault="00496644" w:rsidP="00467E70">
      <w:pPr>
        <w:ind w:firstLine="720"/>
        <w:rPr>
          <w:sz w:val="24"/>
          <w:szCs w:val="24"/>
          <w:shd w:val="clear" w:color="auto" w:fill="FFFFFF"/>
        </w:rPr>
      </w:pPr>
      <w:r w:rsidRPr="00884530">
        <w:rPr>
          <w:sz w:val="24"/>
          <w:szCs w:val="24"/>
          <w:shd w:val="clear" w:color="auto" w:fill="FFFFFF"/>
        </w:rPr>
        <w:lastRenderedPageBreak/>
        <w:t>In 2004, the Commission superseded the original reporting requirements,</w:t>
      </w:r>
      <w:r w:rsidR="008C31D3" w:rsidRPr="00884530">
        <w:rPr>
          <w:rStyle w:val="FootnoteReference"/>
          <w:sz w:val="24"/>
          <w:szCs w:val="24"/>
          <w:shd w:val="clear" w:color="auto" w:fill="FFFFFF"/>
        </w:rPr>
        <w:footnoteReference w:id="2"/>
      </w:r>
      <w:r w:rsidRPr="00884530">
        <w:rPr>
          <w:sz w:val="24"/>
          <w:szCs w:val="24"/>
          <w:shd w:val="clear" w:color="auto" w:fill="FFFFFF"/>
        </w:rPr>
        <w:t xml:space="preserve"> and created a new Part 4 of Title 47 of the Code of Federal Regulations (C.F.R.) </w:t>
      </w:r>
      <w:r w:rsidR="008C31D3">
        <w:rPr>
          <w:sz w:val="24"/>
          <w:szCs w:val="24"/>
          <w:shd w:val="clear" w:color="auto" w:fill="FFFFFF"/>
        </w:rPr>
        <w:t>for</w:t>
      </w:r>
      <w:r w:rsidRPr="00884530">
        <w:rPr>
          <w:sz w:val="24"/>
          <w:szCs w:val="24"/>
          <w:shd w:val="clear" w:color="auto" w:fill="FFFFFF"/>
        </w:rPr>
        <w:t xml:space="preserve"> modified and expanded outage reporting requirements embodied in the existing service disruption rules.</w:t>
      </w:r>
      <w:r w:rsidRPr="00884530">
        <w:rPr>
          <w:rStyle w:val="FootnoteReference"/>
          <w:sz w:val="24"/>
          <w:szCs w:val="24"/>
          <w:shd w:val="clear" w:color="auto" w:fill="FFFFFF"/>
        </w:rPr>
        <w:footnoteReference w:id="3"/>
      </w:r>
      <w:r w:rsidR="0002392D">
        <w:rPr>
          <w:sz w:val="24"/>
          <w:szCs w:val="24"/>
          <w:shd w:val="clear" w:color="auto" w:fill="FFFFFF"/>
        </w:rPr>
        <w:t xml:space="preserve">  </w:t>
      </w:r>
      <w:r w:rsidR="00E3357C" w:rsidRPr="00884530">
        <w:rPr>
          <w:sz w:val="24"/>
          <w:szCs w:val="24"/>
        </w:rPr>
        <w:t>I</w:t>
      </w:r>
      <w:r w:rsidR="00E024CE" w:rsidRPr="00884530">
        <w:rPr>
          <w:sz w:val="24"/>
          <w:szCs w:val="24"/>
        </w:rPr>
        <w:t>n</w:t>
      </w:r>
      <w:r w:rsidR="00096CFD" w:rsidRPr="00884530">
        <w:rPr>
          <w:sz w:val="24"/>
          <w:szCs w:val="24"/>
        </w:rPr>
        <w:t xml:space="preserve"> 2012</w:t>
      </w:r>
      <w:r w:rsidR="00130125" w:rsidRPr="00884530">
        <w:rPr>
          <w:sz w:val="24"/>
          <w:szCs w:val="24"/>
        </w:rPr>
        <w:t>, the Commission</w:t>
      </w:r>
      <w:r w:rsidR="0026661E" w:rsidRPr="00884530">
        <w:rPr>
          <w:sz w:val="24"/>
          <w:szCs w:val="24"/>
        </w:rPr>
        <w:t xml:space="preserve"> </w:t>
      </w:r>
      <w:r w:rsidR="005A0F9A" w:rsidRPr="00884530">
        <w:rPr>
          <w:sz w:val="24"/>
          <w:szCs w:val="24"/>
        </w:rPr>
        <w:t>further expanded</w:t>
      </w:r>
      <w:r w:rsidR="00216BCF" w:rsidRPr="00884530">
        <w:rPr>
          <w:sz w:val="24"/>
          <w:szCs w:val="24"/>
        </w:rPr>
        <w:t xml:space="preserve"> </w:t>
      </w:r>
      <w:r w:rsidR="00C27196" w:rsidRPr="00884530">
        <w:rPr>
          <w:sz w:val="24"/>
          <w:szCs w:val="24"/>
        </w:rPr>
        <w:t>its</w:t>
      </w:r>
      <w:r w:rsidR="00216BCF" w:rsidRPr="00884530">
        <w:rPr>
          <w:sz w:val="24"/>
          <w:szCs w:val="24"/>
        </w:rPr>
        <w:t xml:space="preserve"> Part 4 outage reporting requirements</w:t>
      </w:r>
      <w:r w:rsidR="00216BCF" w:rsidRPr="00884530">
        <w:rPr>
          <w:rStyle w:val="FootnoteReference"/>
          <w:sz w:val="24"/>
          <w:szCs w:val="24"/>
        </w:rPr>
        <w:footnoteReference w:id="4"/>
      </w:r>
      <w:r w:rsidR="00216BCF" w:rsidRPr="00884530">
        <w:rPr>
          <w:sz w:val="24"/>
          <w:szCs w:val="24"/>
        </w:rPr>
        <w:t xml:space="preserve"> to </w:t>
      </w:r>
      <w:r w:rsidR="00E90754">
        <w:rPr>
          <w:sz w:val="24"/>
          <w:szCs w:val="24"/>
        </w:rPr>
        <w:t xml:space="preserve">include </w:t>
      </w:r>
      <w:r w:rsidR="00216BCF" w:rsidRPr="00884530">
        <w:rPr>
          <w:sz w:val="24"/>
          <w:szCs w:val="24"/>
        </w:rPr>
        <w:t xml:space="preserve">interconnected </w:t>
      </w:r>
      <w:r w:rsidR="00E024CE" w:rsidRPr="00884530">
        <w:rPr>
          <w:sz w:val="24"/>
          <w:szCs w:val="24"/>
        </w:rPr>
        <w:t>voice over Internet protocol (</w:t>
      </w:r>
      <w:r w:rsidR="000E401B" w:rsidRPr="00884530">
        <w:rPr>
          <w:sz w:val="24"/>
          <w:szCs w:val="24"/>
        </w:rPr>
        <w:t>V</w:t>
      </w:r>
      <w:r w:rsidR="00216BCF" w:rsidRPr="00884530">
        <w:rPr>
          <w:sz w:val="24"/>
          <w:szCs w:val="24"/>
        </w:rPr>
        <w:t>oIP</w:t>
      </w:r>
      <w:r w:rsidR="00E024CE" w:rsidRPr="00884530">
        <w:rPr>
          <w:sz w:val="24"/>
          <w:szCs w:val="24"/>
        </w:rPr>
        <w:t>) providers</w:t>
      </w:r>
      <w:r w:rsidR="00216BCF" w:rsidRPr="00884530">
        <w:rPr>
          <w:sz w:val="24"/>
          <w:szCs w:val="24"/>
        </w:rPr>
        <w:t>.</w:t>
      </w:r>
      <w:r w:rsidR="00E4553C" w:rsidRPr="00884530">
        <w:rPr>
          <w:rStyle w:val="FootnoteReference"/>
          <w:sz w:val="24"/>
          <w:szCs w:val="24"/>
        </w:rPr>
        <w:footnoteReference w:id="5"/>
      </w:r>
      <w:r w:rsidR="000D0BF3" w:rsidRPr="00884530">
        <w:rPr>
          <w:sz w:val="24"/>
          <w:szCs w:val="24"/>
        </w:rPr>
        <w:t xml:space="preserve">  </w:t>
      </w:r>
    </w:p>
    <w:p w14:paraId="5D4D07B0" w14:textId="77777777" w:rsidR="00304A36" w:rsidRPr="00A317D9" w:rsidRDefault="00304A36" w:rsidP="00304A36">
      <w:pPr>
        <w:ind w:firstLine="720"/>
        <w:rPr>
          <w:szCs w:val="22"/>
          <w:shd w:val="clear" w:color="auto" w:fill="FFFFFF"/>
        </w:rPr>
      </w:pPr>
    </w:p>
    <w:p w14:paraId="6F2CC4A0" w14:textId="0D29FAC8" w:rsidR="000E401B" w:rsidRDefault="00DD7442" w:rsidP="00304759">
      <w:pPr>
        <w:ind w:firstLine="720"/>
        <w:rPr>
          <w:sz w:val="24"/>
          <w:szCs w:val="24"/>
        </w:rPr>
      </w:pPr>
      <w:r w:rsidRPr="00467E70">
        <w:rPr>
          <w:b/>
          <w:spacing w:val="-3"/>
          <w:sz w:val="24"/>
          <w:szCs w:val="24"/>
        </w:rPr>
        <w:t xml:space="preserve">Proposed Revisions to Information Collection Requirements: </w:t>
      </w:r>
      <w:r w:rsidRPr="00467E70">
        <w:rPr>
          <w:spacing w:val="-3"/>
          <w:sz w:val="24"/>
          <w:szCs w:val="24"/>
        </w:rPr>
        <w:t xml:space="preserve">The </w:t>
      </w:r>
      <w:r w:rsidR="009920C5">
        <w:rPr>
          <w:i/>
          <w:spacing w:val="-3"/>
          <w:sz w:val="24"/>
          <w:szCs w:val="24"/>
        </w:rPr>
        <w:t>Report and Orde</w:t>
      </w:r>
      <w:r w:rsidR="00C3077D">
        <w:rPr>
          <w:i/>
          <w:spacing w:val="-3"/>
          <w:sz w:val="24"/>
          <w:szCs w:val="24"/>
        </w:rPr>
        <w:t xml:space="preserve">r </w:t>
      </w:r>
      <w:r w:rsidR="00C3077D">
        <w:rPr>
          <w:spacing w:val="-3"/>
          <w:sz w:val="24"/>
          <w:szCs w:val="24"/>
        </w:rPr>
        <w:t xml:space="preserve">and </w:t>
      </w:r>
      <w:r w:rsidR="00C3077D" w:rsidRPr="00C3077D">
        <w:rPr>
          <w:i/>
          <w:spacing w:val="-3"/>
          <w:sz w:val="24"/>
          <w:szCs w:val="24"/>
        </w:rPr>
        <w:t>Order on Reconsideration</w:t>
      </w:r>
      <w:r w:rsidR="00C3077D">
        <w:rPr>
          <w:spacing w:val="-3"/>
          <w:sz w:val="24"/>
          <w:szCs w:val="24"/>
        </w:rPr>
        <w:t xml:space="preserve"> </w:t>
      </w:r>
      <w:r w:rsidR="009979BD">
        <w:rPr>
          <w:spacing w:val="-3"/>
          <w:sz w:val="24"/>
          <w:szCs w:val="24"/>
        </w:rPr>
        <w:t>adopt</w:t>
      </w:r>
      <w:r w:rsidRPr="00467E70">
        <w:rPr>
          <w:spacing w:val="-3"/>
          <w:sz w:val="24"/>
          <w:szCs w:val="24"/>
        </w:rPr>
        <w:t xml:space="preserve"> modif</w:t>
      </w:r>
      <w:r w:rsidR="00AB5499">
        <w:rPr>
          <w:spacing w:val="-3"/>
          <w:sz w:val="24"/>
          <w:szCs w:val="24"/>
        </w:rPr>
        <w:t>ications to</w:t>
      </w:r>
      <w:r w:rsidRPr="00467E70">
        <w:rPr>
          <w:spacing w:val="-3"/>
          <w:sz w:val="24"/>
          <w:szCs w:val="24"/>
        </w:rPr>
        <w:t xml:space="preserve"> the </w:t>
      </w:r>
      <w:r w:rsidRPr="00467E70">
        <w:rPr>
          <w:spacing w:val="-3"/>
          <w:sz w:val="24"/>
          <w:szCs w:val="24"/>
        </w:rPr>
        <w:lastRenderedPageBreak/>
        <w:t xml:space="preserve">Part 4 outage reporting rules. </w:t>
      </w:r>
      <w:r w:rsidR="000C6F66">
        <w:rPr>
          <w:spacing w:val="-3"/>
          <w:sz w:val="24"/>
          <w:szCs w:val="24"/>
        </w:rPr>
        <w:t xml:space="preserve"> </w:t>
      </w:r>
      <w:r w:rsidRPr="00467E70">
        <w:rPr>
          <w:spacing w:val="-3"/>
          <w:sz w:val="24"/>
          <w:szCs w:val="24"/>
        </w:rPr>
        <w:t xml:space="preserve">In issuing these </w:t>
      </w:r>
      <w:r w:rsidR="009979BD">
        <w:rPr>
          <w:spacing w:val="-3"/>
          <w:sz w:val="24"/>
          <w:szCs w:val="24"/>
        </w:rPr>
        <w:t>modifications</w:t>
      </w:r>
      <w:r w:rsidRPr="00467E70">
        <w:rPr>
          <w:spacing w:val="-3"/>
          <w:sz w:val="24"/>
          <w:szCs w:val="24"/>
        </w:rPr>
        <w:t xml:space="preserve">, the </w:t>
      </w:r>
      <w:r w:rsidR="009920C5">
        <w:rPr>
          <w:i/>
          <w:spacing w:val="-3"/>
          <w:sz w:val="24"/>
          <w:szCs w:val="24"/>
        </w:rPr>
        <w:t>Report and Order</w:t>
      </w:r>
      <w:r w:rsidRPr="00467E70">
        <w:rPr>
          <w:spacing w:val="-3"/>
          <w:sz w:val="24"/>
          <w:szCs w:val="24"/>
        </w:rPr>
        <w:t xml:space="preserve"> </w:t>
      </w:r>
      <w:r w:rsidR="00C3077D">
        <w:rPr>
          <w:spacing w:val="-3"/>
          <w:sz w:val="24"/>
          <w:szCs w:val="24"/>
        </w:rPr>
        <w:t xml:space="preserve">and </w:t>
      </w:r>
      <w:r w:rsidR="00C3077D" w:rsidRPr="00C3077D">
        <w:rPr>
          <w:i/>
          <w:spacing w:val="-3"/>
          <w:sz w:val="24"/>
          <w:szCs w:val="24"/>
        </w:rPr>
        <w:t>Order on Reconsideration</w:t>
      </w:r>
      <w:r w:rsidR="00C3077D">
        <w:rPr>
          <w:spacing w:val="-3"/>
          <w:sz w:val="24"/>
          <w:szCs w:val="24"/>
        </w:rPr>
        <w:t xml:space="preserve"> </w:t>
      </w:r>
      <w:r w:rsidRPr="00467E70">
        <w:rPr>
          <w:spacing w:val="-3"/>
          <w:sz w:val="24"/>
          <w:szCs w:val="24"/>
        </w:rPr>
        <w:t xml:space="preserve">seek to build on the Commission’s decade of experience administering the Part 4 outage reporting rules and the associated Network Outage Reporting System (NORS). </w:t>
      </w:r>
      <w:r w:rsidR="00F559CF">
        <w:rPr>
          <w:spacing w:val="-3"/>
          <w:sz w:val="24"/>
          <w:szCs w:val="24"/>
        </w:rPr>
        <w:t xml:space="preserve"> </w:t>
      </w:r>
      <w:r w:rsidR="00F559CF">
        <w:rPr>
          <w:sz w:val="24"/>
          <w:szCs w:val="24"/>
        </w:rPr>
        <w:t xml:space="preserve">In particular, the </w:t>
      </w:r>
      <w:r w:rsidR="009920C5">
        <w:rPr>
          <w:i/>
          <w:sz w:val="24"/>
          <w:szCs w:val="24"/>
        </w:rPr>
        <w:t>Report and Order</w:t>
      </w:r>
      <w:r w:rsidR="00F559CF">
        <w:rPr>
          <w:sz w:val="24"/>
          <w:szCs w:val="24"/>
        </w:rPr>
        <w:t xml:space="preserve"> </w:t>
      </w:r>
      <w:r w:rsidR="00C3077D">
        <w:rPr>
          <w:spacing w:val="-3"/>
          <w:sz w:val="24"/>
          <w:szCs w:val="24"/>
        </w:rPr>
        <w:t xml:space="preserve">and </w:t>
      </w:r>
      <w:r w:rsidR="00C3077D" w:rsidRPr="00C3077D">
        <w:rPr>
          <w:i/>
          <w:spacing w:val="-3"/>
          <w:sz w:val="24"/>
          <w:szCs w:val="24"/>
        </w:rPr>
        <w:t>Order on Reconsideration</w:t>
      </w:r>
      <w:r w:rsidR="00C3077D">
        <w:rPr>
          <w:spacing w:val="-3"/>
          <w:sz w:val="24"/>
          <w:szCs w:val="24"/>
        </w:rPr>
        <w:t xml:space="preserve"> </w:t>
      </w:r>
      <w:r w:rsidR="009979BD">
        <w:rPr>
          <w:sz w:val="24"/>
          <w:szCs w:val="24"/>
        </w:rPr>
        <w:t>adopt</w:t>
      </w:r>
      <w:r w:rsidR="00F559CF">
        <w:rPr>
          <w:sz w:val="24"/>
          <w:szCs w:val="24"/>
        </w:rPr>
        <w:t xml:space="preserve"> the following changes to </w:t>
      </w:r>
      <w:r w:rsidR="00803501">
        <w:rPr>
          <w:sz w:val="24"/>
          <w:szCs w:val="24"/>
        </w:rPr>
        <w:t>the rules</w:t>
      </w:r>
      <w:r w:rsidR="00F559CF">
        <w:rPr>
          <w:sz w:val="24"/>
          <w:szCs w:val="24"/>
        </w:rPr>
        <w:t xml:space="preserve">. </w:t>
      </w:r>
    </w:p>
    <w:p w14:paraId="2380183A" w14:textId="77777777" w:rsidR="00F559CF" w:rsidRDefault="00F559CF" w:rsidP="00A317D9">
      <w:pPr>
        <w:rPr>
          <w:sz w:val="24"/>
          <w:szCs w:val="24"/>
        </w:rPr>
      </w:pPr>
    </w:p>
    <w:p w14:paraId="1464824E" w14:textId="1E8693A4" w:rsidR="000C6F66" w:rsidRPr="00672F82" w:rsidRDefault="000C6F66" w:rsidP="000C6F66">
      <w:pPr>
        <w:pStyle w:val="ListParagraph"/>
        <w:widowControl w:val="0"/>
        <w:numPr>
          <w:ilvl w:val="0"/>
          <w:numId w:val="18"/>
        </w:numPr>
        <w:suppressAutoHyphens w:val="0"/>
        <w:overflowPunct w:val="0"/>
        <w:adjustRightInd w:val="0"/>
        <w:rPr>
          <w:sz w:val="24"/>
          <w:szCs w:val="24"/>
        </w:rPr>
      </w:pPr>
      <w:r w:rsidRPr="00672F82">
        <w:rPr>
          <w:sz w:val="24"/>
          <w:szCs w:val="24"/>
        </w:rPr>
        <w:t xml:space="preserve">Replace the current metric for reporting major transport facility outages from a DS3-based standard to an OC3-based standard, with an appropriate </w:t>
      </w:r>
      <w:r w:rsidR="009979BD">
        <w:rPr>
          <w:sz w:val="24"/>
          <w:szCs w:val="24"/>
        </w:rPr>
        <w:t xml:space="preserve">threshold </w:t>
      </w:r>
      <w:r w:rsidRPr="00672F82">
        <w:rPr>
          <w:sz w:val="24"/>
          <w:szCs w:val="24"/>
        </w:rPr>
        <w:t>adjustment from 1,350 DS3 minutes for 30 minutes to 667 OC3 minutes for 30 minutes;</w:t>
      </w:r>
    </w:p>
    <w:p w14:paraId="1F5A3A82" w14:textId="70E33F6A" w:rsidR="000C6F66" w:rsidRPr="00672F82" w:rsidRDefault="000C6F66" w:rsidP="000C6F66">
      <w:pPr>
        <w:pStyle w:val="ListParagraph"/>
        <w:widowControl w:val="0"/>
        <w:numPr>
          <w:ilvl w:val="0"/>
          <w:numId w:val="18"/>
        </w:numPr>
        <w:suppressAutoHyphens w:val="0"/>
        <w:overflowPunct w:val="0"/>
        <w:adjustRightInd w:val="0"/>
        <w:rPr>
          <w:sz w:val="24"/>
          <w:szCs w:val="24"/>
        </w:rPr>
      </w:pPr>
      <w:r w:rsidRPr="00672F82">
        <w:rPr>
          <w:sz w:val="24"/>
          <w:szCs w:val="24"/>
        </w:rPr>
        <w:t xml:space="preserve">Require reporting of simplex outages that persist for </w:t>
      </w:r>
      <w:r w:rsidR="009A4F6E">
        <w:rPr>
          <w:sz w:val="24"/>
          <w:szCs w:val="24"/>
        </w:rPr>
        <w:t>at least 96 hours</w:t>
      </w:r>
      <w:r w:rsidRPr="00672F82">
        <w:rPr>
          <w:sz w:val="24"/>
          <w:szCs w:val="24"/>
        </w:rPr>
        <w:t>;</w:t>
      </w:r>
    </w:p>
    <w:p w14:paraId="042E2458" w14:textId="77777777" w:rsidR="00F07252" w:rsidRPr="00672F82" w:rsidRDefault="00F07252" w:rsidP="00A317D9">
      <w:pPr>
        <w:pStyle w:val="ListParagraph"/>
        <w:widowControl w:val="0"/>
        <w:numPr>
          <w:ilvl w:val="0"/>
          <w:numId w:val="18"/>
        </w:numPr>
        <w:suppressAutoHyphens w:val="0"/>
        <w:overflowPunct w:val="0"/>
        <w:adjustRightInd w:val="0"/>
        <w:rPr>
          <w:sz w:val="24"/>
          <w:szCs w:val="24"/>
        </w:rPr>
      </w:pPr>
      <w:r w:rsidRPr="00672F82">
        <w:rPr>
          <w:sz w:val="24"/>
          <w:szCs w:val="24"/>
        </w:rPr>
        <w:t xml:space="preserve">Clarify the requirement to report outages that significantly degrade communications to </w:t>
      </w:r>
      <w:r w:rsidR="003F5C4B" w:rsidRPr="00672F82">
        <w:rPr>
          <w:sz w:val="24"/>
          <w:szCs w:val="24"/>
        </w:rPr>
        <w:t xml:space="preserve">a </w:t>
      </w:r>
      <w:r w:rsidRPr="00672F82">
        <w:rPr>
          <w:sz w:val="24"/>
          <w:szCs w:val="24"/>
        </w:rPr>
        <w:t>Public Safety Answering Point (PSAP);</w:t>
      </w:r>
    </w:p>
    <w:p w14:paraId="40504F51" w14:textId="77777777" w:rsidR="00F07252" w:rsidRPr="00672F82" w:rsidRDefault="00F07252" w:rsidP="00A317D9">
      <w:pPr>
        <w:pStyle w:val="ListParagraph"/>
        <w:widowControl w:val="0"/>
        <w:numPr>
          <w:ilvl w:val="0"/>
          <w:numId w:val="18"/>
        </w:numPr>
        <w:suppressAutoHyphens w:val="0"/>
        <w:overflowPunct w:val="0"/>
        <w:adjustRightInd w:val="0"/>
        <w:rPr>
          <w:sz w:val="24"/>
          <w:szCs w:val="24"/>
        </w:rPr>
      </w:pPr>
      <w:r w:rsidRPr="00672F82">
        <w:rPr>
          <w:sz w:val="24"/>
          <w:szCs w:val="24"/>
        </w:rPr>
        <w:t>Adopt a common, technologically neutral method for calculating the number of wireless users “potentially affected” by an outage;</w:t>
      </w:r>
    </w:p>
    <w:p w14:paraId="63FFAAA5" w14:textId="77777777" w:rsidR="00F07252" w:rsidRPr="00672F82" w:rsidRDefault="00F07252" w:rsidP="00A317D9">
      <w:pPr>
        <w:pStyle w:val="ListParagraph"/>
        <w:widowControl w:val="0"/>
        <w:numPr>
          <w:ilvl w:val="0"/>
          <w:numId w:val="18"/>
        </w:numPr>
        <w:suppressAutoHyphens w:val="0"/>
        <w:overflowPunct w:val="0"/>
        <w:adjustRightInd w:val="0"/>
        <w:rPr>
          <w:sz w:val="24"/>
          <w:szCs w:val="24"/>
        </w:rPr>
      </w:pPr>
      <w:r w:rsidRPr="00672F82">
        <w:rPr>
          <w:sz w:val="24"/>
          <w:szCs w:val="24"/>
        </w:rPr>
        <w:t xml:space="preserve">Clarify the reporting metric for estimating the number of “potentially affected” wireless users for outages that affect </w:t>
      </w:r>
      <w:r w:rsidR="003F5C4B" w:rsidRPr="00672F82">
        <w:rPr>
          <w:sz w:val="24"/>
          <w:szCs w:val="24"/>
        </w:rPr>
        <w:t>a PSAP</w:t>
      </w:r>
      <w:r w:rsidRPr="00672F82">
        <w:rPr>
          <w:sz w:val="24"/>
          <w:szCs w:val="24"/>
        </w:rPr>
        <w:t>;</w:t>
      </w:r>
    </w:p>
    <w:p w14:paraId="625B1680" w14:textId="1644C9B7" w:rsidR="002B78B0" w:rsidRPr="00672F82" w:rsidRDefault="002B78B0" w:rsidP="002B78B0">
      <w:pPr>
        <w:pStyle w:val="ListParagraph"/>
        <w:widowControl w:val="0"/>
        <w:numPr>
          <w:ilvl w:val="0"/>
          <w:numId w:val="18"/>
        </w:numPr>
        <w:suppressAutoHyphens w:val="0"/>
        <w:overflowPunct w:val="0"/>
        <w:adjustRightInd w:val="0"/>
        <w:rPr>
          <w:sz w:val="24"/>
          <w:szCs w:val="24"/>
          <w:shd w:val="clear" w:color="auto" w:fill="FFFFFF"/>
        </w:rPr>
      </w:pPr>
      <w:r w:rsidRPr="00672F82">
        <w:rPr>
          <w:sz w:val="24"/>
          <w:szCs w:val="24"/>
        </w:rPr>
        <w:t xml:space="preserve">Amend definition for special offices and facilities to those entities enrolled </w:t>
      </w:r>
      <w:r w:rsidR="001856ED">
        <w:rPr>
          <w:sz w:val="24"/>
          <w:szCs w:val="24"/>
        </w:rPr>
        <w:t>in the</w:t>
      </w:r>
      <w:r w:rsidRPr="00672F82">
        <w:rPr>
          <w:sz w:val="24"/>
          <w:szCs w:val="24"/>
        </w:rPr>
        <w:t xml:space="preserve"> Telecommunications Service Priority (TSP) Program </w:t>
      </w:r>
      <w:r w:rsidR="001856ED">
        <w:rPr>
          <w:sz w:val="24"/>
          <w:szCs w:val="24"/>
        </w:rPr>
        <w:t xml:space="preserve">at </w:t>
      </w:r>
      <w:r w:rsidRPr="00672F82">
        <w:rPr>
          <w:sz w:val="24"/>
          <w:szCs w:val="24"/>
        </w:rPr>
        <w:t>priority level 1 or level 2</w:t>
      </w:r>
      <w:r w:rsidR="00672F82" w:rsidRPr="00672F82">
        <w:rPr>
          <w:sz w:val="24"/>
          <w:szCs w:val="24"/>
        </w:rPr>
        <w:t>;</w:t>
      </w:r>
    </w:p>
    <w:p w14:paraId="4803D9EF" w14:textId="6C8EBA3F" w:rsidR="002B78B0" w:rsidRPr="00672F82" w:rsidRDefault="00F07252" w:rsidP="00AB6C65">
      <w:pPr>
        <w:pStyle w:val="ListParagraph"/>
        <w:widowControl w:val="0"/>
        <w:numPr>
          <w:ilvl w:val="0"/>
          <w:numId w:val="18"/>
        </w:numPr>
        <w:suppressAutoHyphens w:val="0"/>
        <w:overflowPunct w:val="0"/>
        <w:adjustRightInd w:val="0"/>
        <w:rPr>
          <w:sz w:val="24"/>
          <w:szCs w:val="24"/>
          <w:shd w:val="clear" w:color="auto" w:fill="FFFFFF"/>
        </w:rPr>
      </w:pPr>
      <w:r w:rsidRPr="00672F82">
        <w:rPr>
          <w:sz w:val="24"/>
          <w:szCs w:val="24"/>
        </w:rPr>
        <w:t xml:space="preserve">Update </w:t>
      </w:r>
      <w:r w:rsidR="002B78B0" w:rsidRPr="00672F82">
        <w:rPr>
          <w:sz w:val="24"/>
          <w:szCs w:val="24"/>
        </w:rPr>
        <w:t xml:space="preserve">outage </w:t>
      </w:r>
      <w:r w:rsidRPr="00672F82">
        <w:rPr>
          <w:sz w:val="24"/>
          <w:szCs w:val="24"/>
        </w:rPr>
        <w:t>reporting</w:t>
      </w:r>
      <w:r w:rsidR="002B78B0" w:rsidRPr="00672F82">
        <w:rPr>
          <w:sz w:val="24"/>
          <w:szCs w:val="24"/>
        </w:rPr>
        <w:t xml:space="preserve"> requirements for disruptions </w:t>
      </w:r>
      <w:r w:rsidRPr="00672F82">
        <w:rPr>
          <w:sz w:val="24"/>
          <w:szCs w:val="24"/>
        </w:rPr>
        <w:t>that affect airports</w:t>
      </w:r>
      <w:r w:rsidR="00D67679" w:rsidRPr="00672F82">
        <w:rPr>
          <w:sz w:val="24"/>
          <w:szCs w:val="24"/>
        </w:rPr>
        <w:t xml:space="preserve">, to </w:t>
      </w:r>
      <w:r w:rsidR="002B78B0" w:rsidRPr="00672F82">
        <w:rPr>
          <w:sz w:val="24"/>
          <w:szCs w:val="24"/>
        </w:rPr>
        <w:t xml:space="preserve">disruptions impacting airports listed as current primary (PR) airports in the </w:t>
      </w:r>
      <w:r w:rsidR="00D67679" w:rsidRPr="00672F82">
        <w:rPr>
          <w:sz w:val="24"/>
          <w:szCs w:val="24"/>
        </w:rPr>
        <w:t>FAA</w:t>
      </w:r>
      <w:r w:rsidR="002B78B0" w:rsidRPr="00672F82">
        <w:rPr>
          <w:sz w:val="24"/>
          <w:szCs w:val="24"/>
        </w:rPr>
        <w:t>’s National Plan of Integrated Airports Systems;</w:t>
      </w:r>
      <w:r w:rsidR="00672F82" w:rsidRPr="00672F82">
        <w:rPr>
          <w:sz w:val="24"/>
          <w:szCs w:val="24"/>
        </w:rPr>
        <w:t xml:space="preserve"> and</w:t>
      </w:r>
    </w:p>
    <w:p w14:paraId="2EFA1F74" w14:textId="594CA625" w:rsidR="00AB6C65" w:rsidRPr="00672F82" w:rsidRDefault="002B78B0" w:rsidP="00AB6C65">
      <w:pPr>
        <w:pStyle w:val="ListParagraph"/>
        <w:widowControl w:val="0"/>
        <w:numPr>
          <w:ilvl w:val="0"/>
          <w:numId w:val="18"/>
        </w:numPr>
        <w:suppressAutoHyphens w:val="0"/>
        <w:overflowPunct w:val="0"/>
        <w:adjustRightInd w:val="0"/>
        <w:rPr>
          <w:sz w:val="24"/>
          <w:szCs w:val="24"/>
          <w:shd w:val="clear" w:color="auto" w:fill="FFFFFF"/>
        </w:rPr>
      </w:pPr>
      <w:r w:rsidRPr="00672F82">
        <w:rPr>
          <w:sz w:val="24"/>
          <w:szCs w:val="24"/>
        </w:rPr>
        <w:t>L</w:t>
      </w:r>
      <w:r w:rsidR="00D67679" w:rsidRPr="00672F82">
        <w:rPr>
          <w:sz w:val="24"/>
          <w:szCs w:val="24"/>
        </w:rPr>
        <w:t xml:space="preserve">imit </w:t>
      </w:r>
      <w:r w:rsidRPr="00672F82">
        <w:rPr>
          <w:sz w:val="24"/>
          <w:szCs w:val="24"/>
        </w:rPr>
        <w:t>outage reporting requirements involving airports to defined critical communications outages that potentially affect an airport</w:t>
      </w:r>
      <w:r w:rsidR="00672F82" w:rsidRPr="00672F82">
        <w:rPr>
          <w:sz w:val="24"/>
          <w:szCs w:val="24"/>
        </w:rPr>
        <w:t>.</w:t>
      </w:r>
    </w:p>
    <w:p w14:paraId="0C914DB9" w14:textId="53DD0D7B" w:rsidR="00304759" w:rsidRPr="00467E70" w:rsidRDefault="00304759" w:rsidP="00AB6C65">
      <w:pPr>
        <w:pStyle w:val="ListParagraph"/>
        <w:widowControl w:val="0"/>
        <w:suppressAutoHyphens w:val="0"/>
        <w:overflowPunct w:val="0"/>
        <w:adjustRightInd w:val="0"/>
        <w:ind w:left="1440"/>
        <w:rPr>
          <w:sz w:val="24"/>
          <w:szCs w:val="24"/>
          <w:shd w:val="clear" w:color="auto" w:fill="FFFFFF"/>
        </w:rPr>
      </w:pPr>
    </w:p>
    <w:p w14:paraId="3D5F798A" w14:textId="77777777" w:rsidR="004B439A" w:rsidRPr="00884530" w:rsidRDefault="004B439A" w:rsidP="005244B4">
      <w:pPr>
        <w:spacing w:after="220"/>
        <w:ind w:firstLine="720"/>
        <w:rPr>
          <w:sz w:val="24"/>
          <w:szCs w:val="24"/>
        </w:rPr>
      </w:pPr>
      <w:r w:rsidRPr="00467E70">
        <w:rPr>
          <w:sz w:val="24"/>
          <w:szCs w:val="24"/>
        </w:rPr>
        <w:t xml:space="preserve">Statutory authority for this collection of information is contained in 47 U.S.C. sections </w:t>
      </w:r>
      <w:r w:rsidR="005244B4" w:rsidRPr="00467E70">
        <w:rPr>
          <w:sz w:val="24"/>
          <w:szCs w:val="24"/>
        </w:rPr>
        <w:t>151, 154(i)-(j) &amp; (o), 201(b), 214(d), 218, 251(e)(3), 301, 303(b), 303(g), 303(r), 307, 309(a), 316, 332, 403, 615a-1, and 615c</w:t>
      </w:r>
      <w:r w:rsidRPr="00884530">
        <w:rPr>
          <w:sz w:val="24"/>
          <w:szCs w:val="24"/>
        </w:rPr>
        <w:t>.</w:t>
      </w:r>
    </w:p>
    <w:p w14:paraId="12C679FA" w14:textId="77777777" w:rsidR="004B439A" w:rsidRPr="00884530" w:rsidRDefault="003F1CCA" w:rsidP="001C56F5">
      <w:pPr>
        <w:spacing w:after="220"/>
        <w:ind w:firstLine="720"/>
        <w:rPr>
          <w:sz w:val="24"/>
          <w:szCs w:val="24"/>
          <w:shd w:val="clear" w:color="auto" w:fill="FFFFFF"/>
        </w:rPr>
      </w:pPr>
      <w:r>
        <w:rPr>
          <w:sz w:val="24"/>
          <w:szCs w:val="24"/>
        </w:rPr>
        <w:t>Th</w:t>
      </w:r>
      <w:r w:rsidR="004B439A" w:rsidRPr="00884530">
        <w:rPr>
          <w:sz w:val="24"/>
          <w:szCs w:val="24"/>
        </w:rPr>
        <w:t>is information collection does not affect individuals or households; thus, there are no impacts under the Privacy Act.</w:t>
      </w:r>
    </w:p>
    <w:p w14:paraId="6342334D" w14:textId="77777777" w:rsidR="00D42FF3" w:rsidRPr="00884530" w:rsidRDefault="00D42FF3" w:rsidP="0083695D">
      <w:pPr>
        <w:rPr>
          <w:b/>
          <w:sz w:val="24"/>
          <w:szCs w:val="24"/>
          <w:shd w:val="clear" w:color="auto" w:fill="FFFFFF"/>
        </w:rPr>
      </w:pPr>
      <w:r w:rsidRPr="00884530">
        <w:rPr>
          <w:b/>
          <w:sz w:val="24"/>
          <w:szCs w:val="24"/>
          <w:shd w:val="clear" w:color="auto" w:fill="FFFFFF"/>
        </w:rPr>
        <w:t>2.  Indicate how, by whom and for what purpose the information is to be used.  Except for a new collection, indicate the actual use the agency has made of the information received from the current collection.</w:t>
      </w:r>
    </w:p>
    <w:p w14:paraId="7DB6F5BF" w14:textId="77777777" w:rsidR="0026661E" w:rsidRPr="00884530" w:rsidRDefault="0026661E" w:rsidP="0083695D">
      <w:pPr>
        <w:rPr>
          <w:sz w:val="24"/>
          <w:szCs w:val="24"/>
          <w:shd w:val="clear" w:color="auto" w:fill="FFFFFF"/>
        </w:rPr>
      </w:pPr>
    </w:p>
    <w:p w14:paraId="19FD9554" w14:textId="19DEC841" w:rsidR="00B72F53" w:rsidRDefault="00880D7A" w:rsidP="00467E70">
      <w:pPr>
        <w:ind w:firstLine="720"/>
        <w:rPr>
          <w:spacing w:val="-3"/>
          <w:sz w:val="24"/>
          <w:szCs w:val="24"/>
        </w:rPr>
      </w:pPr>
      <w:r>
        <w:rPr>
          <w:sz w:val="24"/>
          <w:szCs w:val="24"/>
          <w:shd w:val="clear" w:color="auto" w:fill="FFFFFF"/>
        </w:rPr>
        <w:t>As stated in previous filings for this information collection,</w:t>
      </w:r>
      <w:r w:rsidR="009E63AE">
        <w:rPr>
          <w:rStyle w:val="FootnoteReference"/>
          <w:sz w:val="24"/>
          <w:szCs w:val="24"/>
          <w:shd w:val="clear" w:color="auto" w:fill="FFFFFF"/>
        </w:rPr>
        <w:footnoteReference w:id="6"/>
      </w:r>
      <w:r>
        <w:rPr>
          <w:sz w:val="24"/>
          <w:szCs w:val="24"/>
          <w:shd w:val="clear" w:color="auto" w:fill="FFFFFF"/>
        </w:rPr>
        <w:t xml:space="preserve"> t</w:t>
      </w:r>
      <w:r w:rsidR="00DC55B7" w:rsidRPr="00884530">
        <w:rPr>
          <w:sz w:val="24"/>
          <w:szCs w:val="24"/>
          <w:shd w:val="clear" w:color="auto" w:fill="FFFFFF"/>
        </w:rPr>
        <w:t>he</w:t>
      </w:r>
      <w:r w:rsidR="006800DA" w:rsidRPr="00884530">
        <w:rPr>
          <w:sz w:val="24"/>
          <w:szCs w:val="24"/>
          <w:shd w:val="clear" w:color="auto" w:fill="FFFFFF"/>
        </w:rPr>
        <w:t xml:space="preserve"> general</w:t>
      </w:r>
      <w:r w:rsidR="00DC55B7" w:rsidRPr="00884530">
        <w:rPr>
          <w:sz w:val="24"/>
          <w:szCs w:val="24"/>
          <w:shd w:val="clear" w:color="auto" w:fill="FFFFFF"/>
        </w:rPr>
        <w:t xml:space="preserve"> purpose of </w:t>
      </w:r>
      <w:r>
        <w:rPr>
          <w:sz w:val="24"/>
          <w:szCs w:val="24"/>
          <w:shd w:val="clear" w:color="auto" w:fill="FFFFFF"/>
        </w:rPr>
        <w:t>the Commission’s Part 4 rules</w:t>
      </w:r>
      <w:r w:rsidR="008E18EA" w:rsidRPr="00884530">
        <w:rPr>
          <w:sz w:val="24"/>
          <w:szCs w:val="24"/>
          <w:shd w:val="clear" w:color="auto" w:fill="FFFFFF"/>
        </w:rPr>
        <w:t xml:space="preserve"> is</w:t>
      </w:r>
      <w:r w:rsidR="00DC55B7" w:rsidRPr="00884530">
        <w:rPr>
          <w:sz w:val="24"/>
          <w:szCs w:val="24"/>
          <w:shd w:val="clear" w:color="auto" w:fill="FFFFFF"/>
        </w:rPr>
        <w:t xml:space="preserve"> to </w:t>
      </w:r>
      <w:r w:rsidR="005F6C79" w:rsidRPr="00884530">
        <w:rPr>
          <w:sz w:val="24"/>
          <w:szCs w:val="24"/>
          <w:shd w:val="clear" w:color="auto" w:fill="FFFFFF"/>
        </w:rPr>
        <w:t xml:space="preserve">gather sufficient information regarding disruptions to telecommunications to </w:t>
      </w:r>
      <w:r w:rsidR="00D42FF3" w:rsidRPr="00884530">
        <w:rPr>
          <w:sz w:val="24"/>
          <w:szCs w:val="24"/>
          <w:shd w:val="clear" w:color="auto" w:fill="FFFFFF"/>
        </w:rPr>
        <w:t>facilitate FCC monitoring</w:t>
      </w:r>
      <w:r w:rsidR="00BB240C" w:rsidRPr="00884530">
        <w:rPr>
          <w:sz w:val="24"/>
          <w:szCs w:val="24"/>
          <w:shd w:val="clear" w:color="auto" w:fill="FFFFFF"/>
        </w:rPr>
        <w:t>, analysis,</w:t>
      </w:r>
      <w:r w:rsidR="00D42FF3" w:rsidRPr="00884530">
        <w:rPr>
          <w:sz w:val="24"/>
          <w:szCs w:val="24"/>
          <w:shd w:val="clear" w:color="auto" w:fill="FFFFFF"/>
        </w:rPr>
        <w:t xml:space="preserve"> </w:t>
      </w:r>
      <w:r w:rsidR="007B4C87" w:rsidRPr="00884530">
        <w:rPr>
          <w:sz w:val="24"/>
          <w:szCs w:val="24"/>
          <w:shd w:val="clear" w:color="auto" w:fill="FFFFFF"/>
        </w:rPr>
        <w:t xml:space="preserve">and investigation </w:t>
      </w:r>
      <w:r w:rsidR="00D42FF3" w:rsidRPr="00884530">
        <w:rPr>
          <w:sz w:val="24"/>
          <w:szCs w:val="24"/>
          <w:shd w:val="clear" w:color="auto" w:fill="FFFFFF"/>
        </w:rPr>
        <w:t xml:space="preserve">of the reliability and security </w:t>
      </w:r>
      <w:r w:rsidR="00C07B46" w:rsidRPr="00884530">
        <w:rPr>
          <w:sz w:val="24"/>
          <w:szCs w:val="24"/>
          <w:shd w:val="clear" w:color="auto" w:fill="FFFFFF"/>
        </w:rPr>
        <w:t xml:space="preserve">of </w:t>
      </w:r>
      <w:r w:rsidR="0053724F" w:rsidRPr="00884530">
        <w:rPr>
          <w:sz w:val="24"/>
          <w:szCs w:val="24"/>
          <w:shd w:val="clear" w:color="auto" w:fill="FFFFFF"/>
        </w:rPr>
        <w:t>voice</w:t>
      </w:r>
      <w:r w:rsidR="001C56F5" w:rsidRPr="00884530">
        <w:rPr>
          <w:sz w:val="24"/>
          <w:szCs w:val="24"/>
          <w:shd w:val="clear" w:color="auto" w:fill="FFFFFF"/>
        </w:rPr>
        <w:t>,</w:t>
      </w:r>
      <w:r w:rsidR="0053724F" w:rsidRPr="00884530">
        <w:rPr>
          <w:sz w:val="24"/>
          <w:szCs w:val="24"/>
          <w:shd w:val="clear" w:color="auto" w:fill="FFFFFF"/>
        </w:rPr>
        <w:t xml:space="preserve"> paging</w:t>
      </w:r>
      <w:r w:rsidR="001C56F5" w:rsidRPr="00884530">
        <w:rPr>
          <w:sz w:val="24"/>
          <w:szCs w:val="24"/>
          <w:shd w:val="clear" w:color="auto" w:fill="FFFFFF"/>
        </w:rPr>
        <w:t>, and interconnected VoIP</w:t>
      </w:r>
      <w:r w:rsidR="0053724F" w:rsidRPr="00884530">
        <w:rPr>
          <w:sz w:val="24"/>
          <w:szCs w:val="24"/>
          <w:shd w:val="clear" w:color="auto" w:fill="FFFFFF"/>
        </w:rPr>
        <w:t xml:space="preserve"> </w:t>
      </w:r>
      <w:r w:rsidR="00760158" w:rsidRPr="00884530">
        <w:rPr>
          <w:sz w:val="24"/>
          <w:szCs w:val="24"/>
          <w:shd w:val="clear" w:color="auto" w:fill="FFFFFF"/>
        </w:rPr>
        <w:t xml:space="preserve">communications </w:t>
      </w:r>
      <w:r w:rsidR="00D42FF3" w:rsidRPr="00884530">
        <w:rPr>
          <w:sz w:val="24"/>
          <w:szCs w:val="24"/>
          <w:shd w:val="clear" w:color="auto" w:fill="FFFFFF"/>
        </w:rPr>
        <w:t>service</w:t>
      </w:r>
      <w:r w:rsidR="001C56F5" w:rsidRPr="00884530">
        <w:rPr>
          <w:sz w:val="24"/>
          <w:szCs w:val="24"/>
          <w:shd w:val="clear" w:color="auto" w:fill="FFFFFF"/>
        </w:rPr>
        <w:t>s</w:t>
      </w:r>
      <w:r w:rsidR="00A80BE6" w:rsidRPr="00884530">
        <w:rPr>
          <w:sz w:val="24"/>
          <w:szCs w:val="24"/>
          <w:shd w:val="clear" w:color="auto" w:fill="FFFFFF"/>
        </w:rPr>
        <w:t xml:space="preserve">, and to identify and act on potential threats to </w:t>
      </w:r>
      <w:r w:rsidR="005F6C79" w:rsidRPr="00884530">
        <w:rPr>
          <w:sz w:val="24"/>
          <w:szCs w:val="24"/>
          <w:shd w:val="clear" w:color="auto" w:fill="FFFFFF"/>
        </w:rPr>
        <w:t xml:space="preserve">our </w:t>
      </w:r>
      <w:r w:rsidR="00A80BE6" w:rsidRPr="00884530">
        <w:rPr>
          <w:sz w:val="24"/>
          <w:szCs w:val="24"/>
          <w:shd w:val="clear" w:color="auto" w:fill="FFFFFF"/>
        </w:rPr>
        <w:t>Nation’s telecommunications infrastructure.</w:t>
      </w:r>
      <w:r w:rsidR="0022158C" w:rsidRPr="00884530">
        <w:rPr>
          <w:sz w:val="24"/>
          <w:szCs w:val="24"/>
          <w:shd w:val="clear" w:color="auto" w:fill="FFFFFF"/>
        </w:rPr>
        <w:t xml:space="preserve">  </w:t>
      </w:r>
      <w:r w:rsidR="006800DA" w:rsidRPr="00884530">
        <w:rPr>
          <w:sz w:val="24"/>
          <w:szCs w:val="24"/>
          <w:shd w:val="clear" w:color="auto" w:fill="FFFFFF"/>
        </w:rPr>
        <w:t>T</w:t>
      </w:r>
      <w:r w:rsidR="00BD5642" w:rsidRPr="00884530">
        <w:rPr>
          <w:sz w:val="24"/>
          <w:szCs w:val="24"/>
          <w:shd w:val="clear" w:color="auto" w:fill="FFFFFF"/>
        </w:rPr>
        <w:t xml:space="preserve">he </w:t>
      </w:r>
      <w:r w:rsidR="00B13B34">
        <w:rPr>
          <w:sz w:val="24"/>
          <w:szCs w:val="24"/>
          <w:shd w:val="clear" w:color="auto" w:fill="FFFFFF"/>
        </w:rPr>
        <w:t>Commission</w:t>
      </w:r>
      <w:r w:rsidR="00BD5642" w:rsidRPr="00884530">
        <w:rPr>
          <w:sz w:val="24"/>
          <w:szCs w:val="24"/>
          <w:shd w:val="clear" w:color="auto" w:fill="FFFFFF"/>
        </w:rPr>
        <w:t xml:space="preserve"> uses </w:t>
      </w:r>
      <w:r w:rsidR="0053724F" w:rsidRPr="00884530">
        <w:rPr>
          <w:sz w:val="24"/>
          <w:szCs w:val="24"/>
          <w:shd w:val="clear" w:color="auto" w:fill="FFFFFF"/>
        </w:rPr>
        <w:t>t</w:t>
      </w:r>
      <w:r w:rsidR="0022158C" w:rsidRPr="00884530">
        <w:rPr>
          <w:sz w:val="24"/>
          <w:szCs w:val="24"/>
          <w:shd w:val="clear" w:color="auto" w:fill="FFFFFF"/>
        </w:rPr>
        <w:t>his</w:t>
      </w:r>
      <w:r w:rsidR="00D42FF3" w:rsidRPr="00884530">
        <w:rPr>
          <w:sz w:val="24"/>
          <w:szCs w:val="24"/>
          <w:shd w:val="clear" w:color="auto" w:fill="FFFFFF"/>
        </w:rPr>
        <w:t xml:space="preserve"> </w:t>
      </w:r>
      <w:r w:rsidR="00E23436" w:rsidRPr="00884530">
        <w:rPr>
          <w:sz w:val="24"/>
          <w:szCs w:val="24"/>
          <w:shd w:val="clear" w:color="auto" w:fill="FFFFFF"/>
        </w:rPr>
        <w:t>information collection</w:t>
      </w:r>
      <w:r w:rsidR="00A70321" w:rsidRPr="00884530">
        <w:rPr>
          <w:sz w:val="24"/>
          <w:szCs w:val="24"/>
          <w:shd w:val="clear" w:color="auto" w:fill="FFFFFF"/>
        </w:rPr>
        <w:t xml:space="preserve"> to</w:t>
      </w:r>
      <w:r w:rsidR="00E23436" w:rsidRPr="00884530">
        <w:rPr>
          <w:sz w:val="24"/>
          <w:szCs w:val="24"/>
          <w:shd w:val="clear" w:color="auto" w:fill="FFFFFF"/>
        </w:rPr>
        <w:t xml:space="preserve"> </w:t>
      </w:r>
      <w:r w:rsidR="00A80BE6" w:rsidRPr="00884530">
        <w:rPr>
          <w:sz w:val="24"/>
          <w:szCs w:val="24"/>
          <w:shd w:val="clear" w:color="auto" w:fill="FFFFFF"/>
        </w:rPr>
        <w:t xml:space="preserve">identify the duration, magnitude, root causes, contributing factors </w:t>
      </w:r>
      <w:r w:rsidR="0082154F" w:rsidRPr="00884530">
        <w:rPr>
          <w:sz w:val="24"/>
          <w:szCs w:val="24"/>
          <w:shd w:val="clear" w:color="auto" w:fill="FFFFFF"/>
        </w:rPr>
        <w:t>with respect to significant outages, and to</w:t>
      </w:r>
      <w:r w:rsidR="00B13B34" w:rsidRPr="00B13B34">
        <w:rPr>
          <w:spacing w:val="-3"/>
          <w:sz w:val="24"/>
          <w:szCs w:val="24"/>
        </w:rPr>
        <w:t xml:space="preserve"> </w:t>
      </w:r>
      <w:r w:rsidR="00B13B34" w:rsidRPr="000C6F66">
        <w:rPr>
          <w:spacing w:val="-3"/>
          <w:sz w:val="24"/>
          <w:szCs w:val="24"/>
        </w:rPr>
        <w:t>identify outage trends; support service restoration efforts; and help coordinate with public safety officials during times of crisis</w:t>
      </w:r>
      <w:r w:rsidR="00D42FF3" w:rsidRPr="00884530">
        <w:rPr>
          <w:sz w:val="24"/>
          <w:szCs w:val="24"/>
          <w:shd w:val="clear" w:color="auto" w:fill="FFFFFF"/>
        </w:rPr>
        <w:t xml:space="preserve">.  </w:t>
      </w:r>
      <w:r w:rsidR="00BB240C" w:rsidRPr="00884530">
        <w:rPr>
          <w:sz w:val="24"/>
          <w:szCs w:val="24"/>
          <w:shd w:val="clear" w:color="auto" w:fill="FFFFFF"/>
        </w:rPr>
        <w:t>T</w:t>
      </w:r>
      <w:r w:rsidR="0053724F" w:rsidRPr="00884530">
        <w:rPr>
          <w:sz w:val="24"/>
          <w:szCs w:val="24"/>
          <w:shd w:val="clear" w:color="auto" w:fill="FFFFFF"/>
        </w:rPr>
        <w:t xml:space="preserve">he Commission </w:t>
      </w:r>
      <w:r w:rsidR="00BB240C" w:rsidRPr="00884530">
        <w:rPr>
          <w:sz w:val="24"/>
          <w:szCs w:val="24"/>
          <w:shd w:val="clear" w:color="auto" w:fill="FFFFFF"/>
        </w:rPr>
        <w:t xml:space="preserve">also </w:t>
      </w:r>
      <w:r w:rsidR="0053724F" w:rsidRPr="00884530">
        <w:rPr>
          <w:sz w:val="24"/>
          <w:szCs w:val="24"/>
          <w:shd w:val="clear" w:color="auto" w:fill="FFFFFF"/>
        </w:rPr>
        <w:t>maintains an ongoing dialog</w:t>
      </w:r>
      <w:r w:rsidR="00E90754">
        <w:rPr>
          <w:sz w:val="24"/>
          <w:szCs w:val="24"/>
          <w:shd w:val="clear" w:color="auto" w:fill="FFFFFF"/>
        </w:rPr>
        <w:t>ue</w:t>
      </w:r>
      <w:r w:rsidR="0053724F" w:rsidRPr="00884530">
        <w:rPr>
          <w:sz w:val="24"/>
          <w:szCs w:val="24"/>
          <w:shd w:val="clear" w:color="auto" w:fill="FFFFFF"/>
        </w:rPr>
        <w:t xml:space="preserve"> with reporting entities</w:t>
      </w:r>
      <w:r w:rsidR="005633CE" w:rsidRPr="00884530">
        <w:rPr>
          <w:sz w:val="24"/>
          <w:szCs w:val="24"/>
          <w:shd w:val="clear" w:color="auto" w:fill="FFFFFF"/>
        </w:rPr>
        <w:t>, as well as with the communications industry at large,</w:t>
      </w:r>
      <w:r w:rsidR="0053724F" w:rsidRPr="00884530">
        <w:rPr>
          <w:sz w:val="24"/>
          <w:szCs w:val="24"/>
          <w:shd w:val="clear" w:color="auto" w:fill="FFFFFF"/>
        </w:rPr>
        <w:t xml:space="preserve"> </w:t>
      </w:r>
      <w:r w:rsidR="00E23436" w:rsidRPr="00884530">
        <w:rPr>
          <w:sz w:val="24"/>
          <w:szCs w:val="24"/>
          <w:shd w:val="clear" w:color="auto" w:fill="FFFFFF"/>
        </w:rPr>
        <w:t xml:space="preserve">generally regarding lessons learned from the information collection in order </w:t>
      </w:r>
      <w:r w:rsidR="0053724F" w:rsidRPr="00884530">
        <w:rPr>
          <w:sz w:val="24"/>
          <w:szCs w:val="24"/>
          <w:shd w:val="clear" w:color="auto" w:fill="FFFFFF"/>
        </w:rPr>
        <w:t xml:space="preserve">to foster </w:t>
      </w:r>
      <w:r w:rsidR="009979BD">
        <w:rPr>
          <w:sz w:val="24"/>
          <w:szCs w:val="24"/>
          <w:shd w:val="clear" w:color="auto" w:fill="FFFFFF"/>
        </w:rPr>
        <w:t xml:space="preserve">a </w:t>
      </w:r>
      <w:r w:rsidR="0053724F" w:rsidRPr="00884530">
        <w:rPr>
          <w:sz w:val="24"/>
          <w:szCs w:val="24"/>
          <w:shd w:val="clear" w:color="auto" w:fill="FFFFFF"/>
        </w:rPr>
        <w:t xml:space="preserve">better understanding of </w:t>
      </w:r>
      <w:r w:rsidR="009979BD" w:rsidRPr="00884530">
        <w:rPr>
          <w:sz w:val="24"/>
          <w:szCs w:val="24"/>
          <w:shd w:val="clear" w:color="auto" w:fill="FFFFFF"/>
        </w:rPr>
        <w:t xml:space="preserve">significant </w:t>
      </w:r>
      <w:r w:rsidR="00507262" w:rsidRPr="00884530">
        <w:rPr>
          <w:sz w:val="24"/>
          <w:szCs w:val="24"/>
          <w:shd w:val="clear" w:color="auto" w:fill="FFFFFF"/>
        </w:rPr>
        <w:t>outages</w:t>
      </w:r>
      <w:r w:rsidR="00507262">
        <w:rPr>
          <w:sz w:val="24"/>
          <w:szCs w:val="24"/>
          <w:shd w:val="clear" w:color="auto" w:fill="FFFFFF"/>
        </w:rPr>
        <w:t>’</w:t>
      </w:r>
      <w:r w:rsidR="009979BD" w:rsidRPr="00884530">
        <w:rPr>
          <w:sz w:val="24"/>
          <w:szCs w:val="24"/>
          <w:shd w:val="clear" w:color="auto" w:fill="FFFFFF"/>
        </w:rPr>
        <w:t xml:space="preserve"> </w:t>
      </w:r>
      <w:r w:rsidR="0053724F" w:rsidRPr="00884530">
        <w:rPr>
          <w:sz w:val="24"/>
          <w:szCs w:val="24"/>
          <w:shd w:val="clear" w:color="auto" w:fill="FFFFFF"/>
        </w:rPr>
        <w:t xml:space="preserve">root causes, and to </w:t>
      </w:r>
      <w:r w:rsidR="0053724F" w:rsidRPr="00884530">
        <w:rPr>
          <w:sz w:val="24"/>
          <w:szCs w:val="24"/>
          <w:shd w:val="clear" w:color="auto" w:fill="FFFFFF"/>
        </w:rPr>
        <w:lastRenderedPageBreak/>
        <w:t xml:space="preserve">explore preventive measures in the future </w:t>
      </w:r>
      <w:r w:rsidR="00E23436" w:rsidRPr="00884530">
        <w:rPr>
          <w:sz w:val="24"/>
          <w:szCs w:val="24"/>
          <w:shd w:val="clear" w:color="auto" w:fill="FFFFFF"/>
        </w:rPr>
        <w:t>so as</w:t>
      </w:r>
      <w:r w:rsidR="00CA123A" w:rsidRPr="00884530">
        <w:rPr>
          <w:sz w:val="24"/>
          <w:szCs w:val="24"/>
          <w:shd w:val="clear" w:color="auto" w:fill="FFFFFF"/>
        </w:rPr>
        <w:t xml:space="preserve"> </w:t>
      </w:r>
      <w:r w:rsidR="00E23436" w:rsidRPr="00884530">
        <w:rPr>
          <w:sz w:val="24"/>
          <w:szCs w:val="24"/>
          <w:shd w:val="clear" w:color="auto" w:fill="FFFFFF"/>
        </w:rPr>
        <w:t>t</w:t>
      </w:r>
      <w:r w:rsidR="0053724F" w:rsidRPr="00884530">
        <w:rPr>
          <w:sz w:val="24"/>
          <w:szCs w:val="24"/>
          <w:shd w:val="clear" w:color="auto" w:fill="FFFFFF"/>
        </w:rPr>
        <w:t xml:space="preserve">o mitigate the </w:t>
      </w:r>
      <w:r w:rsidR="00BB240C" w:rsidRPr="00884530">
        <w:rPr>
          <w:sz w:val="24"/>
          <w:szCs w:val="24"/>
          <w:shd w:val="clear" w:color="auto" w:fill="FFFFFF"/>
        </w:rPr>
        <w:t xml:space="preserve">potential </w:t>
      </w:r>
      <w:r w:rsidR="00440914">
        <w:rPr>
          <w:sz w:val="24"/>
          <w:szCs w:val="24"/>
          <w:shd w:val="clear" w:color="auto" w:fill="FFFFFF"/>
        </w:rPr>
        <w:t xml:space="preserve">scale and </w:t>
      </w:r>
      <w:r w:rsidR="0053724F" w:rsidRPr="00884530">
        <w:rPr>
          <w:sz w:val="24"/>
          <w:szCs w:val="24"/>
          <w:shd w:val="clear" w:color="auto" w:fill="FFFFFF"/>
        </w:rPr>
        <w:t>impact of such outages.</w:t>
      </w:r>
      <w:r w:rsidR="005633CE" w:rsidRPr="00884530">
        <w:rPr>
          <w:sz w:val="24"/>
          <w:szCs w:val="24"/>
          <w:shd w:val="clear" w:color="auto" w:fill="FFFFFF"/>
        </w:rPr>
        <w:t xml:space="preserve">  </w:t>
      </w:r>
    </w:p>
    <w:p w14:paraId="7E8A017C" w14:textId="77777777" w:rsidR="00B72F53" w:rsidRDefault="00B72F53" w:rsidP="00467E70">
      <w:pPr>
        <w:ind w:firstLine="720"/>
        <w:rPr>
          <w:spacing w:val="-3"/>
          <w:sz w:val="24"/>
          <w:szCs w:val="24"/>
        </w:rPr>
      </w:pPr>
    </w:p>
    <w:p w14:paraId="6EFEAC5A" w14:textId="0454AF28" w:rsidR="00F763E8" w:rsidRPr="00884530" w:rsidRDefault="00304A36" w:rsidP="00467E70">
      <w:pPr>
        <w:ind w:firstLine="720"/>
        <w:rPr>
          <w:sz w:val="24"/>
          <w:szCs w:val="24"/>
          <w:shd w:val="clear" w:color="auto" w:fill="FFFFFF"/>
        </w:rPr>
      </w:pPr>
      <w:r>
        <w:rPr>
          <w:sz w:val="24"/>
          <w:szCs w:val="24"/>
          <w:shd w:val="clear" w:color="auto" w:fill="FFFFFF"/>
        </w:rPr>
        <w:t>Collection of such information through NORS has already been approved by OMB</w:t>
      </w:r>
      <w:r w:rsidR="001E592A">
        <w:rPr>
          <w:sz w:val="24"/>
          <w:szCs w:val="24"/>
          <w:shd w:val="clear" w:color="auto" w:fill="FFFFFF"/>
        </w:rPr>
        <w:t xml:space="preserve">, and the </w:t>
      </w:r>
      <w:r w:rsidR="009920C5">
        <w:rPr>
          <w:i/>
          <w:sz w:val="24"/>
          <w:szCs w:val="24"/>
          <w:shd w:val="clear" w:color="auto" w:fill="FFFFFF"/>
        </w:rPr>
        <w:t>Report and Order</w:t>
      </w:r>
      <w:r w:rsidR="00D31231">
        <w:rPr>
          <w:i/>
          <w:sz w:val="24"/>
          <w:szCs w:val="24"/>
          <w:shd w:val="clear" w:color="auto" w:fill="FFFFFF"/>
        </w:rPr>
        <w:t xml:space="preserve"> </w:t>
      </w:r>
      <w:r w:rsidR="00D31231">
        <w:rPr>
          <w:sz w:val="24"/>
          <w:szCs w:val="24"/>
          <w:shd w:val="clear" w:color="auto" w:fill="FFFFFF"/>
        </w:rPr>
        <w:t xml:space="preserve">and </w:t>
      </w:r>
      <w:r w:rsidR="00D31231">
        <w:rPr>
          <w:i/>
          <w:sz w:val="24"/>
          <w:szCs w:val="24"/>
          <w:shd w:val="clear" w:color="auto" w:fill="FFFFFF"/>
        </w:rPr>
        <w:t>Order on Reconsideration</w:t>
      </w:r>
      <w:r w:rsidR="001E592A">
        <w:rPr>
          <w:sz w:val="24"/>
          <w:szCs w:val="24"/>
          <w:shd w:val="clear" w:color="auto" w:fill="FFFFFF"/>
        </w:rPr>
        <w:t xml:space="preserve"> do not </w:t>
      </w:r>
      <w:r w:rsidR="00440914">
        <w:rPr>
          <w:sz w:val="24"/>
          <w:szCs w:val="24"/>
          <w:shd w:val="clear" w:color="auto" w:fill="FFFFFF"/>
        </w:rPr>
        <w:t>adopt</w:t>
      </w:r>
      <w:r w:rsidR="001E592A">
        <w:rPr>
          <w:sz w:val="24"/>
          <w:szCs w:val="24"/>
          <w:shd w:val="clear" w:color="auto" w:fill="FFFFFF"/>
        </w:rPr>
        <w:t xml:space="preserve"> rules that would </w:t>
      </w:r>
      <w:r w:rsidR="00E90754">
        <w:rPr>
          <w:sz w:val="24"/>
          <w:szCs w:val="24"/>
          <w:shd w:val="clear" w:color="auto" w:fill="FFFFFF"/>
        </w:rPr>
        <w:t>alter the</w:t>
      </w:r>
      <w:r w:rsidR="003540E1">
        <w:rPr>
          <w:sz w:val="24"/>
          <w:szCs w:val="24"/>
          <w:shd w:val="clear" w:color="auto" w:fill="FFFFFF"/>
        </w:rPr>
        <w:t xml:space="preserve"> fundamental</w:t>
      </w:r>
      <w:r w:rsidR="001E592A">
        <w:rPr>
          <w:sz w:val="24"/>
          <w:szCs w:val="24"/>
          <w:shd w:val="clear" w:color="auto" w:fill="FFFFFF"/>
        </w:rPr>
        <w:t xml:space="preserve"> aims and purposes of </w:t>
      </w:r>
      <w:r w:rsidR="00E90754">
        <w:rPr>
          <w:sz w:val="24"/>
          <w:szCs w:val="24"/>
          <w:shd w:val="clear" w:color="auto" w:fill="FFFFFF"/>
        </w:rPr>
        <w:t>the approved</w:t>
      </w:r>
      <w:r w:rsidR="001E592A">
        <w:rPr>
          <w:sz w:val="24"/>
          <w:szCs w:val="24"/>
          <w:shd w:val="clear" w:color="auto" w:fill="FFFFFF"/>
        </w:rPr>
        <w:t xml:space="preserve"> collection.</w:t>
      </w:r>
      <w:r w:rsidR="00D31231">
        <w:rPr>
          <w:sz w:val="24"/>
          <w:szCs w:val="24"/>
          <w:shd w:val="clear" w:color="auto" w:fill="FFFFFF"/>
        </w:rPr>
        <w:t xml:space="preserve"> </w:t>
      </w:r>
      <w:r w:rsidR="001E592A">
        <w:rPr>
          <w:sz w:val="24"/>
          <w:szCs w:val="24"/>
          <w:shd w:val="clear" w:color="auto" w:fill="FFFFFF"/>
        </w:rPr>
        <w:t xml:space="preserve">  </w:t>
      </w:r>
    </w:p>
    <w:p w14:paraId="3B26DE39" w14:textId="77777777" w:rsidR="0026661E" w:rsidRPr="00884530" w:rsidRDefault="0026661E" w:rsidP="0083695D">
      <w:pPr>
        <w:rPr>
          <w:b/>
          <w:sz w:val="24"/>
          <w:szCs w:val="24"/>
          <w:shd w:val="clear" w:color="auto" w:fill="FFFFFF"/>
        </w:rPr>
      </w:pPr>
    </w:p>
    <w:p w14:paraId="5D280F57" w14:textId="77777777" w:rsidR="00D42FF3" w:rsidRPr="002B584D" w:rsidRDefault="00D42FF3" w:rsidP="0083695D">
      <w:pPr>
        <w:rPr>
          <w:b/>
          <w:sz w:val="24"/>
          <w:szCs w:val="24"/>
          <w:shd w:val="clear" w:color="auto" w:fill="FFFFFF"/>
        </w:rPr>
      </w:pPr>
      <w:r w:rsidRPr="002B584D">
        <w:rPr>
          <w:b/>
          <w:sz w:val="24"/>
          <w:szCs w:val="24"/>
          <w:shd w:val="clear" w:color="auto" w:fill="FFFFFF"/>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64E16641" w14:textId="77777777" w:rsidR="0026661E" w:rsidRPr="002B584D" w:rsidRDefault="0026661E" w:rsidP="0083695D">
      <w:pPr>
        <w:rPr>
          <w:sz w:val="24"/>
          <w:szCs w:val="24"/>
          <w:shd w:val="clear" w:color="auto" w:fill="FFFFFF"/>
        </w:rPr>
      </w:pPr>
    </w:p>
    <w:p w14:paraId="361CA9CD" w14:textId="62CF46C4" w:rsidR="00335B79" w:rsidRPr="00884530" w:rsidRDefault="00304A36" w:rsidP="003650D9">
      <w:pPr>
        <w:ind w:firstLine="720"/>
        <w:rPr>
          <w:sz w:val="24"/>
          <w:szCs w:val="24"/>
          <w:shd w:val="clear" w:color="auto" w:fill="FFFFFF"/>
        </w:rPr>
      </w:pPr>
      <w:r w:rsidRPr="002B584D">
        <w:rPr>
          <w:sz w:val="24"/>
          <w:szCs w:val="24"/>
          <w:shd w:val="clear" w:color="auto" w:fill="FFFFFF"/>
        </w:rPr>
        <w:t>The Part 4</w:t>
      </w:r>
      <w:r w:rsidR="001C56F5" w:rsidRPr="002B584D">
        <w:rPr>
          <w:sz w:val="24"/>
          <w:szCs w:val="24"/>
          <w:shd w:val="clear" w:color="auto" w:fill="FFFFFF"/>
        </w:rPr>
        <w:t xml:space="preserve"> information collection</w:t>
      </w:r>
      <w:r w:rsidRPr="002B584D">
        <w:rPr>
          <w:sz w:val="24"/>
          <w:szCs w:val="24"/>
          <w:shd w:val="clear" w:color="auto" w:fill="FFFFFF"/>
        </w:rPr>
        <w:t xml:space="preserve"> </w:t>
      </w:r>
      <w:r w:rsidR="001C56F5" w:rsidRPr="002B584D">
        <w:rPr>
          <w:sz w:val="24"/>
          <w:szCs w:val="24"/>
          <w:shd w:val="clear" w:color="auto" w:fill="FFFFFF"/>
        </w:rPr>
        <w:t>is administered by the FCC’s Public Safety and Homeland Security Bureau (PSHSB)</w:t>
      </w:r>
      <w:r w:rsidR="003002A2" w:rsidRPr="002B584D">
        <w:rPr>
          <w:sz w:val="24"/>
          <w:szCs w:val="24"/>
          <w:shd w:val="clear" w:color="auto" w:fill="FFFFFF"/>
        </w:rPr>
        <w:t>,</w:t>
      </w:r>
      <w:r w:rsidR="001C56F5" w:rsidRPr="002B584D">
        <w:rPr>
          <w:sz w:val="24"/>
          <w:szCs w:val="24"/>
          <w:shd w:val="clear" w:color="auto" w:fill="FFFFFF"/>
        </w:rPr>
        <w:t xml:space="preserve"> which maintains an Internet portal for the electronic submission of </w:t>
      </w:r>
      <w:r w:rsidRPr="002B584D">
        <w:rPr>
          <w:sz w:val="24"/>
          <w:szCs w:val="24"/>
          <w:shd w:val="clear" w:color="auto" w:fill="FFFFFF"/>
        </w:rPr>
        <w:t>NORS r</w:t>
      </w:r>
      <w:r w:rsidR="001C56F5" w:rsidRPr="002B584D">
        <w:rPr>
          <w:sz w:val="24"/>
          <w:szCs w:val="24"/>
          <w:shd w:val="clear" w:color="auto" w:fill="FFFFFF"/>
        </w:rPr>
        <w:t>eports</w:t>
      </w:r>
      <w:r w:rsidR="00D42FF3" w:rsidRPr="002B584D">
        <w:rPr>
          <w:sz w:val="24"/>
          <w:szCs w:val="24"/>
          <w:shd w:val="clear" w:color="auto" w:fill="FFFFFF"/>
        </w:rPr>
        <w:t>.</w:t>
      </w:r>
      <w:r w:rsidR="00335B79" w:rsidRPr="002B584D">
        <w:rPr>
          <w:rStyle w:val="FootnoteReference"/>
          <w:sz w:val="24"/>
          <w:szCs w:val="24"/>
          <w:shd w:val="clear" w:color="auto" w:fill="FFFFFF"/>
        </w:rPr>
        <w:footnoteReference w:id="7"/>
      </w:r>
      <w:r w:rsidR="00D42FF3" w:rsidRPr="002B584D">
        <w:rPr>
          <w:sz w:val="24"/>
          <w:szCs w:val="24"/>
          <w:shd w:val="clear" w:color="auto" w:fill="FFFFFF"/>
        </w:rPr>
        <w:t xml:space="preserve">  </w:t>
      </w:r>
      <w:r w:rsidR="003002A2" w:rsidRPr="002B584D">
        <w:rPr>
          <w:sz w:val="24"/>
          <w:szCs w:val="24"/>
          <w:shd w:val="clear" w:color="auto" w:fill="FFFFFF"/>
        </w:rPr>
        <w:t>T</w:t>
      </w:r>
      <w:r w:rsidR="0036106E" w:rsidRPr="002B584D">
        <w:rPr>
          <w:sz w:val="24"/>
          <w:szCs w:val="24"/>
          <w:shd w:val="clear" w:color="auto" w:fill="FFFFFF"/>
        </w:rPr>
        <w:t xml:space="preserve">his electronic filing </w:t>
      </w:r>
      <w:r w:rsidR="00594BE7" w:rsidRPr="002B584D">
        <w:rPr>
          <w:sz w:val="24"/>
          <w:szCs w:val="24"/>
          <w:shd w:val="clear" w:color="auto" w:fill="FFFFFF"/>
        </w:rPr>
        <w:t xml:space="preserve">requirement </w:t>
      </w:r>
      <w:r w:rsidR="00E23436" w:rsidRPr="002B584D">
        <w:rPr>
          <w:sz w:val="24"/>
          <w:szCs w:val="24"/>
          <w:shd w:val="clear" w:color="auto" w:fill="FFFFFF"/>
        </w:rPr>
        <w:t>entails</w:t>
      </w:r>
      <w:r w:rsidR="00D42FF3" w:rsidRPr="002B584D">
        <w:rPr>
          <w:sz w:val="24"/>
          <w:szCs w:val="24"/>
          <w:shd w:val="clear" w:color="auto" w:fill="FFFFFF"/>
        </w:rPr>
        <w:t xml:space="preserve"> </w:t>
      </w:r>
      <w:r w:rsidR="00594BE7" w:rsidRPr="002B584D">
        <w:rPr>
          <w:sz w:val="24"/>
          <w:szCs w:val="24"/>
          <w:shd w:val="clear" w:color="auto" w:fill="FFFFFF"/>
        </w:rPr>
        <w:t>entering</w:t>
      </w:r>
      <w:r w:rsidR="00D42FF3" w:rsidRPr="002B584D">
        <w:rPr>
          <w:sz w:val="24"/>
          <w:szCs w:val="24"/>
          <w:shd w:val="clear" w:color="auto" w:fill="FFFFFF"/>
        </w:rPr>
        <w:t xml:space="preserve"> the </w:t>
      </w:r>
      <w:r w:rsidR="00594BE7" w:rsidRPr="002B584D">
        <w:rPr>
          <w:sz w:val="24"/>
          <w:szCs w:val="24"/>
          <w:shd w:val="clear" w:color="auto" w:fill="FFFFFF"/>
        </w:rPr>
        <w:t xml:space="preserve">required </w:t>
      </w:r>
      <w:r w:rsidR="00D42FF3" w:rsidRPr="002B584D">
        <w:rPr>
          <w:sz w:val="24"/>
          <w:szCs w:val="24"/>
          <w:shd w:val="clear" w:color="auto" w:fill="FFFFFF"/>
        </w:rPr>
        <w:t xml:space="preserve">information using </w:t>
      </w:r>
      <w:r w:rsidR="00507262">
        <w:rPr>
          <w:sz w:val="24"/>
          <w:szCs w:val="24"/>
          <w:shd w:val="clear" w:color="auto" w:fill="FFFFFF"/>
        </w:rPr>
        <w:t xml:space="preserve">the </w:t>
      </w:r>
      <w:r w:rsidR="00D42FF3" w:rsidRPr="002B584D">
        <w:rPr>
          <w:sz w:val="24"/>
          <w:szCs w:val="24"/>
          <w:shd w:val="clear" w:color="auto" w:fill="FFFFFF"/>
        </w:rPr>
        <w:t>Commission-approved Web-based outage report templates</w:t>
      </w:r>
      <w:r w:rsidR="00594BE7" w:rsidRPr="002B584D">
        <w:rPr>
          <w:sz w:val="24"/>
          <w:szCs w:val="24"/>
          <w:shd w:val="clear" w:color="auto" w:fill="FFFFFF"/>
        </w:rPr>
        <w:t xml:space="preserve"> that are </w:t>
      </w:r>
      <w:r w:rsidR="00335B79" w:rsidRPr="002B584D">
        <w:rPr>
          <w:sz w:val="24"/>
          <w:szCs w:val="24"/>
          <w:shd w:val="clear" w:color="auto" w:fill="FFFFFF"/>
        </w:rPr>
        <w:t xml:space="preserve">available online </w:t>
      </w:r>
      <w:r w:rsidR="00594BE7" w:rsidRPr="002B584D">
        <w:rPr>
          <w:sz w:val="24"/>
          <w:szCs w:val="24"/>
          <w:shd w:val="clear" w:color="auto" w:fill="FFFFFF"/>
        </w:rPr>
        <w:t xml:space="preserve">at the </w:t>
      </w:r>
      <w:r w:rsidRPr="002B584D">
        <w:rPr>
          <w:sz w:val="24"/>
          <w:szCs w:val="24"/>
          <w:shd w:val="clear" w:color="auto" w:fill="FFFFFF"/>
        </w:rPr>
        <w:t>NORS</w:t>
      </w:r>
      <w:r w:rsidR="00594BE7" w:rsidRPr="002B584D">
        <w:rPr>
          <w:sz w:val="24"/>
          <w:szCs w:val="24"/>
          <w:shd w:val="clear" w:color="auto" w:fill="FFFFFF"/>
        </w:rPr>
        <w:t xml:space="preserve"> </w:t>
      </w:r>
      <w:r w:rsidR="00335B79" w:rsidRPr="002B584D">
        <w:rPr>
          <w:sz w:val="24"/>
          <w:szCs w:val="24"/>
          <w:shd w:val="clear" w:color="auto" w:fill="FFFFFF"/>
        </w:rPr>
        <w:t xml:space="preserve">Internet </w:t>
      </w:r>
      <w:r w:rsidR="00542873" w:rsidRPr="002B584D">
        <w:rPr>
          <w:sz w:val="24"/>
          <w:szCs w:val="24"/>
          <w:shd w:val="clear" w:color="auto" w:fill="FFFFFF"/>
        </w:rPr>
        <w:t>W</w:t>
      </w:r>
      <w:r w:rsidR="00594BE7" w:rsidRPr="002B584D">
        <w:rPr>
          <w:sz w:val="24"/>
          <w:szCs w:val="24"/>
          <w:shd w:val="clear" w:color="auto" w:fill="FFFFFF"/>
        </w:rPr>
        <w:t>eb portal</w:t>
      </w:r>
      <w:r w:rsidR="00D42FF3" w:rsidRPr="002B584D">
        <w:rPr>
          <w:sz w:val="24"/>
          <w:szCs w:val="24"/>
          <w:shd w:val="clear" w:color="auto" w:fill="FFFFFF"/>
        </w:rPr>
        <w:t>.</w:t>
      </w:r>
      <w:r w:rsidR="00594BE7" w:rsidRPr="002B584D">
        <w:rPr>
          <w:sz w:val="24"/>
          <w:szCs w:val="24"/>
          <w:shd w:val="clear" w:color="auto" w:fill="FFFFFF"/>
        </w:rPr>
        <w:t xml:space="preserve">  The completion of these </w:t>
      </w:r>
      <w:r w:rsidR="00594BE7" w:rsidRPr="002B584D">
        <w:rPr>
          <w:sz w:val="24"/>
          <w:szCs w:val="24"/>
          <w:shd w:val="clear" w:color="auto" w:fill="FFFFFF"/>
        </w:rPr>
        <w:lastRenderedPageBreak/>
        <w:t>online templates results in the information being electronically entered into the Commission’s NORS reporting data base</w:t>
      </w:r>
      <w:r w:rsidR="00335B79" w:rsidRPr="002B584D">
        <w:rPr>
          <w:sz w:val="24"/>
          <w:szCs w:val="24"/>
          <w:shd w:val="clear" w:color="auto" w:fill="FFFFFF"/>
        </w:rPr>
        <w:t xml:space="preserve"> in real-time</w:t>
      </w:r>
      <w:r w:rsidR="00594BE7" w:rsidRPr="002B584D">
        <w:rPr>
          <w:sz w:val="24"/>
          <w:szCs w:val="24"/>
          <w:shd w:val="clear" w:color="auto" w:fill="FFFFFF"/>
        </w:rPr>
        <w:t>.</w:t>
      </w:r>
      <w:r w:rsidR="007C7F9A" w:rsidRPr="002B584D">
        <w:rPr>
          <w:sz w:val="24"/>
          <w:szCs w:val="24"/>
          <w:shd w:val="clear" w:color="auto" w:fill="FFFFFF"/>
        </w:rPr>
        <w:t xml:space="preserve">  </w:t>
      </w:r>
      <w:r w:rsidR="00620B97" w:rsidRPr="00F732B2">
        <w:rPr>
          <w:sz w:val="24"/>
          <w:szCs w:val="24"/>
          <w:shd w:val="clear" w:color="auto" w:fill="FFFFFF"/>
        </w:rPr>
        <w:t>Reporting entities may have some users that have full access to all the outage reports submitted by the company, and other users that only have access to outage reports that they have submitted.  When updating any report, users have access to all the information that was previously submitted about that outage; this saves time in filing outage reports.</w:t>
      </w:r>
      <w:r w:rsidR="007C7F9A" w:rsidRPr="002B584D">
        <w:rPr>
          <w:sz w:val="24"/>
          <w:szCs w:val="24"/>
          <w:shd w:val="clear" w:color="auto" w:fill="FFFFFF"/>
        </w:rPr>
        <w:t xml:space="preserve">  </w:t>
      </w:r>
      <w:r w:rsidR="006B774E" w:rsidRPr="002B584D">
        <w:rPr>
          <w:sz w:val="24"/>
          <w:szCs w:val="24"/>
          <w:shd w:val="clear" w:color="auto" w:fill="FFFFFF"/>
        </w:rPr>
        <w:t>In addition, the NORS reporting system is equipped with an interface to accept and support outage filings that are submitted by a reporting entity’s automatic filing system.</w:t>
      </w:r>
    </w:p>
    <w:p w14:paraId="04AADD51" w14:textId="77777777" w:rsidR="00526BDD" w:rsidRPr="00884530" w:rsidRDefault="00526BDD" w:rsidP="0083695D">
      <w:pPr>
        <w:rPr>
          <w:sz w:val="24"/>
          <w:szCs w:val="24"/>
          <w:shd w:val="clear" w:color="auto" w:fill="FFFFFF"/>
        </w:rPr>
      </w:pPr>
    </w:p>
    <w:p w14:paraId="29F9169D" w14:textId="77777777" w:rsidR="00D42FF3" w:rsidRPr="00884530" w:rsidRDefault="00D42FF3" w:rsidP="0083695D">
      <w:pPr>
        <w:rPr>
          <w:b/>
          <w:sz w:val="24"/>
          <w:szCs w:val="24"/>
          <w:shd w:val="clear" w:color="auto" w:fill="FFFFFF"/>
        </w:rPr>
      </w:pPr>
      <w:r w:rsidRPr="00884530">
        <w:rPr>
          <w:b/>
          <w:sz w:val="24"/>
          <w:szCs w:val="24"/>
          <w:shd w:val="clear" w:color="auto" w:fill="FFFFFF"/>
        </w:rPr>
        <w:t>4.</w:t>
      </w:r>
      <w:r w:rsidRPr="00884530">
        <w:rPr>
          <w:sz w:val="24"/>
          <w:szCs w:val="24"/>
          <w:shd w:val="clear" w:color="auto" w:fill="FFFFFF"/>
        </w:rPr>
        <w:t xml:space="preserve">  </w:t>
      </w:r>
      <w:r w:rsidRPr="00884530">
        <w:rPr>
          <w:b/>
          <w:sz w:val="24"/>
          <w:szCs w:val="24"/>
          <w:shd w:val="clear" w:color="auto" w:fill="FFFFFF"/>
        </w:rPr>
        <w:t>Describe efforts to identify duplication.  Show specifically why any similar information already available cannot be used or modified for use for the purposes described in item 2 above.</w:t>
      </w:r>
    </w:p>
    <w:p w14:paraId="53E542A0" w14:textId="77777777" w:rsidR="0026661E" w:rsidRPr="00884530" w:rsidRDefault="0026661E" w:rsidP="0083695D">
      <w:pPr>
        <w:rPr>
          <w:sz w:val="24"/>
          <w:szCs w:val="24"/>
          <w:shd w:val="clear" w:color="auto" w:fill="FFFFFF"/>
        </w:rPr>
      </w:pPr>
    </w:p>
    <w:p w14:paraId="1D39D9CE" w14:textId="0AE16A92" w:rsidR="00F5654B" w:rsidRPr="00884530" w:rsidRDefault="001E592A" w:rsidP="003002A2">
      <w:pPr>
        <w:ind w:firstLine="720"/>
        <w:rPr>
          <w:sz w:val="24"/>
          <w:szCs w:val="24"/>
          <w:shd w:val="clear" w:color="auto" w:fill="FFFFFF"/>
        </w:rPr>
      </w:pPr>
      <w:r>
        <w:rPr>
          <w:sz w:val="24"/>
          <w:szCs w:val="24"/>
          <w:shd w:val="clear" w:color="auto" w:fill="FFFFFF"/>
        </w:rPr>
        <w:t xml:space="preserve">The </w:t>
      </w:r>
      <w:r w:rsidR="008F0749">
        <w:rPr>
          <w:sz w:val="24"/>
          <w:szCs w:val="24"/>
          <w:shd w:val="clear" w:color="auto" w:fill="FFFFFF"/>
        </w:rPr>
        <w:t>requirements</w:t>
      </w:r>
      <w:r>
        <w:rPr>
          <w:sz w:val="24"/>
          <w:szCs w:val="24"/>
          <w:shd w:val="clear" w:color="auto" w:fill="FFFFFF"/>
        </w:rPr>
        <w:t xml:space="preserve"> set forth in the </w:t>
      </w:r>
      <w:r w:rsidR="009920C5">
        <w:rPr>
          <w:i/>
          <w:sz w:val="24"/>
          <w:szCs w:val="24"/>
          <w:shd w:val="clear" w:color="auto" w:fill="FFFFFF"/>
        </w:rPr>
        <w:t>Report and Order</w:t>
      </w:r>
      <w:r w:rsidR="000841E6">
        <w:rPr>
          <w:i/>
          <w:sz w:val="24"/>
          <w:szCs w:val="24"/>
          <w:shd w:val="clear" w:color="auto" w:fill="FFFFFF"/>
        </w:rPr>
        <w:t xml:space="preserve"> </w:t>
      </w:r>
      <w:r w:rsidR="000841E6">
        <w:rPr>
          <w:sz w:val="24"/>
          <w:szCs w:val="24"/>
          <w:shd w:val="clear" w:color="auto" w:fill="FFFFFF"/>
        </w:rPr>
        <w:t xml:space="preserve">and </w:t>
      </w:r>
      <w:r w:rsidR="000841E6">
        <w:rPr>
          <w:i/>
          <w:sz w:val="24"/>
          <w:szCs w:val="24"/>
          <w:shd w:val="clear" w:color="auto" w:fill="FFFFFF"/>
        </w:rPr>
        <w:t>Order on Reconsideration</w:t>
      </w:r>
      <w:r>
        <w:rPr>
          <w:sz w:val="24"/>
          <w:szCs w:val="24"/>
          <w:shd w:val="clear" w:color="auto" w:fill="FFFFFF"/>
        </w:rPr>
        <w:t xml:space="preserve"> are aimed at closing gaps in</w:t>
      </w:r>
      <w:r w:rsidR="00507262">
        <w:rPr>
          <w:sz w:val="24"/>
          <w:szCs w:val="24"/>
          <w:shd w:val="clear" w:color="auto" w:fill="FFFFFF"/>
        </w:rPr>
        <w:t>,</w:t>
      </w:r>
      <w:r w:rsidR="000841E6">
        <w:rPr>
          <w:sz w:val="24"/>
          <w:szCs w:val="24"/>
          <w:shd w:val="clear" w:color="auto" w:fill="FFFFFF"/>
        </w:rPr>
        <w:t xml:space="preserve"> or updating</w:t>
      </w:r>
      <w:r>
        <w:rPr>
          <w:sz w:val="24"/>
          <w:szCs w:val="24"/>
          <w:shd w:val="clear" w:color="auto" w:fill="FFFFFF"/>
        </w:rPr>
        <w:t xml:space="preserve"> the current rules governing </w:t>
      </w:r>
      <w:r w:rsidR="00507262">
        <w:rPr>
          <w:sz w:val="24"/>
          <w:szCs w:val="24"/>
          <w:shd w:val="clear" w:color="auto" w:fill="FFFFFF"/>
        </w:rPr>
        <w:t xml:space="preserve">the </w:t>
      </w:r>
      <w:r>
        <w:rPr>
          <w:sz w:val="24"/>
          <w:szCs w:val="24"/>
          <w:shd w:val="clear" w:color="auto" w:fill="FFFFFF"/>
        </w:rPr>
        <w:t>reporting of communications disruptions</w:t>
      </w:r>
      <w:r w:rsidR="00507262">
        <w:rPr>
          <w:sz w:val="24"/>
          <w:szCs w:val="24"/>
        </w:rPr>
        <w:t>.  T</w:t>
      </w:r>
      <w:r w:rsidR="00381C83">
        <w:rPr>
          <w:sz w:val="24"/>
          <w:szCs w:val="24"/>
        </w:rPr>
        <w:t xml:space="preserve">he reporting would not be duplicative of information </w:t>
      </w:r>
      <w:r w:rsidR="008F0749">
        <w:rPr>
          <w:sz w:val="24"/>
          <w:szCs w:val="24"/>
        </w:rPr>
        <w:t xml:space="preserve">that </w:t>
      </w:r>
      <w:r w:rsidR="00381C83">
        <w:rPr>
          <w:sz w:val="24"/>
          <w:szCs w:val="24"/>
        </w:rPr>
        <w:t xml:space="preserve">the Commission already receives. </w:t>
      </w:r>
    </w:p>
    <w:p w14:paraId="4F6579F8" w14:textId="77777777" w:rsidR="0026661E" w:rsidRPr="00884530" w:rsidRDefault="00DE4795" w:rsidP="0083695D">
      <w:pPr>
        <w:rPr>
          <w:b/>
          <w:sz w:val="24"/>
          <w:szCs w:val="24"/>
          <w:shd w:val="clear" w:color="auto" w:fill="FFFFFF"/>
        </w:rPr>
      </w:pPr>
      <w:r>
        <w:rPr>
          <w:sz w:val="24"/>
          <w:szCs w:val="24"/>
          <w:shd w:val="clear" w:color="auto" w:fill="FFFFFF"/>
        </w:rPr>
        <w:t xml:space="preserve"> </w:t>
      </w:r>
    </w:p>
    <w:p w14:paraId="0304F989" w14:textId="77777777" w:rsidR="00D42FF3" w:rsidRPr="002B584D" w:rsidRDefault="00D42FF3" w:rsidP="0083695D">
      <w:pPr>
        <w:rPr>
          <w:b/>
          <w:sz w:val="24"/>
          <w:szCs w:val="24"/>
          <w:shd w:val="clear" w:color="auto" w:fill="FFFFFF"/>
        </w:rPr>
      </w:pPr>
      <w:r w:rsidRPr="002B584D">
        <w:rPr>
          <w:b/>
          <w:sz w:val="24"/>
          <w:szCs w:val="24"/>
          <w:shd w:val="clear" w:color="auto" w:fill="FFFFFF"/>
        </w:rPr>
        <w:t>5.</w:t>
      </w:r>
      <w:r w:rsidRPr="002B584D">
        <w:rPr>
          <w:sz w:val="24"/>
          <w:szCs w:val="24"/>
          <w:shd w:val="clear" w:color="auto" w:fill="FFFFFF"/>
        </w:rPr>
        <w:t xml:space="preserve"> </w:t>
      </w:r>
      <w:r w:rsidRPr="002B584D">
        <w:rPr>
          <w:b/>
          <w:sz w:val="24"/>
          <w:szCs w:val="24"/>
          <w:shd w:val="clear" w:color="auto" w:fill="FFFFFF"/>
        </w:rPr>
        <w:t>If the collection of information impacts small businesses or other small entities, describe any methods used to minimize burden.</w:t>
      </w:r>
    </w:p>
    <w:p w14:paraId="70E5B975" w14:textId="77777777" w:rsidR="0083695D" w:rsidRPr="002B584D" w:rsidRDefault="0083695D" w:rsidP="0083695D">
      <w:pPr>
        <w:rPr>
          <w:sz w:val="24"/>
          <w:szCs w:val="24"/>
        </w:rPr>
      </w:pPr>
    </w:p>
    <w:p w14:paraId="3808C2A8" w14:textId="4FC0EAF1" w:rsidR="00A96426" w:rsidRPr="005E1203" w:rsidRDefault="00381C83" w:rsidP="003650D9">
      <w:pPr>
        <w:ind w:firstLine="720"/>
        <w:rPr>
          <w:sz w:val="24"/>
          <w:szCs w:val="24"/>
        </w:rPr>
      </w:pPr>
      <w:r w:rsidRPr="002B584D">
        <w:rPr>
          <w:sz w:val="24"/>
          <w:szCs w:val="24"/>
          <w:shd w:val="clear" w:color="auto" w:fill="FFFFFF"/>
        </w:rPr>
        <w:t xml:space="preserve">The </w:t>
      </w:r>
      <w:r w:rsidR="009920C5" w:rsidRPr="002B584D">
        <w:rPr>
          <w:i/>
          <w:sz w:val="24"/>
          <w:szCs w:val="24"/>
          <w:shd w:val="clear" w:color="auto" w:fill="FFFFFF"/>
        </w:rPr>
        <w:t>Report and Order</w:t>
      </w:r>
      <w:r w:rsidR="000841E6" w:rsidRPr="002B584D">
        <w:rPr>
          <w:sz w:val="24"/>
          <w:szCs w:val="24"/>
          <w:shd w:val="clear" w:color="auto" w:fill="FFFFFF"/>
        </w:rPr>
        <w:t xml:space="preserve"> and </w:t>
      </w:r>
      <w:r w:rsidR="000841E6" w:rsidRPr="002B584D">
        <w:rPr>
          <w:i/>
          <w:sz w:val="24"/>
          <w:szCs w:val="24"/>
          <w:shd w:val="clear" w:color="auto" w:fill="FFFFFF"/>
        </w:rPr>
        <w:t>Order on Reconsideration</w:t>
      </w:r>
      <w:r w:rsidR="00507262">
        <w:rPr>
          <w:sz w:val="24"/>
          <w:szCs w:val="24"/>
          <w:shd w:val="clear" w:color="auto" w:fill="FFFFFF"/>
        </w:rPr>
        <w:t xml:space="preserve"> do</w:t>
      </w:r>
      <w:r w:rsidRPr="002B584D">
        <w:rPr>
          <w:sz w:val="24"/>
          <w:szCs w:val="24"/>
          <w:shd w:val="clear" w:color="auto" w:fill="FFFFFF"/>
        </w:rPr>
        <w:t xml:space="preserve"> not relieve small providers, in whole or in part, from the rules. </w:t>
      </w:r>
      <w:r w:rsidR="000841E6" w:rsidRPr="002B584D">
        <w:rPr>
          <w:sz w:val="24"/>
          <w:szCs w:val="24"/>
          <w:shd w:val="clear" w:color="auto" w:fill="FFFFFF"/>
        </w:rPr>
        <w:t>However</w:t>
      </w:r>
      <w:r w:rsidRPr="002B584D">
        <w:rPr>
          <w:sz w:val="24"/>
          <w:szCs w:val="24"/>
          <w:shd w:val="clear" w:color="auto" w:fill="FFFFFF"/>
        </w:rPr>
        <w:t xml:space="preserve">, the Commission explained in the </w:t>
      </w:r>
      <w:r w:rsidR="000841E6" w:rsidRPr="002B584D">
        <w:rPr>
          <w:sz w:val="24"/>
          <w:szCs w:val="24"/>
        </w:rPr>
        <w:t>Final</w:t>
      </w:r>
      <w:r w:rsidRPr="002B584D">
        <w:rPr>
          <w:sz w:val="24"/>
          <w:szCs w:val="24"/>
        </w:rPr>
        <w:t xml:space="preserve"> Re</w:t>
      </w:r>
      <w:r w:rsidR="000841E6" w:rsidRPr="002B584D">
        <w:rPr>
          <w:sz w:val="24"/>
          <w:szCs w:val="24"/>
        </w:rPr>
        <w:t>gulatory Flexibility Analysis (F</w:t>
      </w:r>
      <w:r w:rsidRPr="002B584D">
        <w:rPr>
          <w:sz w:val="24"/>
          <w:szCs w:val="24"/>
        </w:rPr>
        <w:t xml:space="preserve">RFA) that accompanied the </w:t>
      </w:r>
      <w:r w:rsidR="009920C5" w:rsidRPr="002B584D">
        <w:rPr>
          <w:i/>
          <w:sz w:val="24"/>
          <w:szCs w:val="24"/>
        </w:rPr>
        <w:t>Report and Order</w:t>
      </w:r>
      <w:r w:rsidR="000841E6" w:rsidRPr="002B584D">
        <w:rPr>
          <w:sz w:val="24"/>
          <w:szCs w:val="24"/>
          <w:shd w:val="clear" w:color="auto" w:fill="FFFFFF"/>
        </w:rPr>
        <w:t xml:space="preserve"> and </w:t>
      </w:r>
      <w:r w:rsidR="000841E6" w:rsidRPr="002B584D">
        <w:rPr>
          <w:i/>
          <w:sz w:val="24"/>
          <w:szCs w:val="24"/>
          <w:shd w:val="clear" w:color="auto" w:fill="FFFFFF"/>
        </w:rPr>
        <w:t>Order on Reconsideration</w:t>
      </w:r>
      <w:r w:rsidR="000841E6" w:rsidRPr="002B584D">
        <w:rPr>
          <w:sz w:val="24"/>
          <w:szCs w:val="24"/>
          <w:shd w:val="clear" w:color="auto" w:fill="FFFFFF"/>
        </w:rPr>
        <w:t xml:space="preserve"> </w:t>
      </w:r>
      <w:r w:rsidRPr="002B584D">
        <w:rPr>
          <w:sz w:val="24"/>
          <w:szCs w:val="24"/>
        </w:rPr>
        <w:t>its belief</w:t>
      </w:r>
      <w:r w:rsidR="00672F82" w:rsidRPr="002B584D">
        <w:rPr>
          <w:sz w:val="24"/>
          <w:szCs w:val="24"/>
        </w:rPr>
        <w:t xml:space="preserve"> that</w:t>
      </w:r>
      <w:r w:rsidRPr="002B584D">
        <w:rPr>
          <w:sz w:val="24"/>
          <w:szCs w:val="24"/>
        </w:rPr>
        <w:t xml:space="preserve"> “</w:t>
      </w:r>
      <w:r w:rsidR="000805F9" w:rsidRPr="002B584D">
        <w:rPr>
          <w:sz w:val="24"/>
          <w:szCs w:val="24"/>
        </w:rPr>
        <w:t xml:space="preserve">outage reporting triggers are set sufficiently high as to make it unlikely that small businesses would be impacted significantly by the final </w:t>
      </w:r>
      <w:r w:rsidR="000805F9" w:rsidRPr="002B584D">
        <w:rPr>
          <w:sz w:val="24"/>
          <w:szCs w:val="24"/>
        </w:rPr>
        <w:lastRenderedPageBreak/>
        <w:t>rules,</w:t>
      </w:r>
      <w:r w:rsidRPr="002B584D">
        <w:rPr>
          <w:sz w:val="24"/>
          <w:szCs w:val="24"/>
        </w:rPr>
        <w:t>”</w:t>
      </w:r>
      <w:r w:rsidR="000805F9" w:rsidRPr="002B584D">
        <w:rPr>
          <w:sz w:val="24"/>
          <w:szCs w:val="24"/>
        </w:rPr>
        <w:t xml:space="preserve"> and that it “anticipate[s] that in many instances, small businesses will find their burden decreased by the new reporting thresholds.”</w:t>
      </w:r>
      <w:r w:rsidR="005E1203" w:rsidRPr="002B584D">
        <w:rPr>
          <w:rStyle w:val="FootnoteReference"/>
          <w:sz w:val="24"/>
          <w:szCs w:val="24"/>
        </w:rPr>
        <w:footnoteReference w:id="8"/>
      </w:r>
      <w:r w:rsidR="00D11D56" w:rsidRPr="002B584D">
        <w:rPr>
          <w:sz w:val="24"/>
          <w:szCs w:val="24"/>
        </w:rPr>
        <w:t xml:space="preserve"> </w:t>
      </w:r>
      <w:r w:rsidRPr="002B584D">
        <w:rPr>
          <w:sz w:val="24"/>
          <w:szCs w:val="24"/>
        </w:rPr>
        <w:t xml:space="preserve"> In particular, the replace</w:t>
      </w:r>
      <w:r w:rsidR="00370DEC" w:rsidRPr="002B584D">
        <w:rPr>
          <w:sz w:val="24"/>
          <w:szCs w:val="24"/>
        </w:rPr>
        <w:t xml:space="preserve">ment of the </w:t>
      </w:r>
      <w:r w:rsidRPr="002B584D">
        <w:rPr>
          <w:sz w:val="24"/>
          <w:szCs w:val="24"/>
        </w:rPr>
        <w:t>DS3-based reporting threshold for transport facility outages with a higher OC3-based threshold could have a particularly beneficial impact on smaller providers, who m</w:t>
      </w:r>
      <w:r w:rsidR="00672F82" w:rsidRPr="002B584D">
        <w:rPr>
          <w:sz w:val="24"/>
          <w:szCs w:val="24"/>
        </w:rPr>
        <w:t>ay be</w:t>
      </w:r>
      <w:r w:rsidRPr="002B584D">
        <w:rPr>
          <w:sz w:val="24"/>
          <w:szCs w:val="24"/>
        </w:rPr>
        <w:t xml:space="preserve"> likely to suffer disruptions that qualify as reportable outages unde</w:t>
      </w:r>
      <w:r w:rsidR="00672F82" w:rsidRPr="002B584D">
        <w:rPr>
          <w:sz w:val="24"/>
          <w:szCs w:val="24"/>
        </w:rPr>
        <w:t>r the current but not under the replacement threshold</w:t>
      </w:r>
      <w:r w:rsidRPr="002B584D">
        <w:rPr>
          <w:sz w:val="24"/>
          <w:szCs w:val="24"/>
        </w:rPr>
        <w:t xml:space="preserve">. </w:t>
      </w:r>
      <w:r w:rsidR="00370DEC" w:rsidRPr="002B584D">
        <w:rPr>
          <w:sz w:val="24"/>
          <w:szCs w:val="24"/>
        </w:rPr>
        <w:t xml:space="preserve"> In</w:t>
      </w:r>
      <w:r w:rsidR="00370DEC">
        <w:rPr>
          <w:sz w:val="24"/>
          <w:szCs w:val="24"/>
        </w:rPr>
        <w:t xml:space="preserve"> addition, </w:t>
      </w:r>
      <w:r w:rsidR="00940A0C">
        <w:rPr>
          <w:sz w:val="24"/>
          <w:szCs w:val="24"/>
        </w:rPr>
        <w:t xml:space="preserve">to allow flexibility for smaller carriers, </w:t>
      </w:r>
      <w:r w:rsidR="00507262">
        <w:rPr>
          <w:sz w:val="24"/>
          <w:szCs w:val="24"/>
        </w:rPr>
        <w:t>the Commission</w:t>
      </w:r>
      <w:r w:rsidR="00370DEC">
        <w:rPr>
          <w:sz w:val="24"/>
          <w:szCs w:val="24"/>
        </w:rPr>
        <w:t xml:space="preserve"> provide</w:t>
      </w:r>
      <w:r w:rsidR="00507262">
        <w:rPr>
          <w:sz w:val="24"/>
          <w:szCs w:val="24"/>
        </w:rPr>
        <w:t>s</w:t>
      </w:r>
      <w:r w:rsidR="00370DEC">
        <w:rPr>
          <w:sz w:val="24"/>
          <w:szCs w:val="24"/>
        </w:rPr>
        <w:t xml:space="preserve"> implementation timeframes for a number of requirements, including the </w:t>
      </w:r>
      <w:r w:rsidR="00940A0C">
        <w:rPr>
          <w:sz w:val="24"/>
          <w:szCs w:val="24"/>
        </w:rPr>
        <w:t xml:space="preserve">adoption of a requirement for </w:t>
      </w:r>
      <w:r w:rsidR="001856ED">
        <w:rPr>
          <w:sz w:val="24"/>
          <w:szCs w:val="24"/>
        </w:rPr>
        <w:t xml:space="preserve">a </w:t>
      </w:r>
      <w:r w:rsidR="00940A0C">
        <w:rPr>
          <w:sz w:val="24"/>
          <w:szCs w:val="24"/>
        </w:rPr>
        <w:t>911 service provider to report loss of communications when at least 80 percent of its trunks serving a PSAP become impaired to the point that they cannot support 911 call delivery in accordance with the Commission’s rules</w:t>
      </w:r>
      <w:r w:rsidR="00370DEC">
        <w:rPr>
          <w:sz w:val="24"/>
          <w:szCs w:val="24"/>
        </w:rPr>
        <w:t>.</w:t>
      </w:r>
      <w:r w:rsidR="00370DEC">
        <w:rPr>
          <w:rStyle w:val="FootnoteReference"/>
          <w:sz w:val="24"/>
          <w:szCs w:val="24"/>
        </w:rPr>
        <w:footnoteReference w:id="9"/>
      </w:r>
    </w:p>
    <w:p w14:paraId="432068E5" w14:textId="77777777" w:rsidR="00D42FF3" w:rsidRPr="00884530" w:rsidRDefault="00D42FF3" w:rsidP="0083695D">
      <w:pPr>
        <w:rPr>
          <w:sz w:val="24"/>
          <w:szCs w:val="24"/>
          <w:shd w:val="clear" w:color="auto" w:fill="FFFFFF"/>
        </w:rPr>
      </w:pPr>
    </w:p>
    <w:p w14:paraId="4D64E611" w14:textId="77777777" w:rsidR="00D42FF3" w:rsidRPr="00884530" w:rsidRDefault="00D42FF3" w:rsidP="0083695D">
      <w:pPr>
        <w:rPr>
          <w:b/>
          <w:sz w:val="24"/>
          <w:szCs w:val="24"/>
          <w:shd w:val="clear" w:color="auto" w:fill="FFFFFF"/>
        </w:rPr>
      </w:pPr>
      <w:r w:rsidRPr="00884530">
        <w:rPr>
          <w:b/>
          <w:sz w:val="24"/>
          <w:szCs w:val="24"/>
          <w:shd w:val="clear" w:color="auto" w:fill="FFFFFF"/>
        </w:rPr>
        <w:t>6.  Describe the consequence</w:t>
      </w:r>
      <w:r w:rsidR="00B460D9" w:rsidRPr="00884530">
        <w:rPr>
          <w:b/>
          <w:sz w:val="24"/>
          <w:szCs w:val="24"/>
          <w:shd w:val="clear" w:color="auto" w:fill="FFFFFF"/>
        </w:rPr>
        <w:t>s</w:t>
      </w:r>
      <w:r w:rsidRPr="00884530">
        <w:rPr>
          <w:b/>
          <w:sz w:val="24"/>
          <w:szCs w:val="24"/>
          <w:shd w:val="clear" w:color="auto" w:fill="FFFFFF"/>
        </w:rPr>
        <w:t xml:space="preserve"> to </w:t>
      </w:r>
      <w:r w:rsidR="00B460D9" w:rsidRPr="00884530">
        <w:rPr>
          <w:b/>
          <w:sz w:val="24"/>
          <w:szCs w:val="24"/>
          <w:shd w:val="clear" w:color="auto" w:fill="FFFFFF"/>
        </w:rPr>
        <w:t xml:space="preserve">a </w:t>
      </w:r>
      <w:r w:rsidRPr="00884530">
        <w:rPr>
          <w:b/>
          <w:sz w:val="24"/>
          <w:szCs w:val="24"/>
          <w:shd w:val="clear" w:color="auto" w:fill="FFFFFF"/>
        </w:rPr>
        <w:t>Fede</w:t>
      </w:r>
      <w:r w:rsidR="00B460D9" w:rsidRPr="00884530">
        <w:rPr>
          <w:b/>
          <w:sz w:val="24"/>
          <w:szCs w:val="24"/>
          <w:shd w:val="clear" w:color="auto" w:fill="FFFFFF"/>
        </w:rPr>
        <w:t>ral program or policy activity,</w:t>
      </w:r>
      <w:r w:rsidRPr="00884530">
        <w:rPr>
          <w:b/>
          <w:sz w:val="24"/>
          <w:szCs w:val="24"/>
          <w:shd w:val="clear" w:color="auto" w:fill="FFFFFF"/>
        </w:rPr>
        <w:t xml:space="preserve"> if the collection is not conducted or is conducted less frequently, as well as any technica</w:t>
      </w:r>
      <w:r w:rsidR="00B460D9" w:rsidRPr="00884530">
        <w:rPr>
          <w:b/>
          <w:sz w:val="24"/>
          <w:szCs w:val="24"/>
          <w:shd w:val="clear" w:color="auto" w:fill="FFFFFF"/>
        </w:rPr>
        <w:t>l or legal obstacles to reduce</w:t>
      </w:r>
      <w:r w:rsidRPr="00884530">
        <w:rPr>
          <w:b/>
          <w:sz w:val="24"/>
          <w:szCs w:val="24"/>
          <w:shd w:val="clear" w:color="auto" w:fill="FFFFFF"/>
        </w:rPr>
        <w:t xml:space="preserve"> burden.</w:t>
      </w:r>
    </w:p>
    <w:p w14:paraId="32DB01F4" w14:textId="77777777" w:rsidR="0083695D" w:rsidRPr="00884530" w:rsidRDefault="0083695D" w:rsidP="0083695D">
      <w:pPr>
        <w:rPr>
          <w:sz w:val="24"/>
          <w:szCs w:val="24"/>
          <w:shd w:val="clear" w:color="auto" w:fill="FFFFFF"/>
        </w:rPr>
      </w:pPr>
    </w:p>
    <w:p w14:paraId="16E6B713" w14:textId="75E59D72" w:rsidR="007D2F4A" w:rsidRPr="00467E70" w:rsidRDefault="00FA1AF0" w:rsidP="003650D9">
      <w:pPr>
        <w:ind w:firstLine="720"/>
        <w:rPr>
          <w:sz w:val="24"/>
          <w:szCs w:val="24"/>
        </w:rPr>
      </w:pPr>
      <w:r w:rsidRPr="00884530">
        <w:rPr>
          <w:sz w:val="24"/>
          <w:szCs w:val="24"/>
        </w:rPr>
        <w:t xml:space="preserve">The </w:t>
      </w:r>
      <w:r w:rsidR="00507262">
        <w:rPr>
          <w:sz w:val="24"/>
          <w:szCs w:val="24"/>
        </w:rPr>
        <w:t>Commission</w:t>
      </w:r>
      <w:r w:rsidRPr="00884530">
        <w:rPr>
          <w:sz w:val="24"/>
          <w:szCs w:val="24"/>
        </w:rPr>
        <w:t xml:space="preserve"> has a statutory mandate to “promot[e] the safety of life and property through the use of wire and radio communications,”</w:t>
      </w:r>
      <w:r w:rsidRPr="00884530">
        <w:rPr>
          <w:rStyle w:val="FootnoteReference"/>
          <w:sz w:val="24"/>
          <w:szCs w:val="24"/>
        </w:rPr>
        <w:footnoteReference w:id="10"/>
      </w:r>
      <w:r w:rsidRPr="00884530">
        <w:rPr>
          <w:sz w:val="24"/>
          <w:szCs w:val="24"/>
        </w:rPr>
        <w:t xml:space="preserve"> and Congress has delegated to the Commission specific responsibilities to “designate 911 as the universal emergency telephone number for reporting an emergency to appropriate authorities and requesting assistance.”</w:t>
      </w:r>
      <w:r w:rsidRPr="00884530">
        <w:rPr>
          <w:rStyle w:val="FootnoteReference"/>
          <w:sz w:val="24"/>
          <w:szCs w:val="24"/>
        </w:rPr>
        <w:footnoteReference w:id="11"/>
      </w:r>
      <w:r w:rsidRPr="00884530">
        <w:rPr>
          <w:sz w:val="24"/>
          <w:szCs w:val="24"/>
        </w:rPr>
        <w:t xml:space="preserve">  </w:t>
      </w:r>
      <w:r w:rsidR="008E74BC" w:rsidRPr="00884530">
        <w:rPr>
          <w:sz w:val="24"/>
          <w:szCs w:val="24"/>
        </w:rPr>
        <w:t xml:space="preserve">The </w:t>
      </w:r>
      <w:r w:rsidR="008E74BC" w:rsidRPr="00884530">
        <w:rPr>
          <w:sz w:val="24"/>
          <w:szCs w:val="24"/>
        </w:rPr>
        <w:lastRenderedPageBreak/>
        <w:t xml:space="preserve">Commission’s </w:t>
      </w:r>
      <w:r w:rsidRPr="00884530">
        <w:rPr>
          <w:sz w:val="24"/>
          <w:szCs w:val="24"/>
        </w:rPr>
        <w:t>efforts to ensure that such reports and requests for assistance can reliably be transmitted are “necessary in the pu</w:t>
      </w:r>
      <w:r w:rsidR="00DE6918">
        <w:rPr>
          <w:sz w:val="24"/>
          <w:szCs w:val="24"/>
        </w:rPr>
        <w:t xml:space="preserve">blic interest to carry out” </w:t>
      </w:r>
      <w:r w:rsidR="00DE6918" w:rsidRPr="00467E70">
        <w:rPr>
          <w:sz w:val="24"/>
          <w:szCs w:val="24"/>
        </w:rPr>
        <w:t>these</w:t>
      </w:r>
      <w:r w:rsidRPr="00467E70">
        <w:rPr>
          <w:sz w:val="24"/>
          <w:szCs w:val="24"/>
        </w:rPr>
        <w:t xml:space="preserve"> provision</w:t>
      </w:r>
      <w:r w:rsidR="00DE6918" w:rsidRPr="00467E70">
        <w:rPr>
          <w:sz w:val="24"/>
          <w:szCs w:val="24"/>
        </w:rPr>
        <w:t>s</w:t>
      </w:r>
      <w:r w:rsidRPr="00467E70">
        <w:rPr>
          <w:sz w:val="24"/>
          <w:szCs w:val="24"/>
        </w:rPr>
        <w:t xml:space="preserve"> of the Communications Act.</w:t>
      </w:r>
      <w:r w:rsidRPr="00467E70">
        <w:rPr>
          <w:rStyle w:val="FootnoteReference"/>
          <w:sz w:val="24"/>
          <w:szCs w:val="24"/>
        </w:rPr>
        <w:footnoteReference w:id="12"/>
      </w:r>
      <w:r w:rsidR="008E74BC" w:rsidRPr="00467E70">
        <w:rPr>
          <w:sz w:val="24"/>
          <w:szCs w:val="24"/>
        </w:rPr>
        <w:t xml:space="preserve">  </w:t>
      </w:r>
      <w:r w:rsidR="00381C83" w:rsidRPr="00467E70">
        <w:rPr>
          <w:sz w:val="24"/>
          <w:szCs w:val="24"/>
        </w:rPr>
        <w:t xml:space="preserve">Outage reporting provides the Commission with timely and reliable data that enables </w:t>
      </w:r>
      <w:r w:rsidR="00062C0C">
        <w:rPr>
          <w:sz w:val="24"/>
          <w:szCs w:val="24"/>
        </w:rPr>
        <w:t xml:space="preserve">the Commission </w:t>
      </w:r>
      <w:r w:rsidR="00381C83" w:rsidRPr="00467E70">
        <w:rPr>
          <w:sz w:val="24"/>
          <w:szCs w:val="24"/>
        </w:rPr>
        <w:t xml:space="preserve">to monitor the reliability of these networks. </w:t>
      </w:r>
      <w:r w:rsidR="00234275">
        <w:rPr>
          <w:sz w:val="24"/>
          <w:szCs w:val="24"/>
        </w:rPr>
        <w:t xml:space="preserve"> The </w:t>
      </w:r>
      <w:r w:rsidR="00234275" w:rsidRPr="00234275">
        <w:rPr>
          <w:i/>
          <w:sz w:val="24"/>
          <w:szCs w:val="24"/>
        </w:rPr>
        <w:t>Report and Order</w:t>
      </w:r>
      <w:r w:rsidR="00234275">
        <w:rPr>
          <w:sz w:val="24"/>
          <w:szCs w:val="24"/>
        </w:rPr>
        <w:t xml:space="preserve"> and </w:t>
      </w:r>
      <w:r w:rsidR="00234275" w:rsidRPr="00234275">
        <w:rPr>
          <w:i/>
          <w:sz w:val="24"/>
          <w:szCs w:val="24"/>
        </w:rPr>
        <w:t>Order on Reconsideration</w:t>
      </w:r>
      <w:r w:rsidR="00234275">
        <w:rPr>
          <w:sz w:val="24"/>
          <w:szCs w:val="24"/>
        </w:rPr>
        <w:t xml:space="preserve"> adopt measures to refine outage reporting rules to “reflect advancements” since the Commission last adopted rules in 2012.</w:t>
      </w:r>
      <w:r w:rsidR="00234275">
        <w:rPr>
          <w:rStyle w:val="FootnoteReference"/>
          <w:sz w:val="24"/>
          <w:szCs w:val="24"/>
        </w:rPr>
        <w:footnoteReference w:id="13"/>
      </w:r>
      <w:r w:rsidR="00234275">
        <w:rPr>
          <w:sz w:val="24"/>
          <w:szCs w:val="24"/>
        </w:rPr>
        <w:t xml:space="preserve">  For example, the Commission adopts a change to modernize the reporting metric used for major transport facility outages recognizing that the current metric is unhelpful for outage analysis.</w:t>
      </w:r>
      <w:r w:rsidR="00234275">
        <w:rPr>
          <w:rStyle w:val="FootnoteReference"/>
          <w:sz w:val="24"/>
          <w:szCs w:val="24"/>
        </w:rPr>
        <w:footnoteReference w:id="14"/>
      </w:r>
    </w:p>
    <w:p w14:paraId="2C0A07AE" w14:textId="77777777" w:rsidR="008E74BC" w:rsidRPr="00884530" w:rsidRDefault="008E74BC" w:rsidP="003650D9">
      <w:pPr>
        <w:ind w:firstLine="720"/>
        <w:rPr>
          <w:sz w:val="24"/>
          <w:szCs w:val="24"/>
        </w:rPr>
      </w:pPr>
    </w:p>
    <w:p w14:paraId="17D56565" w14:textId="77777777" w:rsidR="00D42FF3" w:rsidRPr="00884530" w:rsidRDefault="00D42FF3" w:rsidP="0083695D">
      <w:pPr>
        <w:rPr>
          <w:b/>
          <w:sz w:val="24"/>
          <w:szCs w:val="24"/>
          <w:shd w:val="clear" w:color="auto" w:fill="FFFFFF"/>
        </w:rPr>
      </w:pPr>
      <w:r w:rsidRPr="00884530">
        <w:rPr>
          <w:b/>
          <w:sz w:val="24"/>
          <w:szCs w:val="24"/>
          <w:shd w:val="clear" w:color="auto" w:fill="FFFFFF"/>
        </w:rPr>
        <w:t xml:space="preserve">7.  Explain any special circumstances that would cause an information collection to be conducted in a manner inconsistent with the criteria listed in </w:t>
      </w:r>
      <w:r w:rsidR="00B460D9" w:rsidRPr="00884530">
        <w:rPr>
          <w:b/>
          <w:sz w:val="24"/>
          <w:szCs w:val="24"/>
          <w:shd w:val="clear" w:color="auto" w:fill="FFFFFF"/>
        </w:rPr>
        <w:t>supporting statement</w:t>
      </w:r>
      <w:r w:rsidR="006379AC" w:rsidRPr="00884530">
        <w:rPr>
          <w:b/>
          <w:sz w:val="24"/>
          <w:szCs w:val="24"/>
          <w:shd w:val="clear" w:color="auto" w:fill="FFFFFF"/>
        </w:rPr>
        <w:t>.</w:t>
      </w:r>
    </w:p>
    <w:p w14:paraId="709F9C98" w14:textId="77777777" w:rsidR="0083695D" w:rsidRPr="00884530" w:rsidRDefault="0083695D" w:rsidP="0083695D">
      <w:pPr>
        <w:rPr>
          <w:sz w:val="24"/>
          <w:szCs w:val="24"/>
          <w:shd w:val="clear" w:color="auto" w:fill="FFFFFF"/>
        </w:rPr>
      </w:pPr>
    </w:p>
    <w:p w14:paraId="3647694F" w14:textId="77777777" w:rsidR="00D42FF3" w:rsidRDefault="004A2B4D" w:rsidP="004A2B4D">
      <w:pPr>
        <w:ind w:firstLine="720"/>
        <w:rPr>
          <w:sz w:val="24"/>
          <w:szCs w:val="24"/>
          <w:shd w:val="clear" w:color="auto" w:fill="FFFFFF"/>
        </w:rPr>
      </w:pPr>
      <w:r w:rsidRPr="00884530">
        <w:rPr>
          <w:sz w:val="24"/>
          <w:szCs w:val="24"/>
          <w:shd w:val="clear" w:color="auto" w:fill="FFFFFF"/>
        </w:rPr>
        <w:t xml:space="preserve">This revised information collection is consistent with the requirements of 5 C.F.R. § 1320 and the criteria listed in this Supporting Statement.  We do not anticipate circumstances that would result in </w:t>
      </w:r>
      <w:r w:rsidR="007F6988" w:rsidRPr="00884530">
        <w:rPr>
          <w:sz w:val="24"/>
          <w:szCs w:val="24"/>
          <w:shd w:val="clear" w:color="auto" w:fill="FFFFFF"/>
        </w:rPr>
        <w:t xml:space="preserve">a </w:t>
      </w:r>
      <w:r w:rsidRPr="00884530">
        <w:rPr>
          <w:sz w:val="24"/>
          <w:szCs w:val="24"/>
          <w:shd w:val="clear" w:color="auto" w:fill="FFFFFF"/>
        </w:rPr>
        <w:t>collection of information</w:t>
      </w:r>
      <w:r w:rsidR="007F6988" w:rsidRPr="00884530">
        <w:rPr>
          <w:sz w:val="24"/>
          <w:szCs w:val="24"/>
          <w:shd w:val="clear" w:color="auto" w:fill="FFFFFF"/>
        </w:rPr>
        <w:t xml:space="preserve"> in an inconsistent manner</w:t>
      </w:r>
      <w:r w:rsidRPr="00884530">
        <w:rPr>
          <w:sz w:val="24"/>
          <w:szCs w:val="24"/>
          <w:shd w:val="clear" w:color="auto" w:fill="FFFFFF"/>
        </w:rPr>
        <w:t>.</w:t>
      </w:r>
    </w:p>
    <w:p w14:paraId="6C9FB95D" w14:textId="77777777" w:rsidR="0083695D" w:rsidRPr="00884530" w:rsidRDefault="0083695D" w:rsidP="0083695D">
      <w:pPr>
        <w:rPr>
          <w:b/>
          <w:sz w:val="24"/>
          <w:szCs w:val="24"/>
          <w:shd w:val="clear" w:color="auto" w:fill="FFFFFF"/>
        </w:rPr>
      </w:pPr>
    </w:p>
    <w:p w14:paraId="4697116E" w14:textId="6409740F" w:rsidR="00D42FF3" w:rsidRPr="00884530" w:rsidRDefault="00D42FF3" w:rsidP="0083695D">
      <w:pPr>
        <w:rPr>
          <w:b/>
          <w:sz w:val="24"/>
          <w:szCs w:val="24"/>
          <w:shd w:val="clear" w:color="auto" w:fill="FFFFFF"/>
        </w:rPr>
      </w:pPr>
      <w:r w:rsidRPr="00884530">
        <w:rPr>
          <w:b/>
          <w:sz w:val="24"/>
          <w:szCs w:val="24"/>
          <w:shd w:val="clear" w:color="auto" w:fill="FFFFFF"/>
        </w:rPr>
        <w:t>8.</w:t>
      </w:r>
      <w:r w:rsidRPr="00884530">
        <w:rPr>
          <w:sz w:val="24"/>
          <w:szCs w:val="24"/>
          <w:shd w:val="clear" w:color="auto" w:fill="FFFFFF"/>
        </w:rPr>
        <w:t xml:space="preserve">  </w:t>
      </w:r>
      <w:r w:rsidRPr="00884530">
        <w:rPr>
          <w:b/>
          <w:sz w:val="24"/>
          <w:szCs w:val="24"/>
          <w:shd w:val="clear" w:color="auto" w:fill="FFFFFF"/>
        </w:rPr>
        <w:t xml:space="preserve">If applicable, provide a copy and identify the date and page number of publication in the Federal Register of the agency’s </w:t>
      </w:r>
      <w:r w:rsidR="009920C5">
        <w:rPr>
          <w:b/>
          <w:sz w:val="24"/>
          <w:szCs w:val="24"/>
          <w:shd w:val="clear" w:color="auto" w:fill="FFFFFF"/>
        </w:rPr>
        <w:t>Report and Order</w:t>
      </w:r>
      <w:r w:rsidRPr="00884530">
        <w:rPr>
          <w:b/>
          <w:sz w:val="24"/>
          <w:szCs w:val="24"/>
          <w:shd w:val="clear" w:color="auto" w:fill="FFFFFF"/>
        </w:rPr>
        <w:t>, required by 5 CFR 1320.8(d), soliciting comments on the information prior to submission to OMB.</w:t>
      </w:r>
    </w:p>
    <w:p w14:paraId="2C84917D" w14:textId="77777777" w:rsidR="0075213F" w:rsidRPr="00884530" w:rsidRDefault="00D42FF3" w:rsidP="0083695D">
      <w:pPr>
        <w:rPr>
          <w:sz w:val="24"/>
          <w:szCs w:val="24"/>
          <w:shd w:val="clear" w:color="auto" w:fill="FFFFFF"/>
        </w:rPr>
      </w:pPr>
      <w:r w:rsidRPr="00884530">
        <w:rPr>
          <w:b/>
          <w:sz w:val="24"/>
          <w:szCs w:val="24"/>
          <w:shd w:val="clear" w:color="auto" w:fill="FFFFFF"/>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74CE2ACB" w14:textId="77777777" w:rsidR="001941E0" w:rsidRDefault="001941E0" w:rsidP="0083695D">
      <w:pPr>
        <w:rPr>
          <w:sz w:val="24"/>
          <w:szCs w:val="24"/>
          <w:shd w:val="clear" w:color="auto" w:fill="FFFFFF"/>
        </w:rPr>
      </w:pPr>
    </w:p>
    <w:p w14:paraId="244CAB67" w14:textId="111E21FC" w:rsidR="007F7CEC" w:rsidRPr="007F7CEC" w:rsidRDefault="007F7CEC" w:rsidP="007F7CEC">
      <w:pPr>
        <w:suppressAutoHyphens w:val="0"/>
        <w:rPr>
          <w:kern w:val="0"/>
          <w:sz w:val="24"/>
          <w:lang w:eastAsia="en-US"/>
        </w:rPr>
      </w:pPr>
      <w:r w:rsidRPr="007F7CEC">
        <w:rPr>
          <w:kern w:val="0"/>
          <w:sz w:val="24"/>
          <w:lang w:eastAsia="en-US"/>
        </w:rPr>
        <w:tab/>
      </w:r>
      <w:r w:rsidRPr="00F119AF">
        <w:rPr>
          <w:kern w:val="0"/>
          <w:sz w:val="24"/>
          <w:lang w:eastAsia="en-US"/>
        </w:rPr>
        <w:t xml:space="preserve">The Commission published a Federal Register </w:t>
      </w:r>
      <w:r w:rsidR="00D3026D">
        <w:rPr>
          <w:kern w:val="0"/>
          <w:sz w:val="24"/>
          <w:lang w:eastAsia="en-US"/>
        </w:rPr>
        <w:t xml:space="preserve">Notice </w:t>
      </w:r>
      <w:r w:rsidRPr="00687B8A">
        <w:rPr>
          <w:kern w:val="0"/>
          <w:sz w:val="24"/>
          <w:lang w:eastAsia="en-US"/>
        </w:rPr>
        <w:t>(</w:t>
      </w:r>
      <w:r w:rsidR="00687B8A" w:rsidRPr="00687B8A">
        <w:rPr>
          <w:kern w:val="0"/>
          <w:sz w:val="24"/>
          <w:lang w:eastAsia="en-US"/>
        </w:rPr>
        <w:t xml:space="preserve">81 </w:t>
      </w:r>
      <w:r w:rsidR="00E40605" w:rsidRPr="00687B8A">
        <w:rPr>
          <w:kern w:val="0"/>
          <w:sz w:val="24"/>
          <w:lang w:eastAsia="en-US"/>
        </w:rPr>
        <w:t xml:space="preserve">FR </w:t>
      </w:r>
      <w:r w:rsidR="00687B8A" w:rsidRPr="00687B8A">
        <w:rPr>
          <w:kern w:val="0"/>
          <w:sz w:val="24"/>
          <w:lang w:eastAsia="en-US"/>
        </w:rPr>
        <w:t>62128</w:t>
      </w:r>
      <w:r w:rsidRPr="00F119AF">
        <w:rPr>
          <w:kern w:val="0"/>
          <w:sz w:val="24"/>
          <w:lang w:eastAsia="en-US"/>
        </w:rPr>
        <w:t xml:space="preserve">) on </w:t>
      </w:r>
      <w:r w:rsidR="00D3026D" w:rsidRPr="00687B8A">
        <w:rPr>
          <w:kern w:val="0"/>
          <w:sz w:val="24"/>
          <w:lang w:eastAsia="en-US"/>
        </w:rPr>
        <w:t>September</w:t>
      </w:r>
      <w:r w:rsidR="00687B8A" w:rsidRPr="00687B8A">
        <w:rPr>
          <w:kern w:val="0"/>
          <w:sz w:val="24"/>
          <w:lang w:eastAsia="en-US"/>
        </w:rPr>
        <w:t xml:space="preserve"> 8</w:t>
      </w:r>
      <w:r w:rsidR="002B584D" w:rsidRPr="00687B8A">
        <w:rPr>
          <w:kern w:val="0"/>
          <w:sz w:val="24"/>
          <w:lang w:eastAsia="en-US"/>
        </w:rPr>
        <w:t>,</w:t>
      </w:r>
      <w:r w:rsidR="002B584D">
        <w:rPr>
          <w:kern w:val="0"/>
          <w:sz w:val="24"/>
          <w:lang w:eastAsia="en-US"/>
        </w:rPr>
        <w:t xml:space="preserve"> 2016, </w:t>
      </w:r>
      <w:r w:rsidRPr="00F119AF">
        <w:rPr>
          <w:kern w:val="0"/>
          <w:sz w:val="24"/>
          <w:lang w:eastAsia="en-US"/>
        </w:rPr>
        <w:t xml:space="preserve">seeking comments on </w:t>
      </w:r>
      <w:r w:rsidR="009516AE">
        <w:rPr>
          <w:kern w:val="0"/>
          <w:sz w:val="24"/>
          <w:lang w:eastAsia="en-US"/>
        </w:rPr>
        <w:t>some i</w:t>
      </w:r>
      <w:r w:rsidRPr="00F119AF">
        <w:rPr>
          <w:kern w:val="0"/>
          <w:sz w:val="24"/>
          <w:lang w:eastAsia="en-US"/>
        </w:rPr>
        <w:t xml:space="preserve">nformation collection requirements contained in this supporting statement.  </w:t>
      </w:r>
      <w:r w:rsidR="00D3026D">
        <w:rPr>
          <w:kern w:val="0"/>
          <w:sz w:val="24"/>
          <w:lang w:eastAsia="en-US"/>
        </w:rPr>
        <w:t>There were no comments received from the public</w:t>
      </w:r>
      <w:r w:rsidR="00A5283F">
        <w:rPr>
          <w:kern w:val="0"/>
          <w:sz w:val="24"/>
          <w:lang w:eastAsia="en-US"/>
        </w:rPr>
        <w:t xml:space="preserve"> as a result of this notice. </w:t>
      </w:r>
    </w:p>
    <w:p w14:paraId="2C58596C" w14:textId="77777777" w:rsidR="007F7CEC" w:rsidRDefault="007F7CEC" w:rsidP="0083695D">
      <w:pPr>
        <w:rPr>
          <w:sz w:val="24"/>
          <w:szCs w:val="24"/>
          <w:shd w:val="clear" w:color="auto" w:fill="FFFFFF"/>
        </w:rPr>
      </w:pPr>
    </w:p>
    <w:p w14:paraId="546B5741" w14:textId="77777777" w:rsidR="00D42FF3" w:rsidRPr="00884530" w:rsidRDefault="00D42FF3" w:rsidP="0083695D">
      <w:pPr>
        <w:rPr>
          <w:b/>
          <w:sz w:val="24"/>
          <w:szCs w:val="24"/>
          <w:shd w:val="clear" w:color="auto" w:fill="FFFFFF"/>
        </w:rPr>
      </w:pPr>
      <w:r w:rsidRPr="00884530">
        <w:rPr>
          <w:b/>
          <w:sz w:val="24"/>
          <w:szCs w:val="24"/>
          <w:shd w:val="clear" w:color="auto" w:fill="FFFFFF"/>
        </w:rPr>
        <w:t>9.</w:t>
      </w:r>
      <w:r w:rsidRPr="00884530">
        <w:rPr>
          <w:sz w:val="24"/>
          <w:szCs w:val="24"/>
          <w:shd w:val="clear" w:color="auto" w:fill="FFFFFF"/>
        </w:rPr>
        <w:t xml:space="preserve">  </w:t>
      </w:r>
      <w:r w:rsidRPr="00884530">
        <w:rPr>
          <w:b/>
          <w:sz w:val="24"/>
          <w:szCs w:val="24"/>
          <w:shd w:val="clear" w:color="auto" w:fill="FFFFFF"/>
        </w:rPr>
        <w:t>Explain any decision to provide any payment or gift to respondents, other than remuneration of contractors or grantees.</w:t>
      </w:r>
    </w:p>
    <w:p w14:paraId="34FF3C58" w14:textId="77777777" w:rsidR="003650D9" w:rsidRPr="00884530" w:rsidRDefault="003650D9" w:rsidP="0083695D">
      <w:pPr>
        <w:rPr>
          <w:sz w:val="24"/>
          <w:szCs w:val="24"/>
          <w:shd w:val="clear" w:color="auto" w:fill="FFFFFF"/>
        </w:rPr>
      </w:pPr>
    </w:p>
    <w:p w14:paraId="3EBACCBE" w14:textId="77777777" w:rsidR="00D42FF3" w:rsidRPr="00884530" w:rsidRDefault="00D42FF3" w:rsidP="003650D9">
      <w:pPr>
        <w:ind w:firstLine="720"/>
        <w:rPr>
          <w:sz w:val="24"/>
          <w:szCs w:val="24"/>
          <w:shd w:val="clear" w:color="auto" w:fill="FFFFFF"/>
        </w:rPr>
      </w:pPr>
      <w:r w:rsidRPr="00884530">
        <w:rPr>
          <w:sz w:val="24"/>
          <w:szCs w:val="24"/>
          <w:shd w:val="clear" w:color="auto" w:fill="FFFFFF"/>
        </w:rPr>
        <w:t>No payment or gift to respondents has been or will be made</w:t>
      </w:r>
      <w:r w:rsidR="003B40FD">
        <w:rPr>
          <w:sz w:val="24"/>
          <w:szCs w:val="24"/>
          <w:shd w:val="clear" w:color="auto" w:fill="FFFFFF"/>
        </w:rPr>
        <w:t xml:space="preserve"> in connection to this information collection</w:t>
      </w:r>
      <w:r w:rsidRPr="00884530">
        <w:rPr>
          <w:sz w:val="24"/>
          <w:szCs w:val="24"/>
          <w:shd w:val="clear" w:color="auto" w:fill="FFFFFF"/>
        </w:rPr>
        <w:t>.</w:t>
      </w:r>
    </w:p>
    <w:p w14:paraId="1F4D6786" w14:textId="77777777" w:rsidR="0083695D" w:rsidRPr="00884530" w:rsidRDefault="0083695D" w:rsidP="0083695D">
      <w:pPr>
        <w:rPr>
          <w:b/>
          <w:sz w:val="24"/>
          <w:szCs w:val="24"/>
          <w:shd w:val="clear" w:color="auto" w:fill="FFFFFF"/>
        </w:rPr>
      </w:pPr>
    </w:p>
    <w:p w14:paraId="778932A1" w14:textId="77777777" w:rsidR="00D42FF3" w:rsidRPr="00884530" w:rsidRDefault="00D42FF3" w:rsidP="0083695D">
      <w:pPr>
        <w:rPr>
          <w:b/>
          <w:sz w:val="24"/>
          <w:szCs w:val="24"/>
          <w:shd w:val="clear" w:color="auto" w:fill="FFFFFF"/>
        </w:rPr>
      </w:pPr>
      <w:r w:rsidRPr="002B584D">
        <w:rPr>
          <w:b/>
          <w:sz w:val="24"/>
          <w:szCs w:val="24"/>
          <w:shd w:val="clear" w:color="auto" w:fill="FFFFFF"/>
        </w:rPr>
        <w:t>10.  Describe any assurance of confidentiality provided to respondents and the basis for the assurance in statute, regulation, or agency policy.</w:t>
      </w:r>
    </w:p>
    <w:p w14:paraId="6568381B" w14:textId="77777777" w:rsidR="0083695D" w:rsidRPr="00884530" w:rsidRDefault="0083695D" w:rsidP="0083695D">
      <w:pPr>
        <w:rPr>
          <w:sz w:val="24"/>
          <w:szCs w:val="24"/>
          <w:shd w:val="clear" w:color="auto" w:fill="FFFFFF"/>
        </w:rPr>
      </w:pPr>
    </w:p>
    <w:p w14:paraId="6A3D5A1E" w14:textId="26E4A6A7" w:rsidR="00D42FF3" w:rsidRDefault="001E3388" w:rsidP="003650D9">
      <w:pPr>
        <w:ind w:firstLine="720"/>
        <w:rPr>
          <w:sz w:val="24"/>
          <w:szCs w:val="24"/>
          <w:shd w:val="clear" w:color="auto" w:fill="FFFFFF"/>
        </w:rPr>
      </w:pPr>
      <w:r w:rsidRPr="00884530">
        <w:rPr>
          <w:sz w:val="24"/>
          <w:szCs w:val="24"/>
          <w:shd w:val="clear" w:color="auto" w:fill="FFFFFF"/>
        </w:rPr>
        <w:t xml:space="preserve">Outage reports filed </w:t>
      </w:r>
      <w:r w:rsidR="007E4B09" w:rsidRPr="00884530">
        <w:rPr>
          <w:sz w:val="24"/>
          <w:szCs w:val="24"/>
          <w:shd w:val="clear" w:color="auto" w:fill="FFFFFF"/>
        </w:rPr>
        <w:t xml:space="preserve">with the Commission </w:t>
      </w:r>
      <w:r w:rsidRPr="00884530">
        <w:rPr>
          <w:sz w:val="24"/>
          <w:szCs w:val="24"/>
          <w:shd w:val="clear" w:color="auto" w:fill="FFFFFF"/>
        </w:rPr>
        <w:t>pursuant to Part 4</w:t>
      </w:r>
      <w:r w:rsidR="000854BD">
        <w:rPr>
          <w:sz w:val="24"/>
          <w:szCs w:val="24"/>
          <w:shd w:val="clear" w:color="auto" w:fill="FFFFFF"/>
        </w:rPr>
        <w:t>, and the information contained therein,</w:t>
      </w:r>
      <w:r w:rsidRPr="00884530">
        <w:rPr>
          <w:sz w:val="24"/>
          <w:szCs w:val="24"/>
          <w:shd w:val="clear" w:color="auto" w:fill="FFFFFF"/>
        </w:rPr>
        <w:t xml:space="preserve"> are presu</w:t>
      </w:r>
      <w:r w:rsidRPr="002B584D">
        <w:rPr>
          <w:sz w:val="24"/>
          <w:szCs w:val="24"/>
          <w:shd w:val="clear" w:color="auto" w:fill="FFFFFF"/>
        </w:rPr>
        <w:t>med confidential</w:t>
      </w:r>
      <w:r w:rsidR="00D42FF3" w:rsidRPr="002B584D">
        <w:rPr>
          <w:sz w:val="24"/>
          <w:szCs w:val="24"/>
          <w:shd w:val="clear" w:color="auto" w:fill="FFFFFF"/>
        </w:rPr>
        <w:t>.</w:t>
      </w:r>
      <w:r w:rsidR="001A26A1" w:rsidRPr="002B584D">
        <w:rPr>
          <w:rStyle w:val="FootnoteReference"/>
          <w:sz w:val="24"/>
          <w:szCs w:val="24"/>
          <w:shd w:val="clear" w:color="auto" w:fill="FFFFFF"/>
        </w:rPr>
        <w:footnoteReference w:id="15"/>
      </w:r>
      <w:r w:rsidR="00D42FF3" w:rsidRPr="002B584D">
        <w:rPr>
          <w:sz w:val="24"/>
          <w:szCs w:val="24"/>
          <w:shd w:val="clear" w:color="auto" w:fill="FFFFFF"/>
        </w:rPr>
        <w:t xml:space="preserve">  The filings </w:t>
      </w:r>
      <w:r w:rsidR="000854BD" w:rsidRPr="002B584D">
        <w:rPr>
          <w:sz w:val="24"/>
          <w:szCs w:val="24"/>
          <w:shd w:val="clear" w:color="auto" w:fill="FFFFFF"/>
        </w:rPr>
        <w:t>are</w:t>
      </w:r>
      <w:r w:rsidR="00D42FF3" w:rsidRPr="002B584D">
        <w:rPr>
          <w:sz w:val="24"/>
          <w:szCs w:val="24"/>
          <w:shd w:val="clear" w:color="auto" w:fill="FFFFFF"/>
        </w:rPr>
        <w:t xml:space="preserve"> </w:t>
      </w:r>
      <w:r w:rsidR="00D42FF3" w:rsidRPr="002B584D">
        <w:rPr>
          <w:sz w:val="24"/>
          <w:szCs w:val="24"/>
          <w:shd w:val="clear" w:color="auto" w:fill="FFFFFF"/>
        </w:rPr>
        <w:lastRenderedPageBreak/>
        <w:t>shared with the Department of Homeland Security</w:t>
      </w:r>
      <w:r w:rsidR="003460A9" w:rsidRPr="002B584D">
        <w:rPr>
          <w:sz w:val="24"/>
          <w:szCs w:val="24"/>
          <w:shd w:val="clear" w:color="auto" w:fill="FFFFFF"/>
        </w:rPr>
        <w:t xml:space="preserve"> through a password-protected real time access to NORS</w:t>
      </w:r>
      <w:r w:rsidR="00D42FF3" w:rsidRPr="002B584D">
        <w:rPr>
          <w:sz w:val="24"/>
          <w:szCs w:val="24"/>
          <w:shd w:val="clear" w:color="auto" w:fill="FFFFFF"/>
        </w:rPr>
        <w:t xml:space="preserve">. </w:t>
      </w:r>
      <w:r w:rsidR="004627E1" w:rsidRPr="002B584D">
        <w:rPr>
          <w:sz w:val="24"/>
          <w:szCs w:val="24"/>
          <w:shd w:val="clear" w:color="auto" w:fill="FFFFFF"/>
        </w:rPr>
        <w:t xml:space="preserve"> </w:t>
      </w:r>
      <w:r w:rsidR="00D42FF3" w:rsidRPr="002B584D">
        <w:rPr>
          <w:sz w:val="24"/>
          <w:szCs w:val="24"/>
          <w:shd w:val="clear" w:color="auto" w:fill="FFFFFF"/>
        </w:rPr>
        <w:t>Other persons seeking disclosure must follow the procedures delineated in 47 C</w:t>
      </w:r>
      <w:r w:rsidR="0066154E" w:rsidRPr="002B584D">
        <w:rPr>
          <w:sz w:val="24"/>
          <w:szCs w:val="24"/>
          <w:shd w:val="clear" w:color="auto" w:fill="FFFFFF"/>
        </w:rPr>
        <w:t>.</w:t>
      </w:r>
      <w:r w:rsidR="00D42FF3" w:rsidRPr="002B584D">
        <w:rPr>
          <w:sz w:val="24"/>
          <w:szCs w:val="24"/>
          <w:shd w:val="clear" w:color="auto" w:fill="FFFFFF"/>
        </w:rPr>
        <w:t>F</w:t>
      </w:r>
      <w:r w:rsidR="0066154E" w:rsidRPr="002B584D">
        <w:rPr>
          <w:sz w:val="24"/>
          <w:szCs w:val="24"/>
          <w:shd w:val="clear" w:color="auto" w:fill="FFFFFF"/>
        </w:rPr>
        <w:t>.</w:t>
      </w:r>
      <w:r w:rsidR="00D42FF3" w:rsidRPr="002B584D">
        <w:rPr>
          <w:sz w:val="24"/>
          <w:szCs w:val="24"/>
          <w:shd w:val="clear" w:color="auto" w:fill="FFFFFF"/>
        </w:rPr>
        <w:t>R</w:t>
      </w:r>
      <w:r w:rsidR="0066154E" w:rsidRPr="002B584D">
        <w:rPr>
          <w:sz w:val="24"/>
          <w:szCs w:val="24"/>
          <w:shd w:val="clear" w:color="auto" w:fill="FFFFFF"/>
        </w:rPr>
        <w:t>.</w:t>
      </w:r>
      <w:r w:rsidR="00D42FF3" w:rsidRPr="002B584D">
        <w:rPr>
          <w:sz w:val="24"/>
          <w:szCs w:val="24"/>
          <w:shd w:val="clear" w:color="auto" w:fill="FFFFFF"/>
        </w:rPr>
        <w:t xml:space="preserve"> Sections 0.457 and</w:t>
      </w:r>
      <w:r w:rsidR="00D42FF3" w:rsidRPr="00884530">
        <w:rPr>
          <w:sz w:val="24"/>
          <w:szCs w:val="24"/>
          <w:shd w:val="clear" w:color="auto" w:fill="FFFFFF"/>
        </w:rPr>
        <w:t xml:space="preserve"> 0.459 of the Commission's rules</w:t>
      </w:r>
      <w:r w:rsidR="00E47C8A" w:rsidRPr="00884530">
        <w:rPr>
          <w:sz w:val="24"/>
          <w:szCs w:val="24"/>
          <w:shd w:val="clear" w:color="auto" w:fill="FFFFFF"/>
        </w:rPr>
        <w:t xml:space="preserve"> for requests for and disclosure of information</w:t>
      </w:r>
      <w:r w:rsidR="00D42FF3" w:rsidRPr="00884530">
        <w:rPr>
          <w:sz w:val="24"/>
          <w:szCs w:val="24"/>
          <w:shd w:val="clear" w:color="auto" w:fill="FFFFFF"/>
        </w:rPr>
        <w:t>.</w:t>
      </w:r>
      <w:r w:rsidR="00DE6918">
        <w:rPr>
          <w:sz w:val="24"/>
          <w:szCs w:val="24"/>
          <w:shd w:val="clear" w:color="auto" w:fill="FFFFFF"/>
        </w:rPr>
        <w:t xml:space="preserve">  The</w:t>
      </w:r>
      <w:r w:rsidR="00A959DB">
        <w:rPr>
          <w:sz w:val="24"/>
          <w:szCs w:val="24"/>
          <w:shd w:val="clear" w:color="auto" w:fill="FFFFFF"/>
        </w:rPr>
        <w:t xml:space="preserve"> revisions </w:t>
      </w:r>
      <w:r w:rsidR="00DE6918">
        <w:rPr>
          <w:sz w:val="24"/>
          <w:szCs w:val="24"/>
          <w:shd w:val="clear" w:color="auto" w:fill="FFFFFF"/>
        </w:rPr>
        <w:t xml:space="preserve">noted </w:t>
      </w:r>
      <w:r w:rsidR="009516AE">
        <w:rPr>
          <w:sz w:val="24"/>
          <w:szCs w:val="24"/>
          <w:shd w:val="clear" w:color="auto" w:fill="FFFFFF"/>
        </w:rPr>
        <w:t>in this information collection</w:t>
      </w:r>
      <w:r w:rsidR="00DE6918">
        <w:rPr>
          <w:sz w:val="24"/>
          <w:szCs w:val="24"/>
          <w:shd w:val="clear" w:color="auto" w:fill="FFFFFF"/>
        </w:rPr>
        <w:t xml:space="preserve"> </w:t>
      </w:r>
      <w:r w:rsidR="00A959DB">
        <w:rPr>
          <w:sz w:val="24"/>
          <w:szCs w:val="24"/>
          <w:shd w:val="clear" w:color="auto" w:fill="FFFFFF"/>
        </w:rPr>
        <w:t>do not affect the confidential treatment of</w:t>
      </w:r>
      <w:r w:rsidR="009516AE">
        <w:rPr>
          <w:sz w:val="24"/>
          <w:szCs w:val="24"/>
          <w:shd w:val="clear" w:color="auto" w:fill="FFFFFF"/>
        </w:rPr>
        <w:t xml:space="preserve"> information provided to the Commission</w:t>
      </w:r>
      <w:r w:rsidR="00A959DB">
        <w:rPr>
          <w:sz w:val="24"/>
          <w:szCs w:val="24"/>
          <w:shd w:val="clear" w:color="auto" w:fill="FFFFFF"/>
        </w:rPr>
        <w:t xml:space="preserve"> through </w:t>
      </w:r>
      <w:r w:rsidR="000854BD">
        <w:rPr>
          <w:sz w:val="24"/>
          <w:szCs w:val="24"/>
          <w:shd w:val="clear" w:color="auto" w:fill="FFFFFF"/>
        </w:rPr>
        <w:t xml:space="preserve">outage reports filed in </w:t>
      </w:r>
      <w:r w:rsidR="00A959DB">
        <w:rPr>
          <w:sz w:val="24"/>
          <w:szCs w:val="24"/>
          <w:shd w:val="clear" w:color="auto" w:fill="FFFFFF"/>
        </w:rPr>
        <w:t>NORS.</w:t>
      </w:r>
    </w:p>
    <w:p w14:paraId="3EA22CE5" w14:textId="77777777" w:rsidR="0083695D" w:rsidRPr="00884530" w:rsidRDefault="0083695D" w:rsidP="0083695D">
      <w:pPr>
        <w:rPr>
          <w:b/>
          <w:sz w:val="24"/>
          <w:szCs w:val="24"/>
          <w:shd w:val="clear" w:color="auto" w:fill="FFFFFF"/>
        </w:rPr>
      </w:pPr>
    </w:p>
    <w:p w14:paraId="6EA11D70" w14:textId="77777777" w:rsidR="00D42FF3" w:rsidRPr="00884530" w:rsidRDefault="00D42FF3" w:rsidP="0083695D">
      <w:pPr>
        <w:rPr>
          <w:b/>
          <w:sz w:val="24"/>
          <w:szCs w:val="24"/>
          <w:shd w:val="clear" w:color="auto" w:fill="FFFFFF"/>
        </w:rPr>
      </w:pPr>
      <w:r w:rsidRPr="00884530">
        <w:rPr>
          <w:b/>
          <w:sz w:val="24"/>
          <w:szCs w:val="24"/>
          <w:shd w:val="clear" w:color="auto" w:fill="FFFFFF"/>
        </w:rPr>
        <w:t>11.</w:t>
      </w:r>
      <w:r w:rsidRPr="00884530">
        <w:rPr>
          <w:sz w:val="24"/>
          <w:szCs w:val="24"/>
          <w:shd w:val="clear" w:color="auto" w:fill="FFFFFF"/>
        </w:rPr>
        <w:t xml:space="preserve"> </w:t>
      </w:r>
      <w:r w:rsidRPr="00884530">
        <w:rPr>
          <w:b/>
          <w:sz w:val="24"/>
          <w:szCs w:val="24"/>
          <w:shd w:val="clear" w:color="auto" w:fill="FFFFFF"/>
        </w:rPr>
        <w:t>Provide additional justification for any questions of a sensitive nature.</w:t>
      </w:r>
    </w:p>
    <w:p w14:paraId="35F34022" w14:textId="77777777" w:rsidR="0083695D" w:rsidRPr="00884530" w:rsidRDefault="0083695D" w:rsidP="0083695D">
      <w:pPr>
        <w:rPr>
          <w:sz w:val="24"/>
          <w:szCs w:val="24"/>
          <w:shd w:val="clear" w:color="auto" w:fill="FFFFFF"/>
        </w:rPr>
      </w:pPr>
    </w:p>
    <w:p w14:paraId="4FF0284D" w14:textId="77777777" w:rsidR="00BF5E0E" w:rsidRPr="003B40FD" w:rsidRDefault="003B40FD" w:rsidP="00983D86">
      <w:pPr>
        <w:ind w:firstLine="720"/>
        <w:rPr>
          <w:b/>
          <w:sz w:val="24"/>
          <w:szCs w:val="24"/>
          <w:shd w:val="clear" w:color="auto" w:fill="FFFFFF"/>
        </w:rPr>
      </w:pPr>
      <w:r w:rsidRPr="003B40FD">
        <w:rPr>
          <w:sz w:val="24"/>
          <w:szCs w:val="24"/>
          <w:shd w:val="clear" w:color="auto" w:fill="FFFFFF"/>
        </w:rPr>
        <w:t>This collection of information does not address any matters of a sensitive nature.</w:t>
      </w:r>
    </w:p>
    <w:p w14:paraId="4B46E48B" w14:textId="77777777" w:rsidR="0083695D" w:rsidRPr="00884530" w:rsidRDefault="0083695D" w:rsidP="00BF5E0E">
      <w:pPr>
        <w:ind w:firstLine="720"/>
        <w:rPr>
          <w:b/>
          <w:sz w:val="24"/>
          <w:szCs w:val="24"/>
          <w:shd w:val="clear" w:color="auto" w:fill="FFFFFF"/>
        </w:rPr>
      </w:pPr>
    </w:p>
    <w:p w14:paraId="79BA88C7" w14:textId="77777777" w:rsidR="00D42FF3" w:rsidRPr="00185FFA" w:rsidRDefault="0026661E" w:rsidP="0083695D">
      <w:pPr>
        <w:rPr>
          <w:sz w:val="24"/>
          <w:szCs w:val="24"/>
          <w:shd w:val="clear" w:color="auto" w:fill="FFFFFF"/>
        </w:rPr>
      </w:pPr>
      <w:r w:rsidRPr="00BD3FF0">
        <w:rPr>
          <w:b/>
          <w:sz w:val="24"/>
          <w:szCs w:val="24"/>
          <w:shd w:val="clear" w:color="auto" w:fill="FFFFFF"/>
        </w:rPr>
        <w:t xml:space="preserve">12. </w:t>
      </w:r>
      <w:r w:rsidR="00D42FF3" w:rsidRPr="00BD3FF0">
        <w:rPr>
          <w:b/>
          <w:sz w:val="24"/>
          <w:szCs w:val="24"/>
          <w:shd w:val="clear" w:color="auto" w:fill="FFFFFF"/>
        </w:rPr>
        <w:t>Provide estimates of the hour burden of the collection of information.  The statement should: indicate the number of respondents, frequency of response, annual hour burden, and an explanation of how the burden was estimated.  If the hour burden on respondents is expected to vary widely because of differences in activity, size, or complexity, show the range of estimated hour burden, and explain the reasons for the variance.</w:t>
      </w:r>
      <w:r w:rsidR="00D42FF3" w:rsidRPr="00185FFA">
        <w:rPr>
          <w:sz w:val="24"/>
          <w:szCs w:val="24"/>
          <w:shd w:val="clear" w:color="auto" w:fill="FFFFFF"/>
        </w:rPr>
        <w:t xml:space="preserve">  </w:t>
      </w:r>
    </w:p>
    <w:p w14:paraId="041E23CC" w14:textId="77777777" w:rsidR="003650D9" w:rsidRPr="00185FFA" w:rsidRDefault="003650D9" w:rsidP="0083695D">
      <w:pPr>
        <w:rPr>
          <w:sz w:val="24"/>
          <w:szCs w:val="24"/>
          <w:shd w:val="clear" w:color="auto" w:fill="FFFFFF"/>
        </w:rPr>
      </w:pPr>
    </w:p>
    <w:p w14:paraId="134FF2FF" w14:textId="104F0211" w:rsidR="00FB23FC" w:rsidRPr="00426BDA" w:rsidRDefault="005F3262" w:rsidP="00983D86">
      <w:pPr>
        <w:ind w:left="720"/>
        <w:rPr>
          <w:sz w:val="24"/>
          <w:szCs w:val="24"/>
        </w:rPr>
      </w:pPr>
      <w:r w:rsidRPr="00426BDA">
        <w:rPr>
          <w:b/>
          <w:sz w:val="24"/>
          <w:szCs w:val="24"/>
        </w:rPr>
        <w:t>Number of Respondents:</w:t>
      </w:r>
      <w:r w:rsidRPr="00426BDA">
        <w:rPr>
          <w:sz w:val="24"/>
          <w:szCs w:val="24"/>
        </w:rPr>
        <w:t xml:space="preserve"> </w:t>
      </w:r>
      <w:r w:rsidR="00516331" w:rsidRPr="00426BDA">
        <w:rPr>
          <w:sz w:val="24"/>
          <w:szCs w:val="24"/>
        </w:rPr>
        <w:t>The Commission has</w:t>
      </w:r>
      <w:r w:rsidR="00ED565D" w:rsidRPr="00426BDA">
        <w:rPr>
          <w:sz w:val="24"/>
          <w:szCs w:val="24"/>
        </w:rPr>
        <w:t xml:space="preserve"> previously </w:t>
      </w:r>
      <w:r w:rsidR="00695DB5" w:rsidRPr="00426BDA">
        <w:rPr>
          <w:sz w:val="24"/>
          <w:szCs w:val="24"/>
        </w:rPr>
        <w:t xml:space="preserve">reported </w:t>
      </w:r>
      <w:r w:rsidR="00ED565D" w:rsidRPr="00426BDA">
        <w:rPr>
          <w:sz w:val="24"/>
          <w:szCs w:val="24"/>
        </w:rPr>
        <w:t>that the number of respondents required to submit information under the Part 4 rules would not exceed 1,100</w:t>
      </w:r>
      <w:r w:rsidR="001C3EBC" w:rsidRPr="00426BDA">
        <w:rPr>
          <w:sz w:val="24"/>
          <w:szCs w:val="24"/>
        </w:rPr>
        <w:t>.</w:t>
      </w:r>
      <w:r w:rsidR="005E1203" w:rsidRPr="00426BDA">
        <w:rPr>
          <w:rStyle w:val="FootnoteReference"/>
          <w:sz w:val="24"/>
          <w:szCs w:val="24"/>
        </w:rPr>
        <w:footnoteReference w:id="16"/>
      </w:r>
      <w:r w:rsidR="00ED565D" w:rsidRPr="00426BDA">
        <w:rPr>
          <w:sz w:val="24"/>
          <w:szCs w:val="24"/>
        </w:rPr>
        <w:t xml:space="preserve"> As the </w:t>
      </w:r>
      <w:r w:rsidR="00C03B38" w:rsidRPr="00426BDA">
        <w:rPr>
          <w:sz w:val="24"/>
          <w:szCs w:val="24"/>
        </w:rPr>
        <w:t>requirements</w:t>
      </w:r>
      <w:r w:rsidR="00ED565D" w:rsidRPr="00426BDA">
        <w:rPr>
          <w:sz w:val="24"/>
          <w:szCs w:val="24"/>
        </w:rPr>
        <w:t xml:space="preserve"> in this </w:t>
      </w:r>
      <w:r w:rsidR="009920C5" w:rsidRPr="00426BDA">
        <w:rPr>
          <w:i/>
          <w:sz w:val="24"/>
          <w:szCs w:val="24"/>
        </w:rPr>
        <w:t>Report and Order</w:t>
      </w:r>
      <w:r w:rsidR="00ED565D" w:rsidRPr="00426BDA">
        <w:rPr>
          <w:sz w:val="24"/>
          <w:szCs w:val="24"/>
        </w:rPr>
        <w:t xml:space="preserve"> </w:t>
      </w:r>
      <w:r w:rsidR="000C7EE2" w:rsidRPr="00426BDA">
        <w:rPr>
          <w:sz w:val="24"/>
          <w:szCs w:val="24"/>
        </w:rPr>
        <w:t xml:space="preserve">and </w:t>
      </w:r>
      <w:r w:rsidR="000C7EE2" w:rsidRPr="00426BDA">
        <w:rPr>
          <w:i/>
          <w:sz w:val="24"/>
          <w:szCs w:val="24"/>
        </w:rPr>
        <w:t xml:space="preserve">Order on Reconsideration </w:t>
      </w:r>
      <w:r w:rsidR="00ED565D" w:rsidRPr="00426BDA">
        <w:rPr>
          <w:sz w:val="24"/>
          <w:szCs w:val="24"/>
        </w:rPr>
        <w:t xml:space="preserve">involve incremental adjustments to reporting requirements that are already in place, and </w:t>
      </w:r>
      <w:r w:rsidR="00ED565D" w:rsidRPr="00426BDA">
        <w:rPr>
          <w:sz w:val="24"/>
          <w:szCs w:val="24"/>
        </w:rPr>
        <w:lastRenderedPageBreak/>
        <w:t xml:space="preserve">would not expand the applicability of the rules to </w:t>
      </w:r>
      <w:r w:rsidR="00E90754" w:rsidRPr="00426BDA">
        <w:rPr>
          <w:sz w:val="24"/>
          <w:szCs w:val="24"/>
        </w:rPr>
        <w:t xml:space="preserve">cover </w:t>
      </w:r>
      <w:r w:rsidR="00ED565D" w:rsidRPr="00426BDA">
        <w:rPr>
          <w:sz w:val="24"/>
          <w:szCs w:val="24"/>
        </w:rPr>
        <w:t xml:space="preserve">new classes of entities, we </w:t>
      </w:r>
      <w:r w:rsidR="000854BD" w:rsidRPr="00426BDA">
        <w:rPr>
          <w:sz w:val="24"/>
          <w:szCs w:val="24"/>
        </w:rPr>
        <w:t xml:space="preserve">adjust the current estimate to </w:t>
      </w:r>
      <w:r w:rsidR="000854BD" w:rsidRPr="00F27C18">
        <w:rPr>
          <w:b/>
          <w:sz w:val="24"/>
          <w:szCs w:val="24"/>
        </w:rPr>
        <w:t>798</w:t>
      </w:r>
      <w:r w:rsidR="00ED565D" w:rsidRPr="00426BDA">
        <w:rPr>
          <w:sz w:val="24"/>
          <w:szCs w:val="24"/>
        </w:rPr>
        <w:t xml:space="preserve"> respondents. </w:t>
      </w:r>
    </w:p>
    <w:p w14:paraId="7D29E8B7" w14:textId="77777777" w:rsidR="005F3262" w:rsidRPr="00426BDA" w:rsidRDefault="005F3262" w:rsidP="0083695D">
      <w:pPr>
        <w:rPr>
          <w:sz w:val="24"/>
          <w:szCs w:val="24"/>
        </w:rPr>
      </w:pPr>
    </w:p>
    <w:p w14:paraId="4BD1AAA4" w14:textId="04D60E23" w:rsidR="005F3262" w:rsidRPr="00426BDA" w:rsidRDefault="005F3262" w:rsidP="00983D86">
      <w:pPr>
        <w:ind w:left="720"/>
        <w:rPr>
          <w:sz w:val="24"/>
          <w:szCs w:val="24"/>
        </w:rPr>
      </w:pPr>
      <w:r w:rsidRPr="00426BDA">
        <w:rPr>
          <w:b/>
          <w:sz w:val="24"/>
          <w:szCs w:val="24"/>
        </w:rPr>
        <w:t>Frequency of Response:</w:t>
      </w:r>
      <w:r w:rsidR="00ED565D" w:rsidRPr="00426BDA">
        <w:rPr>
          <w:sz w:val="24"/>
          <w:szCs w:val="24"/>
        </w:rPr>
        <w:t xml:space="preserve"> </w:t>
      </w:r>
      <w:r w:rsidR="00516331" w:rsidRPr="00426BDA">
        <w:rPr>
          <w:sz w:val="24"/>
          <w:szCs w:val="24"/>
        </w:rPr>
        <w:t>The Co</w:t>
      </w:r>
      <w:r w:rsidR="007F7CEC" w:rsidRPr="00426BDA">
        <w:rPr>
          <w:sz w:val="24"/>
          <w:szCs w:val="24"/>
        </w:rPr>
        <w:t>mmiss</w:t>
      </w:r>
      <w:r w:rsidR="00516331" w:rsidRPr="00426BDA">
        <w:rPr>
          <w:sz w:val="24"/>
          <w:szCs w:val="24"/>
        </w:rPr>
        <w:t>i</w:t>
      </w:r>
      <w:r w:rsidR="007F7CEC" w:rsidRPr="00426BDA">
        <w:rPr>
          <w:sz w:val="24"/>
          <w:szCs w:val="24"/>
        </w:rPr>
        <w:t>o</w:t>
      </w:r>
      <w:r w:rsidR="00516331" w:rsidRPr="00426BDA">
        <w:rPr>
          <w:sz w:val="24"/>
          <w:szCs w:val="24"/>
        </w:rPr>
        <w:t>n</w:t>
      </w:r>
      <w:r w:rsidR="001C3EBC" w:rsidRPr="00426BDA">
        <w:rPr>
          <w:sz w:val="24"/>
          <w:szCs w:val="24"/>
        </w:rPr>
        <w:t xml:space="preserve"> previously reported a total of 15,444 responses per year for all existing outage reporting obligations under Part 4.</w:t>
      </w:r>
      <w:r w:rsidR="001C3EBC" w:rsidRPr="00426BDA">
        <w:rPr>
          <w:rStyle w:val="FootnoteReference"/>
          <w:sz w:val="24"/>
          <w:szCs w:val="24"/>
        </w:rPr>
        <w:footnoteReference w:id="17"/>
      </w:r>
      <w:r w:rsidR="001C3EBC" w:rsidRPr="00426BDA">
        <w:rPr>
          <w:sz w:val="24"/>
          <w:szCs w:val="24"/>
        </w:rPr>
        <w:t xml:space="preserve">  </w:t>
      </w:r>
      <w:r w:rsidR="000C7EE2" w:rsidRPr="00426BDA">
        <w:rPr>
          <w:sz w:val="24"/>
          <w:szCs w:val="24"/>
        </w:rPr>
        <w:t>The</w:t>
      </w:r>
      <w:r w:rsidR="00ED565D" w:rsidRPr="00426BDA">
        <w:rPr>
          <w:sz w:val="24"/>
          <w:szCs w:val="24"/>
        </w:rPr>
        <w:t xml:space="preserve"> </w:t>
      </w:r>
      <w:r w:rsidR="009920C5" w:rsidRPr="00426BDA">
        <w:rPr>
          <w:i/>
          <w:sz w:val="24"/>
          <w:szCs w:val="24"/>
        </w:rPr>
        <w:t>Report and Order</w:t>
      </w:r>
      <w:r w:rsidR="00ED565D" w:rsidRPr="00426BDA">
        <w:rPr>
          <w:sz w:val="24"/>
          <w:szCs w:val="24"/>
        </w:rPr>
        <w:t xml:space="preserve"> </w:t>
      </w:r>
      <w:r w:rsidR="000C7EE2" w:rsidRPr="00426BDA">
        <w:rPr>
          <w:sz w:val="24"/>
          <w:szCs w:val="24"/>
        </w:rPr>
        <w:t xml:space="preserve">and </w:t>
      </w:r>
      <w:r w:rsidR="000C7EE2" w:rsidRPr="00426BDA">
        <w:rPr>
          <w:i/>
          <w:sz w:val="24"/>
          <w:szCs w:val="24"/>
        </w:rPr>
        <w:t xml:space="preserve">Order on Reconsideration </w:t>
      </w:r>
      <w:r w:rsidR="000C7EE2" w:rsidRPr="00426BDA">
        <w:rPr>
          <w:sz w:val="24"/>
          <w:szCs w:val="24"/>
        </w:rPr>
        <w:t xml:space="preserve">adopt requirements </w:t>
      </w:r>
      <w:r w:rsidR="00043C44" w:rsidRPr="00426BDA">
        <w:rPr>
          <w:sz w:val="24"/>
          <w:szCs w:val="24"/>
        </w:rPr>
        <w:t xml:space="preserve">that </w:t>
      </w:r>
      <w:r w:rsidR="000C7EE2" w:rsidRPr="00426BDA">
        <w:rPr>
          <w:sz w:val="24"/>
          <w:szCs w:val="24"/>
        </w:rPr>
        <w:t xml:space="preserve">will </w:t>
      </w:r>
      <w:r w:rsidR="00ED565D" w:rsidRPr="00426BDA">
        <w:rPr>
          <w:sz w:val="24"/>
          <w:szCs w:val="24"/>
        </w:rPr>
        <w:t xml:space="preserve">result in an estimated net </w:t>
      </w:r>
      <w:r w:rsidR="00043C44" w:rsidRPr="00426BDA">
        <w:rPr>
          <w:sz w:val="24"/>
          <w:szCs w:val="24"/>
        </w:rPr>
        <w:t>decrease</w:t>
      </w:r>
      <w:r w:rsidR="00ED565D" w:rsidRPr="00426BDA">
        <w:rPr>
          <w:sz w:val="24"/>
          <w:szCs w:val="24"/>
        </w:rPr>
        <w:t xml:space="preserve"> of </w:t>
      </w:r>
      <w:r w:rsidR="00043C44" w:rsidRPr="00426BDA">
        <w:rPr>
          <w:sz w:val="24"/>
          <w:szCs w:val="24"/>
        </w:rPr>
        <w:t>2,432</w:t>
      </w:r>
      <w:r w:rsidR="00ED565D" w:rsidRPr="00426BDA">
        <w:rPr>
          <w:sz w:val="24"/>
          <w:szCs w:val="24"/>
        </w:rPr>
        <w:t xml:space="preserve"> responses per year</w:t>
      </w:r>
      <w:r w:rsidR="00FC351C" w:rsidRPr="00426BDA">
        <w:rPr>
          <w:sz w:val="24"/>
          <w:szCs w:val="24"/>
        </w:rPr>
        <w:t>,</w:t>
      </w:r>
      <w:r w:rsidR="005E1203" w:rsidRPr="00426BDA">
        <w:rPr>
          <w:rStyle w:val="FootnoteReference"/>
          <w:sz w:val="24"/>
          <w:szCs w:val="24"/>
        </w:rPr>
        <w:footnoteReference w:id="18"/>
      </w:r>
      <w:r w:rsidR="00FC351C" w:rsidRPr="00426BDA">
        <w:rPr>
          <w:sz w:val="24"/>
          <w:szCs w:val="24"/>
        </w:rPr>
        <w:t xml:space="preserve"> for a total of </w:t>
      </w:r>
      <w:r w:rsidR="00FC351C" w:rsidRPr="00F27C18">
        <w:rPr>
          <w:b/>
          <w:sz w:val="24"/>
          <w:szCs w:val="24"/>
        </w:rPr>
        <w:t>13,012</w:t>
      </w:r>
      <w:r w:rsidR="00F27C18">
        <w:rPr>
          <w:rStyle w:val="FootnoteReference"/>
          <w:sz w:val="24"/>
          <w:szCs w:val="24"/>
        </w:rPr>
        <w:footnoteReference w:id="19"/>
      </w:r>
      <w:r w:rsidR="00FC351C" w:rsidRPr="00426BDA">
        <w:rPr>
          <w:sz w:val="24"/>
          <w:szCs w:val="24"/>
        </w:rPr>
        <w:t xml:space="preserve"> responses per year for the adjusted outage reporting obligations.</w:t>
      </w:r>
      <w:r w:rsidR="00043C44" w:rsidRPr="00426BDA">
        <w:rPr>
          <w:sz w:val="24"/>
          <w:szCs w:val="24"/>
        </w:rPr>
        <w:t xml:space="preserve"> </w:t>
      </w:r>
      <w:r w:rsidR="00ED565D" w:rsidRPr="00426BDA">
        <w:rPr>
          <w:sz w:val="24"/>
          <w:szCs w:val="24"/>
        </w:rPr>
        <w:t xml:space="preserve"> These estimates derive, in part, from the Commission’s analysis of current and historical reporting volumes, which provides an evidentiary basis for estimating the incremental impact of the </w:t>
      </w:r>
      <w:r w:rsidR="00043C44" w:rsidRPr="00426BDA">
        <w:rPr>
          <w:sz w:val="24"/>
          <w:szCs w:val="24"/>
        </w:rPr>
        <w:t>requirements adopted</w:t>
      </w:r>
      <w:r w:rsidR="00ED565D" w:rsidRPr="00426BDA">
        <w:rPr>
          <w:sz w:val="24"/>
          <w:szCs w:val="24"/>
        </w:rPr>
        <w:t xml:space="preserve"> in the </w:t>
      </w:r>
      <w:r w:rsidR="009920C5" w:rsidRPr="00426BDA">
        <w:rPr>
          <w:i/>
          <w:sz w:val="24"/>
          <w:szCs w:val="24"/>
        </w:rPr>
        <w:t>Report and Order</w:t>
      </w:r>
      <w:r w:rsidR="00043C44" w:rsidRPr="00426BDA">
        <w:rPr>
          <w:i/>
          <w:sz w:val="24"/>
          <w:szCs w:val="24"/>
        </w:rPr>
        <w:t xml:space="preserve"> </w:t>
      </w:r>
      <w:r w:rsidR="00043C44" w:rsidRPr="00426BDA">
        <w:rPr>
          <w:sz w:val="24"/>
          <w:szCs w:val="24"/>
        </w:rPr>
        <w:t xml:space="preserve">and </w:t>
      </w:r>
      <w:r w:rsidR="00043C44" w:rsidRPr="00426BDA">
        <w:rPr>
          <w:i/>
          <w:sz w:val="24"/>
          <w:szCs w:val="24"/>
        </w:rPr>
        <w:t>Order on Reconsideration</w:t>
      </w:r>
      <w:r w:rsidR="00ED565D" w:rsidRPr="00426BDA">
        <w:rPr>
          <w:sz w:val="24"/>
          <w:szCs w:val="24"/>
        </w:rPr>
        <w:t xml:space="preserve">. </w:t>
      </w:r>
      <w:r w:rsidR="00507262">
        <w:rPr>
          <w:sz w:val="24"/>
          <w:szCs w:val="24"/>
        </w:rPr>
        <w:t xml:space="preserve"> </w:t>
      </w:r>
      <w:r w:rsidR="00ED565D" w:rsidRPr="00426BDA">
        <w:rPr>
          <w:sz w:val="24"/>
          <w:szCs w:val="24"/>
        </w:rPr>
        <w:t xml:space="preserve">The estimated impact of each </w:t>
      </w:r>
      <w:r w:rsidR="006E0E6D" w:rsidRPr="00426BDA">
        <w:rPr>
          <w:sz w:val="24"/>
          <w:szCs w:val="24"/>
        </w:rPr>
        <w:t>adopted requirement is</w:t>
      </w:r>
      <w:r w:rsidR="00ED565D" w:rsidRPr="00426BDA">
        <w:rPr>
          <w:sz w:val="24"/>
          <w:szCs w:val="24"/>
        </w:rPr>
        <w:t xml:space="preserve"> as follows: </w:t>
      </w:r>
    </w:p>
    <w:p w14:paraId="458C40A7" w14:textId="77777777" w:rsidR="0078711D" w:rsidRPr="00426BDA" w:rsidRDefault="0078711D" w:rsidP="00983D86">
      <w:pPr>
        <w:ind w:left="720"/>
        <w:rPr>
          <w:sz w:val="24"/>
          <w:szCs w:val="24"/>
        </w:rPr>
      </w:pPr>
    </w:p>
    <w:p w14:paraId="1CBADE0C" w14:textId="7CDFD435" w:rsidR="00043C44" w:rsidRPr="00426BDA" w:rsidRDefault="00043C44" w:rsidP="00043C44">
      <w:pPr>
        <w:pStyle w:val="ListParagraph"/>
        <w:widowControl w:val="0"/>
        <w:numPr>
          <w:ilvl w:val="0"/>
          <w:numId w:val="18"/>
        </w:numPr>
        <w:suppressAutoHyphens w:val="0"/>
        <w:overflowPunct w:val="0"/>
        <w:adjustRightInd w:val="0"/>
        <w:rPr>
          <w:sz w:val="24"/>
          <w:szCs w:val="24"/>
        </w:rPr>
      </w:pPr>
      <w:r w:rsidRPr="00426BDA">
        <w:rPr>
          <w:sz w:val="24"/>
          <w:szCs w:val="24"/>
        </w:rPr>
        <w:t xml:space="preserve">Replace the current reporting </w:t>
      </w:r>
      <w:r w:rsidR="00FC351C" w:rsidRPr="00426BDA">
        <w:rPr>
          <w:sz w:val="24"/>
          <w:szCs w:val="24"/>
        </w:rPr>
        <w:t xml:space="preserve">metric and </w:t>
      </w:r>
      <w:r w:rsidRPr="00426BDA">
        <w:rPr>
          <w:sz w:val="24"/>
          <w:szCs w:val="24"/>
        </w:rPr>
        <w:t xml:space="preserve">threshold (based on “DS3 minutes”) for major transport facility </w:t>
      </w:r>
      <w:r w:rsidR="00FC351C" w:rsidRPr="00426BDA">
        <w:rPr>
          <w:sz w:val="24"/>
          <w:szCs w:val="24"/>
        </w:rPr>
        <w:t xml:space="preserve">outages with a reporting metric and </w:t>
      </w:r>
      <w:r w:rsidRPr="00426BDA">
        <w:rPr>
          <w:sz w:val="24"/>
          <w:szCs w:val="24"/>
        </w:rPr>
        <w:t>threshold based on optical (i.e., OC3 minutes</w:t>
      </w:r>
      <w:r w:rsidR="00B32A7F" w:rsidRPr="00426BDA">
        <w:rPr>
          <w:sz w:val="24"/>
          <w:szCs w:val="24"/>
        </w:rPr>
        <w:t>) transmission rates:</w:t>
      </w:r>
    </w:p>
    <w:p w14:paraId="47E522B0" w14:textId="77777777" w:rsidR="00043C44" w:rsidRDefault="00043C44" w:rsidP="00043C44">
      <w:pPr>
        <w:widowControl w:val="0"/>
        <w:suppressAutoHyphens w:val="0"/>
        <w:overflowPunct w:val="0"/>
        <w:adjustRightInd w:val="0"/>
        <w:rPr>
          <w:sz w:val="24"/>
          <w:szCs w:val="24"/>
        </w:rPr>
      </w:pPr>
    </w:p>
    <w:p w14:paraId="3C7099D9" w14:textId="2C586627" w:rsidR="00043C44" w:rsidRDefault="00043C44" w:rsidP="00043C44">
      <w:pPr>
        <w:widowControl w:val="0"/>
        <w:suppressAutoHyphens w:val="0"/>
        <w:overflowPunct w:val="0"/>
        <w:adjustRightInd w:val="0"/>
        <w:ind w:left="1440"/>
        <w:rPr>
          <w:sz w:val="24"/>
          <w:szCs w:val="24"/>
        </w:rPr>
      </w:pPr>
      <w:r>
        <w:rPr>
          <w:sz w:val="24"/>
          <w:szCs w:val="24"/>
        </w:rPr>
        <w:t xml:space="preserve">The Commission </w:t>
      </w:r>
      <w:r w:rsidR="00FC351C">
        <w:rPr>
          <w:sz w:val="24"/>
          <w:szCs w:val="24"/>
        </w:rPr>
        <w:t xml:space="preserve">adjusts </w:t>
      </w:r>
      <w:r>
        <w:rPr>
          <w:sz w:val="24"/>
          <w:szCs w:val="24"/>
        </w:rPr>
        <w:t xml:space="preserve">the current reporting threshold for </w:t>
      </w:r>
      <w:r w:rsidR="00B32A7F">
        <w:rPr>
          <w:sz w:val="24"/>
          <w:szCs w:val="24"/>
        </w:rPr>
        <w:t xml:space="preserve">major </w:t>
      </w:r>
      <w:r>
        <w:rPr>
          <w:sz w:val="24"/>
          <w:szCs w:val="24"/>
        </w:rPr>
        <w:t>transport facility outages, which is based on the DS3 circuits with a higher threshold based on higher-capacity OC3 circuits</w:t>
      </w:r>
      <w:r w:rsidR="00FC351C">
        <w:rPr>
          <w:sz w:val="24"/>
          <w:szCs w:val="24"/>
        </w:rPr>
        <w:t xml:space="preserve"> (or their </w:t>
      </w:r>
      <w:r w:rsidR="00FC351C">
        <w:rPr>
          <w:sz w:val="24"/>
          <w:szCs w:val="24"/>
        </w:rPr>
        <w:lastRenderedPageBreak/>
        <w:t>equivalent)</w:t>
      </w:r>
      <w:r>
        <w:rPr>
          <w:sz w:val="24"/>
          <w:szCs w:val="24"/>
        </w:rPr>
        <w:t xml:space="preserve">. </w:t>
      </w:r>
      <w:r w:rsidR="00FC351C">
        <w:rPr>
          <w:sz w:val="24"/>
          <w:szCs w:val="24"/>
        </w:rPr>
        <w:t xml:space="preserve"> </w:t>
      </w:r>
      <w:r>
        <w:rPr>
          <w:sz w:val="24"/>
          <w:szCs w:val="24"/>
        </w:rPr>
        <w:t xml:space="preserve">We estimate that adoption of this </w:t>
      </w:r>
      <w:r w:rsidR="00CF11F0">
        <w:rPr>
          <w:sz w:val="24"/>
          <w:szCs w:val="24"/>
        </w:rPr>
        <w:t>requirement will reduce</w:t>
      </w:r>
      <w:r>
        <w:rPr>
          <w:sz w:val="24"/>
          <w:szCs w:val="24"/>
        </w:rPr>
        <w:t xml:space="preserve"> the number of reports filed annually by </w:t>
      </w:r>
      <w:r w:rsidRPr="00A317D9">
        <w:rPr>
          <w:b/>
          <w:sz w:val="24"/>
          <w:szCs w:val="24"/>
        </w:rPr>
        <w:t>2,835</w:t>
      </w:r>
      <w:r>
        <w:rPr>
          <w:sz w:val="24"/>
          <w:szCs w:val="24"/>
        </w:rPr>
        <w:t>.</w:t>
      </w:r>
      <w:r w:rsidR="007C0600">
        <w:rPr>
          <w:rStyle w:val="FootnoteReference"/>
          <w:sz w:val="24"/>
          <w:szCs w:val="24"/>
        </w:rPr>
        <w:footnoteReference w:id="20"/>
      </w:r>
      <w:r w:rsidR="007C0600">
        <w:rPr>
          <w:sz w:val="24"/>
          <w:szCs w:val="24"/>
        </w:rPr>
        <w:t xml:space="preserve"> </w:t>
      </w:r>
      <w:r>
        <w:rPr>
          <w:sz w:val="24"/>
          <w:szCs w:val="24"/>
        </w:rPr>
        <w:t xml:space="preserve"> This is based on an estimate of the volume of reports filed in recent years that would be reportable under the curren</w:t>
      </w:r>
      <w:r w:rsidR="007C0600">
        <w:rPr>
          <w:sz w:val="24"/>
          <w:szCs w:val="24"/>
        </w:rPr>
        <w:t>t threshold but not reportable under the adopted threshold</w:t>
      </w:r>
      <w:r>
        <w:rPr>
          <w:sz w:val="24"/>
          <w:szCs w:val="24"/>
        </w:rPr>
        <w:t xml:space="preserve">. </w:t>
      </w:r>
    </w:p>
    <w:p w14:paraId="16D8F850" w14:textId="77777777" w:rsidR="00043C44" w:rsidRDefault="00043C44" w:rsidP="00FC351C">
      <w:pPr>
        <w:widowControl w:val="0"/>
        <w:suppressAutoHyphens w:val="0"/>
        <w:overflowPunct w:val="0"/>
        <w:adjustRightInd w:val="0"/>
        <w:rPr>
          <w:sz w:val="24"/>
          <w:szCs w:val="24"/>
        </w:rPr>
      </w:pPr>
    </w:p>
    <w:p w14:paraId="6AAE29BC" w14:textId="75DB2CF8" w:rsidR="0089375D" w:rsidRPr="00AF0E78" w:rsidRDefault="0089375D" w:rsidP="0089375D">
      <w:pPr>
        <w:pStyle w:val="ListParagraph"/>
        <w:widowControl w:val="0"/>
        <w:numPr>
          <w:ilvl w:val="0"/>
          <w:numId w:val="18"/>
        </w:numPr>
        <w:suppressAutoHyphens w:val="0"/>
        <w:overflowPunct w:val="0"/>
        <w:adjustRightInd w:val="0"/>
        <w:rPr>
          <w:sz w:val="24"/>
          <w:szCs w:val="24"/>
        </w:rPr>
      </w:pPr>
      <w:r w:rsidRPr="00AF0E78">
        <w:rPr>
          <w:sz w:val="24"/>
          <w:szCs w:val="24"/>
        </w:rPr>
        <w:t>R</w:t>
      </w:r>
      <w:r w:rsidR="006E0E6D">
        <w:rPr>
          <w:sz w:val="24"/>
          <w:szCs w:val="24"/>
        </w:rPr>
        <w:t>equire reporting of</w:t>
      </w:r>
      <w:r w:rsidRPr="00AF0E78">
        <w:rPr>
          <w:sz w:val="24"/>
          <w:szCs w:val="24"/>
        </w:rPr>
        <w:t xml:space="preserve"> </w:t>
      </w:r>
      <w:r w:rsidR="006E0E6D">
        <w:rPr>
          <w:sz w:val="24"/>
          <w:szCs w:val="24"/>
        </w:rPr>
        <w:t>s</w:t>
      </w:r>
      <w:r w:rsidRPr="00AF0E78">
        <w:rPr>
          <w:sz w:val="24"/>
          <w:szCs w:val="24"/>
        </w:rPr>
        <w:t xml:space="preserve">implex outages that persist for </w:t>
      </w:r>
      <w:r w:rsidR="00E77F39">
        <w:rPr>
          <w:sz w:val="24"/>
          <w:szCs w:val="24"/>
        </w:rPr>
        <w:t>at least</w:t>
      </w:r>
      <w:r w:rsidRPr="00AF0E78">
        <w:rPr>
          <w:sz w:val="24"/>
          <w:szCs w:val="24"/>
        </w:rPr>
        <w:t xml:space="preserve"> </w:t>
      </w:r>
      <w:r w:rsidR="006E0E6D">
        <w:rPr>
          <w:sz w:val="24"/>
          <w:szCs w:val="24"/>
        </w:rPr>
        <w:t>96 hours</w:t>
      </w:r>
      <w:r w:rsidRPr="00AF0E78">
        <w:rPr>
          <w:sz w:val="24"/>
          <w:szCs w:val="24"/>
        </w:rPr>
        <w:t>;</w:t>
      </w:r>
    </w:p>
    <w:p w14:paraId="368410E7" w14:textId="77777777" w:rsidR="0089375D" w:rsidRDefault="0089375D" w:rsidP="0089375D">
      <w:pPr>
        <w:widowControl w:val="0"/>
        <w:suppressAutoHyphens w:val="0"/>
        <w:overflowPunct w:val="0"/>
        <w:adjustRightInd w:val="0"/>
        <w:rPr>
          <w:sz w:val="24"/>
          <w:szCs w:val="24"/>
        </w:rPr>
      </w:pPr>
    </w:p>
    <w:p w14:paraId="19AF8DE4" w14:textId="3A602AA6" w:rsidR="0089375D" w:rsidRDefault="0089375D" w:rsidP="00405BD3">
      <w:pPr>
        <w:widowControl w:val="0"/>
        <w:suppressAutoHyphens w:val="0"/>
        <w:overflowPunct w:val="0"/>
        <w:adjustRightInd w:val="0"/>
        <w:ind w:left="1440"/>
        <w:rPr>
          <w:sz w:val="24"/>
          <w:szCs w:val="24"/>
        </w:rPr>
      </w:pPr>
      <w:r>
        <w:rPr>
          <w:sz w:val="24"/>
          <w:szCs w:val="24"/>
        </w:rPr>
        <w:t xml:space="preserve">The Commission </w:t>
      </w:r>
      <w:r w:rsidR="00E77F39">
        <w:rPr>
          <w:sz w:val="24"/>
          <w:szCs w:val="24"/>
        </w:rPr>
        <w:t>adopt</w:t>
      </w:r>
      <w:r w:rsidR="006E0E6D">
        <w:rPr>
          <w:sz w:val="24"/>
          <w:szCs w:val="24"/>
        </w:rPr>
        <w:t>s</w:t>
      </w:r>
      <w:r>
        <w:rPr>
          <w:sz w:val="24"/>
          <w:szCs w:val="24"/>
        </w:rPr>
        <w:t xml:space="preserve"> a requirement that “simplex” outages, which are outages that involve the failure of a backup path in a high-capacity circuit, be reportable when they persist for at least </w:t>
      </w:r>
      <w:r w:rsidR="006E0E6D">
        <w:rPr>
          <w:sz w:val="24"/>
          <w:szCs w:val="24"/>
        </w:rPr>
        <w:t>96 hours</w:t>
      </w:r>
      <w:r>
        <w:rPr>
          <w:sz w:val="24"/>
          <w:szCs w:val="24"/>
        </w:rPr>
        <w:t xml:space="preserve">.  This change is based on evidence that providers are not adhering to the best practice of timely repairing simplex outages during daily maintenance windows.  The Commission estimates that this </w:t>
      </w:r>
      <w:r w:rsidR="00E77F39">
        <w:rPr>
          <w:sz w:val="24"/>
          <w:szCs w:val="24"/>
        </w:rPr>
        <w:t>requirement</w:t>
      </w:r>
      <w:r w:rsidR="006E0E6D">
        <w:rPr>
          <w:sz w:val="24"/>
          <w:szCs w:val="24"/>
        </w:rPr>
        <w:t>, combined with the change in the DS3 metric and threshold,</w:t>
      </w:r>
      <w:r>
        <w:rPr>
          <w:sz w:val="24"/>
          <w:szCs w:val="24"/>
        </w:rPr>
        <w:t xml:space="preserve"> will result in the filing of an additional </w:t>
      </w:r>
      <w:r w:rsidR="00CD3152">
        <w:rPr>
          <w:b/>
          <w:sz w:val="24"/>
          <w:szCs w:val="24"/>
        </w:rPr>
        <w:t>510</w:t>
      </w:r>
      <w:r w:rsidR="006E0E6D">
        <w:rPr>
          <w:b/>
          <w:sz w:val="24"/>
          <w:szCs w:val="24"/>
        </w:rPr>
        <w:t xml:space="preserve"> </w:t>
      </w:r>
      <w:r>
        <w:rPr>
          <w:sz w:val="24"/>
          <w:szCs w:val="24"/>
        </w:rPr>
        <w:t>reports per year.</w:t>
      </w:r>
      <w:r>
        <w:rPr>
          <w:rStyle w:val="FootnoteReference"/>
          <w:sz w:val="24"/>
          <w:szCs w:val="24"/>
        </w:rPr>
        <w:footnoteReference w:id="21"/>
      </w:r>
      <w:r>
        <w:rPr>
          <w:sz w:val="24"/>
          <w:szCs w:val="24"/>
        </w:rPr>
        <w:t xml:space="preserve"> </w:t>
      </w:r>
      <w:r w:rsidR="006E0E6D">
        <w:rPr>
          <w:sz w:val="24"/>
          <w:szCs w:val="24"/>
        </w:rPr>
        <w:t xml:space="preserve"> </w:t>
      </w:r>
      <w:r>
        <w:rPr>
          <w:sz w:val="24"/>
          <w:szCs w:val="24"/>
        </w:rPr>
        <w:t xml:space="preserve">This is based on an assumption that reducing the reporting threshold from five days to </w:t>
      </w:r>
      <w:r w:rsidR="00E77F39">
        <w:rPr>
          <w:sz w:val="24"/>
          <w:szCs w:val="24"/>
        </w:rPr>
        <w:t>96</w:t>
      </w:r>
      <w:r w:rsidR="00405BD3">
        <w:rPr>
          <w:sz w:val="24"/>
          <w:szCs w:val="24"/>
        </w:rPr>
        <w:t xml:space="preserve"> hours at most would increase the </w:t>
      </w:r>
      <w:r w:rsidR="00405BD3">
        <w:rPr>
          <w:sz w:val="24"/>
          <w:szCs w:val="24"/>
        </w:rPr>
        <w:lastRenderedPageBreak/>
        <w:t>number of reports by 50 percent</w:t>
      </w:r>
      <w:r>
        <w:rPr>
          <w:sz w:val="24"/>
          <w:szCs w:val="24"/>
        </w:rPr>
        <w:t>.</w:t>
      </w:r>
      <w:r>
        <w:rPr>
          <w:rStyle w:val="FootnoteReference"/>
          <w:sz w:val="24"/>
          <w:szCs w:val="24"/>
        </w:rPr>
        <w:footnoteReference w:id="22"/>
      </w:r>
      <w:r>
        <w:rPr>
          <w:sz w:val="24"/>
          <w:szCs w:val="24"/>
        </w:rPr>
        <w:t xml:space="preserve"> </w:t>
      </w:r>
    </w:p>
    <w:p w14:paraId="7EE32277" w14:textId="77777777" w:rsidR="0089375D" w:rsidRPr="00FC351C" w:rsidRDefault="0089375D" w:rsidP="00FC351C">
      <w:pPr>
        <w:widowControl w:val="0"/>
        <w:suppressAutoHyphens w:val="0"/>
        <w:overflowPunct w:val="0"/>
        <w:adjustRightInd w:val="0"/>
        <w:rPr>
          <w:sz w:val="24"/>
          <w:szCs w:val="24"/>
        </w:rPr>
      </w:pPr>
    </w:p>
    <w:p w14:paraId="30990FCD" w14:textId="3E0EB2CD" w:rsidR="00ED565D" w:rsidRPr="008046B0" w:rsidRDefault="00ED565D" w:rsidP="00CE175F">
      <w:pPr>
        <w:pStyle w:val="ListParagraph"/>
        <w:widowControl w:val="0"/>
        <w:numPr>
          <w:ilvl w:val="0"/>
          <w:numId w:val="18"/>
        </w:numPr>
        <w:suppressAutoHyphens w:val="0"/>
        <w:overflowPunct w:val="0"/>
        <w:adjustRightInd w:val="0"/>
        <w:rPr>
          <w:sz w:val="24"/>
          <w:szCs w:val="24"/>
        </w:rPr>
      </w:pPr>
      <w:r w:rsidRPr="008046B0">
        <w:rPr>
          <w:sz w:val="24"/>
          <w:szCs w:val="24"/>
        </w:rPr>
        <w:t xml:space="preserve">Clarify the requirement to report outages that significantly degrade communications to </w:t>
      </w:r>
      <w:r w:rsidR="00516331" w:rsidRPr="008046B0">
        <w:rPr>
          <w:sz w:val="24"/>
          <w:szCs w:val="24"/>
        </w:rPr>
        <w:t xml:space="preserve">a </w:t>
      </w:r>
      <w:r w:rsidRPr="008046B0">
        <w:rPr>
          <w:sz w:val="24"/>
          <w:szCs w:val="24"/>
        </w:rPr>
        <w:t>PSAP;</w:t>
      </w:r>
      <w:r w:rsidR="008046B0" w:rsidRPr="008046B0">
        <w:rPr>
          <w:sz w:val="24"/>
          <w:szCs w:val="24"/>
        </w:rPr>
        <w:t xml:space="preserve">  </w:t>
      </w:r>
    </w:p>
    <w:p w14:paraId="7AFFE9BC" w14:textId="77777777" w:rsidR="00ED565D" w:rsidRDefault="00ED565D" w:rsidP="00A317D9">
      <w:pPr>
        <w:pStyle w:val="ListParagraph"/>
        <w:widowControl w:val="0"/>
        <w:suppressAutoHyphens w:val="0"/>
        <w:overflowPunct w:val="0"/>
        <w:adjustRightInd w:val="0"/>
        <w:ind w:left="1440"/>
        <w:rPr>
          <w:sz w:val="24"/>
          <w:szCs w:val="24"/>
        </w:rPr>
      </w:pPr>
    </w:p>
    <w:p w14:paraId="31AED6BD" w14:textId="5145D5F2" w:rsidR="00803501" w:rsidRPr="00A317D9" w:rsidRDefault="00516331" w:rsidP="008046B0">
      <w:pPr>
        <w:pStyle w:val="ListParagraph"/>
        <w:widowControl w:val="0"/>
        <w:suppressAutoHyphens w:val="0"/>
        <w:overflowPunct w:val="0"/>
        <w:adjustRightInd w:val="0"/>
        <w:ind w:left="1440"/>
        <w:rPr>
          <w:sz w:val="24"/>
          <w:szCs w:val="24"/>
        </w:rPr>
      </w:pPr>
      <w:r>
        <w:rPr>
          <w:sz w:val="24"/>
          <w:szCs w:val="24"/>
        </w:rPr>
        <w:t>The Commission</w:t>
      </w:r>
      <w:r w:rsidR="00803501">
        <w:rPr>
          <w:sz w:val="24"/>
          <w:szCs w:val="24"/>
        </w:rPr>
        <w:t xml:space="preserve"> </w:t>
      </w:r>
      <w:r w:rsidR="008046B0">
        <w:rPr>
          <w:sz w:val="24"/>
          <w:szCs w:val="24"/>
        </w:rPr>
        <w:t>clarifies</w:t>
      </w:r>
      <w:r w:rsidR="00803501">
        <w:rPr>
          <w:sz w:val="24"/>
          <w:szCs w:val="24"/>
        </w:rPr>
        <w:t xml:space="preserve"> that significant degradations of communications to a PSAP may be reportable outages even if the PSAP does not experience a </w:t>
      </w:r>
      <w:r w:rsidR="00803501" w:rsidRPr="00A317D9">
        <w:rPr>
          <w:i/>
          <w:sz w:val="24"/>
          <w:szCs w:val="24"/>
        </w:rPr>
        <w:t>complete</w:t>
      </w:r>
      <w:r w:rsidR="00803501">
        <w:rPr>
          <w:sz w:val="24"/>
          <w:szCs w:val="24"/>
        </w:rPr>
        <w:t xml:space="preserve"> loss of service.</w:t>
      </w:r>
      <w:r w:rsidR="004512F1">
        <w:rPr>
          <w:rStyle w:val="FootnoteReference"/>
          <w:sz w:val="24"/>
          <w:szCs w:val="24"/>
        </w:rPr>
        <w:footnoteReference w:id="23"/>
      </w:r>
      <w:r w:rsidR="00803501">
        <w:rPr>
          <w:sz w:val="24"/>
          <w:szCs w:val="24"/>
        </w:rPr>
        <w:t xml:space="preserve"> </w:t>
      </w:r>
      <w:r w:rsidR="008046B0">
        <w:rPr>
          <w:sz w:val="24"/>
          <w:szCs w:val="24"/>
        </w:rPr>
        <w:t xml:space="preserve"> </w:t>
      </w:r>
      <w:r w:rsidR="00803501">
        <w:rPr>
          <w:sz w:val="24"/>
          <w:szCs w:val="24"/>
        </w:rPr>
        <w:t xml:space="preserve">The Commission is aware of only a handful of events in recent years that appear to fall in this category, but we estimate conservatively that </w:t>
      </w:r>
      <w:r w:rsidR="00803501" w:rsidRPr="00A317D9">
        <w:rPr>
          <w:b/>
          <w:sz w:val="24"/>
          <w:szCs w:val="24"/>
        </w:rPr>
        <w:t>10</w:t>
      </w:r>
      <w:r w:rsidR="00803501">
        <w:rPr>
          <w:sz w:val="24"/>
          <w:szCs w:val="24"/>
        </w:rPr>
        <w:t xml:space="preserve"> additional reports </w:t>
      </w:r>
      <w:r w:rsidR="008046B0">
        <w:rPr>
          <w:sz w:val="24"/>
          <w:szCs w:val="24"/>
        </w:rPr>
        <w:t>will</w:t>
      </w:r>
      <w:r w:rsidR="00803501">
        <w:rPr>
          <w:sz w:val="24"/>
          <w:szCs w:val="24"/>
        </w:rPr>
        <w:t xml:space="preserve"> be filed per year under this </w:t>
      </w:r>
      <w:r w:rsidR="008046B0">
        <w:rPr>
          <w:sz w:val="24"/>
          <w:szCs w:val="24"/>
        </w:rPr>
        <w:t>requirement</w:t>
      </w:r>
      <w:r w:rsidR="00803501">
        <w:rPr>
          <w:sz w:val="24"/>
          <w:szCs w:val="24"/>
        </w:rPr>
        <w:t>.</w:t>
      </w:r>
      <w:r w:rsidR="003342D1">
        <w:rPr>
          <w:rStyle w:val="FootnoteReference"/>
          <w:sz w:val="24"/>
          <w:szCs w:val="24"/>
        </w:rPr>
        <w:footnoteReference w:id="24"/>
      </w:r>
    </w:p>
    <w:p w14:paraId="18909E37" w14:textId="39F57C55" w:rsidR="00E4464F" w:rsidRPr="00A317D9" w:rsidRDefault="00E4464F" w:rsidP="00A317D9">
      <w:pPr>
        <w:widowControl w:val="0"/>
        <w:suppressAutoHyphens w:val="0"/>
        <w:overflowPunct w:val="0"/>
        <w:adjustRightInd w:val="0"/>
        <w:ind w:left="1440"/>
        <w:rPr>
          <w:sz w:val="24"/>
          <w:szCs w:val="24"/>
        </w:rPr>
      </w:pPr>
    </w:p>
    <w:p w14:paraId="7F12561B" w14:textId="20F14FD2" w:rsidR="00ED565D" w:rsidRPr="00B53A23" w:rsidRDefault="00ED565D" w:rsidP="00B53A23">
      <w:pPr>
        <w:pStyle w:val="ListParagraph"/>
        <w:widowControl w:val="0"/>
        <w:numPr>
          <w:ilvl w:val="0"/>
          <w:numId w:val="18"/>
        </w:numPr>
        <w:suppressAutoHyphens w:val="0"/>
        <w:overflowPunct w:val="0"/>
        <w:adjustRightInd w:val="0"/>
        <w:rPr>
          <w:sz w:val="24"/>
          <w:szCs w:val="24"/>
        </w:rPr>
      </w:pPr>
      <w:r w:rsidRPr="004E4A02">
        <w:rPr>
          <w:sz w:val="24"/>
          <w:szCs w:val="24"/>
        </w:rPr>
        <w:t>Adopt a common, technologically neutral method for calculating the number of wireless users “potentially affected” by an outage;</w:t>
      </w:r>
      <w:r w:rsidR="00B53A23">
        <w:rPr>
          <w:sz w:val="24"/>
          <w:szCs w:val="24"/>
        </w:rPr>
        <w:t xml:space="preserve"> </w:t>
      </w:r>
    </w:p>
    <w:p w14:paraId="7D7E3780" w14:textId="77777777" w:rsidR="008871BC" w:rsidRPr="001D1B8C" w:rsidRDefault="008871BC" w:rsidP="00A317D9">
      <w:pPr>
        <w:pStyle w:val="ListParagraph"/>
        <w:widowControl w:val="0"/>
        <w:suppressAutoHyphens w:val="0"/>
        <w:overflowPunct w:val="0"/>
        <w:adjustRightInd w:val="0"/>
        <w:ind w:left="1440"/>
        <w:rPr>
          <w:sz w:val="24"/>
          <w:szCs w:val="24"/>
        </w:rPr>
      </w:pPr>
    </w:p>
    <w:p w14:paraId="6E2426B4" w14:textId="3ADB0025" w:rsidR="001D1B8C" w:rsidRDefault="00516331" w:rsidP="00205DEF">
      <w:pPr>
        <w:pStyle w:val="ListParagraph"/>
        <w:widowControl w:val="0"/>
        <w:suppressAutoHyphens w:val="0"/>
        <w:overflowPunct w:val="0"/>
        <w:adjustRightInd w:val="0"/>
        <w:ind w:left="1440"/>
        <w:rPr>
          <w:sz w:val="24"/>
          <w:szCs w:val="24"/>
        </w:rPr>
      </w:pPr>
      <w:r>
        <w:rPr>
          <w:sz w:val="24"/>
          <w:szCs w:val="24"/>
        </w:rPr>
        <w:t>The Commission</w:t>
      </w:r>
      <w:r w:rsidR="00384698" w:rsidRPr="001D1B8C">
        <w:rPr>
          <w:sz w:val="24"/>
          <w:szCs w:val="24"/>
        </w:rPr>
        <w:t xml:space="preserve"> </w:t>
      </w:r>
      <w:r w:rsidR="00B53A23">
        <w:rPr>
          <w:sz w:val="24"/>
          <w:szCs w:val="24"/>
        </w:rPr>
        <w:t>clarifies</w:t>
      </w:r>
      <w:r w:rsidR="00384698" w:rsidRPr="001D1B8C">
        <w:rPr>
          <w:sz w:val="24"/>
          <w:szCs w:val="24"/>
        </w:rPr>
        <w:t xml:space="preserve"> the methodology by which providers calculate the number of users potentially affected by a wireless outage. </w:t>
      </w:r>
      <w:r w:rsidR="00BF3088">
        <w:rPr>
          <w:sz w:val="24"/>
          <w:szCs w:val="24"/>
        </w:rPr>
        <w:t xml:space="preserve"> </w:t>
      </w:r>
      <w:r w:rsidR="00CE175F">
        <w:rPr>
          <w:sz w:val="24"/>
          <w:szCs w:val="24"/>
        </w:rPr>
        <w:t xml:space="preserve">Of two approaches proposed to determine whether an outage event meets the 900,000 user-minute threshold, </w:t>
      </w:r>
      <w:r w:rsidR="00C77096">
        <w:rPr>
          <w:sz w:val="24"/>
          <w:szCs w:val="24"/>
        </w:rPr>
        <w:t>the Commission</w:t>
      </w:r>
      <w:r w:rsidR="00CE175F">
        <w:rPr>
          <w:sz w:val="24"/>
          <w:szCs w:val="24"/>
        </w:rPr>
        <w:t xml:space="preserve"> adopt</w:t>
      </w:r>
      <w:r w:rsidR="00C77096">
        <w:rPr>
          <w:sz w:val="24"/>
          <w:szCs w:val="24"/>
        </w:rPr>
        <w:t>s</w:t>
      </w:r>
      <w:r w:rsidR="00CE175F">
        <w:rPr>
          <w:sz w:val="24"/>
          <w:szCs w:val="24"/>
        </w:rPr>
        <w:t xml:space="preserve"> a methodology that a provider must multiply the number of </w:t>
      </w:r>
      <w:r w:rsidR="00CE175F">
        <w:rPr>
          <w:sz w:val="24"/>
          <w:szCs w:val="24"/>
        </w:rPr>
        <w:lastRenderedPageBreak/>
        <w:t xml:space="preserve">disabled macro cell sites in the outage by the average number of users served per site, calculated </w:t>
      </w:r>
      <w:r w:rsidR="00205DEF" w:rsidRPr="00205DEF">
        <w:rPr>
          <w:sz w:val="24"/>
          <w:szCs w:val="24"/>
        </w:rPr>
        <w:t>as the total number of users for the provider divided by the total number of the provider’s</w:t>
      </w:r>
      <w:r w:rsidR="00C77096">
        <w:rPr>
          <w:sz w:val="24"/>
          <w:szCs w:val="24"/>
        </w:rPr>
        <w:t xml:space="preserve"> </w:t>
      </w:r>
      <w:r w:rsidR="00205DEF" w:rsidRPr="00205DEF">
        <w:rPr>
          <w:sz w:val="24"/>
          <w:szCs w:val="24"/>
        </w:rPr>
        <w:t>macro cell sites</w:t>
      </w:r>
      <w:r w:rsidR="00CE175F">
        <w:rPr>
          <w:sz w:val="24"/>
          <w:szCs w:val="24"/>
        </w:rPr>
        <w:t>.</w:t>
      </w:r>
      <w:r w:rsidR="00CE175F">
        <w:rPr>
          <w:rStyle w:val="FootnoteReference"/>
          <w:sz w:val="24"/>
          <w:szCs w:val="24"/>
        </w:rPr>
        <w:footnoteReference w:id="25"/>
      </w:r>
      <w:r w:rsidR="00CE175F">
        <w:rPr>
          <w:sz w:val="24"/>
          <w:szCs w:val="24"/>
        </w:rPr>
        <w:t xml:space="preserve">  </w:t>
      </w:r>
      <w:r w:rsidR="00BF3088">
        <w:rPr>
          <w:sz w:val="24"/>
          <w:szCs w:val="24"/>
        </w:rPr>
        <w:t xml:space="preserve">As we have sought comment </w:t>
      </w:r>
      <w:r w:rsidR="00027C59">
        <w:rPr>
          <w:sz w:val="24"/>
          <w:szCs w:val="24"/>
        </w:rPr>
        <w:t xml:space="preserve">on </w:t>
      </w:r>
      <w:r w:rsidR="00BF3088">
        <w:rPr>
          <w:sz w:val="24"/>
          <w:szCs w:val="24"/>
        </w:rPr>
        <w:t>and stated in the past, w</w:t>
      </w:r>
      <w:r w:rsidR="00384698" w:rsidRPr="001D1B8C">
        <w:rPr>
          <w:sz w:val="24"/>
          <w:szCs w:val="24"/>
        </w:rPr>
        <w:t xml:space="preserve">e do not expect this </w:t>
      </w:r>
      <w:r w:rsidR="00B53A23">
        <w:rPr>
          <w:sz w:val="24"/>
          <w:szCs w:val="24"/>
        </w:rPr>
        <w:t>clarification</w:t>
      </w:r>
      <w:r w:rsidR="00384698" w:rsidRPr="001D1B8C">
        <w:rPr>
          <w:sz w:val="24"/>
          <w:szCs w:val="24"/>
        </w:rPr>
        <w:t xml:space="preserve"> to have any appreciable cost impact</w:t>
      </w:r>
      <w:r w:rsidR="005E1203">
        <w:rPr>
          <w:sz w:val="24"/>
          <w:szCs w:val="24"/>
        </w:rPr>
        <w:t>.</w:t>
      </w:r>
      <w:r w:rsidR="003342D1">
        <w:rPr>
          <w:rStyle w:val="FootnoteReference"/>
          <w:sz w:val="24"/>
          <w:szCs w:val="24"/>
        </w:rPr>
        <w:footnoteReference w:id="26"/>
      </w:r>
    </w:p>
    <w:p w14:paraId="7BEDB54F" w14:textId="77777777" w:rsidR="008871BC" w:rsidRPr="001D1B8C" w:rsidRDefault="001D1B8C" w:rsidP="00A317D9">
      <w:pPr>
        <w:pStyle w:val="ListParagraph"/>
        <w:widowControl w:val="0"/>
        <w:suppressAutoHyphens w:val="0"/>
        <w:overflowPunct w:val="0"/>
        <w:adjustRightInd w:val="0"/>
        <w:ind w:left="1440"/>
        <w:rPr>
          <w:sz w:val="24"/>
          <w:szCs w:val="24"/>
        </w:rPr>
      </w:pPr>
      <w:r w:rsidRPr="00A317D9">
        <w:rPr>
          <w:sz w:val="24"/>
          <w:szCs w:val="24"/>
        </w:rPr>
        <w:t xml:space="preserve"> </w:t>
      </w:r>
    </w:p>
    <w:p w14:paraId="69518385" w14:textId="67FB3DD5" w:rsidR="00ED565D" w:rsidRDefault="00ED565D" w:rsidP="00ED565D">
      <w:pPr>
        <w:pStyle w:val="ListParagraph"/>
        <w:widowControl w:val="0"/>
        <w:numPr>
          <w:ilvl w:val="0"/>
          <w:numId w:val="18"/>
        </w:numPr>
        <w:suppressAutoHyphens w:val="0"/>
        <w:overflowPunct w:val="0"/>
        <w:adjustRightInd w:val="0"/>
        <w:rPr>
          <w:sz w:val="24"/>
          <w:szCs w:val="24"/>
        </w:rPr>
      </w:pPr>
      <w:r w:rsidRPr="004E4A02">
        <w:rPr>
          <w:sz w:val="24"/>
          <w:szCs w:val="24"/>
        </w:rPr>
        <w:t>Clarify the reporting metric for estimating the number of “potentially affected” wireless users for outages that</w:t>
      </w:r>
      <w:r w:rsidR="00AE561A">
        <w:rPr>
          <w:sz w:val="24"/>
          <w:szCs w:val="24"/>
        </w:rPr>
        <w:t xml:space="preserve"> impact</w:t>
      </w:r>
      <w:r w:rsidRPr="004E4A02">
        <w:rPr>
          <w:sz w:val="24"/>
          <w:szCs w:val="24"/>
        </w:rPr>
        <w:t xml:space="preserve"> PSAPs;</w:t>
      </w:r>
      <w:r w:rsidR="00426BDA">
        <w:rPr>
          <w:sz w:val="24"/>
          <w:szCs w:val="24"/>
        </w:rPr>
        <w:t xml:space="preserve"> </w:t>
      </w:r>
    </w:p>
    <w:p w14:paraId="772F6DD7" w14:textId="77777777" w:rsidR="00384698" w:rsidRDefault="00384698" w:rsidP="00A317D9">
      <w:pPr>
        <w:pStyle w:val="ListParagraph"/>
        <w:widowControl w:val="0"/>
        <w:suppressAutoHyphens w:val="0"/>
        <w:overflowPunct w:val="0"/>
        <w:adjustRightInd w:val="0"/>
        <w:ind w:left="1440"/>
        <w:rPr>
          <w:sz w:val="24"/>
          <w:szCs w:val="24"/>
        </w:rPr>
      </w:pPr>
    </w:p>
    <w:p w14:paraId="7195B9DA" w14:textId="63D98CB7" w:rsidR="00384698" w:rsidRDefault="00863B16" w:rsidP="00A317D9">
      <w:pPr>
        <w:pStyle w:val="ListParagraph"/>
        <w:widowControl w:val="0"/>
        <w:suppressAutoHyphens w:val="0"/>
        <w:overflowPunct w:val="0"/>
        <w:adjustRightInd w:val="0"/>
        <w:ind w:left="1440"/>
        <w:rPr>
          <w:sz w:val="24"/>
          <w:szCs w:val="24"/>
        </w:rPr>
      </w:pPr>
      <w:r>
        <w:rPr>
          <w:sz w:val="24"/>
          <w:szCs w:val="24"/>
        </w:rPr>
        <w:t>The Commission</w:t>
      </w:r>
      <w:r w:rsidR="00384698">
        <w:rPr>
          <w:sz w:val="24"/>
          <w:szCs w:val="24"/>
        </w:rPr>
        <w:t xml:space="preserve"> </w:t>
      </w:r>
      <w:r w:rsidR="00C77096">
        <w:rPr>
          <w:sz w:val="24"/>
          <w:szCs w:val="24"/>
        </w:rPr>
        <w:t>adopts a methodology to</w:t>
      </w:r>
      <w:r w:rsidR="00384698">
        <w:rPr>
          <w:sz w:val="24"/>
          <w:szCs w:val="24"/>
        </w:rPr>
        <w:t xml:space="preserve"> calculate the number of users potentially affected by a wireless outage that affects only a subset of the PSAPs </w:t>
      </w:r>
      <w:r w:rsidR="001F41C2">
        <w:rPr>
          <w:sz w:val="24"/>
          <w:szCs w:val="24"/>
        </w:rPr>
        <w:t xml:space="preserve">served </w:t>
      </w:r>
      <w:r w:rsidR="001856ED">
        <w:rPr>
          <w:sz w:val="24"/>
          <w:szCs w:val="24"/>
        </w:rPr>
        <w:t xml:space="preserve">by </w:t>
      </w:r>
      <w:r w:rsidR="001F41C2">
        <w:rPr>
          <w:sz w:val="24"/>
          <w:szCs w:val="24"/>
        </w:rPr>
        <w:t>a mobile switching center</w:t>
      </w:r>
      <w:r w:rsidR="00384698">
        <w:rPr>
          <w:sz w:val="24"/>
          <w:szCs w:val="24"/>
        </w:rPr>
        <w:t xml:space="preserve">. </w:t>
      </w:r>
      <w:r w:rsidR="00C77096">
        <w:rPr>
          <w:sz w:val="24"/>
          <w:szCs w:val="24"/>
        </w:rPr>
        <w:t xml:space="preserve"> </w:t>
      </w:r>
      <w:r w:rsidR="001F41C2">
        <w:rPr>
          <w:sz w:val="24"/>
          <w:szCs w:val="24"/>
        </w:rPr>
        <w:t>Providers are to allocate capacity in reasonable proportion to the size of the subtending PSAP(s) in terms of number of users.</w:t>
      </w:r>
      <w:r w:rsidR="003342D1">
        <w:rPr>
          <w:rStyle w:val="FootnoteReference"/>
          <w:sz w:val="24"/>
          <w:szCs w:val="24"/>
        </w:rPr>
        <w:footnoteReference w:id="27"/>
      </w:r>
      <w:r w:rsidR="00027C59">
        <w:rPr>
          <w:sz w:val="24"/>
          <w:szCs w:val="24"/>
        </w:rPr>
        <w:t xml:space="preserve">  </w:t>
      </w:r>
      <w:r>
        <w:rPr>
          <w:sz w:val="24"/>
          <w:szCs w:val="24"/>
        </w:rPr>
        <w:t>It is</w:t>
      </w:r>
      <w:r w:rsidR="00384698">
        <w:rPr>
          <w:sz w:val="24"/>
          <w:szCs w:val="24"/>
        </w:rPr>
        <w:t xml:space="preserve"> not expect</w:t>
      </w:r>
      <w:r>
        <w:rPr>
          <w:sz w:val="24"/>
          <w:szCs w:val="24"/>
        </w:rPr>
        <w:t>ed that</w:t>
      </w:r>
      <w:r w:rsidR="00384698">
        <w:rPr>
          <w:sz w:val="24"/>
          <w:szCs w:val="24"/>
        </w:rPr>
        <w:t xml:space="preserve"> this proposal </w:t>
      </w:r>
      <w:r>
        <w:rPr>
          <w:sz w:val="24"/>
          <w:szCs w:val="24"/>
        </w:rPr>
        <w:t>will</w:t>
      </w:r>
      <w:r w:rsidR="00384698">
        <w:rPr>
          <w:sz w:val="24"/>
          <w:szCs w:val="24"/>
        </w:rPr>
        <w:t xml:space="preserve"> have any appreciable cost impact.</w:t>
      </w:r>
      <w:r w:rsidR="005E1203">
        <w:rPr>
          <w:rStyle w:val="FootnoteReference"/>
          <w:sz w:val="24"/>
          <w:szCs w:val="24"/>
        </w:rPr>
        <w:footnoteReference w:id="28"/>
      </w:r>
      <w:r w:rsidR="00384698">
        <w:rPr>
          <w:sz w:val="24"/>
          <w:szCs w:val="24"/>
        </w:rPr>
        <w:t xml:space="preserve"> </w:t>
      </w:r>
    </w:p>
    <w:p w14:paraId="1807DE01" w14:textId="77777777" w:rsidR="00384698" w:rsidRPr="004E4A02" w:rsidRDefault="00384698" w:rsidP="00A317D9">
      <w:pPr>
        <w:pStyle w:val="ListParagraph"/>
        <w:widowControl w:val="0"/>
        <w:suppressAutoHyphens w:val="0"/>
        <w:overflowPunct w:val="0"/>
        <w:adjustRightInd w:val="0"/>
        <w:ind w:left="1440"/>
        <w:rPr>
          <w:sz w:val="24"/>
          <w:szCs w:val="24"/>
        </w:rPr>
      </w:pPr>
    </w:p>
    <w:p w14:paraId="00DC7EF2" w14:textId="39FAAAD9" w:rsidR="00ED565D" w:rsidRDefault="00ED565D" w:rsidP="00ED565D">
      <w:pPr>
        <w:pStyle w:val="ListParagraph"/>
        <w:widowControl w:val="0"/>
        <w:numPr>
          <w:ilvl w:val="0"/>
          <w:numId w:val="18"/>
        </w:numPr>
        <w:suppressAutoHyphens w:val="0"/>
        <w:overflowPunct w:val="0"/>
        <w:adjustRightInd w:val="0"/>
        <w:rPr>
          <w:sz w:val="24"/>
          <w:szCs w:val="24"/>
        </w:rPr>
      </w:pPr>
      <w:r w:rsidRPr="004E4A02">
        <w:rPr>
          <w:sz w:val="24"/>
          <w:szCs w:val="24"/>
        </w:rPr>
        <w:lastRenderedPageBreak/>
        <w:t>Update the requirements that mandate reporting of outages that affect airports and other “spec</w:t>
      </w:r>
      <w:r w:rsidR="00426BDA">
        <w:rPr>
          <w:sz w:val="24"/>
          <w:szCs w:val="24"/>
        </w:rPr>
        <w:t>ial offices and facilities.”</w:t>
      </w:r>
    </w:p>
    <w:p w14:paraId="25FEAE55" w14:textId="77777777" w:rsidR="002D315A" w:rsidRDefault="002D315A" w:rsidP="00A317D9">
      <w:pPr>
        <w:pStyle w:val="ListParagraph"/>
        <w:widowControl w:val="0"/>
        <w:suppressAutoHyphens w:val="0"/>
        <w:overflowPunct w:val="0"/>
        <w:adjustRightInd w:val="0"/>
        <w:ind w:left="1440"/>
        <w:rPr>
          <w:sz w:val="24"/>
          <w:szCs w:val="24"/>
        </w:rPr>
      </w:pPr>
    </w:p>
    <w:p w14:paraId="3672B0FF" w14:textId="14436232" w:rsidR="00A74F9E" w:rsidRPr="00A317D9" w:rsidRDefault="00863B16" w:rsidP="00A317D9">
      <w:pPr>
        <w:pStyle w:val="ListParagraph"/>
        <w:widowControl w:val="0"/>
        <w:suppressAutoHyphens w:val="0"/>
        <w:overflowPunct w:val="0"/>
        <w:adjustRightInd w:val="0"/>
        <w:ind w:left="1440"/>
        <w:rPr>
          <w:sz w:val="24"/>
          <w:szCs w:val="24"/>
        </w:rPr>
      </w:pPr>
      <w:r>
        <w:rPr>
          <w:sz w:val="24"/>
          <w:szCs w:val="24"/>
        </w:rPr>
        <w:t>The Commission</w:t>
      </w:r>
      <w:r w:rsidR="002D315A">
        <w:rPr>
          <w:sz w:val="24"/>
          <w:szCs w:val="24"/>
        </w:rPr>
        <w:t xml:space="preserve"> </w:t>
      </w:r>
      <w:r w:rsidR="009C4B31">
        <w:rPr>
          <w:sz w:val="24"/>
          <w:szCs w:val="24"/>
        </w:rPr>
        <w:t>adopt</w:t>
      </w:r>
      <w:r w:rsidR="00507262">
        <w:rPr>
          <w:sz w:val="24"/>
          <w:szCs w:val="24"/>
        </w:rPr>
        <w:t>s</w:t>
      </w:r>
      <w:r w:rsidR="009C4B31">
        <w:rPr>
          <w:sz w:val="24"/>
          <w:szCs w:val="24"/>
        </w:rPr>
        <w:t xml:space="preserve"> a definition for</w:t>
      </w:r>
      <w:r w:rsidR="002D315A">
        <w:rPr>
          <w:sz w:val="24"/>
          <w:szCs w:val="24"/>
        </w:rPr>
        <w:t xml:space="preserve"> “special offices and fac</w:t>
      </w:r>
      <w:r w:rsidR="009C4B31">
        <w:rPr>
          <w:sz w:val="24"/>
          <w:szCs w:val="24"/>
        </w:rPr>
        <w:t>ilities” for purposes of Part 4, and clarifie</w:t>
      </w:r>
      <w:r w:rsidR="00507262">
        <w:rPr>
          <w:sz w:val="24"/>
          <w:szCs w:val="24"/>
        </w:rPr>
        <w:t>s</w:t>
      </w:r>
      <w:r w:rsidR="009C4B31">
        <w:rPr>
          <w:sz w:val="24"/>
          <w:szCs w:val="24"/>
        </w:rPr>
        <w:t xml:space="preserve"> that </w:t>
      </w:r>
      <w:r w:rsidR="002D315A">
        <w:rPr>
          <w:sz w:val="24"/>
          <w:szCs w:val="24"/>
        </w:rPr>
        <w:t xml:space="preserve">reporting requirements </w:t>
      </w:r>
      <w:r w:rsidR="009C4B31">
        <w:rPr>
          <w:sz w:val="24"/>
          <w:szCs w:val="24"/>
        </w:rPr>
        <w:t xml:space="preserve">for outages that potentially affect an airport </w:t>
      </w:r>
      <w:r w:rsidR="00D3026D">
        <w:rPr>
          <w:sz w:val="24"/>
          <w:szCs w:val="24"/>
        </w:rPr>
        <w:t xml:space="preserve">and </w:t>
      </w:r>
      <w:r w:rsidR="00094F7E">
        <w:rPr>
          <w:sz w:val="24"/>
          <w:szCs w:val="24"/>
        </w:rPr>
        <w:t xml:space="preserve">apply to those airports </w:t>
      </w:r>
      <w:r w:rsidR="009C4B31">
        <w:rPr>
          <w:sz w:val="24"/>
          <w:szCs w:val="24"/>
        </w:rPr>
        <w:t>determined by the FAA to provide commercial service and only when the event affects critical communications at covered airports.</w:t>
      </w:r>
      <w:r w:rsidR="009C4B31">
        <w:rPr>
          <w:rStyle w:val="FootnoteReference"/>
          <w:sz w:val="24"/>
          <w:szCs w:val="24"/>
        </w:rPr>
        <w:footnoteReference w:id="29"/>
      </w:r>
      <w:r w:rsidR="009C4B31">
        <w:rPr>
          <w:sz w:val="24"/>
          <w:szCs w:val="24"/>
        </w:rPr>
        <w:t xml:space="preserve"> </w:t>
      </w:r>
      <w:r w:rsidR="002D315A">
        <w:rPr>
          <w:sz w:val="24"/>
          <w:szCs w:val="24"/>
        </w:rPr>
        <w:t xml:space="preserve"> </w:t>
      </w:r>
      <w:r w:rsidR="005302D0">
        <w:rPr>
          <w:sz w:val="24"/>
          <w:szCs w:val="24"/>
        </w:rPr>
        <w:t>We adopt an exemption for wireless carriers from being required to report outages potentially affecting all special offices and facilities.</w:t>
      </w:r>
      <w:r w:rsidR="005302D0">
        <w:rPr>
          <w:rStyle w:val="FootnoteReference"/>
          <w:sz w:val="24"/>
          <w:szCs w:val="24"/>
        </w:rPr>
        <w:footnoteReference w:id="30"/>
      </w:r>
      <w:r w:rsidR="005302D0">
        <w:rPr>
          <w:sz w:val="24"/>
          <w:szCs w:val="24"/>
        </w:rPr>
        <w:t xml:space="preserve">  </w:t>
      </w:r>
      <w:r w:rsidR="002D315A">
        <w:rPr>
          <w:sz w:val="24"/>
          <w:szCs w:val="24"/>
        </w:rPr>
        <w:t>We</w:t>
      </w:r>
      <w:r w:rsidR="00651125">
        <w:rPr>
          <w:sz w:val="24"/>
          <w:szCs w:val="24"/>
        </w:rPr>
        <w:t xml:space="preserve"> estimate that adoption of the clarifications relating to airports and other special offices and facilities will reduce</w:t>
      </w:r>
      <w:r w:rsidR="002D315A">
        <w:rPr>
          <w:sz w:val="24"/>
          <w:szCs w:val="24"/>
        </w:rPr>
        <w:t xml:space="preserve"> the number of reports filed by </w:t>
      </w:r>
      <w:r w:rsidR="002D315A" w:rsidRPr="00A317D9">
        <w:rPr>
          <w:b/>
          <w:sz w:val="24"/>
          <w:szCs w:val="24"/>
        </w:rPr>
        <w:t>117</w:t>
      </w:r>
      <w:r w:rsidR="002D315A">
        <w:rPr>
          <w:sz w:val="24"/>
          <w:szCs w:val="24"/>
        </w:rPr>
        <w:t>.</w:t>
      </w:r>
      <w:r w:rsidR="00651125">
        <w:rPr>
          <w:rStyle w:val="FootnoteReference"/>
          <w:sz w:val="24"/>
          <w:szCs w:val="24"/>
        </w:rPr>
        <w:footnoteReference w:id="31"/>
      </w:r>
      <w:r w:rsidR="002D315A">
        <w:rPr>
          <w:sz w:val="24"/>
          <w:szCs w:val="24"/>
        </w:rPr>
        <w:t xml:space="preserve"> </w:t>
      </w:r>
      <w:r w:rsidR="00651125">
        <w:rPr>
          <w:sz w:val="24"/>
          <w:szCs w:val="24"/>
        </w:rPr>
        <w:t xml:space="preserve"> </w:t>
      </w:r>
    </w:p>
    <w:p w14:paraId="68FCFBDE" w14:textId="77777777" w:rsidR="00384698" w:rsidRPr="004E4A02" w:rsidRDefault="00384698" w:rsidP="00A317D9">
      <w:pPr>
        <w:pStyle w:val="ListParagraph"/>
        <w:widowControl w:val="0"/>
        <w:suppressAutoHyphens w:val="0"/>
        <w:overflowPunct w:val="0"/>
        <w:adjustRightInd w:val="0"/>
        <w:ind w:left="1440"/>
        <w:rPr>
          <w:sz w:val="24"/>
          <w:szCs w:val="24"/>
        </w:rPr>
      </w:pPr>
    </w:p>
    <w:p w14:paraId="0508E302" w14:textId="77777777" w:rsidR="005F3262" w:rsidRDefault="005F3262" w:rsidP="0083695D">
      <w:pPr>
        <w:rPr>
          <w:sz w:val="24"/>
          <w:szCs w:val="24"/>
        </w:rPr>
      </w:pPr>
    </w:p>
    <w:p w14:paraId="40F97F85" w14:textId="54E2B2BF" w:rsidR="002D315A" w:rsidRPr="00426BDA" w:rsidRDefault="002D315A" w:rsidP="0083695D">
      <w:pPr>
        <w:rPr>
          <w:sz w:val="24"/>
          <w:szCs w:val="24"/>
        </w:rPr>
      </w:pPr>
      <w:r w:rsidRPr="000955B6">
        <w:rPr>
          <w:b/>
          <w:sz w:val="24"/>
          <w:szCs w:val="24"/>
          <w:u w:val="single"/>
        </w:rPr>
        <w:t>In sum</w:t>
      </w:r>
      <w:r w:rsidRPr="000955B6">
        <w:rPr>
          <w:b/>
          <w:sz w:val="24"/>
          <w:szCs w:val="24"/>
        </w:rPr>
        <w:t xml:space="preserve">: </w:t>
      </w:r>
      <w:r w:rsidR="00426BDA" w:rsidRPr="000955B6">
        <w:rPr>
          <w:b/>
          <w:sz w:val="24"/>
          <w:szCs w:val="24"/>
        </w:rPr>
        <w:t>(</w:t>
      </w:r>
      <w:r w:rsidR="00373772" w:rsidRPr="000955B6">
        <w:rPr>
          <w:b/>
          <w:sz w:val="24"/>
          <w:szCs w:val="24"/>
        </w:rPr>
        <w:t>-2,835</w:t>
      </w:r>
      <w:r w:rsidR="00426BDA" w:rsidRPr="000955B6">
        <w:rPr>
          <w:b/>
          <w:sz w:val="24"/>
          <w:szCs w:val="24"/>
        </w:rPr>
        <w:t xml:space="preserve">) </w:t>
      </w:r>
      <w:r w:rsidR="00373772" w:rsidRPr="000955B6">
        <w:rPr>
          <w:b/>
          <w:sz w:val="24"/>
          <w:szCs w:val="24"/>
        </w:rPr>
        <w:t>+</w:t>
      </w:r>
      <w:r w:rsidR="00426BDA" w:rsidRPr="000955B6">
        <w:rPr>
          <w:b/>
          <w:sz w:val="24"/>
          <w:szCs w:val="24"/>
        </w:rPr>
        <w:t xml:space="preserve"> (</w:t>
      </w:r>
      <w:r w:rsidR="00373772" w:rsidRPr="000955B6">
        <w:rPr>
          <w:b/>
          <w:sz w:val="24"/>
          <w:szCs w:val="24"/>
        </w:rPr>
        <w:t>510</w:t>
      </w:r>
      <w:r w:rsidR="00426BDA" w:rsidRPr="000955B6">
        <w:rPr>
          <w:b/>
          <w:sz w:val="24"/>
          <w:szCs w:val="24"/>
        </w:rPr>
        <w:t xml:space="preserve">) </w:t>
      </w:r>
      <w:r w:rsidR="00373772" w:rsidRPr="000955B6">
        <w:rPr>
          <w:b/>
          <w:sz w:val="24"/>
          <w:szCs w:val="24"/>
        </w:rPr>
        <w:t>+</w:t>
      </w:r>
      <w:r w:rsidR="00426BDA" w:rsidRPr="000955B6">
        <w:rPr>
          <w:b/>
          <w:sz w:val="24"/>
          <w:szCs w:val="24"/>
        </w:rPr>
        <w:t xml:space="preserve"> (</w:t>
      </w:r>
      <w:r w:rsidR="00373772" w:rsidRPr="000955B6">
        <w:rPr>
          <w:b/>
          <w:sz w:val="24"/>
          <w:szCs w:val="24"/>
        </w:rPr>
        <w:t>10</w:t>
      </w:r>
      <w:r w:rsidR="00426BDA" w:rsidRPr="000955B6">
        <w:rPr>
          <w:b/>
          <w:sz w:val="24"/>
          <w:szCs w:val="24"/>
        </w:rPr>
        <w:t xml:space="preserve">) </w:t>
      </w:r>
      <w:r w:rsidR="00373772" w:rsidRPr="000955B6">
        <w:rPr>
          <w:b/>
          <w:sz w:val="24"/>
          <w:szCs w:val="24"/>
        </w:rPr>
        <w:t>+</w:t>
      </w:r>
      <w:r w:rsidR="00426BDA" w:rsidRPr="000955B6">
        <w:rPr>
          <w:b/>
          <w:sz w:val="24"/>
          <w:szCs w:val="24"/>
        </w:rPr>
        <w:t xml:space="preserve"> (</w:t>
      </w:r>
      <w:r w:rsidR="00373772" w:rsidRPr="000955B6">
        <w:rPr>
          <w:b/>
          <w:sz w:val="24"/>
          <w:szCs w:val="24"/>
        </w:rPr>
        <w:t>0</w:t>
      </w:r>
      <w:r w:rsidR="00426BDA" w:rsidRPr="000955B6">
        <w:rPr>
          <w:b/>
          <w:sz w:val="24"/>
          <w:szCs w:val="24"/>
        </w:rPr>
        <w:t xml:space="preserve">) </w:t>
      </w:r>
      <w:r w:rsidR="00373772" w:rsidRPr="000955B6">
        <w:rPr>
          <w:b/>
          <w:sz w:val="24"/>
          <w:szCs w:val="24"/>
        </w:rPr>
        <w:t>+</w:t>
      </w:r>
      <w:r w:rsidR="00426BDA" w:rsidRPr="000955B6">
        <w:rPr>
          <w:b/>
          <w:sz w:val="24"/>
          <w:szCs w:val="24"/>
        </w:rPr>
        <w:t xml:space="preserve"> (</w:t>
      </w:r>
      <w:r w:rsidR="00373772" w:rsidRPr="000955B6">
        <w:rPr>
          <w:b/>
          <w:sz w:val="24"/>
          <w:szCs w:val="24"/>
        </w:rPr>
        <w:t>0</w:t>
      </w:r>
      <w:r w:rsidR="00426BDA" w:rsidRPr="000955B6">
        <w:rPr>
          <w:b/>
          <w:sz w:val="24"/>
          <w:szCs w:val="24"/>
        </w:rPr>
        <w:t>) + (</w:t>
      </w:r>
      <w:r w:rsidR="00373772" w:rsidRPr="000955B6">
        <w:rPr>
          <w:b/>
          <w:sz w:val="24"/>
          <w:szCs w:val="24"/>
        </w:rPr>
        <w:t>-117</w:t>
      </w:r>
      <w:r w:rsidR="00426BDA" w:rsidRPr="000955B6">
        <w:rPr>
          <w:b/>
          <w:sz w:val="24"/>
          <w:szCs w:val="24"/>
        </w:rPr>
        <w:t xml:space="preserve">) </w:t>
      </w:r>
      <w:r w:rsidR="00373772" w:rsidRPr="000955B6">
        <w:rPr>
          <w:b/>
          <w:sz w:val="24"/>
          <w:szCs w:val="24"/>
        </w:rPr>
        <w:t xml:space="preserve">= </w:t>
      </w:r>
      <w:r w:rsidR="00426BDA" w:rsidRPr="000955B6">
        <w:rPr>
          <w:b/>
          <w:sz w:val="24"/>
          <w:szCs w:val="24"/>
        </w:rPr>
        <w:t>(</w:t>
      </w:r>
      <w:r w:rsidR="00373772" w:rsidRPr="000955B6">
        <w:rPr>
          <w:b/>
          <w:sz w:val="24"/>
          <w:szCs w:val="24"/>
        </w:rPr>
        <w:t>-2,432</w:t>
      </w:r>
      <w:r w:rsidR="00426BDA" w:rsidRPr="000955B6">
        <w:rPr>
          <w:b/>
          <w:sz w:val="24"/>
          <w:szCs w:val="24"/>
        </w:rPr>
        <w:t>)</w:t>
      </w:r>
      <w:r w:rsidR="00426BDA">
        <w:rPr>
          <w:sz w:val="24"/>
          <w:szCs w:val="24"/>
        </w:rPr>
        <w:t xml:space="preserve"> reports due to requirements adopted in the </w:t>
      </w:r>
      <w:r w:rsidR="00426BDA">
        <w:rPr>
          <w:i/>
          <w:sz w:val="24"/>
          <w:szCs w:val="24"/>
        </w:rPr>
        <w:t xml:space="preserve">Report and Order </w:t>
      </w:r>
      <w:r w:rsidR="00426BDA">
        <w:rPr>
          <w:sz w:val="24"/>
          <w:szCs w:val="24"/>
        </w:rPr>
        <w:t xml:space="preserve">and </w:t>
      </w:r>
      <w:r w:rsidR="00426BDA">
        <w:rPr>
          <w:i/>
          <w:sz w:val="24"/>
          <w:szCs w:val="24"/>
        </w:rPr>
        <w:t>Order on Reconsideration</w:t>
      </w:r>
      <w:r w:rsidR="00426BDA">
        <w:rPr>
          <w:sz w:val="24"/>
          <w:szCs w:val="24"/>
        </w:rPr>
        <w:t xml:space="preserve">.  </w:t>
      </w:r>
    </w:p>
    <w:p w14:paraId="3E9DE935" w14:textId="77777777" w:rsidR="002D315A" w:rsidRPr="0012381D" w:rsidRDefault="002D315A" w:rsidP="0083695D">
      <w:pPr>
        <w:rPr>
          <w:sz w:val="24"/>
          <w:szCs w:val="24"/>
        </w:rPr>
      </w:pPr>
    </w:p>
    <w:p w14:paraId="4B087291" w14:textId="32F7F13C" w:rsidR="003540E1" w:rsidRPr="00FD366D" w:rsidRDefault="00185FFA" w:rsidP="00CA0BEA">
      <w:pPr>
        <w:rPr>
          <w:sz w:val="24"/>
          <w:szCs w:val="24"/>
        </w:rPr>
      </w:pPr>
      <w:r w:rsidRPr="0012381D">
        <w:rPr>
          <w:b/>
          <w:sz w:val="24"/>
          <w:szCs w:val="24"/>
        </w:rPr>
        <w:t>Annual Hour Burden:</w:t>
      </w:r>
      <w:r>
        <w:rPr>
          <w:sz w:val="24"/>
          <w:szCs w:val="24"/>
        </w:rPr>
        <w:t xml:space="preserve">  </w:t>
      </w:r>
      <w:r w:rsidR="00CA0BEA">
        <w:rPr>
          <w:sz w:val="24"/>
          <w:szCs w:val="24"/>
        </w:rPr>
        <w:t xml:space="preserve">The existing information collection already approved by OMB includes </w:t>
      </w:r>
      <w:r w:rsidR="00CA0BEA" w:rsidRPr="00CA0BEA">
        <w:rPr>
          <w:sz w:val="24"/>
          <w:szCs w:val="24"/>
        </w:rPr>
        <w:t xml:space="preserve">three components: </w:t>
      </w:r>
      <w:r w:rsidR="00863B16">
        <w:rPr>
          <w:sz w:val="24"/>
          <w:szCs w:val="24"/>
        </w:rPr>
        <w:t xml:space="preserve"> </w:t>
      </w:r>
      <w:r w:rsidR="00CA0BEA" w:rsidRPr="00CA0BEA">
        <w:rPr>
          <w:sz w:val="24"/>
          <w:szCs w:val="24"/>
        </w:rPr>
        <w:t>a Notification that an outage</w:t>
      </w:r>
      <w:r w:rsidR="00EA7670">
        <w:rPr>
          <w:sz w:val="24"/>
          <w:szCs w:val="24"/>
        </w:rPr>
        <w:t xml:space="preserve"> event </w:t>
      </w:r>
      <w:r w:rsidR="00CA0BEA" w:rsidRPr="00CA0BEA">
        <w:rPr>
          <w:sz w:val="24"/>
          <w:szCs w:val="24"/>
        </w:rPr>
        <w:t>has occurred, an Initial Report containing detailed information on the outage</w:t>
      </w:r>
      <w:r w:rsidR="00EA7670">
        <w:rPr>
          <w:sz w:val="24"/>
          <w:szCs w:val="24"/>
        </w:rPr>
        <w:t xml:space="preserve"> event</w:t>
      </w:r>
      <w:r w:rsidR="00CA0BEA" w:rsidRPr="00CA0BEA">
        <w:rPr>
          <w:sz w:val="24"/>
          <w:szCs w:val="24"/>
        </w:rPr>
        <w:t xml:space="preserve">, and a Final Report containing detailed information </w:t>
      </w:r>
      <w:r w:rsidR="00EA7670">
        <w:rPr>
          <w:sz w:val="24"/>
          <w:szCs w:val="24"/>
        </w:rPr>
        <w:t>on</w:t>
      </w:r>
      <w:r w:rsidR="00CA0BEA" w:rsidRPr="00CA0BEA">
        <w:rPr>
          <w:sz w:val="24"/>
          <w:szCs w:val="24"/>
        </w:rPr>
        <w:t xml:space="preserve"> </w:t>
      </w:r>
      <w:r w:rsidR="00CA0BEA" w:rsidRPr="00CA0BEA">
        <w:rPr>
          <w:sz w:val="24"/>
          <w:szCs w:val="24"/>
        </w:rPr>
        <w:lastRenderedPageBreak/>
        <w:t>the outage</w:t>
      </w:r>
      <w:r w:rsidR="00EA7670">
        <w:rPr>
          <w:sz w:val="24"/>
          <w:szCs w:val="24"/>
        </w:rPr>
        <w:t xml:space="preserve"> event</w:t>
      </w:r>
      <w:r w:rsidR="00CA0BEA" w:rsidRPr="00CA0BEA">
        <w:rPr>
          <w:sz w:val="24"/>
          <w:szCs w:val="24"/>
        </w:rPr>
        <w:t xml:space="preserve"> and how </w:t>
      </w:r>
      <w:r w:rsidR="00EA7670">
        <w:rPr>
          <w:sz w:val="24"/>
          <w:szCs w:val="24"/>
        </w:rPr>
        <w:t>the event</w:t>
      </w:r>
      <w:r w:rsidR="00CA0BEA" w:rsidRPr="00CA0BEA">
        <w:rPr>
          <w:sz w:val="24"/>
          <w:szCs w:val="24"/>
        </w:rPr>
        <w:t xml:space="preserve"> was resolved.  </w:t>
      </w:r>
      <w:r w:rsidR="00CA0BEA">
        <w:rPr>
          <w:sz w:val="24"/>
          <w:szCs w:val="24"/>
        </w:rPr>
        <w:t xml:space="preserve">We have previously estimated </w:t>
      </w:r>
      <w:r w:rsidR="00CA0BEA" w:rsidRPr="00CA0BEA">
        <w:rPr>
          <w:sz w:val="24"/>
          <w:szCs w:val="24"/>
        </w:rPr>
        <w:t xml:space="preserve">that reporting entities will </w:t>
      </w:r>
      <w:r w:rsidR="00CA0BEA">
        <w:rPr>
          <w:sz w:val="24"/>
          <w:szCs w:val="24"/>
        </w:rPr>
        <w:t>require</w:t>
      </w:r>
      <w:r w:rsidR="00CA0BEA" w:rsidRPr="00CA0BEA">
        <w:rPr>
          <w:sz w:val="24"/>
          <w:szCs w:val="24"/>
        </w:rPr>
        <w:t xml:space="preserve"> 15 minutes to file a Notification with the Commission</w:t>
      </w:r>
      <w:r w:rsidR="00CA0BEA">
        <w:rPr>
          <w:sz w:val="24"/>
          <w:szCs w:val="24"/>
        </w:rPr>
        <w:t xml:space="preserve"> and</w:t>
      </w:r>
      <w:r w:rsidR="00CA0BEA" w:rsidRPr="00CA0BEA">
        <w:rPr>
          <w:sz w:val="24"/>
          <w:szCs w:val="24"/>
        </w:rPr>
        <w:t xml:space="preserve"> that the more detailed Initial Report will ordinarily not take more than 45 minutes to complete and submit to the Commission.</w:t>
      </w:r>
      <w:r w:rsidR="00EA7670">
        <w:rPr>
          <w:rStyle w:val="FootnoteReference"/>
          <w:sz w:val="24"/>
          <w:szCs w:val="24"/>
        </w:rPr>
        <w:footnoteReference w:id="32"/>
      </w:r>
      <w:r w:rsidR="00CA0BEA" w:rsidRPr="00CA0BEA">
        <w:rPr>
          <w:sz w:val="24"/>
          <w:szCs w:val="24"/>
        </w:rPr>
        <w:t xml:space="preserve">  </w:t>
      </w:r>
      <w:r w:rsidR="00CA0BEA">
        <w:rPr>
          <w:sz w:val="24"/>
          <w:szCs w:val="24"/>
        </w:rPr>
        <w:t>We further</w:t>
      </w:r>
      <w:r w:rsidR="00CA0BEA" w:rsidRPr="00CA0BEA">
        <w:rPr>
          <w:sz w:val="24"/>
          <w:szCs w:val="24"/>
        </w:rPr>
        <w:t xml:space="preserve"> estimated that respondents will ordinarily not need more than one hour to complete and submit </w:t>
      </w:r>
      <w:r w:rsidR="00CA0BEA" w:rsidRPr="00FD366D">
        <w:rPr>
          <w:sz w:val="24"/>
          <w:szCs w:val="24"/>
        </w:rPr>
        <w:t>electronically a Final Report to the Commission within 30 days after the outage was discovered.</w:t>
      </w:r>
      <w:r w:rsidR="00A576A8">
        <w:rPr>
          <w:rStyle w:val="FootnoteReference"/>
          <w:sz w:val="24"/>
          <w:szCs w:val="24"/>
        </w:rPr>
        <w:footnoteReference w:id="33"/>
      </w:r>
      <w:r w:rsidR="00CA0BEA" w:rsidRPr="00FD366D">
        <w:rPr>
          <w:sz w:val="24"/>
          <w:szCs w:val="24"/>
        </w:rPr>
        <w:t xml:space="preserve">  Thus, the total time needed to file all reports pertinent to each outage that meets or exceeds the reporting threshold criteria </w:t>
      </w:r>
      <w:r w:rsidR="00507262">
        <w:rPr>
          <w:sz w:val="24"/>
          <w:szCs w:val="24"/>
        </w:rPr>
        <w:t>has been</w:t>
      </w:r>
      <w:r w:rsidR="00CA0BEA" w:rsidRPr="00FD366D">
        <w:rPr>
          <w:sz w:val="24"/>
          <w:szCs w:val="24"/>
        </w:rPr>
        <w:t xml:space="preserve"> estimated to be less than two (2) hours as follows:</w:t>
      </w:r>
    </w:p>
    <w:p w14:paraId="1E1FF620" w14:textId="77777777" w:rsidR="003540E1" w:rsidRPr="00FD366D" w:rsidRDefault="003540E1" w:rsidP="00CA0BEA">
      <w:pPr>
        <w:rPr>
          <w:sz w:val="24"/>
          <w:szCs w:val="24"/>
        </w:rPr>
      </w:pPr>
    </w:p>
    <w:p w14:paraId="4B31EE1C" w14:textId="77777777" w:rsidR="003540E1" w:rsidRPr="00FD366D" w:rsidRDefault="003540E1" w:rsidP="00426BDA">
      <w:pPr>
        <w:ind w:left="720"/>
        <w:jc w:val="center"/>
        <w:rPr>
          <w:sz w:val="24"/>
          <w:szCs w:val="24"/>
        </w:rPr>
      </w:pPr>
      <w:r w:rsidRPr="00FD366D">
        <w:rPr>
          <w:sz w:val="24"/>
          <w:szCs w:val="24"/>
        </w:rPr>
        <w:t>15 minutes [Notification] + 45 minutes [Initial Report] + 1 hour [Final Report]</w:t>
      </w:r>
    </w:p>
    <w:p w14:paraId="558882C2" w14:textId="12513CE5" w:rsidR="00CA0BEA" w:rsidRPr="00FD366D" w:rsidRDefault="003540E1" w:rsidP="00426BDA">
      <w:pPr>
        <w:ind w:left="720"/>
        <w:jc w:val="center"/>
        <w:rPr>
          <w:sz w:val="24"/>
          <w:szCs w:val="24"/>
        </w:rPr>
      </w:pPr>
      <w:r w:rsidRPr="00FD366D">
        <w:rPr>
          <w:sz w:val="24"/>
          <w:szCs w:val="24"/>
        </w:rPr>
        <w:t>= 2 hours maximum</w:t>
      </w:r>
      <w:r w:rsidR="00426BDA">
        <w:rPr>
          <w:sz w:val="24"/>
          <w:szCs w:val="24"/>
        </w:rPr>
        <w:t>.</w:t>
      </w:r>
      <w:r w:rsidR="009E63AE" w:rsidRPr="00FD366D">
        <w:rPr>
          <w:rStyle w:val="FootnoteReference"/>
          <w:sz w:val="24"/>
          <w:szCs w:val="24"/>
        </w:rPr>
        <w:footnoteReference w:id="34"/>
      </w:r>
    </w:p>
    <w:p w14:paraId="710D3D77" w14:textId="77777777" w:rsidR="00CA0BEA" w:rsidRPr="00FD366D" w:rsidRDefault="00CA0BEA" w:rsidP="00CA0BEA">
      <w:pPr>
        <w:rPr>
          <w:sz w:val="24"/>
          <w:szCs w:val="24"/>
        </w:rPr>
      </w:pPr>
    </w:p>
    <w:p w14:paraId="23FBFB23" w14:textId="39A6E828" w:rsidR="0097464A" w:rsidRPr="00FD366D" w:rsidRDefault="00843D98" w:rsidP="0083695D">
      <w:pPr>
        <w:rPr>
          <w:sz w:val="24"/>
          <w:szCs w:val="24"/>
        </w:rPr>
      </w:pPr>
      <w:r w:rsidRPr="00FD366D">
        <w:rPr>
          <w:sz w:val="24"/>
          <w:szCs w:val="24"/>
        </w:rPr>
        <w:t>We believe these estimates</w:t>
      </w:r>
      <w:r w:rsidR="0078711D" w:rsidRPr="00FD366D">
        <w:rPr>
          <w:sz w:val="24"/>
          <w:szCs w:val="24"/>
        </w:rPr>
        <w:t xml:space="preserve"> remain valid. </w:t>
      </w:r>
      <w:r w:rsidRPr="00FD366D">
        <w:rPr>
          <w:sz w:val="24"/>
          <w:szCs w:val="24"/>
        </w:rPr>
        <w:t xml:space="preserve"> </w:t>
      </w:r>
      <w:r w:rsidR="00A11282" w:rsidRPr="00FD366D">
        <w:rPr>
          <w:sz w:val="24"/>
          <w:szCs w:val="24"/>
        </w:rPr>
        <w:t>Indeed, we noted previously that the two-hour estimate was conservative and that time required to file each report was, “</w:t>
      </w:r>
      <w:r w:rsidR="00A11282" w:rsidRPr="00FD366D">
        <w:rPr>
          <w:sz w:val="24"/>
          <w:szCs w:val="24"/>
          <w:shd w:val="clear" w:color="auto" w:fill="FFFFFF"/>
        </w:rPr>
        <w:t>more likely, estimated to be approximately 1 to 1.5 hours</w:t>
      </w:r>
      <w:r w:rsidR="00A11282" w:rsidRPr="00FD366D">
        <w:rPr>
          <w:sz w:val="24"/>
          <w:szCs w:val="24"/>
        </w:rPr>
        <w:t>.”</w:t>
      </w:r>
      <w:r w:rsidR="00A11282" w:rsidRPr="00FD366D">
        <w:rPr>
          <w:rStyle w:val="FootnoteReference"/>
          <w:sz w:val="24"/>
          <w:szCs w:val="24"/>
        </w:rPr>
        <w:footnoteReference w:id="35"/>
      </w:r>
    </w:p>
    <w:p w14:paraId="14DE3FC4" w14:textId="77777777" w:rsidR="0012381D" w:rsidRPr="00FD366D" w:rsidRDefault="0012381D" w:rsidP="0083695D">
      <w:pPr>
        <w:rPr>
          <w:bCs/>
          <w:color w:val="000000"/>
          <w:sz w:val="24"/>
          <w:szCs w:val="24"/>
        </w:rPr>
      </w:pPr>
    </w:p>
    <w:p w14:paraId="2D40F1B6" w14:textId="223B4216" w:rsidR="0012381D" w:rsidRPr="00FD366D" w:rsidRDefault="001C3EBC" w:rsidP="00C3021D">
      <w:pPr>
        <w:ind w:left="720"/>
        <w:rPr>
          <w:bCs/>
          <w:color w:val="000000"/>
          <w:sz w:val="24"/>
          <w:szCs w:val="24"/>
        </w:rPr>
      </w:pPr>
      <w:r w:rsidRPr="00FD366D">
        <w:rPr>
          <w:b/>
          <w:bCs/>
          <w:color w:val="000000"/>
          <w:sz w:val="24"/>
          <w:szCs w:val="24"/>
        </w:rPr>
        <w:t xml:space="preserve">Additional </w:t>
      </w:r>
      <w:r w:rsidR="003B40FD" w:rsidRPr="00FD366D">
        <w:rPr>
          <w:b/>
          <w:bCs/>
          <w:color w:val="000000"/>
          <w:sz w:val="24"/>
          <w:szCs w:val="24"/>
        </w:rPr>
        <w:t>Burden hours:</w:t>
      </w:r>
      <w:r w:rsidR="003B40FD" w:rsidRPr="00FD366D">
        <w:rPr>
          <w:bCs/>
          <w:color w:val="000000"/>
          <w:sz w:val="24"/>
          <w:szCs w:val="24"/>
        </w:rPr>
        <w:t xml:space="preserve"> </w:t>
      </w:r>
      <w:r w:rsidR="00B15BE6">
        <w:rPr>
          <w:bCs/>
          <w:color w:val="000000"/>
          <w:sz w:val="24"/>
          <w:szCs w:val="24"/>
        </w:rPr>
        <w:t>(-2,432)</w:t>
      </w:r>
      <w:r w:rsidR="00843D98" w:rsidRPr="00FD366D">
        <w:rPr>
          <w:bCs/>
          <w:color w:val="000000"/>
          <w:sz w:val="24"/>
          <w:szCs w:val="24"/>
        </w:rPr>
        <w:t xml:space="preserve"> </w:t>
      </w:r>
      <w:r w:rsidR="00B15BE6">
        <w:rPr>
          <w:bCs/>
          <w:color w:val="000000"/>
          <w:sz w:val="24"/>
          <w:szCs w:val="24"/>
        </w:rPr>
        <w:t xml:space="preserve">additional </w:t>
      </w:r>
      <w:r w:rsidR="00843D98" w:rsidRPr="00FD366D">
        <w:rPr>
          <w:bCs/>
          <w:color w:val="000000"/>
          <w:sz w:val="24"/>
          <w:szCs w:val="24"/>
        </w:rPr>
        <w:t>reports filed</w:t>
      </w:r>
      <w:r w:rsidR="0012381D" w:rsidRPr="00FD366D">
        <w:rPr>
          <w:bCs/>
          <w:color w:val="000000"/>
          <w:sz w:val="24"/>
          <w:szCs w:val="24"/>
        </w:rPr>
        <w:t xml:space="preserve"> annually * </w:t>
      </w:r>
      <w:r w:rsidR="00843D98" w:rsidRPr="00FD366D">
        <w:rPr>
          <w:bCs/>
          <w:color w:val="000000"/>
          <w:sz w:val="24"/>
          <w:szCs w:val="24"/>
        </w:rPr>
        <w:t>2</w:t>
      </w:r>
      <w:r w:rsidR="0012381D" w:rsidRPr="00FD366D">
        <w:rPr>
          <w:bCs/>
          <w:color w:val="000000"/>
          <w:sz w:val="24"/>
          <w:szCs w:val="24"/>
        </w:rPr>
        <w:t xml:space="preserve"> hours per </w:t>
      </w:r>
      <w:r w:rsidR="0097464A" w:rsidRPr="00FD366D">
        <w:rPr>
          <w:bCs/>
          <w:color w:val="000000"/>
          <w:sz w:val="24"/>
          <w:szCs w:val="24"/>
        </w:rPr>
        <w:t xml:space="preserve">report </w:t>
      </w:r>
      <w:r w:rsidR="0012381D" w:rsidRPr="00FD366D">
        <w:rPr>
          <w:bCs/>
          <w:color w:val="000000"/>
          <w:sz w:val="24"/>
          <w:szCs w:val="24"/>
        </w:rPr>
        <w:t xml:space="preserve">= </w:t>
      </w:r>
      <w:r w:rsidR="00B15BE6">
        <w:rPr>
          <w:bCs/>
          <w:color w:val="000000"/>
          <w:sz w:val="24"/>
          <w:szCs w:val="24"/>
        </w:rPr>
        <w:t xml:space="preserve">(-4,864) </w:t>
      </w:r>
      <w:r w:rsidR="0012381D" w:rsidRPr="00FD366D">
        <w:rPr>
          <w:bCs/>
          <w:color w:val="000000"/>
          <w:sz w:val="24"/>
          <w:szCs w:val="24"/>
        </w:rPr>
        <w:t>hours</w:t>
      </w:r>
      <w:r w:rsidR="005244B4" w:rsidRPr="00FD366D">
        <w:rPr>
          <w:bCs/>
          <w:color w:val="000000"/>
          <w:sz w:val="24"/>
          <w:szCs w:val="24"/>
        </w:rPr>
        <w:t xml:space="preserve"> annual burden</w:t>
      </w:r>
      <w:r w:rsidR="00441BE6" w:rsidRPr="00FD366D">
        <w:rPr>
          <w:bCs/>
          <w:color w:val="000000"/>
          <w:sz w:val="24"/>
          <w:szCs w:val="24"/>
        </w:rPr>
        <w:t xml:space="preserve">.  </w:t>
      </w:r>
      <w:r w:rsidR="00B15BE6">
        <w:rPr>
          <w:bCs/>
          <w:color w:val="000000"/>
          <w:sz w:val="24"/>
          <w:szCs w:val="24"/>
        </w:rPr>
        <w:t xml:space="preserve">A total net </w:t>
      </w:r>
      <w:r w:rsidR="00B15BE6">
        <w:rPr>
          <w:bCs/>
          <w:color w:val="000000"/>
          <w:sz w:val="24"/>
          <w:szCs w:val="24"/>
        </w:rPr>
        <w:lastRenderedPageBreak/>
        <w:t>reduction of 4,864 burden</w:t>
      </w:r>
      <w:r w:rsidR="00C24E52">
        <w:rPr>
          <w:bCs/>
          <w:color w:val="000000"/>
          <w:sz w:val="24"/>
          <w:szCs w:val="24"/>
        </w:rPr>
        <w:t xml:space="preserve"> hours</w:t>
      </w:r>
      <w:r w:rsidR="00426BDA">
        <w:rPr>
          <w:bCs/>
          <w:color w:val="000000"/>
          <w:sz w:val="24"/>
          <w:szCs w:val="24"/>
        </w:rPr>
        <w:t xml:space="preserve"> due to the requirements adopted in the </w:t>
      </w:r>
      <w:r w:rsidR="00426BDA">
        <w:rPr>
          <w:i/>
          <w:sz w:val="24"/>
          <w:szCs w:val="24"/>
        </w:rPr>
        <w:t xml:space="preserve">Report and Order </w:t>
      </w:r>
      <w:r w:rsidR="00426BDA">
        <w:rPr>
          <w:sz w:val="24"/>
          <w:szCs w:val="24"/>
        </w:rPr>
        <w:t xml:space="preserve">and </w:t>
      </w:r>
      <w:r w:rsidR="00426BDA">
        <w:rPr>
          <w:i/>
          <w:sz w:val="24"/>
          <w:szCs w:val="24"/>
        </w:rPr>
        <w:t>Order on Reconsideration</w:t>
      </w:r>
      <w:r w:rsidR="00B15BE6">
        <w:rPr>
          <w:bCs/>
          <w:color w:val="000000"/>
          <w:sz w:val="24"/>
          <w:szCs w:val="24"/>
        </w:rPr>
        <w:t>.</w:t>
      </w:r>
    </w:p>
    <w:p w14:paraId="2F858CBD" w14:textId="77777777" w:rsidR="00C3021D" w:rsidRPr="00FD366D" w:rsidRDefault="00C3021D" w:rsidP="00C3021D">
      <w:pPr>
        <w:ind w:left="720"/>
        <w:rPr>
          <w:bCs/>
          <w:color w:val="000000"/>
          <w:sz w:val="24"/>
          <w:szCs w:val="24"/>
        </w:rPr>
      </w:pPr>
    </w:p>
    <w:p w14:paraId="3174FC49" w14:textId="657B9985" w:rsidR="001C3EBC" w:rsidRPr="00FD366D" w:rsidRDefault="001C3EBC" w:rsidP="00C3021D">
      <w:pPr>
        <w:ind w:left="720"/>
        <w:rPr>
          <w:bCs/>
          <w:color w:val="000000"/>
          <w:sz w:val="24"/>
          <w:szCs w:val="24"/>
        </w:rPr>
      </w:pPr>
      <w:r w:rsidRPr="00FD366D">
        <w:rPr>
          <w:b/>
          <w:bCs/>
          <w:color w:val="000000"/>
          <w:sz w:val="24"/>
          <w:szCs w:val="24"/>
        </w:rPr>
        <w:t xml:space="preserve">Additional </w:t>
      </w:r>
      <w:r w:rsidR="0094153A" w:rsidRPr="00FD366D">
        <w:rPr>
          <w:b/>
          <w:bCs/>
          <w:color w:val="000000"/>
          <w:sz w:val="24"/>
          <w:szCs w:val="24"/>
        </w:rPr>
        <w:t>In-House Cost</w:t>
      </w:r>
      <w:r w:rsidR="00C3021D" w:rsidRPr="00FD366D">
        <w:rPr>
          <w:b/>
          <w:bCs/>
          <w:color w:val="000000"/>
          <w:sz w:val="24"/>
          <w:szCs w:val="24"/>
        </w:rPr>
        <w:t>:</w:t>
      </w:r>
      <w:r w:rsidR="00C3021D" w:rsidRPr="00FD366D">
        <w:rPr>
          <w:bCs/>
          <w:color w:val="000000"/>
          <w:sz w:val="24"/>
          <w:szCs w:val="24"/>
        </w:rPr>
        <w:t xml:space="preserve">  </w:t>
      </w:r>
      <w:r w:rsidR="00B15BE6">
        <w:rPr>
          <w:bCs/>
          <w:color w:val="000000"/>
          <w:sz w:val="24"/>
          <w:szCs w:val="24"/>
        </w:rPr>
        <w:t xml:space="preserve">(-2,432) </w:t>
      </w:r>
      <w:r w:rsidR="00843D98" w:rsidRPr="00FD366D">
        <w:rPr>
          <w:bCs/>
          <w:color w:val="000000"/>
          <w:sz w:val="24"/>
          <w:szCs w:val="24"/>
        </w:rPr>
        <w:t>additional reports filed annually</w:t>
      </w:r>
      <w:r w:rsidR="00C3021D" w:rsidRPr="00FD366D">
        <w:rPr>
          <w:bCs/>
          <w:color w:val="000000"/>
          <w:sz w:val="24"/>
          <w:szCs w:val="24"/>
        </w:rPr>
        <w:t xml:space="preserve"> * </w:t>
      </w:r>
      <w:r w:rsidR="00843D98" w:rsidRPr="00FD366D">
        <w:rPr>
          <w:bCs/>
          <w:color w:val="000000"/>
          <w:sz w:val="24"/>
          <w:szCs w:val="24"/>
        </w:rPr>
        <w:t>2</w:t>
      </w:r>
      <w:r w:rsidR="00C3021D" w:rsidRPr="00FD366D">
        <w:rPr>
          <w:bCs/>
          <w:color w:val="000000"/>
          <w:sz w:val="24"/>
          <w:szCs w:val="24"/>
        </w:rPr>
        <w:t xml:space="preserve"> hours per </w:t>
      </w:r>
      <w:r w:rsidR="0097464A" w:rsidRPr="00FD366D">
        <w:rPr>
          <w:bCs/>
          <w:color w:val="000000"/>
          <w:sz w:val="24"/>
          <w:szCs w:val="24"/>
        </w:rPr>
        <w:t xml:space="preserve">report </w:t>
      </w:r>
      <w:r w:rsidR="00C3021D" w:rsidRPr="00FD366D">
        <w:rPr>
          <w:bCs/>
          <w:color w:val="000000"/>
          <w:sz w:val="24"/>
          <w:szCs w:val="24"/>
        </w:rPr>
        <w:t>* one technician at $80.00/hour =</w:t>
      </w:r>
      <w:r w:rsidR="00F27C18">
        <w:rPr>
          <w:bCs/>
          <w:color w:val="000000"/>
          <w:sz w:val="24"/>
          <w:szCs w:val="24"/>
        </w:rPr>
        <w:t xml:space="preserve"> (-</w:t>
      </w:r>
      <w:r w:rsidR="0094153A" w:rsidRPr="00FD366D">
        <w:rPr>
          <w:bCs/>
          <w:color w:val="000000"/>
          <w:sz w:val="24"/>
          <w:szCs w:val="24"/>
        </w:rPr>
        <w:t>$</w:t>
      </w:r>
      <w:r w:rsidR="00C24E52">
        <w:rPr>
          <w:bCs/>
          <w:color w:val="000000"/>
          <w:sz w:val="24"/>
          <w:szCs w:val="24"/>
        </w:rPr>
        <w:t>389,120</w:t>
      </w:r>
      <w:r w:rsidR="00F27C18">
        <w:rPr>
          <w:bCs/>
          <w:color w:val="000000"/>
          <w:sz w:val="24"/>
          <w:szCs w:val="24"/>
        </w:rPr>
        <w:t>)</w:t>
      </w:r>
      <w:r w:rsidR="00C24E52">
        <w:rPr>
          <w:bCs/>
          <w:color w:val="000000"/>
          <w:sz w:val="24"/>
          <w:szCs w:val="24"/>
        </w:rPr>
        <w:t>.</w:t>
      </w:r>
      <w:r w:rsidR="00441BE6" w:rsidRPr="00FD366D">
        <w:rPr>
          <w:bCs/>
          <w:color w:val="000000"/>
          <w:sz w:val="24"/>
          <w:szCs w:val="24"/>
        </w:rPr>
        <w:t xml:space="preserve">  </w:t>
      </w:r>
      <w:r w:rsidR="00C24E52">
        <w:rPr>
          <w:bCs/>
          <w:color w:val="000000"/>
          <w:sz w:val="24"/>
          <w:szCs w:val="24"/>
        </w:rPr>
        <w:t>A total net reduction of $389,120 in in-house cost.</w:t>
      </w:r>
    </w:p>
    <w:p w14:paraId="6FFF5D40" w14:textId="77777777" w:rsidR="00843D98" w:rsidRPr="00FD366D" w:rsidRDefault="00843D98" w:rsidP="00C3021D">
      <w:pPr>
        <w:ind w:left="720"/>
        <w:rPr>
          <w:bCs/>
          <w:color w:val="000000"/>
          <w:sz w:val="24"/>
          <w:szCs w:val="24"/>
        </w:rPr>
      </w:pPr>
    </w:p>
    <w:p w14:paraId="32A94D32" w14:textId="57828A67" w:rsidR="001C3EBC" w:rsidRPr="00C3021D" w:rsidRDefault="00F27C18" w:rsidP="00D75AE8">
      <w:pPr>
        <w:ind w:firstLine="720"/>
        <w:rPr>
          <w:bCs/>
          <w:color w:val="000000"/>
          <w:sz w:val="24"/>
          <w:szCs w:val="24"/>
        </w:rPr>
      </w:pPr>
      <w:r>
        <w:rPr>
          <w:bCs/>
          <w:color w:val="000000"/>
          <w:sz w:val="24"/>
          <w:szCs w:val="24"/>
        </w:rPr>
        <w:t>In 2014, w</w:t>
      </w:r>
      <w:r w:rsidR="001C3EBC" w:rsidRPr="00FD366D">
        <w:rPr>
          <w:bCs/>
          <w:color w:val="000000"/>
          <w:sz w:val="24"/>
          <w:szCs w:val="24"/>
        </w:rPr>
        <w:t xml:space="preserve">e previously estimated a total of </w:t>
      </w:r>
      <w:r w:rsidR="00DC03E7" w:rsidRPr="00DC03E7">
        <w:rPr>
          <w:bCs/>
          <w:color w:val="000000"/>
          <w:sz w:val="24"/>
          <w:szCs w:val="24"/>
        </w:rPr>
        <w:t xml:space="preserve">29,870 </w:t>
      </w:r>
      <w:r w:rsidR="001C3EBC" w:rsidRPr="00FD366D">
        <w:rPr>
          <w:bCs/>
          <w:color w:val="000000"/>
          <w:sz w:val="24"/>
          <w:szCs w:val="24"/>
        </w:rPr>
        <w:t xml:space="preserve">annual burden hours and </w:t>
      </w:r>
      <w:r w:rsidR="001D56FA">
        <w:rPr>
          <w:bCs/>
          <w:color w:val="000000"/>
          <w:sz w:val="24"/>
          <w:szCs w:val="24"/>
        </w:rPr>
        <w:t>this translates to</w:t>
      </w:r>
      <w:r w:rsidR="006B7C2E">
        <w:rPr>
          <w:bCs/>
          <w:color w:val="000000"/>
          <w:sz w:val="24"/>
          <w:szCs w:val="24"/>
        </w:rPr>
        <w:t xml:space="preserve"> an estimated</w:t>
      </w:r>
      <w:r w:rsidR="001D56FA">
        <w:rPr>
          <w:bCs/>
          <w:color w:val="000000"/>
          <w:sz w:val="24"/>
          <w:szCs w:val="24"/>
        </w:rPr>
        <w:t xml:space="preserve"> </w:t>
      </w:r>
      <w:r w:rsidR="001D56FA" w:rsidRPr="002A22B9">
        <w:rPr>
          <w:bCs/>
          <w:color w:val="000000"/>
          <w:sz w:val="24"/>
          <w:szCs w:val="24"/>
        </w:rPr>
        <w:t>$2,389,600</w:t>
      </w:r>
      <w:r w:rsidR="00DC03E7" w:rsidRPr="00DC03E7">
        <w:rPr>
          <w:bCs/>
          <w:color w:val="000000"/>
          <w:sz w:val="24"/>
          <w:szCs w:val="24"/>
        </w:rPr>
        <w:t xml:space="preserve"> </w:t>
      </w:r>
      <w:r w:rsidR="004729EC" w:rsidRPr="00FD366D">
        <w:rPr>
          <w:bCs/>
          <w:color w:val="000000"/>
          <w:sz w:val="24"/>
          <w:szCs w:val="24"/>
        </w:rPr>
        <w:t xml:space="preserve">in annual </w:t>
      </w:r>
      <w:r w:rsidR="001C3EBC" w:rsidRPr="00FD366D">
        <w:rPr>
          <w:bCs/>
          <w:color w:val="000000"/>
          <w:sz w:val="24"/>
          <w:szCs w:val="24"/>
        </w:rPr>
        <w:t>in-house costs for outage reporting obligation</w:t>
      </w:r>
      <w:r w:rsidR="00CF42C0">
        <w:rPr>
          <w:bCs/>
          <w:color w:val="000000"/>
          <w:sz w:val="24"/>
          <w:szCs w:val="24"/>
        </w:rPr>
        <w:t>s</w:t>
      </w:r>
      <w:r w:rsidR="001C3EBC" w:rsidRPr="00FD366D">
        <w:rPr>
          <w:bCs/>
          <w:color w:val="000000"/>
          <w:sz w:val="24"/>
          <w:szCs w:val="24"/>
        </w:rPr>
        <w:t xml:space="preserve"> under Part 4.</w:t>
      </w:r>
      <w:r w:rsidR="007D224C" w:rsidRPr="00FD366D">
        <w:rPr>
          <w:rStyle w:val="FootnoteReference"/>
          <w:bCs/>
          <w:color w:val="000000"/>
          <w:sz w:val="24"/>
          <w:szCs w:val="24"/>
        </w:rPr>
        <w:footnoteReference w:id="36"/>
      </w:r>
      <w:r w:rsidR="001C3EBC" w:rsidRPr="00FD366D">
        <w:rPr>
          <w:bCs/>
          <w:color w:val="000000"/>
          <w:sz w:val="24"/>
          <w:szCs w:val="24"/>
        </w:rPr>
        <w:t xml:space="preserve">  </w:t>
      </w:r>
      <w:r w:rsidR="004729EC" w:rsidRPr="00FD366D">
        <w:rPr>
          <w:bCs/>
          <w:color w:val="000000"/>
          <w:sz w:val="24"/>
          <w:szCs w:val="24"/>
        </w:rPr>
        <w:t>The revisions discussed here</w:t>
      </w:r>
      <w:r w:rsidR="003F4B7E">
        <w:rPr>
          <w:bCs/>
          <w:color w:val="000000"/>
          <w:sz w:val="24"/>
          <w:szCs w:val="24"/>
        </w:rPr>
        <w:t xml:space="preserve"> </w:t>
      </w:r>
      <w:r w:rsidR="004228B1">
        <w:rPr>
          <w:bCs/>
          <w:color w:val="000000"/>
          <w:sz w:val="24"/>
          <w:szCs w:val="24"/>
        </w:rPr>
        <w:t>decrease</w:t>
      </w:r>
      <w:r w:rsidR="004729EC" w:rsidRPr="00FD366D">
        <w:rPr>
          <w:bCs/>
          <w:color w:val="000000"/>
          <w:sz w:val="24"/>
          <w:szCs w:val="24"/>
        </w:rPr>
        <w:t xml:space="preserve"> those estimates by </w:t>
      </w:r>
      <w:r w:rsidR="004228B1">
        <w:rPr>
          <w:bCs/>
          <w:color w:val="000000"/>
          <w:sz w:val="24"/>
          <w:szCs w:val="24"/>
        </w:rPr>
        <w:t>4,864 burden hours</w:t>
      </w:r>
      <w:r w:rsidR="004729EC" w:rsidRPr="00FD366D">
        <w:rPr>
          <w:bCs/>
          <w:color w:val="000000"/>
          <w:sz w:val="24"/>
          <w:szCs w:val="24"/>
        </w:rPr>
        <w:t xml:space="preserve"> for a total of </w:t>
      </w:r>
      <w:r w:rsidR="004228B1">
        <w:rPr>
          <w:bCs/>
          <w:color w:val="000000"/>
          <w:sz w:val="24"/>
          <w:szCs w:val="24"/>
        </w:rPr>
        <w:t>2</w:t>
      </w:r>
      <w:r w:rsidR="00DC03E7">
        <w:rPr>
          <w:bCs/>
          <w:color w:val="000000"/>
          <w:sz w:val="24"/>
          <w:szCs w:val="24"/>
        </w:rPr>
        <w:t>5,006</w:t>
      </w:r>
      <w:r>
        <w:rPr>
          <w:bCs/>
          <w:color w:val="000000"/>
          <w:sz w:val="24"/>
          <w:szCs w:val="24"/>
        </w:rPr>
        <w:t xml:space="preserve"> burden</w:t>
      </w:r>
      <w:r w:rsidR="004729EC" w:rsidRPr="00FD366D">
        <w:rPr>
          <w:bCs/>
          <w:color w:val="000000"/>
          <w:sz w:val="24"/>
          <w:szCs w:val="24"/>
        </w:rPr>
        <w:t xml:space="preserve"> hours</w:t>
      </w:r>
      <w:r w:rsidR="00DC03E7">
        <w:rPr>
          <w:rStyle w:val="FootnoteReference"/>
          <w:bCs/>
          <w:color w:val="000000"/>
          <w:sz w:val="24"/>
          <w:szCs w:val="24"/>
        </w:rPr>
        <w:footnoteReference w:id="37"/>
      </w:r>
      <w:r w:rsidR="001D56FA">
        <w:rPr>
          <w:bCs/>
          <w:color w:val="000000"/>
          <w:sz w:val="24"/>
          <w:szCs w:val="24"/>
        </w:rPr>
        <w:t xml:space="preserve"> and </w:t>
      </w:r>
      <w:r w:rsidR="001D56FA" w:rsidRPr="001D56FA">
        <w:rPr>
          <w:bCs/>
          <w:color w:val="000000"/>
          <w:sz w:val="24"/>
          <w:szCs w:val="24"/>
        </w:rPr>
        <w:t>$2,000,480</w:t>
      </w:r>
      <w:r w:rsidR="004729EC" w:rsidRPr="00FD366D">
        <w:rPr>
          <w:rStyle w:val="FootnoteReference"/>
          <w:bCs/>
          <w:color w:val="000000"/>
          <w:sz w:val="24"/>
          <w:szCs w:val="24"/>
        </w:rPr>
        <w:footnoteReference w:id="38"/>
      </w:r>
      <w:r w:rsidR="004729EC" w:rsidRPr="00FD366D">
        <w:rPr>
          <w:bCs/>
          <w:color w:val="000000"/>
          <w:sz w:val="24"/>
          <w:szCs w:val="24"/>
        </w:rPr>
        <w:t xml:space="preserve"> in annual in-house costs.</w:t>
      </w:r>
      <w:r w:rsidR="00C21896">
        <w:rPr>
          <w:bCs/>
          <w:color w:val="000000"/>
          <w:sz w:val="24"/>
          <w:szCs w:val="24"/>
        </w:rPr>
        <w:t xml:space="preserve">  </w:t>
      </w:r>
    </w:p>
    <w:p w14:paraId="24035533" w14:textId="77777777" w:rsidR="005F3262" w:rsidRPr="0012381D" w:rsidRDefault="005F3262" w:rsidP="0083695D">
      <w:pPr>
        <w:rPr>
          <w:sz w:val="24"/>
          <w:szCs w:val="24"/>
        </w:rPr>
      </w:pPr>
    </w:p>
    <w:p w14:paraId="2EE85DCB" w14:textId="06A8986D" w:rsidR="005F3262" w:rsidRDefault="005F3262" w:rsidP="0083695D">
      <w:pPr>
        <w:rPr>
          <w:sz w:val="24"/>
          <w:szCs w:val="24"/>
        </w:rPr>
      </w:pPr>
      <w:r w:rsidRPr="0012381D">
        <w:rPr>
          <w:b/>
          <w:sz w:val="24"/>
          <w:szCs w:val="24"/>
        </w:rPr>
        <w:t>Method of Calculating Burden:</w:t>
      </w:r>
      <w:r w:rsidRPr="0012381D">
        <w:rPr>
          <w:sz w:val="24"/>
          <w:szCs w:val="24"/>
        </w:rPr>
        <w:t xml:space="preserve">  </w:t>
      </w:r>
      <w:r w:rsidR="0097464A">
        <w:rPr>
          <w:sz w:val="24"/>
          <w:szCs w:val="24"/>
        </w:rPr>
        <w:t xml:space="preserve">We explain above how we calculated </w:t>
      </w:r>
      <w:r w:rsidR="005D4E3D">
        <w:rPr>
          <w:sz w:val="24"/>
          <w:szCs w:val="24"/>
        </w:rPr>
        <w:t xml:space="preserve">the impact on reporting burdens associated with the various </w:t>
      </w:r>
      <w:r w:rsidR="006B7C2E">
        <w:rPr>
          <w:sz w:val="24"/>
          <w:szCs w:val="24"/>
        </w:rPr>
        <w:t>modifications adopted</w:t>
      </w:r>
      <w:r w:rsidR="005D4E3D">
        <w:rPr>
          <w:sz w:val="24"/>
          <w:szCs w:val="24"/>
        </w:rPr>
        <w:t xml:space="preserve"> in the </w:t>
      </w:r>
      <w:r w:rsidR="009920C5">
        <w:rPr>
          <w:i/>
          <w:sz w:val="24"/>
          <w:szCs w:val="24"/>
        </w:rPr>
        <w:t>Report and Order</w:t>
      </w:r>
      <w:r w:rsidR="00CD11DC">
        <w:rPr>
          <w:i/>
          <w:sz w:val="24"/>
          <w:szCs w:val="24"/>
        </w:rPr>
        <w:t xml:space="preserve"> </w:t>
      </w:r>
      <w:r w:rsidR="00CD11DC">
        <w:rPr>
          <w:sz w:val="24"/>
          <w:szCs w:val="24"/>
        </w:rPr>
        <w:t xml:space="preserve">and </w:t>
      </w:r>
      <w:r w:rsidR="00CD11DC">
        <w:rPr>
          <w:i/>
          <w:sz w:val="24"/>
          <w:szCs w:val="24"/>
        </w:rPr>
        <w:t>Order on Reconsideration</w:t>
      </w:r>
      <w:r w:rsidR="005D4E3D">
        <w:rPr>
          <w:sz w:val="24"/>
          <w:szCs w:val="24"/>
        </w:rPr>
        <w:t xml:space="preserve">. </w:t>
      </w:r>
      <w:r w:rsidR="0097464A">
        <w:rPr>
          <w:sz w:val="24"/>
          <w:szCs w:val="24"/>
        </w:rPr>
        <w:t xml:space="preserve"> </w:t>
      </w:r>
    </w:p>
    <w:p w14:paraId="23630D8A" w14:textId="77777777" w:rsidR="005D4E3D" w:rsidRDefault="005D4E3D" w:rsidP="0083695D">
      <w:pPr>
        <w:rPr>
          <w:sz w:val="24"/>
          <w:szCs w:val="24"/>
        </w:rPr>
      </w:pPr>
    </w:p>
    <w:p w14:paraId="2A0B23FA" w14:textId="5BCEC700" w:rsidR="005D4E3D" w:rsidRPr="00A317D9" w:rsidRDefault="005D4E3D" w:rsidP="0083695D">
      <w:pPr>
        <w:rPr>
          <w:sz w:val="24"/>
          <w:szCs w:val="24"/>
        </w:rPr>
      </w:pPr>
      <w:r w:rsidRPr="00A317D9">
        <w:rPr>
          <w:b/>
          <w:sz w:val="24"/>
          <w:szCs w:val="24"/>
        </w:rPr>
        <w:t>Variance in Burden</w:t>
      </w:r>
      <w:r>
        <w:rPr>
          <w:b/>
          <w:sz w:val="24"/>
          <w:szCs w:val="24"/>
        </w:rPr>
        <w:t xml:space="preserve">: </w:t>
      </w:r>
      <w:r w:rsidR="008646EA">
        <w:rPr>
          <w:b/>
          <w:sz w:val="24"/>
          <w:szCs w:val="24"/>
        </w:rPr>
        <w:t xml:space="preserve"> </w:t>
      </w:r>
      <w:r w:rsidR="008646EA">
        <w:rPr>
          <w:sz w:val="24"/>
          <w:szCs w:val="24"/>
        </w:rPr>
        <w:t xml:space="preserve">We expect </w:t>
      </w:r>
      <w:r w:rsidR="006B7C2E">
        <w:rPr>
          <w:sz w:val="24"/>
          <w:szCs w:val="24"/>
        </w:rPr>
        <w:t xml:space="preserve">that </w:t>
      </w:r>
      <w:r w:rsidR="008646EA">
        <w:rPr>
          <w:sz w:val="24"/>
          <w:szCs w:val="24"/>
        </w:rPr>
        <w:t>the limited impact of the revision to be shared widely among entities that are subject to Part 4, although we expect that larger entities will continue to be more likely than smaller ones to experience outages of sufficient scale to trigger a reporting obligation.</w:t>
      </w:r>
    </w:p>
    <w:p w14:paraId="086FF42F" w14:textId="77777777" w:rsidR="00185FFA" w:rsidRDefault="00185FFA" w:rsidP="0083695D">
      <w:pPr>
        <w:rPr>
          <w:sz w:val="24"/>
          <w:szCs w:val="24"/>
        </w:rPr>
      </w:pPr>
    </w:p>
    <w:p w14:paraId="49F751B1" w14:textId="77777777" w:rsidR="0010718E" w:rsidRPr="00D75AE8" w:rsidRDefault="00C21896" w:rsidP="0083695D">
      <w:pPr>
        <w:rPr>
          <w:b/>
          <w:sz w:val="24"/>
          <w:szCs w:val="24"/>
        </w:rPr>
      </w:pPr>
      <w:r w:rsidRPr="00D75AE8">
        <w:rPr>
          <w:b/>
          <w:sz w:val="24"/>
          <w:szCs w:val="24"/>
        </w:rPr>
        <w:t>Summary of Respondents and Burden</w:t>
      </w:r>
      <w:r>
        <w:rPr>
          <w:b/>
          <w:sz w:val="24"/>
          <w:szCs w:val="24"/>
        </w:rPr>
        <w:t>:</w:t>
      </w:r>
    </w:p>
    <w:p w14:paraId="3005C9FE" w14:textId="77777777" w:rsidR="0010718E" w:rsidRDefault="0010718E" w:rsidP="0083695D">
      <w:pPr>
        <w:rPr>
          <w:sz w:val="24"/>
          <w:szCs w:val="24"/>
        </w:rPr>
      </w:pPr>
    </w:p>
    <w:p w14:paraId="6922F52E" w14:textId="31258980" w:rsidR="0010718E" w:rsidRPr="00975BD0" w:rsidRDefault="0010718E" w:rsidP="0083695D">
      <w:pPr>
        <w:rPr>
          <w:sz w:val="24"/>
          <w:szCs w:val="24"/>
        </w:rPr>
      </w:pPr>
      <w:r w:rsidRPr="00202D4B">
        <w:rPr>
          <w:b/>
          <w:sz w:val="24"/>
          <w:szCs w:val="24"/>
        </w:rPr>
        <w:t xml:space="preserve">Total Number of Respondents:  </w:t>
      </w:r>
      <w:r w:rsidR="00FB134D">
        <w:rPr>
          <w:b/>
          <w:sz w:val="24"/>
          <w:szCs w:val="24"/>
        </w:rPr>
        <w:t>798</w:t>
      </w:r>
      <w:r w:rsidRPr="00975BD0">
        <w:rPr>
          <w:sz w:val="24"/>
          <w:szCs w:val="24"/>
        </w:rPr>
        <w:t>.</w:t>
      </w:r>
    </w:p>
    <w:p w14:paraId="7D24D2BA" w14:textId="77777777" w:rsidR="0010718E" w:rsidRPr="00975BD0" w:rsidRDefault="0010718E" w:rsidP="0083695D">
      <w:pPr>
        <w:rPr>
          <w:sz w:val="24"/>
          <w:szCs w:val="24"/>
        </w:rPr>
      </w:pPr>
    </w:p>
    <w:p w14:paraId="08B534CA" w14:textId="56CEA16E" w:rsidR="0010718E" w:rsidRPr="00975BD0" w:rsidRDefault="0010718E" w:rsidP="0083695D">
      <w:pPr>
        <w:rPr>
          <w:sz w:val="24"/>
          <w:szCs w:val="24"/>
        </w:rPr>
      </w:pPr>
      <w:r w:rsidRPr="00202D4B">
        <w:rPr>
          <w:b/>
          <w:sz w:val="24"/>
          <w:szCs w:val="24"/>
        </w:rPr>
        <w:t xml:space="preserve">Total Number of Annual Responses:  </w:t>
      </w:r>
      <w:r w:rsidR="00224D2E" w:rsidRPr="00224D2E">
        <w:rPr>
          <w:b/>
          <w:sz w:val="24"/>
          <w:szCs w:val="24"/>
        </w:rPr>
        <w:t>13,012</w:t>
      </w:r>
      <w:r w:rsidRPr="00975BD0">
        <w:rPr>
          <w:sz w:val="24"/>
          <w:szCs w:val="24"/>
        </w:rPr>
        <w:t>.</w:t>
      </w:r>
    </w:p>
    <w:p w14:paraId="2AB6EFBE" w14:textId="77777777" w:rsidR="0010718E" w:rsidRPr="00975BD0" w:rsidRDefault="0010718E" w:rsidP="0083695D">
      <w:pPr>
        <w:rPr>
          <w:sz w:val="24"/>
          <w:szCs w:val="24"/>
        </w:rPr>
      </w:pPr>
    </w:p>
    <w:p w14:paraId="47181501" w14:textId="35357619" w:rsidR="0010718E" w:rsidRPr="00975BD0" w:rsidRDefault="0010718E" w:rsidP="0083695D">
      <w:pPr>
        <w:rPr>
          <w:sz w:val="24"/>
          <w:szCs w:val="24"/>
        </w:rPr>
      </w:pPr>
      <w:r w:rsidRPr="00202D4B">
        <w:rPr>
          <w:b/>
          <w:sz w:val="24"/>
          <w:szCs w:val="24"/>
        </w:rPr>
        <w:t xml:space="preserve">Total Annual Burden Hours:  </w:t>
      </w:r>
      <w:r w:rsidR="00224D2E" w:rsidRPr="00224D2E">
        <w:rPr>
          <w:b/>
          <w:sz w:val="24"/>
          <w:szCs w:val="24"/>
        </w:rPr>
        <w:t xml:space="preserve">25,006 </w:t>
      </w:r>
      <w:r w:rsidRPr="00202D4B">
        <w:rPr>
          <w:b/>
          <w:sz w:val="24"/>
          <w:szCs w:val="24"/>
        </w:rPr>
        <w:t>hours</w:t>
      </w:r>
      <w:r w:rsidRPr="00975BD0">
        <w:rPr>
          <w:sz w:val="24"/>
          <w:szCs w:val="24"/>
        </w:rPr>
        <w:t>.</w:t>
      </w:r>
    </w:p>
    <w:p w14:paraId="01EA9E0F" w14:textId="77777777" w:rsidR="0010718E" w:rsidRPr="00975BD0" w:rsidRDefault="0010718E" w:rsidP="0083695D">
      <w:pPr>
        <w:rPr>
          <w:sz w:val="24"/>
          <w:szCs w:val="24"/>
        </w:rPr>
      </w:pPr>
    </w:p>
    <w:p w14:paraId="20BE5EFF" w14:textId="3BE3A29D" w:rsidR="0010718E" w:rsidRPr="00185FFA" w:rsidRDefault="0010718E" w:rsidP="0083695D">
      <w:pPr>
        <w:rPr>
          <w:sz w:val="24"/>
          <w:szCs w:val="24"/>
        </w:rPr>
      </w:pPr>
      <w:r w:rsidRPr="00202D4B">
        <w:rPr>
          <w:b/>
          <w:sz w:val="24"/>
          <w:szCs w:val="24"/>
        </w:rPr>
        <w:t xml:space="preserve">Total Annual In-House Costs:  </w:t>
      </w:r>
      <w:r w:rsidR="00FB134D" w:rsidRPr="00FB134D">
        <w:rPr>
          <w:b/>
          <w:sz w:val="24"/>
          <w:szCs w:val="24"/>
        </w:rPr>
        <w:t>$</w:t>
      </w:r>
      <w:r w:rsidR="001D56FA" w:rsidRPr="001D56FA">
        <w:rPr>
          <w:b/>
          <w:sz w:val="24"/>
          <w:szCs w:val="24"/>
        </w:rPr>
        <w:t>2,000,480</w:t>
      </w:r>
      <w:r w:rsidR="00FB134D">
        <w:rPr>
          <w:sz w:val="24"/>
          <w:szCs w:val="24"/>
        </w:rPr>
        <w:t>.</w:t>
      </w:r>
    </w:p>
    <w:p w14:paraId="424F234C" w14:textId="77777777" w:rsidR="006615FA" w:rsidRPr="00884530" w:rsidRDefault="006615FA" w:rsidP="0083695D">
      <w:pPr>
        <w:rPr>
          <w:sz w:val="24"/>
          <w:szCs w:val="24"/>
          <w:shd w:val="clear" w:color="auto" w:fill="FFFFFF"/>
        </w:rPr>
      </w:pPr>
    </w:p>
    <w:p w14:paraId="7109F01A" w14:textId="77777777" w:rsidR="006615FA" w:rsidRPr="00884530" w:rsidRDefault="006615FA" w:rsidP="0083695D">
      <w:pPr>
        <w:rPr>
          <w:b/>
          <w:sz w:val="24"/>
          <w:szCs w:val="24"/>
          <w:shd w:val="clear" w:color="auto" w:fill="FFFFFF"/>
        </w:rPr>
      </w:pPr>
      <w:r w:rsidRPr="00CF42C0">
        <w:rPr>
          <w:b/>
          <w:sz w:val="24"/>
          <w:szCs w:val="24"/>
          <w:shd w:val="clear" w:color="auto" w:fill="FFFFFF"/>
        </w:rPr>
        <w:t>13.  Provide estimate for the total annual cost burden to respondents or record</w:t>
      </w:r>
      <w:r w:rsidR="00126303" w:rsidRPr="00CF42C0">
        <w:rPr>
          <w:b/>
          <w:sz w:val="24"/>
          <w:szCs w:val="24"/>
          <w:shd w:val="clear" w:color="auto" w:fill="FFFFFF"/>
        </w:rPr>
        <w:t xml:space="preserve"> </w:t>
      </w:r>
      <w:r w:rsidRPr="00CF42C0">
        <w:rPr>
          <w:b/>
          <w:sz w:val="24"/>
          <w:szCs w:val="24"/>
          <w:shd w:val="clear" w:color="auto" w:fill="FFFFFF"/>
        </w:rPr>
        <w:t>keepers resulting from the collection of information.  (Do not include the cost of any hour burden shown in items 12 and 14).</w:t>
      </w:r>
    </w:p>
    <w:p w14:paraId="254CF8F4" w14:textId="77777777" w:rsidR="006615FA" w:rsidRPr="00884530" w:rsidRDefault="006615FA" w:rsidP="0083695D">
      <w:pPr>
        <w:rPr>
          <w:b/>
          <w:sz w:val="24"/>
          <w:szCs w:val="24"/>
          <w:shd w:val="clear" w:color="auto" w:fill="FFFFFF"/>
        </w:rPr>
      </w:pPr>
    </w:p>
    <w:p w14:paraId="14F76483" w14:textId="1C4656E5" w:rsidR="003C5511" w:rsidRPr="00D75AE8" w:rsidRDefault="003C5511" w:rsidP="003E6777">
      <w:pPr>
        <w:ind w:firstLine="720"/>
        <w:rPr>
          <w:sz w:val="24"/>
          <w:szCs w:val="24"/>
          <w:shd w:val="clear" w:color="auto" w:fill="FFFFFF"/>
        </w:rPr>
      </w:pPr>
      <w:r>
        <w:rPr>
          <w:sz w:val="24"/>
          <w:szCs w:val="24"/>
          <w:shd w:val="clear" w:color="auto" w:fill="FFFFFF"/>
        </w:rPr>
        <w:t>We previously estimated no capital and start</w:t>
      </w:r>
      <w:r w:rsidRPr="003C5511">
        <w:rPr>
          <w:sz w:val="24"/>
          <w:szCs w:val="24"/>
          <w:shd w:val="clear" w:color="auto" w:fill="FFFFFF"/>
        </w:rPr>
        <w:t>up cost</w:t>
      </w:r>
      <w:r>
        <w:rPr>
          <w:sz w:val="24"/>
          <w:szCs w:val="24"/>
          <w:shd w:val="clear" w:color="auto" w:fill="FFFFFF"/>
        </w:rPr>
        <w:t xml:space="preserve">s, no </w:t>
      </w:r>
      <w:r w:rsidRPr="003C5511">
        <w:rPr>
          <w:sz w:val="24"/>
          <w:szCs w:val="24"/>
          <w:shd w:val="clear" w:color="auto" w:fill="FFFFFF"/>
        </w:rPr>
        <w:t>purchase</w:t>
      </w:r>
      <w:r>
        <w:rPr>
          <w:sz w:val="24"/>
          <w:szCs w:val="24"/>
          <w:shd w:val="clear" w:color="auto" w:fill="FFFFFF"/>
        </w:rPr>
        <w:t xml:space="preserve">s of additional equipment, or </w:t>
      </w:r>
      <w:r w:rsidRPr="003C5511">
        <w:rPr>
          <w:sz w:val="24"/>
          <w:szCs w:val="24"/>
          <w:shd w:val="clear" w:color="auto" w:fill="FFFFFF"/>
        </w:rPr>
        <w:t>operation</w:t>
      </w:r>
      <w:r>
        <w:rPr>
          <w:sz w:val="24"/>
          <w:szCs w:val="24"/>
          <w:shd w:val="clear" w:color="auto" w:fill="FFFFFF"/>
        </w:rPr>
        <w:t xml:space="preserve">, </w:t>
      </w:r>
      <w:r w:rsidRPr="003C5511">
        <w:rPr>
          <w:sz w:val="24"/>
          <w:szCs w:val="24"/>
          <w:shd w:val="clear" w:color="auto" w:fill="FFFFFF"/>
        </w:rPr>
        <w:t>maintenance</w:t>
      </w:r>
      <w:r>
        <w:rPr>
          <w:sz w:val="24"/>
          <w:szCs w:val="24"/>
          <w:shd w:val="clear" w:color="auto" w:fill="FFFFFF"/>
        </w:rPr>
        <w:t>,</w:t>
      </w:r>
      <w:r w:rsidRPr="003C5511">
        <w:rPr>
          <w:sz w:val="24"/>
          <w:szCs w:val="24"/>
          <w:shd w:val="clear" w:color="auto" w:fill="FFFFFF"/>
        </w:rPr>
        <w:t xml:space="preserve"> and purchase of services</w:t>
      </w:r>
      <w:r>
        <w:rPr>
          <w:sz w:val="24"/>
          <w:szCs w:val="24"/>
          <w:shd w:val="clear" w:color="auto" w:fill="FFFFFF"/>
        </w:rPr>
        <w:t xml:space="preserve"> costs associated with existing Part 4 outage reporting obligations.  </w:t>
      </w:r>
      <w:r w:rsidRPr="003C5511">
        <w:rPr>
          <w:sz w:val="24"/>
          <w:szCs w:val="24"/>
          <w:shd w:val="clear" w:color="auto" w:fill="FFFFFF"/>
        </w:rPr>
        <w:t xml:space="preserve">The </w:t>
      </w:r>
      <w:r>
        <w:rPr>
          <w:sz w:val="24"/>
          <w:szCs w:val="24"/>
          <w:shd w:val="clear" w:color="auto" w:fill="FFFFFF"/>
        </w:rPr>
        <w:t xml:space="preserve">new </w:t>
      </w:r>
      <w:r w:rsidRPr="003C5511">
        <w:rPr>
          <w:sz w:val="24"/>
          <w:szCs w:val="24"/>
          <w:shd w:val="clear" w:color="auto" w:fill="FFFFFF"/>
        </w:rPr>
        <w:t>requirement</w:t>
      </w:r>
      <w:r>
        <w:rPr>
          <w:sz w:val="24"/>
          <w:szCs w:val="24"/>
          <w:shd w:val="clear" w:color="auto" w:fill="FFFFFF"/>
        </w:rPr>
        <w:t>s</w:t>
      </w:r>
      <w:r w:rsidRPr="003C5511">
        <w:rPr>
          <w:sz w:val="24"/>
          <w:szCs w:val="24"/>
          <w:shd w:val="clear" w:color="auto" w:fill="FFFFFF"/>
        </w:rPr>
        <w:t xml:space="preserve"> will not result in additional operating and maintenance expenses</w:t>
      </w:r>
      <w:r w:rsidR="0010718E">
        <w:rPr>
          <w:sz w:val="24"/>
          <w:szCs w:val="24"/>
          <w:shd w:val="clear" w:color="auto" w:fill="FFFFFF"/>
        </w:rPr>
        <w:t>.</w:t>
      </w:r>
      <w:r>
        <w:rPr>
          <w:sz w:val="24"/>
          <w:szCs w:val="24"/>
          <w:shd w:val="clear" w:color="auto" w:fill="FFFFFF"/>
        </w:rPr>
        <w:t xml:space="preserve">  </w:t>
      </w:r>
      <w:r w:rsidRPr="00884530">
        <w:rPr>
          <w:sz w:val="24"/>
          <w:szCs w:val="24"/>
          <w:shd w:val="clear" w:color="auto" w:fill="FFFFFF"/>
        </w:rPr>
        <w:t xml:space="preserve">Therefore, </w:t>
      </w:r>
      <w:r>
        <w:rPr>
          <w:sz w:val="24"/>
          <w:szCs w:val="24"/>
          <w:shd w:val="clear" w:color="auto" w:fill="FFFFFF"/>
        </w:rPr>
        <w:t>the total remains $0.</w:t>
      </w:r>
    </w:p>
    <w:p w14:paraId="71D7AE15" w14:textId="77777777" w:rsidR="006615FA" w:rsidRPr="00884530" w:rsidRDefault="006615FA" w:rsidP="0083695D">
      <w:pPr>
        <w:rPr>
          <w:sz w:val="24"/>
          <w:szCs w:val="24"/>
          <w:shd w:val="clear" w:color="auto" w:fill="FFFFFF"/>
        </w:rPr>
      </w:pPr>
    </w:p>
    <w:p w14:paraId="7A3E5A2E" w14:textId="77777777" w:rsidR="006615FA" w:rsidRPr="00884530" w:rsidRDefault="006615FA" w:rsidP="0083695D">
      <w:pPr>
        <w:rPr>
          <w:b/>
          <w:sz w:val="24"/>
          <w:szCs w:val="24"/>
          <w:shd w:val="clear" w:color="auto" w:fill="FFFFFF"/>
        </w:rPr>
      </w:pPr>
      <w:r w:rsidRPr="007C19B3">
        <w:rPr>
          <w:b/>
          <w:sz w:val="24"/>
          <w:szCs w:val="24"/>
          <w:shd w:val="clear" w:color="auto" w:fill="FFFFFF"/>
        </w:rPr>
        <w:t>14.  Provide estimates of annualized costs to the Federal government.  Also provide a description of the method used to estimate cost, which should include quantification of hours, operational expenses (such as equipment, overhead, printing, and support staff), and any other expenses that would not have been incurred without this collection of information.</w:t>
      </w:r>
    </w:p>
    <w:p w14:paraId="45168EF9" w14:textId="77777777" w:rsidR="0083695D" w:rsidRPr="00884530" w:rsidRDefault="0083695D" w:rsidP="0083695D">
      <w:pPr>
        <w:rPr>
          <w:sz w:val="24"/>
          <w:szCs w:val="24"/>
          <w:shd w:val="clear" w:color="auto" w:fill="FFFFFF"/>
        </w:rPr>
      </w:pPr>
    </w:p>
    <w:p w14:paraId="0B7ECB14" w14:textId="77777777" w:rsidR="004F5FF5" w:rsidRDefault="003C5511">
      <w:pPr>
        <w:ind w:firstLine="720"/>
        <w:rPr>
          <w:sz w:val="24"/>
          <w:szCs w:val="24"/>
          <w:shd w:val="clear" w:color="auto" w:fill="FFFFFF"/>
        </w:rPr>
      </w:pPr>
      <w:r>
        <w:rPr>
          <w:sz w:val="24"/>
          <w:szCs w:val="24"/>
          <w:shd w:val="clear" w:color="auto" w:fill="FFFFFF"/>
        </w:rPr>
        <w:lastRenderedPageBreak/>
        <w:t xml:space="preserve">We previously estimated </w:t>
      </w:r>
      <w:r w:rsidRPr="00983A54">
        <w:rPr>
          <w:sz w:val="24"/>
          <w:szCs w:val="24"/>
          <w:shd w:val="clear" w:color="auto" w:fill="FFFFFF"/>
        </w:rPr>
        <w:t>$</w:t>
      </w:r>
      <w:r w:rsidR="005058C5" w:rsidRPr="00983A54">
        <w:rPr>
          <w:sz w:val="24"/>
          <w:szCs w:val="24"/>
          <w:shd w:val="clear" w:color="auto" w:fill="FFFFFF"/>
        </w:rPr>
        <w:t>454,542.40</w:t>
      </w:r>
      <w:r w:rsidRPr="00983A54">
        <w:rPr>
          <w:sz w:val="24"/>
          <w:szCs w:val="24"/>
          <w:shd w:val="clear" w:color="auto" w:fill="FFFFFF"/>
        </w:rPr>
        <w:t xml:space="preserve"> in total annual costs to the</w:t>
      </w:r>
      <w:r w:rsidR="003E6777" w:rsidRPr="00983A54">
        <w:rPr>
          <w:sz w:val="24"/>
          <w:szCs w:val="24"/>
          <w:shd w:val="clear" w:color="auto" w:fill="FFFFFF"/>
        </w:rPr>
        <w:t xml:space="preserve"> F</w:t>
      </w:r>
      <w:r w:rsidRPr="00983A54">
        <w:rPr>
          <w:sz w:val="24"/>
          <w:szCs w:val="24"/>
          <w:shd w:val="clear" w:color="auto" w:fill="FFFFFF"/>
        </w:rPr>
        <w:t>ederal government for administration of all Part 4 outage reporting requirements</w:t>
      </w:r>
      <w:r>
        <w:rPr>
          <w:sz w:val="24"/>
          <w:szCs w:val="24"/>
          <w:shd w:val="clear" w:color="auto" w:fill="FFFFFF"/>
        </w:rPr>
        <w:t>.</w:t>
      </w:r>
      <w:r>
        <w:rPr>
          <w:rStyle w:val="FootnoteReference"/>
          <w:sz w:val="24"/>
          <w:szCs w:val="24"/>
          <w:shd w:val="clear" w:color="auto" w:fill="FFFFFF"/>
        </w:rPr>
        <w:footnoteReference w:id="39"/>
      </w:r>
      <w:r>
        <w:rPr>
          <w:sz w:val="24"/>
          <w:szCs w:val="24"/>
          <w:shd w:val="clear" w:color="auto" w:fill="FFFFFF"/>
        </w:rPr>
        <w:t xml:space="preserve"> </w:t>
      </w:r>
    </w:p>
    <w:p w14:paraId="5B6A9B0E" w14:textId="77777777" w:rsidR="004F5FF5" w:rsidRDefault="004F5FF5">
      <w:pPr>
        <w:ind w:firstLine="720"/>
        <w:rPr>
          <w:sz w:val="24"/>
          <w:szCs w:val="24"/>
          <w:shd w:val="clear" w:color="auto" w:fill="FFFFFF"/>
        </w:rPr>
      </w:pPr>
    </w:p>
    <w:p w14:paraId="6E3AFE55" w14:textId="26053CA7" w:rsidR="004F5FF5" w:rsidRPr="0083695D" w:rsidRDefault="004F5FF5" w:rsidP="004F5FF5">
      <w:pPr>
        <w:ind w:firstLine="720"/>
        <w:rPr>
          <w:sz w:val="24"/>
          <w:szCs w:val="24"/>
          <w:shd w:val="clear" w:color="auto" w:fill="FFFFFF"/>
        </w:rPr>
      </w:pPr>
      <w:r w:rsidRPr="0083695D">
        <w:rPr>
          <w:sz w:val="24"/>
          <w:szCs w:val="24"/>
          <w:shd w:val="clear" w:color="auto" w:fill="FFFFFF"/>
        </w:rPr>
        <w:t xml:space="preserve">We </w:t>
      </w:r>
      <w:r w:rsidR="006B7C2E">
        <w:rPr>
          <w:sz w:val="24"/>
          <w:szCs w:val="24"/>
          <w:shd w:val="clear" w:color="auto" w:fill="FFFFFF"/>
        </w:rPr>
        <w:t xml:space="preserve">now </w:t>
      </w:r>
      <w:r w:rsidRPr="0083695D">
        <w:rPr>
          <w:sz w:val="24"/>
          <w:szCs w:val="24"/>
          <w:shd w:val="clear" w:color="auto" w:fill="FFFFFF"/>
        </w:rPr>
        <w:t>estimate that the total annual cost to the Federal Government</w:t>
      </w:r>
      <w:r w:rsidR="006B7C2E">
        <w:rPr>
          <w:sz w:val="24"/>
          <w:szCs w:val="24"/>
          <w:shd w:val="clear" w:color="auto" w:fill="FFFFFF"/>
        </w:rPr>
        <w:t xml:space="preserve"> to be as follows</w:t>
      </w:r>
      <w:r w:rsidRPr="0083695D">
        <w:rPr>
          <w:sz w:val="24"/>
          <w:szCs w:val="24"/>
          <w:shd w:val="clear" w:color="auto" w:fill="FFFFFF"/>
        </w:rPr>
        <w:t>, based on the salaries</w:t>
      </w:r>
      <w:r w:rsidR="00983A54">
        <w:rPr>
          <w:rStyle w:val="FootnoteReference"/>
          <w:sz w:val="24"/>
          <w:szCs w:val="24"/>
          <w:shd w:val="clear" w:color="auto" w:fill="FFFFFF"/>
        </w:rPr>
        <w:footnoteReference w:id="40"/>
      </w:r>
      <w:r w:rsidRPr="0083695D">
        <w:rPr>
          <w:sz w:val="24"/>
          <w:szCs w:val="24"/>
          <w:shd w:val="clear" w:color="auto" w:fill="FFFFFF"/>
        </w:rPr>
        <w:t xml:space="preserve"> of</w:t>
      </w:r>
      <w:r w:rsidR="00D122CC">
        <w:rPr>
          <w:sz w:val="24"/>
          <w:szCs w:val="24"/>
          <w:shd w:val="clear" w:color="auto" w:fill="FFFFFF"/>
        </w:rPr>
        <w:t xml:space="preserve"> three engineers (GS-15 step 5</w:t>
      </w:r>
      <w:r w:rsidRPr="0083695D">
        <w:rPr>
          <w:sz w:val="24"/>
          <w:szCs w:val="24"/>
          <w:shd w:val="clear" w:color="auto" w:fill="FFFFFF"/>
        </w:rPr>
        <w:t xml:space="preserve">), </w:t>
      </w:r>
      <w:r w:rsidR="00D122CC">
        <w:rPr>
          <w:sz w:val="24"/>
          <w:szCs w:val="24"/>
          <w:shd w:val="clear" w:color="auto" w:fill="FFFFFF"/>
        </w:rPr>
        <w:t>two e</w:t>
      </w:r>
      <w:r w:rsidRPr="0083695D">
        <w:rPr>
          <w:sz w:val="24"/>
          <w:szCs w:val="24"/>
          <w:shd w:val="clear" w:color="auto" w:fill="FFFFFF"/>
        </w:rPr>
        <w:t>ngineer</w:t>
      </w:r>
      <w:r w:rsidR="00D122CC">
        <w:rPr>
          <w:sz w:val="24"/>
          <w:szCs w:val="24"/>
          <w:shd w:val="clear" w:color="auto" w:fill="FFFFFF"/>
        </w:rPr>
        <w:t>s</w:t>
      </w:r>
      <w:r w:rsidRPr="0083695D">
        <w:rPr>
          <w:sz w:val="24"/>
          <w:szCs w:val="24"/>
          <w:shd w:val="clear" w:color="auto" w:fill="FFFFFF"/>
        </w:rPr>
        <w:t xml:space="preserve"> (GS-1</w:t>
      </w:r>
      <w:r w:rsidR="003E2102">
        <w:rPr>
          <w:sz w:val="24"/>
          <w:szCs w:val="24"/>
          <w:shd w:val="clear" w:color="auto" w:fill="FFFFFF"/>
        </w:rPr>
        <w:t>4</w:t>
      </w:r>
      <w:r w:rsidRPr="0083695D">
        <w:rPr>
          <w:sz w:val="24"/>
          <w:szCs w:val="24"/>
          <w:shd w:val="clear" w:color="auto" w:fill="FFFFFF"/>
        </w:rPr>
        <w:t xml:space="preserve"> step </w:t>
      </w:r>
      <w:r w:rsidR="00D122CC">
        <w:rPr>
          <w:sz w:val="24"/>
          <w:szCs w:val="24"/>
          <w:shd w:val="clear" w:color="auto" w:fill="FFFFFF"/>
        </w:rPr>
        <w:t>5</w:t>
      </w:r>
      <w:r w:rsidR="001372B2">
        <w:rPr>
          <w:sz w:val="24"/>
          <w:szCs w:val="24"/>
          <w:shd w:val="clear" w:color="auto" w:fill="FFFFFF"/>
        </w:rPr>
        <w:t xml:space="preserve">), </w:t>
      </w:r>
      <w:r w:rsidRPr="0083695D">
        <w:rPr>
          <w:sz w:val="24"/>
          <w:szCs w:val="24"/>
          <w:shd w:val="clear" w:color="auto" w:fill="FFFFFF"/>
        </w:rPr>
        <w:t xml:space="preserve">an IT Developer (GS-15 step </w:t>
      </w:r>
      <w:r w:rsidR="00D122CC">
        <w:rPr>
          <w:sz w:val="24"/>
          <w:szCs w:val="24"/>
          <w:shd w:val="clear" w:color="auto" w:fill="FFFFFF"/>
        </w:rPr>
        <w:t>5</w:t>
      </w:r>
      <w:r w:rsidRPr="0083695D">
        <w:rPr>
          <w:sz w:val="24"/>
          <w:szCs w:val="24"/>
          <w:shd w:val="clear" w:color="auto" w:fill="FFFFFF"/>
        </w:rPr>
        <w:t>)</w:t>
      </w:r>
      <w:r w:rsidR="001372B2">
        <w:rPr>
          <w:sz w:val="24"/>
          <w:szCs w:val="24"/>
          <w:shd w:val="clear" w:color="auto" w:fill="FFFFFF"/>
        </w:rPr>
        <w:t>, e</w:t>
      </w:r>
      <w:r w:rsidR="001372B2" w:rsidRPr="0083695D">
        <w:rPr>
          <w:sz w:val="24"/>
          <w:szCs w:val="24"/>
          <w:shd w:val="clear" w:color="auto" w:fill="FFFFFF"/>
        </w:rPr>
        <w:t>ach spend</w:t>
      </w:r>
      <w:r w:rsidR="001372B2">
        <w:rPr>
          <w:sz w:val="24"/>
          <w:szCs w:val="24"/>
          <w:shd w:val="clear" w:color="auto" w:fill="FFFFFF"/>
        </w:rPr>
        <w:t>ing</w:t>
      </w:r>
      <w:r w:rsidR="001372B2" w:rsidRPr="0083695D">
        <w:rPr>
          <w:sz w:val="24"/>
          <w:szCs w:val="24"/>
          <w:shd w:val="clear" w:color="auto" w:fill="FFFFFF"/>
        </w:rPr>
        <w:t xml:space="preserve"> approximately ½ (</w:t>
      </w:r>
      <w:r w:rsidR="006B7C2E">
        <w:rPr>
          <w:sz w:val="24"/>
          <w:szCs w:val="24"/>
          <w:shd w:val="clear" w:color="auto" w:fill="FFFFFF"/>
        </w:rPr>
        <w:t xml:space="preserve">or </w:t>
      </w:r>
      <w:r w:rsidR="001372B2" w:rsidRPr="0083695D">
        <w:rPr>
          <w:sz w:val="24"/>
          <w:szCs w:val="24"/>
          <w:shd w:val="clear" w:color="auto" w:fill="FFFFFF"/>
        </w:rPr>
        <w:t>1040 hours) of their work time each year on the information collected</w:t>
      </w:r>
      <w:r w:rsidR="001372B2">
        <w:rPr>
          <w:sz w:val="24"/>
          <w:szCs w:val="24"/>
          <w:shd w:val="clear" w:color="auto" w:fill="FFFFFF"/>
        </w:rPr>
        <w:t>, and two attorneys (GS-13 step 5) spending approximately ¼ (</w:t>
      </w:r>
      <w:r w:rsidR="006B7C2E">
        <w:rPr>
          <w:sz w:val="24"/>
          <w:szCs w:val="24"/>
          <w:shd w:val="clear" w:color="auto" w:fill="FFFFFF"/>
        </w:rPr>
        <w:t xml:space="preserve">or </w:t>
      </w:r>
      <w:r w:rsidR="001372B2">
        <w:rPr>
          <w:sz w:val="24"/>
          <w:szCs w:val="24"/>
          <w:shd w:val="clear" w:color="auto" w:fill="FFFFFF"/>
        </w:rPr>
        <w:t>520 hours) of their work time each year on the information collection</w:t>
      </w:r>
      <w:r w:rsidRPr="0083695D">
        <w:rPr>
          <w:sz w:val="24"/>
          <w:szCs w:val="24"/>
          <w:shd w:val="clear" w:color="auto" w:fill="FFFFFF"/>
        </w:rPr>
        <w:t>:</w:t>
      </w:r>
    </w:p>
    <w:p w14:paraId="60D09410" w14:textId="144316BE" w:rsidR="004F5FF5" w:rsidRDefault="004F5FF5" w:rsidP="001372B2">
      <w:pPr>
        <w:rPr>
          <w:sz w:val="24"/>
          <w:szCs w:val="24"/>
          <w:shd w:val="clear" w:color="auto" w:fill="FFFFFF"/>
        </w:rPr>
      </w:pPr>
    </w:p>
    <w:p w14:paraId="67B2F0D0" w14:textId="7ADF1846" w:rsidR="004F5FF5" w:rsidRDefault="004F5FF5" w:rsidP="004F5FF5">
      <w:pPr>
        <w:rPr>
          <w:szCs w:val="22"/>
          <w:shd w:val="clear" w:color="auto" w:fill="FFFFFF"/>
        </w:rPr>
      </w:pPr>
    </w:p>
    <w:tbl>
      <w:tblPr>
        <w:tblStyle w:val="TableGrid"/>
        <w:tblW w:w="0" w:type="auto"/>
        <w:tblLook w:val="04A0" w:firstRow="1" w:lastRow="0" w:firstColumn="1" w:lastColumn="0" w:noHBand="0" w:noVBand="1"/>
      </w:tblPr>
      <w:tblGrid>
        <w:gridCol w:w="1435"/>
        <w:gridCol w:w="1080"/>
        <w:gridCol w:w="1799"/>
        <w:gridCol w:w="2071"/>
        <w:gridCol w:w="540"/>
        <w:gridCol w:w="1705"/>
      </w:tblGrid>
      <w:tr w:rsidR="00D122CC" w:rsidRPr="00983A54" w14:paraId="5D81E49E" w14:textId="77777777" w:rsidTr="00983A54">
        <w:tc>
          <w:tcPr>
            <w:tcW w:w="1435" w:type="dxa"/>
          </w:tcPr>
          <w:p w14:paraId="31BF63DF" w14:textId="0F211B40" w:rsidR="00D122CC" w:rsidRPr="00983A54" w:rsidRDefault="00D122CC" w:rsidP="004F5FF5">
            <w:pPr>
              <w:rPr>
                <w:sz w:val="20"/>
                <w:szCs w:val="22"/>
                <w:shd w:val="clear" w:color="auto" w:fill="FFFFFF"/>
              </w:rPr>
            </w:pPr>
            <w:r w:rsidRPr="00983A54">
              <w:rPr>
                <w:sz w:val="20"/>
                <w:szCs w:val="22"/>
                <w:shd w:val="clear" w:color="auto" w:fill="FFFFFF"/>
              </w:rPr>
              <w:t>(Three) Engineers</w:t>
            </w:r>
          </w:p>
        </w:tc>
        <w:tc>
          <w:tcPr>
            <w:tcW w:w="1080" w:type="dxa"/>
          </w:tcPr>
          <w:p w14:paraId="166734CF" w14:textId="39B6735E" w:rsidR="00D122CC" w:rsidRPr="00983A54" w:rsidRDefault="00D122CC" w:rsidP="004F5FF5">
            <w:pPr>
              <w:rPr>
                <w:sz w:val="20"/>
                <w:szCs w:val="22"/>
                <w:shd w:val="clear" w:color="auto" w:fill="FFFFFF"/>
              </w:rPr>
            </w:pPr>
            <w:r w:rsidRPr="00983A54">
              <w:rPr>
                <w:sz w:val="20"/>
                <w:szCs w:val="22"/>
                <w:shd w:val="clear" w:color="auto" w:fill="FFFFFF"/>
              </w:rPr>
              <w:t>GS-15 step 5</w:t>
            </w:r>
          </w:p>
        </w:tc>
        <w:tc>
          <w:tcPr>
            <w:tcW w:w="1799" w:type="dxa"/>
          </w:tcPr>
          <w:p w14:paraId="1061B807" w14:textId="15488565" w:rsidR="00D122CC" w:rsidRPr="00983A54" w:rsidRDefault="00D122CC" w:rsidP="004F5FF5">
            <w:pPr>
              <w:rPr>
                <w:sz w:val="20"/>
                <w:szCs w:val="22"/>
                <w:shd w:val="clear" w:color="auto" w:fill="FFFFFF"/>
              </w:rPr>
            </w:pPr>
            <w:r w:rsidRPr="00983A54">
              <w:rPr>
                <w:sz w:val="20"/>
                <w:szCs w:val="22"/>
                <w:shd w:val="clear" w:color="auto" w:fill="FFFFFF"/>
              </w:rPr>
              <w:t>at $</w:t>
            </w:r>
            <w:r w:rsidR="0051596E" w:rsidRPr="00983A54">
              <w:rPr>
                <w:sz w:val="20"/>
                <w:szCs w:val="22"/>
                <w:shd w:val="clear" w:color="auto" w:fill="FFFFFF"/>
              </w:rPr>
              <w:t>69.56</w:t>
            </w:r>
            <w:r w:rsidRPr="00983A54">
              <w:rPr>
                <w:sz w:val="20"/>
                <w:szCs w:val="22"/>
                <w:shd w:val="clear" w:color="auto" w:fill="FFFFFF"/>
              </w:rPr>
              <w:t>/hr wage</w:t>
            </w:r>
          </w:p>
        </w:tc>
        <w:tc>
          <w:tcPr>
            <w:tcW w:w="2071" w:type="dxa"/>
          </w:tcPr>
          <w:p w14:paraId="0FDD9B52" w14:textId="4AF72DFC" w:rsidR="00D122CC" w:rsidRPr="00983A54" w:rsidRDefault="00D122CC" w:rsidP="004F5FF5">
            <w:pPr>
              <w:rPr>
                <w:sz w:val="20"/>
                <w:szCs w:val="22"/>
                <w:shd w:val="clear" w:color="auto" w:fill="FFFFFF"/>
              </w:rPr>
            </w:pPr>
            <w:r w:rsidRPr="00983A54">
              <w:rPr>
                <w:sz w:val="20"/>
                <w:szCs w:val="22"/>
                <w:shd w:val="clear" w:color="auto" w:fill="FFFFFF"/>
              </w:rPr>
              <w:t>$</w:t>
            </w:r>
            <w:r w:rsidR="0051596E" w:rsidRPr="00983A54">
              <w:rPr>
                <w:sz w:val="20"/>
                <w:szCs w:val="22"/>
                <w:shd w:val="clear" w:color="auto" w:fill="FFFFFF"/>
              </w:rPr>
              <w:t>69.56</w:t>
            </w:r>
            <w:r w:rsidRPr="00983A54">
              <w:rPr>
                <w:sz w:val="20"/>
                <w:szCs w:val="22"/>
                <w:shd w:val="clear" w:color="auto" w:fill="FFFFFF"/>
              </w:rPr>
              <w:t xml:space="preserve"> x 1040 hours</w:t>
            </w:r>
          </w:p>
        </w:tc>
        <w:tc>
          <w:tcPr>
            <w:tcW w:w="540" w:type="dxa"/>
          </w:tcPr>
          <w:p w14:paraId="439C43CC" w14:textId="776D8EC8" w:rsidR="00D122CC" w:rsidRPr="00983A54" w:rsidRDefault="00D122CC" w:rsidP="004F5FF5">
            <w:pPr>
              <w:rPr>
                <w:sz w:val="20"/>
                <w:szCs w:val="22"/>
                <w:shd w:val="clear" w:color="auto" w:fill="FFFFFF"/>
              </w:rPr>
            </w:pPr>
            <w:r w:rsidRPr="00983A54">
              <w:rPr>
                <w:sz w:val="20"/>
                <w:szCs w:val="22"/>
                <w:shd w:val="clear" w:color="auto" w:fill="FFFFFF"/>
              </w:rPr>
              <w:t>x 3</w:t>
            </w:r>
          </w:p>
        </w:tc>
        <w:tc>
          <w:tcPr>
            <w:tcW w:w="1705" w:type="dxa"/>
          </w:tcPr>
          <w:p w14:paraId="5CE1CCFD" w14:textId="78DCB5FD" w:rsidR="00D122CC" w:rsidRPr="00983A54" w:rsidRDefault="00D122CC" w:rsidP="004F5FF5">
            <w:pPr>
              <w:rPr>
                <w:sz w:val="20"/>
                <w:szCs w:val="22"/>
                <w:shd w:val="clear" w:color="auto" w:fill="FFFFFF"/>
              </w:rPr>
            </w:pPr>
            <w:r w:rsidRPr="00983A54">
              <w:rPr>
                <w:sz w:val="20"/>
                <w:szCs w:val="22"/>
                <w:shd w:val="clear" w:color="auto" w:fill="FFFFFF"/>
              </w:rPr>
              <w:t>= $</w:t>
            </w:r>
            <w:r w:rsidR="0051596E" w:rsidRPr="00983A54">
              <w:rPr>
                <w:sz w:val="20"/>
                <w:szCs w:val="22"/>
                <w:shd w:val="clear" w:color="auto" w:fill="FFFFFF"/>
              </w:rPr>
              <w:t xml:space="preserve"> 217,027.20</w:t>
            </w:r>
          </w:p>
        </w:tc>
      </w:tr>
      <w:tr w:rsidR="00D122CC" w:rsidRPr="00983A54" w14:paraId="489EB028" w14:textId="77777777" w:rsidTr="00983A54">
        <w:tc>
          <w:tcPr>
            <w:tcW w:w="1435" w:type="dxa"/>
          </w:tcPr>
          <w:p w14:paraId="5B2C7204" w14:textId="3C3F90B7" w:rsidR="00D122CC" w:rsidRPr="00983A54" w:rsidRDefault="00D122CC" w:rsidP="004F5FF5">
            <w:pPr>
              <w:rPr>
                <w:sz w:val="20"/>
                <w:szCs w:val="22"/>
                <w:shd w:val="clear" w:color="auto" w:fill="FFFFFF"/>
              </w:rPr>
            </w:pPr>
            <w:r w:rsidRPr="00983A54">
              <w:rPr>
                <w:sz w:val="20"/>
                <w:szCs w:val="22"/>
                <w:shd w:val="clear" w:color="auto" w:fill="FFFFFF"/>
              </w:rPr>
              <w:t>(Two) Engineers</w:t>
            </w:r>
          </w:p>
        </w:tc>
        <w:tc>
          <w:tcPr>
            <w:tcW w:w="1080" w:type="dxa"/>
          </w:tcPr>
          <w:p w14:paraId="531EDD84" w14:textId="46D4D4E1" w:rsidR="00D122CC" w:rsidRPr="00983A54" w:rsidRDefault="001372B2" w:rsidP="004F5FF5">
            <w:pPr>
              <w:rPr>
                <w:sz w:val="20"/>
                <w:szCs w:val="22"/>
                <w:shd w:val="clear" w:color="auto" w:fill="FFFFFF"/>
              </w:rPr>
            </w:pPr>
            <w:r>
              <w:rPr>
                <w:sz w:val="20"/>
                <w:szCs w:val="22"/>
                <w:shd w:val="clear" w:color="auto" w:fill="FFFFFF"/>
              </w:rPr>
              <w:t>GS-14</w:t>
            </w:r>
            <w:r w:rsidR="00D122CC" w:rsidRPr="00983A54">
              <w:rPr>
                <w:sz w:val="20"/>
                <w:szCs w:val="22"/>
                <w:shd w:val="clear" w:color="auto" w:fill="FFFFFF"/>
              </w:rPr>
              <w:t xml:space="preserve"> step 5</w:t>
            </w:r>
          </w:p>
        </w:tc>
        <w:tc>
          <w:tcPr>
            <w:tcW w:w="1799" w:type="dxa"/>
          </w:tcPr>
          <w:p w14:paraId="6224F787" w14:textId="288E6F63" w:rsidR="00D122CC" w:rsidRPr="00983A54" w:rsidRDefault="00D122CC" w:rsidP="004F5FF5">
            <w:pPr>
              <w:rPr>
                <w:sz w:val="20"/>
                <w:szCs w:val="22"/>
                <w:shd w:val="clear" w:color="auto" w:fill="FFFFFF"/>
              </w:rPr>
            </w:pPr>
            <w:r w:rsidRPr="00983A54">
              <w:rPr>
                <w:sz w:val="20"/>
                <w:szCs w:val="22"/>
                <w:shd w:val="clear" w:color="auto" w:fill="FFFFFF"/>
              </w:rPr>
              <w:t>at $</w:t>
            </w:r>
            <w:r w:rsidR="003E2102">
              <w:rPr>
                <w:sz w:val="20"/>
                <w:szCs w:val="22"/>
                <w:shd w:val="clear" w:color="auto" w:fill="FFFFFF"/>
              </w:rPr>
              <w:t>59.13</w:t>
            </w:r>
            <w:r w:rsidRPr="00983A54">
              <w:rPr>
                <w:sz w:val="20"/>
                <w:szCs w:val="22"/>
                <w:shd w:val="clear" w:color="auto" w:fill="FFFFFF"/>
              </w:rPr>
              <w:t>/hr wage</w:t>
            </w:r>
          </w:p>
        </w:tc>
        <w:tc>
          <w:tcPr>
            <w:tcW w:w="2071" w:type="dxa"/>
          </w:tcPr>
          <w:p w14:paraId="3F38E96F" w14:textId="29B13AC3" w:rsidR="00D122CC" w:rsidRPr="00983A54" w:rsidRDefault="00D122CC" w:rsidP="003E2102">
            <w:pPr>
              <w:rPr>
                <w:sz w:val="20"/>
                <w:szCs w:val="22"/>
                <w:shd w:val="clear" w:color="auto" w:fill="FFFFFF"/>
              </w:rPr>
            </w:pPr>
            <w:r w:rsidRPr="00983A54">
              <w:rPr>
                <w:sz w:val="20"/>
                <w:szCs w:val="22"/>
                <w:shd w:val="clear" w:color="auto" w:fill="FFFFFF"/>
              </w:rPr>
              <w:t>$</w:t>
            </w:r>
            <w:r w:rsidR="0051596E" w:rsidRPr="00983A54">
              <w:rPr>
                <w:sz w:val="20"/>
                <w:szCs w:val="22"/>
                <w:shd w:val="clear" w:color="auto" w:fill="FFFFFF"/>
              </w:rPr>
              <w:t>5</w:t>
            </w:r>
            <w:r w:rsidR="003E2102">
              <w:rPr>
                <w:sz w:val="20"/>
                <w:szCs w:val="22"/>
                <w:shd w:val="clear" w:color="auto" w:fill="FFFFFF"/>
              </w:rPr>
              <w:t xml:space="preserve">9.13 </w:t>
            </w:r>
            <w:r w:rsidRPr="00983A54">
              <w:rPr>
                <w:sz w:val="20"/>
                <w:szCs w:val="22"/>
                <w:shd w:val="clear" w:color="auto" w:fill="FFFFFF"/>
              </w:rPr>
              <w:t>x 1040 hours</w:t>
            </w:r>
          </w:p>
        </w:tc>
        <w:tc>
          <w:tcPr>
            <w:tcW w:w="540" w:type="dxa"/>
          </w:tcPr>
          <w:p w14:paraId="056016AD" w14:textId="73ED1A3C" w:rsidR="00D122CC" w:rsidRPr="00983A54" w:rsidRDefault="00D122CC" w:rsidP="004F5FF5">
            <w:pPr>
              <w:rPr>
                <w:sz w:val="20"/>
                <w:szCs w:val="22"/>
                <w:shd w:val="clear" w:color="auto" w:fill="FFFFFF"/>
              </w:rPr>
            </w:pPr>
            <w:r w:rsidRPr="00983A54">
              <w:rPr>
                <w:sz w:val="20"/>
                <w:szCs w:val="22"/>
                <w:shd w:val="clear" w:color="auto" w:fill="FFFFFF"/>
              </w:rPr>
              <w:t>x 2</w:t>
            </w:r>
          </w:p>
        </w:tc>
        <w:tc>
          <w:tcPr>
            <w:tcW w:w="1705" w:type="dxa"/>
          </w:tcPr>
          <w:p w14:paraId="5252AC09" w14:textId="6395E5BB" w:rsidR="00D122CC" w:rsidRPr="00983A54" w:rsidRDefault="00D122CC" w:rsidP="004F5FF5">
            <w:pPr>
              <w:rPr>
                <w:sz w:val="20"/>
                <w:szCs w:val="22"/>
                <w:shd w:val="clear" w:color="auto" w:fill="FFFFFF"/>
              </w:rPr>
            </w:pPr>
            <w:r w:rsidRPr="00983A54">
              <w:rPr>
                <w:sz w:val="20"/>
                <w:szCs w:val="22"/>
                <w:shd w:val="clear" w:color="auto" w:fill="FFFFFF"/>
              </w:rPr>
              <w:t>= $</w:t>
            </w:r>
            <w:r w:rsidR="0051596E" w:rsidRPr="00983A54">
              <w:rPr>
                <w:sz w:val="20"/>
                <w:szCs w:val="22"/>
                <w:shd w:val="clear" w:color="auto" w:fill="FFFFFF"/>
              </w:rPr>
              <w:t xml:space="preserve"> </w:t>
            </w:r>
            <w:r w:rsidR="003E2102" w:rsidRPr="003E2102">
              <w:rPr>
                <w:sz w:val="20"/>
                <w:szCs w:val="22"/>
                <w:shd w:val="clear" w:color="auto" w:fill="FFFFFF"/>
              </w:rPr>
              <w:t>122</w:t>
            </w:r>
            <w:r w:rsidR="003E2102">
              <w:rPr>
                <w:sz w:val="20"/>
                <w:szCs w:val="22"/>
                <w:shd w:val="clear" w:color="auto" w:fill="FFFFFF"/>
              </w:rPr>
              <w:t>,</w:t>
            </w:r>
            <w:r w:rsidR="003E2102" w:rsidRPr="003E2102">
              <w:rPr>
                <w:sz w:val="20"/>
                <w:szCs w:val="22"/>
                <w:shd w:val="clear" w:color="auto" w:fill="FFFFFF"/>
              </w:rPr>
              <w:t>990.4</w:t>
            </w:r>
            <w:r w:rsidR="003E2102">
              <w:rPr>
                <w:sz w:val="20"/>
                <w:szCs w:val="22"/>
                <w:shd w:val="clear" w:color="auto" w:fill="FFFFFF"/>
              </w:rPr>
              <w:t>0</w:t>
            </w:r>
          </w:p>
        </w:tc>
      </w:tr>
      <w:tr w:rsidR="00D122CC" w:rsidRPr="00983A54" w14:paraId="6BD9A3A0" w14:textId="77777777" w:rsidTr="00983A54">
        <w:tc>
          <w:tcPr>
            <w:tcW w:w="1435" w:type="dxa"/>
          </w:tcPr>
          <w:p w14:paraId="0AD8D509" w14:textId="5B0DBB9A" w:rsidR="00D122CC" w:rsidRPr="00983A54" w:rsidRDefault="00D122CC" w:rsidP="004F5FF5">
            <w:pPr>
              <w:rPr>
                <w:sz w:val="20"/>
                <w:szCs w:val="22"/>
                <w:shd w:val="clear" w:color="auto" w:fill="FFFFFF"/>
              </w:rPr>
            </w:pPr>
            <w:r w:rsidRPr="00983A54">
              <w:rPr>
                <w:sz w:val="20"/>
                <w:szCs w:val="22"/>
                <w:shd w:val="clear" w:color="auto" w:fill="FFFFFF"/>
              </w:rPr>
              <w:t>(One) IT Developer</w:t>
            </w:r>
          </w:p>
        </w:tc>
        <w:tc>
          <w:tcPr>
            <w:tcW w:w="1080" w:type="dxa"/>
          </w:tcPr>
          <w:p w14:paraId="3B718054" w14:textId="4523C7FE" w:rsidR="00D122CC" w:rsidRPr="00983A54" w:rsidRDefault="00D122CC" w:rsidP="004F5FF5">
            <w:pPr>
              <w:rPr>
                <w:sz w:val="20"/>
                <w:szCs w:val="22"/>
                <w:shd w:val="clear" w:color="auto" w:fill="FFFFFF"/>
              </w:rPr>
            </w:pPr>
            <w:r w:rsidRPr="00983A54">
              <w:rPr>
                <w:sz w:val="20"/>
                <w:szCs w:val="22"/>
                <w:shd w:val="clear" w:color="auto" w:fill="FFFFFF"/>
              </w:rPr>
              <w:t>GS-15 step 5</w:t>
            </w:r>
          </w:p>
        </w:tc>
        <w:tc>
          <w:tcPr>
            <w:tcW w:w="1799" w:type="dxa"/>
          </w:tcPr>
          <w:p w14:paraId="0C54E9FD" w14:textId="0F531137" w:rsidR="00D122CC" w:rsidRPr="00983A54" w:rsidRDefault="00D122CC" w:rsidP="004F5FF5">
            <w:pPr>
              <w:rPr>
                <w:sz w:val="20"/>
                <w:szCs w:val="22"/>
                <w:shd w:val="clear" w:color="auto" w:fill="FFFFFF"/>
              </w:rPr>
            </w:pPr>
            <w:r w:rsidRPr="00983A54">
              <w:rPr>
                <w:sz w:val="20"/>
                <w:szCs w:val="22"/>
                <w:shd w:val="clear" w:color="auto" w:fill="FFFFFF"/>
              </w:rPr>
              <w:t>at $</w:t>
            </w:r>
            <w:r w:rsidR="0051596E" w:rsidRPr="00983A54">
              <w:rPr>
                <w:sz w:val="20"/>
                <w:szCs w:val="22"/>
                <w:shd w:val="clear" w:color="auto" w:fill="FFFFFF"/>
              </w:rPr>
              <w:t>69.56</w:t>
            </w:r>
            <w:r w:rsidRPr="00983A54">
              <w:rPr>
                <w:sz w:val="20"/>
                <w:szCs w:val="22"/>
                <w:shd w:val="clear" w:color="auto" w:fill="FFFFFF"/>
              </w:rPr>
              <w:t>/hr wage</w:t>
            </w:r>
          </w:p>
        </w:tc>
        <w:tc>
          <w:tcPr>
            <w:tcW w:w="2071" w:type="dxa"/>
          </w:tcPr>
          <w:p w14:paraId="30A14FB9" w14:textId="69323B7E" w:rsidR="00D122CC" w:rsidRPr="00983A54" w:rsidRDefault="00D122CC" w:rsidP="004F5FF5">
            <w:pPr>
              <w:rPr>
                <w:sz w:val="20"/>
                <w:szCs w:val="22"/>
                <w:shd w:val="clear" w:color="auto" w:fill="FFFFFF"/>
              </w:rPr>
            </w:pPr>
            <w:r w:rsidRPr="00983A54">
              <w:rPr>
                <w:sz w:val="20"/>
                <w:szCs w:val="22"/>
                <w:shd w:val="clear" w:color="auto" w:fill="FFFFFF"/>
              </w:rPr>
              <w:t>$</w:t>
            </w:r>
            <w:r w:rsidR="0051596E" w:rsidRPr="00983A54">
              <w:rPr>
                <w:sz w:val="20"/>
                <w:szCs w:val="22"/>
                <w:shd w:val="clear" w:color="auto" w:fill="FFFFFF"/>
              </w:rPr>
              <w:t>69.56</w:t>
            </w:r>
            <w:r w:rsidRPr="00983A54">
              <w:rPr>
                <w:sz w:val="20"/>
                <w:szCs w:val="22"/>
                <w:shd w:val="clear" w:color="auto" w:fill="FFFFFF"/>
              </w:rPr>
              <w:t xml:space="preserve"> x 1040 hours</w:t>
            </w:r>
          </w:p>
        </w:tc>
        <w:tc>
          <w:tcPr>
            <w:tcW w:w="540" w:type="dxa"/>
          </w:tcPr>
          <w:p w14:paraId="377C4A9E" w14:textId="045A8F1E" w:rsidR="00D122CC" w:rsidRPr="00983A54" w:rsidRDefault="00D122CC" w:rsidP="004F5FF5">
            <w:pPr>
              <w:rPr>
                <w:sz w:val="20"/>
                <w:szCs w:val="22"/>
                <w:shd w:val="clear" w:color="auto" w:fill="FFFFFF"/>
              </w:rPr>
            </w:pPr>
            <w:r w:rsidRPr="00983A54">
              <w:rPr>
                <w:sz w:val="20"/>
                <w:szCs w:val="22"/>
                <w:shd w:val="clear" w:color="auto" w:fill="FFFFFF"/>
              </w:rPr>
              <w:t>x 1</w:t>
            </w:r>
          </w:p>
        </w:tc>
        <w:tc>
          <w:tcPr>
            <w:tcW w:w="1705" w:type="dxa"/>
          </w:tcPr>
          <w:p w14:paraId="36476425" w14:textId="32BA6402" w:rsidR="00D122CC" w:rsidRPr="00983A54" w:rsidRDefault="00D122CC" w:rsidP="004F5FF5">
            <w:pPr>
              <w:rPr>
                <w:sz w:val="20"/>
                <w:szCs w:val="22"/>
                <w:shd w:val="clear" w:color="auto" w:fill="FFFFFF"/>
              </w:rPr>
            </w:pPr>
            <w:r w:rsidRPr="00983A54">
              <w:rPr>
                <w:sz w:val="20"/>
                <w:szCs w:val="22"/>
                <w:shd w:val="clear" w:color="auto" w:fill="FFFFFF"/>
              </w:rPr>
              <w:t>= $</w:t>
            </w:r>
            <w:r w:rsidR="0051596E" w:rsidRPr="00983A54">
              <w:rPr>
                <w:sz w:val="20"/>
                <w:szCs w:val="22"/>
                <w:shd w:val="clear" w:color="auto" w:fill="FFFFFF"/>
              </w:rPr>
              <w:t xml:space="preserve"> 72,342.40</w:t>
            </w:r>
          </w:p>
        </w:tc>
      </w:tr>
      <w:tr w:rsidR="001372B2" w:rsidRPr="00983A54" w14:paraId="0D9C428D" w14:textId="77777777" w:rsidTr="00533934">
        <w:tc>
          <w:tcPr>
            <w:tcW w:w="1435" w:type="dxa"/>
          </w:tcPr>
          <w:p w14:paraId="2ECD3A16" w14:textId="36A4BE61" w:rsidR="001372B2" w:rsidRPr="00983A54" w:rsidRDefault="001372B2" w:rsidP="001372B2">
            <w:pPr>
              <w:rPr>
                <w:sz w:val="20"/>
                <w:szCs w:val="22"/>
                <w:shd w:val="clear" w:color="auto" w:fill="FFFFFF"/>
              </w:rPr>
            </w:pPr>
            <w:r w:rsidRPr="00983A54">
              <w:rPr>
                <w:sz w:val="20"/>
                <w:szCs w:val="22"/>
                <w:shd w:val="clear" w:color="auto" w:fill="FFFFFF"/>
              </w:rPr>
              <w:t>(</w:t>
            </w:r>
            <w:r>
              <w:rPr>
                <w:sz w:val="20"/>
                <w:szCs w:val="22"/>
                <w:shd w:val="clear" w:color="auto" w:fill="FFFFFF"/>
              </w:rPr>
              <w:t>Two) Attorneys</w:t>
            </w:r>
          </w:p>
        </w:tc>
        <w:tc>
          <w:tcPr>
            <w:tcW w:w="1080" w:type="dxa"/>
          </w:tcPr>
          <w:p w14:paraId="123A3AC2" w14:textId="4F153638" w:rsidR="001372B2" w:rsidRPr="00983A54" w:rsidRDefault="001372B2" w:rsidP="00533934">
            <w:pPr>
              <w:rPr>
                <w:sz w:val="20"/>
                <w:szCs w:val="22"/>
                <w:shd w:val="clear" w:color="auto" w:fill="FFFFFF"/>
              </w:rPr>
            </w:pPr>
            <w:r>
              <w:rPr>
                <w:sz w:val="20"/>
                <w:szCs w:val="22"/>
                <w:shd w:val="clear" w:color="auto" w:fill="FFFFFF"/>
              </w:rPr>
              <w:t>GS-13</w:t>
            </w:r>
            <w:r w:rsidRPr="00983A54">
              <w:rPr>
                <w:sz w:val="20"/>
                <w:szCs w:val="22"/>
                <w:shd w:val="clear" w:color="auto" w:fill="FFFFFF"/>
              </w:rPr>
              <w:t xml:space="preserve"> step 5</w:t>
            </w:r>
          </w:p>
        </w:tc>
        <w:tc>
          <w:tcPr>
            <w:tcW w:w="1799" w:type="dxa"/>
          </w:tcPr>
          <w:p w14:paraId="5EECD301" w14:textId="29C06979" w:rsidR="001372B2" w:rsidRPr="00983A54" w:rsidRDefault="001372B2" w:rsidP="00533934">
            <w:pPr>
              <w:rPr>
                <w:sz w:val="20"/>
                <w:szCs w:val="22"/>
                <w:shd w:val="clear" w:color="auto" w:fill="FFFFFF"/>
              </w:rPr>
            </w:pPr>
            <w:r w:rsidRPr="00983A54">
              <w:rPr>
                <w:sz w:val="20"/>
                <w:szCs w:val="22"/>
                <w:shd w:val="clear" w:color="auto" w:fill="FFFFFF"/>
              </w:rPr>
              <w:t>at $</w:t>
            </w:r>
            <w:r>
              <w:rPr>
                <w:sz w:val="20"/>
                <w:szCs w:val="22"/>
                <w:shd w:val="clear" w:color="auto" w:fill="FFFFFF"/>
              </w:rPr>
              <w:t>50.04</w:t>
            </w:r>
            <w:r w:rsidRPr="00983A54">
              <w:rPr>
                <w:sz w:val="20"/>
                <w:szCs w:val="22"/>
                <w:shd w:val="clear" w:color="auto" w:fill="FFFFFF"/>
              </w:rPr>
              <w:t>/hr wage</w:t>
            </w:r>
          </w:p>
        </w:tc>
        <w:tc>
          <w:tcPr>
            <w:tcW w:w="2071" w:type="dxa"/>
          </w:tcPr>
          <w:p w14:paraId="3E67C5D9" w14:textId="4A115D59" w:rsidR="001372B2" w:rsidRPr="00983A54" w:rsidRDefault="001372B2" w:rsidP="001372B2">
            <w:pPr>
              <w:rPr>
                <w:sz w:val="20"/>
                <w:szCs w:val="22"/>
                <w:shd w:val="clear" w:color="auto" w:fill="FFFFFF"/>
              </w:rPr>
            </w:pPr>
            <w:r w:rsidRPr="00983A54">
              <w:rPr>
                <w:sz w:val="20"/>
                <w:szCs w:val="22"/>
                <w:shd w:val="clear" w:color="auto" w:fill="FFFFFF"/>
              </w:rPr>
              <w:t>$</w:t>
            </w:r>
            <w:r>
              <w:rPr>
                <w:sz w:val="20"/>
                <w:szCs w:val="22"/>
                <w:shd w:val="clear" w:color="auto" w:fill="FFFFFF"/>
              </w:rPr>
              <w:t>50.04</w:t>
            </w:r>
            <w:r w:rsidRPr="00983A54">
              <w:rPr>
                <w:sz w:val="20"/>
                <w:szCs w:val="22"/>
                <w:shd w:val="clear" w:color="auto" w:fill="FFFFFF"/>
              </w:rPr>
              <w:t xml:space="preserve"> x </w:t>
            </w:r>
            <w:r>
              <w:rPr>
                <w:sz w:val="20"/>
                <w:szCs w:val="22"/>
                <w:shd w:val="clear" w:color="auto" w:fill="FFFFFF"/>
              </w:rPr>
              <w:t>520</w:t>
            </w:r>
            <w:r w:rsidRPr="00983A54">
              <w:rPr>
                <w:sz w:val="20"/>
                <w:szCs w:val="22"/>
                <w:shd w:val="clear" w:color="auto" w:fill="FFFFFF"/>
              </w:rPr>
              <w:t xml:space="preserve"> hours</w:t>
            </w:r>
          </w:p>
        </w:tc>
        <w:tc>
          <w:tcPr>
            <w:tcW w:w="540" w:type="dxa"/>
          </w:tcPr>
          <w:p w14:paraId="2E1DF2AB" w14:textId="35B3BF9E" w:rsidR="001372B2" w:rsidRPr="00983A54" w:rsidRDefault="001372B2" w:rsidP="00533934">
            <w:pPr>
              <w:rPr>
                <w:sz w:val="20"/>
                <w:szCs w:val="22"/>
                <w:shd w:val="clear" w:color="auto" w:fill="FFFFFF"/>
              </w:rPr>
            </w:pPr>
            <w:r w:rsidRPr="00983A54">
              <w:rPr>
                <w:sz w:val="20"/>
                <w:szCs w:val="22"/>
                <w:shd w:val="clear" w:color="auto" w:fill="FFFFFF"/>
              </w:rPr>
              <w:t xml:space="preserve">x </w:t>
            </w:r>
            <w:r>
              <w:rPr>
                <w:sz w:val="20"/>
                <w:szCs w:val="22"/>
                <w:shd w:val="clear" w:color="auto" w:fill="FFFFFF"/>
              </w:rPr>
              <w:t>2</w:t>
            </w:r>
          </w:p>
        </w:tc>
        <w:tc>
          <w:tcPr>
            <w:tcW w:w="1705" w:type="dxa"/>
          </w:tcPr>
          <w:p w14:paraId="4DF365FC" w14:textId="1F83CB4E" w:rsidR="001372B2" w:rsidRPr="00983A54" w:rsidRDefault="001372B2" w:rsidP="00533934">
            <w:pPr>
              <w:rPr>
                <w:sz w:val="20"/>
                <w:szCs w:val="22"/>
                <w:shd w:val="clear" w:color="auto" w:fill="FFFFFF"/>
              </w:rPr>
            </w:pPr>
            <w:r w:rsidRPr="00983A54">
              <w:rPr>
                <w:sz w:val="20"/>
                <w:szCs w:val="22"/>
                <w:shd w:val="clear" w:color="auto" w:fill="FFFFFF"/>
              </w:rPr>
              <w:t xml:space="preserve">= $ </w:t>
            </w:r>
            <w:r w:rsidRPr="001372B2">
              <w:rPr>
                <w:sz w:val="20"/>
                <w:szCs w:val="22"/>
                <w:shd w:val="clear" w:color="auto" w:fill="FFFFFF"/>
              </w:rPr>
              <w:t>52</w:t>
            </w:r>
            <w:r>
              <w:rPr>
                <w:sz w:val="20"/>
                <w:szCs w:val="22"/>
                <w:shd w:val="clear" w:color="auto" w:fill="FFFFFF"/>
              </w:rPr>
              <w:t>,</w:t>
            </w:r>
            <w:r w:rsidRPr="001372B2">
              <w:rPr>
                <w:sz w:val="20"/>
                <w:szCs w:val="22"/>
                <w:shd w:val="clear" w:color="auto" w:fill="FFFFFF"/>
              </w:rPr>
              <w:t>041.6</w:t>
            </w:r>
            <w:r>
              <w:rPr>
                <w:sz w:val="20"/>
                <w:szCs w:val="22"/>
                <w:shd w:val="clear" w:color="auto" w:fill="FFFFFF"/>
              </w:rPr>
              <w:t>0</w:t>
            </w:r>
          </w:p>
        </w:tc>
      </w:tr>
      <w:tr w:rsidR="00D122CC" w:rsidRPr="00983A54" w14:paraId="1AADA472" w14:textId="77777777" w:rsidTr="00D122CC">
        <w:tc>
          <w:tcPr>
            <w:tcW w:w="6925" w:type="dxa"/>
            <w:gridSpan w:val="5"/>
          </w:tcPr>
          <w:p w14:paraId="18C824E8" w14:textId="2DF92B62" w:rsidR="00D122CC" w:rsidRPr="00983A54" w:rsidRDefault="00D122CC" w:rsidP="00D122CC">
            <w:pPr>
              <w:jc w:val="right"/>
              <w:rPr>
                <w:sz w:val="20"/>
                <w:szCs w:val="22"/>
                <w:shd w:val="clear" w:color="auto" w:fill="FFFFFF"/>
              </w:rPr>
            </w:pPr>
            <w:r w:rsidRPr="00983A54">
              <w:rPr>
                <w:sz w:val="20"/>
                <w:szCs w:val="22"/>
                <w:shd w:val="clear" w:color="auto" w:fill="FFFFFF"/>
              </w:rPr>
              <w:t>TOTAL</w:t>
            </w:r>
          </w:p>
        </w:tc>
        <w:tc>
          <w:tcPr>
            <w:tcW w:w="1705" w:type="dxa"/>
          </w:tcPr>
          <w:p w14:paraId="513C8B02" w14:textId="19455C2A" w:rsidR="00D122CC" w:rsidRPr="00983A54" w:rsidRDefault="00D122CC" w:rsidP="004F5FF5">
            <w:pPr>
              <w:rPr>
                <w:sz w:val="20"/>
                <w:szCs w:val="22"/>
                <w:shd w:val="clear" w:color="auto" w:fill="FFFFFF"/>
              </w:rPr>
            </w:pPr>
            <w:r w:rsidRPr="00983A54">
              <w:rPr>
                <w:sz w:val="20"/>
                <w:szCs w:val="22"/>
                <w:shd w:val="clear" w:color="auto" w:fill="FFFFFF"/>
              </w:rPr>
              <w:t>= $</w:t>
            </w:r>
            <w:r w:rsidR="0051596E" w:rsidRPr="00983A54">
              <w:rPr>
                <w:sz w:val="20"/>
                <w:szCs w:val="22"/>
                <w:shd w:val="clear" w:color="auto" w:fill="FFFFFF"/>
              </w:rPr>
              <w:t xml:space="preserve"> </w:t>
            </w:r>
            <w:r w:rsidR="001372B2" w:rsidRPr="001372B2">
              <w:rPr>
                <w:sz w:val="20"/>
                <w:szCs w:val="22"/>
                <w:shd w:val="clear" w:color="auto" w:fill="FFFFFF"/>
              </w:rPr>
              <w:t>464</w:t>
            </w:r>
            <w:r w:rsidR="001372B2">
              <w:rPr>
                <w:sz w:val="20"/>
                <w:szCs w:val="22"/>
                <w:shd w:val="clear" w:color="auto" w:fill="FFFFFF"/>
              </w:rPr>
              <w:t>,</w:t>
            </w:r>
            <w:r w:rsidR="001372B2" w:rsidRPr="001372B2">
              <w:rPr>
                <w:sz w:val="20"/>
                <w:szCs w:val="22"/>
                <w:shd w:val="clear" w:color="auto" w:fill="FFFFFF"/>
              </w:rPr>
              <w:t>401.6</w:t>
            </w:r>
            <w:r w:rsidR="001372B2">
              <w:rPr>
                <w:sz w:val="20"/>
                <w:szCs w:val="22"/>
                <w:shd w:val="clear" w:color="auto" w:fill="FFFFFF"/>
              </w:rPr>
              <w:t>0</w:t>
            </w:r>
          </w:p>
        </w:tc>
      </w:tr>
    </w:tbl>
    <w:p w14:paraId="25D3B600" w14:textId="77777777" w:rsidR="00D122CC" w:rsidRPr="0083695D" w:rsidRDefault="00D122CC" w:rsidP="004F5FF5">
      <w:pPr>
        <w:rPr>
          <w:sz w:val="24"/>
          <w:szCs w:val="24"/>
          <w:shd w:val="clear" w:color="auto" w:fill="FFFFFF"/>
        </w:rPr>
      </w:pPr>
    </w:p>
    <w:p w14:paraId="56CD5A31" w14:textId="77777777" w:rsidR="004F5FF5" w:rsidRPr="0083695D" w:rsidRDefault="004F5FF5" w:rsidP="004F5FF5">
      <w:pPr>
        <w:rPr>
          <w:sz w:val="24"/>
          <w:szCs w:val="24"/>
          <w:shd w:val="clear" w:color="auto" w:fill="FFFFFF"/>
        </w:rPr>
      </w:pPr>
    </w:p>
    <w:p w14:paraId="1F09E298" w14:textId="710FFE06" w:rsidR="004F5FF5" w:rsidRPr="0083695D" w:rsidRDefault="004F5FF5" w:rsidP="004F5FF5">
      <w:pPr>
        <w:rPr>
          <w:sz w:val="24"/>
          <w:szCs w:val="24"/>
          <w:u w:val="single"/>
          <w:shd w:val="clear" w:color="auto" w:fill="FFFFFF"/>
        </w:rPr>
      </w:pPr>
      <w:r w:rsidRPr="0083695D">
        <w:rPr>
          <w:b/>
          <w:sz w:val="24"/>
          <w:szCs w:val="24"/>
          <w:u w:val="single"/>
          <w:shd w:val="clear" w:color="auto" w:fill="FFFFFF"/>
        </w:rPr>
        <w:t>Total Annual Cost to the Federal Government:  $</w:t>
      </w:r>
      <w:r w:rsidR="001372B2" w:rsidRPr="001372B2">
        <w:rPr>
          <w:b/>
          <w:sz w:val="24"/>
          <w:szCs w:val="24"/>
          <w:u w:val="single"/>
          <w:shd w:val="clear" w:color="auto" w:fill="FFFFFF"/>
        </w:rPr>
        <w:t>464,401.60</w:t>
      </w:r>
      <w:r w:rsidR="008E3CB0">
        <w:rPr>
          <w:b/>
          <w:sz w:val="24"/>
          <w:szCs w:val="24"/>
          <w:u w:val="single"/>
          <w:shd w:val="clear" w:color="auto" w:fill="FFFFFF"/>
        </w:rPr>
        <w:t>.</w:t>
      </w:r>
    </w:p>
    <w:p w14:paraId="1EEFBD39" w14:textId="77777777" w:rsidR="004F5FF5" w:rsidRDefault="004F5FF5">
      <w:pPr>
        <w:ind w:firstLine="720"/>
        <w:rPr>
          <w:sz w:val="24"/>
          <w:szCs w:val="24"/>
          <w:shd w:val="clear" w:color="auto" w:fill="FFFFFF"/>
        </w:rPr>
      </w:pPr>
    </w:p>
    <w:p w14:paraId="0D77AE77" w14:textId="7706841E" w:rsidR="0050503D" w:rsidRPr="00975BD0" w:rsidRDefault="00B424C9">
      <w:pPr>
        <w:ind w:firstLine="720"/>
        <w:rPr>
          <w:b/>
          <w:sz w:val="24"/>
          <w:szCs w:val="24"/>
          <w:shd w:val="clear" w:color="auto" w:fill="FFFFFF"/>
        </w:rPr>
      </w:pPr>
      <w:r>
        <w:rPr>
          <w:sz w:val="24"/>
          <w:szCs w:val="24"/>
          <w:shd w:val="clear" w:color="auto" w:fill="FFFFFF"/>
        </w:rPr>
        <w:lastRenderedPageBreak/>
        <w:t xml:space="preserve">The adopted </w:t>
      </w:r>
      <w:r w:rsidR="005058C5">
        <w:rPr>
          <w:sz w:val="24"/>
          <w:szCs w:val="24"/>
          <w:shd w:val="clear" w:color="auto" w:fill="FFFFFF"/>
        </w:rPr>
        <w:t>requirements w</w:t>
      </w:r>
      <w:r>
        <w:rPr>
          <w:sz w:val="24"/>
          <w:szCs w:val="24"/>
          <w:shd w:val="clear" w:color="auto" w:fill="FFFFFF"/>
        </w:rPr>
        <w:t>ill</w:t>
      </w:r>
      <w:r w:rsidR="005058C5">
        <w:rPr>
          <w:sz w:val="24"/>
          <w:szCs w:val="24"/>
          <w:shd w:val="clear" w:color="auto" w:fill="FFFFFF"/>
        </w:rPr>
        <w:t xml:space="preserve"> result in a</w:t>
      </w:r>
      <w:r>
        <w:rPr>
          <w:sz w:val="24"/>
          <w:szCs w:val="24"/>
          <w:shd w:val="clear" w:color="auto" w:fill="FFFFFF"/>
        </w:rPr>
        <w:t xml:space="preserve"> decrease</w:t>
      </w:r>
      <w:r w:rsidR="005058C5">
        <w:rPr>
          <w:sz w:val="24"/>
          <w:szCs w:val="24"/>
          <w:shd w:val="clear" w:color="auto" w:fill="FFFFFF"/>
        </w:rPr>
        <w:t xml:space="preserve"> in the number of reports reviewed by Commission staff each year. </w:t>
      </w:r>
      <w:r>
        <w:rPr>
          <w:sz w:val="24"/>
          <w:szCs w:val="24"/>
          <w:shd w:val="clear" w:color="auto" w:fill="FFFFFF"/>
        </w:rPr>
        <w:t xml:space="preserve"> </w:t>
      </w:r>
      <w:r w:rsidR="00E13BBE">
        <w:rPr>
          <w:sz w:val="24"/>
          <w:szCs w:val="24"/>
          <w:shd w:val="clear" w:color="auto" w:fill="FFFFFF"/>
        </w:rPr>
        <w:t>Further, we adjust the number of, and the respective salaries for Commission employees reviewing reports</w:t>
      </w:r>
      <w:r w:rsidR="00C80EE7">
        <w:rPr>
          <w:sz w:val="24"/>
          <w:szCs w:val="24"/>
          <w:shd w:val="clear" w:color="auto" w:fill="FFFFFF"/>
        </w:rPr>
        <w:t xml:space="preserve"> to the current configuration</w:t>
      </w:r>
      <w:r w:rsidR="00E13BBE">
        <w:rPr>
          <w:sz w:val="24"/>
          <w:szCs w:val="24"/>
          <w:shd w:val="clear" w:color="auto" w:fill="FFFFFF"/>
        </w:rPr>
        <w:t xml:space="preserve">.  </w:t>
      </w:r>
      <w:r w:rsidR="004F5FF5">
        <w:rPr>
          <w:sz w:val="24"/>
          <w:szCs w:val="24"/>
          <w:shd w:val="clear" w:color="auto" w:fill="FFFFFF"/>
        </w:rPr>
        <w:t>The</w:t>
      </w:r>
      <w:r w:rsidR="005058C5">
        <w:rPr>
          <w:sz w:val="24"/>
          <w:szCs w:val="24"/>
          <w:shd w:val="clear" w:color="auto" w:fill="FFFFFF"/>
        </w:rPr>
        <w:t xml:space="preserve"> projected </w:t>
      </w:r>
      <w:r>
        <w:rPr>
          <w:sz w:val="24"/>
          <w:szCs w:val="24"/>
          <w:shd w:val="clear" w:color="auto" w:fill="FFFFFF"/>
        </w:rPr>
        <w:t>decrease of 2,4</w:t>
      </w:r>
      <w:r w:rsidR="004F5FF5">
        <w:rPr>
          <w:sz w:val="24"/>
          <w:szCs w:val="24"/>
          <w:shd w:val="clear" w:color="auto" w:fill="FFFFFF"/>
        </w:rPr>
        <w:t xml:space="preserve">32 </w:t>
      </w:r>
      <w:r w:rsidR="005058C5">
        <w:rPr>
          <w:sz w:val="24"/>
          <w:szCs w:val="24"/>
          <w:shd w:val="clear" w:color="auto" w:fill="FFFFFF"/>
        </w:rPr>
        <w:t xml:space="preserve">reports per year </w:t>
      </w:r>
      <w:r w:rsidR="00E13BBE">
        <w:rPr>
          <w:sz w:val="24"/>
          <w:szCs w:val="24"/>
          <w:shd w:val="clear" w:color="auto" w:fill="FFFFFF"/>
        </w:rPr>
        <w:t>and the Commission personnel costs adjustments will</w:t>
      </w:r>
      <w:r w:rsidR="005058C5">
        <w:rPr>
          <w:sz w:val="24"/>
          <w:szCs w:val="24"/>
          <w:shd w:val="clear" w:color="auto" w:fill="FFFFFF"/>
        </w:rPr>
        <w:t xml:space="preserve"> have </w:t>
      </w:r>
      <w:r w:rsidR="00790FF0">
        <w:rPr>
          <w:sz w:val="24"/>
          <w:szCs w:val="24"/>
          <w:shd w:val="clear" w:color="auto" w:fill="FFFFFF"/>
        </w:rPr>
        <w:t xml:space="preserve">an </w:t>
      </w:r>
      <w:r w:rsidR="005058C5">
        <w:rPr>
          <w:sz w:val="24"/>
          <w:szCs w:val="24"/>
          <w:shd w:val="clear" w:color="auto" w:fill="FFFFFF"/>
        </w:rPr>
        <w:t xml:space="preserve">impact on the costs of the Federal government in administering the network outage reporting program. </w:t>
      </w:r>
      <w:r w:rsidR="003C5511">
        <w:rPr>
          <w:sz w:val="24"/>
          <w:szCs w:val="24"/>
          <w:shd w:val="clear" w:color="auto" w:fill="FFFFFF"/>
        </w:rPr>
        <w:t xml:space="preserve"> </w:t>
      </w:r>
      <w:r w:rsidR="005058C5">
        <w:rPr>
          <w:sz w:val="24"/>
          <w:szCs w:val="24"/>
          <w:shd w:val="clear" w:color="auto" w:fill="FFFFFF"/>
        </w:rPr>
        <w:t xml:space="preserve">We therefore </w:t>
      </w:r>
      <w:r w:rsidR="00790FF0">
        <w:rPr>
          <w:sz w:val="24"/>
          <w:szCs w:val="24"/>
          <w:shd w:val="clear" w:color="auto" w:fill="FFFFFF"/>
        </w:rPr>
        <w:t xml:space="preserve">adjust the estimate to </w:t>
      </w:r>
      <w:r w:rsidR="00C80EE7" w:rsidRPr="00C80EE7">
        <w:rPr>
          <w:sz w:val="24"/>
          <w:szCs w:val="24"/>
          <w:shd w:val="clear" w:color="auto" w:fill="FFFFFF"/>
        </w:rPr>
        <w:t>$ 464,401.60</w:t>
      </w:r>
      <w:r w:rsidR="00790FF0">
        <w:rPr>
          <w:sz w:val="24"/>
          <w:szCs w:val="24"/>
          <w:shd w:val="clear" w:color="auto" w:fill="FFFFFF"/>
        </w:rPr>
        <w:t>.</w:t>
      </w:r>
    </w:p>
    <w:p w14:paraId="436CD410" w14:textId="544F1C74" w:rsidR="006615FA" w:rsidRPr="00884530" w:rsidRDefault="006615FA" w:rsidP="00983A54">
      <w:pPr>
        <w:rPr>
          <w:sz w:val="24"/>
          <w:szCs w:val="24"/>
          <w:shd w:val="clear" w:color="auto" w:fill="FFFFFF"/>
        </w:rPr>
      </w:pPr>
    </w:p>
    <w:p w14:paraId="41103291" w14:textId="77777777" w:rsidR="006615FA" w:rsidRPr="00884530" w:rsidRDefault="006615FA" w:rsidP="0083695D">
      <w:pPr>
        <w:rPr>
          <w:b/>
          <w:sz w:val="24"/>
          <w:szCs w:val="24"/>
          <w:shd w:val="clear" w:color="auto" w:fill="FFFFFF"/>
        </w:rPr>
      </w:pPr>
      <w:r w:rsidRPr="003E2102">
        <w:rPr>
          <w:b/>
          <w:sz w:val="24"/>
          <w:szCs w:val="24"/>
          <w:shd w:val="clear" w:color="auto" w:fill="FFFFFF"/>
        </w:rPr>
        <w:t xml:space="preserve">15.  Explain the reasons for any program changes or adjustments </w:t>
      </w:r>
      <w:r w:rsidR="00C3021D" w:rsidRPr="003E2102">
        <w:rPr>
          <w:b/>
          <w:sz w:val="24"/>
          <w:szCs w:val="24"/>
          <w:shd w:val="clear" w:color="auto" w:fill="FFFFFF"/>
        </w:rPr>
        <w:t>for this information collection</w:t>
      </w:r>
      <w:r w:rsidRPr="003E2102">
        <w:rPr>
          <w:b/>
          <w:sz w:val="24"/>
          <w:szCs w:val="24"/>
          <w:shd w:val="clear" w:color="auto" w:fill="FFFFFF"/>
        </w:rPr>
        <w:t>.</w:t>
      </w:r>
    </w:p>
    <w:p w14:paraId="2570CCD4" w14:textId="77777777" w:rsidR="0026661E" w:rsidRPr="00884530" w:rsidRDefault="0026661E" w:rsidP="0083695D">
      <w:pPr>
        <w:rPr>
          <w:sz w:val="24"/>
          <w:szCs w:val="24"/>
          <w:shd w:val="clear" w:color="auto" w:fill="FFFFFF"/>
        </w:rPr>
      </w:pPr>
    </w:p>
    <w:p w14:paraId="26C0BD35" w14:textId="4F7101D2" w:rsidR="00C96085" w:rsidRDefault="00983A54" w:rsidP="003E2102">
      <w:pPr>
        <w:ind w:firstLine="720"/>
        <w:rPr>
          <w:sz w:val="24"/>
          <w:szCs w:val="24"/>
          <w:shd w:val="clear" w:color="auto" w:fill="FFFFFF"/>
        </w:rPr>
      </w:pPr>
      <w:r>
        <w:rPr>
          <w:sz w:val="24"/>
          <w:szCs w:val="24"/>
          <w:shd w:val="clear" w:color="auto" w:fill="FFFFFF"/>
        </w:rPr>
        <w:t xml:space="preserve">In the </w:t>
      </w:r>
      <w:r>
        <w:rPr>
          <w:i/>
          <w:sz w:val="24"/>
          <w:szCs w:val="24"/>
          <w:shd w:val="clear" w:color="auto" w:fill="FFFFFF"/>
        </w:rPr>
        <w:t xml:space="preserve">Report and Order </w:t>
      </w:r>
      <w:r w:rsidRPr="00983A54">
        <w:rPr>
          <w:sz w:val="24"/>
          <w:szCs w:val="24"/>
          <w:shd w:val="clear" w:color="auto" w:fill="FFFFFF"/>
        </w:rPr>
        <w:t xml:space="preserve">and </w:t>
      </w:r>
      <w:r>
        <w:rPr>
          <w:i/>
          <w:sz w:val="24"/>
          <w:szCs w:val="24"/>
          <w:shd w:val="clear" w:color="auto" w:fill="FFFFFF"/>
        </w:rPr>
        <w:t>Order on Reconsideration</w:t>
      </w:r>
      <w:r>
        <w:rPr>
          <w:sz w:val="24"/>
          <w:szCs w:val="24"/>
          <w:shd w:val="clear" w:color="auto" w:fill="FFFFFF"/>
        </w:rPr>
        <w:t>, t</w:t>
      </w:r>
      <w:r w:rsidR="005561B6">
        <w:rPr>
          <w:sz w:val="24"/>
          <w:szCs w:val="24"/>
          <w:shd w:val="clear" w:color="auto" w:fill="FFFFFF"/>
        </w:rPr>
        <w:t xml:space="preserve">he Commission adopts </w:t>
      </w:r>
      <w:r w:rsidR="001A5449">
        <w:rPr>
          <w:sz w:val="24"/>
          <w:szCs w:val="24"/>
          <w:shd w:val="clear" w:color="auto" w:fill="FFFFFF"/>
        </w:rPr>
        <w:t xml:space="preserve">the information collection requirements </w:t>
      </w:r>
      <w:r>
        <w:rPr>
          <w:sz w:val="24"/>
          <w:szCs w:val="24"/>
          <w:shd w:val="clear" w:color="auto" w:fill="FFFFFF"/>
        </w:rPr>
        <w:t>as presented above</w:t>
      </w:r>
      <w:r w:rsidR="001A5449">
        <w:rPr>
          <w:sz w:val="24"/>
          <w:szCs w:val="24"/>
          <w:shd w:val="clear" w:color="auto" w:fill="FFFFFF"/>
        </w:rPr>
        <w:t xml:space="preserve">, </w:t>
      </w:r>
      <w:r w:rsidR="00D3026D">
        <w:rPr>
          <w:sz w:val="24"/>
          <w:szCs w:val="24"/>
          <w:shd w:val="clear" w:color="auto" w:fill="FFFFFF"/>
        </w:rPr>
        <w:t xml:space="preserve">which resulted in </w:t>
      </w:r>
      <w:r w:rsidR="00A5283F">
        <w:rPr>
          <w:sz w:val="24"/>
          <w:szCs w:val="24"/>
          <w:shd w:val="clear" w:color="auto" w:fill="FFFFFF"/>
        </w:rPr>
        <w:t>a program change/decrease</w:t>
      </w:r>
      <w:r w:rsidR="00D3026D">
        <w:rPr>
          <w:sz w:val="24"/>
          <w:szCs w:val="24"/>
          <w:shd w:val="clear" w:color="auto" w:fill="FFFFFF"/>
        </w:rPr>
        <w:t xml:space="preserve"> to this collection.  </w:t>
      </w:r>
      <w:r w:rsidR="00C96085">
        <w:rPr>
          <w:sz w:val="24"/>
          <w:szCs w:val="24"/>
          <w:shd w:val="clear" w:color="auto" w:fill="FFFFFF"/>
        </w:rPr>
        <w:t>T</w:t>
      </w:r>
      <w:r w:rsidR="001A5449">
        <w:rPr>
          <w:sz w:val="24"/>
          <w:szCs w:val="24"/>
          <w:shd w:val="clear" w:color="auto" w:fill="FFFFFF"/>
        </w:rPr>
        <w:t xml:space="preserve">he following </w:t>
      </w:r>
      <w:r w:rsidR="00C96085">
        <w:rPr>
          <w:sz w:val="24"/>
          <w:szCs w:val="24"/>
          <w:shd w:val="clear" w:color="auto" w:fill="FFFFFF"/>
        </w:rPr>
        <w:t>de</w:t>
      </w:r>
      <w:r w:rsidR="00695DB5">
        <w:rPr>
          <w:sz w:val="24"/>
          <w:szCs w:val="24"/>
          <w:shd w:val="clear" w:color="auto" w:fill="FFFFFF"/>
        </w:rPr>
        <w:t xml:space="preserve">creases </w:t>
      </w:r>
      <w:r w:rsidR="001A5449">
        <w:rPr>
          <w:sz w:val="24"/>
          <w:szCs w:val="24"/>
          <w:shd w:val="clear" w:color="auto" w:fill="FFFFFF"/>
        </w:rPr>
        <w:t>will be added to OMB’s inventory</w:t>
      </w:r>
      <w:r w:rsidR="00C96085">
        <w:rPr>
          <w:sz w:val="24"/>
          <w:szCs w:val="24"/>
          <w:shd w:val="clear" w:color="auto" w:fill="FFFFFF"/>
        </w:rPr>
        <w:t>:</w:t>
      </w:r>
      <w:r w:rsidR="00695DB5">
        <w:rPr>
          <w:sz w:val="24"/>
          <w:szCs w:val="24"/>
          <w:shd w:val="clear" w:color="auto" w:fill="FFFFFF"/>
        </w:rPr>
        <w:t xml:space="preserve"> </w:t>
      </w:r>
      <w:r w:rsidR="003E2102">
        <w:rPr>
          <w:sz w:val="24"/>
          <w:szCs w:val="24"/>
          <w:shd w:val="clear" w:color="auto" w:fill="FFFFFF"/>
        </w:rPr>
        <w:t xml:space="preserve"> </w:t>
      </w:r>
      <w:r w:rsidR="00C96085">
        <w:rPr>
          <w:sz w:val="24"/>
          <w:szCs w:val="24"/>
          <w:shd w:val="clear" w:color="auto" w:fill="FFFFFF"/>
        </w:rPr>
        <w:t xml:space="preserve">the total number of respondents decreased from 1,100 to 798 </w:t>
      </w:r>
    </w:p>
    <w:p w14:paraId="770697A1" w14:textId="13E91381" w:rsidR="00FF2940" w:rsidRDefault="00C96085" w:rsidP="00687B8A">
      <w:pPr>
        <w:rPr>
          <w:sz w:val="24"/>
          <w:szCs w:val="24"/>
          <w:shd w:val="clear" w:color="auto" w:fill="FFFFFF"/>
        </w:rPr>
      </w:pPr>
      <w:r>
        <w:rPr>
          <w:sz w:val="24"/>
          <w:szCs w:val="24"/>
          <w:shd w:val="clear" w:color="auto" w:fill="FFFFFF"/>
        </w:rPr>
        <w:t xml:space="preserve">(-302), </w:t>
      </w:r>
      <w:r w:rsidR="00851EFB">
        <w:rPr>
          <w:sz w:val="24"/>
          <w:szCs w:val="24"/>
          <w:shd w:val="clear" w:color="auto" w:fill="FFFFFF"/>
        </w:rPr>
        <w:t>t</w:t>
      </w:r>
      <w:bookmarkStart w:id="0" w:name="_GoBack"/>
      <w:bookmarkEnd w:id="0"/>
      <w:r w:rsidR="00695DB5">
        <w:rPr>
          <w:sz w:val="24"/>
          <w:szCs w:val="24"/>
          <w:shd w:val="clear" w:color="auto" w:fill="FFFFFF"/>
        </w:rPr>
        <w:t xml:space="preserve">he total </w:t>
      </w:r>
      <w:r w:rsidR="009D21C8">
        <w:rPr>
          <w:sz w:val="24"/>
          <w:szCs w:val="24"/>
          <w:shd w:val="clear" w:color="auto" w:fill="FFFFFF"/>
        </w:rPr>
        <w:t xml:space="preserve">number of responses </w:t>
      </w:r>
      <w:r w:rsidR="00983A54">
        <w:rPr>
          <w:sz w:val="24"/>
          <w:szCs w:val="24"/>
          <w:shd w:val="clear" w:color="auto" w:fill="FFFFFF"/>
        </w:rPr>
        <w:t>decrease</w:t>
      </w:r>
      <w:r>
        <w:rPr>
          <w:sz w:val="24"/>
          <w:szCs w:val="24"/>
          <w:shd w:val="clear" w:color="auto" w:fill="FFFFFF"/>
        </w:rPr>
        <w:t>d</w:t>
      </w:r>
      <w:r w:rsidR="00983A54">
        <w:rPr>
          <w:sz w:val="24"/>
          <w:szCs w:val="24"/>
          <w:shd w:val="clear" w:color="auto" w:fill="FFFFFF"/>
        </w:rPr>
        <w:t xml:space="preserve"> from </w:t>
      </w:r>
      <w:r w:rsidR="00983A54" w:rsidRPr="00983A54">
        <w:rPr>
          <w:sz w:val="24"/>
          <w:szCs w:val="24"/>
          <w:shd w:val="clear" w:color="auto" w:fill="FFFFFF"/>
        </w:rPr>
        <w:t>15,444</w:t>
      </w:r>
      <w:r w:rsidR="00983A54">
        <w:rPr>
          <w:sz w:val="24"/>
          <w:szCs w:val="24"/>
          <w:shd w:val="clear" w:color="auto" w:fill="FFFFFF"/>
        </w:rPr>
        <w:t xml:space="preserve"> to 13,012, </w:t>
      </w:r>
      <w:r>
        <w:rPr>
          <w:sz w:val="24"/>
          <w:szCs w:val="24"/>
          <w:shd w:val="clear" w:color="auto" w:fill="FFFFFF"/>
        </w:rPr>
        <w:t>(-</w:t>
      </w:r>
      <w:r w:rsidR="00983A54" w:rsidRPr="00983A54">
        <w:rPr>
          <w:sz w:val="24"/>
          <w:szCs w:val="24"/>
          <w:shd w:val="clear" w:color="auto" w:fill="FFFFFF"/>
        </w:rPr>
        <w:t>2,432</w:t>
      </w:r>
      <w:r>
        <w:rPr>
          <w:sz w:val="24"/>
          <w:szCs w:val="24"/>
          <w:shd w:val="clear" w:color="auto" w:fill="FFFFFF"/>
        </w:rPr>
        <w:t>)</w:t>
      </w:r>
      <w:r w:rsidR="00983A54">
        <w:rPr>
          <w:sz w:val="24"/>
          <w:szCs w:val="24"/>
          <w:shd w:val="clear" w:color="auto" w:fill="FFFFFF"/>
        </w:rPr>
        <w:t>, and the total annual burden</w:t>
      </w:r>
      <w:r w:rsidR="00AE569A">
        <w:rPr>
          <w:sz w:val="24"/>
          <w:szCs w:val="24"/>
          <w:shd w:val="clear" w:color="auto" w:fill="FFFFFF"/>
        </w:rPr>
        <w:t xml:space="preserve"> hours</w:t>
      </w:r>
      <w:r w:rsidR="00983A54">
        <w:rPr>
          <w:sz w:val="24"/>
          <w:szCs w:val="24"/>
          <w:shd w:val="clear" w:color="auto" w:fill="FFFFFF"/>
        </w:rPr>
        <w:t xml:space="preserve"> decrease from </w:t>
      </w:r>
      <w:r w:rsidR="00AE569A">
        <w:rPr>
          <w:sz w:val="24"/>
          <w:szCs w:val="24"/>
          <w:shd w:val="clear" w:color="auto" w:fill="FFFFFF"/>
        </w:rPr>
        <w:t xml:space="preserve">29,870 to 25,006, </w:t>
      </w:r>
      <w:r>
        <w:rPr>
          <w:sz w:val="24"/>
          <w:szCs w:val="24"/>
          <w:shd w:val="clear" w:color="auto" w:fill="FFFFFF"/>
        </w:rPr>
        <w:t>(-</w:t>
      </w:r>
      <w:r w:rsidR="00AE569A" w:rsidRPr="00AE569A">
        <w:rPr>
          <w:sz w:val="24"/>
          <w:szCs w:val="24"/>
          <w:shd w:val="clear" w:color="auto" w:fill="FFFFFF"/>
        </w:rPr>
        <w:t>4,864</w:t>
      </w:r>
      <w:r>
        <w:rPr>
          <w:sz w:val="24"/>
          <w:szCs w:val="24"/>
          <w:shd w:val="clear" w:color="auto" w:fill="FFFFFF"/>
        </w:rPr>
        <w:t>)</w:t>
      </w:r>
      <w:r w:rsidR="00AE569A">
        <w:rPr>
          <w:sz w:val="24"/>
          <w:szCs w:val="24"/>
          <w:shd w:val="clear" w:color="auto" w:fill="FFFFFF"/>
        </w:rPr>
        <w:t>.</w:t>
      </w:r>
    </w:p>
    <w:p w14:paraId="52F3EAE8" w14:textId="77777777" w:rsidR="0026661E" w:rsidRPr="00884530" w:rsidRDefault="0026661E" w:rsidP="00A317D9">
      <w:pPr>
        <w:ind w:firstLine="720"/>
        <w:rPr>
          <w:b/>
          <w:sz w:val="24"/>
          <w:szCs w:val="24"/>
          <w:shd w:val="clear" w:color="auto" w:fill="FFFFFF"/>
        </w:rPr>
      </w:pPr>
    </w:p>
    <w:p w14:paraId="7287A404" w14:textId="77777777" w:rsidR="006615FA" w:rsidRPr="00884530" w:rsidRDefault="006615FA" w:rsidP="0083695D">
      <w:pPr>
        <w:rPr>
          <w:b/>
          <w:sz w:val="24"/>
          <w:szCs w:val="24"/>
          <w:shd w:val="clear" w:color="auto" w:fill="FFFFFF"/>
        </w:rPr>
      </w:pPr>
      <w:r w:rsidRPr="00884530">
        <w:rPr>
          <w:b/>
          <w:sz w:val="24"/>
          <w:szCs w:val="24"/>
          <w:shd w:val="clear" w:color="auto" w:fill="FFFFFF"/>
        </w:rPr>
        <w:t>16.  For collections of information whose results will be published, outline plans for tabulation and publication.</w:t>
      </w:r>
    </w:p>
    <w:p w14:paraId="58AC1035" w14:textId="77777777" w:rsidR="0026661E" w:rsidRPr="00884530" w:rsidRDefault="0026661E" w:rsidP="0083695D">
      <w:pPr>
        <w:rPr>
          <w:sz w:val="24"/>
          <w:szCs w:val="24"/>
          <w:shd w:val="clear" w:color="auto" w:fill="FFFFFF"/>
        </w:rPr>
      </w:pPr>
    </w:p>
    <w:p w14:paraId="5BF6AAAD" w14:textId="77777777" w:rsidR="006615FA" w:rsidRDefault="006615FA" w:rsidP="00321A5C">
      <w:pPr>
        <w:ind w:firstLine="720"/>
        <w:rPr>
          <w:sz w:val="24"/>
          <w:szCs w:val="24"/>
          <w:shd w:val="clear" w:color="auto" w:fill="FFFFFF"/>
        </w:rPr>
      </w:pPr>
      <w:r w:rsidRPr="00884530">
        <w:rPr>
          <w:sz w:val="24"/>
          <w:szCs w:val="24"/>
          <w:shd w:val="clear" w:color="auto" w:fill="FFFFFF"/>
        </w:rPr>
        <w:t xml:space="preserve">The FCC does not plan to publish </w:t>
      </w:r>
      <w:r w:rsidR="00A959DB">
        <w:rPr>
          <w:sz w:val="24"/>
          <w:szCs w:val="24"/>
          <w:shd w:val="clear" w:color="auto" w:fill="FFFFFF"/>
        </w:rPr>
        <w:t>this information</w:t>
      </w:r>
      <w:r w:rsidRPr="00884530">
        <w:rPr>
          <w:sz w:val="24"/>
          <w:szCs w:val="24"/>
          <w:shd w:val="clear" w:color="auto" w:fill="FFFFFF"/>
        </w:rPr>
        <w:t>.</w:t>
      </w:r>
    </w:p>
    <w:p w14:paraId="20FE9E7E" w14:textId="77777777" w:rsidR="00D75AE8" w:rsidRPr="00884530" w:rsidRDefault="00D75AE8" w:rsidP="00321A5C">
      <w:pPr>
        <w:ind w:firstLine="720"/>
        <w:rPr>
          <w:sz w:val="24"/>
          <w:szCs w:val="24"/>
          <w:shd w:val="clear" w:color="auto" w:fill="FFFFFF"/>
        </w:rPr>
      </w:pPr>
    </w:p>
    <w:p w14:paraId="631313F9" w14:textId="77777777" w:rsidR="006615FA" w:rsidRPr="00884530" w:rsidRDefault="006615FA" w:rsidP="0083695D">
      <w:pPr>
        <w:rPr>
          <w:b/>
          <w:sz w:val="24"/>
          <w:szCs w:val="24"/>
          <w:shd w:val="clear" w:color="auto" w:fill="FFFFFF"/>
        </w:rPr>
      </w:pPr>
      <w:r w:rsidRPr="00884530">
        <w:rPr>
          <w:b/>
          <w:sz w:val="24"/>
          <w:szCs w:val="24"/>
          <w:shd w:val="clear" w:color="auto" w:fill="FFFFFF"/>
        </w:rPr>
        <w:t>17.  If seeking approval to not display the expiration date for OMB approval of the information collection, explain the reasons that display would be inappropriate.</w:t>
      </w:r>
    </w:p>
    <w:p w14:paraId="6DF22D3E" w14:textId="77777777" w:rsidR="0026661E" w:rsidRPr="00884530" w:rsidRDefault="0026661E" w:rsidP="0083695D">
      <w:pPr>
        <w:rPr>
          <w:sz w:val="24"/>
          <w:szCs w:val="24"/>
          <w:shd w:val="clear" w:color="auto" w:fill="FFFFFF"/>
        </w:rPr>
      </w:pPr>
    </w:p>
    <w:p w14:paraId="7EBE920A" w14:textId="77777777" w:rsidR="006615FA" w:rsidRPr="00884530" w:rsidRDefault="006615FA" w:rsidP="00321A5C">
      <w:pPr>
        <w:ind w:firstLine="720"/>
        <w:rPr>
          <w:sz w:val="24"/>
          <w:szCs w:val="24"/>
          <w:shd w:val="clear" w:color="auto" w:fill="FFFFFF"/>
        </w:rPr>
      </w:pPr>
      <w:r w:rsidRPr="00884530">
        <w:rPr>
          <w:sz w:val="24"/>
          <w:szCs w:val="24"/>
          <w:shd w:val="clear" w:color="auto" w:fill="FFFFFF"/>
        </w:rPr>
        <w:t>The Commission does not intend to seek approval not to di</w:t>
      </w:r>
      <w:r w:rsidR="007E4B09" w:rsidRPr="00884530">
        <w:rPr>
          <w:sz w:val="24"/>
          <w:szCs w:val="24"/>
          <w:shd w:val="clear" w:color="auto" w:fill="FFFFFF"/>
        </w:rPr>
        <w:t xml:space="preserve">splay the expiration date of </w:t>
      </w:r>
      <w:r w:rsidR="007C5B70">
        <w:rPr>
          <w:sz w:val="24"/>
          <w:szCs w:val="24"/>
          <w:shd w:val="clear" w:color="auto" w:fill="FFFFFF"/>
        </w:rPr>
        <w:t>the revisions to this</w:t>
      </w:r>
      <w:r w:rsidRPr="00884530">
        <w:rPr>
          <w:sz w:val="24"/>
          <w:szCs w:val="24"/>
          <w:shd w:val="clear" w:color="auto" w:fill="FFFFFF"/>
        </w:rPr>
        <w:t xml:space="preserve"> information collection.</w:t>
      </w:r>
    </w:p>
    <w:p w14:paraId="6FF586D6" w14:textId="77777777" w:rsidR="007F7CEC" w:rsidRDefault="007F7CEC" w:rsidP="0083695D">
      <w:pPr>
        <w:rPr>
          <w:b/>
          <w:sz w:val="24"/>
          <w:szCs w:val="24"/>
          <w:shd w:val="clear" w:color="auto" w:fill="FFFFFF"/>
        </w:rPr>
      </w:pPr>
    </w:p>
    <w:p w14:paraId="3942ADAA" w14:textId="77777777" w:rsidR="006615FA" w:rsidRPr="00884530" w:rsidRDefault="006615FA" w:rsidP="0083695D">
      <w:pPr>
        <w:rPr>
          <w:b/>
          <w:sz w:val="24"/>
          <w:szCs w:val="24"/>
          <w:shd w:val="clear" w:color="auto" w:fill="FFFFFF"/>
        </w:rPr>
      </w:pPr>
      <w:r w:rsidRPr="00884530">
        <w:rPr>
          <w:b/>
          <w:sz w:val="24"/>
          <w:szCs w:val="24"/>
          <w:shd w:val="clear" w:color="auto" w:fill="FFFFFF"/>
        </w:rPr>
        <w:t>18.  Explain any exceptions to the Certification Statement identified in Item 19, “Certification of Paperwork Reduction Act Submissions</w:t>
      </w:r>
      <w:r w:rsidR="00C3021D">
        <w:rPr>
          <w:b/>
          <w:sz w:val="24"/>
          <w:szCs w:val="24"/>
          <w:shd w:val="clear" w:color="auto" w:fill="FFFFFF"/>
        </w:rPr>
        <w:t>.</w:t>
      </w:r>
      <w:r w:rsidRPr="00884530">
        <w:rPr>
          <w:b/>
          <w:sz w:val="24"/>
          <w:szCs w:val="24"/>
          <w:shd w:val="clear" w:color="auto" w:fill="FFFFFF"/>
        </w:rPr>
        <w:t xml:space="preserve">” </w:t>
      </w:r>
    </w:p>
    <w:p w14:paraId="4E0D1837" w14:textId="77777777" w:rsidR="0026661E" w:rsidRPr="00884530" w:rsidRDefault="0026661E" w:rsidP="0083695D">
      <w:pPr>
        <w:rPr>
          <w:sz w:val="24"/>
          <w:szCs w:val="24"/>
          <w:shd w:val="clear" w:color="auto" w:fill="FFFFFF"/>
        </w:rPr>
      </w:pPr>
    </w:p>
    <w:p w14:paraId="6766DE6E" w14:textId="77777777" w:rsidR="006615FA" w:rsidRPr="00884530" w:rsidRDefault="00EC6CEF" w:rsidP="00321A5C">
      <w:pPr>
        <w:ind w:firstLine="720"/>
        <w:rPr>
          <w:sz w:val="24"/>
          <w:szCs w:val="24"/>
          <w:shd w:val="clear" w:color="auto" w:fill="FFFFFF"/>
        </w:rPr>
      </w:pPr>
      <w:r w:rsidRPr="00884530">
        <w:rPr>
          <w:sz w:val="24"/>
          <w:szCs w:val="24"/>
          <w:shd w:val="clear" w:color="auto" w:fill="FFFFFF"/>
        </w:rPr>
        <w:t>T</w:t>
      </w:r>
      <w:r w:rsidR="006615FA" w:rsidRPr="00884530">
        <w:rPr>
          <w:sz w:val="24"/>
          <w:szCs w:val="24"/>
          <w:shd w:val="clear" w:color="auto" w:fill="FFFFFF"/>
        </w:rPr>
        <w:t>here are no exceptions to the Certification Statement.</w:t>
      </w:r>
    </w:p>
    <w:p w14:paraId="707003BD" w14:textId="77777777" w:rsidR="007F7CEC" w:rsidRDefault="007F7CEC" w:rsidP="0083695D">
      <w:pPr>
        <w:rPr>
          <w:b/>
          <w:sz w:val="24"/>
          <w:szCs w:val="24"/>
          <w:shd w:val="clear" w:color="auto" w:fill="FFFFFF"/>
        </w:rPr>
      </w:pPr>
    </w:p>
    <w:p w14:paraId="144C6B70" w14:textId="77777777" w:rsidR="006615FA" w:rsidRPr="00884530" w:rsidRDefault="006800DA" w:rsidP="0083695D">
      <w:pPr>
        <w:rPr>
          <w:b/>
          <w:sz w:val="24"/>
          <w:szCs w:val="24"/>
          <w:shd w:val="clear" w:color="auto" w:fill="FFFFFF"/>
        </w:rPr>
      </w:pPr>
      <w:r w:rsidRPr="00884530">
        <w:rPr>
          <w:b/>
          <w:sz w:val="24"/>
          <w:szCs w:val="24"/>
          <w:shd w:val="clear" w:color="auto" w:fill="FFFFFF"/>
        </w:rPr>
        <w:t>B.</w:t>
      </w:r>
      <w:r w:rsidRPr="00884530">
        <w:rPr>
          <w:b/>
          <w:sz w:val="24"/>
          <w:szCs w:val="24"/>
          <w:shd w:val="clear" w:color="auto" w:fill="FFFFFF"/>
        </w:rPr>
        <w:tab/>
      </w:r>
      <w:r w:rsidR="006615FA" w:rsidRPr="00884530">
        <w:rPr>
          <w:b/>
          <w:sz w:val="24"/>
          <w:szCs w:val="24"/>
          <w:shd w:val="clear" w:color="auto" w:fill="FFFFFF"/>
        </w:rPr>
        <w:t>Collec</w:t>
      </w:r>
      <w:r w:rsidRPr="00884530">
        <w:rPr>
          <w:b/>
          <w:sz w:val="24"/>
          <w:szCs w:val="24"/>
          <w:shd w:val="clear" w:color="auto" w:fill="FFFFFF"/>
        </w:rPr>
        <w:t xml:space="preserve">tions of Information Employing </w:t>
      </w:r>
      <w:r w:rsidR="006615FA" w:rsidRPr="00884530">
        <w:rPr>
          <w:b/>
          <w:sz w:val="24"/>
          <w:szCs w:val="24"/>
          <w:shd w:val="clear" w:color="auto" w:fill="FFFFFF"/>
        </w:rPr>
        <w:t>Statistical Methods:</w:t>
      </w:r>
    </w:p>
    <w:p w14:paraId="52C2723E" w14:textId="77777777" w:rsidR="0026661E" w:rsidRPr="00884530" w:rsidRDefault="0026661E" w:rsidP="0083695D">
      <w:pPr>
        <w:rPr>
          <w:sz w:val="24"/>
          <w:szCs w:val="24"/>
          <w:shd w:val="clear" w:color="auto" w:fill="FFFFFF"/>
        </w:rPr>
      </w:pPr>
    </w:p>
    <w:p w14:paraId="08A5841A" w14:textId="77777777" w:rsidR="006615FA" w:rsidRPr="00884530" w:rsidRDefault="007C5B70" w:rsidP="00321A5C">
      <w:pPr>
        <w:ind w:firstLine="720"/>
        <w:rPr>
          <w:sz w:val="24"/>
          <w:szCs w:val="24"/>
          <w:shd w:val="clear" w:color="auto" w:fill="FFFFFF"/>
        </w:rPr>
      </w:pPr>
      <w:r>
        <w:rPr>
          <w:sz w:val="24"/>
          <w:szCs w:val="24"/>
          <w:shd w:val="clear" w:color="auto" w:fill="FFFFFF"/>
        </w:rPr>
        <w:t>The revisions to this information collection do</w:t>
      </w:r>
      <w:r w:rsidR="006615FA" w:rsidRPr="00884530">
        <w:rPr>
          <w:sz w:val="24"/>
          <w:szCs w:val="24"/>
          <w:shd w:val="clear" w:color="auto" w:fill="FFFFFF"/>
        </w:rPr>
        <w:t xml:space="preserve"> not employ any statistical methods.</w:t>
      </w:r>
    </w:p>
    <w:p w14:paraId="50C9892D" w14:textId="77777777" w:rsidR="00D42FF3" w:rsidRPr="00884530" w:rsidRDefault="00D42FF3" w:rsidP="0083695D">
      <w:pPr>
        <w:rPr>
          <w:sz w:val="24"/>
          <w:szCs w:val="24"/>
        </w:rPr>
      </w:pPr>
    </w:p>
    <w:sectPr w:rsidR="00D42FF3" w:rsidRPr="00884530" w:rsidSect="006615FA">
      <w:headerReference w:type="default" r:id="rId8"/>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F128C" w14:textId="77777777" w:rsidR="00F61319" w:rsidRDefault="00F61319">
      <w:r>
        <w:separator/>
      </w:r>
    </w:p>
  </w:endnote>
  <w:endnote w:type="continuationSeparator" w:id="0">
    <w:p w14:paraId="12F61CF8" w14:textId="77777777" w:rsidR="00F61319" w:rsidRDefault="00F6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574C6" w14:textId="77777777" w:rsidR="00CE175F" w:rsidRDefault="00CE175F" w:rsidP="006615FA">
    <w:pPr>
      <w:pStyle w:val="Footer"/>
      <w:jc w:val="center"/>
    </w:pPr>
    <w:r>
      <w:rPr>
        <w:rStyle w:val="PageNumber"/>
      </w:rPr>
      <w:fldChar w:fldCharType="begin"/>
    </w:r>
    <w:r>
      <w:rPr>
        <w:rStyle w:val="PageNumber"/>
      </w:rPr>
      <w:instrText xml:space="preserve"> PAGE </w:instrText>
    </w:r>
    <w:r>
      <w:rPr>
        <w:rStyle w:val="PageNumber"/>
      </w:rPr>
      <w:fldChar w:fldCharType="separate"/>
    </w:r>
    <w:r w:rsidR="00851EFB">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BE1E6" w14:textId="77777777" w:rsidR="00F61319" w:rsidRDefault="00F61319">
      <w:r>
        <w:separator/>
      </w:r>
    </w:p>
  </w:footnote>
  <w:footnote w:type="continuationSeparator" w:id="0">
    <w:p w14:paraId="00211D1A" w14:textId="77777777" w:rsidR="00F61319" w:rsidRDefault="00F61319">
      <w:r>
        <w:continuationSeparator/>
      </w:r>
    </w:p>
  </w:footnote>
  <w:footnote w:id="1">
    <w:p w14:paraId="09D54D03" w14:textId="32BADEC3" w:rsidR="00CE175F" w:rsidRDefault="00CE175F" w:rsidP="00295C97">
      <w:pPr>
        <w:pStyle w:val="FootnoteText"/>
        <w:spacing w:after="120"/>
      </w:pPr>
      <w:r>
        <w:rPr>
          <w:rStyle w:val="FootnoteReference"/>
        </w:rPr>
        <w:footnoteRef/>
      </w:r>
      <w:r>
        <w:t xml:space="preserve"> </w:t>
      </w:r>
      <w:r w:rsidRPr="00A317D9">
        <w:rPr>
          <w:i/>
        </w:rPr>
        <w:t>See</w:t>
      </w:r>
      <w:r>
        <w:t xml:space="preserve"> </w:t>
      </w:r>
      <w:r w:rsidRPr="00AD3FDC">
        <w:rPr>
          <w:i/>
        </w:rPr>
        <w:t>Amendments to Part 4 of the Commission’s Rules Concerning Disruptions to Communications; New Part of the Commission’s Rules Concerning Disruptions to Communications, The Proposed Extension of Part 4 of the Commission’s Rules Regarding Outage Reporting  to Interconnected Voice Over Internet Protocol Service Providers and Broadband Internet Service Providers</w:t>
      </w:r>
      <w:r>
        <w:t>, PS Docket Nos. 15-80 and 11-82,</w:t>
      </w:r>
      <w:r w:rsidRPr="00DA7C31">
        <w:t xml:space="preserve"> ET Docket No. 04-35, Report and Order</w:t>
      </w:r>
      <w:r>
        <w:t>, Order on Reconsideration, and Further Notice of Proposed Rulemaking</w:t>
      </w:r>
      <w:r w:rsidRPr="00DA7C31">
        <w:t xml:space="preserve">, </w:t>
      </w:r>
      <w:r w:rsidRPr="00BA7E13">
        <w:t>31 FCC Rcd 5817</w:t>
      </w:r>
      <w:r w:rsidRPr="00DA7C31">
        <w:t xml:space="preserve"> (</w:t>
      </w:r>
      <w:r>
        <w:t>2016</w:t>
      </w:r>
      <w:r w:rsidRPr="00DA7C31">
        <w:t>) (</w:t>
      </w:r>
      <w:r>
        <w:rPr>
          <w:i/>
        </w:rPr>
        <w:t>Part 4 Report and Order and Order on Reconsideration</w:t>
      </w:r>
      <w:r w:rsidRPr="00DA7C31">
        <w:t>).</w:t>
      </w:r>
      <w:r>
        <w:t xml:space="preserve"> </w:t>
      </w:r>
    </w:p>
  </w:footnote>
  <w:footnote w:id="2">
    <w:p w14:paraId="54BAE0BE" w14:textId="113D9A9D" w:rsidR="00CE175F" w:rsidRPr="00884530" w:rsidRDefault="00CE175F" w:rsidP="008C31D3">
      <w:pPr>
        <w:pStyle w:val="FootnoteText"/>
        <w:spacing w:after="120"/>
      </w:pPr>
      <w:r w:rsidRPr="00884530">
        <w:rPr>
          <w:rStyle w:val="FootnoteReference"/>
        </w:rPr>
        <w:footnoteRef/>
      </w:r>
      <w:r w:rsidRPr="00884530">
        <w:t xml:space="preserve"> </w:t>
      </w:r>
      <w:r w:rsidRPr="008C31D3">
        <w:t xml:space="preserve">Since 1992, the </w:t>
      </w:r>
      <w:r>
        <w:t>Commission</w:t>
      </w:r>
      <w:r w:rsidRPr="008C31D3">
        <w:t xml:space="preserve"> has required telecommunications carriers (other than cellular and satellite providers) to report significant disruptions to voice and paging communications services.  </w:t>
      </w:r>
      <w:r w:rsidRPr="00884530">
        <w:rPr>
          <w:i/>
        </w:rPr>
        <w:t>See</w:t>
      </w:r>
      <w:r w:rsidRPr="00884530">
        <w:t xml:space="preserve"> former 47 C.F.R. Section 63.100 (2003) (first adopted in 1992).  </w:t>
      </w:r>
      <w:r w:rsidRPr="00884530">
        <w:rPr>
          <w:i/>
        </w:rPr>
        <w:t>See</w:t>
      </w:r>
      <w:r w:rsidRPr="00884530">
        <w:t xml:space="preserve"> </w:t>
      </w:r>
      <w:r w:rsidRPr="00AD3FDC">
        <w:rPr>
          <w:i/>
        </w:rPr>
        <w:t>In the Matter of Notification by Common Carriers of Service Disruptions</w:t>
      </w:r>
      <w:r w:rsidRPr="00884530">
        <w:t xml:space="preserve">, CC Docket No. 91-273, </w:t>
      </w:r>
      <w:r w:rsidRPr="00AD3FDC">
        <w:t>Report and Order</w:t>
      </w:r>
      <w:r w:rsidRPr="00884530">
        <w:t xml:space="preserve">, 7 FCC Rcd 2010 (1992); </w:t>
      </w:r>
      <w:r w:rsidRPr="00AD3FDC">
        <w:rPr>
          <w:i/>
        </w:rPr>
        <w:t>Amendment Of Part 63 Of The Commission's Rules To Provide For Notification By Common Carriers Of Service Disruptions</w:t>
      </w:r>
      <w:r>
        <w:t xml:space="preserve">, CC Docket No. 91-273, </w:t>
      </w:r>
      <w:r w:rsidRPr="00767562">
        <w:t>Memorandum Opinion and Order and Further Report and Order of Proposed Rulemaking</w:t>
      </w:r>
      <w:r w:rsidRPr="00884530">
        <w:t xml:space="preserve">, 8 FCC Rcd 8517 (1993); </w:t>
      </w:r>
      <w:r w:rsidRPr="00767562">
        <w:rPr>
          <w:i/>
        </w:rPr>
        <w:t>Amendment Of Part 63 Of The Commission's Rules To Provide For Notification By Common Carriers Of Service Disruptions</w:t>
      </w:r>
      <w:r>
        <w:t xml:space="preserve">, CC Docket No. 91-273, </w:t>
      </w:r>
      <w:r w:rsidRPr="00767562">
        <w:t>Second Report and Order</w:t>
      </w:r>
      <w:r w:rsidRPr="00884530">
        <w:t>, 9 FCC Rcd 3911 (1994);</w:t>
      </w:r>
      <w:r w:rsidRPr="00884530">
        <w:rPr>
          <w:i/>
        </w:rPr>
        <w:t xml:space="preserve"> </w:t>
      </w:r>
      <w:r w:rsidRPr="00767562">
        <w:rPr>
          <w:i/>
        </w:rPr>
        <w:t>Amendment Of Part 63 Of The Commission's Rules To Provide For Notification By Common Carriers Of Service Disruptions</w:t>
      </w:r>
      <w:r w:rsidRPr="00767562">
        <w:t xml:space="preserve">, </w:t>
      </w:r>
      <w:r>
        <w:t xml:space="preserve">CC Docket No. 91-273, </w:t>
      </w:r>
      <w:r w:rsidRPr="00767562">
        <w:t>Order on Reconsideration</w:t>
      </w:r>
      <w:r w:rsidRPr="00884530">
        <w:t xml:space="preserve">, 10 FCC Rcd 11764 (1995). </w:t>
      </w:r>
    </w:p>
  </w:footnote>
  <w:footnote w:id="3">
    <w:p w14:paraId="07DFCF5A" w14:textId="283BD31F" w:rsidR="00CE175F" w:rsidRPr="00884530" w:rsidRDefault="00CE175F" w:rsidP="00295C97">
      <w:pPr>
        <w:pStyle w:val="FootnoteText"/>
        <w:spacing w:after="120"/>
        <w:rPr>
          <w:i/>
        </w:rPr>
      </w:pPr>
      <w:r w:rsidRPr="00884530">
        <w:rPr>
          <w:rStyle w:val="FootnoteReference"/>
        </w:rPr>
        <w:footnoteRef/>
      </w:r>
      <w:r w:rsidRPr="00884530">
        <w:t xml:space="preserve"> </w:t>
      </w:r>
      <w:r w:rsidRPr="00884530">
        <w:rPr>
          <w:i/>
        </w:rPr>
        <w:t>See</w:t>
      </w:r>
      <w:r w:rsidRPr="00884530">
        <w:t xml:space="preserve"> </w:t>
      </w:r>
      <w:r w:rsidRPr="00767562">
        <w:rPr>
          <w:i/>
          <w:shd w:val="clear" w:color="auto" w:fill="FFFFFF"/>
        </w:rPr>
        <w:t>New Part 4 of the Commission’s Rules Concerning Disruptions to Communications</w:t>
      </w:r>
      <w:r w:rsidRPr="00884530">
        <w:rPr>
          <w:shd w:val="clear" w:color="auto" w:fill="FFFFFF"/>
        </w:rPr>
        <w:t xml:space="preserve">, ET Docket No. 04-35, </w:t>
      </w:r>
      <w:r w:rsidRPr="00767562">
        <w:rPr>
          <w:shd w:val="clear" w:color="auto" w:fill="FFFFFF"/>
        </w:rPr>
        <w:t>Report and Order and Further Report and Order of Proposed Rulemaking</w:t>
      </w:r>
      <w:r w:rsidRPr="00884530">
        <w:rPr>
          <w:shd w:val="clear" w:color="auto" w:fill="FFFFFF"/>
        </w:rPr>
        <w:t>, 19 FCC Rcd 16830 (2004) (</w:t>
      </w:r>
      <w:r w:rsidRPr="00884530">
        <w:rPr>
          <w:i/>
          <w:shd w:val="clear" w:color="auto" w:fill="FFFFFF"/>
        </w:rPr>
        <w:t>Part 4 Order</w:t>
      </w:r>
      <w:r w:rsidRPr="00884530">
        <w:rPr>
          <w:shd w:val="clear" w:color="auto" w:fill="FFFFFF"/>
        </w:rPr>
        <w:t>).</w:t>
      </w:r>
    </w:p>
  </w:footnote>
  <w:footnote w:id="4">
    <w:p w14:paraId="302262B9" w14:textId="77777777" w:rsidR="00CE175F" w:rsidRPr="00884530" w:rsidRDefault="00CE175F" w:rsidP="00295C97">
      <w:pPr>
        <w:pStyle w:val="FootnoteText"/>
        <w:spacing w:after="120"/>
      </w:pPr>
      <w:r w:rsidRPr="00884530">
        <w:rPr>
          <w:rStyle w:val="FootnoteReference"/>
        </w:rPr>
        <w:footnoteRef/>
      </w:r>
      <w:r w:rsidRPr="00884530">
        <w:t xml:space="preserve"> 47 C.F.R. Part 4.</w:t>
      </w:r>
    </w:p>
  </w:footnote>
  <w:footnote w:id="5">
    <w:p w14:paraId="3232216F" w14:textId="17F15B2D" w:rsidR="00CE175F" w:rsidRPr="00884530" w:rsidRDefault="00CE175F" w:rsidP="00295C97">
      <w:pPr>
        <w:pStyle w:val="FootnoteText"/>
        <w:spacing w:after="120"/>
      </w:pPr>
      <w:r w:rsidRPr="00884530">
        <w:rPr>
          <w:rStyle w:val="FootnoteReference"/>
        </w:rPr>
        <w:footnoteRef/>
      </w:r>
      <w:r w:rsidRPr="00884530">
        <w:t xml:space="preserve"> </w:t>
      </w:r>
      <w:r w:rsidRPr="00884530">
        <w:rPr>
          <w:i/>
        </w:rPr>
        <w:t xml:space="preserve">See </w:t>
      </w:r>
      <w:r w:rsidRPr="001C2B88">
        <w:rPr>
          <w:i/>
        </w:rPr>
        <w:t>Proposed Extension of Part 4 of the Commission’s Rules Regarding Outage Reporting to Interconnected Voice Over Internet Protocol Service Providers and Broadband Internet Service Providers</w:t>
      </w:r>
      <w:r w:rsidRPr="00884530">
        <w:t xml:space="preserve">, PS Docket No. 11-82, </w:t>
      </w:r>
      <w:r w:rsidRPr="001C2B88">
        <w:t>Report and Order</w:t>
      </w:r>
      <w:r w:rsidRPr="00884530">
        <w:t>, 27 FCC Rcd 2650 (2012).</w:t>
      </w:r>
    </w:p>
  </w:footnote>
  <w:footnote w:id="6">
    <w:p w14:paraId="48396B14" w14:textId="3C014D64" w:rsidR="00CE175F" w:rsidRDefault="00CE175F" w:rsidP="00C75482">
      <w:pPr>
        <w:pStyle w:val="FootnoteText"/>
        <w:spacing w:after="120"/>
      </w:pPr>
      <w:r>
        <w:rPr>
          <w:rStyle w:val="FootnoteReference"/>
        </w:rPr>
        <w:footnoteRef/>
      </w:r>
      <w:r>
        <w:t xml:space="preserve"> </w:t>
      </w:r>
      <w:r w:rsidRPr="00A317D9">
        <w:rPr>
          <w:i/>
        </w:rPr>
        <w:t>See, e.g.</w:t>
      </w:r>
      <w:r>
        <w:t xml:space="preserve">, </w:t>
      </w:r>
      <w:r w:rsidRPr="008D2C1C">
        <w:rPr>
          <w:i/>
        </w:rPr>
        <w:t>Supporting Statement, OMB Control No. 3060-0484, Section 4.9, Part 4 of the Commission’s Rules Concerning Disruptions to Communications</w:t>
      </w:r>
      <w:r>
        <w:t xml:space="preserve"> at 3 (</w:t>
      </w:r>
      <w:r w:rsidR="00BF0BB2">
        <w:t>August</w:t>
      </w:r>
      <w:r>
        <w:t xml:space="preserve"> 2014) (</w:t>
      </w:r>
      <w:r w:rsidRPr="00EA7670">
        <w:rPr>
          <w:i/>
        </w:rPr>
        <w:t>2014 Supporting Statement</w:t>
      </w:r>
      <w:r>
        <w:t>).</w:t>
      </w:r>
    </w:p>
  </w:footnote>
  <w:footnote w:id="7">
    <w:p w14:paraId="5DCDAA3E" w14:textId="0C8721D4" w:rsidR="00CE175F" w:rsidRPr="003C2193" w:rsidRDefault="00CE175F">
      <w:pPr>
        <w:pStyle w:val="FootnoteText"/>
        <w:spacing w:after="120"/>
        <w:rPr>
          <w:i/>
        </w:rPr>
      </w:pPr>
      <w:r w:rsidRPr="00884530">
        <w:rPr>
          <w:rStyle w:val="FootnoteReference"/>
        </w:rPr>
        <w:footnoteRef/>
      </w:r>
      <w:r w:rsidRPr="00884530">
        <w:t xml:space="preserve">  </w:t>
      </w:r>
      <w:r w:rsidRPr="00620B97">
        <w:rPr>
          <w:i/>
        </w:rPr>
        <w:t>See</w:t>
      </w:r>
      <w:r w:rsidRPr="00620B97">
        <w:t xml:space="preserve"> 47 C.F.R. 4.11.  Network Outage Reporting System Portal, </w:t>
      </w:r>
      <w:hyperlink r:id="rId1" w:history="1">
        <w:r w:rsidR="00620B97" w:rsidRPr="00F732B2">
          <w:rPr>
            <w:rStyle w:val="Hyperlink"/>
          </w:rPr>
          <w:t>https://www.fcc.gov/network-outage-reporting-system-nors</w:t>
        </w:r>
      </w:hyperlink>
      <w:r w:rsidRPr="00620B97">
        <w:t xml:space="preserve"> (last accessed </w:t>
      </w:r>
      <w:r w:rsidR="00620B97">
        <w:t>Nov.</w:t>
      </w:r>
      <w:r w:rsidRPr="00620B97">
        <w:t xml:space="preserve"> </w:t>
      </w:r>
      <w:r w:rsidR="00620B97">
        <w:t>21</w:t>
      </w:r>
      <w:r w:rsidRPr="00620B97">
        <w:t xml:space="preserve">, 2016).  </w:t>
      </w:r>
      <w:r w:rsidRPr="00620B97">
        <w:rPr>
          <w:shd w:val="clear" w:color="auto" w:fill="FFFFFF"/>
        </w:rPr>
        <w:t xml:space="preserve">In the event of technical impediments to using the Web-based system, written notifications, initial reports, or final reports may be submitted to the Commission by email, fax, courier, or U.S. mail.  </w:t>
      </w:r>
      <w:r w:rsidRPr="00620B97">
        <w:rPr>
          <w:i/>
          <w:shd w:val="clear" w:color="auto" w:fill="FFFFFF"/>
        </w:rPr>
        <w:t xml:space="preserve">See </w:t>
      </w:r>
      <w:r w:rsidRPr="00620B97">
        <w:t xml:space="preserve">47 C.F.R. 4.11; </w:t>
      </w:r>
      <w:r w:rsidRPr="00620B97">
        <w:rPr>
          <w:i/>
        </w:rPr>
        <w:t>New Part 4 of the Commission’s rules Concerning Disruptions to Communications</w:t>
      </w:r>
      <w:r w:rsidRPr="00620B97">
        <w:t>, ET Docket No. 04-35, Report and Order and Further Notice of Proposed Rulemaking, 19 FCC Rcd 16830, 16871-72, para. 75 (2004).</w:t>
      </w:r>
    </w:p>
  </w:footnote>
  <w:footnote w:id="8">
    <w:p w14:paraId="3608ED68" w14:textId="0A178D31" w:rsidR="00CE175F" w:rsidRDefault="00CE175F">
      <w:pPr>
        <w:pStyle w:val="FootnoteText"/>
        <w:spacing w:after="120"/>
      </w:pPr>
      <w:r>
        <w:rPr>
          <w:rStyle w:val="FootnoteReference"/>
        </w:rPr>
        <w:footnoteRef/>
      </w:r>
      <w:r>
        <w:t xml:space="preserve"> </w:t>
      </w:r>
      <w:r>
        <w:rPr>
          <w:i/>
        </w:rPr>
        <w:t>Part 4 Report and Order and Order on Reconsideration</w:t>
      </w:r>
      <w:r>
        <w:t xml:space="preserve">, </w:t>
      </w:r>
      <w:r w:rsidRPr="00C84B81">
        <w:t xml:space="preserve">31 FCC Rcd </w:t>
      </w:r>
      <w:r>
        <w:t>at 5920, app. D, para. 18.</w:t>
      </w:r>
    </w:p>
  </w:footnote>
  <w:footnote w:id="9">
    <w:p w14:paraId="20E5DBE2" w14:textId="0FC43047" w:rsidR="00CE175F" w:rsidRDefault="00CE175F">
      <w:pPr>
        <w:pStyle w:val="FootnoteText"/>
      </w:pPr>
      <w:r>
        <w:rPr>
          <w:rStyle w:val="FootnoteReference"/>
        </w:rPr>
        <w:footnoteRef/>
      </w:r>
      <w:r>
        <w:t xml:space="preserve"> </w:t>
      </w:r>
      <w:r>
        <w:rPr>
          <w:i/>
        </w:rPr>
        <w:t>Part 4 Report and Order and Order on Reconsideration</w:t>
      </w:r>
      <w:r>
        <w:t>, 31 FCC Rcd at 5839, para. 53.</w:t>
      </w:r>
    </w:p>
    <w:p w14:paraId="37021198" w14:textId="77777777" w:rsidR="001856ED" w:rsidRDefault="001856ED">
      <w:pPr>
        <w:pStyle w:val="FootnoteText"/>
      </w:pPr>
    </w:p>
  </w:footnote>
  <w:footnote w:id="10">
    <w:p w14:paraId="0F88834E" w14:textId="77777777" w:rsidR="00CE175F" w:rsidRPr="00884530" w:rsidRDefault="00CE175F">
      <w:pPr>
        <w:pStyle w:val="FootnoteText"/>
        <w:spacing w:after="120"/>
      </w:pPr>
      <w:r w:rsidRPr="00884530">
        <w:rPr>
          <w:rStyle w:val="FootnoteReference"/>
        </w:rPr>
        <w:footnoteRef/>
      </w:r>
      <w:r w:rsidRPr="00884530">
        <w:t xml:space="preserve"> 47 U.S.C. § 151.</w:t>
      </w:r>
    </w:p>
  </w:footnote>
  <w:footnote w:id="11">
    <w:p w14:paraId="0321F69F" w14:textId="77777777" w:rsidR="00CE175F" w:rsidRPr="00884530" w:rsidRDefault="00CE175F">
      <w:pPr>
        <w:pStyle w:val="FootnoteText"/>
        <w:spacing w:after="120"/>
      </w:pPr>
      <w:r w:rsidRPr="00884530">
        <w:rPr>
          <w:rStyle w:val="FootnoteReference"/>
        </w:rPr>
        <w:footnoteRef/>
      </w:r>
      <w:r w:rsidRPr="00884530">
        <w:t xml:space="preserve"> 47 U.S.C. § 251(e)(3).</w:t>
      </w:r>
    </w:p>
  </w:footnote>
  <w:footnote w:id="12">
    <w:p w14:paraId="48FED67A" w14:textId="486E3E21" w:rsidR="00CE175F" w:rsidRPr="00884530" w:rsidRDefault="00CE175F">
      <w:pPr>
        <w:pStyle w:val="FootnoteText"/>
        <w:spacing w:after="120"/>
      </w:pPr>
      <w:r w:rsidRPr="00884530">
        <w:rPr>
          <w:rStyle w:val="FootnoteReference"/>
        </w:rPr>
        <w:footnoteRef/>
      </w:r>
      <w:r w:rsidRPr="00884530">
        <w:t xml:space="preserve"> 47 U.S.C. § 201(b).  </w:t>
      </w:r>
      <w:r w:rsidRPr="00884530">
        <w:rPr>
          <w:i/>
        </w:rPr>
        <w:t>See also</w:t>
      </w:r>
      <w:r w:rsidRPr="00884530">
        <w:t xml:space="preserve"> IP-Enabled Services; E911 Requirements for IP-Enabled Service Providers, </w:t>
      </w:r>
      <w:r w:rsidRPr="00884530">
        <w:rPr>
          <w:i/>
        </w:rPr>
        <w:t xml:space="preserve">First Report and Order and </w:t>
      </w:r>
      <w:r>
        <w:rPr>
          <w:i/>
        </w:rPr>
        <w:t>Report and Order</w:t>
      </w:r>
      <w:r w:rsidRPr="00884530">
        <w:rPr>
          <w:i/>
        </w:rPr>
        <w:t xml:space="preserve"> of Proposed Rulemaking</w:t>
      </w:r>
      <w:r w:rsidRPr="00884530">
        <w:t>, 20 FCC Rcd 10245 ¶ 34 (2005)</w:t>
      </w:r>
      <w:r w:rsidRPr="00884530">
        <w:rPr>
          <w:i/>
        </w:rPr>
        <w:t xml:space="preserve">, aff’d sub nom. Nuvio Corp. v. FCC, </w:t>
      </w:r>
      <w:r w:rsidRPr="00884530">
        <w:t>473 F.3d 302 (D.C. Cir. 2007) (</w:t>
      </w:r>
      <w:r w:rsidRPr="00884530">
        <w:rPr>
          <w:i/>
        </w:rPr>
        <w:t>VoIP 911 Order</w:t>
      </w:r>
      <w:r w:rsidRPr="00884530">
        <w:t>) (recognizing plenary authority under Section 251(e) to require “network changes” needed to ensure safe, reliable, nationwide 911 system).</w:t>
      </w:r>
    </w:p>
  </w:footnote>
  <w:footnote w:id="13">
    <w:p w14:paraId="3BCCB12D" w14:textId="1785ED66" w:rsidR="00CE175F" w:rsidRDefault="00CE175F">
      <w:pPr>
        <w:pStyle w:val="FootnoteText"/>
      </w:pPr>
      <w:r>
        <w:rPr>
          <w:rStyle w:val="FootnoteReference"/>
        </w:rPr>
        <w:footnoteRef/>
      </w:r>
      <w:r>
        <w:t xml:space="preserve"> </w:t>
      </w:r>
      <w:r>
        <w:rPr>
          <w:i/>
        </w:rPr>
        <w:t>Part 4 Report and Order and Order on Reconsideration</w:t>
      </w:r>
      <w:r>
        <w:t>, 31 FCC Rcd at 5821, para. 10.</w:t>
      </w:r>
    </w:p>
    <w:p w14:paraId="6569B93A" w14:textId="77777777" w:rsidR="001856ED" w:rsidRDefault="001856ED">
      <w:pPr>
        <w:pStyle w:val="FootnoteText"/>
      </w:pPr>
    </w:p>
  </w:footnote>
  <w:footnote w:id="14">
    <w:p w14:paraId="79FC10CC" w14:textId="427B2208" w:rsidR="00CE175F" w:rsidRDefault="00CE175F">
      <w:pPr>
        <w:pStyle w:val="FootnoteText"/>
      </w:pPr>
      <w:r>
        <w:rPr>
          <w:rStyle w:val="FootnoteReference"/>
        </w:rPr>
        <w:footnoteRef/>
      </w:r>
      <w:r>
        <w:t xml:space="preserve"> </w:t>
      </w:r>
      <w:r>
        <w:rPr>
          <w:i/>
        </w:rPr>
        <w:t>Part 4 Report and Order and Order on Reconsideration</w:t>
      </w:r>
      <w:r>
        <w:t>, 31 FCC Rcd at 5822-23, paras. 11-12, and n. 22.</w:t>
      </w:r>
    </w:p>
  </w:footnote>
  <w:footnote w:id="15">
    <w:p w14:paraId="32882D50" w14:textId="0C83871C" w:rsidR="00CE175F" w:rsidRPr="00884530" w:rsidRDefault="00CE175F">
      <w:pPr>
        <w:pStyle w:val="FootnoteText"/>
        <w:spacing w:after="120"/>
      </w:pPr>
      <w:r w:rsidRPr="00884530">
        <w:rPr>
          <w:rStyle w:val="FootnoteReference"/>
        </w:rPr>
        <w:footnoteRef/>
      </w:r>
      <w:r w:rsidRPr="00884530">
        <w:t xml:space="preserve"> </w:t>
      </w:r>
      <w:r w:rsidRPr="00884530">
        <w:rPr>
          <w:i/>
        </w:rPr>
        <w:t>See</w:t>
      </w:r>
      <w:r w:rsidRPr="00884530">
        <w:t xml:space="preserve"> 47 C.F.R. 4.2.</w:t>
      </w:r>
    </w:p>
  </w:footnote>
  <w:footnote w:id="16">
    <w:p w14:paraId="6977211C" w14:textId="15D0A3D3" w:rsidR="00CE175F" w:rsidRDefault="00CE175F">
      <w:pPr>
        <w:pStyle w:val="FootnoteText"/>
        <w:spacing w:after="120"/>
      </w:pPr>
      <w:r>
        <w:rPr>
          <w:rStyle w:val="FootnoteReference"/>
        </w:rPr>
        <w:footnoteRef/>
      </w:r>
      <w:r>
        <w:t xml:space="preserve"> </w:t>
      </w:r>
      <w:r>
        <w:rPr>
          <w:i/>
        </w:rPr>
        <w:t xml:space="preserve">See </w:t>
      </w:r>
      <w:r w:rsidR="00BF0BB2" w:rsidRPr="000C7EE2">
        <w:rPr>
          <w:i/>
        </w:rPr>
        <w:t>2014 Supporting Statement</w:t>
      </w:r>
      <w:r w:rsidR="00BF0BB2">
        <w:t xml:space="preserve"> at 8-9</w:t>
      </w:r>
      <w:r>
        <w:t>.</w:t>
      </w:r>
    </w:p>
  </w:footnote>
  <w:footnote w:id="17">
    <w:p w14:paraId="1A3E160D" w14:textId="332B7320" w:rsidR="00CE175F" w:rsidRDefault="00CE175F">
      <w:pPr>
        <w:pStyle w:val="FootnoteText"/>
        <w:spacing w:after="120"/>
      </w:pPr>
      <w:r>
        <w:rPr>
          <w:rStyle w:val="FootnoteReference"/>
        </w:rPr>
        <w:footnoteRef/>
      </w:r>
      <w:r>
        <w:t xml:space="preserve"> </w:t>
      </w:r>
      <w:r>
        <w:rPr>
          <w:i/>
        </w:rPr>
        <w:t xml:space="preserve">See </w:t>
      </w:r>
      <w:r w:rsidRPr="000C7EE2">
        <w:rPr>
          <w:i/>
        </w:rPr>
        <w:t>2014 Supporting Statement</w:t>
      </w:r>
      <w:r>
        <w:t xml:space="preserve"> at 9.</w:t>
      </w:r>
    </w:p>
  </w:footnote>
  <w:footnote w:id="18">
    <w:p w14:paraId="5AE0B342" w14:textId="590399AF" w:rsidR="00CE175F" w:rsidRDefault="00CE175F">
      <w:pPr>
        <w:pStyle w:val="FootnoteText"/>
        <w:spacing w:after="120"/>
      </w:pPr>
      <w:r>
        <w:rPr>
          <w:rStyle w:val="FootnoteReference"/>
        </w:rPr>
        <w:footnoteRef/>
      </w:r>
      <w:r>
        <w:t xml:space="preserve"> </w:t>
      </w:r>
      <w:r w:rsidRPr="00A317D9">
        <w:rPr>
          <w:i/>
        </w:rPr>
        <w:t>See</w:t>
      </w:r>
      <w:r>
        <w:t xml:space="preserve"> </w:t>
      </w:r>
      <w:r>
        <w:rPr>
          <w:i/>
        </w:rPr>
        <w:t>Part 4 Report and Order and Order on Reconsideration</w:t>
      </w:r>
      <w:r>
        <w:t>, 31 FCC Rcd at 5854-55, para. 90, note 273 (“[t]</w:t>
      </w:r>
      <w:r w:rsidRPr="00043C44">
        <w:t>he combined estimated impact of this Order will be to raise the number of reports by 520, while</w:t>
      </w:r>
      <w:r>
        <w:t xml:space="preserve"> </w:t>
      </w:r>
      <w:r w:rsidRPr="00043C44">
        <w:t>simultaneously reducing the number of reports by 2,952, for a net decrease of 2,432 reports per year.</w:t>
      </w:r>
      <w:r>
        <w:t>”).</w:t>
      </w:r>
    </w:p>
  </w:footnote>
  <w:footnote w:id="19">
    <w:p w14:paraId="716971D4" w14:textId="0F6397CF" w:rsidR="00F27C18" w:rsidRDefault="00F27C18">
      <w:pPr>
        <w:pStyle w:val="FootnoteText"/>
      </w:pPr>
      <w:r>
        <w:rPr>
          <w:rStyle w:val="FootnoteReference"/>
        </w:rPr>
        <w:footnoteRef/>
      </w:r>
      <w:r>
        <w:t xml:space="preserve"> 15,444 – 2,432 = 13,012.</w:t>
      </w:r>
    </w:p>
  </w:footnote>
  <w:footnote w:id="20">
    <w:p w14:paraId="42545DB9" w14:textId="11768367" w:rsidR="00CE175F" w:rsidRPr="0089375D" w:rsidRDefault="00CE175F" w:rsidP="007C0600">
      <w:pPr>
        <w:pStyle w:val="FootnoteText"/>
        <w:spacing w:after="120"/>
      </w:pPr>
      <w:r>
        <w:rPr>
          <w:rStyle w:val="FootnoteReference"/>
        </w:rPr>
        <w:footnoteRef/>
      </w:r>
      <w:r>
        <w:t xml:space="preserve"> </w:t>
      </w:r>
      <w:r w:rsidRPr="00A6403D">
        <w:rPr>
          <w:i/>
        </w:rPr>
        <w:t xml:space="preserve">See </w:t>
      </w:r>
      <w:r w:rsidR="004512F1">
        <w:rPr>
          <w:i/>
        </w:rPr>
        <w:t>Part 4 Report and Order and Order on Reconsideration</w:t>
      </w:r>
      <w:r w:rsidR="004512F1">
        <w:t>, 31 FCC Rcd at 5854-55, para. 90, note 273</w:t>
      </w:r>
      <w:r>
        <w:t xml:space="preserve">; </w:t>
      </w:r>
      <w:r>
        <w:rPr>
          <w:i/>
        </w:rPr>
        <w:t>see also</w:t>
      </w:r>
      <w:r>
        <w:t xml:space="preserve"> </w:t>
      </w:r>
      <w:r w:rsidRPr="000C7EE2">
        <w:rPr>
          <w:i/>
        </w:rPr>
        <w:t xml:space="preserve">Supporting Statement, OMB Control No. 3060-0484, </w:t>
      </w:r>
      <w:r w:rsidRPr="0089375D">
        <w:rPr>
          <w:i/>
        </w:rPr>
        <w:t>Section 4.9, Part 4 of the Commission's Rules Concerning Disruptions to Communications</w:t>
      </w:r>
      <w:r>
        <w:t>, at 7 (June 2015) (</w:t>
      </w:r>
      <w:r>
        <w:rPr>
          <w:i/>
        </w:rPr>
        <w:t>2015</w:t>
      </w:r>
      <w:r w:rsidRPr="000C7EE2">
        <w:rPr>
          <w:i/>
        </w:rPr>
        <w:t xml:space="preserve"> Supporting Statement</w:t>
      </w:r>
      <w:r>
        <w:t>).</w:t>
      </w:r>
    </w:p>
  </w:footnote>
  <w:footnote w:id="21">
    <w:p w14:paraId="23F3CB13" w14:textId="4337DDD4" w:rsidR="001856ED" w:rsidRDefault="00CE175F">
      <w:pPr>
        <w:pStyle w:val="FootnoteText"/>
      </w:pPr>
      <w:r>
        <w:rPr>
          <w:rStyle w:val="FootnoteReference"/>
        </w:rPr>
        <w:footnoteRef/>
      </w:r>
      <w:r>
        <w:t xml:space="preserve"> The Commission adopts a modified requirement from the originally proposed change; 96 hours instead of 48 hours.  </w:t>
      </w:r>
      <w:r>
        <w:rPr>
          <w:i/>
        </w:rPr>
        <w:t>See Part 4 Report and Order and Order on Reconsideration</w:t>
      </w:r>
      <w:r>
        <w:t>, 31 FCC Rcd at 5828-30</w:t>
      </w:r>
      <w:r w:rsidR="004512F1">
        <w:t>, 5854-55</w:t>
      </w:r>
      <w:r>
        <w:t>, paras. 24, 26-29</w:t>
      </w:r>
      <w:r w:rsidR="004512F1">
        <w:t>, 90, note 273</w:t>
      </w:r>
      <w:r>
        <w:t>.</w:t>
      </w:r>
    </w:p>
    <w:p w14:paraId="72AC2B28" w14:textId="5A402513" w:rsidR="00CE175F" w:rsidRPr="00E77F39" w:rsidRDefault="00CE175F">
      <w:pPr>
        <w:pStyle w:val="FootnoteText"/>
      </w:pPr>
    </w:p>
  </w:footnote>
  <w:footnote w:id="22">
    <w:p w14:paraId="0BCABC84" w14:textId="3ACA17B0" w:rsidR="00CE175F" w:rsidRDefault="00CE175F" w:rsidP="0089375D">
      <w:pPr>
        <w:pStyle w:val="FootnoteText"/>
        <w:spacing w:after="120"/>
      </w:pPr>
      <w:r>
        <w:rPr>
          <w:rStyle w:val="FootnoteReference"/>
        </w:rPr>
        <w:footnoteRef/>
      </w:r>
      <w:r>
        <w:t xml:space="preserve"> </w:t>
      </w:r>
      <w:r w:rsidRPr="00A317D9">
        <w:rPr>
          <w:i/>
        </w:rPr>
        <w:t>See</w:t>
      </w:r>
      <w:r>
        <w:t xml:space="preserve"> </w:t>
      </w:r>
      <w:r>
        <w:rPr>
          <w:i/>
        </w:rPr>
        <w:t>Part 4 Report and Order and Order on Reconsideration</w:t>
      </w:r>
      <w:r>
        <w:t xml:space="preserve">, 31 FCC Rcd at 5854-55, para. 90, note 273.  </w:t>
      </w:r>
    </w:p>
  </w:footnote>
  <w:footnote w:id="23">
    <w:p w14:paraId="7F2D8D23" w14:textId="78D7595C" w:rsidR="004512F1" w:rsidRDefault="004512F1">
      <w:pPr>
        <w:pStyle w:val="FootnoteText"/>
      </w:pPr>
      <w:r>
        <w:rPr>
          <w:rStyle w:val="FootnoteReference"/>
        </w:rPr>
        <w:footnoteRef/>
      </w:r>
      <w:r>
        <w:t xml:space="preserve"> </w:t>
      </w:r>
      <w:r w:rsidRPr="00A317D9">
        <w:rPr>
          <w:i/>
        </w:rPr>
        <w:t>See</w:t>
      </w:r>
      <w:r>
        <w:t xml:space="preserve"> </w:t>
      </w:r>
      <w:r>
        <w:rPr>
          <w:i/>
        </w:rPr>
        <w:t>Part 4 Report and Order and Order on Reconsideration</w:t>
      </w:r>
      <w:r>
        <w:t>, 31 FCC Rcd at 5838-39, paras. 50-54.</w:t>
      </w:r>
    </w:p>
  </w:footnote>
  <w:footnote w:id="24">
    <w:p w14:paraId="33E48476" w14:textId="04A86BCD" w:rsidR="003342D1" w:rsidRDefault="003342D1">
      <w:pPr>
        <w:pStyle w:val="FootnoteText"/>
      </w:pPr>
      <w:r>
        <w:rPr>
          <w:rStyle w:val="FootnoteReference"/>
        </w:rPr>
        <w:footnoteRef/>
      </w:r>
      <w:r>
        <w:t xml:space="preserve"> </w:t>
      </w:r>
      <w:r>
        <w:rPr>
          <w:i/>
        </w:rPr>
        <w:t>See Part 4 Report and Order and Order on Reconsideration</w:t>
      </w:r>
      <w:r>
        <w:t xml:space="preserve">, 31 FCC Rcd at 5854-55, para. 90, note 273 (“Outages that “significantly degrade 911 communications” are relatively rare, and no such outage occurred in 2015.  Accordingly, we estimate that there would be at most 10 reports per year.”); </w:t>
      </w:r>
      <w:r>
        <w:rPr>
          <w:i/>
        </w:rPr>
        <w:t>see also 2015</w:t>
      </w:r>
      <w:r w:rsidRPr="000C7EE2">
        <w:rPr>
          <w:i/>
        </w:rPr>
        <w:t xml:space="preserve"> Supporting Statement</w:t>
      </w:r>
      <w:r>
        <w:rPr>
          <w:i/>
        </w:rPr>
        <w:t xml:space="preserve"> </w:t>
      </w:r>
      <w:r>
        <w:t>at 6.</w:t>
      </w:r>
    </w:p>
    <w:p w14:paraId="2BF836C7" w14:textId="77777777" w:rsidR="001856ED" w:rsidRDefault="001856ED">
      <w:pPr>
        <w:pStyle w:val="FootnoteText"/>
      </w:pPr>
    </w:p>
  </w:footnote>
  <w:footnote w:id="25">
    <w:p w14:paraId="225D9368" w14:textId="719462BD" w:rsidR="00CE175F" w:rsidRDefault="00CE175F">
      <w:pPr>
        <w:pStyle w:val="FootnoteText"/>
      </w:pPr>
      <w:r>
        <w:rPr>
          <w:rStyle w:val="FootnoteReference"/>
        </w:rPr>
        <w:footnoteRef/>
      </w:r>
      <w:r>
        <w:t xml:space="preserve"> </w:t>
      </w:r>
      <w:r>
        <w:rPr>
          <w:i/>
        </w:rPr>
        <w:t>See Part 4 Report and Order and Order on Reconsideration</w:t>
      </w:r>
      <w:r w:rsidR="005E27BD">
        <w:t>, 31 FCC Rcd at 5832, para</w:t>
      </w:r>
      <w:r w:rsidR="006F2C1E">
        <w:t>s</w:t>
      </w:r>
      <w:r w:rsidR="005E27BD">
        <w:t>. 35</w:t>
      </w:r>
      <w:r w:rsidR="006F2C1E">
        <w:t>-36</w:t>
      </w:r>
      <w:r w:rsidR="00027C59">
        <w:t>.</w:t>
      </w:r>
    </w:p>
    <w:p w14:paraId="6C5A3227" w14:textId="77777777" w:rsidR="001856ED" w:rsidRDefault="001856ED">
      <w:pPr>
        <w:pStyle w:val="FootnoteText"/>
      </w:pPr>
    </w:p>
  </w:footnote>
  <w:footnote w:id="26">
    <w:p w14:paraId="7EA16ABF" w14:textId="319234AE" w:rsidR="003342D1" w:rsidRDefault="003342D1">
      <w:pPr>
        <w:pStyle w:val="FootnoteText"/>
      </w:pPr>
      <w:r>
        <w:rPr>
          <w:rStyle w:val="FootnoteReference"/>
        </w:rPr>
        <w:footnoteRef/>
      </w:r>
      <w:r>
        <w:t xml:space="preserve"> </w:t>
      </w:r>
      <w:r>
        <w:rPr>
          <w:i/>
        </w:rPr>
        <w:t>See 2015</w:t>
      </w:r>
      <w:r w:rsidRPr="000C7EE2">
        <w:rPr>
          <w:i/>
        </w:rPr>
        <w:t xml:space="preserve"> Supporting Statement</w:t>
      </w:r>
      <w:r>
        <w:rPr>
          <w:i/>
        </w:rPr>
        <w:t xml:space="preserve"> </w:t>
      </w:r>
      <w:r>
        <w:t xml:space="preserve">at 8; </w:t>
      </w:r>
      <w:r>
        <w:rPr>
          <w:i/>
        </w:rPr>
        <w:t>Part 4 Report and Order and Order on Reconsideration</w:t>
      </w:r>
      <w:r>
        <w:t>, 31 FCC Rcd at 5832, paras. 35-36 (“[w]e agree with commenters that this approach is simpler than the current measurement and can be implemented at little to no additional cost”).</w:t>
      </w:r>
    </w:p>
    <w:p w14:paraId="5B42F568" w14:textId="77777777" w:rsidR="001856ED" w:rsidRDefault="001856ED">
      <w:pPr>
        <w:pStyle w:val="FootnoteText"/>
      </w:pPr>
    </w:p>
  </w:footnote>
  <w:footnote w:id="27">
    <w:p w14:paraId="0CD99326" w14:textId="1082BD20" w:rsidR="003342D1" w:rsidRDefault="003342D1">
      <w:pPr>
        <w:pStyle w:val="FootnoteText"/>
      </w:pPr>
      <w:r>
        <w:rPr>
          <w:rStyle w:val="FootnoteReference"/>
        </w:rPr>
        <w:footnoteRef/>
      </w:r>
      <w:r>
        <w:t xml:space="preserve"> </w:t>
      </w:r>
      <w:r>
        <w:rPr>
          <w:i/>
        </w:rPr>
        <w:t>See Part 4 Report and Order and Order on Reconsideration</w:t>
      </w:r>
      <w:r>
        <w:t>, 31 FCC Rcd at 5834, para. 42</w:t>
      </w:r>
      <w:r w:rsidR="001856ED">
        <w:t>.</w:t>
      </w:r>
    </w:p>
    <w:p w14:paraId="32CD7EB5" w14:textId="77777777" w:rsidR="001856ED" w:rsidRDefault="001856ED">
      <w:pPr>
        <w:pStyle w:val="FootnoteText"/>
      </w:pPr>
    </w:p>
  </w:footnote>
  <w:footnote w:id="28">
    <w:p w14:paraId="2D94C06C" w14:textId="60743769" w:rsidR="00CE175F" w:rsidRDefault="00CE175F">
      <w:pPr>
        <w:pStyle w:val="FootnoteText"/>
        <w:spacing w:after="120"/>
      </w:pPr>
      <w:r>
        <w:rPr>
          <w:rStyle w:val="FootnoteReference"/>
        </w:rPr>
        <w:footnoteRef/>
      </w:r>
      <w:r>
        <w:t xml:space="preserve"> </w:t>
      </w:r>
      <w:r w:rsidRPr="00A6403D">
        <w:rPr>
          <w:i/>
        </w:rPr>
        <w:t xml:space="preserve">See </w:t>
      </w:r>
      <w:r w:rsidR="00027C59">
        <w:rPr>
          <w:i/>
        </w:rPr>
        <w:t>2015</w:t>
      </w:r>
      <w:r w:rsidR="00027C59" w:rsidRPr="000C7EE2">
        <w:rPr>
          <w:i/>
        </w:rPr>
        <w:t xml:space="preserve"> Supporting Statement</w:t>
      </w:r>
      <w:r w:rsidR="00027C59">
        <w:rPr>
          <w:i/>
        </w:rPr>
        <w:t xml:space="preserve"> </w:t>
      </w:r>
      <w:r w:rsidR="00027C59">
        <w:t>at 8.</w:t>
      </w:r>
    </w:p>
  </w:footnote>
  <w:footnote w:id="29">
    <w:p w14:paraId="5C63E569" w14:textId="4667D2AB" w:rsidR="009C4B31" w:rsidRDefault="009C4B31">
      <w:pPr>
        <w:pStyle w:val="FootnoteText"/>
      </w:pPr>
      <w:r>
        <w:rPr>
          <w:rStyle w:val="FootnoteReference"/>
        </w:rPr>
        <w:footnoteRef/>
      </w:r>
      <w:r>
        <w:t xml:space="preserve"> </w:t>
      </w:r>
      <w:r>
        <w:rPr>
          <w:i/>
        </w:rPr>
        <w:t>See Part 4 Report and Order and Order on Reconsideration</w:t>
      </w:r>
      <w:r w:rsidR="005302D0">
        <w:t xml:space="preserve">, 31 FCC Rcd at </w:t>
      </w:r>
      <w:r w:rsidR="007664AD">
        <w:t xml:space="preserve">5842-43, </w:t>
      </w:r>
      <w:r w:rsidR="005302D0">
        <w:t>58</w:t>
      </w:r>
      <w:r w:rsidR="007664AD">
        <w:t>46-47</w:t>
      </w:r>
      <w:r>
        <w:t>, para</w:t>
      </w:r>
      <w:r w:rsidR="005302D0">
        <w:t>s</w:t>
      </w:r>
      <w:r>
        <w:t xml:space="preserve">. </w:t>
      </w:r>
      <w:r w:rsidR="007664AD">
        <w:t xml:space="preserve">63-65, </w:t>
      </w:r>
      <w:r w:rsidR="005302D0">
        <w:t>74-76</w:t>
      </w:r>
      <w:r>
        <w:t>.</w:t>
      </w:r>
    </w:p>
  </w:footnote>
  <w:footnote w:id="30">
    <w:p w14:paraId="1B62A7A4" w14:textId="7456670E" w:rsidR="005302D0" w:rsidRDefault="005302D0">
      <w:pPr>
        <w:pStyle w:val="FootnoteText"/>
      </w:pPr>
      <w:r>
        <w:rPr>
          <w:rStyle w:val="FootnoteReference"/>
        </w:rPr>
        <w:footnoteRef/>
      </w:r>
      <w:r>
        <w:t xml:space="preserve"> </w:t>
      </w:r>
      <w:r>
        <w:rPr>
          <w:i/>
        </w:rPr>
        <w:t>See Part 4 Report and Order and Order on Reconsideration</w:t>
      </w:r>
      <w:r>
        <w:t>, 31 FCC Rcd at 5848, para. 80.</w:t>
      </w:r>
    </w:p>
  </w:footnote>
  <w:footnote w:id="31">
    <w:p w14:paraId="43E75D4A" w14:textId="0BA2BDDC" w:rsidR="00651125" w:rsidRDefault="00651125">
      <w:pPr>
        <w:pStyle w:val="FootnoteText"/>
      </w:pPr>
      <w:r>
        <w:rPr>
          <w:rStyle w:val="FootnoteReference"/>
        </w:rPr>
        <w:footnoteRef/>
      </w:r>
      <w:r>
        <w:t xml:space="preserve"> </w:t>
      </w:r>
      <w:r>
        <w:rPr>
          <w:i/>
        </w:rPr>
        <w:t>See Part 4 Report and Order and Order on Reconsideration</w:t>
      </w:r>
      <w:r>
        <w:t xml:space="preserve">, 31 FCC Rcd at 5854-55, para. 90, note 273; </w:t>
      </w:r>
      <w:r>
        <w:rPr>
          <w:i/>
        </w:rPr>
        <w:t>2015</w:t>
      </w:r>
      <w:r w:rsidRPr="000C7EE2">
        <w:rPr>
          <w:i/>
        </w:rPr>
        <w:t xml:space="preserve"> Supporting Statement</w:t>
      </w:r>
      <w:r>
        <w:rPr>
          <w:i/>
        </w:rPr>
        <w:t xml:space="preserve"> </w:t>
      </w:r>
      <w:r>
        <w:t>at 8.</w:t>
      </w:r>
    </w:p>
  </w:footnote>
  <w:footnote w:id="32">
    <w:p w14:paraId="19140A16" w14:textId="0A9BCD14" w:rsidR="00EA7670" w:rsidRDefault="00EA7670">
      <w:pPr>
        <w:pStyle w:val="FootnoteText"/>
      </w:pPr>
      <w:r>
        <w:rPr>
          <w:rStyle w:val="FootnoteReference"/>
        </w:rPr>
        <w:footnoteRef/>
      </w:r>
      <w:r>
        <w:t xml:space="preserve"> </w:t>
      </w:r>
      <w:r>
        <w:rPr>
          <w:i/>
        </w:rPr>
        <w:t>2015</w:t>
      </w:r>
      <w:r w:rsidRPr="000C7EE2">
        <w:rPr>
          <w:i/>
        </w:rPr>
        <w:t xml:space="preserve"> Supporting Statement</w:t>
      </w:r>
      <w:r>
        <w:rPr>
          <w:i/>
        </w:rPr>
        <w:t xml:space="preserve"> </w:t>
      </w:r>
      <w:r>
        <w:t xml:space="preserve">at </w:t>
      </w:r>
      <w:r w:rsidR="004512F1">
        <w:t>9</w:t>
      </w:r>
      <w:r>
        <w:t xml:space="preserve">; </w:t>
      </w:r>
      <w:r w:rsidR="00FA1C3B" w:rsidRPr="00EA7670">
        <w:rPr>
          <w:i/>
        </w:rPr>
        <w:t>2014 Supporting Statement</w:t>
      </w:r>
      <w:r w:rsidR="00FA1C3B">
        <w:t xml:space="preserve"> at 9.</w:t>
      </w:r>
    </w:p>
  </w:footnote>
  <w:footnote w:id="33">
    <w:p w14:paraId="5CD2C7BB" w14:textId="76EB40DC" w:rsidR="00A576A8" w:rsidRDefault="00A576A8">
      <w:pPr>
        <w:pStyle w:val="FootnoteText"/>
      </w:pPr>
      <w:r>
        <w:rPr>
          <w:rStyle w:val="FootnoteReference"/>
        </w:rPr>
        <w:footnoteRef/>
      </w:r>
      <w:r>
        <w:t xml:space="preserve"> </w:t>
      </w:r>
      <w:r w:rsidRPr="00C75482">
        <w:rPr>
          <w:i/>
        </w:rPr>
        <w:t>See id</w:t>
      </w:r>
      <w:r>
        <w:t>.</w:t>
      </w:r>
    </w:p>
  </w:footnote>
  <w:footnote w:id="34">
    <w:p w14:paraId="29BC842F" w14:textId="161736C2" w:rsidR="00CE175F" w:rsidRDefault="00CE175F">
      <w:pPr>
        <w:pStyle w:val="FootnoteText"/>
        <w:spacing w:after="120"/>
      </w:pPr>
      <w:r>
        <w:rPr>
          <w:rStyle w:val="FootnoteReference"/>
        </w:rPr>
        <w:footnoteRef/>
      </w:r>
      <w:r>
        <w:t xml:space="preserve"> </w:t>
      </w:r>
      <w:r w:rsidRPr="00A317D9">
        <w:rPr>
          <w:i/>
        </w:rPr>
        <w:t>See</w:t>
      </w:r>
      <w:r>
        <w:t xml:space="preserve"> </w:t>
      </w:r>
      <w:r w:rsidR="00EA7670">
        <w:rPr>
          <w:i/>
        </w:rPr>
        <w:t>2015</w:t>
      </w:r>
      <w:r w:rsidR="00EA7670" w:rsidRPr="000C7EE2">
        <w:rPr>
          <w:i/>
        </w:rPr>
        <w:t xml:space="preserve"> Supporting Statement</w:t>
      </w:r>
      <w:r w:rsidR="00EA7670">
        <w:rPr>
          <w:i/>
        </w:rPr>
        <w:t xml:space="preserve"> </w:t>
      </w:r>
      <w:r w:rsidR="00EA7670">
        <w:t xml:space="preserve">at </w:t>
      </w:r>
      <w:r w:rsidR="004512F1">
        <w:t>9</w:t>
      </w:r>
      <w:r w:rsidR="00EA7670">
        <w:t xml:space="preserve">; </w:t>
      </w:r>
      <w:r w:rsidRPr="00EA7670">
        <w:rPr>
          <w:i/>
        </w:rPr>
        <w:t>2014 Supporting Statement</w:t>
      </w:r>
      <w:r>
        <w:t xml:space="preserve"> at 9.</w:t>
      </w:r>
    </w:p>
  </w:footnote>
  <w:footnote w:id="35">
    <w:p w14:paraId="0529F395" w14:textId="7C2903DB" w:rsidR="00CE175F" w:rsidRDefault="00CE175F" w:rsidP="00C75482">
      <w:pPr>
        <w:pStyle w:val="FootnoteText"/>
        <w:spacing w:after="120"/>
      </w:pPr>
      <w:r>
        <w:rPr>
          <w:rStyle w:val="FootnoteReference"/>
        </w:rPr>
        <w:footnoteRef/>
      </w:r>
      <w:r>
        <w:t xml:space="preserve"> </w:t>
      </w:r>
      <w:r w:rsidRPr="0069438F">
        <w:rPr>
          <w:i/>
        </w:rPr>
        <w:t>See, e.g.</w:t>
      </w:r>
      <w:r>
        <w:t xml:space="preserve">, </w:t>
      </w:r>
      <w:r w:rsidRPr="008D2C1C">
        <w:rPr>
          <w:i/>
        </w:rPr>
        <w:t>Supporting Statement, OMB Control No. 3060-0484, Sections 4.1 and 4.2 and Part 4 of the Commission's Rules Concerning Disruptions to Communications (NORS)</w:t>
      </w:r>
      <w:r>
        <w:t xml:space="preserve"> at </w:t>
      </w:r>
      <w:r w:rsidRPr="00F27C18">
        <w:t>11 (</w:t>
      </w:r>
      <w:r w:rsidR="00F27C18" w:rsidRPr="00F27C18">
        <w:t>July</w:t>
      </w:r>
      <w:r w:rsidRPr="00F27C18">
        <w:t xml:space="preserve"> 2012)</w:t>
      </w:r>
      <w:r w:rsidR="008D2C1C">
        <w:t xml:space="preserve"> (</w:t>
      </w:r>
      <w:r w:rsidR="008D2C1C" w:rsidRPr="008D2C1C">
        <w:rPr>
          <w:i/>
        </w:rPr>
        <w:t>2012 Supporting Statement</w:t>
      </w:r>
      <w:r w:rsidR="008D2C1C">
        <w:t>)</w:t>
      </w:r>
      <w:r>
        <w:t>.</w:t>
      </w:r>
    </w:p>
  </w:footnote>
  <w:footnote w:id="36">
    <w:p w14:paraId="35725C64" w14:textId="3960E9CB" w:rsidR="00CE175F" w:rsidRDefault="00CE175F" w:rsidP="00C75482">
      <w:pPr>
        <w:pStyle w:val="FootnoteText"/>
        <w:spacing w:after="120"/>
      </w:pPr>
      <w:r>
        <w:rPr>
          <w:rStyle w:val="FootnoteReference"/>
        </w:rPr>
        <w:footnoteRef/>
      </w:r>
      <w:r>
        <w:t xml:space="preserve"> </w:t>
      </w:r>
      <w:r w:rsidRPr="00C75482">
        <w:rPr>
          <w:i/>
        </w:rPr>
        <w:t>See</w:t>
      </w:r>
      <w:r>
        <w:t xml:space="preserve"> </w:t>
      </w:r>
      <w:r w:rsidR="004228B1">
        <w:rPr>
          <w:i/>
        </w:rPr>
        <w:t xml:space="preserve">2014 Supporting Statement </w:t>
      </w:r>
      <w:r w:rsidR="004228B1">
        <w:t xml:space="preserve">at </w:t>
      </w:r>
      <w:r w:rsidR="001D56FA">
        <w:t>10 (29,870 annual burden hours x $80 per hour = $</w:t>
      </w:r>
      <w:r w:rsidR="001D56FA" w:rsidRPr="001D56FA">
        <w:t>2</w:t>
      </w:r>
      <w:r w:rsidR="001D56FA">
        <w:t>,</w:t>
      </w:r>
      <w:r w:rsidR="001D56FA" w:rsidRPr="001D56FA">
        <w:t>389</w:t>
      </w:r>
      <w:r w:rsidR="001D56FA">
        <w:t>,</w:t>
      </w:r>
      <w:r w:rsidR="001D56FA" w:rsidRPr="001D56FA">
        <w:t>600</w:t>
      </w:r>
      <w:r w:rsidR="001D56FA">
        <w:t>).</w:t>
      </w:r>
    </w:p>
  </w:footnote>
  <w:footnote w:id="37">
    <w:p w14:paraId="365D7994" w14:textId="153E531E" w:rsidR="00DC03E7" w:rsidRDefault="00DC03E7">
      <w:pPr>
        <w:pStyle w:val="FootnoteText"/>
      </w:pPr>
      <w:r>
        <w:rPr>
          <w:rStyle w:val="FootnoteReference"/>
        </w:rPr>
        <w:footnoteRef/>
      </w:r>
      <w:r>
        <w:t xml:space="preserve"> </w:t>
      </w:r>
      <w:r w:rsidRPr="00DC03E7">
        <w:t xml:space="preserve">29,870 annual burden hours </w:t>
      </w:r>
      <w:r>
        <w:t>-</w:t>
      </w:r>
      <w:r w:rsidRPr="00DC03E7">
        <w:t xml:space="preserve"> 4,864</w:t>
      </w:r>
      <w:r>
        <w:t xml:space="preserve"> annual burden hours reduced = 25,006 annual burden hours.</w:t>
      </w:r>
    </w:p>
  </w:footnote>
  <w:footnote w:id="38">
    <w:p w14:paraId="7F4F4A2E" w14:textId="4EAB8C9C" w:rsidR="00CE175F" w:rsidRDefault="00CE175F">
      <w:pPr>
        <w:pStyle w:val="FootnoteText"/>
        <w:spacing w:after="120"/>
      </w:pPr>
      <w:r>
        <w:rPr>
          <w:rStyle w:val="FootnoteReference"/>
        </w:rPr>
        <w:footnoteRef/>
      </w:r>
      <w:r>
        <w:t xml:space="preserve"> </w:t>
      </w:r>
      <w:r w:rsidRPr="004729EC">
        <w:t>$</w:t>
      </w:r>
      <w:r w:rsidR="001D56FA" w:rsidRPr="001D56FA">
        <w:t>2</w:t>
      </w:r>
      <w:r w:rsidR="001D56FA">
        <w:t>,</w:t>
      </w:r>
      <w:r w:rsidR="001D56FA" w:rsidRPr="001D56FA">
        <w:t>389</w:t>
      </w:r>
      <w:r w:rsidR="001D56FA">
        <w:t>,</w:t>
      </w:r>
      <w:r w:rsidR="001D56FA" w:rsidRPr="001D56FA">
        <w:t>600</w:t>
      </w:r>
      <w:r w:rsidR="001D56FA">
        <w:t xml:space="preserve"> </w:t>
      </w:r>
      <w:r w:rsidR="00B92ECD">
        <w:t>-</w:t>
      </w:r>
      <w:r w:rsidR="001D56FA">
        <w:t xml:space="preserve"> </w:t>
      </w:r>
      <w:r w:rsidR="00B92ECD">
        <w:t>$389,120</w:t>
      </w:r>
      <w:r w:rsidRPr="00843D98">
        <w:t xml:space="preserve"> = </w:t>
      </w:r>
      <w:r w:rsidRPr="00A317D9">
        <w:rPr>
          <w:bCs/>
          <w:color w:val="000000"/>
        </w:rPr>
        <w:t>$</w:t>
      </w:r>
      <w:r w:rsidR="001D56FA" w:rsidRPr="001D56FA">
        <w:rPr>
          <w:bCs/>
          <w:color w:val="000000"/>
        </w:rPr>
        <w:t>2</w:t>
      </w:r>
      <w:r w:rsidR="001D56FA">
        <w:rPr>
          <w:bCs/>
          <w:color w:val="000000"/>
        </w:rPr>
        <w:t>,</w:t>
      </w:r>
      <w:r w:rsidR="001D56FA" w:rsidRPr="001D56FA">
        <w:rPr>
          <w:bCs/>
          <w:color w:val="000000"/>
        </w:rPr>
        <w:t>000</w:t>
      </w:r>
      <w:r w:rsidR="001D56FA">
        <w:rPr>
          <w:bCs/>
          <w:color w:val="000000"/>
        </w:rPr>
        <w:t>,</w:t>
      </w:r>
      <w:r w:rsidR="001D56FA" w:rsidRPr="001D56FA">
        <w:rPr>
          <w:bCs/>
          <w:color w:val="000000"/>
        </w:rPr>
        <w:t>480</w:t>
      </w:r>
      <w:r w:rsidRPr="00843D98">
        <w:t>.</w:t>
      </w:r>
    </w:p>
  </w:footnote>
  <w:footnote w:id="39">
    <w:p w14:paraId="1FDDCF75" w14:textId="09C417CB" w:rsidR="00CE175F" w:rsidRDefault="00CE175F">
      <w:pPr>
        <w:pStyle w:val="FootnoteText"/>
        <w:spacing w:after="120"/>
      </w:pPr>
      <w:r>
        <w:rPr>
          <w:rStyle w:val="FootnoteReference"/>
        </w:rPr>
        <w:footnoteRef/>
      </w:r>
      <w:r>
        <w:t xml:space="preserve"> </w:t>
      </w:r>
      <w:r w:rsidRPr="00C75482">
        <w:rPr>
          <w:i/>
        </w:rPr>
        <w:t>See</w:t>
      </w:r>
      <w:r>
        <w:t xml:space="preserve"> </w:t>
      </w:r>
      <w:r w:rsidR="00B424C9" w:rsidRPr="00B424C9">
        <w:rPr>
          <w:i/>
        </w:rPr>
        <w:t>2014 Supporting Statement</w:t>
      </w:r>
      <w:r w:rsidR="00B424C9">
        <w:t xml:space="preserve"> at </w:t>
      </w:r>
      <w:r w:rsidR="004512F1">
        <w:t>11-</w:t>
      </w:r>
      <w:r w:rsidR="00B424C9">
        <w:t xml:space="preserve">12; </w:t>
      </w:r>
    </w:p>
  </w:footnote>
  <w:footnote w:id="40">
    <w:p w14:paraId="323927AA" w14:textId="139C76B0" w:rsidR="00983A54" w:rsidRDefault="00983A54" w:rsidP="00983A54">
      <w:pPr>
        <w:pStyle w:val="FootnoteText"/>
      </w:pPr>
      <w:r>
        <w:rPr>
          <w:rStyle w:val="FootnoteReference"/>
        </w:rPr>
        <w:footnoteRef/>
      </w:r>
      <w:r>
        <w:t xml:space="preserve"> Hourly rates are based on the OPM 2016 Washington-Baltimore-Arlington, DC-MD-VA-WV-PA Locality Pay Area.  </w:t>
      </w:r>
      <w:r>
        <w:rPr>
          <w:i/>
        </w:rPr>
        <w:t>Office of Personnel and Management</w:t>
      </w:r>
      <w:r w:rsidRPr="004001D3">
        <w:rPr>
          <w:i/>
        </w:rPr>
        <w:t>,</w:t>
      </w:r>
      <w:r>
        <w:rPr>
          <w:i/>
        </w:rPr>
        <w:t>2016 General Schedule (GS) Locality Pay Table,</w:t>
      </w:r>
      <w:r w:rsidRPr="004001D3">
        <w:rPr>
          <w:i/>
        </w:rPr>
        <w:t xml:space="preserve"> Salary Table 2016-DCB</w:t>
      </w:r>
      <w:r>
        <w:t xml:space="preserve">, </w:t>
      </w:r>
      <w:hyperlink r:id="rId2" w:history="1">
        <w:r w:rsidRPr="00E770C8">
          <w:rPr>
            <w:rStyle w:val="Hyperlink"/>
          </w:rPr>
          <w:t>https://www.opm.gov/policy-data-oversight/pay-leave/salaries-wages/salary-tables/pdf/2016/DCB_h.pdf</w:t>
        </w:r>
      </w:hyperlink>
      <w:r w:rsidR="003E2102">
        <w:t xml:space="preserve"> (last accessed August 1</w:t>
      </w:r>
      <w:r w:rsidR="004512F1">
        <w:t>7</w:t>
      </w:r>
      <w:r>
        <w:t xml:space="preserve">,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8D634" w14:textId="0DC3E33B" w:rsidR="00CE175F" w:rsidRPr="00304A36" w:rsidRDefault="00CE175F">
    <w:pPr>
      <w:pStyle w:val="Header"/>
      <w:rPr>
        <w:b/>
        <w:sz w:val="24"/>
        <w:szCs w:val="24"/>
      </w:rPr>
    </w:pPr>
    <w:r w:rsidRPr="00304A36">
      <w:rPr>
        <w:b/>
        <w:sz w:val="24"/>
        <w:szCs w:val="24"/>
      </w:rPr>
      <w:tab/>
    </w:r>
    <w:r w:rsidRPr="00304A36">
      <w:rPr>
        <w:b/>
        <w:sz w:val="24"/>
        <w:szCs w:val="24"/>
      </w:rPr>
      <w:tab/>
    </w:r>
  </w:p>
  <w:p w14:paraId="4F1E5C10" w14:textId="3AE9160D" w:rsidR="00CE175F" w:rsidRPr="00975BD0" w:rsidRDefault="00CE175F" w:rsidP="00975BD0">
    <w:pPr>
      <w:rPr>
        <w:b/>
        <w:kern w:val="0"/>
        <w:sz w:val="24"/>
        <w:szCs w:val="24"/>
        <w:lang w:eastAsia="en-US"/>
      </w:rPr>
    </w:pPr>
    <w:r w:rsidRPr="00975BD0">
      <w:rPr>
        <w:b/>
        <w:kern w:val="0"/>
        <w:sz w:val="24"/>
        <w:szCs w:val="24"/>
        <w:lang w:eastAsia="en-US"/>
      </w:rPr>
      <w:t xml:space="preserve">Part 4 of the Commission’s Rules Concerning </w:t>
    </w:r>
    <w:r w:rsidR="00D3026D">
      <w:rPr>
        <w:b/>
        <w:kern w:val="0"/>
        <w:sz w:val="24"/>
        <w:szCs w:val="24"/>
        <w:lang w:eastAsia="en-US"/>
      </w:rPr>
      <w:tab/>
    </w:r>
    <w:r w:rsidR="00D3026D">
      <w:rPr>
        <w:b/>
        <w:kern w:val="0"/>
        <w:sz w:val="24"/>
        <w:szCs w:val="24"/>
        <w:lang w:eastAsia="en-US"/>
      </w:rPr>
      <w:tab/>
    </w:r>
    <w:r w:rsidR="00D3026D">
      <w:rPr>
        <w:b/>
        <w:kern w:val="0"/>
        <w:sz w:val="24"/>
        <w:szCs w:val="24"/>
        <w:lang w:eastAsia="en-US"/>
      </w:rPr>
      <w:tab/>
    </w:r>
    <w:r w:rsidR="00D3026D">
      <w:rPr>
        <w:b/>
        <w:kern w:val="0"/>
        <w:sz w:val="24"/>
        <w:szCs w:val="24"/>
        <w:lang w:eastAsia="en-US"/>
      </w:rPr>
      <w:tab/>
      <w:t xml:space="preserve">   3060-0484</w:t>
    </w:r>
  </w:p>
  <w:p w14:paraId="5ABEB41E" w14:textId="21B86AE2" w:rsidR="00CE175F" w:rsidRPr="00D75AE8" w:rsidRDefault="00CE175F" w:rsidP="00975BD0">
    <w:pPr>
      <w:rPr>
        <w:b/>
        <w:kern w:val="0"/>
        <w:sz w:val="24"/>
        <w:szCs w:val="24"/>
        <w:lang w:eastAsia="en-US"/>
      </w:rPr>
    </w:pPr>
    <w:r w:rsidRPr="00975BD0">
      <w:rPr>
        <w:b/>
        <w:kern w:val="0"/>
        <w:sz w:val="24"/>
        <w:szCs w:val="24"/>
        <w:lang w:eastAsia="en-US"/>
      </w:rPr>
      <w:t>Disruptions to Communications</w:t>
    </w:r>
    <w:r w:rsidR="00D3026D">
      <w:rPr>
        <w:b/>
        <w:kern w:val="0"/>
        <w:sz w:val="24"/>
        <w:szCs w:val="24"/>
        <w:lang w:eastAsia="en-US"/>
      </w:rPr>
      <w:tab/>
    </w:r>
    <w:r w:rsidR="00D3026D">
      <w:rPr>
        <w:b/>
        <w:kern w:val="0"/>
        <w:sz w:val="24"/>
        <w:szCs w:val="24"/>
        <w:lang w:eastAsia="en-US"/>
      </w:rPr>
      <w:tab/>
    </w:r>
    <w:r w:rsidR="00D3026D">
      <w:rPr>
        <w:b/>
        <w:kern w:val="0"/>
        <w:sz w:val="24"/>
        <w:szCs w:val="24"/>
        <w:lang w:eastAsia="en-US"/>
      </w:rPr>
      <w:tab/>
    </w:r>
    <w:r w:rsidR="00D3026D">
      <w:rPr>
        <w:b/>
        <w:kern w:val="0"/>
        <w:sz w:val="24"/>
        <w:szCs w:val="24"/>
        <w:lang w:eastAsia="en-US"/>
      </w:rPr>
      <w:tab/>
    </w:r>
    <w:r w:rsidR="00D3026D">
      <w:rPr>
        <w:b/>
        <w:kern w:val="0"/>
        <w:sz w:val="24"/>
        <w:szCs w:val="24"/>
        <w:lang w:eastAsia="en-US"/>
      </w:rPr>
      <w:tab/>
    </w:r>
    <w:r w:rsidR="00D3026D">
      <w:rPr>
        <w:b/>
        <w:kern w:val="0"/>
        <w:sz w:val="24"/>
        <w:szCs w:val="24"/>
        <w:lang w:eastAsia="en-US"/>
      </w:rPr>
      <w:tab/>
      <w:t>August 2016</w:t>
    </w:r>
  </w:p>
  <w:p w14:paraId="6110C8B9" w14:textId="77777777" w:rsidR="00CE175F" w:rsidRPr="00C63A1A" w:rsidRDefault="00CE175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435"/>
        </w:tabs>
        <w:ind w:left="435" w:hanging="375"/>
      </w:pPr>
    </w:lvl>
  </w:abstractNum>
  <w:abstractNum w:abstractNumId="2" w15:restartNumberingAfterBreak="0">
    <w:nsid w:val="09FB2469"/>
    <w:multiLevelType w:val="hybridMultilevel"/>
    <w:tmpl w:val="1D18981C"/>
    <w:lvl w:ilvl="0" w:tplc="A5BE13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BE5726"/>
    <w:multiLevelType w:val="hybridMultilevel"/>
    <w:tmpl w:val="975C26C0"/>
    <w:lvl w:ilvl="0" w:tplc="FB1E6FC6">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6A5E39"/>
    <w:multiLevelType w:val="hybridMultilevel"/>
    <w:tmpl w:val="A9300806"/>
    <w:lvl w:ilvl="0" w:tplc="B53083A4">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248246F3"/>
    <w:multiLevelType w:val="singleLevel"/>
    <w:tmpl w:val="B1F45678"/>
    <w:lvl w:ilvl="0">
      <w:start w:val="1"/>
      <w:numFmt w:val="decimal"/>
      <w:lvlText w:val="%1."/>
      <w:lvlJc w:val="left"/>
      <w:pPr>
        <w:tabs>
          <w:tab w:val="num" w:pos="1080"/>
        </w:tabs>
        <w:ind w:left="0" w:firstLine="720"/>
      </w:pPr>
    </w:lvl>
  </w:abstractNum>
  <w:abstractNum w:abstractNumId="6" w15:restartNumberingAfterBreak="0">
    <w:nsid w:val="38113561"/>
    <w:multiLevelType w:val="hybridMultilevel"/>
    <w:tmpl w:val="0ACEC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AB01C9"/>
    <w:multiLevelType w:val="hybridMultilevel"/>
    <w:tmpl w:val="09D48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4E6687"/>
    <w:multiLevelType w:val="hybridMultilevel"/>
    <w:tmpl w:val="324E346E"/>
    <w:lvl w:ilvl="0" w:tplc="BC9C22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493399"/>
    <w:multiLevelType w:val="hybridMultilevel"/>
    <w:tmpl w:val="821272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D53BB3"/>
    <w:multiLevelType w:val="hybridMultilevel"/>
    <w:tmpl w:val="46524370"/>
    <w:lvl w:ilvl="0" w:tplc="04090003">
      <w:start w:val="1"/>
      <w:numFmt w:val="bullet"/>
      <w:lvlText w:val="o"/>
      <w:lvlJc w:val="left"/>
      <w:pPr>
        <w:tabs>
          <w:tab w:val="num" w:pos="2160"/>
        </w:tabs>
        <w:ind w:left="2160" w:hanging="360"/>
      </w:pPr>
      <w:rPr>
        <w:rFonts w:ascii="Courier New" w:hAnsi="Courier New" w:cs="Courier New" w:hint="default"/>
      </w:rPr>
    </w:lvl>
    <w:lvl w:ilvl="1" w:tplc="BC628FC6">
      <w:start w:val="1"/>
      <w:numFmt w:val="bullet"/>
      <w:lvlText w:val=""/>
      <w:lvlJc w:val="left"/>
      <w:pPr>
        <w:tabs>
          <w:tab w:val="num" w:pos="2880"/>
        </w:tabs>
        <w:ind w:left="2880" w:hanging="360"/>
      </w:pPr>
      <w:rPr>
        <w:rFonts w:ascii="Symbol" w:hAnsi="Symbol" w:hint="default"/>
        <w:color w:val="auto"/>
      </w:rPr>
    </w:lvl>
    <w:lvl w:ilvl="2" w:tplc="04090005">
      <w:start w:val="1"/>
      <w:numFmt w:val="bullet"/>
      <w:lvlText w:val=""/>
      <w:lvlJc w:val="left"/>
      <w:pPr>
        <w:tabs>
          <w:tab w:val="num" w:pos="3600"/>
        </w:tabs>
        <w:ind w:left="3600" w:hanging="360"/>
      </w:pPr>
      <w:rPr>
        <w:rFonts w:ascii="Wingdings" w:hAnsi="Wingdings" w:hint="default"/>
      </w:rPr>
    </w:lvl>
    <w:lvl w:ilvl="3" w:tplc="BC628FC6">
      <w:start w:val="1"/>
      <w:numFmt w:val="bullet"/>
      <w:lvlText w:val=""/>
      <w:lvlJc w:val="left"/>
      <w:pPr>
        <w:tabs>
          <w:tab w:val="num" w:pos="2880"/>
        </w:tabs>
        <w:ind w:left="2880" w:hanging="360"/>
      </w:pPr>
      <w:rPr>
        <w:rFonts w:ascii="Symbol" w:hAnsi="Symbol" w:hint="default"/>
        <w:color w:val="auto"/>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4E22692"/>
    <w:multiLevelType w:val="hybridMultilevel"/>
    <w:tmpl w:val="8940D8A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3" w15:restartNumberingAfterBreak="0">
    <w:nsid w:val="67951386"/>
    <w:multiLevelType w:val="hybridMultilevel"/>
    <w:tmpl w:val="759ECE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BE2033"/>
    <w:multiLevelType w:val="hybridMultilevel"/>
    <w:tmpl w:val="FAE60A3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7802CCF"/>
    <w:multiLevelType w:val="hybridMultilevel"/>
    <w:tmpl w:val="0F801F40"/>
    <w:lvl w:ilvl="0" w:tplc="0ED68230">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FB02D6"/>
    <w:multiLevelType w:val="hybridMultilevel"/>
    <w:tmpl w:val="F880F7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2"/>
  </w:num>
  <w:num w:numId="4">
    <w:abstractNumId w:val="12"/>
    <w:lvlOverride w:ilvl="0">
      <w:startOverride w:val="1"/>
    </w:lvlOverride>
  </w:num>
  <w:num w:numId="5">
    <w:abstractNumId w:val="8"/>
  </w:num>
  <w:num w:numId="6">
    <w:abstractNumId w:val="15"/>
  </w:num>
  <w:num w:numId="7">
    <w:abstractNumId w:val="4"/>
  </w:num>
  <w:num w:numId="8">
    <w:abstractNumId w:val="3"/>
  </w:num>
  <w:num w:numId="9">
    <w:abstractNumId w:val="11"/>
  </w:num>
  <w:num w:numId="10">
    <w:abstractNumId w:val="10"/>
  </w:num>
  <w:num w:numId="11">
    <w:abstractNumId w:val="14"/>
  </w:num>
  <w:num w:numId="12">
    <w:abstractNumId w:val="9"/>
  </w:num>
  <w:num w:numId="13">
    <w:abstractNumId w:val="13"/>
  </w:num>
  <w:num w:numId="14">
    <w:abstractNumId w:val="16"/>
  </w:num>
  <w:num w:numId="15">
    <w:abstractNumId w:val="2"/>
  </w:num>
  <w:num w:numId="16">
    <w:abstractNumId w:val="6"/>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AC"/>
    <w:rsid w:val="00000C3D"/>
    <w:rsid w:val="00002A1D"/>
    <w:rsid w:val="0000428D"/>
    <w:rsid w:val="00004CAA"/>
    <w:rsid w:val="00005EAE"/>
    <w:rsid w:val="000072D8"/>
    <w:rsid w:val="00010137"/>
    <w:rsid w:val="00014496"/>
    <w:rsid w:val="000160F2"/>
    <w:rsid w:val="00016677"/>
    <w:rsid w:val="0002392D"/>
    <w:rsid w:val="0002474B"/>
    <w:rsid w:val="00027C59"/>
    <w:rsid w:val="000324FF"/>
    <w:rsid w:val="000328E5"/>
    <w:rsid w:val="00034C96"/>
    <w:rsid w:val="000435D6"/>
    <w:rsid w:val="00043C44"/>
    <w:rsid w:val="00046DDA"/>
    <w:rsid w:val="00051C83"/>
    <w:rsid w:val="0005390C"/>
    <w:rsid w:val="00062C0C"/>
    <w:rsid w:val="000634C4"/>
    <w:rsid w:val="000642FD"/>
    <w:rsid w:val="00066042"/>
    <w:rsid w:val="00073036"/>
    <w:rsid w:val="00073055"/>
    <w:rsid w:val="000740F5"/>
    <w:rsid w:val="00076614"/>
    <w:rsid w:val="000805F9"/>
    <w:rsid w:val="000841E6"/>
    <w:rsid w:val="00084C7F"/>
    <w:rsid w:val="00085184"/>
    <w:rsid w:val="000854BD"/>
    <w:rsid w:val="000915E9"/>
    <w:rsid w:val="00091ABD"/>
    <w:rsid w:val="00092CBB"/>
    <w:rsid w:val="00093248"/>
    <w:rsid w:val="00093B4A"/>
    <w:rsid w:val="00094A08"/>
    <w:rsid w:val="00094F7E"/>
    <w:rsid w:val="000955B6"/>
    <w:rsid w:val="00096CFD"/>
    <w:rsid w:val="000A383E"/>
    <w:rsid w:val="000A60A9"/>
    <w:rsid w:val="000A66E5"/>
    <w:rsid w:val="000A6F0F"/>
    <w:rsid w:val="000B5DC9"/>
    <w:rsid w:val="000C6C32"/>
    <w:rsid w:val="000C6F66"/>
    <w:rsid w:val="000C7EE2"/>
    <w:rsid w:val="000D0BF3"/>
    <w:rsid w:val="000D0F2C"/>
    <w:rsid w:val="000D6432"/>
    <w:rsid w:val="000E2C2A"/>
    <w:rsid w:val="000E401B"/>
    <w:rsid w:val="000E4B74"/>
    <w:rsid w:val="000F08DA"/>
    <w:rsid w:val="000F346A"/>
    <w:rsid w:val="000F3AAD"/>
    <w:rsid w:val="000F793C"/>
    <w:rsid w:val="001043EB"/>
    <w:rsid w:val="0010718E"/>
    <w:rsid w:val="00110F8B"/>
    <w:rsid w:val="001115EF"/>
    <w:rsid w:val="00112ACF"/>
    <w:rsid w:val="00114BA9"/>
    <w:rsid w:val="0012381D"/>
    <w:rsid w:val="00124098"/>
    <w:rsid w:val="00126303"/>
    <w:rsid w:val="00126DD6"/>
    <w:rsid w:val="00130125"/>
    <w:rsid w:val="001309A3"/>
    <w:rsid w:val="001321E1"/>
    <w:rsid w:val="00134616"/>
    <w:rsid w:val="001362F0"/>
    <w:rsid w:val="001372B2"/>
    <w:rsid w:val="00144102"/>
    <w:rsid w:val="00145776"/>
    <w:rsid w:val="001461A7"/>
    <w:rsid w:val="001478AC"/>
    <w:rsid w:val="00150430"/>
    <w:rsid w:val="00151615"/>
    <w:rsid w:val="00161BB4"/>
    <w:rsid w:val="00163DCA"/>
    <w:rsid w:val="00164C7D"/>
    <w:rsid w:val="0017301D"/>
    <w:rsid w:val="00185362"/>
    <w:rsid w:val="001856ED"/>
    <w:rsid w:val="00185FFA"/>
    <w:rsid w:val="0018634B"/>
    <w:rsid w:val="00187054"/>
    <w:rsid w:val="00191B90"/>
    <w:rsid w:val="001937A4"/>
    <w:rsid w:val="001941E0"/>
    <w:rsid w:val="001A13BD"/>
    <w:rsid w:val="001A26A1"/>
    <w:rsid w:val="001A2A42"/>
    <w:rsid w:val="001A4827"/>
    <w:rsid w:val="001A5449"/>
    <w:rsid w:val="001A5C3D"/>
    <w:rsid w:val="001A6400"/>
    <w:rsid w:val="001B293D"/>
    <w:rsid w:val="001B2DA1"/>
    <w:rsid w:val="001B3A8A"/>
    <w:rsid w:val="001C2B88"/>
    <w:rsid w:val="001C31E2"/>
    <w:rsid w:val="001C3EBC"/>
    <w:rsid w:val="001C56F5"/>
    <w:rsid w:val="001D0A76"/>
    <w:rsid w:val="001D1B8C"/>
    <w:rsid w:val="001D56FA"/>
    <w:rsid w:val="001E3388"/>
    <w:rsid w:val="001E4ACB"/>
    <w:rsid w:val="001E592A"/>
    <w:rsid w:val="001E5A13"/>
    <w:rsid w:val="001E74A7"/>
    <w:rsid w:val="001E78D1"/>
    <w:rsid w:val="001F41C2"/>
    <w:rsid w:val="001F4A5A"/>
    <w:rsid w:val="001F6269"/>
    <w:rsid w:val="00200D4E"/>
    <w:rsid w:val="00201FCC"/>
    <w:rsid w:val="00202D4B"/>
    <w:rsid w:val="0020486C"/>
    <w:rsid w:val="00205945"/>
    <w:rsid w:val="00205DEF"/>
    <w:rsid w:val="00216BCF"/>
    <w:rsid w:val="0022049F"/>
    <w:rsid w:val="0022158C"/>
    <w:rsid w:val="00221EB7"/>
    <w:rsid w:val="00223467"/>
    <w:rsid w:val="00223984"/>
    <w:rsid w:val="00224D2E"/>
    <w:rsid w:val="00225AFF"/>
    <w:rsid w:val="00226BC5"/>
    <w:rsid w:val="00226EC9"/>
    <w:rsid w:val="00226F1D"/>
    <w:rsid w:val="002272DD"/>
    <w:rsid w:val="00227CE5"/>
    <w:rsid w:val="002315F1"/>
    <w:rsid w:val="00234275"/>
    <w:rsid w:val="00246AD7"/>
    <w:rsid w:val="002472C5"/>
    <w:rsid w:val="002543D1"/>
    <w:rsid w:val="00260190"/>
    <w:rsid w:val="0026661E"/>
    <w:rsid w:val="00270AA1"/>
    <w:rsid w:val="00274949"/>
    <w:rsid w:val="00274BD0"/>
    <w:rsid w:val="00276BEF"/>
    <w:rsid w:val="002806EE"/>
    <w:rsid w:val="00280B3D"/>
    <w:rsid w:val="00285CEF"/>
    <w:rsid w:val="00293091"/>
    <w:rsid w:val="0029334E"/>
    <w:rsid w:val="00293A2D"/>
    <w:rsid w:val="00295C97"/>
    <w:rsid w:val="002A22B9"/>
    <w:rsid w:val="002A5946"/>
    <w:rsid w:val="002A76D7"/>
    <w:rsid w:val="002B584D"/>
    <w:rsid w:val="002B5885"/>
    <w:rsid w:val="002B78B0"/>
    <w:rsid w:val="002C0845"/>
    <w:rsid w:val="002C1E6D"/>
    <w:rsid w:val="002C23AB"/>
    <w:rsid w:val="002C6E22"/>
    <w:rsid w:val="002D209A"/>
    <w:rsid w:val="002D315A"/>
    <w:rsid w:val="002E2F2A"/>
    <w:rsid w:val="002E6DDD"/>
    <w:rsid w:val="002E7E12"/>
    <w:rsid w:val="003002A2"/>
    <w:rsid w:val="00303026"/>
    <w:rsid w:val="00304759"/>
    <w:rsid w:val="00304A36"/>
    <w:rsid w:val="00307F41"/>
    <w:rsid w:val="00312AA0"/>
    <w:rsid w:val="0031548F"/>
    <w:rsid w:val="003154CB"/>
    <w:rsid w:val="00315886"/>
    <w:rsid w:val="00321A5C"/>
    <w:rsid w:val="00324C27"/>
    <w:rsid w:val="003324A3"/>
    <w:rsid w:val="003342D1"/>
    <w:rsid w:val="00335B79"/>
    <w:rsid w:val="00340CBE"/>
    <w:rsid w:val="00341CE5"/>
    <w:rsid w:val="00344FBC"/>
    <w:rsid w:val="0034501C"/>
    <w:rsid w:val="003460A9"/>
    <w:rsid w:val="00351EBE"/>
    <w:rsid w:val="003540E1"/>
    <w:rsid w:val="0036106E"/>
    <w:rsid w:val="00363D15"/>
    <w:rsid w:val="003650D9"/>
    <w:rsid w:val="00370DEC"/>
    <w:rsid w:val="00373772"/>
    <w:rsid w:val="00381C83"/>
    <w:rsid w:val="00384698"/>
    <w:rsid w:val="003874B0"/>
    <w:rsid w:val="0039049C"/>
    <w:rsid w:val="0039284A"/>
    <w:rsid w:val="00393A5A"/>
    <w:rsid w:val="003B30BC"/>
    <w:rsid w:val="003B40FD"/>
    <w:rsid w:val="003B7743"/>
    <w:rsid w:val="003C2193"/>
    <w:rsid w:val="003C5511"/>
    <w:rsid w:val="003C7A82"/>
    <w:rsid w:val="003D60B5"/>
    <w:rsid w:val="003E2102"/>
    <w:rsid w:val="003E6777"/>
    <w:rsid w:val="003E6AFB"/>
    <w:rsid w:val="003F1CCA"/>
    <w:rsid w:val="003F4B7E"/>
    <w:rsid w:val="003F5C4B"/>
    <w:rsid w:val="004001D3"/>
    <w:rsid w:val="0040186E"/>
    <w:rsid w:val="004048EF"/>
    <w:rsid w:val="00405BD3"/>
    <w:rsid w:val="00414CE8"/>
    <w:rsid w:val="0042210A"/>
    <w:rsid w:val="004228B1"/>
    <w:rsid w:val="0042586E"/>
    <w:rsid w:val="00426BDA"/>
    <w:rsid w:val="00433032"/>
    <w:rsid w:val="00435BD0"/>
    <w:rsid w:val="00436712"/>
    <w:rsid w:val="00437D87"/>
    <w:rsid w:val="00440914"/>
    <w:rsid w:val="00440FF1"/>
    <w:rsid w:val="00441BE6"/>
    <w:rsid w:val="00443818"/>
    <w:rsid w:val="00443E54"/>
    <w:rsid w:val="004445DD"/>
    <w:rsid w:val="004512F1"/>
    <w:rsid w:val="00451E44"/>
    <w:rsid w:val="00456EE7"/>
    <w:rsid w:val="00462225"/>
    <w:rsid w:val="004627E1"/>
    <w:rsid w:val="00462EEF"/>
    <w:rsid w:val="00467E70"/>
    <w:rsid w:val="004729EC"/>
    <w:rsid w:val="004756EC"/>
    <w:rsid w:val="00477FB6"/>
    <w:rsid w:val="004834F4"/>
    <w:rsid w:val="0048381E"/>
    <w:rsid w:val="00483D80"/>
    <w:rsid w:val="00484A39"/>
    <w:rsid w:val="00485BDA"/>
    <w:rsid w:val="004934C3"/>
    <w:rsid w:val="0049384F"/>
    <w:rsid w:val="00493B04"/>
    <w:rsid w:val="0049477B"/>
    <w:rsid w:val="00496644"/>
    <w:rsid w:val="004A2B4D"/>
    <w:rsid w:val="004A3CAD"/>
    <w:rsid w:val="004A4E39"/>
    <w:rsid w:val="004A64A4"/>
    <w:rsid w:val="004A64F2"/>
    <w:rsid w:val="004A6C9A"/>
    <w:rsid w:val="004A6E4F"/>
    <w:rsid w:val="004B439A"/>
    <w:rsid w:val="004C1B27"/>
    <w:rsid w:val="004C42E9"/>
    <w:rsid w:val="004C5BBE"/>
    <w:rsid w:val="004D3093"/>
    <w:rsid w:val="004E0694"/>
    <w:rsid w:val="004E5D0F"/>
    <w:rsid w:val="004E7052"/>
    <w:rsid w:val="004E71BB"/>
    <w:rsid w:val="004E736C"/>
    <w:rsid w:val="004F4A36"/>
    <w:rsid w:val="004F58FA"/>
    <w:rsid w:val="004F5FF5"/>
    <w:rsid w:val="005037C7"/>
    <w:rsid w:val="0050503D"/>
    <w:rsid w:val="005058C5"/>
    <w:rsid w:val="005061A4"/>
    <w:rsid w:val="00507262"/>
    <w:rsid w:val="00510545"/>
    <w:rsid w:val="00511065"/>
    <w:rsid w:val="00514779"/>
    <w:rsid w:val="0051596E"/>
    <w:rsid w:val="00516331"/>
    <w:rsid w:val="005244B4"/>
    <w:rsid w:val="00524F0C"/>
    <w:rsid w:val="00526BDD"/>
    <w:rsid w:val="005302D0"/>
    <w:rsid w:val="0053724F"/>
    <w:rsid w:val="0053734C"/>
    <w:rsid w:val="00542873"/>
    <w:rsid w:val="00543029"/>
    <w:rsid w:val="00547C9E"/>
    <w:rsid w:val="005561B6"/>
    <w:rsid w:val="005567F0"/>
    <w:rsid w:val="005625D2"/>
    <w:rsid w:val="005633CE"/>
    <w:rsid w:val="00570FCC"/>
    <w:rsid w:val="00580144"/>
    <w:rsid w:val="0058324C"/>
    <w:rsid w:val="00585925"/>
    <w:rsid w:val="005860FF"/>
    <w:rsid w:val="00594BE7"/>
    <w:rsid w:val="005A0F9A"/>
    <w:rsid w:val="005A3011"/>
    <w:rsid w:val="005A5B22"/>
    <w:rsid w:val="005A681D"/>
    <w:rsid w:val="005C0ED7"/>
    <w:rsid w:val="005D3A64"/>
    <w:rsid w:val="005D4E3D"/>
    <w:rsid w:val="005D6FB0"/>
    <w:rsid w:val="005E1203"/>
    <w:rsid w:val="005E27BD"/>
    <w:rsid w:val="005F0BE5"/>
    <w:rsid w:val="005F3262"/>
    <w:rsid w:val="005F3A44"/>
    <w:rsid w:val="005F6C79"/>
    <w:rsid w:val="005F76E7"/>
    <w:rsid w:val="0060259C"/>
    <w:rsid w:val="006044FF"/>
    <w:rsid w:val="00605CA7"/>
    <w:rsid w:val="00611587"/>
    <w:rsid w:val="00613C9B"/>
    <w:rsid w:val="00620B97"/>
    <w:rsid w:val="0062226D"/>
    <w:rsid w:val="00624D0C"/>
    <w:rsid w:val="00624DF1"/>
    <w:rsid w:val="00626250"/>
    <w:rsid w:val="00631EAF"/>
    <w:rsid w:val="0063276C"/>
    <w:rsid w:val="00636362"/>
    <w:rsid w:val="006379AC"/>
    <w:rsid w:val="00641F4D"/>
    <w:rsid w:val="00643ABF"/>
    <w:rsid w:val="00651125"/>
    <w:rsid w:val="00651FF3"/>
    <w:rsid w:val="00652841"/>
    <w:rsid w:val="0065586E"/>
    <w:rsid w:val="00657BFA"/>
    <w:rsid w:val="0066056F"/>
    <w:rsid w:val="00660F46"/>
    <w:rsid w:val="0066154E"/>
    <w:rsid w:val="006615FA"/>
    <w:rsid w:val="00661B0A"/>
    <w:rsid w:val="00663592"/>
    <w:rsid w:val="006637F9"/>
    <w:rsid w:val="00664255"/>
    <w:rsid w:val="006657BF"/>
    <w:rsid w:val="00672F82"/>
    <w:rsid w:val="00674106"/>
    <w:rsid w:val="006800DA"/>
    <w:rsid w:val="006803C8"/>
    <w:rsid w:val="006808EC"/>
    <w:rsid w:val="00681110"/>
    <w:rsid w:val="00683C76"/>
    <w:rsid w:val="00685223"/>
    <w:rsid w:val="00687B8A"/>
    <w:rsid w:val="00695DB5"/>
    <w:rsid w:val="006969F6"/>
    <w:rsid w:val="006A191D"/>
    <w:rsid w:val="006A37EC"/>
    <w:rsid w:val="006A73A3"/>
    <w:rsid w:val="006B2250"/>
    <w:rsid w:val="006B2F05"/>
    <w:rsid w:val="006B367B"/>
    <w:rsid w:val="006B4BF4"/>
    <w:rsid w:val="006B6E5E"/>
    <w:rsid w:val="006B774E"/>
    <w:rsid w:val="006B7C2E"/>
    <w:rsid w:val="006B7F54"/>
    <w:rsid w:val="006C6B45"/>
    <w:rsid w:val="006D02E7"/>
    <w:rsid w:val="006E0E6D"/>
    <w:rsid w:val="006E1615"/>
    <w:rsid w:val="006E21E6"/>
    <w:rsid w:val="006E2F38"/>
    <w:rsid w:val="006E4827"/>
    <w:rsid w:val="006E7D85"/>
    <w:rsid w:val="006F2C1E"/>
    <w:rsid w:val="006F6AD5"/>
    <w:rsid w:val="007002A3"/>
    <w:rsid w:val="007008B9"/>
    <w:rsid w:val="00701886"/>
    <w:rsid w:val="00704766"/>
    <w:rsid w:val="0070483F"/>
    <w:rsid w:val="00705144"/>
    <w:rsid w:val="00706873"/>
    <w:rsid w:val="00706DA5"/>
    <w:rsid w:val="00717009"/>
    <w:rsid w:val="00720E2C"/>
    <w:rsid w:val="00723701"/>
    <w:rsid w:val="00723B28"/>
    <w:rsid w:val="00734F6A"/>
    <w:rsid w:val="0073741B"/>
    <w:rsid w:val="00741E69"/>
    <w:rsid w:val="00746490"/>
    <w:rsid w:val="007502A0"/>
    <w:rsid w:val="00750751"/>
    <w:rsid w:val="0075213F"/>
    <w:rsid w:val="00760158"/>
    <w:rsid w:val="00763CE8"/>
    <w:rsid w:val="00763EC5"/>
    <w:rsid w:val="00764527"/>
    <w:rsid w:val="00765609"/>
    <w:rsid w:val="007660BB"/>
    <w:rsid w:val="007664AD"/>
    <w:rsid w:val="00767562"/>
    <w:rsid w:val="007751F4"/>
    <w:rsid w:val="00780252"/>
    <w:rsid w:val="0078579C"/>
    <w:rsid w:val="0078711D"/>
    <w:rsid w:val="00790FF0"/>
    <w:rsid w:val="0079154A"/>
    <w:rsid w:val="00794445"/>
    <w:rsid w:val="007960B0"/>
    <w:rsid w:val="007A6443"/>
    <w:rsid w:val="007B3387"/>
    <w:rsid w:val="007B4C87"/>
    <w:rsid w:val="007C0600"/>
    <w:rsid w:val="007C19B3"/>
    <w:rsid w:val="007C20ED"/>
    <w:rsid w:val="007C375C"/>
    <w:rsid w:val="007C5B6F"/>
    <w:rsid w:val="007C5B70"/>
    <w:rsid w:val="007C6286"/>
    <w:rsid w:val="007C7F9A"/>
    <w:rsid w:val="007D224C"/>
    <w:rsid w:val="007D2F4A"/>
    <w:rsid w:val="007D3818"/>
    <w:rsid w:val="007D47D0"/>
    <w:rsid w:val="007D4A6E"/>
    <w:rsid w:val="007E4B09"/>
    <w:rsid w:val="007F0985"/>
    <w:rsid w:val="007F4FFC"/>
    <w:rsid w:val="007F6988"/>
    <w:rsid w:val="007F785A"/>
    <w:rsid w:val="007F7928"/>
    <w:rsid w:val="007F7CEC"/>
    <w:rsid w:val="00801561"/>
    <w:rsid w:val="00801C69"/>
    <w:rsid w:val="00803501"/>
    <w:rsid w:val="00803540"/>
    <w:rsid w:val="008046B0"/>
    <w:rsid w:val="00806F26"/>
    <w:rsid w:val="00811E04"/>
    <w:rsid w:val="00813939"/>
    <w:rsid w:val="008145E6"/>
    <w:rsid w:val="00816E27"/>
    <w:rsid w:val="0082154F"/>
    <w:rsid w:val="0082662C"/>
    <w:rsid w:val="008355DE"/>
    <w:rsid w:val="0083695D"/>
    <w:rsid w:val="00843D98"/>
    <w:rsid w:val="00847BE4"/>
    <w:rsid w:val="00847FC6"/>
    <w:rsid w:val="00851EFB"/>
    <w:rsid w:val="008530B4"/>
    <w:rsid w:val="0085584C"/>
    <w:rsid w:val="00863B16"/>
    <w:rsid w:val="008646EA"/>
    <w:rsid w:val="00864F18"/>
    <w:rsid w:val="00867A6A"/>
    <w:rsid w:val="008713EB"/>
    <w:rsid w:val="00872BAA"/>
    <w:rsid w:val="00875792"/>
    <w:rsid w:val="00876CFF"/>
    <w:rsid w:val="00880D7A"/>
    <w:rsid w:val="00882092"/>
    <w:rsid w:val="00883ADE"/>
    <w:rsid w:val="00884530"/>
    <w:rsid w:val="008871BC"/>
    <w:rsid w:val="0089100C"/>
    <w:rsid w:val="0089375D"/>
    <w:rsid w:val="008946B8"/>
    <w:rsid w:val="008A2243"/>
    <w:rsid w:val="008A22F2"/>
    <w:rsid w:val="008A4C76"/>
    <w:rsid w:val="008A4FD2"/>
    <w:rsid w:val="008A6CD2"/>
    <w:rsid w:val="008A74CD"/>
    <w:rsid w:val="008B0A2F"/>
    <w:rsid w:val="008B2C4D"/>
    <w:rsid w:val="008C2545"/>
    <w:rsid w:val="008C31D3"/>
    <w:rsid w:val="008C4080"/>
    <w:rsid w:val="008C5116"/>
    <w:rsid w:val="008D1E44"/>
    <w:rsid w:val="008D2C1C"/>
    <w:rsid w:val="008D46AE"/>
    <w:rsid w:val="008E18EA"/>
    <w:rsid w:val="008E37BB"/>
    <w:rsid w:val="008E3903"/>
    <w:rsid w:val="008E3CB0"/>
    <w:rsid w:val="008E74BC"/>
    <w:rsid w:val="008F0749"/>
    <w:rsid w:val="008F0C24"/>
    <w:rsid w:val="008F4284"/>
    <w:rsid w:val="00907A66"/>
    <w:rsid w:val="0091396A"/>
    <w:rsid w:val="009170F6"/>
    <w:rsid w:val="00924662"/>
    <w:rsid w:val="00925703"/>
    <w:rsid w:val="00926984"/>
    <w:rsid w:val="00930C09"/>
    <w:rsid w:val="00930F41"/>
    <w:rsid w:val="0093478B"/>
    <w:rsid w:val="00936B91"/>
    <w:rsid w:val="00940A0C"/>
    <w:rsid w:val="00940DB4"/>
    <w:rsid w:val="0094153A"/>
    <w:rsid w:val="00942064"/>
    <w:rsid w:val="009516AE"/>
    <w:rsid w:val="00955612"/>
    <w:rsid w:val="00956864"/>
    <w:rsid w:val="00957533"/>
    <w:rsid w:val="0096038F"/>
    <w:rsid w:val="0096158B"/>
    <w:rsid w:val="00967714"/>
    <w:rsid w:val="00970CFF"/>
    <w:rsid w:val="0097464A"/>
    <w:rsid w:val="00975BD0"/>
    <w:rsid w:val="00981B37"/>
    <w:rsid w:val="00983A54"/>
    <w:rsid w:val="00983D86"/>
    <w:rsid w:val="00987E96"/>
    <w:rsid w:val="00991F29"/>
    <w:rsid w:val="009920C5"/>
    <w:rsid w:val="009925DB"/>
    <w:rsid w:val="009979BD"/>
    <w:rsid w:val="009A4F6E"/>
    <w:rsid w:val="009A748B"/>
    <w:rsid w:val="009B0694"/>
    <w:rsid w:val="009B3631"/>
    <w:rsid w:val="009B3CA0"/>
    <w:rsid w:val="009B5908"/>
    <w:rsid w:val="009B7A24"/>
    <w:rsid w:val="009C4B31"/>
    <w:rsid w:val="009C4D58"/>
    <w:rsid w:val="009D21C8"/>
    <w:rsid w:val="009D255A"/>
    <w:rsid w:val="009D2A2A"/>
    <w:rsid w:val="009D4770"/>
    <w:rsid w:val="009D6EF9"/>
    <w:rsid w:val="009D715C"/>
    <w:rsid w:val="009E63AE"/>
    <w:rsid w:val="009E6909"/>
    <w:rsid w:val="009F12A5"/>
    <w:rsid w:val="009F40B9"/>
    <w:rsid w:val="009F6680"/>
    <w:rsid w:val="009F7829"/>
    <w:rsid w:val="00A02A0E"/>
    <w:rsid w:val="00A03681"/>
    <w:rsid w:val="00A11282"/>
    <w:rsid w:val="00A1184F"/>
    <w:rsid w:val="00A12B8F"/>
    <w:rsid w:val="00A12C69"/>
    <w:rsid w:val="00A14ECD"/>
    <w:rsid w:val="00A15B48"/>
    <w:rsid w:val="00A17EAC"/>
    <w:rsid w:val="00A214E0"/>
    <w:rsid w:val="00A23CFD"/>
    <w:rsid w:val="00A2478B"/>
    <w:rsid w:val="00A317D9"/>
    <w:rsid w:val="00A3460D"/>
    <w:rsid w:val="00A37137"/>
    <w:rsid w:val="00A37DB5"/>
    <w:rsid w:val="00A407EE"/>
    <w:rsid w:val="00A44EE3"/>
    <w:rsid w:val="00A4734E"/>
    <w:rsid w:val="00A5283F"/>
    <w:rsid w:val="00A52E60"/>
    <w:rsid w:val="00A576A8"/>
    <w:rsid w:val="00A6009C"/>
    <w:rsid w:val="00A70321"/>
    <w:rsid w:val="00A7058A"/>
    <w:rsid w:val="00A74036"/>
    <w:rsid w:val="00A74F9E"/>
    <w:rsid w:val="00A80BE6"/>
    <w:rsid w:val="00A83C9E"/>
    <w:rsid w:val="00A8589F"/>
    <w:rsid w:val="00A876DA"/>
    <w:rsid w:val="00A90528"/>
    <w:rsid w:val="00A93EB0"/>
    <w:rsid w:val="00A959DB"/>
    <w:rsid w:val="00A96426"/>
    <w:rsid w:val="00AA20CF"/>
    <w:rsid w:val="00AB1475"/>
    <w:rsid w:val="00AB3430"/>
    <w:rsid w:val="00AB5499"/>
    <w:rsid w:val="00AB5E23"/>
    <w:rsid w:val="00AB6C65"/>
    <w:rsid w:val="00AC10CE"/>
    <w:rsid w:val="00AC6489"/>
    <w:rsid w:val="00AD3FDC"/>
    <w:rsid w:val="00AE3470"/>
    <w:rsid w:val="00AE3ACE"/>
    <w:rsid w:val="00AE4A46"/>
    <w:rsid w:val="00AE561A"/>
    <w:rsid w:val="00AE569A"/>
    <w:rsid w:val="00AE5DFE"/>
    <w:rsid w:val="00AF0820"/>
    <w:rsid w:val="00AF0E78"/>
    <w:rsid w:val="00AF307B"/>
    <w:rsid w:val="00AF4553"/>
    <w:rsid w:val="00B065B9"/>
    <w:rsid w:val="00B12D1A"/>
    <w:rsid w:val="00B13B34"/>
    <w:rsid w:val="00B15BE6"/>
    <w:rsid w:val="00B17FD6"/>
    <w:rsid w:val="00B2354A"/>
    <w:rsid w:val="00B25088"/>
    <w:rsid w:val="00B2681F"/>
    <w:rsid w:val="00B32A7F"/>
    <w:rsid w:val="00B37001"/>
    <w:rsid w:val="00B4108C"/>
    <w:rsid w:val="00B424C9"/>
    <w:rsid w:val="00B44C4B"/>
    <w:rsid w:val="00B45FC3"/>
    <w:rsid w:val="00B460D9"/>
    <w:rsid w:val="00B46776"/>
    <w:rsid w:val="00B46E59"/>
    <w:rsid w:val="00B52F6B"/>
    <w:rsid w:val="00B53A23"/>
    <w:rsid w:val="00B66CA8"/>
    <w:rsid w:val="00B70581"/>
    <w:rsid w:val="00B7076A"/>
    <w:rsid w:val="00B727D1"/>
    <w:rsid w:val="00B72F53"/>
    <w:rsid w:val="00B744AC"/>
    <w:rsid w:val="00B80BE8"/>
    <w:rsid w:val="00B823AC"/>
    <w:rsid w:val="00B846B2"/>
    <w:rsid w:val="00B87747"/>
    <w:rsid w:val="00B91B61"/>
    <w:rsid w:val="00B92ECD"/>
    <w:rsid w:val="00B92EED"/>
    <w:rsid w:val="00B94BE3"/>
    <w:rsid w:val="00BA2FD3"/>
    <w:rsid w:val="00BA3CE1"/>
    <w:rsid w:val="00BA7E13"/>
    <w:rsid w:val="00BB1158"/>
    <w:rsid w:val="00BB240C"/>
    <w:rsid w:val="00BB4D21"/>
    <w:rsid w:val="00BB5802"/>
    <w:rsid w:val="00BB60ED"/>
    <w:rsid w:val="00BC50D0"/>
    <w:rsid w:val="00BC5121"/>
    <w:rsid w:val="00BD258D"/>
    <w:rsid w:val="00BD3FF0"/>
    <w:rsid w:val="00BD5642"/>
    <w:rsid w:val="00BE002B"/>
    <w:rsid w:val="00BE22CE"/>
    <w:rsid w:val="00BE56CB"/>
    <w:rsid w:val="00BF0BB2"/>
    <w:rsid w:val="00BF1FA5"/>
    <w:rsid w:val="00BF2DFE"/>
    <w:rsid w:val="00BF3088"/>
    <w:rsid w:val="00BF5C78"/>
    <w:rsid w:val="00BF5E0E"/>
    <w:rsid w:val="00BF62F2"/>
    <w:rsid w:val="00BF7C2F"/>
    <w:rsid w:val="00C010F9"/>
    <w:rsid w:val="00C03B38"/>
    <w:rsid w:val="00C07B46"/>
    <w:rsid w:val="00C20012"/>
    <w:rsid w:val="00C21896"/>
    <w:rsid w:val="00C2253F"/>
    <w:rsid w:val="00C24E52"/>
    <w:rsid w:val="00C27196"/>
    <w:rsid w:val="00C3006B"/>
    <w:rsid w:val="00C3021D"/>
    <w:rsid w:val="00C3077D"/>
    <w:rsid w:val="00C34F41"/>
    <w:rsid w:val="00C35D2E"/>
    <w:rsid w:val="00C36457"/>
    <w:rsid w:val="00C37A77"/>
    <w:rsid w:val="00C40EF2"/>
    <w:rsid w:val="00C43940"/>
    <w:rsid w:val="00C44DE2"/>
    <w:rsid w:val="00C4523E"/>
    <w:rsid w:val="00C452A4"/>
    <w:rsid w:val="00C521BE"/>
    <w:rsid w:val="00C54744"/>
    <w:rsid w:val="00C55822"/>
    <w:rsid w:val="00C63A1A"/>
    <w:rsid w:val="00C66DDF"/>
    <w:rsid w:val="00C71D97"/>
    <w:rsid w:val="00C71F45"/>
    <w:rsid w:val="00C74CF3"/>
    <w:rsid w:val="00C75482"/>
    <w:rsid w:val="00C77096"/>
    <w:rsid w:val="00C80EE7"/>
    <w:rsid w:val="00C844A2"/>
    <w:rsid w:val="00C84B81"/>
    <w:rsid w:val="00C863D3"/>
    <w:rsid w:val="00C86C48"/>
    <w:rsid w:val="00C91E93"/>
    <w:rsid w:val="00C96085"/>
    <w:rsid w:val="00C96AC2"/>
    <w:rsid w:val="00CA0BEA"/>
    <w:rsid w:val="00CA123A"/>
    <w:rsid w:val="00CB463B"/>
    <w:rsid w:val="00CB79E8"/>
    <w:rsid w:val="00CC3CB7"/>
    <w:rsid w:val="00CC51C9"/>
    <w:rsid w:val="00CC526B"/>
    <w:rsid w:val="00CC72D9"/>
    <w:rsid w:val="00CD11DC"/>
    <w:rsid w:val="00CD3152"/>
    <w:rsid w:val="00CE175F"/>
    <w:rsid w:val="00CE32A7"/>
    <w:rsid w:val="00CE35C1"/>
    <w:rsid w:val="00CE450D"/>
    <w:rsid w:val="00CE4B49"/>
    <w:rsid w:val="00CF11F0"/>
    <w:rsid w:val="00CF1B95"/>
    <w:rsid w:val="00CF23E0"/>
    <w:rsid w:val="00CF42C0"/>
    <w:rsid w:val="00CF49BA"/>
    <w:rsid w:val="00D0497F"/>
    <w:rsid w:val="00D11D56"/>
    <w:rsid w:val="00D122CC"/>
    <w:rsid w:val="00D124AE"/>
    <w:rsid w:val="00D14EF9"/>
    <w:rsid w:val="00D217C1"/>
    <w:rsid w:val="00D2539F"/>
    <w:rsid w:val="00D3026D"/>
    <w:rsid w:val="00D31231"/>
    <w:rsid w:val="00D37330"/>
    <w:rsid w:val="00D3753F"/>
    <w:rsid w:val="00D40A8C"/>
    <w:rsid w:val="00D42FF3"/>
    <w:rsid w:val="00D43007"/>
    <w:rsid w:val="00D51949"/>
    <w:rsid w:val="00D519D4"/>
    <w:rsid w:val="00D52D6D"/>
    <w:rsid w:val="00D67679"/>
    <w:rsid w:val="00D75AE8"/>
    <w:rsid w:val="00D760B1"/>
    <w:rsid w:val="00D806BB"/>
    <w:rsid w:val="00D84DFF"/>
    <w:rsid w:val="00D87590"/>
    <w:rsid w:val="00D87D74"/>
    <w:rsid w:val="00D922FC"/>
    <w:rsid w:val="00D94ED7"/>
    <w:rsid w:val="00D97C86"/>
    <w:rsid w:val="00DA4382"/>
    <w:rsid w:val="00DA7C31"/>
    <w:rsid w:val="00DB00C4"/>
    <w:rsid w:val="00DB0DDC"/>
    <w:rsid w:val="00DB2B4D"/>
    <w:rsid w:val="00DB544A"/>
    <w:rsid w:val="00DC03E7"/>
    <w:rsid w:val="00DC55B7"/>
    <w:rsid w:val="00DD0086"/>
    <w:rsid w:val="00DD4C9D"/>
    <w:rsid w:val="00DD6137"/>
    <w:rsid w:val="00DD7442"/>
    <w:rsid w:val="00DE3E35"/>
    <w:rsid w:val="00DE4795"/>
    <w:rsid w:val="00DE6918"/>
    <w:rsid w:val="00DE739D"/>
    <w:rsid w:val="00DE7912"/>
    <w:rsid w:val="00DF68C1"/>
    <w:rsid w:val="00E010A5"/>
    <w:rsid w:val="00E01165"/>
    <w:rsid w:val="00E024CE"/>
    <w:rsid w:val="00E10B1B"/>
    <w:rsid w:val="00E11128"/>
    <w:rsid w:val="00E12E9D"/>
    <w:rsid w:val="00E13BBE"/>
    <w:rsid w:val="00E1423F"/>
    <w:rsid w:val="00E23436"/>
    <w:rsid w:val="00E30859"/>
    <w:rsid w:val="00E31D7F"/>
    <w:rsid w:val="00E32BEF"/>
    <w:rsid w:val="00E3357C"/>
    <w:rsid w:val="00E3573C"/>
    <w:rsid w:val="00E37D94"/>
    <w:rsid w:val="00E400CE"/>
    <w:rsid w:val="00E40605"/>
    <w:rsid w:val="00E41134"/>
    <w:rsid w:val="00E4412F"/>
    <w:rsid w:val="00E4464F"/>
    <w:rsid w:val="00E4553C"/>
    <w:rsid w:val="00E45FFC"/>
    <w:rsid w:val="00E47C8A"/>
    <w:rsid w:val="00E5116F"/>
    <w:rsid w:val="00E533E6"/>
    <w:rsid w:val="00E5387A"/>
    <w:rsid w:val="00E5404E"/>
    <w:rsid w:val="00E73152"/>
    <w:rsid w:val="00E77F39"/>
    <w:rsid w:val="00E83522"/>
    <w:rsid w:val="00E85F4E"/>
    <w:rsid w:val="00E87CE5"/>
    <w:rsid w:val="00E90754"/>
    <w:rsid w:val="00E94688"/>
    <w:rsid w:val="00E95E88"/>
    <w:rsid w:val="00EA1C98"/>
    <w:rsid w:val="00EA1DF5"/>
    <w:rsid w:val="00EA1EA1"/>
    <w:rsid w:val="00EA3CCC"/>
    <w:rsid w:val="00EA7670"/>
    <w:rsid w:val="00EB74A3"/>
    <w:rsid w:val="00EC2553"/>
    <w:rsid w:val="00EC5627"/>
    <w:rsid w:val="00EC6CEF"/>
    <w:rsid w:val="00EC71CD"/>
    <w:rsid w:val="00ED0586"/>
    <w:rsid w:val="00ED565D"/>
    <w:rsid w:val="00ED616D"/>
    <w:rsid w:val="00EE2536"/>
    <w:rsid w:val="00EE50A2"/>
    <w:rsid w:val="00EF0BEC"/>
    <w:rsid w:val="00F02156"/>
    <w:rsid w:val="00F07252"/>
    <w:rsid w:val="00F119AF"/>
    <w:rsid w:val="00F1494D"/>
    <w:rsid w:val="00F14BD4"/>
    <w:rsid w:val="00F16DC7"/>
    <w:rsid w:val="00F21DA5"/>
    <w:rsid w:val="00F21DE3"/>
    <w:rsid w:val="00F24D06"/>
    <w:rsid w:val="00F27C18"/>
    <w:rsid w:val="00F36BBA"/>
    <w:rsid w:val="00F373B1"/>
    <w:rsid w:val="00F417C5"/>
    <w:rsid w:val="00F516D6"/>
    <w:rsid w:val="00F559CF"/>
    <w:rsid w:val="00F5654B"/>
    <w:rsid w:val="00F60F14"/>
    <w:rsid w:val="00F61319"/>
    <w:rsid w:val="00F65A94"/>
    <w:rsid w:val="00F72D6B"/>
    <w:rsid w:val="00F72E24"/>
    <w:rsid w:val="00F732B2"/>
    <w:rsid w:val="00F763E8"/>
    <w:rsid w:val="00F84A19"/>
    <w:rsid w:val="00F91851"/>
    <w:rsid w:val="00F95277"/>
    <w:rsid w:val="00F958DB"/>
    <w:rsid w:val="00F96B26"/>
    <w:rsid w:val="00FA062A"/>
    <w:rsid w:val="00FA1AF0"/>
    <w:rsid w:val="00FA1C3B"/>
    <w:rsid w:val="00FA3E1E"/>
    <w:rsid w:val="00FA4CB5"/>
    <w:rsid w:val="00FA56B4"/>
    <w:rsid w:val="00FB05F7"/>
    <w:rsid w:val="00FB134D"/>
    <w:rsid w:val="00FB23FC"/>
    <w:rsid w:val="00FC351C"/>
    <w:rsid w:val="00FD366D"/>
    <w:rsid w:val="00FD4587"/>
    <w:rsid w:val="00FD4C7E"/>
    <w:rsid w:val="00FE2FB5"/>
    <w:rsid w:val="00FE2FF5"/>
    <w:rsid w:val="00FE4EAD"/>
    <w:rsid w:val="00FE7D12"/>
    <w:rsid w:val="00FF1B66"/>
    <w:rsid w:val="00FF2940"/>
    <w:rsid w:val="00FF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EF3D30"/>
  <w15:docId w15:val="{594750B0-49BD-4226-BD3B-675CAD54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sz w:val="22"/>
      <w:lang w:eastAsia="ar-SA"/>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numPr>
        <w:ilvl w:val="1"/>
        <w:numId w:val="1"/>
      </w:numPr>
      <w:jc w:val="center"/>
      <w:outlineLvl w:val="1"/>
    </w:pPr>
    <w:rPr>
      <w:b/>
    </w:rPr>
  </w:style>
  <w:style w:type="paragraph" w:styleId="Heading3">
    <w:name w:val="heading 3"/>
    <w:basedOn w:val="Normal"/>
    <w:next w:val="Normal"/>
    <w:qFormat/>
    <w:pPr>
      <w:keepNext/>
      <w:numPr>
        <w:ilvl w:val="2"/>
        <w:numId w:val="1"/>
      </w:num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b/>
      <w:i w:val="0"/>
    </w:rPr>
  </w:style>
  <w:style w:type="character" w:customStyle="1" w:styleId="WW8Num6z0">
    <w:name w:val="WW8Num6z0"/>
    <w:rPr>
      <w:sz w:val="22"/>
    </w:rPr>
  </w:style>
  <w:style w:type="character" w:customStyle="1" w:styleId="WW8Num9z0">
    <w:name w:val="WW8Num9z0"/>
    <w:rPr>
      <w:rFonts w:ascii="Symbol" w:hAnsi="Symbol"/>
    </w:rPr>
  </w:style>
  <w:style w:type="character" w:customStyle="1" w:styleId="WW8Num11z0">
    <w:name w:val="WW8Num11z0"/>
    <w:rPr>
      <w:u w:val="none"/>
    </w:rPr>
  </w:style>
  <w:style w:type="character" w:styleId="PageNumber">
    <w:name w:val="page number"/>
    <w:basedOn w:val="DefaultParagraphFont"/>
  </w:style>
  <w:style w:type="character" w:styleId="CommentReference">
    <w:name w:val="annotation reference"/>
    <w:rPr>
      <w:sz w:val="16"/>
      <w:szCs w:val="16"/>
    </w:rPr>
  </w:style>
  <w:style w:type="character" w:customStyle="1" w:styleId="FootnoteCharacters">
    <w:name w:val="Footnote Characters"/>
    <w:rPr>
      <w:vertAlign w:val="superscript"/>
    </w:rPr>
  </w:style>
  <w:style w:type="character" w:styleId="FootnoteReference">
    <w:name w:val="footnote reference"/>
    <w:aliases w:val="(NECG) Footnote Reference,Style 12,Appel note de bas de p,Style 124,o,fr,Style 13,FR,Style 17,Style 3,Style 6,Footnote Reference/,Style 7"/>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semiHidden/>
    <w:rPr>
      <w:vertAlign w:val="superscript"/>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FootnoteText">
    <w:name w:val="footnote text"/>
    <w:aliases w:val="Footnote Text Char2,Footnote Text Char1 Char1,Footnote Text Char Char Char,Footnote Text Char1 Char Char Char,Footnote Text Char2 Char Char Char Char,Footnote Text Char Char Char Char Char Char,Footnote Text Char1,Footnote Text Char Char,f"/>
    <w:basedOn w:val="Normal"/>
    <w:link w:val="FootnoteTextChar"/>
    <w:rPr>
      <w:sz w:val="20"/>
    </w:rPr>
  </w:style>
  <w:style w:type="paragraph" w:customStyle="1" w:styleId="Framecontents">
    <w:name w:val="Frame contents"/>
    <w:basedOn w:val="BodyText"/>
  </w:style>
  <w:style w:type="paragraph" w:customStyle="1" w:styleId="ParaNum">
    <w:name w:val="ParaNum"/>
    <w:basedOn w:val="Normal"/>
    <w:link w:val="ParaNumChar"/>
    <w:uiPriority w:val="99"/>
    <w:rsid w:val="00216BCF"/>
    <w:pPr>
      <w:widowControl w:val="0"/>
      <w:numPr>
        <w:numId w:val="3"/>
      </w:numPr>
      <w:suppressAutoHyphens w:val="0"/>
      <w:spacing w:after="120"/>
    </w:pPr>
    <w:rPr>
      <w:snapToGrid w:val="0"/>
      <w:kern w:val="28"/>
      <w:lang w:eastAsia="en-US"/>
    </w:rPr>
  </w:style>
  <w:style w:type="character" w:customStyle="1" w:styleId="ParaNumChar">
    <w:name w:val="ParaNum Char"/>
    <w:link w:val="ParaNum"/>
    <w:uiPriority w:val="99"/>
    <w:locked/>
    <w:rsid w:val="00216BCF"/>
    <w:rPr>
      <w:snapToGrid w:val="0"/>
      <w:kern w:val="28"/>
      <w:sz w:val="22"/>
      <w:lang w:val="en-US" w:eastAsia="en-US" w:bidi="ar-SA"/>
    </w:rPr>
  </w:style>
  <w:style w:type="character" w:customStyle="1" w:styleId="FootnoteTextChar">
    <w:name w:val="Footnote Text Char"/>
    <w:aliases w:val="Footnote Text Char2 Char,Footnote Text Char1 Char1 Char,Footnote Text Char Char Char Char,Footnote Text Char1 Char Char Char Char,Footnote Text Char2 Char Char Char Char Char,Footnote Text Char Char Char Char Char Char Char,f Char"/>
    <w:link w:val="FootnoteText"/>
    <w:locked/>
    <w:rsid w:val="00216BCF"/>
    <w:rPr>
      <w:kern w:val="1"/>
      <w:lang w:val="en-US" w:eastAsia="ar-SA" w:bidi="ar-SA"/>
    </w:rPr>
  </w:style>
  <w:style w:type="paragraph" w:styleId="BodyTextIndent">
    <w:name w:val="Body Text Indent"/>
    <w:basedOn w:val="Normal"/>
    <w:rsid w:val="00C010F9"/>
    <w:pPr>
      <w:spacing w:after="120"/>
      <w:ind w:left="360"/>
    </w:pPr>
  </w:style>
  <w:style w:type="paragraph" w:customStyle="1" w:styleId="paranum0">
    <w:name w:val="paranum"/>
    <w:basedOn w:val="Normal"/>
    <w:link w:val="paranumChar0"/>
    <w:rsid w:val="00723701"/>
    <w:pPr>
      <w:tabs>
        <w:tab w:val="num" w:pos="1080"/>
      </w:tabs>
      <w:suppressAutoHyphens w:val="0"/>
      <w:spacing w:after="120"/>
      <w:ind w:firstLine="720"/>
    </w:pPr>
    <w:rPr>
      <w:snapToGrid w:val="0"/>
      <w:kern w:val="0"/>
      <w:lang w:eastAsia="en-US"/>
    </w:rPr>
  </w:style>
  <w:style w:type="character" w:customStyle="1" w:styleId="paranumChar0">
    <w:name w:val="paranum Char"/>
    <w:link w:val="paranum0"/>
    <w:locked/>
    <w:rsid w:val="00723701"/>
    <w:rPr>
      <w:snapToGrid w:val="0"/>
      <w:sz w:val="22"/>
      <w:lang w:val="en-US" w:eastAsia="en-US" w:bidi="ar-SA"/>
    </w:rPr>
  </w:style>
  <w:style w:type="character" w:customStyle="1" w:styleId="FootnoteTextChar1Char">
    <w:name w:val="Footnote Text Char1 Char"/>
    <w:aliases w:val="Footnote Text Char5 Char Char Char,Footnote Text Char Char Char Char Char,Footnote Text Char4 Char Char1 Char Char Char,Footnote Text Char2 Char Char2 Char2 Char Char Char"/>
    <w:uiPriority w:val="99"/>
    <w:locked/>
    <w:rsid w:val="00276BEF"/>
  </w:style>
  <w:style w:type="character" w:styleId="Hyperlink">
    <w:name w:val="Hyperlink"/>
    <w:rsid w:val="00780252"/>
    <w:rPr>
      <w:color w:val="0000FF"/>
      <w:u w:val="single"/>
    </w:rPr>
  </w:style>
  <w:style w:type="character" w:styleId="FollowedHyperlink">
    <w:name w:val="FollowedHyperlink"/>
    <w:rsid w:val="00FB23FC"/>
    <w:rPr>
      <w:color w:val="800080"/>
      <w:u w:val="single"/>
    </w:rPr>
  </w:style>
  <w:style w:type="paragraph" w:styleId="Revision">
    <w:name w:val="Revision"/>
    <w:hidden/>
    <w:uiPriority w:val="99"/>
    <w:semiHidden/>
    <w:rsid w:val="00467E70"/>
    <w:rPr>
      <w:kern w:val="1"/>
      <w:sz w:val="22"/>
      <w:lang w:eastAsia="ar-SA"/>
    </w:rPr>
  </w:style>
  <w:style w:type="paragraph" w:styleId="ListParagraph">
    <w:name w:val="List Paragraph"/>
    <w:basedOn w:val="Normal"/>
    <w:uiPriority w:val="34"/>
    <w:qFormat/>
    <w:rsid w:val="00F559CF"/>
    <w:pPr>
      <w:ind w:left="720"/>
      <w:contextualSpacing/>
    </w:pPr>
  </w:style>
  <w:style w:type="paragraph" w:customStyle="1" w:styleId="Bullet">
    <w:name w:val="Bullet"/>
    <w:basedOn w:val="Normal"/>
    <w:rsid w:val="00F07252"/>
    <w:pPr>
      <w:widowControl w:val="0"/>
      <w:tabs>
        <w:tab w:val="left" w:pos="2160"/>
      </w:tabs>
      <w:suppressAutoHyphens w:val="0"/>
      <w:spacing w:after="220"/>
      <w:ind w:left="2160" w:hanging="720"/>
    </w:pPr>
    <w:rPr>
      <w:snapToGrid w:val="0"/>
      <w:kern w:val="28"/>
      <w:lang w:eastAsia="en-US"/>
    </w:rPr>
  </w:style>
  <w:style w:type="character" w:customStyle="1" w:styleId="CommentTextChar">
    <w:name w:val="Comment Text Char"/>
    <w:basedOn w:val="DefaultParagraphFont"/>
    <w:link w:val="CommentText"/>
    <w:rsid w:val="00F119AF"/>
    <w:rPr>
      <w:kern w:val="1"/>
      <w:lang w:eastAsia="ar-SA"/>
    </w:rPr>
  </w:style>
  <w:style w:type="table" w:styleId="TableGrid">
    <w:name w:val="Table Grid"/>
    <w:basedOn w:val="TableNormal"/>
    <w:rsid w:val="00D12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361">
      <w:bodyDiv w:val="1"/>
      <w:marLeft w:val="0"/>
      <w:marRight w:val="0"/>
      <w:marTop w:val="0"/>
      <w:marBottom w:val="0"/>
      <w:divBdr>
        <w:top w:val="none" w:sz="0" w:space="0" w:color="auto"/>
        <w:left w:val="none" w:sz="0" w:space="0" w:color="auto"/>
        <w:bottom w:val="none" w:sz="0" w:space="0" w:color="auto"/>
        <w:right w:val="none" w:sz="0" w:space="0" w:color="auto"/>
      </w:divBdr>
    </w:div>
    <w:div w:id="32848137">
      <w:bodyDiv w:val="1"/>
      <w:marLeft w:val="0"/>
      <w:marRight w:val="0"/>
      <w:marTop w:val="0"/>
      <w:marBottom w:val="0"/>
      <w:divBdr>
        <w:top w:val="none" w:sz="0" w:space="0" w:color="auto"/>
        <w:left w:val="none" w:sz="0" w:space="0" w:color="auto"/>
        <w:bottom w:val="none" w:sz="0" w:space="0" w:color="auto"/>
        <w:right w:val="none" w:sz="0" w:space="0" w:color="auto"/>
      </w:divBdr>
    </w:div>
    <w:div w:id="224068096">
      <w:bodyDiv w:val="1"/>
      <w:marLeft w:val="0"/>
      <w:marRight w:val="0"/>
      <w:marTop w:val="0"/>
      <w:marBottom w:val="0"/>
      <w:divBdr>
        <w:top w:val="none" w:sz="0" w:space="0" w:color="auto"/>
        <w:left w:val="none" w:sz="0" w:space="0" w:color="auto"/>
        <w:bottom w:val="none" w:sz="0" w:space="0" w:color="auto"/>
        <w:right w:val="none" w:sz="0" w:space="0" w:color="auto"/>
      </w:divBdr>
    </w:div>
    <w:div w:id="319820575">
      <w:bodyDiv w:val="1"/>
      <w:marLeft w:val="0"/>
      <w:marRight w:val="0"/>
      <w:marTop w:val="0"/>
      <w:marBottom w:val="0"/>
      <w:divBdr>
        <w:top w:val="none" w:sz="0" w:space="0" w:color="auto"/>
        <w:left w:val="none" w:sz="0" w:space="0" w:color="auto"/>
        <w:bottom w:val="none" w:sz="0" w:space="0" w:color="auto"/>
        <w:right w:val="none" w:sz="0" w:space="0" w:color="auto"/>
      </w:divBdr>
    </w:div>
    <w:div w:id="371655276">
      <w:bodyDiv w:val="1"/>
      <w:marLeft w:val="0"/>
      <w:marRight w:val="0"/>
      <w:marTop w:val="0"/>
      <w:marBottom w:val="0"/>
      <w:divBdr>
        <w:top w:val="none" w:sz="0" w:space="0" w:color="auto"/>
        <w:left w:val="none" w:sz="0" w:space="0" w:color="auto"/>
        <w:bottom w:val="none" w:sz="0" w:space="0" w:color="auto"/>
        <w:right w:val="none" w:sz="0" w:space="0" w:color="auto"/>
      </w:divBdr>
    </w:div>
    <w:div w:id="509411812">
      <w:bodyDiv w:val="1"/>
      <w:marLeft w:val="0"/>
      <w:marRight w:val="0"/>
      <w:marTop w:val="0"/>
      <w:marBottom w:val="0"/>
      <w:divBdr>
        <w:top w:val="none" w:sz="0" w:space="0" w:color="auto"/>
        <w:left w:val="none" w:sz="0" w:space="0" w:color="auto"/>
        <w:bottom w:val="none" w:sz="0" w:space="0" w:color="auto"/>
        <w:right w:val="none" w:sz="0" w:space="0" w:color="auto"/>
      </w:divBdr>
    </w:div>
    <w:div w:id="571500397">
      <w:bodyDiv w:val="1"/>
      <w:marLeft w:val="0"/>
      <w:marRight w:val="0"/>
      <w:marTop w:val="0"/>
      <w:marBottom w:val="0"/>
      <w:divBdr>
        <w:top w:val="none" w:sz="0" w:space="0" w:color="auto"/>
        <w:left w:val="none" w:sz="0" w:space="0" w:color="auto"/>
        <w:bottom w:val="none" w:sz="0" w:space="0" w:color="auto"/>
        <w:right w:val="none" w:sz="0" w:space="0" w:color="auto"/>
      </w:divBdr>
    </w:div>
    <w:div w:id="760688780">
      <w:bodyDiv w:val="1"/>
      <w:marLeft w:val="0"/>
      <w:marRight w:val="0"/>
      <w:marTop w:val="0"/>
      <w:marBottom w:val="0"/>
      <w:divBdr>
        <w:top w:val="none" w:sz="0" w:space="0" w:color="auto"/>
        <w:left w:val="none" w:sz="0" w:space="0" w:color="auto"/>
        <w:bottom w:val="none" w:sz="0" w:space="0" w:color="auto"/>
        <w:right w:val="none" w:sz="0" w:space="0" w:color="auto"/>
      </w:divBdr>
    </w:div>
    <w:div w:id="811799327">
      <w:bodyDiv w:val="1"/>
      <w:marLeft w:val="0"/>
      <w:marRight w:val="0"/>
      <w:marTop w:val="0"/>
      <w:marBottom w:val="0"/>
      <w:divBdr>
        <w:top w:val="none" w:sz="0" w:space="0" w:color="auto"/>
        <w:left w:val="none" w:sz="0" w:space="0" w:color="auto"/>
        <w:bottom w:val="none" w:sz="0" w:space="0" w:color="auto"/>
        <w:right w:val="none" w:sz="0" w:space="0" w:color="auto"/>
      </w:divBdr>
      <w:divsChild>
        <w:div w:id="447893651">
          <w:marLeft w:val="0"/>
          <w:marRight w:val="0"/>
          <w:marTop w:val="0"/>
          <w:marBottom w:val="0"/>
          <w:divBdr>
            <w:top w:val="none" w:sz="0" w:space="0" w:color="auto"/>
            <w:left w:val="none" w:sz="0" w:space="0" w:color="auto"/>
            <w:bottom w:val="none" w:sz="0" w:space="0" w:color="auto"/>
            <w:right w:val="none" w:sz="0" w:space="0" w:color="auto"/>
          </w:divBdr>
          <w:divsChild>
            <w:div w:id="1177421662">
              <w:marLeft w:val="0"/>
              <w:marRight w:val="0"/>
              <w:marTop w:val="0"/>
              <w:marBottom w:val="0"/>
              <w:divBdr>
                <w:top w:val="none" w:sz="0" w:space="0" w:color="auto"/>
                <w:left w:val="none" w:sz="0" w:space="0" w:color="auto"/>
                <w:bottom w:val="none" w:sz="0" w:space="0" w:color="auto"/>
                <w:right w:val="none" w:sz="0" w:space="0" w:color="auto"/>
              </w:divBdr>
              <w:divsChild>
                <w:div w:id="1134518507">
                  <w:marLeft w:val="150"/>
                  <w:marRight w:val="150"/>
                  <w:marTop w:val="150"/>
                  <w:marBottom w:val="0"/>
                  <w:divBdr>
                    <w:top w:val="none" w:sz="0" w:space="0" w:color="auto"/>
                    <w:left w:val="none" w:sz="0" w:space="0" w:color="auto"/>
                    <w:bottom w:val="none" w:sz="0" w:space="0" w:color="auto"/>
                    <w:right w:val="none" w:sz="0" w:space="0" w:color="auto"/>
                  </w:divBdr>
                  <w:divsChild>
                    <w:div w:id="1835871847">
                      <w:marLeft w:val="0"/>
                      <w:marRight w:val="0"/>
                      <w:marTop w:val="150"/>
                      <w:marBottom w:val="0"/>
                      <w:divBdr>
                        <w:top w:val="none" w:sz="0" w:space="0" w:color="auto"/>
                        <w:left w:val="none" w:sz="0" w:space="0" w:color="auto"/>
                        <w:bottom w:val="none" w:sz="0" w:space="0" w:color="auto"/>
                        <w:right w:val="none" w:sz="0" w:space="0" w:color="auto"/>
                      </w:divBdr>
                      <w:divsChild>
                        <w:div w:id="1200556052">
                          <w:marLeft w:val="0"/>
                          <w:marRight w:val="0"/>
                          <w:marTop w:val="0"/>
                          <w:marBottom w:val="0"/>
                          <w:divBdr>
                            <w:top w:val="none" w:sz="0" w:space="0" w:color="auto"/>
                            <w:left w:val="none" w:sz="0" w:space="0" w:color="auto"/>
                            <w:bottom w:val="none" w:sz="0" w:space="0" w:color="auto"/>
                            <w:right w:val="none" w:sz="0" w:space="0" w:color="auto"/>
                          </w:divBdr>
                          <w:divsChild>
                            <w:div w:id="552426791">
                              <w:marLeft w:val="0"/>
                              <w:marRight w:val="0"/>
                              <w:marTop w:val="0"/>
                              <w:marBottom w:val="0"/>
                              <w:divBdr>
                                <w:top w:val="none" w:sz="0" w:space="0" w:color="auto"/>
                                <w:left w:val="none" w:sz="0" w:space="0" w:color="auto"/>
                                <w:bottom w:val="none" w:sz="0" w:space="0" w:color="auto"/>
                                <w:right w:val="none" w:sz="0" w:space="0" w:color="auto"/>
                              </w:divBdr>
                              <w:divsChild>
                                <w:div w:id="197549096">
                                  <w:marLeft w:val="0"/>
                                  <w:marRight w:val="0"/>
                                  <w:marTop w:val="0"/>
                                  <w:marBottom w:val="0"/>
                                  <w:divBdr>
                                    <w:top w:val="none" w:sz="0" w:space="0" w:color="auto"/>
                                    <w:left w:val="none" w:sz="0" w:space="0" w:color="auto"/>
                                    <w:bottom w:val="none" w:sz="0" w:space="0" w:color="auto"/>
                                    <w:right w:val="none" w:sz="0" w:space="0" w:color="auto"/>
                                  </w:divBdr>
                                  <w:divsChild>
                                    <w:div w:id="1399671360">
                                      <w:marLeft w:val="0"/>
                                      <w:marRight w:val="0"/>
                                      <w:marTop w:val="0"/>
                                      <w:marBottom w:val="0"/>
                                      <w:divBdr>
                                        <w:top w:val="none" w:sz="0" w:space="0" w:color="auto"/>
                                        <w:left w:val="none" w:sz="0" w:space="0" w:color="auto"/>
                                        <w:bottom w:val="none" w:sz="0" w:space="0" w:color="auto"/>
                                        <w:right w:val="none" w:sz="0" w:space="0" w:color="auto"/>
                                      </w:divBdr>
                                      <w:divsChild>
                                        <w:div w:id="800538440">
                                          <w:marLeft w:val="0"/>
                                          <w:marRight w:val="0"/>
                                          <w:marTop w:val="0"/>
                                          <w:marBottom w:val="0"/>
                                          <w:divBdr>
                                            <w:top w:val="none" w:sz="0" w:space="0" w:color="auto"/>
                                            <w:left w:val="none" w:sz="0" w:space="0" w:color="auto"/>
                                            <w:bottom w:val="none" w:sz="0" w:space="0" w:color="auto"/>
                                            <w:right w:val="none" w:sz="0" w:space="0" w:color="auto"/>
                                          </w:divBdr>
                                          <w:divsChild>
                                            <w:div w:id="1264075488">
                                              <w:marLeft w:val="0"/>
                                              <w:marRight w:val="0"/>
                                              <w:marTop w:val="0"/>
                                              <w:marBottom w:val="0"/>
                                              <w:divBdr>
                                                <w:top w:val="none" w:sz="0" w:space="0" w:color="auto"/>
                                                <w:left w:val="none" w:sz="0" w:space="0" w:color="auto"/>
                                                <w:bottom w:val="none" w:sz="0" w:space="0" w:color="auto"/>
                                                <w:right w:val="none" w:sz="0" w:space="0" w:color="auto"/>
                                              </w:divBdr>
                                            </w:div>
                                            <w:div w:id="191970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502234">
      <w:bodyDiv w:val="1"/>
      <w:marLeft w:val="0"/>
      <w:marRight w:val="0"/>
      <w:marTop w:val="0"/>
      <w:marBottom w:val="0"/>
      <w:divBdr>
        <w:top w:val="none" w:sz="0" w:space="0" w:color="auto"/>
        <w:left w:val="none" w:sz="0" w:space="0" w:color="auto"/>
        <w:bottom w:val="none" w:sz="0" w:space="0" w:color="auto"/>
        <w:right w:val="none" w:sz="0" w:space="0" w:color="auto"/>
      </w:divBdr>
    </w:div>
    <w:div w:id="947355014">
      <w:bodyDiv w:val="1"/>
      <w:marLeft w:val="0"/>
      <w:marRight w:val="0"/>
      <w:marTop w:val="0"/>
      <w:marBottom w:val="0"/>
      <w:divBdr>
        <w:top w:val="none" w:sz="0" w:space="0" w:color="auto"/>
        <w:left w:val="none" w:sz="0" w:space="0" w:color="auto"/>
        <w:bottom w:val="none" w:sz="0" w:space="0" w:color="auto"/>
        <w:right w:val="none" w:sz="0" w:space="0" w:color="auto"/>
      </w:divBdr>
    </w:div>
    <w:div w:id="998003885">
      <w:bodyDiv w:val="1"/>
      <w:marLeft w:val="0"/>
      <w:marRight w:val="0"/>
      <w:marTop w:val="0"/>
      <w:marBottom w:val="0"/>
      <w:divBdr>
        <w:top w:val="none" w:sz="0" w:space="0" w:color="auto"/>
        <w:left w:val="none" w:sz="0" w:space="0" w:color="auto"/>
        <w:bottom w:val="none" w:sz="0" w:space="0" w:color="auto"/>
        <w:right w:val="none" w:sz="0" w:space="0" w:color="auto"/>
      </w:divBdr>
    </w:div>
    <w:div w:id="1086418449">
      <w:bodyDiv w:val="1"/>
      <w:marLeft w:val="0"/>
      <w:marRight w:val="0"/>
      <w:marTop w:val="0"/>
      <w:marBottom w:val="0"/>
      <w:divBdr>
        <w:top w:val="none" w:sz="0" w:space="0" w:color="auto"/>
        <w:left w:val="none" w:sz="0" w:space="0" w:color="auto"/>
        <w:bottom w:val="none" w:sz="0" w:space="0" w:color="auto"/>
        <w:right w:val="none" w:sz="0" w:space="0" w:color="auto"/>
      </w:divBdr>
    </w:div>
    <w:div w:id="1134711842">
      <w:bodyDiv w:val="1"/>
      <w:marLeft w:val="0"/>
      <w:marRight w:val="0"/>
      <w:marTop w:val="0"/>
      <w:marBottom w:val="0"/>
      <w:divBdr>
        <w:top w:val="none" w:sz="0" w:space="0" w:color="auto"/>
        <w:left w:val="none" w:sz="0" w:space="0" w:color="auto"/>
        <w:bottom w:val="none" w:sz="0" w:space="0" w:color="auto"/>
        <w:right w:val="none" w:sz="0" w:space="0" w:color="auto"/>
      </w:divBdr>
    </w:div>
    <w:div w:id="1803569627">
      <w:bodyDiv w:val="1"/>
      <w:marLeft w:val="0"/>
      <w:marRight w:val="0"/>
      <w:marTop w:val="0"/>
      <w:marBottom w:val="0"/>
      <w:divBdr>
        <w:top w:val="none" w:sz="0" w:space="0" w:color="auto"/>
        <w:left w:val="none" w:sz="0" w:space="0" w:color="auto"/>
        <w:bottom w:val="none" w:sz="0" w:space="0" w:color="auto"/>
        <w:right w:val="none" w:sz="0" w:space="0" w:color="auto"/>
      </w:divBdr>
    </w:div>
    <w:div w:id="2066640082">
      <w:bodyDiv w:val="1"/>
      <w:marLeft w:val="0"/>
      <w:marRight w:val="0"/>
      <w:marTop w:val="0"/>
      <w:marBottom w:val="0"/>
      <w:divBdr>
        <w:top w:val="none" w:sz="0" w:space="0" w:color="auto"/>
        <w:left w:val="none" w:sz="0" w:space="0" w:color="auto"/>
        <w:bottom w:val="none" w:sz="0" w:space="0" w:color="auto"/>
        <w:right w:val="none" w:sz="0" w:space="0" w:color="auto"/>
      </w:divBdr>
      <w:divsChild>
        <w:div w:id="453793408">
          <w:marLeft w:val="0"/>
          <w:marRight w:val="0"/>
          <w:marTop w:val="0"/>
          <w:marBottom w:val="0"/>
          <w:divBdr>
            <w:top w:val="none" w:sz="0" w:space="0" w:color="auto"/>
            <w:left w:val="none" w:sz="0" w:space="0" w:color="auto"/>
            <w:bottom w:val="none" w:sz="0" w:space="0" w:color="auto"/>
            <w:right w:val="none" w:sz="0" w:space="0" w:color="auto"/>
          </w:divBdr>
          <w:divsChild>
            <w:div w:id="8072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opm.gov/policy-data-oversight/pay-leave/salaries-wages/salary-tables/pdf/2016/DCB_h.pdf" TargetMode="External"/><Relationship Id="rId1" Type="http://schemas.openxmlformats.org/officeDocument/2006/relationships/hyperlink" Target="https://www.fcc.gov/network-outage-reporting-system-n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FDA4A-F50E-4D6E-9128-B9830B3B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3667</Words>
  <Characters>20908</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The Commission is requesting Office of Management and Budget (OMB) approval for a revision of this information collection</vt:lpstr>
    </vt:vector>
  </TitlesOfParts>
  <Company>Federal Communications Commission</Company>
  <LinksUpToDate>false</LinksUpToDate>
  <CharactersWithSpaces>24526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Commission is requesting Office of Management and Budget (OMB) approval for a revision of this information collection</dc:title>
  <dc:creator>nwalls</dc:creator>
  <cp:lastModifiedBy>Nicole Ongele</cp:lastModifiedBy>
  <cp:revision>2</cp:revision>
  <cp:lastPrinted>2016-11-18T21:26:00Z</cp:lastPrinted>
  <dcterms:created xsi:type="dcterms:W3CDTF">2016-11-22T13:43:00Z</dcterms:created>
  <dcterms:modified xsi:type="dcterms:W3CDTF">2016-11-22T13:43:00Z</dcterms:modified>
</cp:coreProperties>
</file>