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3710F" w14:textId="7FA95DA8" w:rsidR="00A644F3" w:rsidRDefault="00A644F3" w:rsidP="00A644F3">
      <w:pPr>
        <w:jc w:val="center"/>
        <w:rPr>
          <w:rFonts w:ascii="Times New Roman" w:hAnsi="Times New Roman" w:cs="Times New Roman"/>
          <w:sz w:val="24"/>
          <w:szCs w:val="24"/>
        </w:rPr>
      </w:pPr>
      <w:r w:rsidRPr="009C6442">
        <w:rPr>
          <w:rFonts w:ascii="Times New Roman" w:hAnsi="Times New Roman" w:cs="Times New Roman"/>
          <w:b/>
          <w:sz w:val="24"/>
          <w:szCs w:val="24"/>
        </w:rPr>
        <w:t xml:space="preserve">Supporting Statement for </w:t>
      </w:r>
      <w:r w:rsidRPr="009C6442">
        <w:rPr>
          <w:rFonts w:ascii="Times New Roman" w:hAnsi="Times New Roman" w:cs="Times New Roman"/>
          <w:sz w:val="24"/>
          <w:szCs w:val="24"/>
        </w:rPr>
        <w:t xml:space="preserve"> </w:t>
      </w:r>
    </w:p>
    <w:p w14:paraId="69053E0A" w14:textId="0473BFD2" w:rsidR="00A644F3" w:rsidRPr="009C6442" w:rsidRDefault="002E68B2" w:rsidP="00A644F3">
      <w:pPr>
        <w:jc w:val="center"/>
        <w:rPr>
          <w:rFonts w:ascii="Times New Roman" w:hAnsi="Times New Roman" w:cs="Times New Roman"/>
          <w:b/>
          <w:sz w:val="24"/>
          <w:szCs w:val="24"/>
        </w:rPr>
      </w:pPr>
      <w:r>
        <w:rPr>
          <w:rFonts w:ascii="Times New Roman" w:hAnsi="Times New Roman" w:cs="Times New Roman"/>
          <w:b/>
          <w:sz w:val="24"/>
          <w:szCs w:val="24"/>
        </w:rPr>
        <w:t>Risk Preferences and Demand for Crop Insurance and Cover Crop Programs</w:t>
      </w:r>
    </w:p>
    <w:p w14:paraId="0929ED90" w14:textId="77777777" w:rsidR="00A644F3" w:rsidRPr="009C6442" w:rsidRDefault="00A644F3" w:rsidP="00A644F3">
      <w:pPr>
        <w:pStyle w:val="BodyText"/>
        <w:jc w:val="center"/>
        <w:rPr>
          <w:b/>
        </w:rPr>
      </w:pPr>
      <w:r w:rsidRPr="009C6442">
        <w:rPr>
          <w:b/>
        </w:rPr>
        <w:t>Section A</w:t>
      </w:r>
    </w:p>
    <w:p w14:paraId="05AE1B54" w14:textId="77777777" w:rsidR="00A644F3" w:rsidRDefault="00A644F3" w:rsidP="00A644F3"/>
    <w:p w14:paraId="537F9DE8" w14:textId="77777777" w:rsidR="008C2EFF" w:rsidRDefault="008C2EFF" w:rsidP="00463AD3"/>
    <w:p w14:paraId="61D9B834" w14:textId="77777777" w:rsidR="00950FD5" w:rsidRPr="00C715CA" w:rsidRDefault="00950FD5" w:rsidP="00950FD5">
      <w:pPr>
        <w:pStyle w:val="Heading2"/>
      </w:pPr>
      <w:r>
        <w:t>Justification</w:t>
      </w:r>
    </w:p>
    <w:p w14:paraId="787C8472" w14:textId="77777777" w:rsidR="004B4719" w:rsidRPr="00E2259A" w:rsidRDefault="00463AD3" w:rsidP="00463AD3">
      <w:pPr>
        <w:pStyle w:val="ListParagraph"/>
        <w:numPr>
          <w:ilvl w:val="0"/>
          <w:numId w:val="1"/>
        </w:numPr>
        <w:rPr>
          <w:b/>
        </w:rPr>
      </w:pPr>
      <w:r w:rsidRPr="00E2259A">
        <w:rPr>
          <w:b/>
        </w:rPr>
        <w:t>Circumstances making the collection of information necessary</w:t>
      </w:r>
    </w:p>
    <w:p w14:paraId="5E6D837B" w14:textId="2D821C5A" w:rsidR="004C1FAA" w:rsidRDefault="0055404B" w:rsidP="004C1FAA">
      <w:r>
        <w:t xml:space="preserve">ERS currently models the demand for federal crop insurance and cover crop promotion programs as part of multiple research objectives.  </w:t>
      </w:r>
      <w:r w:rsidR="004C1FAA">
        <w:t xml:space="preserve">Federal crop insurance programs and soil conservation programs, including those that promote use of cover crops, can significantly alter the farm revenue risk profile for the farmers who adopt them.  Whether farmers will choose to adopt insurance and/or soil conservation programs depends on the individual risks faced by each farmer, which can vary across different regions, crops, and time periods, as well as how farmers assess the costs of the risks that they face.  In practice, large premium subsides are necessary to induce widespread enrollment by farmers in federal crop insurance, and few US farmers adopt the maximum possible levels of crop insurance.  Similarly, enrollment in soil conservation programs represents a small fraction of eligible farmers.  Under reasonable assumptions about the risk profiles that farmers face, the high premium subsidy rates </w:t>
      </w:r>
      <w:proofErr w:type="gramStart"/>
      <w:r w:rsidR="004C1FAA">
        <w:t>necessary</w:t>
      </w:r>
      <w:proofErr w:type="gramEnd"/>
      <w:r w:rsidR="004C1FAA">
        <w:t xml:space="preserve"> to induce insurance enrollment, the low adoption levels for the highest insurance coverage rates, and the low adoption rates for soil conservation programs are </w:t>
      </w:r>
      <w:r w:rsidR="00435CD7">
        <w:t xml:space="preserve">all </w:t>
      </w:r>
      <w:r w:rsidR="004C1FAA">
        <w:t>inconsistent with traditional theories of farmer decision-making under risk (</w:t>
      </w:r>
      <w:r w:rsidR="00381BD2">
        <w:t xml:space="preserve">Pannell et al, 2000; </w:t>
      </w:r>
      <w:r w:rsidR="004C1FAA">
        <w:t xml:space="preserve">Babcock, 2015; Du et al., 2016).    </w:t>
      </w:r>
    </w:p>
    <w:p w14:paraId="5BF1F649" w14:textId="12614E37" w:rsidR="00A95427" w:rsidRDefault="0055404B" w:rsidP="00AE6799">
      <w:r>
        <w:t>ERS’</w:t>
      </w:r>
      <w:r w:rsidR="004C1FAA">
        <w:t xml:space="preserve"> economic models</w:t>
      </w:r>
      <w:r w:rsidR="00407177">
        <w:t>, however,</w:t>
      </w:r>
      <w:r w:rsidR="004C1FAA">
        <w:t xml:space="preserve"> rely on traditional economic theories of farmer decision-making under risk</w:t>
      </w:r>
      <w:r w:rsidR="00875364">
        <w:t>, and</w:t>
      </w:r>
      <w:r w:rsidR="004C1FAA">
        <w:t xml:space="preserve"> over-predict participation rates for all of these programs.  </w:t>
      </w:r>
      <w:r w:rsidR="008E09A6">
        <w:t>Two reasons have been put forth to explain the divergence between model predictions and actual program adoption rates</w:t>
      </w:r>
      <w:r w:rsidR="009753C0">
        <w:t xml:space="preserve"> (see Sydnor, 2010, </w:t>
      </w:r>
      <w:proofErr w:type="spellStart"/>
      <w:r w:rsidR="009753C0">
        <w:t>Barseghyan</w:t>
      </w:r>
      <w:proofErr w:type="spellEnd"/>
      <w:r w:rsidR="009753C0">
        <w:t xml:space="preserve"> et al, 2013, Babcock, 2015, Du et al, 2016, and Attachment C)</w:t>
      </w:r>
      <w:r w:rsidR="008E09A6">
        <w:t xml:space="preserve">.  </w:t>
      </w:r>
    </w:p>
    <w:p w14:paraId="6C822582" w14:textId="747D4850" w:rsidR="00B74AA6" w:rsidRDefault="00A95427" w:rsidP="00AE6799">
      <w:r>
        <w:t xml:space="preserve">First, </w:t>
      </w:r>
      <w:r w:rsidR="0053589B">
        <w:t xml:space="preserve">existing </w:t>
      </w:r>
      <w:r w:rsidR="00463760">
        <w:t xml:space="preserve">economic </w:t>
      </w:r>
      <w:r>
        <w:t>models do not account for interaction effects between different risk management prog</w:t>
      </w:r>
      <w:r w:rsidR="00E628B6">
        <w:t xml:space="preserve">rams.  </w:t>
      </w:r>
      <w:r w:rsidR="005A4BEA">
        <w:t>Econometric</w:t>
      </w:r>
      <w:r w:rsidR="001F112C">
        <w:t xml:space="preserve"> </w:t>
      </w:r>
      <w:r w:rsidR="00DF234D">
        <w:t>studies</w:t>
      </w:r>
      <w:r w:rsidR="00AE6799">
        <w:t xml:space="preserve"> </w:t>
      </w:r>
      <w:r w:rsidR="00DF234D">
        <w:t>about</w:t>
      </w:r>
      <w:r w:rsidR="00AE6799">
        <w:t xml:space="preserve"> the joint effects of both types of programs on farm revenues and env</w:t>
      </w:r>
      <w:r w:rsidR="00DF234D">
        <w:t>ironmental outcomes are</w:t>
      </w:r>
      <w:r w:rsidR="00AE6799">
        <w:t xml:space="preserve"> </w:t>
      </w:r>
      <w:r w:rsidR="00933C84">
        <w:t>few</w:t>
      </w:r>
      <w:r w:rsidR="00AE6799">
        <w:t xml:space="preserve"> and inconclusive.  </w:t>
      </w:r>
      <w:r w:rsidR="009F4645" w:rsidRPr="00165335">
        <w:rPr>
          <w:rFonts w:cs="Akzidenz Grotesk BE Light"/>
          <w:color w:val="000000"/>
        </w:rPr>
        <w:t xml:space="preserve">This research is difficult to conduct with observational or administrative data due to the heterogeneity of US farms and production practices, the variety and complexity of real-world programs, </w:t>
      </w:r>
      <w:r w:rsidR="009F4645">
        <w:t>and the limited variation in premium subsidies across the US farming population.</w:t>
      </w:r>
      <w:r w:rsidR="000C2596">
        <w:t xml:space="preserve">  </w:t>
      </w:r>
    </w:p>
    <w:p w14:paraId="57E5E802" w14:textId="1952988F" w:rsidR="00F1168F" w:rsidRDefault="00A95427" w:rsidP="00F1168F">
      <w:r>
        <w:t>Second,</w:t>
      </w:r>
      <w:r w:rsidR="005F16C1">
        <w:t xml:space="preserve"> the behavioral mechanisms used by ERS </w:t>
      </w:r>
      <w:r>
        <w:t xml:space="preserve">to model farmer decision-making under risk may be outdated.  </w:t>
      </w:r>
      <w:r w:rsidR="00F1168F">
        <w:t>The classical economic model of risk preferences is called expected utility or “EU” (von Neumann and Morgenstern, 1944).  Under the EU model, risk impacts how individuals assess the value of a decision.  The EU model classifies individuals as risk-seeking, risk-neutral, or risk-averse depending on their idiosyncratic taste for risk.  A farmer who behaves with EU risk</w:t>
      </w:r>
      <w:r w:rsidR="00275157">
        <w:t xml:space="preserve"> </w:t>
      </w:r>
      <w:r w:rsidR="00F1168F">
        <w:t>aversion would be expected to fully insure against risk and to avoid any cover crop inv</w:t>
      </w:r>
      <w:r w:rsidR="00F26389">
        <w:t>estments that increase the variance of</w:t>
      </w:r>
      <w:r w:rsidR="00287A2B">
        <w:t xml:space="preserve"> production</w:t>
      </w:r>
      <w:r w:rsidR="00F1168F">
        <w:t xml:space="preserve"> risk.  </w:t>
      </w:r>
    </w:p>
    <w:p w14:paraId="422668F8" w14:textId="24CECCE5" w:rsidR="00CA3513" w:rsidRDefault="00F1168F" w:rsidP="00AE6799">
      <w:r>
        <w:t>In practice, few farmers adopt the maximum possible levels of crop insurance</w:t>
      </w:r>
      <w:r w:rsidR="00F30354">
        <w:t xml:space="preserve"> and</w:t>
      </w:r>
      <w:r w:rsidR="00BE540B">
        <w:t>,</w:t>
      </w:r>
      <w:r w:rsidR="00F30354">
        <w:t xml:space="preserve"> </w:t>
      </w:r>
      <w:r w:rsidR="009E2E04">
        <w:t xml:space="preserve">more generally, high premium subsidies are necessary to induce widespread </w:t>
      </w:r>
      <w:r w:rsidR="00F30354">
        <w:t>enrollment. In addition,</w:t>
      </w:r>
      <w:r>
        <w:t xml:space="preserve"> enrollment in soil </w:t>
      </w:r>
      <w:r>
        <w:lastRenderedPageBreak/>
        <w:t>conservation programs represents a small fraction of eligible farmers.  Several competing theories of decision-making under risk –</w:t>
      </w:r>
      <w:r w:rsidR="004F6A56">
        <w:t xml:space="preserve"> collectively referred to as</w:t>
      </w:r>
      <w:r>
        <w:t xml:space="preserve"> non-EU preferences – all predict that farmers will purchase less insurance than the levels predicted with EU preferences.  </w:t>
      </w:r>
      <w:r w:rsidR="004F6A56">
        <w:t>Cumulative Prospect Theory (</w:t>
      </w:r>
      <w:r>
        <w:t>CPT</w:t>
      </w:r>
      <w:r w:rsidR="004F6A56">
        <w:t>)</w:t>
      </w:r>
      <w:r>
        <w:t xml:space="preserve"> incorporates a number of features of observed decision making under risk that are not accurately captured by the </w:t>
      </w:r>
      <w:r w:rsidR="003A434C">
        <w:t>EU</w:t>
      </w:r>
      <w:r w:rsidR="00590540">
        <w:t xml:space="preserve"> model, including loss aversion</w:t>
      </w:r>
      <w:r>
        <w:t xml:space="preserve">, over-weighting of rare probabilities, and evaluating risks relative to a reference point instead of </w:t>
      </w:r>
      <w:r w:rsidR="005F4FC2">
        <w:t xml:space="preserve">relative to </w:t>
      </w:r>
      <w:r>
        <w:t>current wealth holdings</w:t>
      </w:r>
      <w:r w:rsidR="00E7400C">
        <w:t xml:space="preserve"> (</w:t>
      </w:r>
      <w:proofErr w:type="spellStart"/>
      <w:r w:rsidR="00E7400C">
        <w:t>Tversky</w:t>
      </w:r>
      <w:proofErr w:type="spellEnd"/>
      <w:r w:rsidR="00E7400C">
        <w:t xml:space="preserve"> and </w:t>
      </w:r>
      <w:proofErr w:type="spellStart"/>
      <w:r w:rsidR="00E7400C">
        <w:t>Kahneman</w:t>
      </w:r>
      <w:proofErr w:type="spellEnd"/>
      <w:r w:rsidR="00E7400C">
        <w:t xml:space="preserve">, 1992; </w:t>
      </w:r>
      <w:proofErr w:type="spellStart"/>
      <w:r w:rsidR="00E7400C">
        <w:t>Camerer</w:t>
      </w:r>
      <w:proofErr w:type="spellEnd"/>
      <w:r w:rsidR="00E7400C">
        <w:t>, 2004)</w:t>
      </w:r>
      <w:r>
        <w:t>.</w:t>
      </w:r>
      <w:r w:rsidR="00CA3513">
        <w:t xml:space="preserve">  Myopic loss aversion </w:t>
      </w:r>
      <w:r w:rsidR="0001605C">
        <w:t xml:space="preserve">(MLA) </w:t>
      </w:r>
      <w:r w:rsidR="005903AF">
        <w:t>predicts that individuals will be more loss averse over short-term risky decisions than over longer-term repeated decisions</w:t>
      </w:r>
      <w:r w:rsidR="00E7400C">
        <w:t xml:space="preserve"> (</w:t>
      </w:r>
      <w:proofErr w:type="spellStart"/>
      <w:r w:rsidR="00E7400C">
        <w:t>Benartzi</w:t>
      </w:r>
      <w:proofErr w:type="spellEnd"/>
      <w:r w:rsidR="00E7400C">
        <w:t xml:space="preserve"> and </w:t>
      </w:r>
      <w:proofErr w:type="spellStart"/>
      <w:r w:rsidR="00E7400C">
        <w:t>Thaler</w:t>
      </w:r>
      <w:proofErr w:type="spellEnd"/>
      <w:r w:rsidR="00E7400C">
        <w:t xml:space="preserve">, 1995; </w:t>
      </w:r>
      <w:proofErr w:type="spellStart"/>
      <w:r w:rsidR="00E7400C">
        <w:t>Thaler</w:t>
      </w:r>
      <w:proofErr w:type="spellEnd"/>
      <w:r w:rsidR="00E7400C">
        <w:t xml:space="preserve"> et al, 1997)</w:t>
      </w:r>
      <w:r w:rsidR="005903AF">
        <w:t xml:space="preserve">.  </w:t>
      </w:r>
      <w:r>
        <w:t xml:space="preserve">  </w:t>
      </w:r>
    </w:p>
    <w:p w14:paraId="3ABFFDB1" w14:textId="7ED22E94" w:rsidR="00AF56BC" w:rsidRDefault="00F1168F" w:rsidP="00AE6799">
      <w:r>
        <w:t xml:space="preserve">CPT </w:t>
      </w:r>
      <w:r w:rsidR="00CA3513">
        <w:t xml:space="preserve">and MLA </w:t>
      </w:r>
      <w:r>
        <w:t>risk preferences</w:t>
      </w:r>
      <w:r w:rsidR="00AF56BC">
        <w:t xml:space="preserve"> </w:t>
      </w:r>
      <w:r w:rsidR="001F112C">
        <w:t>have been proposed to explain the patterns of</w:t>
      </w:r>
      <w:r w:rsidR="004E2BC3">
        <w:t xml:space="preserve"> program adoption observed for </w:t>
      </w:r>
      <w:r w:rsidR="00275157">
        <w:t>commodity support programs, federal crop insurance</w:t>
      </w:r>
      <w:r w:rsidR="004E2BC3">
        <w:t xml:space="preserve">, and cover crop promotion programs.  </w:t>
      </w:r>
      <w:r w:rsidR="001D6383">
        <w:t xml:space="preserve">They have been hypothesized as possible reasons for discrepancies between economic model predictions and actual enrollment decisions.  </w:t>
      </w:r>
      <w:r w:rsidR="008A2428">
        <w:t xml:space="preserve">Testing the predictions of these theories, however, </w:t>
      </w:r>
      <w:r w:rsidR="00AF56BC">
        <w:t xml:space="preserve">cannot be </w:t>
      </w:r>
      <w:r w:rsidR="008A2428">
        <w:t>performed</w:t>
      </w:r>
      <w:r w:rsidR="00AF56BC">
        <w:t xml:space="preserve"> </w:t>
      </w:r>
      <w:r w:rsidR="008A2428">
        <w:t>with</w:t>
      </w:r>
      <w:r w:rsidR="00AF56BC">
        <w:t xml:space="preserve"> existing survey or administrative sources because of the complexity of real-world risk environments and a lack of instruments to identify preferences over a </w:t>
      </w:r>
      <w:r w:rsidR="00D52716">
        <w:t xml:space="preserve">suitable </w:t>
      </w:r>
      <w:r w:rsidR="00AF56BC">
        <w:t xml:space="preserve">range of risky gains and losses. </w:t>
      </w:r>
      <w:r w:rsidR="00FA43DA">
        <w:t xml:space="preserve">This study will collect </w:t>
      </w:r>
      <w:r w:rsidR="007D0092">
        <w:t xml:space="preserve">the </w:t>
      </w:r>
      <w:r w:rsidR="00FA43DA">
        <w:t>data necessary to accurately measure CPT and MLA preferences, and test for correlations between these preferences and demand for stylized versions of crop insurance and cover crop programs</w:t>
      </w:r>
      <w:r w:rsidR="00EF0B84">
        <w:t xml:space="preserve"> in a simplified laboratory environment</w:t>
      </w:r>
      <w:r w:rsidR="00FA43DA">
        <w:t xml:space="preserve">.  </w:t>
      </w:r>
    </w:p>
    <w:p w14:paraId="72744DC8" w14:textId="46EC9A0B" w:rsidR="00F9095A" w:rsidRDefault="00F9095A" w:rsidP="00463AD3">
      <w:r>
        <w:t xml:space="preserve">The standard approach for studying the effect of </w:t>
      </w:r>
      <w:r w:rsidR="000B3016">
        <w:t xml:space="preserve">behavioral </w:t>
      </w:r>
      <w:r w:rsidR="00C23E67">
        <w:t xml:space="preserve">economic </w:t>
      </w:r>
      <w:r w:rsidR="000B3016">
        <w:t>theories</w:t>
      </w:r>
      <w:r>
        <w:t xml:space="preserve"> is to use experiments to measure an individual’s preferences, and </w:t>
      </w:r>
      <w:r w:rsidRPr="00E13AE3">
        <w:t>corr</w:t>
      </w:r>
      <w:r w:rsidR="00590540">
        <w:t>elate his/her preferences with decisions made in</w:t>
      </w:r>
      <w:r w:rsidR="00FF6447">
        <w:t xml:space="preserve"> </w:t>
      </w:r>
      <w:r w:rsidR="00590540">
        <w:t>simple experimental</w:t>
      </w:r>
      <w:r w:rsidR="00D6636B">
        <w:t xml:space="preserve"> tasks</w:t>
      </w:r>
      <w:r w:rsidRPr="00E13AE3">
        <w:t xml:space="preserve"> </w:t>
      </w:r>
      <w:r w:rsidR="00590540">
        <w:t xml:space="preserve">involving risk </w:t>
      </w:r>
      <w:r w:rsidR="00FF6447">
        <w:t>and/</w:t>
      </w:r>
      <w:r w:rsidRPr="00E13AE3">
        <w:t>or rea</w:t>
      </w:r>
      <w:r w:rsidR="00C07CF4">
        <w:t>l-world decisions</w:t>
      </w:r>
      <w:r>
        <w:t xml:space="preserve">.  </w:t>
      </w:r>
      <w:r w:rsidR="00027A00">
        <w:t xml:space="preserve">We propose to use </w:t>
      </w:r>
      <w:r w:rsidR="00BF3FA9">
        <w:t>an experiment</w:t>
      </w:r>
      <w:r w:rsidR="00715D26">
        <w:t xml:space="preserve"> </w:t>
      </w:r>
      <w:r w:rsidR="00F8206F">
        <w:t xml:space="preserve">with student subjects </w:t>
      </w:r>
      <w:r w:rsidR="00715D26">
        <w:t xml:space="preserve">to measure (1) subjects’ risk preferences, and (2) subjects’ joint crop insurance and cover crop demand </w:t>
      </w:r>
      <w:r w:rsidR="00A51B36">
        <w:t>elasticities</w:t>
      </w:r>
      <w:r w:rsidR="00715D26">
        <w:t xml:space="preserve">.  </w:t>
      </w:r>
      <w:r w:rsidR="00A13307">
        <w:t>The experiment</w:t>
      </w:r>
      <w:r w:rsidR="00766BA2">
        <w:t xml:space="preserve"> </w:t>
      </w:r>
      <w:r w:rsidR="00062B75">
        <w:t xml:space="preserve">will </w:t>
      </w:r>
      <w:r w:rsidR="00766BA2">
        <w:t>use simplified versions of real-world programs</w:t>
      </w:r>
      <w:r w:rsidR="00062B75">
        <w:t xml:space="preserve"> to allow</w:t>
      </w:r>
      <w:r w:rsidR="00766BA2">
        <w:t xml:space="preserve"> </w:t>
      </w:r>
      <w:r w:rsidR="007747FD">
        <w:t>us to identify</w:t>
      </w:r>
      <w:r w:rsidR="00766BA2">
        <w:t xml:space="preserve"> </w:t>
      </w:r>
      <w:r w:rsidR="007747FD">
        <w:t xml:space="preserve">the </w:t>
      </w:r>
      <w:r w:rsidR="00CF2C2D">
        <w:t xml:space="preserve">relationship between different </w:t>
      </w:r>
      <w:r w:rsidR="00062B75">
        <w:t>behavioral theories</w:t>
      </w:r>
      <w:r w:rsidR="00766BA2">
        <w:t xml:space="preserve"> </w:t>
      </w:r>
      <w:r w:rsidR="00CF2C2D">
        <w:t xml:space="preserve">and program </w:t>
      </w:r>
      <w:r w:rsidR="00766BA2">
        <w:t xml:space="preserve">adoption decisions.  </w:t>
      </w:r>
      <w:r w:rsidR="00A13307">
        <w:t>The experiment</w:t>
      </w:r>
      <w:r w:rsidR="00715D26">
        <w:t xml:space="preserve"> will also </w:t>
      </w:r>
      <w:r w:rsidR="001C44C1">
        <w:t xml:space="preserve">introduce </w:t>
      </w:r>
      <w:r w:rsidR="00715D26">
        <w:t>controlled variation in premium subsidy rates</w:t>
      </w:r>
      <w:r w:rsidR="001C44C1">
        <w:t xml:space="preserve"> to allow us to observe </w:t>
      </w:r>
      <w:r w:rsidR="007229FA">
        <w:t xml:space="preserve">how subjects’ trade-off across different </w:t>
      </w:r>
      <w:r w:rsidR="001C44C1">
        <w:t>ri</w:t>
      </w:r>
      <w:r w:rsidR="00291A2C">
        <w:t>sk management strategies over a wide range of subsidy levels.</w:t>
      </w:r>
      <w:r w:rsidR="00B976F4">
        <w:t xml:space="preserve"> </w:t>
      </w:r>
    </w:p>
    <w:p w14:paraId="29798C1A" w14:textId="77777777" w:rsidR="002B6DF5" w:rsidRDefault="00120FEF" w:rsidP="00463AD3">
      <w:r>
        <w:t>We propose to conduct this experiment using a convenience sample of student subjects.  It is common practice in academic research to test experiments with student subjects before replicating the experiment with more difficult to reach populations (</w:t>
      </w:r>
      <w:proofErr w:type="spellStart"/>
      <w:r>
        <w:t>Gneezy</w:t>
      </w:r>
      <w:proofErr w:type="spellEnd"/>
      <w:r>
        <w:t xml:space="preserve"> and Potters, 1997; Harrison and List, 2004; Levitt and List, 2007).  Additionally, our proposed experiment will test the theoretical predictions of </w:t>
      </w:r>
      <w:r w:rsidR="00342CB6">
        <w:t xml:space="preserve">behavioral </w:t>
      </w:r>
      <w:r w:rsidR="00234AFB">
        <w:t xml:space="preserve">economic </w:t>
      </w:r>
      <w:r>
        <w:t>risk models</w:t>
      </w:r>
      <w:r w:rsidR="00234AFB">
        <w:t xml:space="preserve">—noting that </w:t>
      </w:r>
      <w:r>
        <w:t>results of tests of theoretical predictions are more likely to generalize across diverse subject pools than measurements of idiosyncratic preferences alone.</w:t>
      </w:r>
      <w:r>
        <w:rPr>
          <w:rStyle w:val="FootnoteReference"/>
        </w:rPr>
        <w:footnoteReference w:id="1"/>
      </w:r>
      <w:r w:rsidR="00AE63FE">
        <w:t xml:space="preserve">  </w:t>
      </w:r>
    </w:p>
    <w:p w14:paraId="72D8F3BB" w14:textId="1B0A9E67" w:rsidR="0064078D" w:rsidRDefault="002B6DF5" w:rsidP="00463AD3">
      <w:r>
        <w:t>The information to be collected under this proposed study is needed to provide evidence as to which theories best predict joint adoption of cover crop and crop insurance programs.  This research will be exploratory in nature, and will be used to gain insights into specific economic behaviors regarding decision-making under risk.  This research will not be used to generate population estimates, and the</w:t>
      </w:r>
      <w:r w:rsidR="004B34DF">
        <w:t xml:space="preserve"> results from the</w:t>
      </w:r>
      <w:r>
        <w:t xml:space="preserve"> proposed study design </w:t>
      </w:r>
      <w:r w:rsidR="00F0167B">
        <w:t>are not intended to</w:t>
      </w:r>
      <w:r>
        <w:t xml:space="preserve"> be </w:t>
      </w:r>
      <w:r w:rsidR="004B34DF">
        <w:t>generalizable</w:t>
      </w:r>
      <w:r w:rsidR="000E716E">
        <w:t xml:space="preserve"> outside of</w:t>
      </w:r>
      <w:r>
        <w:t xml:space="preserve"> the study </w:t>
      </w:r>
      <w:r>
        <w:lastRenderedPageBreak/>
        <w:t xml:space="preserve">participants.  </w:t>
      </w:r>
      <w:r w:rsidR="00120FEF">
        <w:t>Results from this experiment will be used to inform future experiment</w:t>
      </w:r>
      <w:r w:rsidR="00900BA2">
        <w:t>al research studies for</w:t>
      </w:r>
      <w:r w:rsidR="00120FEF">
        <w:t xml:space="preserve"> risk management decision-making with </w:t>
      </w:r>
      <w:r w:rsidR="00900BA2">
        <w:t>more representative samples</w:t>
      </w:r>
      <w:r w:rsidR="00120FEF">
        <w:t xml:space="preserve">.   </w:t>
      </w:r>
    </w:p>
    <w:p w14:paraId="4696EA1D" w14:textId="38CE4A57" w:rsidR="001944A0" w:rsidRDefault="001944A0" w:rsidP="001944A0">
      <w:r>
        <w:t>Data collection for this project is authorized by the 7 U.S.C. 2204(a)</w:t>
      </w:r>
      <w:r w:rsidR="009A6DCE">
        <w:t xml:space="preserve"> (see Attachment A: 7 USC 2204</w:t>
      </w:r>
      <w:r w:rsidR="0083198F">
        <w:t>a</w:t>
      </w:r>
      <w:r w:rsidR="009A6DCE">
        <w:t>)</w:t>
      </w:r>
      <w:r>
        <w:t>.</w:t>
      </w:r>
      <w:r w:rsidR="002277B9">
        <w:t xml:space="preserve">  </w:t>
      </w:r>
    </w:p>
    <w:p w14:paraId="080B335D" w14:textId="77777777" w:rsidR="00463AD3" w:rsidRDefault="00463AD3" w:rsidP="00463AD3"/>
    <w:p w14:paraId="30BE35F3" w14:textId="77777777" w:rsidR="00463AD3" w:rsidRPr="00E2259A" w:rsidRDefault="00463AD3" w:rsidP="00463AD3">
      <w:pPr>
        <w:pStyle w:val="ListParagraph"/>
        <w:numPr>
          <w:ilvl w:val="0"/>
          <w:numId w:val="1"/>
        </w:numPr>
        <w:rPr>
          <w:b/>
        </w:rPr>
      </w:pPr>
      <w:r>
        <w:t xml:space="preserve"> </w:t>
      </w:r>
      <w:r w:rsidRPr="00E2259A">
        <w:rPr>
          <w:b/>
        </w:rPr>
        <w:t>Purpose and use of the information collection</w:t>
      </w:r>
    </w:p>
    <w:p w14:paraId="76AD37EF" w14:textId="0356ED74" w:rsidR="00DC01B6" w:rsidRDefault="00EC0F2F" w:rsidP="00DC01B6">
      <w:r>
        <w:t>This experiment will</w:t>
      </w:r>
      <w:r w:rsidR="00101BEA">
        <w:t xml:space="preserve"> examine the link between risk preferences and </w:t>
      </w:r>
      <w:r w:rsidR="000D3CDB">
        <w:t>demand for risk management programs</w:t>
      </w:r>
      <w:r w:rsidR="00101BEA">
        <w:t>.</w:t>
      </w:r>
      <w:r w:rsidR="000D3CDB">
        <w:t xml:space="preserve">  </w:t>
      </w:r>
      <w:r w:rsidR="00DC01B6">
        <w:t xml:space="preserve">We propose to use a laboratory experiment to (1) characterize the relationship between cover crop usage and crop insurance purchases, and (2) explore how this relationship depends on individuals’ risk preferences and demographic characteristics.  Outputs from the proposed experiment will be used to inform future risk management experiments with farmer subjects.  </w:t>
      </w:r>
    </w:p>
    <w:p w14:paraId="6E47B5EC" w14:textId="77777777" w:rsidR="00DC01B6" w:rsidRDefault="00DC01B6" w:rsidP="00DC01B6">
      <w:r>
        <w:t>The experiment will be conducted with student subjects from the University of Rhode Island.  Subjects will be recruited using email communications and classroom solicitations.  Sessions will be conducted at the Department of Environmental and Natural Resource Economics’ Policy Simulation Laboratory (</w:t>
      </w:r>
      <w:proofErr w:type="spellStart"/>
      <w:r>
        <w:t>SimLab</w:t>
      </w:r>
      <w:proofErr w:type="spellEnd"/>
      <w:r>
        <w:t xml:space="preserve">) at the University of Rhode Island.  </w:t>
      </w:r>
    </w:p>
    <w:p w14:paraId="0C2889D7" w14:textId="6435954B" w:rsidR="00197725" w:rsidRDefault="00197725" w:rsidP="00197725">
      <w:r>
        <w:t xml:space="preserve">We will </w:t>
      </w:r>
      <w:r w:rsidR="007C2608">
        <w:t>measure</w:t>
      </w:r>
      <w:r>
        <w:t xml:space="preserve"> the effec</w:t>
      </w:r>
      <w:r w:rsidR="005B1EB0">
        <w:t xml:space="preserve">t of </w:t>
      </w:r>
      <w:r w:rsidR="006D2391">
        <w:t xml:space="preserve">varying </w:t>
      </w:r>
      <w:r w:rsidR="00C30835">
        <w:t>subsidy rates on subject</w:t>
      </w:r>
      <w:r w:rsidR="005B1EB0">
        <w:t>s</w:t>
      </w:r>
      <w:r w:rsidR="00D533B8">
        <w:t>’</w:t>
      </w:r>
      <w:r w:rsidR="005B1EB0">
        <w:t xml:space="preserve"> demand for </w:t>
      </w:r>
      <w:r w:rsidR="00997EF1">
        <w:t xml:space="preserve">stylized </w:t>
      </w:r>
      <w:r w:rsidR="00893444">
        <w:t>goods that mimic</w:t>
      </w:r>
      <w:r w:rsidR="002233CB">
        <w:t xml:space="preserve"> </w:t>
      </w:r>
      <w:r>
        <w:t xml:space="preserve">crop insurance and </w:t>
      </w:r>
      <w:r w:rsidR="007C2608">
        <w:t>cover crop</w:t>
      </w:r>
      <w:r>
        <w:t xml:space="preserve"> </w:t>
      </w:r>
      <w:r w:rsidR="00D505A4">
        <w:t>investments. We will also</w:t>
      </w:r>
      <w:r w:rsidR="007C2608">
        <w:t xml:space="preserve"> </w:t>
      </w:r>
      <w:r w:rsidR="006B64A2">
        <w:t xml:space="preserve">vary the riskiness of </w:t>
      </w:r>
      <w:r w:rsidR="00893444">
        <w:t>experimental earnings between subjects.</w:t>
      </w:r>
      <w:r w:rsidR="000D27D7">
        <w:t xml:space="preserve">  These between subject treatments to vary experimental earnings </w:t>
      </w:r>
      <w:r w:rsidR="008B068B">
        <w:t>will mimic the differences</w:t>
      </w:r>
      <w:r w:rsidR="000D27D7">
        <w:t xml:space="preserve"> in farm</w:t>
      </w:r>
      <w:r w:rsidR="008B068B">
        <w:t xml:space="preserve"> revenue risks</w:t>
      </w:r>
      <w:r w:rsidR="006B64A2">
        <w:t xml:space="preserve"> </w:t>
      </w:r>
      <w:r w:rsidR="000D27D7">
        <w:t>across</w:t>
      </w:r>
      <w:r>
        <w:t xml:space="preserve"> key subpopulations</w:t>
      </w:r>
      <w:r w:rsidR="00245A5D">
        <w:t xml:space="preserve"> of US farmers</w:t>
      </w:r>
      <w:r>
        <w:t xml:space="preserve"> includin</w:t>
      </w:r>
      <w:r w:rsidR="007C2608">
        <w:t>g producers with marginal lands</w:t>
      </w:r>
      <w:r>
        <w:t xml:space="preserve"> and </w:t>
      </w:r>
      <w:r w:rsidR="0025457E">
        <w:t>producers of high</w:t>
      </w:r>
      <w:r>
        <w:t xml:space="preserve"> value crops.  </w:t>
      </w:r>
      <w:r w:rsidR="00713930">
        <w:t>With these between subject treatments, we will test w</w:t>
      </w:r>
      <w:r w:rsidR="00245A5D">
        <w:t>hether subject</w:t>
      </w:r>
      <w:r w:rsidR="00713930">
        <w:t xml:space="preserve">s’ demand for the experimental crop insurance and cover crop investments </w:t>
      </w:r>
      <w:r w:rsidR="00F41055">
        <w:t xml:space="preserve">changes </w:t>
      </w:r>
      <w:r w:rsidR="00245A5D">
        <w:t xml:space="preserve">on average </w:t>
      </w:r>
      <w:r w:rsidR="00F41055">
        <w:t xml:space="preserve">with </w:t>
      </w:r>
      <w:r w:rsidR="00713930">
        <w:t>difference</w:t>
      </w:r>
      <w:r w:rsidR="00F41055">
        <w:t>s</w:t>
      </w:r>
      <w:r w:rsidR="00713930">
        <w:t xml:space="preserve"> in </w:t>
      </w:r>
      <w:r w:rsidR="00C85488">
        <w:t>earnings risk</w:t>
      </w:r>
      <w:r w:rsidR="00713930">
        <w:t xml:space="preserve">.  </w:t>
      </w:r>
      <w:r>
        <w:t>In the</w:t>
      </w:r>
      <w:r w:rsidR="00340A13">
        <w:t xml:space="preserve"> course of mea</w:t>
      </w:r>
      <w:r w:rsidR="00245A5D">
        <w:t>suring differences in subject</w:t>
      </w:r>
      <w:r w:rsidR="00340A13">
        <w:t xml:space="preserve">s’ demand for </w:t>
      </w:r>
      <w:r w:rsidR="001F2914">
        <w:t>the stylized</w:t>
      </w:r>
      <w:r w:rsidR="00340A13">
        <w:t xml:space="preserve"> crop insurance and cover crop investme</w:t>
      </w:r>
      <w:r w:rsidR="009D18EC">
        <w:t>n</w:t>
      </w:r>
      <w:r w:rsidR="00340A13">
        <w:t>ts</w:t>
      </w:r>
      <w:r>
        <w:t>, we will als</w:t>
      </w:r>
      <w:r w:rsidR="009255E7">
        <w:t xml:space="preserve">o observe which types of risk </w:t>
      </w:r>
      <w:r w:rsidR="00EC655D">
        <w:t>preferences best explain subjects</w:t>
      </w:r>
      <w:r>
        <w:t xml:space="preserve">’ </w:t>
      </w:r>
      <w:r w:rsidR="0044668C">
        <w:t>purchases of the stylized</w:t>
      </w:r>
      <w:r w:rsidR="0093388B">
        <w:t xml:space="preserve"> </w:t>
      </w:r>
      <w:r w:rsidR="00401CD5">
        <w:t>crop insurance</w:t>
      </w:r>
      <w:r w:rsidR="0044668C">
        <w:t xml:space="preserve"> and cover crop investments</w:t>
      </w:r>
      <w:r>
        <w:t xml:space="preserve">.   </w:t>
      </w:r>
      <w:r w:rsidR="001B6BDD">
        <w:t>By studying these is</w:t>
      </w:r>
      <w:r w:rsidR="002E68DE">
        <w:t>sues, we will be able to gain insight into</w:t>
      </w:r>
      <w:r w:rsidR="001B6BDD">
        <w:t xml:space="preserve"> </w:t>
      </w:r>
      <w:r w:rsidR="002E68DE">
        <w:t>behavioral theories</w:t>
      </w:r>
      <w:r w:rsidR="001B6BDD">
        <w:t xml:space="preserve"> that are important for modeling uptake of crop insurance, commodity support, and cover crop promotion programs.</w:t>
      </w:r>
      <w:r w:rsidR="002E68DE">
        <w:t xml:space="preserve">  </w:t>
      </w:r>
      <w:r w:rsidR="001B6BDD">
        <w:t xml:space="preserve">  </w:t>
      </w:r>
    </w:p>
    <w:p w14:paraId="0A3CB96D" w14:textId="77777777" w:rsidR="007D224F" w:rsidRDefault="007D224F" w:rsidP="007D224F">
      <w:r>
        <w:t xml:space="preserve">The specific research questions addressed by the proposed study are: </w:t>
      </w:r>
    </w:p>
    <w:p w14:paraId="56A2468A" w14:textId="3A10EDC4" w:rsidR="007D224F" w:rsidRDefault="00A93D46" w:rsidP="007D224F">
      <w:pPr>
        <w:pStyle w:val="ListParagraph"/>
        <w:numPr>
          <w:ilvl w:val="0"/>
          <w:numId w:val="3"/>
        </w:numPr>
      </w:pPr>
      <w:r>
        <w:t>Do</w:t>
      </w:r>
      <w:r w:rsidR="007D224F">
        <w:t xml:space="preserve"> </w:t>
      </w:r>
      <w:r w:rsidR="00180B35">
        <w:t xml:space="preserve">measurements of </w:t>
      </w:r>
      <w:r w:rsidR="00CE1227">
        <w:t xml:space="preserve">individuals’ </w:t>
      </w:r>
      <w:r w:rsidR="009A4B3F">
        <w:t>CPT</w:t>
      </w:r>
      <w:r w:rsidR="00E42D42">
        <w:t xml:space="preserve"> risk preferences</w:t>
      </w:r>
      <w:r w:rsidR="009A4B3F">
        <w:t xml:space="preserve"> </w:t>
      </w:r>
      <w:r w:rsidR="00180B35">
        <w:t xml:space="preserve">correlate with </w:t>
      </w:r>
      <w:r w:rsidR="00C772DA">
        <w:t xml:space="preserve">individual’s estimated demand elasticities </w:t>
      </w:r>
      <w:r w:rsidR="004A1937">
        <w:t>for crop insurance and</w:t>
      </w:r>
      <w:r w:rsidR="001D5647">
        <w:t>/or</w:t>
      </w:r>
      <w:r w:rsidR="004A1937">
        <w:t xml:space="preserve"> cover crop programs</w:t>
      </w:r>
      <w:r w:rsidR="007D224F">
        <w:t xml:space="preserve">? </w:t>
      </w:r>
    </w:p>
    <w:p w14:paraId="2D51E6D3" w14:textId="263B2BE3" w:rsidR="00E42D42" w:rsidRDefault="00E42D42" w:rsidP="00E42D42">
      <w:pPr>
        <w:pStyle w:val="ListParagraph"/>
        <w:numPr>
          <w:ilvl w:val="0"/>
          <w:numId w:val="3"/>
        </w:numPr>
      </w:pPr>
      <w:r>
        <w:t xml:space="preserve">Do measurements of individuals’ MLA risk preferences correlate with individual’s estimated demand elasticities for crop insurance and/or cover crop programs? </w:t>
      </w:r>
    </w:p>
    <w:p w14:paraId="2A7901F6" w14:textId="77777777" w:rsidR="007D224F" w:rsidRDefault="007D224F" w:rsidP="007D224F">
      <w:pPr>
        <w:pStyle w:val="ListParagraph"/>
        <w:numPr>
          <w:ilvl w:val="0"/>
          <w:numId w:val="3"/>
        </w:numPr>
      </w:pPr>
      <w:r>
        <w:t xml:space="preserve">What is the effect of changing premium subsidies on </w:t>
      </w:r>
      <w:r w:rsidR="00103C6D">
        <w:t>subjects</w:t>
      </w:r>
      <w:r>
        <w:t xml:space="preserve">’ demand for </w:t>
      </w:r>
      <w:r w:rsidR="00103C6D">
        <w:t>crop insurance and cover crop programs</w:t>
      </w:r>
      <w:r>
        <w:t xml:space="preserve">? </w:t>
      </w:r>
    </w:p>
    <w:p w14:paraId="7F4D0E6F" w14:textId="0E04D0BF" w:rsidR="007D224F" w:rsidRDefault="007D224F" w:rsidP="007D224F">
      <w:pPr>
        <w:pStyle w:val="ListParagraph"/>
        <w:numPr>
          <w:ilvl w:val="0"/>
          <w:numId w:val="3"/>
        </w:numPr>
      </w:pPr>
      <w:r>
        <w:t>What ar</w:t>
      </w:r>
      <w:r w:rsidR="00E535C2">
        <w:t xml:space="preserve">e the causal effects of changes in the mean and variance of revenue </w:t>
      </w:r>
      <w:r>
        <w:t xml:space="preserve">on </w:t>
      </w:r>
      <w:r w:rsidR="008669AC">
        <w:t xml:space="preserve">subjects’ </w:t>
      </w:r>
      <w:r w:rsidR="00E535C2">
        <w:t>demand for crop insurance and cover crop programs</w:t>
      </w:r>
      <w:r>
        <w:t>?</w:t>
      </w:r>
    </w:p>
    <w:p w14:paraId="63E89885" w14:textId="77777777" w:rsidR="00FB3DB6" w:rsidRDefault="00FB3DB6" w:rsidP="005B013D"/>
    <w:p w14:paraId="2A2A6EAC" w14:textId="5BFF717D" w:rsidR="00FB3DB6" w:rsidRDefault="00FB3DB6" w:rsidP="00FB3DB6">
      <w:pPr>
        <w:pStyle w:val="Caption"/>
        <w:keepNext/>
      </w:pPr>
      <w:r>
        <w:lastRenderedPageBreak/>
        <w:t xml:space="preserve">Figure </w:t>
      </w:r>
      <w:fldSimple w:instr=" SEQ Figure \* ARABIC ">
        <w:r w:rsidR="006E7E7D">
          <w:rPr>
            <w:noProof/>
          </w:rPr>
          <w:t>1</w:t>
        </w:r>
      </w:fldSimple>
      <w:r>
        <w:t>: Schematic of Experimental Design</w:t>
      </w:r>
    </w:p>
    <w:p w14:paraId="4E9E3053" w14:textId="77777777" w:rsidR="00FB3DB6" w:rsidRDefault="00FB3DB6" w:rsidP="00FB3DB6">
      <w:pPr>
        <w:keepNext/>
      </w:pPr>
      <w:r>
        <w:rPr>
          <w:noProof/>
        </w:rPr>
        <w:drawing>
          <wp:inline distT="0" distB="0" distL="0" distR="0" wp14:anchorId="256944C1" wp14:editId="4586EAC0">
            <wp:extent cx="5943600" cy="2398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tic of experimental desig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398395"/>
                    </a:xfrm>
                    <a:prstGeom prst="rect">
                      <a:avLst/>
                    </a:prstGeom>
                  </pic:spPr>
                </pic:pic>
              </a:graphicData>
            </a:graphic>
          </wp:inline>
        </w:drawing>
      </w:r>
    </w:p>
    <w:p w14:paraId="2EBD0537" w14:textId="2DCBEC9E" w:rsidR="00BA276F" w:rsidRDefault="00FB180E" w:rsidP="00BA276F">
      <w:r>
        <w:br/>
      </w:r>
      <w:r w:rsidR="00FB3DB6">
        <w:t>Figure 1 provides a sche</w:t>
      </w:r>
      <w:r w:rsidR="007C7523">
        <w:t>matic of the experimental design</w:t>
      </w:r>
      <w:r w:rsidR="00FB3DB6">
        <w:t xml:space="preserve">.  </w:t>
      </w:r>
      <w:r w:rsidR="00E2278C">
        <w:t>Each subject will be randomly assigned to one of four possible risk environments.  Within their assigned risk environment treatment, e</w:t>
      </w:r>
      <w:r w:rsidR="00E2278C" w:rsidRPr="00604E9B">
        <w:t>ach subject w</w:t>
      </w:r>
      <w:r w:rsidR="00EB379A">
        <w:t xml:space="preserve">ill complete </w:t>
      </w:r>
      <w:r w:rsidR="00E2278C" w:rsidRPr="00604E9B">
        <w:t xml:space="preserve">three different tasks: </w:t>
      </w:r>
      <w:r w:rsidR="00EB379A">
        <w:rPr>
          <w:rFonts w:eastAsia="Times New Roman"/>
        </w:rPr>
        <w:t xml:space="preserve">a task to measure Cumulative Prospect Theory (CPT) risk preferences, a task to measure Myopic Loss Aversion (MLA) risk preferences, </w:t>
      </w:r>
      <w:r w:rsidR="00EB379A">
        <w:t xml:space="preserve">a task to measure insurance and cover crop demand elasticities.  </w:t>
      </w:r>
      <w:r w:rsidR="00BA276F">
        <w:t>The CPT and MLA tasks will measure different types of risk preferences using methods which are standard for the academic literature</w:t>
      </w:r>
      <w:r w:rsidR="00EB4A16">
        <w:t xml:space="preserve"> on experimental risk elicitations</w:t>
      </w:r>
      <w:r w:rsidR="00BA276F">
        <w:t xml:space="preserve">.  The third task will measure demand elasticities jointly for stylized crop insurance purchases and cover crop decisions.  </w:t>
      </w:r>
    </w:p>
    <w:p w14:paraId="1972DE6C" w14:textId="4C17810C" w:rsidR="00E2278C" w:rsidRPr="00604E9B" w:rsidRDefault="00710643" w:rsidP="00E2278C">
      <w:r>
        <w:t>The CPT, MLA, and demand elasticities tasks will consist of a number of rounds</w:t>
      </w:r>
      <w:r>
        <w:rPr>
          <w:rStyle w:val="FootnoteReference"/>
        </w:rPr>
        <w:footnoteReference w:id="2"/>
      </w:r>
      <w:r>
        <w:t xml:space="preserve"> where subjects’ make a series of decisions involving risk.  The CPT task will consist of 20 rounds, the MLA task will consist of 30 rounds, and the demand elasticities task will consist of 15 rounds. </w:t>
      </w:r>
      <w:r w:rsidR="00E2278C" w:rsidRPr="00604E9B">
        <w:t xml:space="preserve">Each round of each task will require a subject to evaluate one or more risky decisions.  </w:t>
      </w:r>
      <w:r w:rsidR="00C35DFC">
        <w:t xml:space="preserve">Detailed descriptions of all tasks are included in Attachment B: Experimental Design Protocol.  </w:t>
      </w:r>
      <w:r w:rsidR="00E2278C" w:rsidRPr="00604E9B">
        <w:t xml:space="preserve">Each subject will complete all 65 rounds </w:t>
      </w:r>
      <w:r w:rsidR="005A4536">
        <w:t>and</w:t>
      </w:r>
      <w:r w:rsidR="00E2278C">
        <w:t xml:space="preserve"> a brief demographic questionnaire </w:t>
      </w:r>
      <w:r w:rsidR="005A4536">
        <w:t>within a 90 minute period</w:t>
      </w:r>
      <w:r w:rsidR="00E2278C">
        <w:t xml:space="preserve">.  </w:t>
      </w:r>
    </w:p>
    <w:p w14:paraId="4F86FC75" w14:textId="0D053790" w:rsidR="001C602E" w:rsidRDefault="00942050">
      <w:r>
        <w:t xml:space="preserve">Risk environment treatments will vary the amount of risk attached to subjects’ earnings in the MLA and demand elasticities tasks.  </w:t>
      </w:r>
      <w:r w:rsidR="008F1FFF">
        <w:t xml:space="preserve">The four possible risk environment treatments are (1) low expected revenue and low revenue risk, (2) high expected revenue and low revenue risk, (3) low expected revenue and high revenue risk, and (4) high expected revenue and high revenue risk.  </w:t>
      </w:r>
      <w:r w:rsidR="0099742B">
        <w:t xml:space="preserve">Detailed descriptions of all risk environment treatments are included in Attachment B: Experimental Design Protocol.  </w:t>
      </w:r>
      <w:r w:rsidR="00E80D9F">
        <w:t xml:space="preserve">Subjects will be equally allocated to all treatments as shown in the Table 1. </w:t>
      </w:r>
      <w:r w:rsidR="00250327">
        <w:t xml:space="preserve"> </w:t>
      </w:r>
      <w:r w:rsidR="00F112AD">
        <w:t>W</w:t>
      </w:r>
      <w:r w:rsidR="00250327">
        <w:t xml:space="preserve">e will </w:t>
      </w:r>
      <w:r w:rsidR="00F112AD">
        <w:t xml:space="preserve">also </w:t>
      </w:r>
      <w:r w:rsidR="00250327">
        <w:t xml:space="preserve">provide </w:t>
      </w:r>
      <w:r w:rsidR="00F112AD">
        <w:t xml:space="preserve">to OMB </w:t>
      </w:r>
      <w:r w:rsidR="00250327">
        <w:t xml:space="preserve">additional documentation </w:t>
      </w:r>
      <w:r w:rsidR="00F65144">
        <w:t xml:space="preserve">in a separate whitepaper </w:t>
      </w:r>
      <w:r w:rsidR="00250327">
        <w:t>for the theoretical predictions of expected utility, cumulative prospect theory, and myopic loss aversion on crop insurance demand, and document the suitability of our experimental design for detecting the different effects of these theories on our experimental outcomes</w:t>
      </w:r>
      <w:r w:rsidR="00F112AD">
        <w:t xml:space="preserve"> at the conclusion of this study</w:t>
      </w:r>
      <w:r w:rsidR="00250327">
        <w:t xml:space="preserve">. </w:t>
      </w:r>
      <w:r w:rsidR="001C602E">
        <w:br w:type="page"/>
      </w:r>
    </w:p>
    <w:p w14:paraId="6C5A321D" w14:textId="1C2E02A6" w:rsidR="00296630" w:rsidRDefault="00296630" w:rsidP="00296630">
      <w:pPr>
        <w:pStyle w:val="Caption"/>
        <w:keepNext/>
      </w:pPr>
      <w:r>
        <w:lastRenderedPageBreak/>
        <w:t xml:space="preserve">Table </w:t>
      </w:r>
      <w:fldSimple w:instr=" SEQ Table \* ARABIC ">
        <w:r w:rsidR="006E7E7D">
          <w:rPr>
            <w:noProof/>
          </w:rPr>
          <w:t>1</w:t>
        </w:r>
      </w:fldSimple>
      <w:r>
        <w:t>: Allocation of Subjects to Risk Environment Treatments</w:t>
      </w:r>
    </w:p>
    <w:tbl>
      <w:tblPr>
        <w:tblStyle w:val="TableGrid"/>
        <w:tblW w:w="0" w:type="auto"/>
        <w:jc w:val="center"/>
        <w:tblLook w:val="04A0" w:firstRow="1" w:lastRow="0" w:firstColumn="1" w:lastColumn="0" w:noHBand="0" w:noVBand="1"/>
      </w:tblPr>
      <w:tblGrid>
        <w:gridCol w:w="1899"/>
        <w:gridCol w:w="2322"/>
        <w:gridCol w:w="2362"/>
        <w:gridCol w:w="683"/>
      </w:tblGrid>
      <w:tr w:rsidR="0037260F" w14:paraId="723AF981" w14:textId="77777777" w:rsidTr="0037260F">
        <w:trPr>
          <w:jc w:val="center"/>
        </w:trPr>
        <w:tc>
          <w:tcPr>
            <w:tcW w:w="0" w:type="auto"/>
          </w:tcPr>
          <w:p w14:paraId="3E94B2DB" w14:textId="77777777" w:rsidR="0037260F" w:rsidRDefault="0037260F" w:rsidP="005B013D"/>
        </w:tc>
        <w:tc>
          <w:tcPr>
            <w:tcW w:w="0" w:type="auto"/>
          </w:tcPr>
          <w:p w14:paraId="699E5672" w14:textId="6FAF3576" w:rsidR="0037260F" w:rsidRPr="00296630" w:rsidRDefault="0037260F" w:rsidP="005B013D">
            <w:pPr>
              <w:rPr>
                <w:b/>
              </w:rPr>
            </w:pPr>
            <w:r w:rsidRPr="00296630">
              <w:rPr>
                <w:b/>
              </w:rPr>
              <w:t>Low Expected Revenue</w:t>
            </w:r>
          </w:p>
        </w:tc>
        <w:tc>
          <w:tcPr>
            <w:tcW w:w="0" w:type="auto"/>
          </w:tcPr>
          <w:p w14:paraId="7A6739EA" w14:textId="2FA2D5EC" w:rsidR="0037260F" w:rsidRPr="00296630" w:rsidRDefault="0037260F" w:rsidP="005B013D">
            <w:pPr>
              <w:rPr>
                <w:b/>
              </w:rPr>
            </w:pPr>
            <w:r w:rsidRPr="00296630">
              <w:rPr>
                <w:b/>
              </w:rPr>
              <w:t>High Expected Revenue</w:t>
            </w:r>
          </w:p>
        </w:tc>
        <w:tc>
          <w:tcPr>
            <w:tcW w:w="0" w:type="auto"/>
          </w:tcPr>
          <w:p w14:paraId="6525B26D" w14:textId="14F58180" w:rsidR="0037260F" w:rsidRPr="00296630" w:rsidRDefault="0037260F" w:rsidP="005B013D">
            <w:pPr>
              <w:rPr>
                <w:b/>
              </w:rPr>
            </w:pPr>
            <w:r w:rsidRPr="00296630">
              <w:rPr>
                <w:b/>
              </w:rPr>
              <w:t>Total</w:t>
            </w:r>
          </w:p>
        </w:tc>
      </w:tr>
      <w:tr w:rsidR="0037260F" w14:paraId="2135FE0E" w14:textId="77777777" w:rsidTr="0037260F">
        <w:trPr>
          <w:jc w:val="center"/>
        </w:trPr>
        <w:tc>
          <w:tcPr>
            <w:tcW w:w="0" w:type="auto"/>
          </w:tcPr>
          <w:p w14:paraId="5B82B802" w14:textId="2975B8E9" w:rsidR="0037260F" w:rsidRPr="00296630" w:rsidRDefault="0037260F" w:rsidP="005B013D">
            <w:pPr>
              <w:rPr>
                <w:b/>
              </w:rPr>
            </w:pPr>
            <w:r w:rsidRPr="00296630">
              <w:rPr>
                <w:b/>
              </w:rPr>
              <w:t>Low Revenue Risk</w:t>
            </w:r>
          </w:p>
        </w:tc>
        <w:tc>
          <w:tcPr>
            <w:tcW w:w="0" w:type="auto"/>
          </w:tcPr>
          <w:p w14:paraId="40D9FF2A" w14:textId="3795E60F" w:rsidR="0037260F" w:rsidRDefault="0037260F" w:rsidP="00296630">
            <w:pPr>
              <w:jc w:val="center"/>
            </w:pPr>
            <w:r>
              <w:t>125</w:t>
            </w:r>
          </w:p>
        </w:tc>
        <w:tc>
          <w:tcPr>
            <w:tcW w:w="0" w:type="auto"/>
          </w:tcPr>
          <w:p w14:paraId="061ED151" w14:textId="0CA7A9EA" w:rsidR="0037260F" w:rsidRDefault="0037260F" w:rsidP="00296630">
            <w:pPr>
              <w:jc w:val="center"/>
            </w:pPr>
            <w:r>
              <w:t>125</w:t>
            </w:r>
          </w:p>
        </w:tc>
        <w:tc>
          <w:tcPr>
            <w:tcW w:w="0" w:type="auto"/>
          </w:tcPr>
          <w:p w14:paraId="6750C8D8" w14:textId="172E2F08" w:rsidR="0037260F" w:rsidRDefault="0037260F" w:rsidP="00296630">
            <w:pPr>
              <w:jc w:val="center"/>
            </w:pPr>
            <w:r>
              <w:t>250</w:t>
            </w:r>
          </w:p>
        </w:tc>
      </w:tr>
      <w:tr w:rsidR="0037260F" w14:paraId="783E63FF" w14:textId="77777777" w:rsidTr="0037260F">
        <w:trPr>
          <w:jc w:val="center"/>
        </w:trPr>
        <w:tc>
          <w:tcPr>
            <w:tcW w:w="0" w:type="auto"/>
          </w:tcPr>
          <w:p w14:paraId="2F603508" w14:textId="244378F8" w:rsidR="0037260F" w:rsidRPr="00296630" w:rsidRDefault="0037260F" w:rsidP="005B013D">
            <w:pPr>
              <w:rPr>
                <w:b/>
              </w:rPr>
            </w:pPr>
            <w:r w:rsidRPr="00296630">
              <w:rPr>
                <w:b/>
              </w:rPr>
              <w:t>High Revenue Risk</w:t>
            </w:r>
          </w:p>
        </w:tc>
        <w:tc>
          <w:tcPr>
            <w:tcW w:w="0" w:type="auto"/>
          </w:tcPr>
          <w:p w14:paraId="18DF347F" w14:textId="61CF0226" w:rsidR="0037260F" w:rsidRDefault="0037260F" w:rsidP="00296630">
            <w:pPr>
              <w:jc w:val="center"/>
            </w:pPr>
            <w:r>
              <w:t>125</w:t>
            </w:r>
          </w:p>
        </w:tc>
        <w:tc>
          <w:tcPr>
            <w:tcW w:w="0" w:type="auto"/>
          </w:tcPr>
          <w:p w14:paraId="45EDB5A4" w14:textId="5D924724" w:rsidR="0037260F" w:rsidRDefault="0037260F" w:rsidP="00296630">
            <w:pPr>
              <w:jc w:val="center"/>
            </w:pPr>
            <w:r>
              <w:t>125</w:t>
            </w:r>
          </w:p>
        </w:tc>
        <w:tc>
          <w:tcPr>
            <w:tcW w:w="0" w:type="auto"/>
          </w:tcPr>
          <w:p w14:paraId="4B5E35AF" w14:textId="4FC01A07" w:rsidR="0037260F" w:rsidRDefault="0037260F" w:rsidP="00296630">
            <w:pPr>
              <w:jc w:val="center"/>
            </w:pPr>
            <w:r>
              <w:t>250</w:t>
            </w:r>
          </w:p>
        </w:tc>
      </w:tr>
      <w:tr w:rsidR="0037260F" w14:paraId="18C8F016" w14:textId="77777777" w:rsidTr="0037260F">
        <w:trPr>
          <w:jc w:val="center"/>
        </w:trPr>
        <w:tc>
          <w:tcPr>
            <w:tcW w:w="0" w:type="auto"/>
          </w:tcPr>
          <w:p w14:paraId="0C8F1D49" w14:textId="4B849005" w:rsidR="0037260F" w:rsidRPr="00296630" w:rsidRDefault="0037260F" w:rsidP="005B013D">
            <w:pPr>
              <w:rPr>
                <w:b/>
              </w:rPr>
            </w:pPr>
            <w:r w:rsidRPr="00296630">
              <w:rPr>
                <w:b/>
              </w:rPr>
              <w:t>Total</w:t>
            </w:r>
          </w:p>
        </w:tc>
        <w:tc>
          <w:tcPr>
            <w:tcW w:w="0" w:type="auto"/>
          </w:tcPr>
          <w:p w14:paraId="69631F82" w14:textId="17B3523E" w:rsidR="0037260F" w:rsidRDefault="0037260F" w:rsidP="00296630">
            <w:pPr>
              <w:jc w:val="center"/>
            </w:pPr>
            <w:r>
              <w:t>250</w:t>
            </w:r>
          </w:p>
        </w:tc>
        <w:tc>
          <w:tcPr>
            <w:tcW w:w="0" w:type="auto"/>
          </w:tcPr>
          <w:p w14:paraId="1ABC9B97" w14:textId="5566C3E1" w:rsidR="0037260F" w:rsidRDefault="0037260F" w:rsidP="00296630">
            <w:pPr>
              <w:jc w:val="center"/>
            </w:pPr>
            <w:r>
              <w:t>250</w:t>
            </w:r>
          </w:p>
        </w:tc>
        <w:tc>
          <w:tcPr>
            <w:tcW w:w="0" w:type="auto"/>
          </w:tcPr>
          <w:p w14:paraId="50A9AFC5" w14:textId="627560C8" w:rsidR="0037260F" w:rsidRDefault="0037260F" w:rsidP="00296630">
            <w:pPr>
              <w:jc w:val="center"/>
            </w:pPr>
            <w:r>
              <w:t>500</w:t>
            </w:r>
          </w:p>
        </w:tc>
      </w:tr>
    </w:tbl>
    <w:p w14:paraId="4FFD8F84" w14:textId="2929CB5C" w:rsidR="00942050" w:rsidRDefault="008F1FFF" w:rsidP="005B013D">
      <w:r>
        <w:t xml:space="preserve"> </w:t>
      </w:r>
    </w:p>
    <w:p w14:paraId="4A2FB0E2" w14:textId="06CB5D5E" w:rsidR="00624EC6" w:rsidRDefault="0014263C" w:rsidP="005B013D">
      <w:r>
        <w:t>Ex-post data analysis will include coefficient estimates of risk parameters and demand elasticities; estimates of correlation coefficients between risk parameter estimates, elasticity estimates, and demographic characteristics; and univariate comparisons of demand elasticities and correlation coefficients under the different environmental treatments (</w:t>
      </w:r>
      <w:r w:rsidR="001852B5">
        <w:t xml:space="preserve">F-tests, </w:t>
      </w:r>
      <w:r>
        <w:t>t-tests and non-parametric tests).</w:t>
      </w:r>
      <w:r w:rsidR="000B05F5">
        <w:t xml:space="preserve">  </w:t>
      </w:r>
      <w:r w:rsidR="00F112AD">
        <w:t>A</w:t>
      </w:r>
      <w:r w:rsidR="000B05F5">
        <w:t xml:space="preserve">n additional ex-post analysis will be conducted to examine the relationship between payment amounts and performance for the risk elicitation task.  </w:t>
      </w:r>
      <w:r w:rsidR="005E54D1">
        <w:t xml:space="preserve">This analysis will entail within-subject univariate comparisons of risk parameter coefficient estimates under different payment scales used in the risk elicitation task (F-tests, t-tests and non-parametric tests).  </w:t>
      </w:r>
      <w:r w:rsidR="00502975">
        <w:t xml:space="preserve">The results of this analysis will be provided to OMB in a separate whitepaper upon completion of this study.  </w:t>
      </w:r>
    </w:p>
    <w:p w14:paraId="22A1B1FC" w14:textId="42C99087" w:rsidR="00624EC6" w:rsidRDefault="00624EC6" w:rsidP="00624EC6">
      <w:r>
        <w:t xml:space="preserve">Results will be </w:t>
      </w:r>
      <w:r w:rsidR="001D0574">
        <w:t xml:space="preserve">exploratory in nature and used to </w:t>
      </w:r>
      <w:r>
        <w:t xml:space="preserve">inform future experiments to study risk management decision-making with </w:t>
      </w:r>
      <w:r w:rsidR="000344C6">
        <w:t xml:space="preserve">more representative </w:t>
      </w:r>
      <w:r>
        <w:t>subjects</w:t>
      </w:r>
      <w:r w:rsidR="000344C6">
        <w:t>/samples</w:t>
      </w:r>
      <w:r>
        <w:t>.  Results may be shared with other agencies within USDA, but will not be used to evaluate existing policies or directly inform new policy making.  Results may be disseminated as presentations and publications for academic and professional audiences, but will not be used to prepare official agency statistics.</w:t>
      </w:r>
      <w:r w:rsidR="00FE562C">
        <w:t xml:space="preserve">  </w:t>
      </w:r>
      <w:r w:rsidR="00F112AD">
        <w:t>W</w:t>
      </w:r>
      <w:r w:rsidR="00FE562C">
        <w:t xml:space="preserve">e will provide separate documentation </w:t>
      </w:r>
      <w:r w:rsidR="00F112AD">
        <w:t xml:space="preserve">to OMB </w:t>
      </w:r>
      <w:r w:rsidR="00FE562C">
        <w:t>for how this exploratory research will inform further ERS research on risk preferences to clarify the practical utility of this study</w:t>
      </w:r>
      <w:r w:rsidR="00F112AD">
        <w:t xml:space="preserve"> upon completion of this study</w:t>
      </w:r>
      <w:r w:rsidR="00FE562C">
        <w:t xml:space="preserve">.  </w:t>
      </w:r>
    </w:p>
    <w:p w14:paraId="3F315989" w14:textId="4863100D" w:rsidR="00AF5425" w:rsidRDefault="00AF5425" w:rsidP="00AF5425">
      <w:r>
        <w:t>All questions in the demographic questionnaire were designed to require low cognitive effort for subjects to answer.  6 out of 28 questions require a numerical response.  The remaining 22 questions are either binary responses or Likert scale answers.  Questions 16-21 and 23 were specifically adapted from questions used in the Agricultural Resource Management Survey (ARMS)</w:t>
      </w:r>
      <w:r>
        <w:rPr>
          <w:rStyle w:val="FootnoteReference"/>
        </w:rPr>
        <w:footnoteReference w:id="3"/>
      </w:r>
      <w:r>
        <w:t xml:space="preserve"> in order to facilitation comparisons between results from this proposed experiment and future experiments with farmer subjects.  </w:t>
      </w:r>
    </w:p>
    <w:p w14:paraId="5F718115" w14:textId="77777777" w:rsidR="00AF5425" w:rsidRPr="00401935" w:rsidRDefault="00AF5425" w:rsidP="00AF5425">
      <w:r>
        <w:t xml:space="preserve">1. Question 1: Gender has a strong correlation with risk preferences and decision-making under risk.  This has been demonstrated robustly for student subjects (Holt and </w:t>
      </w:r>
      <w:proofErr w:type="spellStart"/>
      <w:r>
        <w:t>Laury</w:t>
      </w:r>
      <w:proofErr w:type="spellEnd"/>
      <w:r>
        <w:t xml:space="preserve">, 2002; </w:t>
      </w:r>
      <w:proofErr w:type="spellStart"/>
      <w:r>
        <w:t>Eckel</w:t>
      </w:r>
      <w:proofErr w:type="spellEnd"/>
      <w:r>
        <w:t xml:space="preserve"> and Grossman, 2008a; </w:t>
      </w:r>
      <w:proofErr w:type="spellStart"/>
      <w:r>
        <w:t>Borghans</w:t>
      </w:r>
      <w:proofErr w:type="spellEnd"/>
      <w:r>
        <w:t xml:space="preserve"> et al, 2009; </w:t>
      </w:r>
      <w:proofErr w:type="spellStart"/>
      <w:r>
        <w:t>Croson</w:t>
      </w:r>
      <w:proofErr w:type="spellEnd"/>
      <w:r>
        <w:t xml:space="preserve"> and </w:t>
      </w:r>
      <w:proofErr w:type="spellStart"/>
      <w:r>
        <w:t>Gneezy</w:t>
      </w:r>
      <w:proofErr w:type="spellEnd"/>
      <w:r>
        <w:t>, 2009; Sapienza et al, 2009) and non-student subjects (</w:t>
      </w:r>
      <w:proofErr w:type="spellStart"/>
      <w:r>
        <w:t>Jianakoplos</w:t>
      </w:r>
      <w:proofErr w:type="spellEnd"/>
      <w:r>
        <w:t xml:space="preserve"> and </w:t>
      </w:r>
      <w:proofErr w:type="spellStart"/>
      <w:r>
        <w:t>Bernasek</w:t>
      </w:r>
      <w:proofErr w:type="spellEnd"/>
      <w:r>
        <w:t xml:space="preserve">, 1998; </w:t>
      </w:r>
      <w:proofErr w:type="spellStart"/>
      <w:r>
        <w:t>Halek</w:t>
      </w:r>
      <w:proofErr w:type="spellEnd"/>
      <w:r>
        <w:t xml:space="preserve"> and </w:t>
      </w:r>
      <w:proofErr w:type="spellStart"/>
      <w:r>
        <w:t>Eisenhauer</w:t>
      </w:r>
      <w:proofErr w:type="spellEnd"/>
      <w:r>
        <w:t xml:space="preserve">, 2001; Dohmen et al, 2011; </w:t>
      </w:r>
      <w:proofErr w:type="spellStart"/>
      <w:r>
        <w:t>Charness</w:t>
      </w:r>
      <w:proofErr w:type="spellEnd"/>
      <w:r>
        <w:t xml:space="preserve"> and </w:t>
      </w:r>
      <w:proofErr w:type="spellStart"/>
      <w:r>
        <w:t>Gneezy</w:t>
      </w:r>
      <w:proofErr w:type="spellEnd"/>
      <w:r>
        <w:t xml:space="preserve">, 2012), as well as for US farmers (Rosch, 2017).  </w:t>
      </w:r>
    </w:p>
    <w:p w14:paraId="2071E875" w14:textId="77777777" w:rsidR="00AF5425" w:rsidRPr="00401935" w:rsidRDefault="00AF5425" w:rsidP="00AF5425">
      <w:r>
        <w:t xml:space="preserve">2. Questions 2 and 3: Age has a strong correlation with risk preferences and decision-making under risk.  This has been demonstrated robustly for non-student subjects (Riley and Chow, 1992; </w:t>
      </w:r>
      <w:proofErr w:type="spellStart"/>
      <w:r>
        <w:t>Halek</w:t>
      </w:r>
      <w:proofErr w:type="spellEnd"/>
      <w:r>
        <w:t xml:space="preserve"> and </w:t>
      </w:r>
      <w:proofErr w:type="spellStart"/>
      <w:r>
        <w:t>Eisenhauer</w:t>
      </w:r>
      <w:proofErr w:type="spellEnd"/>
      <w:r>
        <w:t xml:space="preserve">, 2001; Harrison et al, 2007; Dohmen et al, 2010; Dohmen et al, 2011), and farmers </w:t>
      </w:r>
      <w:r>
        <w:lastRenderedPageBreak/>
        <w:t>(</w:t>
      </w:r>
      <w:proofErr w:type="spellStart"/>
      <w:r>
        <w:t>Bocqueho</w:t>
      </w:r>
      <w:proofErr w:type="spellEnd"/>
      <w:r>
        <w:t xml:space="preserve"> et al, 2014; Rosch, 2017).  Experiments with student subjects, however, do not always find correlations between age and risk preferences (Holt and </w:t>
      </w:r>
      <w:proofErr w:type="spellStart"/>
      <w:r>
        <w:t>Laury</w:t>
      </w:r>
      <w:proofErr w:type="spellEnd"/>
      <w:r>
        <w:t xml:space="preserve">, 2002; </w:t>
      </w:r>
      <w:proofErr w:type="spellStart"/>
      <w:r>
        <w:t>Eckel</w:t>
      </w:r>
      <w:proofErr w:type="spellEnd"/>
      <w:r>
        <w:t xml:space="preserve"> and Grossman, 2008a).    By including a question about class standing, we include an extra control for age-related experience which may be relevant for student populations (</w:t>
      </w:r>
      <w:proofErr w:type="spellStart"/>
      <w:r>
        <w:t>Zocco</w:t>
      </w:r>
      <w:proofErr w:type="spellEnd"/>
      <w:r>
        <w:t xml:space="preserve">, 2009).      </w:t>
      </w:r>
    </w:p>
    <w:p w14:paraId="4CEFA493" w14:textId="77777777" w:rsidR="00AF5425" w:rsidRDefault="00AF5425" w:rsidP="00AF5425">
      <w:r>
        <w:t>3. Questions 4, 5, and 6:  These three questions deal with cognitive aptitude, and are used to control for unobservable differences in subjects’ ability to follow the rules of the experiment.  GPA and ACT/SAT scores are measures of cognitive ability; choice of major is self-</w:t>
      </w:r>
      <w:proofErr w:type="spellStart"/>
      <w:r>
        <w:t>explantory</w:t>
      </w:r>
      <w:proofErr w:type="spellEnd"/>
      <w:r>
        <w:t>.  Risk attitudes have been shown to correlate with choice of major in student populations (</w:t>
      </w:r>
      <w:proofErr w:type="spellStart"/>
      <w:r>
        <w:t>Zocco</w:t>
      </w:r>
      <w:proofErr w:type="spellEnd"/>
      <w:r>
        <w:t xml:space="preserve">, 2009) and with cognitive ability in non-student populations (Dohmen et al, 2010).  Additionally, cognitive ability has been shown to predict of choice of major and post-schooling labor market outcomes (Heckman et al, 2006). </w:t>
      </w:r>
    </w:p>
    <w:p w14:paraId="20896D9A" w14:textId="77777777" w:rsidR="00AF5425" w:rsidRDefault="00AF5425" w:rsidP="00AF5425">
      <w:r>
        <w:t>4. Question 7:  Zip code of high school address provides information about the student’s parents neighborhood, which is commonly used to infer parental household income levels from census data (</w:t>
      </w:r>
      <w:proofErr w:type="spellStart"/>
      <w:r>
        <w:t>Eckel</w:t>
      </w:r>
      <w:proofErr w:type="spellEnd"/>
      <w:r>
        <w:t xml:space="preserve"> and Grossman, 2008b; </w:t>
      </w:r>
      <w:proofErr w:type="spellStart"/>
      <w:r>
        <w:t>Karlan</w:t>
      </w:r>
      <w:proofErr w:type="spellEnd"/>
      <w:r>
        <w:t xml:space="preserve"> et al, 2011; </w:t>
      </w:r>
      <w:proofErr w:type="spellStart"/>
      <w:r>
        <w:t>Chetty</w:t>
      </w:r>
      <w:proofErr w:type="spellEnd"/>
      <w:r>
        <w:t xml:space="preserve"> et al, 2016).  Some studies find that income is correlated with risk attitudes for student subjects (Holt and </w:t>
      </w:r>
      <w:proofErr w:type="spellStart"/>
      <w:r>
        <w:t>Laury</w:t>
      </w:r>
      <w:proofErr w:type="spellEnd"/>
      <w:r>
        <w:t>, 2002) while others do not (</w:t>
      </w:r>
      <w:proofErr w:type="spellStart"/>
      <w:r>
        <w:t>Bruhin</w:t>
      </w:r>
      <w:proofErr w:type="spellEnd"/>
      <w:r>
        <w:t xml:space="preserve"> et al, 2010).  However, income and farm capital investments are correlated with risk attitudes for US farmers (Rosch, 2017).  We choose to focus on parental household income instead of student household income as students may not be financially independent from their parents.  Also, we request household </w:t>
      </w:r>
      <w:proofErr w:type="spellStart"/>
      <w:r>
        <w:t>zipcode</w:t>
      </w:r>
      <w:proofErr w:type="spellEnd"/>
      <w:r>
        <w:t xml:space="preserve"> information in lieu of direct reporting of income or wealth as students may not be able to accurately report information on behalf of their parents.          </w:t>
      </w:r>
    </w:p>
    <w:p w14:paraId="533E6A63" w14:textId="77777777" w:rsidR="00AF5425" w:rsidRDefault="00AF5425" w:rsidP="00AF5425">
      <w:r>
        <w:t>5. Question 8:  Experience with participating in laboratory experiments has been shown to impact experimental results for market experiments (</w:t>
      </w:r>
      <w:proofErr w:type="spellStart"/>
      <w:r>
        <w:t>Hussam</w:t>
      </w:r>
      <w:proofErr w:type="spellEnd"/>
      <w:r>
        <w:t xml:space="preserve"> et al, 2008) and public goods experiments (</w:t>
      </w:r>
      <w:proofErr w:type="spellStart"/>
      <w:r>
        <w:t>Zelmer</w:t>
      </w:r>
      <w:proofErr w:type="spellEnd"/>
      <w:r>
        <w:t>, 2003) but not repeated experimental elicitations for willingness to pay (</w:t>
      </w:r>
      <w:proofErr w:type="spellStart"/>
      <w:r>
        <w:t>Despositario</w:t>
      </w:r>
      <w:proofErr w:type="spellEnd"/>
      <w:r>
        <w:t xml:space="preserve"> et al, 2009) or risk aversion (</w:t>
      </w:r>
      <w:proofErr w:type="spellStart"/>
      <w:r>
        <w:t>Baucells</w:t>
      </w:r>
      <w:proofErr w:type="spellEnd"/>
      <w:r>
        <w:t xml:space="preserve"> and </w:t>
      </w:r>
      <w:proofErr w:type="spellStart"/>
      <w:r>
        <w:t>Villasis</w:t>
      </w:r>
      <w:proofErr w:type="spellEnd"/>
      <w:r>
        <w:t xml:space="preserve">, 2010).  Our experiment uses an experimental task for estimating insurance demand elasticities.  Because aspects of this task are similar to bidding in market experiments, we include a control for this characteristic.  </w:t>
      </w:r>
    </w:p>
    <w:p w14:paraId="1C842FB5" w14:textId="77777777" w:rsidR="00AF5425" w:rsidRDefault="00AF5425" w:rsidP="00AF5425">
      <w:r>
        <w:t>6.  Questions 9-12:  These questions assess subjects’ exposure to economics and statistics coursework, two disciplines which rely heavily on mathematics.  Mathematical skills have been shown to correlate with accuracy and precision of measurements of risk aversion for two commonly-used risk elicitation methods (Dave et al., 2010).   There is also evidence to suggest that the extent of economics training influences subject decision-making for public goods games (</w:t>
      </w:r>
      <w:proofErr w:type="spellStart"/>
      <w:r>
        <w:t>Marwell</w:t>
      </w:r>
      <w:proofErr w:type="spellEnd"/>
      <w:r>
        <w:t xml:space="preserve"> and Ames, 1981; </w:t>
      </w:r>
      <w:proofErr w:type="spellStart"/>
      <w:r>
        <w:t>Zelmer</w:t>
      </w:r>
      <w:proofErr w:type="spellEnd"/>
      <w:r>
        <w:t xml:space="preserve">, 2003).   </w:t>
      </w:r>
    </w:p>
    <w:p w14:paraId="16270122" w14:textId="77777777" w:rsidR="00AF5425" w:rsidRDefault="00AF5425" w:rsidP="00AF5425">
      <w:r>
        <w:t>7.  Questions 13-15:  These questions control for saliency of the experimental procedures.  Question 13 measures students’ self-perception about their own comprehension of the rules of the experiment.  This question has been used for this purpose in many different economics experiments (</w:t>
      </w:r>
      <w:proofErr w:type="spellStart"/>
      <w:r>
        <w:t>Eckel</w:t>
      </w:r>
      <w:proofErr w:type="spellEnd"/>
      <w:r>
        <w:t xml:space="preserve"> and Grossman, 2000; Ferraro et al, 2003; Davis and Millner, 2005; </w:t>
      </w:r>
      <w:proofErr w:type="spellStart"/>
      <w:r>
        <w:t>Crumpler</w:t>
      </w:r>
      <w:proofErr w:type="spellEnd"/>
      <w:r>
        <w:t xml:space="preserve"> and Grossman, 2008).  Question 14 measures students’ non-financial motivations for participating in the experiment, which have been shown to override financial incentives in some experimental contexts (</w:t>
      </w:r>
      <w:proofErr w:type="spellStart"/>
      <w:r>
        <w:t>Camerer</w:t>
      </w:r>
      <w:proofErr w:type="spellEnd"/>
      <w:r>
        <w:t xml:space="preserve"> et al, 1999; James, 2005).  Question 15 measures how easily students could afford to go out to dinner.  Going out to dinner is an expenditure likely to be familiar for students with a local value equivalent to $10-25.  Our experimental design has a subject participation fee of $10 and expected earnings between $20-25.  The literature shows that low show up fees introduce selection bias for non-student subjects (Harrison et al, 2009).  Risk averse individuals tend to be more likely to be motivated to participate in experiments for low show-up fees than more risk tolerant types.  However, the literature has not explored whether risk </w:t>
      </w:r>
      <w:r>
        <w:lastRenderedPageBreak/>
        <w:t xml:space="preserve">averse types are also more likely to be motivated by performance payments in addition to show-up fees.  A student who can easily afford an expenditure of $10-25 may be less motivated by performance payments than a student who is less able to afford this level of expenditure.  Because this is a potential confounding factor for our ex-post data analyses, we include this question to characterize subjects’ cash constraints over small dollar amounts.  </w:t>
      </w:r>
    </w:p>
    <w:p w14:paraId="716328AD" w14:textId="77777777" w:rsidR="00AF5425" w:rsidRDefault="00AF5425" w:rsidP="00AF5425">
      <w:r>
        <w:t xml:space="preserve">8. Questions 16-21: These questions measure access to credit, and use of real financial options and insurance products.  Risk attitudes have been shown to be correlated with use of savings, investments, and insurance products for US farmers (Rosch, 2017).  These questions are adapted from standard ARMS survey questions to measure use of savings, financial investments, and insurance for farm and household vehicles, equipment, and machinery.  The wording was adapted to use the financial, insurance, and credit products relevant for student populations.  </w:t>
      </w:r>
    </w:p>
    <w:p w14:paraId="041C5EF3" w14:textId="77777777" w:rsidR="00AF5425" w:rsidRDefault="00AF5425" w:rsidP="00AF5425">
      <w:r>
        <w:t>9. Question 22: Purchase of lottery tickets is correlated with myopic behavior in non-student subjects (</w:t>
      </w:r>
      <w:proofErr w:type="spellStart"/>
      <w:r>
        <w:t>Haisley</w:t>
      </w:r>
      <w:proofErr w:type="spellEnd"/>
      <w:r>
        <w:t xml:space="preserve"> et al, 2008).  Including this question allow us to compare the consistency of experimental measures of myopia with a survey based measure of myopia.  </w:t>
      </w:r>
    </w:p>
    <w:p w14:paraId="4F734B8C" w14:textId="77777777" w:rsidR="00AF5425" w:rsidRDefault="00AF5425" w:rsidP="00AF5425">
      <w:r>
        <w:t>10. Questions 23-28:  These questions measure risk attitudes in a number of different contexts.  Including these questions allows us to compare the consistency of our experimental measure of risk aversion with these survey based measures of risk aversion.  Question 23 exactly replicates a question used in the 1996, 2001, and 2014 ARMS surveys.  Questions 24-28 replicate Question 23 in five different contexts that are likely to be familiar to students, and have been shown to be well-correlated with risk preferences and actual risky behaviors for non-student subjects (Dohmen et al, 2011).  It is important to measure risk attitudes in multiple contexts because an individual’s risk preferences may appear different when examining their real-world decisions in different risky contexts (</w:t>
      </w:r>
      <w:proofErr w:type="spellStart"/>
      <w:r>
        <w:t>Einav</w:t>
      </w:r>
      <w:proofErr w:type="spellEnd"/>
      <w:r>
        <w:t xml:space="preserve"> et al, 2012).  </w:t>
      </w:r>
    </w:p>
    <w:p w14:paraId="3035C8E5" w14:textId="0D981921" w:rsidR="00733E86" w:rsidRDefault="00733E86" w:rsidP="00392558">
      <w:pPr>
        <w:rPr>
          <w:color w:val="000000" w:themeColor="text1"/>
        </w:rPr>
      </w:pPr>
    </w:p>
    <w:p w14:paraId="1A68C373" w14:textId="77777777" w:rsidR="007E12BE" w:rsidRPr="00C12EE3" w:rsidRDefault="007E12BE" w:rsidP="007E12BE">
      <w:pPr>
        <w:pStyle w:val="Num-DocParagraph"/>
        <w:numPr>
          <w:ilvl w:val="0"/>
          <w:numId w:val="1"/>
        </w:numPr>
        <w:rPr>
          <w:bCs/>
        </w:rPr>
      </w:pPr>
      <w:r w:rsidRPr="00C12EE3">
        <w:rPr>
          <w:b/>
          <w:bCs/>
        </w:rPr>
        <w:t>Use of improved information technology and burden reduction</w:t>
      </w:r>
    </w:p>
    <w:p w14:paraId="77B11CE5" w14:textId="591293E6" w:rsidR="0005521E" w:rsidRPr="00C12EE3" w:rsidRDefault="0005521E" w:rsidP="00E30B0B">
      <w:pPr>
        <w:pStyle w:val="Num-DocParagraph"/>
      </w:pPr>
      <w:r w:rsidRPr="002A3B8C">
        <w:t xml:space="preserve">ERS will employ information technology to reduce the burden of respondents who agree to participate in </w:t>
      </w:r>
      <w:r w:rsidR="001D0E88">
        <w:t>this</w:t>
      </w:r>
      <w:r w:rsidRPr="002A3B8C">
        <w:t xml:space="preserve"> research.  </w:t>
      </w:r>
      <w:r w:rsidR="00E30B0B" w:rsidRPr="002A3B8C">
        <w:t xml:space="preserve"> The proposed experiment will be conducted at the Department of Environmental and Natural Resource Economics’ Policy Simulation Laboratory (</w:t>
      </w:r>
      <w:proofErr w:type="spellStart"/>
      <w:r w:rsidR="00E30B0B" w:rsidRPr="002A3B8C">
        <w:t>SimLab</w:t>
      </w:r>
      <w:proofErr w:type="spellEnd"/>
      <w:r w:rsidR="00E30B0B" w:rsidRPr="002A3B8C">
        <w:t>) at the University of Rhode Island.</w:t>
      </w:r>
      <w:r w:rsidR="00B10360" w:rsidRPr="002A3B8C">
        <w:t xml:space="preserve">  Subjects will participate in the experiment through custom-designed software on laboratory computers.  The software was pre-tested and refined to improve the user </w:t>
      </w:r>
      <w:r w:rsidR="005E3B37" w:rsidRPr="002A3B8C">
        <w:t>experience and</w:t>
      </w:r>
      <w:r w:rsidR="00B10360" w:rsidRPr="002A3B8C">
        <w:t xml:space="preserve"> reduce the cognitive burd</w:t>
      </w:r>
      <w:r w:rsidR="004A7301">
        <w:t xml:space="preserve">en on subjects (see </w:t>
      </w:r>
      <w:r w:rsidR="00E7282C">
        <w:t>Attachment H</w:t>
      </w:r>
      <w:r w:rsidR="00B10360" w:rsidRPr="002A3B8C">
        <w:t>: Pretest Report).</w:t>
      </w:r>
      <w:r w:rsidR="00B10360">
        <w:t xml:space="preserve">  </w:t>
      </w:r>
      <w:r w:rsidR="00E30B0B">
        <w:t xml:space="preserve">  </w:t>
      </w:r>
      <w:r w:rsidR="00E30B0B" w:rsidRPr="00C12EE3">
        <w:t xml:space="preserve"> </w:t>
      </w:r>
    </w:p>
    <w:p w14:paraId="42D3AA75" w14:textId="77777777" w:rsidR="00444E1C" w:rsidRDefault="00444E1C" w:rsidP="003109FF">
      <w:pPr>
        <w:pStyle w:val="Num-DocParagraph"/>
        <w:rPr>
          <w:rFonts w:asciiTheme="minorHAnsi" w:hAnsiTheme="minorHAnsi"/>
          <w:color w:val="000000" w:themeColor="text1"/>
        </w:rPr>
      </w:pPr>
    </w:p>
    <w:p w14:paraId="6DD203E6" w14:textId="77777777" w:rsidR="007557F9" w:rsidRPr="00A660F8" w:rsidRDefault="001C34D0" w:rsidP="001C34D0">
      <w:pPr>
        <w:pStyle w:val="Num-DocParagraph"/>
        <w:numPr>
          <w:ilvl w:val="0"/>
          <w:numId w:val="1"/>
        </w:numPr>
        <w:rPr>
          <w:rFonts w:asciiTheme="minorHAnsi" w:hAnsiTheme="minorHAnsi"/>
          <w:b/>
          <w:color w:val="000000" w:themeColor="text1"/>
        </w:rPr>
      </w:pPr>
      <w:r w:rsidRPr="00A660F8">
        <w:rPr>
          <w:rFonts w:asciiTheme="minorHAnsi" w:hAnsiTheme="minorHAnsi"/>
          <w:b/>
          <w:color w:val="000000" w:themeColor="text1"/>
        </w:rPr>
        <w:t>Efforts to identify duplication; use of similar information</w:t>
      </w:r>
    </w:p>
    <w:p w14:paraId="729EB08D" w14:textId="49BA596B" w:rsidR="005C04B9" w:rsidRDefault="005F64F5" w:rsidP="001C34D0">
      <w:pPr>
        <w:pStyle w:val="Num-DocParagraph"/>
        <w:rPr>
          <w:rFonts w:asciiTheme="minorHAnsi" w:hAnsiTheme="minorHAnsi"/>
          <w:color w:val="000000" w:themeColor="text1"/>
        </w:rPr>
      </w:pPr>
      <w:r>
        <w:rPr>
          <w:rFonts w:asciiTheme="minorHAnsi" w:hAnsiTheme="minorHAnsi"/>
          <w:color w:val="000000" w:themeColor="text1"/>
        </w:rPr>
        <w:t>Multiple</w:t>
      </w:r>
      <w:r w:rsidR="007E01B5">
        <w:rPr>
          <w:rFonts w:asciiTheme="minorHAnsi" w:hAnsiTheme="minorHAnsi"/>
          <w:color w:val="000000" w:themeColor="text1"/>
        </w:rPr>
        <w:t xml:space="preserve"> </w:t>
      </w:r>
      <w:r w:rsidR="003F1840">
        <w:rPr>
          <w:rFonts w:asciiTheme="minorHAnsi" w:hAnsiTheme="minorHAnsi"/>
          <w:color w:val="000000" w:themeColor="text1"/>
        </w:rPr>
        <w:t>literature review</w:t>
      </w:r>
      <w:r w:rsidR="007E01B5">
        <w:rPr>
          <w:rFonts w:asciiTheme="minorHAnsi" w:hAnsiTheme="minorHAnsi"/>
          <w:color w:val="000000" w:themeColor="text1"/>
        </w:rPr>
        <w:t>s were</w:t>
      </w:r>
      <w:r w:rsidR="003F1840">
        <w:rPr>
          <w:rFonts w:asciiTheme="minorHAnsi" w:hAnsiTheme="minorHAnsi"/>
          <w:color w:val="000000" w:themeColor="text1"/>
        </w:rPr>
        <w:t xml:space="preserve"> completed</w:t>
      </w:r>
      <w:r w:rsidR="00BC78EE">
        <w:rPr>
          <w:rFonts w:asciiTheme="minorHAnsi" w:hAnsiTheme="minorHAnsi"/>
          <w:color w:val="000000" w:themeColor="text1"/>
        </w:rPr>
        <w:t xml:space="preserve"> </w:t>
      </w:r>
      <w:r w:rsidR="009421A5">
        <w:rPr>
          <w:rFonts w:asciiTheme="minorHAnsi" w:hAnsiTheme="minorHAnsi"/>
          <w:color w:val="000000" w:themeColor="text1"/>
        </w:rPr>
        <w:t>in support of this proposed study</w:t>
      </w:r>
      <w:r w:rsidR="003F1840">
        <w:rPr>
          <w:rFonts w:asciiTheme="minorHAnsi" w:hAnsiTheme="minorHAnsi"/>
          <w:color w:val="000000" w:themeColor="text1"/>
        </w:rPr>
        <w:t>.</w:t>
      </w:r>
      <w:r w:rsidR="00851A3B">
        <w:rPr>
          <w:rFonts w:asciiTheme="minorHAnsi" w:hAnsiTheme="minorHAnsi"/>
          <w:color w:val="000000" w:themeColor="text1"/>
        </w:rPr>
        <w:t xml:space="preserve">  These reviews included (1) the interaction between cover crops and crop insurance programs on agricultural production decisions, (2) </w:t>
      </w:r>
      <w:r w:rsidR="00851A3B">
        <w:t>the connection between risk preferences and adoption of risk management strategies, including use of insurance, and (3)</w:t>
      </w:r>
      <w:r w:rsidR="002871DE">
        <w:t xml:space="preserve"> experimental methods for studying risk preferences and insurance in laboratory sessions.</w:t>
      </w:r>
      <w:r w:rsidR="00851A3B">
        <w:t xml:space="preserve"> </w:t>
      </w:r>
      <w:r w:rsidR="00517137">
        <w:rPr>
          <w:rFonts w:asciiTheme="minorHAnsi" w:hAnsiTheme="minorHAnsi"/>
          <w:color w:val="000000" w:themeColor="text1"/>
        </w:rPr>
        <w:t xml:space="preserve"> </w:t>
      </w:r>
      <w:r w:rsidR="00F112AD">
        <w:rPr>
          <w:rFonts w:asciiTheme="minorHAnsi" w:hAnsiTheme="minorHAnsi"/>
          <w:color w:val="000000" w:themeColor="text1"/>
        </w:rPr>
        <w:t>W</w:t>
      </w:r>
      <w:r w:rsidR="005C04B9">
        <w:rPr>
          <w:rFonts w:asciiTheme="minorHAnsi" w:hAnsiTheme="minorHAnsi"/>
          <w:color w:val="000000" w:themeColor="text1"/>
        </w:rPr>
        <w:t xml:space="preserve">e will provide </w:t>
      </w:r>
      <w:r w:rsidR="00F112AD">
        <w:rPr>
          <w:rFonts w:asciiTheme="minorHAnsi" w:hAnsiTheme="minorHAnsi"/>
          <w:color w:val="000000" w:themeColor="text1"/>
        </w:rPr>
        <w:t xml:space="preserve">to OMB </w:t>
      </w:r>
      <w:r w:rsidR="005C04B9">
        <w:rPr>
          <w:rFonts w:asciiTheme="minorHAnsi" w:hAnsiTheme="minorHAnsi"/>
          <w:color w:val="000000" w:themeColor="text1"/>
        </w:rPr>
        <w:t>a</w:t>
      </w:r>
      <w:r w:rsidR="00851A3B">
        <w:rPr>
          <w:rFonts w:asciiTheme="minorHAnsi" w:hAnsiTheme="minorHAnsi"/>
          <w:color w:val="000000" w:themeColor="text1"/>
        </w:rPr>
        <w:t>n additional</w:t>
      </w:r>
      <w:r w:rsidR="005C04B9">
        <w:rPr>
          <w:rFonts w:asciiTheme="minorHAnsi" w:hAnsiTheme="minorHAnsi"/>
          <w:color w:val="000000" w:themeColor="text1"/>
        </w:rPr>
        <w:t xml:space="preserve"> comprehensive review of the experimental economics literature on risk preferences to complement the literature reviews included below.</w:t>
      </w:r>
      <w:r w:rsidR="00851A3B">
        <w:rPr>
          <w:rFonts w:asciiTheme="minorHAnsi" w:hAnsiTheme="minorHAnsi"/>
          <w:color w:val="000000" w:themeColor="text1"/>
        </w:rPr>
        <w:t xml:space="preserve">  This </w:t>
      </w:r>
      <w:r w:rsidR="00851A3B">
        <w:rPr>
          <w:rFonts w:asciiTheme="minorHAnsi" w:hAnsiTheme="minorHAnsi"/>
          <w:color w:val="000000" w:themeColor="text1"/>
        </w:rPr>
        <w:lastRenderedPageBreak/>
        <w:t xml:space="preserve">comprehensive review will be prepared concurrently with the rest of the activities proposed in this research study.  </w:t>
      </w:r>
      <w:r w:rsidR="005C04B9">
        <w:rPr>
          <w:rFonts w:asciiTheme="minorHAnsi" w:hAnsiTheme="minorHAnsi"/>
          <w:color w:val="000000" w:themeColor="text1"/>
        </w:rPr>
        <w:t xml:space="preserve">    </w:t>
      </w:r>
    </w:p>
    <w:p w14:paraId="6CC3D0EA" w14:textId="4CE7F58D" w:rsidR="00FE182F" w:rsidRDefault="00441402" w:rsidP="001C34D0">
      <w:pPr>
        <w:pStyle w:val="Num-DocParagraph"/>
        <w:rPr>
          <w:rFonts w:asciiTheme="minorHAnsi" w:hAnsiTheme="minorHAnsi"/>
          <w:color w:val="000000" w:themeColor="text1"/>
        </w:rPr>
      </w:pPr>
      <w:r>
        <w:rPr>
          <w:rFonts w:asciiTheme="minorHAnsi" w:hAnsiTheme="minorHAnsi"/>
          <w:color w:val="000000" w:themeColor="text1"/>
        </w:rPr>
        <w:t>The first</w:t>
      </w:r>
      <w:r w:rsidR="007E01B5">
        <w:rPr>
          <w:rFonts w:asciiTheme="minorHAnsi" w:hAnsiTheme="minorHAnsi"/>
          <w:color w:val="000000" w:themeColor="text1"/>
        </w:rPr>
        <w:t xml:space="preserve"> review concentrated on </w:t>
      </w:r>
      <w:r w:rsidR="00A04EFC">
        <w:rPr>
          <w:rFonts w:asciiTheme="minorHAnsi" w:hAnsiTheme="minorHAnsi"/>
          <w:color w:val="000000" w:themeColor="text1"/>
        </w:rPr>
        <w:t>the interaction between cover crops and crop insurance programs</w:t>
      </w:r>
      <w:r w:rsidR="003A32AF">
        <w:rPr>
          <w:rFonts w:asciiTheme="minorHAnsi" w:hAnsiTheme="minorHAnsi"/>
          <w:color w:val="000000" w:themeColor="text1"/>
        </w:rPr>
        <w:t xml:space="preserve"> on agricultural production decisions</w:t>
      </w:r>
      <w:r w:rsidR="00A04EFC">
        <w:rPr>
          <w:rFonts w:asciiTheme="minorHAnsi" w:hAnsiTheme="minorHAnsi"/>
          <w:color w:val="000000" w:themeColor="text1"/>
        </w:rPr>
        <w:t>.</w:t>
      </w:r>
      <w:r w:rsidR="00F179DA">
        <w:rPr>
          <w:rFonts w:asciiTheme="minorHAnsi" w:hAnsiTheme="minorHAnsi"/>
          <w:color w:val="000000" w:themeColor="text1"/>
        </w:rPr>
        <w:t xml:space="preserve">  </w:t>
      </w:r>
      <w:r w:rsidR="001F5EDA">
        <w:rPr>
          <w:rFonts w:asciiTheme="minorHAnsi" w:hAnsiTheme="minorHAnsi"/>
          <w:color w:val="000000" w:themeColor="text1"/>
        </w:rPr>
        <w:t>In the agricultural eco</w:t>
      </w:r>
      <w:r w:rsidR="00804DF6">
        <w:rPr>
          <w:rFonts w:asciiTheme="minorHAnsi" w:hAnsiTheme="minorHAnsi"/>
          <w:color w:val="000000" w:themeColor="text1"/>
        </w:rPr>
        <w:t>nomics literature, risk has long been recognized as</w:t>
      </w:r>
      <w:r w:rsidR="001F5EDA">
        <w:rPr>
          <w:rFonts w:asciiTheme="minorHAnsi" w:hAnsiTheme="minorHAnsi"/>
          <w:color w:val="000000" w:themeColor="text1"/>
        </w:rPr>
        <w:t xml:space="preserve"> a</w:t>
      </w:r>
      <w:r w:rsidR="00CE43F5">
        <w:rPr>
          <w:rFonts w:asciiTheme="minorHAnsi" w:hAnsiTheme="minorHAnsi"/>
          <w:color w:val="000000" w:themeColor="text1"/>
        </w:rPr>
        <w:t>n</w:t>
      </w:r>
      <w:r w:rsidR="001F5EDA">
        <w:rPr>
          <w:rFonts w:asciiTheme="minorHAnsi" w:hAnsiTheme="minorHAnsi"/>
          <w:color w:val="000000" w:themeColor="text1"/>
        </w:rPr>
        <w:t xml:space="preserve"> </w:t>
      </w:r>
      <w:r w:rsidR="00CE43F5">
        <w:rPr>
          <w:rFonts w:asciiTheme="minorHAnsi" w:hAnsiTheme="minorHAnsi"/>
          <w:color w:val="000000" w:themeColor="text1"/>
        </w:rPr>
        <w:t>important</w:t>
      </w:r>
      <w:r w:rsidR="001F5EDA">
        <w:rPr>
          <w:rFonts w:asciiTheme="minorHAnsi" w:hAnsiTheme="minorHAnsi"/>
          <w:color w:val="000000" w:themeColor="text1"/>
        </w:rPr>
        <w:t xml:space="preserve"> driver of agricultural production decisions (see </w:t>
      </w:r>
      <w:proofErr w:type="spellStart"/>
      <w:r w:rsidR="001F5EDA">
        <w:rPr>
          <w:rFonts w:asciiTheme="minorHAnsi" w:hAnsiTheme="minorHAnsi"/>
          <w:color w:val="000000" w:themeColor="text1"/>
        </w:rPr>
        <w:t>An</w:t>
      </w:r>
      <w:r w:rsidR="0083070C">
        <w:rPr>
          <w:rFonts w:asciiTheme="minorHAnsi" w:hAnsiTheme="minorHAnsi"/>
          <w:color w:val="000000" w:themeColor="text1"/>
        </w:rPr>
        <w:t>tle</w:t>
      </w:r>
      <w:proofErr w:type="spellEnd"/>
      <w:r w:rsidR="0083070C">
        <w:rPr>
          <w:rFonts w:asciiTheme="minorHAnsi" w:hAnsiTheme="minorHAnsi"/>
          <w:color w:val="000000" w:themeColor="text1"/>
        </w:rPr>
        <w:t>, 1983</w:t>
      </w:r>
      <w:r w:rsidR="00801F8C">
        <w:rPr>
          <w:rFonts w:asciiTheme="minorHAnsi" w:hAnsiTheme="minorHAnsi"/>
          <w:color w:val="000000" w:themeColor="text1"/>
        </w:rPr>
        <w:t xml:space="preserve">; </w:t>
      </w:r>
      <w:proofErr w:type="spellStart"/>
      <w:r w:rsidR="00801F8C">
        <w:rPr>
          <w:rFonts w:asciiTheme="minorHAnsi" w:hAnsiTheme="minorHAnsi"/>
          <w:color w:val="000000" w:themeColor="text1"/>
        </w:rPr>
        <w:t>Hardaker</w:t>
      </w:r>
      <w:proofErr w:type="spellEnd"/>
      <w:r w:rsidR="00801F8C">
        <w:rPr>
          <w:rFonts w:asciiTheme="minorHAnsi" w:hAnsiTheme="minorHAnsi"/>
          <w:color w:val="000000" w:themeColor="text1"/>
        </w:rPr>
        <w:t>, 2004</w:t>
      </w:r>
      <w:r w:rsidR="005C7A19">
        <w:rPr>
          <w:rFonts w:asciiTheme="minorHAnsi" w:hAnsiTheme="minorHAnsi"/>
          <w:color w:val="000000" w:themeColor="text1"/>
        </w:rPr>
        <w:t xml:space="preserve">; </w:t>
      </w:r>
      <w:r w:rsidR="004650C7">
        <w:rPr>
          <w:rFonts w:asciiTheme="minorHAnsi" w:hAnsiTheme="minorHAnsi"/>
          <w:color w:val="000000" w:themeColor="text1"/>
        </w:rPr>
        <w:t>Chavas et al</w:t>
      </w:r>
      <w:r w:rsidR="00604C46">
        <w:rPr>
          <w:rFonts w:asciiTheme="minorHAnsi" w:hAnsiTheme="minorHAnsi"/>
          <w:color w:val="000000" w:themeColor="text1"/>
        </w:rPr>
        <w:t xml:space="preserve">, 2010; </w:t>
      </w:r>
      <w:r w:rsidR="005C7A19">
        <w:rPr>
          <w:rFonts w:asciiTheme="minorHAnsi" w:hAnsiTheme="minorHAnsi"/>
          <w:color w:val="000000" w:themeColor="text1"/>
        </w:rPr>
        <w:t>Just and Pope, 2013</w:t>
      </w:r>
      <w:r w:rsidR="00D13DA8">
        <w:rPr>
          <w:rFonts w:asciiTheme="minorHAnsi" w:hAnsiTheme="minorHAnsi"/>
          <w:color w:val="000000" w:themeColor="text1"/>
        </w:rPr>
        <w:t>).</w:t>
      </w:r>
      <w:r w:rsidR="00C20990">
        <w:rPr>
          <w:rFonts w:asciiTheme="minorHAnsi" w:hAnsiTheme="minorHAnsi"/>
          <w:color w:val="000000" w:themeColor="text1"/>
        </w:rPr>
        <w:t xml:space="preserve">  Risk has been shown to affect</w:t>
      </w:r>
      <w:r w:rsidR="00810166">
        <w:rPr>
          <w:rFonts w:asciiTheme="minorHAnsi" w:hAnsiTheme="minorHAnsi"/>
          <w:color w:val="000000" w:themeColor="text1"/>
        </w:rPr>
        <w:t xml:space="preserve"> a wide-range of decisions including</w:t>
      </w:r>
      <w:r w:rsidR="00C20990">
        <w:rPr>
          <w:rFonts w:asciiTheme="minorHAnsi" w:hAnsiTheme="minorHAnsi"/>
          <w:color w:val="000000" w:themeColor="text1"/>
        </w:rPr>
        <w:t xml:space="preserve"> use of pesticides (Pannell, 1991), adoption of cover crops (</w:t>
      </w:r>
      <w:proofErr w:type="spellStart"/>
      <w:r w:rsidR="00C20990">
        <w:rPr>
          <w:rFonts w:asciiTheme="minorHAnsi" w:hAnsiTheme="minorHAnsi"/>
          <w:color w:val="000000" w:themeColor="text1"/>
        </w:rPr>
        <w:t>Snapp</w:t>
      </w:r>
      <w:proofErr w:type="spellEnd"/>
      <w:r w:rsidR="00C20990">
        <w:rPr>
          <w:rFonts w:asciiTheme="minorHAnsi" w:hAnsiTheme="minorHAnsi"/>
          <w:color w:val="000000" w:themeColor="text1"/>
        </w:rPr>
        <w:t xml:space="preserve"> et al, 2005</w:t>
      </w:r>
      <w:r w:rsidR="001B6277">
        <w:rPr>
          <w:rFonts w:asciiTheme="minorHAnsi" w:hAnsiTheme="minorHAnsi"/>
          <w:color w:val="000000" w:themeColor="text1"/>
        </w:rPr>
        <w:t xml:space="preserve">; </w:t>
      </w:r>
      <w:proofErr w:type="spellStart"/>
      <w:r w:rsidR="001B6277">
        <w:rPr>
          <w:rFonts w:asciiTheme="minorHAnsi" w:hAnsiTheme="minorHAnsi"/>
          <w:color w:val="000000" w:themeColor="text1"/>
        </w:rPr>
        <w:t>Schipanski</w:t>
      </w:r>
      <w:proofErr w:type="spellEnd"/>
      <w:r w:rsidR="001B6277">
        <w:rPr>
          <w:rFonts w:asciiTheme="minorHAnsi" w:hAnsiTheme="minorHAnsi"/>
          <w:color w:val="000000" w:themeColor="text1"/>
        </w:rPr>
        <w:t xml:space="preserve"> et al, 2014</w:t>
      </w:r>
      <w:r w:rsidR="00C20990">
        <w:rPr>
          <w:rFonts w:asciiTheme="minorHAnsi" w:hAnsiTheme="minorHAnsi"/>
          <w:color w:val="000000" w:themeColor="text1"/>
        </w:rPr>
        <w:t xml:space="preserve">), </w:t>
      </w:r>
      <w:r w:rsidR="00C36B0F">
        <w:rPr>
          <w:rFonts w:asciiTheme="minorHAnsi" w:hAnsiTheme="minorHAnsi"/>
          <w:color w:val="000000" w:themeColor="text1"/>
        </w:rPr>
        <w:t>and adoption</w:t>
      </w:r>
      <w:r w:rsidR="00BB74FC">
        <w:rPr>
          <w:rFonts w:asciiTheme="minorHAnsi" w:hAnsiTheme="minorHAnsi"/>
          <w:color w:val="000000" w:themeColor="text1"/>
        </w:rPr>
        <w:t xml:space="preserve"> of crop insurance (</w:t>
      </w:r>
      <w:r w:rsidR="00F23F04">
        <w:rPr>
          <w:rFonts w:asciiTheme="minorHAnsi" w:hAnsiTheme="minorHAnsi"/>
          <w:color w:val="000000" w:themeColor="text1"/>
        </w:rPr>
        <w:t xml:space="preserve">Goodwin and </w:t>
      </w:r>
      <w:proofErr w:type="spellStart"/>
      <w:r w:rsidR="00F23F04">
        <w:rPr>
          <w:rFonts w:asciiTheme="minorHAnsi" w:hAnsiTheme="minorHAnsi"/>
          <w:color w:val="000000" w:themeColor="text1"/>
        </w:rPr>
        <w:t>Kastens</w:t>
      </w:r>
      <w:proofErr w:type="spellEnd"/>
      <w:r w:rsidR="00F23F04">
        <w:rPr>
          <w:rFonts w:asciiTheme="minorHAnsi" w:hAnsiTheme="minorHAnsi"/>
          <w:color w:val="000000" w:themeColor="text1"/>
        </w:rPr>
        <w:t xml:space="preserve">; 1993; </w:t>
      </w:r>
      <w:r w:rsidR="00D60D4F">
        <w:rPr>
          <w:rFonts w:asciiTheme="minorHAnsi" w:hAnsiTheme="minorHAnsi"/>
          <w:color w:val="000000" w:themeColor="text1"/>
        </w:rPr>
        <w:t xml:space="preserve">Smith and </w:t>
      </w:r>
      <w:proofErr w:type="spellStart"/>
      <w:r w:rsidR="00D60D4F">
        <w:rPr>
          <w:rFonts w:asciiTheme="minorHAnsi" w:hAnsiTheme="minorHAnsi"/>
          <w:color w:val="000000" w:themeColor="text1"/>
        </w:rPr>
        <w:t>Baquet</w:t>
      </w:r>
      <w:proofErr w:type="spellEnd"/>
      <w:r w:rsidR="00D60D4F">
        <w:rPr>
          <w:rFonts w:asciiTheme="minorHAnsi" w:hAnsiTheme="minorHAnsi"/>
          <w:color w:val="000000" w:themeColor="text1"/>
        </w:rPr>
        <w:t xml:space="preserve">, 1996; Coble et al, 1996; </w:t>
      </w:r>
      <w:proofErr w:type="spellStart"/>
      <w:r w:rsidR="00BB74FC">
        <w:rPr>
          <w:rFonts w:asciiTheme="minorHAnsi" w:hAnsiTheme="minorHAnsi"/>
          <w:color w:val="000000" w:themeColor="text1"/>
        </w:rPr>
        <w:t>Velandia</w:t>
      </w:r>
      <w:proofErr w:type="spellEnd"/>
      <w:r w:rsidR="00BB74FC">
        <w:rPr>
          <w:rFonts w:asciiTheme="minorHAnsi" w:hAnsiTheme="minorHAnsi"/>
          <w:color w:val="000000" w:themeColor="text1"/>
        </w:rPr>
        <w:t xml:space="preserve"> et al, 2009).</w:t>
      </w:r>
      <w:r w:rsidR="00982B65">
        <w:rPr>
          <w:rFonts w:asciiTheme="minorHAnsi" w:hAnsiTheme="minorHAnsi"/>
          <w:color w:val="000000" w:themeColor="text1"/>
        </w:rPr>
        <w:t xml:space="preserve">  </w:t>
      </w:r>
    </w:p>
    <w:p w14:paraId="33F5B583" w14:textId="77777777" w:rsidR="0013207E" w:rsidRDefault="00FD3679" w:rsidP="001C34D0">
      <w:pPr>
        <w:pStyle w:val="Num-DocParagraph"/>
        <w:rPr>
          <w:rFonts w:asciiTheme="minorHAnsi" w:hAnsiTheme="minorHAnsi"/>
          <w:color w:val="000000" w:themeColor="text1"/>
        </w:rPr>
      </w:pPr>
      <w:r>
        <w:rPr>
          <w:rFonts w:asciiTheme="minorHAnsi" w:hAnsiTheme="minorHAnsi"/>
          <w:color w:val="000000" w:themeColor="text1"/>
        </w:rPr>
        <w:t>C</w:t>
      </w:r>
      <w:r w:rsidR="00873A64">
        <w:rPr>
          <w:rFonts w:asciiTheme="minorHAnsi" w:hAnsiTheme="minorHAnsi"/>
          <w:color w:val="000000" w:themeColor="text1"/>
        </w:rPr>
        <w:t>over crops a</w:t>
      </w:r>
      <w:r w:rsidR="00B62FE6">
        <w:rPr>
          <w:rFonts w:asciiTheme="minorHAnsi" w:hAnsiTheme="minorHAnsi"/>
          <w:color w:val="000000" w:themeColor="text1"/>
        </w:rPr>
        <w:t>nd crop insurance</w:t>
      </w:r>
      <w:r w:rsidR="00873A64">
        <w:rPr>
          <w:rFonts w:asciiTheme="minorHAnsi" w:hAnsiTheme="minorHAnsi"/>
          <w:color w:val="000000" w:themeColor="text1"/>
        </w:rPr>
        <w:t xml:space="preserve"> impact farmers’ incentives to apply chemical fertilizers and pesticides</w:t>
      </w:r>
      <w:r w:rsidR="00B62FE6">
        <w:rPr>
          <w:rFonts w:asciiTheme="minorHAnsi" w:hAnsiTheme="minorHAnsi"/>
          <w:color w:val="000000" w:themeColor="text1"/>
        </w:rPr>
        <w:t xml:space="preserve"> because of their</w:t>
      </w:r>
      <w:r w:rsidR="00186982">
        <w:rPr>
          <w:rFonts w:asciiTheme="minorHAnsi" w:hAnsiTheme="minorHAnsi"/>
          <w:color w:val="000000" w:themeColor="text1"/>
        </w:rPr>
        <w:t xml:space="preserve"> </w:t>
      </w:r>
      <w:r w:rsidR="00B62FE6">
        <w:rPr>
          <w:rFonts w:asciiTheme="minorHAnsi" w:hAnsiTheme="minorHAnsi"/>
          <w:color w:val="000000" w:themeColor="text1"/>
        </w:rPr>
        <w:t>effect</w:t>
      </w:r>
      <w:r w:rsidR="00186982">
        <w:rPr>
          <w:rFonts w:asciiTheme="minorHAnsi" w:hAnsiTheme="minorHAnsi"/>
          <w:color w:val="000000" w:themeColor="text1"/>
        </w:rPr>
        <w:t xml:space="preserve"> on farmers’ risk exposure</w:t>
      </w:r>
      <w:r w:rsidR="00873A64">
        <w:rPr>
          <w:rFonts w:asciiTheme="minorHAnsi" w:hAnsiTheme="minorHAnsi"/>
          <w:color w:val="000000" w:themeColor="text1"/>
        </w:rPr>
        <w:t>.</w:t>
      </w:r>
      <w:r w:rsidR="00186982">
        <w:rPr>
          <w:rFonts w:asciiTheme="minorHAnsi" w:hAnsiTheme="minorHAnsi"/>
          <w:color w:val="000000" w:themeColor="text1"/>
        </w:rPr>
        <w:t xml:space="preserve">  Cover crops improve soil quality (Dabney et al, 2001; </w:t>
      </w:r>
      <w:proofErr w:type="spellStart"/>
      <w:r w:rsidR="00692044">
        <w:rPr>
          <w:rFonts w:asciiTheme="minorHAnsi" w:hAnsiTheme="minorHAnsi"/>
          <w:color w:val="000000" w:themeColor="text1"/>
        </w:rPr>
        <w:t>Hartwin</w:t>
      </w:r>
      <w:proofErr w:type="spellEnd"/>
      <w:r w:rsidR="00692044">
        <w:rPr>
          <w:rFonts w:asciiTheme="minorHAnsi" w:hAnsiTheme="minorHAnsi"/>
          <w:color w:val="000000" w:themeColor="text1"/>
        </w:rPr>
        <w:t xml:space="preserve"> and Ammon, 2002</w:t>
      </w:r>
      <w:r w:rsidR="00186982">
        <w:rPr>
          <w:rFonts w:asciiTheme="minorHAnsi" w:hAnsiTheme="minorHAnsi"/>
          <w:color w:val="000000" w:themeColor="text1"/>
        </w:rPr>
        <w:t>), which should reduce the demand for fertilizer applications.</w:t>
      </w:r>
      <w:r w:rsidR="002D6812">
        <w:rPr>
          <w:rFonts w:asciiTheme="minorHAnsi" w:hAnsiTheme="minorHAnsi"/>
          <w:color w:val="000000" w:themeColor="text1"/>
        </w:rPr>
        <w:t xml:space="preserve">  </w:t>
      </w:r>
      <w:r w:rsidR="004E78E5">
        <w:rPr>
          <w:rFonts w:asciiTheme="minorHAnsi" w:hAnsiTheme="minorHAnsi"/>
          <w:color w:val="000000" w:themeColor="text1"/>
        </w:rPr>
        <w:t>On the other hand, c</w:t>
      </w:r>
      <w:r w:rsidR="002D6812">
        <w:rPr>
          <w:rFonts w:asciiTheme="minorHAnsi" w:hAnsiTheme="minorHAnsi"/>
          <w:color w:val="000000" w:themeColor="text1"/>
        </w:rPr>
        <w:t>rop insurance reduces farmers’ financial losses in the event of a bad crop</w:t>
      </w:r>
      <w:r w:rsidR="005F2426">
        <w:rPr>
          <w:rFonts w:asciiTheme="minorHAnsi" w:hAnsiTheme="minorHAnsi"/>
          <w:color w:val="000000" w:themeColor="text1"/>
        </w:rPr>
        <w:t xml:space="preserve">.  This gives farmers incentives </w:t>
      </w:r>
      <w:r w:rsidR="002D6812">
        <w:rPr>
          <w:rFonts w:asciiTheme="minorHAnsi" w:hAnsiTheme="minorHAnsi"/>
          <w:color w:val="000000" w:themeColor="text1"/>
        </w:rPr>
        <w:t>to augment their fert</w:t>
      </w:r>
      <w:r w:rsidR="00FC73A0">
        <w:rPr>
          <w:rFonts w:asciiTheme="minorHAnsi" w:hAnsiTheme="minorHAnsi"/>
          <w:color w:val="000000" w:themeColor="text1"/>
        </w:rPr>
        <w:t>ilizer applications because the</w:t>
      </w:r>
      <w:r w:rsidR="002D6812">
        <w:rPr>
          <w:rFonts w:asciiTheme="minorHAnsi" w:hAnsiTheme="minorHAnsi"/>
          <w:color w:val="000000" w:themeColor="text1"/>
        </w:rPr>
        <w:t xml:space="preserve"> increased costs can be partially offset by crop insurance indemnity payments.</w:t>
      </w:r>
      <w:r w:rsidR="00873A64">
        <w:rPr>
          <w:rFonts w:asciiTheme="minorHAnsi" w:hAnsiTheme="minorHAnsi"/>
          <w:color w:val="000000" w:themeColor="text1"/>
        </w:rPr>
        <w:t xml:space="preserve">  </w:t>
      </w:r>
      <w:r w:rsidR="006A09A4">
        <w:rPr>
          <w:rFonts w:asciiTheme="minorHAnsi" w:hAnsiTheme="minorHAnsi"/>
          <w:color w:val="000000" w:themeColor="text1"/>
        </w:rPr>
        <w:t xml:space="preserve">However, the </w:t>
      </w:r>
      <w:r w:rsidR="00EF787B">
        <w:rPr>
          <w:rFonts w:asciiTheme="minorHAnsi" w:hAnsiTheme="minorHAnsi"/>
          <w:color w:val="000000" w:themeColor="text1"/>
        </w:rPr>
        <w:t xml:space="preserve">individual and </w:t>
      </w:r>
      <w:r w:rsidR="006A09A4">
        <w:rPr>
          <w:rFonts w:asciiTheme="minorHAnsi" w:hAnsiTheme="minorHAnsi"/>
          <w:color w:val="000000" w:themeColor="text1"/>
        </w:rPr>
        <w:t>joint effect</w:t>
      </w:r>
      <w:r w:rsidR="00EF787B">
        <w:rPr>
          <w:rFonts w:asciiTheme="minorHAnsi" w:hAnsiTheme="minorHAnsi"/>
          <w:color w:val="000000" w:themeColor="text1"/>
        </w:rPr>
        <w:t>s</w:t>
      </w:r>
      <w:r w:rsidR="006A09A4">
        <w:rPr>
          <w:rFonts w:asciiTheme="minorHAnsi" w:hAnsiTheme="minorHAnsi"/>
          <w:color w:val="000000" w:themeColor="text1"/>
        </w:rPr>
        <w:t xml:space="preserve"> of cover crops and crop insurance on farmers’</w:t>
      </w:r>
      <w:r w:rsidR="00681983">
        <w:rPr>
          <w:rFonts w:asciiTheme="minorHAnsi" w:hAnsiTheme="minorHAnsi"/>
          <w:color w:val="000000" w:themeColor="text1"/>
        </w:rPr>
        <w:t xml:space="preserve"> </w:t>
      </w:r>
      <w:r w:rsidR="00C26F1D">
        <w:rPr>
          <w:rFonts w:asciiTheme="minorHAnsi" w:hAnsiTheme="minorHAnsi"/>
          <w:color w:val="000000" w:themeColor="text1"/>
        </w:rPr>
        <w:t xml:space="preserve">actual </w:t>
      </w:r>
      <w:r w:rsidR="00681983">
        <w:rPr>
          <w:rFonts w:asciiTheme="minorHAnsi" w:hAnsiTheme="minorHAnsi"/>
          <w:color w:val="000000" w:themeColor="text1"/>
        </w:rPr>
        <w:t xml:space="preserve">use of </w:t>
      </w:r>
      <w:r w:rsidR="006D622A">
        <w:rPr>
          <w:rFonts w:asciiTheme="minorHAnsi" w:hAnsiTheme="minorHAnsi"/>
          <w:color w:val="000000" w:themeColor="text1"/>
        </w:rPr>
        <w:t>chemical inputs</w:t>
      </w:r>
      <w:r w:rsidR="00AA19D4">
        <w:rPr>
          <w:rFonts w:asciiTheme="minorHAnsi" w:hAnsiTheme="minorHAnsi"/>
          <w:color w:val="000000" w:themeColor="text1"/>
        </w:rPr>
        <w:t xml:space="preserve"> are</w:t>
      </w:r>
      <w:r w:rsidR="00681983">
        <w:rPr>
          <w:rFonts w:asciiTheme="minorHAnsi" w:hAnsiTheme="minorHAnsi"/>
          <w:color w:val="000000" w:themeColor="text1"/>
        </w:rPr>
        <w:t xml:space="preserve"> unclear</w:t>
      </w:r>
      <w:r w:rsidR="006A09A4">
        <w:rPr>
          <w:rFonts w:asciiTheme="minorHAnsi" w:hAnsiTheme="minorHAnsi"/>
          <w:color w:val="000000" w:themeColor="text1"/>
        </w:rPr>
        <w:t xml:space="preserve">.  </w:t>
      </w:r>
    </w:p>
    <w:p w14:paraId="5324380A" w14:textId="59E80ADF" w:rsidR="00AF3AFB" w:rsidRDefault="003C4AC3" w:rsidP="001C34D0">
      <w:pPr>
        <w:pStyle w:val="Num-DocParagraph"/>
        <w:rPr>
          <w:rFonts w:asciiTheme="minorHAnsi" w:hAnsiTheme="minorHAnsi"/>
          <w:color w:val="000000" w:themeColor="text1"/>
        </w:rPr>
      </w:pPr>
      <w:r>
        <w:rPr>
          <w:rFonts w:asciiTheme="minorHAnsi" w:hAnsiTheme="minorHAnsi"/>
          <w:color w:val="000000" w:themeColor="text1"/>
        </w:rPr>
        <w:t xml:space="preserve">Many </w:t>
      </w:r>
      <w:r w:rsidR="007F2A7F">
        <w:rPr>
          <w:rFonts w:asciiTheme="minorHAnsi" w:hAnsiTheme="minorHAnsi"/>
          <w:color w:val="000000" w:themeColor="text1"/>
        </w:rPr>
        <w:t xml:space="preserve">empirical </w:t>
      </w:r>
      <w:r>
        <w:rPr>
          <w:rFonts w:asciiTheme="minorHAnsi" w:hAnsiTheme="minorHAnsi"/>
          <w:color w:val="000000" w:themeColor="text1"/>
        </w:rPr>
        <w:t xml:space="preserve">studies have attempted to identify an effect of crop insurance on agricultural chemical use </w:t>
      </w:r>
      <w:r w:rsidR="00324AA4">
        <w:rPr>
          <w:rFonts w:asciiTheme="minorHAnsi" w:hAnsiTheme="minorHAnsi"/>
          <w:color w:val="000000" w:themeColor="text1"/>
        </w:rPr>
        <w:t xml:space="preserve">in the US </w:t>
      </w:r>
      <w:r>
        <w:rPr>
          <w:rFonts w:asciiTheme="minorHAnsi" w:hAnsiTheme="minorHAnsi"/>
          <w:color w:val="000000" w:themeColor="text1"/>
        </w:rPr>
        <w:t xml:space="preserve">with mixed outcomes </w:t>
      </w:r>
      <w:r w:rsidR="00B25522">
        <w:rPr>
          <w:rFonts w:asciiTheme="minorHAnsi" w:hAnsiTheme="minorHAnsi"/>
          <w:color w:val="000000" w:themeColor="text1"/>
        </w:rPr>
        <w:t>(</w:t>
      </w:r>
      <w:r w:rsidR="005606A7">
        <w:rPr>
          <w:rFonts w:asciiTheme="minorHAnsi" w:hAnsiTheme="minorHAnsi"/>
          <w:color w:val="000000" w:themeColor="text1"/>
        </w:rPr>
        <w:t>Horo</w:t>
      </w:r>
      <w:r w:rsidR="00CA0BDC">
        <w:rPr>
          <w:rFonts w:asciiTheme="minorHAnsi" w:hAnsiTheme="minorHAnsi"/>
          <w:color w:val="000000" w:themeColor="text1"/>
        </w:rPr>
        <w:t xml:space="preserve">witz and Lichtenberg, 1993; </w:t>
      </w:r>
      <w:r w:rsidR="006D7FE9">
        <w:rPr>
          <w:rFonts w:asciiTheme="minorHAnsi" w:hAnsiTheme="minorHAnsi"/>
          <w:color w:val="000000" w:themeColor="text1"/>
        </w:rPr>
        <w:t xml:space="preserve">Smith and Goodwin, 1996; </w:t>
      </w:r>
      <w:r w:rsidR="0096422A">
        <w:rPr>
          <w:rFonts w:asciiTheme="minorHAnsi" w:hAnsiTheme="minorHAnsi"/>
          <w:color w:val="000000" w:themeColor="text1"/>
        </w:rPr>
        <w:t xml:space="preserve">Coble et 1997; </w:t>
      </w:r>
      <w:r w:rsidR="00960978">
        <w:rPr>
          <w:rFonts w:asciiTheme="minorHAnsi" w:hAnsiTheme="minorHAnsi"/>
          <w:color w:val="000000" w:themeColor="text1"/>
        </w:rPr>
        <w:t>Roberts et al, 2006</w:t>
      </w:r>
      <w:r w:rsidR="00B25522">
        <w:rPr>
          <w:rFonts w:asciiTheme="minorHAnsi" w:hAnsiTheme="minorHAnsi"/>
          <w:color w:val="000000" w:themeColor="text1"/>
        </w:rPr>
        <w:t>)</w:t>
      </w:r>
      <w:r>
        <w:rPr>
          <w:rFonts w:asciiTheme="minorHAnsi" w:hAnsiTheme="minorHAnsi"/>
          <w:color w:val="000000" w:themeColor="text1"/>
        </w:rPr>
        <w:t>.</w:t>
      </w:r>
      <w:r w:rsidR="00F0103A">
        <w:rPr>
          <w:rFonts w:asciiTheme="minorHAnsi" w:hAnsiTheme="minorHAnsi"/>
          <w:color w:val="000000" w:themeColor="text1"/>
        </w:rPr>
        <w:t xml:space="preserve">  </w:t>
      </w:r>
      <w:r w:rsidR="00C60DD4">
        <w:rPr>
          <w:rFonts w:asciiTheme="minorHAnsi" w:hAnsiTheme="minorHAnsi"/>
          <w:color w:val="000000" w:themeColor="text1"/>
        </w:rPr>
        <w:t>Field e</w:t>
      </w:r>
      <w:r w:rsidR="00CD3E6C">
        <w:rPr>
          <w:rFonts w:asciiTheme="minorHAnsi" w:hAnsiTheme="minorHAnsi"/>
          <w:color w:val="000000" w:themeColor="text1"/>
        </w:rPr>
        <w:t>xperiments with</w:t>
      </w:r>
      <w:r w:rsidR="00324AA4">
        <w:rPr>
          <w:rFonts w:asciiTheme="minorHAnsi" w:hAnsiTheme="minorHAnsi"/>
          <w:color w:val="000000" w:themeColor="text1"/>
        </w:rPr>
        <w:t xml:space="preserve"> farmers in northern Ghana, however, found that providing </w:t>
      </w:r>
      <w:r w:rsidR="00174A41">
        <w:rPr>
          <w:rFonts w:asciiTheme="minorHAnsi" w:hAnsiTheme="minorHAnsi"/>
          <w:color w:val="000000" w:themeColor="text1"/>
        </w:rPr>
        <w:t xml:space="preserve">crop </w:t>
      </w:r>
      <w:r w:rsidR="00324AA4">
        <w:rPr>
          <w:rFonts w:asciiTheme="minorHAnsi" w:hAnsiTheme="minorHAnsi"/>
          <w:color w:val="000000" w:themeColor="text1"/>
        </w:rPr>
        <w:t>insurance increase</w:t>
      </w:r>
      <w:r w:rsidR="00174A41">
        <w:rPr>
          <w:rFonts w:asciiTheme="minorHAnsi" w:hAnsiTheme="minorHAnsi"/>
          <w:color w:val="000000" w:themeColor="text1"/>
        </w:rPr>
        <w:t>s</w:t>
      </w:r>
      <w:r w:rsidR="00324AA4">
        <w:rPr>
          <w:rFonts w:asciiTheme="minorHAnsi" w:hAnsiTheme="minorHAnsi"/>
          <w:color w:val="000000" w:themeColor="text1"/>
        </w:rPr>
        <w:t xml:space="preserve"> on-farm investments in fertilizer applications</w:t>
      </w:r>
      <w:r w:rsidR="00B51A95">
        <w:rPr>
          <w:rFonts w:asciiTheme="minorHAnsi" w:hAnsiTheme="minorHAnsi"/>
          <w:color w:val="000000" w:themeColor="text1"/>
        </w:rPr>
        <w:t xml:space="preserve"> (</w:t>
      </w:r>
      <w:proofErr w:type="spellStart"/>
      <w:r w:rsidR="00B51A95">
        <w:rPr>
          <w:rFonts w:asciiTheme="minorHAnsi" w:hAnsiTheme="minorHAnsi"/>
          <w:color w:val="000000" w:themeColor="text1"/>
        </w:rPr>
        <w:t>Karlan</w:t>
      </w:r>
      <w:proofErr w:type="spellEnd"/>
      <w:r w:rsidR="00B51A95">
        <w:rPr>
          <w:rFonts w:asciiTheme="minorHAnsi" w:hAnsiTheme="minorHAnsi"/>
          <w:color w:val="000000" w:themeColor="text1"/>
        </w:rPr>
        <w:t xml:space="preserve"> et al, 2014)</w:t>
      </w:r>
      <w:r w:rsidR="00324AA4">
        <w:rPr>
          <w:rFonts w:asciiTheme="minorHAnsi" w:hAnsiTheme="minorHAnsi"/>
          <w:color w:val="000000" w:themeColor="text1"/>
        </w:rPr>
        <w:t xml:space="preserve">.  </w:t>
      </w:r>
      <w:r w:rsidR="00F0103A">
        <w:rPr>
          <w:rFonts w:asciiTheme="minorHAnsi" w:hAnsiTheme="minorHAnsi"/>
          <w:color w:val="000000" w:themeColor="text1"/>
        </w:rPr>
        <w:t xml:space="preserve">An ERS analysis of the joint impact of crop insurance and commodity support programs on agricultural production decisions noted that the empirical studies </w:t>
      </w:r>
      <w:r w:rsidR="007F2A7F">
        <w:rPr>
          <w:rFonts w:asciiTheme="minorHAnsi" w:hAnsiTheme="minorHAnsi"/>
          <w:color w:val="000000" w:themeColor="text1"/>
        </w:rPr>
        <w:t xml:space="preserve">to date </w:t>
      </w:r>
      <w:r w:rsidR="00F0103A">
        <w:rPr>
          <w:rFonts w:asciiTheme="minorHAnsi" w:hAnsiTheme="minorHAnsi"/>
          <w:color w:val="000000" w:themeColor="text1"/>
        </w:rPr>
        <w:t xml:space="preserve">on the effect of cover </w:t>
      </w:r>
      <w:r w:rsidR="00E23720">
        <w:rPr>
          <w:rFonts w:asciiTheme="minorHAnsi" w:hAnsiTheme="minorHAnsi"/>
          <w:color w:val="000000" w:themeColor="text1"/>
        </w:rPr>
        <w:t xml:space="preserve">crops and crop insurance on </w:t>
      </w:r>
      <w:r w:rsidR="004108DE">
        <w:rPr>
          <w:rFonts w:asciiTheme="minorHAnsi" w:hAnsiTheme="minorHAnsi"/>
          <w:color w:val="000000" w:themeColor="text1"/>
        </w:rPr>
        <w:t>fertilizer applications</w:t>
      </w:r>
      <w:r w:rsidR="00E23720">
        <w:rPr>
          <w:rFonts w:asciiTheme="minorHAnsi" w:hAnsiTheme="minorHAnsi"/>
          <w:color w:val="000000" w:themeColor="text1"/>
        </w:rPr>
        <w:t xml:space="preserve"> and environmental outcomes</w:t>
      </w:r>
      <w:r w:rsidR="00F0103A">
        <w:rPr>
          <w:rFonts w:asciiTheme="minorHAnsi" w:hAnsiTheme="minorHAnsi"/>
          <w:color w:val="000000" w:themeColor="text1"/>
        </w:rPr>
        <w:t xml:space="preserve"> </w:t>
      </w:r>
      <w:r w:rsidR="00877D3E">
        <w:rPr>
          <w:rFonts w:asciiTheme="minorHAnsi" w:hAnsiTheme="minorHAnsi"/>
          <w:color w:val="000000" w:themeColor="text1"/>
        </w:rPr>
        <w:t>have been</w:t>
      </w:r>
      <w:r w:rsidR="00F0103A">
        <w:rPr>
          <w:rFonts w:asciiTheme="minorHAnsi" w:hAnsiTheme="minorHAnsi"/>
          <w:color w:val="000000" w:themeColor="text1"/>
        </w:rPr>
        <w:t xml:space="preserve"> few, limited in scope, and </w:t>
      </w:r>
      <w:r w:rsidR="00820D1C">
        <w:rPr>
          <w:rFonts w:asciiTheme="minorHAnsi" w:hAnsiTheme="minorHAnsi"/>
          <w:color w:val="000000" w:themeColor="text1"/>
        </w:rPr>
        <w:t xml:space="preserve">overall </w:t>
      </w:r>
      <w:r w:rsidR="00F0103A">
        <w:rPr>
          <w:rFonts w:asciiTheme="minorHAnsi" w:hAnsiTheme="minorHAnsi"/>
          <w:color w:val="000000" w:themeColor="text1"/>
        </w:rPr>
        <w:t>inconclusive (see Attachm</w:t>
      </w:r>
      <w:r w:rsidR="00820D1C">
        <w:rPr>
          <w:rFonts w:asciiTheme="minorHAnsi" w:hAnsiTheme="minorHAnsi"/>
          <w:color w:val="000000" w:themeColor="text1"/>
        </w:rPr>
        <w:t xml:space="preserve">ent C: ERS literature review).  </w:t>
      </w:r>
      <w:r w:rsidR="002F5DA0">
        <w:rPr>
          <w:rFonts w:asciiTheme="minorHAnsi" w:hAnsiTheme="minorHAnsi"/>
          <w:color w:val="000000" w:themeColor="text1"/>
        </w:rPr>
        <w:t xml:space="preserve">Our literature review revealed no previous experimental studies </w:t>
      </w:r>
      <w:r w:rsidR="00C60DD4">
        <w:rPr>
          <w:rFonts w:asciiTheme="minorHAnsi" w:hAnsiTheme="minorHAnsi"/>
          <w:color w:val="000000" w:themeColor="text1"/>
        </w:rPr>
        <w:t xml:space="preserve">looking at the joint impact of </w:t>
      </w:r>
      <w:r w:rsidR="00170A46">
        <w:rPr>
          <w:rFonts w:asciiTheme="minorHAnsi" w:hAnsiTheme="minorHAnsi"/>
          <w:color w:val="000000" w:themeColor="text1"/>
        </w:rPr>
        <w:t>cover crops and crop insurance</w:t>
      </w:r>
      <w:r w:rsidR="002F5DA0">
        <w:rPr>
          <w:rFonts w:asciiTheme="minorHAnsi" w:hAnsiTheme="minorHAnsi"/>
          <w:color w:val="000000" w:themeColor="text1"/>
        </w:rPr>
        <w:t xml:space="preserve">.  </w:t>
      </w:r>
    </w:p>
    <w:p w14:paraId="51F1AD91" w14:textId="7D8501B0" w:rsidR="000B50BE" w:rsidRDefault="00441402" w:rsidP="007C2153">
      <w:pPr>
        <w:pStyle w:val="Num-DocParagraph"/>
      </w:pPr>
      <w:r>
        <w:t>The second</w:t>
      </w:r>
      <w:r w:rsidR="00D53715">
        <w:t xml:space="preserve"> literature review focused on the connection </w:t>
      </w:r>
      <w:r w:rsidR="00B82D23">
        <w:t>between risk preferences and</w:t>
      </w:r>
      <w:r w:rsidR="00AC0DA3">
        <w:t xml:space="preserve"> adoption</w:t>
      </w:r>
      <w:r w:rsidR="00B82D23">
        <w:t xml:space="preserve"> of risk management strategies, including use of insurance</w:t>
      </w:r>
      <w:r w:rsidR="00D53715">
        <w:t>.</w:t>
      </w:r>
      <w:r w:rsidR="007C2153">
        <w:t xml:space="preserve">  </w:t>
      </w:r>
      <w:r w:rsidR="00611B14">
        <w:t>The econometric literature</w:t>
      </w:r>
      <w:r w:rsidR="001B6BDD">
        <w:t xml:space="preserve"> (Sydnor, 2010; </w:t>
      </w:r>
      <w:proofErr w:type="spellStart"/>
      <w:r w:rsidR="001B6BDD">
        <w:t>Barseghyan</w:t>
      </w:r>
      <w:proofErr w:type="spellEnd"/>
      <w:r w:rsidR="001B6BDD">
        <w:t xml:space="preserve"> et al., 2013) and the experimental literature (</w:t>
      </w:r>
      <w:proofErr w:type="spellStart"/>
      <w:r w:rsidR="001B6BDD">
        <w:t>Shapira</w:t>
      </w:r>
      <w:proofErr w:type="spellEnd"/>
      <w:r w:rsidR="001B6BDD">
        <w:t xml:space="preserve"> and </w:t>
      </w:r>
      <w:proofErr w:type="spellStart"/>
      <w:r w:rsidR="001B6BDD">
        <w:t>Venezia</w:t>
      </w:r>
      <w:proofErr w:type="spellEnd"/>
      <w:r w:rsidR="001B6BDD">
        <w:t>, 2008</w:t>
      </w:r>
      <w:r w:rsidR="00337722">
        <w:t>; Richter et al., 2014</w:t>
      </w:r>
      <w:r w:rsidR="00280C8F">
        <w:t xml:space="preserve">; </w:t>
      </w:r>
      <w:proofErr w:type="spellStart"/>
      <w:r w:rsidR="00280C8F">
        <w:t>Jaspersen</w:t>
      </w:r>
      <w:proofErr w:type="spellEnd"/>
      <w:r w:rsidR="00280C8F">
        <w:t>, 2015</w:t>
      </w:r>
      <w:r w:rsidR="003C5425">
        <w:t>; Harrison and Ng, 2016</w:t>
      </w:r>
      <w:r w:rsidR="001B6BDD">
        <w:t xml:space="preserve">) </w:t>
      </w:r>
      <w:r w:rsidR="00CF6683">
        <w:t xml:space="preserve">both </w:t>
      </w:r>
      <w:r w:rsidR="001B6BDD">
        <w:t>support the idea that insurance purchases are motivated by non-EU preferences but are inco</w:t>
      </w:r>
      <w:r w:rsidR="004E1C8E">
        <w:t>nclusive about which type of</w:t>
      </w:r>
      <w:r w:rsidR="001B6BDD">
        <w:t xml:space="preserve"> preferences best explain their findings.</w:t>
      </w:r>
      <w:r w:rsidR="000B50BE">
        <w:t xml:space="preserve">  Econometric and simulation studies to assess whether farmers’ crop insurance adoption rates are consistent with non-traditional models of risk preferences support the idea that farmers’ crop insurance purchases are driven by non-EU risk preferences</w:t>
      </w:r>
      <w:r w:rsidR="003D7C38">
        <w:t xml:space="preserve"> (Du et al, 2016; Babcock, 2015)</w:t>
      </w:r>
      <w:r w:rsidR="000B50BE">
        <w:t xml:space="preserve">.  However, these studies involve non-representative samples of farmers, consider crop insurance investments in isolation from all other risk management strategies, and are unable to determine which type of non-EU preferences best explain adoption decisions.  </w:t>
      </w:r>
      <w:r w:rsidR="001B6BDD">
        <w:t xml:space="preserve"> </w:t>
      </w:r>
    </w:p>
    <w:p w14:paraId="04A8DE69" w14:textId="5E544651" w:rsidR="002700A6" w:rsidRDefault="002700A6" w:rsidP="007C2153">
      <w:pPr>
        <w:pStyle w:val="Num-DocParagraph"/>
      </w:pPr>
      <w:r>
        <w:t xml:space="preserve">The third literature review covered experimental methods for studying risk preferences and insurance in laboratory sessions.  </w:t>
      </w:r>
      <w:proofErr w:type="spellStart"/>
      <w:r w:rsidR="00910FC6">
        <w:t>Jaspersen</w:t>
      </w:r>
      <w:proofErr w:type="spellEnd"/>
      <w:r w:rsidR="00910FC6">
        <w:t xml:space="preserve"> (2016)</w:t>
      </w:r>
      <w:r w:rsidR="00126413">
        <w:t xml:space="preserve"> </w:t>
      </w:r>
      <w:r w:rsidR="00D4553B">
        <w:t>synthesized 95</w:t>
      </w:r>
      <w:r w:rsidR="00126413">
        <w:t xml:space="preserve"> experiments published in top tier journals since </w:t>
      </w:r>
      <w:r w:rsidR="00126413">
        <w:lastRenderedPageBreak/>
        <w:t>1980</w:t>
      </w:r>
      <w:r w:rsidR="00932AA9">
        <w:t xml:space="preserve"> and discussed</w:t>
      </w:r>
      <w:r w:rsidR="00463D5E">
        <w:t xml:space="preserve"> the methodological issues around decision context, risk elicitation procedure, and remuneration procedures</w:t>
      </w:r>
      <w:r w:rsidR="00910FC6">
        <w:t>.</w:t>
      </w:r>
      <w:r w:rsidR="0090468D">
        <w:t xml:space="preserve">  Few of these studies considered </w:t>
      </w:r>
      <w:r w:rsidR="00E148AF">
        <w:t xml:space="preserve">crop insurance, and only one </w:t>
      </w:r>
      <w:r w:rsidR="0090468D">
        <w:t xml:space="preserve">those experiments involved </w:t>
      </w:r>
      <w:r w:rsidR="00E148AF">
        <w:t xml:space="preserve">real monetary payments to subjects.  </w:t>
      </w:r>
      <w:r w:rsidR="00B85DFF">
        <w:t xml:space="preserve">In that study, </w:t>
      </w:r>
      <w:proofErr w:type="spellStart"/>
      <w:r w:rsidR="00B85DFF">
        <w:t>Slovic</w:t>
      </w:r>
      <w:proofErr w:type="spellEnd"/>
      <w:r w:rsidR="00B85DFF">
        <w:t xml:space="preserve"> et al. (1977) found that subjects are more willing to purchase insurance in a farming context than in a generically framed context.</w:t>
      </w:r>
      <w:r w:rsidR="00F629BA">
        <w:t xml:space="preserve">  </w:t>
      </w:r>
      <w:r w:rsidR="009810A3">
        <w:t>In t</w:t>
      </w:r>
      <w:r w:rsidR="00F629BA">
        <w:t>hi</w:t>
      </w:r>
      <w:r w:rsidR="009810A3">
        <w:t xml:space="preserve">s experiment, however, subjects had three possible mechanisms for mitigating risk:  insurance, crop allocation, and use of inputs.  </w:t>
      </w:r>
      <w:r w:rsidR="0014788C">
        <w:t>Thus</w:t>
      </w:r>
      <w:r w:rsidR="00903609">
        <w:t>,</w:t>
      </w:r>
      <w:r w:rsidR="0014788C">
        <w:t xml:space="preserve"> the results about the connection between risk preferences and crop insurance are confounded by the presence of the other risk management strategies in the experiment.</w:t>
      </w:r>
      <w:r w:rsidR="002E427C">
        <w:t xml:space="preserve">  Additionally, the researchers did not attempt to </w:t>
      </w:r>
      <w:r w:rsidR="00027D23">
        <w:t xml:space="preserve">explicitly </w:t>
      </w:r>
      <w:r w:rsidR="002E427C">
        <w:t>measure subjects’ risk preferences</w:t>
      </w:r>
      <w:r w:rsidR="00027D23">
        <w:t xml:space="preserve">.  </w:t>
      </w:r>
      <w:r w:rsidR="008D2DDD">
        <w:t xml:space="preserve"> </w:t>
      </w:r>
    </w:p>
    <w:p w14:paraId="16E415C0" w14:textId="08EF76CB" w:rsidR="00CA67D3" w:rsidRDefault="00CA67D3" w:rsidP="00CA67D3">
      <w:pPr>
        <w:pStyle w:val="Num-DocParagraph"/>
      </w:pPr>
      <w:r w:rsidRPr="002A3B8C">
        <w:t xml:space="preserve">Of the experiments that we reviewed, the one most similar to our proposed design is </w:t>
      </w:r>
      <w:proofErr w:type="spellStart"/>
      <w:r w:rsidRPr="002A3B8C">
        <w:t>Kunreuther</w:t>
      </w:r>
      <w:proofErr w:type="spellEnd"/>
      <w:r w:rsidRPr="002A3B8C">
        <w:t xml:space="preserve"> and Michel-</w:t>
      </w:r>
      <w:proofErr w:type="spellStart"/>
      <w:r w:rsidRPr="002A3B8C">
        <w:t>Kerjan</w:t>
      </w:r>
      <w:proofErr w:type="spellEnd"/>
      <w:r w:rsidRPr="002A3B8C">
        <w:t xml:space="preserve"> (2015).  </w:t>
      </w:r>
      <w:proofErr w:type="spellStart"/>
      <w:r w:rsidRPr="002A3B8C">
        <w:t>Kunreuther</w:t>
      </w:r>
      <w:proofErr w:type="spellEnd"/>
      <w:r w:rsidRPr="002A3B8C">
        <w:t xml:space="preserve"> and Michel-</w:t>
      </w:r>
      <w:proofErr w:type="spellStart"/>
      <w:r w:rsidRPr="002A3B8C">
        <w:t>Kerjan</w:t>
      </w:r>
      <w:proofErr w:type="spellEnd"/>
      <w:r w:rsidRPr="002A3B8C">
        <w:t xml:space="preserve"> looked at demand for multi-year insurance contracts against hurricane damage in Florida, and found higher demand for multi-year contracts than for single-year contracts.  Our design differs from theirs in four crucial ways.  First, we look at crop insurance instead of home owners’ insurance, which is important because farmers tend to treat crop insurance differently than conventional insurance products (Babcock, 2015).  Second, we vary insura</w:t>
      </w:r>
      <w:r w:rsidR="00A44C5F" w:rsidRPr="002A3B8C">
        <w:t>nce prices within subjects</w:t>
      </w:r>
      <w:r w:rsidRPr="002A3B8C">
        <w:t xml:space="preserve"> in order to estimate demand elasticities; </w:t>
      </w:r>
      <w:proofErr w:type="spellStart"/>
      <w:r w:rsidRPr="002A3B8C">
        <w:t>Kunreuther</w:t>
      </w:r>
      <w:proofErr w:type="spellEnd"/>
      <w:r w:rsidRPr="002A3B8C">
        <w:t xml:space="preserve"> and Michel-</w:t>
      </w:r>
      <w:proofErr w:type="spellStart"/>
      <w:r w:rsidRPr="002A3B8C">
        <w:t>Kerjan’s</w:t>
      </w:r>
      <w:proofErr w:type="spellEnd"/>
      <w:r w:rsidRPr="002A3B8C">
        <w:t xml:space="preserve"> study had fixed prices which limited the types of ex-post data analysis they could conduct.  Third, we vary risk exposure between subjects in order to understand the impact of risk exposure on insurance demand; in </w:t>
      </w:r>
      <w:proofErr w:type="spellStart"/>
      <w:r w:rsidRPr="002A3B8C">
        <w:t>Kunreuther</w:t>
      </w:r>
      <w:proofErr w:type="spellEnd"/>
      <w:r w:rsidRPr="002A3B8C">
        <w:t xml:space="preserve"> and Michel-</w:t>
      </w:r>
      <w:proofErr w:type="spellStart"/>
      <w:r w:rsidRPr="002A3B8C">
        <w:t>Kerjan</w:t>
      </w:r>
      <w:proofErr w:type="spellEnd"/>
      <w:r w:rsidRPr="002A3B8C">
        <w:t xml:space="preserve">, all subjects faced the same risk exposure.  Finally, </w:t>
      </w:r>
      <w:proofErr w:type="spellStart"/>
      <w:r w:rsidRPr="002A3B8C">
        <w:t>Kunreuther</w:t>
      </w:r>
      <w:proofErr w:type="spellEnd"/>
      <w:r w:rsidRPr="002A3B8C">
        <w:t xml:space="preserve"> and Michel-</w:t>
      </w:r>
      <w:proofErr w:type="spellStart"/>
      <w:r w:rsidRPr="002A3B8C">
        <w:t>Kerjan</w:t>
      </w:r>
      <w:proofErr w:type="spellEnd"/>
      <w:r w:rsidRPr="002A3B8C">
        <w:t xml:space="preserve"> look at insurance demand in isolation.  Our design looks at how the presence of an alternate risk management device (cover crops) impacts crop insurance demand.</w:t>
      </w:r>
      <w:r>
        <w:t xml:space="preserve"> </w:t>
      </w:r>
    </w:p>
    <w:p w14:paraId="3BA54675" w14:textId="77777777" w:rsidR="00FC11A2" w:rsidRPr="007C2153" w:rsidRDefault="00FC11A2" w:rsidP="007C2153">
      <w:pPr>
        <w:pStyle w:val="Num-DocParagraph"/>
        <w:rPr>
          <w:rFonts w:asciiTheme="minorHAnsi" w:hAnsiTheme="minorHAnsi"/>
          <w:color w:val="000000" w:themeColor="text1"/>
        </w:rPr>
      </w:pPr>
    </w:p>
    <w:p w14:paraId="4E8CD9EF" w14:textId="77777777" w:rsidR="00FC11A2" w:rsidRPr="00A660F8" w:rsidRDefault="00FC11A2" w:rsidP="00FC11A2">
      <w:pPr>
        <w:pStyle w:val="Num-DocParagraph"/>
        <w:numPr>
          <w:ilvl w:val="0"/>
          <w:numId w:val="1"/>
        </w:numPr>
        <w:rPr>
          <w:rFonts w:asciiTheme="minorHAnsi" w:hAnsiTheme="minorHAnsi"/>
          <w:b/>
          <w:color w:val="000000" w:themeColor="text1"/>
        </w:rPr>
      </w:pPr>
      <w:r w:rsidRPr="00A660F8">
        <w:rPr>
          <w:rFonts w:asciiTheme="minorHAnsi" w:hAnsiTheme="minorHAnsi"/>
          <w:b/>
          <w:color w:val="000000" w:themeColor="text1"/>
        </w:rPr>
        <w:t>Impact on small businesses or other small entities</w:t>
      </w:r>
    </w:p>
    <w:p w14:paraId="0C918117" w14:textId="77777777" w:rsidR="001B6BDD" w:rsidRDefault="00FC11A2" w:rsidP="001C34D0">
      <w:pPr>
        <w:pStyle w:val="Num-DocParagraph"/>
        <w:rPr>
          <w:rFonts w:asciiTheme="minorHAnsi" w:hAnsiTheme="minorHAnsi"/>
          <w:color w:val="000000" w:themeColor="text1"/>
        </w:rPr>
      </w:pPr>
      <w:r>
        <w:rPr>
          <w:rFonts w:asciiTheme="minorHAnsi" w:hAnsiTheme="minorHAnsi"/>
          <w:color w:val="000000" w:themeColor="text1"/>
        </w:rPr>
        <w:t xml:space="preserve">No respondents will be small businesses.  All respondents for this study will be students recruited to participate in experiments on the campus of the University of Rhode Island.  </w:t>
      </w:r>
    </w:p>
    <w:p w14:paraId="45120BF9" w14:textId="77777777" w:rsidR="00FC11A2" w:rsidRDefault="00FC11A2" w:rsidP="001C34D0">
      <w:pPr>
        <w:pStyle w:val="Num-DocParagraph"/>
        <w:rPr>
          <w:rFonts w:asciiTheme="minorHAnsi" w:hAnsiTheme="minorHAnsi"/>
          <w:color w:val="000000" w:themeColor="text1"/>
        </w:rPr>
      </w:pPr>
    </w:p>
    <w:p w14:paraId="4E407066" w14:textId="77777777" w:rsidR="00113C76" w:rsidRDefault="00113C76" w:rsidP="001C34D0">
      <w:pPr>
        <w:pStyle w:val="Num-DocParagraph"/>
        <w:rPr>
          <w:rFonts w:asciiTheme="minorHAnsi" w:hAnsiTheme="minorHAnsi"/>
          <w:color w:val="000000" w:themeColor="text1"/>
        </w:rPr>
      </w:pPr>
    </w:p>
    <w:p w14:paraId="1924E6D4" w14:textId="77777777" w:rsidR="00113C76" w:rsidRDefault="00113C76" w:rsidP="001C34D0">
      <w:pPr>
        <w:pStyle w:val="Num-DocParagraph"/>
        <w:rPr>
          <w:rFonts w:asciiTheme="minorHAnsi" w:hAnsiTheme="minorHAnsi"/>
          <w:color w:val="000000" w:themeColor="text1"/>
        </w:rPr>
      </w:pPr>
    </w:p>
    <w:p w14:paraId="60622745" w14:textId="77777777" w:rsidR="00FC11A2" w:rsidRPr="00A660F8" w:rsidRDefault="00FC11A2" w:rsidP="00FC11A2">
      <w:pPr>
        <w:pStyle w:val="Num-DocParagraph"/>
        <w:numPr>
          <w:ilvl w:val="0"/>
          <w:numId w:val="1"/>
        </w:numPr>
        <w:rPr>
          <w:rFonts w:asciiTheme="minorHAnsi" w:hAnsiTheme="minorHAnsi"/>
          <w:b/>
          <w:color w:val="000000" w:themeColor="text1"/>
        </w:rPr>
      </w:pPr>
      <w:r w:rsidRPr="00A660F8">
        <w:rPr>
          <w:rFonts w:asciiTheme="minorHAnsi" w:hAnsiTheme="minorHAnsi"/>
          <w:b/>
          <w:color w:val="000000" w:themeColor="text1"/>
        </w:rPr>
        <w:t>Consequences of not conducting data collection, or of collecting information less frequently</w:t>
      </w:r>
    </w:p>
    <w:p w14:paraId="28F2F49D" w14:textId="43D17427" w:rsidR="00C76A0C" w:rsidRDefault="00564F1B" w:rsidP="00D8199B">
      <w:pPr>
        <w:pStyle w:val="Num-DocParagraph"/>
        <w:rPr>
          <w:rFonts w:asciiTheme="minorHAnsi" w:hAnsiTheme="minorHAnsi"/>
          <w:color w:val="000000" w:themeColor="text1"/>
        </w:rPr>
      </w:pPr>
      <w:r w:rsidRPr="002A3B8C">
        <w:rPr>
          <w:rFonts w:asciiTheme="minorHAnsi" w:hAnsiTheme="minorHAnsi"/>
          <w:color w:val="000000" w:themeColor="text1"/>
        </w:rPr>
        <w:t>The proposed study will support an initiative to develop more robust and efficient models of demand for risk management programs that will benefit subsequent ERS and USDA information collections.</w:t>
      </w:r>
      <w:r>
        <w:rPr>
          <w:rFonts w:asciiTheme="minorHAnsi" w:hAnsiTheme="minorHAnsi"/>
          <w:color w:val="000000" w:themeColor="text1"/>
        </w:rPr>
        <w:t xml:space="preserve">    </w:t>
      </w:r>
      <w:r w:rsidR="00257803">
        <w:rPr>
          <w:rFonts w:asciiTheme="minorHAnsi" w:hAnsiTheme="minorHAnsi"/>
          <w:color w:val="000000" w:themeColor="text1"/>
        </w:rPr>
        <w:t>Current ERS rese</w:t>
      </w:r>
      <w:r w:rsidR="00C55954">
        <w:rPr>
          <w:rFonts w:asciiTheme="minorHAnsi" w:hAnsiTheme="minorHAnsi"/>
          <w:color w:val="000000" w:themeColor="text1"/>
        </w:rPr>
        <w:t xml:space="preserve">arch using </w:t>
      </w:r>
      <w:r w:rsidR="00903609">
        <w:rPr>
          <w:rFonts w:asciiTheme="minorHAnsi" w:hAnsiTheme="minorHAnsi"/>
          <w:color w:val="000000" w:themeColor="text1"/>
        </w:rPr>
        <w:t xml:space="preserve">economic </w:t>
      </w:r>
      <w:r w:rsidR="00257803">
        <w:rPr>
          <w:rFonts w:asciiTheme="minorHAnsi" w:hAnsiTheme="minorHAnsi"/>
          <w:color w:val="000000" w:themeColor="text1"/>
        </w:rPr>
        <w:t xml:space="preserve">models based on traditional risk preference theories over-predict adoption rates, farmer benefits, and program costs for a variety of risk management programs.  </w:t>
      </w:r>
      <w:r w:rsidR="00D97742">
        <w:rPr>
          <w:rFonts w:asciiTheme="minorHAnsi" w:hAnsiTheme="minorHAnsi"/>
          <w:color w:val="000000" w:themeColor="text1"/>
        </w:rPr>
        <w:t xml:space="preserve">The quality of research that ERS can provide to its stakeholders will be increased if ERS is able to utilize state-of-the-art </w:t>
      </w:r>
      <w:r w:rsidR="00235E4B">
        <w:rPr>
          <w:rFonts w:asciiTheme="minorHAnsi" w:hAnsiTheme="minorHAnsi"/>
          <w:color w:val="000000" w:themeColor="text1"/>
        </w:rPr>
        <w:t>experimental research approaches to validate alternative models of risk preferences</w:t>
      </w:r>
      <w:r w:rsidR="00D97742">
        <w:rPr>
          <w:rFonts w:asciiTheme="minorHAnsi" w:hAnsiTheme="minorHAnsi"/>
          <w:color w:val="000000" w:themeColor="text1"/>
        </w:rPr>
        <w:t xml:space="preserve">.  </w:t>
      </w:r>
      <w:r w:rsidR="00D97742">
        <w:rPr>
          <w:rFonts w:asciiTheme="minorHAnsi" w:hAnsiTheme="minorHAnsi"/>
          <w:color w:val="000000" w:themeColor="text1"/>
        </w:rPr>
        <w:lastRenderedPageBreak/>
        <w:t>Experimental studies are often the on</w:t>
      </w:r>
      <w:r w:rsidR="00CF2B9E">
        <w:rPr>
          <w:rFonts w:asciiTheme="minorHAnsi" w:hAnsiTheme="minorHAnsi"/>
          <w:color w:val="000000" w:themeColor="text1"/>
        </w:rPr>
        <w:t>ly empirical tool capable of</w:t>
      </w:r>
      <w:r w:rsidR="00D97742">
        <w:rPr>
          <w:rFonts w:asciiTheme="minorHAnsi" w:hAnsiTheme="minorHAnsi"/>
          <w:color w:val="000000" w:themeColor="text1"/>
        </w:rPr>
        <w:t xml:space="preserve"> identify</w:t>
      </w:r>
      <w:r w:rsidR="00CF2B9E">
        <w:rPr>
          <w:rFonts w:asciiTheme="minorHAnsi" w:hAnsiTheme="minorHAnsi"/>
          <w:color w:val="000000" w:themeColor="text1"/>
        </w:rPr>
        <w:t>ing</w:t>
      </w:r>
      <w:r w:rsidR="00D97742">
        <w:rPr>
          <w:rFonts w:asciiTheme="minorHAnsi" w:hAnsiTheme="minorHAnsi"/>
          <w:color w:val="000000" w:themeColor="text1"/>
        </w:rPr>
        <w:t xml:space="preserve"> and assess</w:t>
      </w:r>
      <w:r w:rsidR="00CF2B9E">
        <w:rPr>
          <w:rFonts w:asciiTheme="minorHAnsi" w:hAnsiTheme="minorHAnsi"/>
          <w:color w:val="000000" w:themeColor="text1"/>
        </w:rPr>
        <w:t>ing</w:t>
      </w:r>
      <w:r w:rsidR="00D97742">
        <w:rPr>
          <w:rFonts w:asciiTheme="minorHAnsi" w:hAnsiTheme="minorHAnsi"/>
          <w:color w:val="000000" w:themeColor="text1"/>
        </w:rPr>
        <w:t xml:space="preserve"> the impacts of the behavioral mechanisms that drive real-world decision-making.</w:t>
      </w:r>
      <w:r w:rsidR="00221631">
        <w:rPr>
          <w:rFonts w:asciiTheme="minorHAnsi" w:hAnsiTheme="minorHAnsi"/>
          <w:color w:val="000000" w:themeColor="text1"/>
        </w:rPr>
        <w:t xml:space="preserve">  </w:t>
      </w:r>
    </w:p>
    <w:p w14:paraId="0B9EE2C9" w14:textId="77777777" w:rsidR="00C76A0C" w:rsidRDefault="00C76A0C" w:rsidP="00D8199B">
      <w:pPr>
        <w:pStyle w:val="Num-DocParagraph"/>
        <w:rPr>
          <w:rFonts w:asciiTheme="minorHAnsi" w:hAnsiTheme="minorHAnsi"/>
          <w:color w:val="000000" w:themeColor="text1"/>
        </w:rPr>
      </w:pPr>
    </w:p>
    <w:p w14:paraId="696EF1E3" w14:textId="77777777" w:rsidR="00D8199B" w:rsidRPr="00A660F8" w:rsidRDefault="00FC11A2" w:rsidP="00D8199B">
      <w:pPr>
        <w:pStyle w:val="Num-DocParagraph"/>
        <w:numPr>
          <w:ilvl w:val="0"/>
          <w:numId w:val="1"/>
        </w:numPr>
        <w:rPr>
          <w:rFonts w:asciiTheme="minorHAnsi" w:hAnsiTheme="minorHAnsi"/>
          <w:b/>
          <w:color w:val="000000" w:themeColor="text1"/>
        </w:rPr>
      </w:pPr>
      <w:r w:rsidRPr="00A660F8">
        <w:rPr>
          <w:rFonts w:asciiTheme="minorHAnsi" w:hAnsiTheme="minorHAnsi"/>
          <w:b/>
          <w:color w:val="000000" w:themeColor="text1"/>
        </w:rPr>
        <w:t>Special circumstances that would cause an information collection to be conducted so as to require respondents to report information to the agency more often than quarterly</w:t>
      </w:r>
    </w:p>
    <w:p w14:paraId="60428C7F" w14:textId="77777777" w:rsidR="00D8199B" w:rsidRDefault="00D8199B" w:rsidP="00D8199B">
      <w:pPr>
        <w:pStyle w:val="Num-DocParagraph"/>
        <w:rPr>
          <w:rFonts w:asciiTheme="minorHAnsi" w:hAnsiTheme="minorHAnsi"/>
          <w:color w:val="000000" w:themeColor="text1"/>
        </w:rPr>
      </w:pPr>
      <w:r>
        <w:rPr>
          <w:rFonts w:asciiTheme="minorHAnsi" w:hAnsiTheme="minorHAnsi"/>
          <w:color w:val="000000" w:themeColor="text1"/>
        </w:rPr>
        <w:t xml:space="preserve">There are no special circumstances associated with this information collection.  All responses will be one time responses.  </w:t>
      </w:r>
    </w:p>
    <w:p w14:paraId="7414C7B7" w14:textId="77777777" w:rsidR="007F5FD8" w:rsidRDefault="007F5FD8" w:rsidP="00D8199B">
      <w:pPr>
        <w:pStyle w:val="Num-DocParagraph"/>
        <w:rPr>
          <w:rFonts w:asciiTheme="minorHAnsi" w:hAnsiTheme="minorHAnsi"/>
          <w:color w:val="000000" w:themeColor="text1"/>
        </w:rPr>
      </w:pPr>
    </w:p>
    <w:p w14:paraId="5C3EA0AE" w14:textId="77777777" w:rsidR="00FC11A2" w:rsidRPr="00A660F8" w:rsidRDefault="00403DFD" w:rsidP="00FC11A2">
      <w:pPr>
        <w:pStyle w:val="Num-DocParagraph"/>
        <w:numPr>
          <w:ilvl w:val="0"/>
          <w:numId w:val="1"/>
        </w:numPr>
        <w:rPr>
          <w:rFonts w:asciiTheme="minorHAnsi" w:hAnsiTheme="minorHAnsi"/>
          <w:b/>
          <w:color w:val="000000" w:themeColor="text1"/>
        </w:rPr>
      </w:pPr>
      <w:r w:rsidRPr="00A660F8">
        <w:rPr>
          <w:rFonts w:asciiTheme="minorHAnsi" w:hAnsiTheme="minorHAnsi"/>
          <w:b/>
          <w:color w:val="000000" w:themeColor="text1"/>
        </w:rPr>
        <w:t>Comments in response to the Federal Register Notice and efforts to consult outside the agency</w:t>
      </w:r>
    </w:p>
    <w:p w14:paraId="69A70DF2" w14:textId="565CB227" w:rsidR="00403DFD" w:rsidRDefault="00E33699" w:rsidP="00403DFD">
      <w:pPr>
        <w:pStyle w:val="Num-DocParagraph"/>
        <w:rPr>
          <w:rFonts w:asciiTheme="minorHAnsi" w:hAnsiTheme="minorHAnsi"/>
          <w:color w:val="000000" w:themeColor="text1"/>
        </w:rPr>
      </w:pPr>
      <w:r w:rsidRPr="002A3B8C">
        <w:rPr>
          <w:rFonts w:asciiTheme="minorHAnsi" w:hAnsiTheme="minorHAnsi"/>
          <w:color w:val="000000" w:themeColor="text1"/>
        </w:rPr>
        <w:t xml:space="preserve">This </w:t>
      </w:r>
      <w:r w:rsidR="00B11F37" w:rsidRPr="002A3B8C">
        <w:rPr>
          <w:rFonts w:asciiTheme="minorHAnsi" w:hAnsiTheme="minorHAnsi"/>
          <w:color w:val="000000" w:themeColor="text1"/>
        </w:rPr>
        <w:t>clearance pack</w:t>
      </w:r>
      <w:r w:rsidR="002A32BA">
        <w:rPr>
          <w:rFonts w:asciiTheme="minorHAnsi" w:hAnsiTheme="minorHAnsi"/>
          <w:color w:val="000000" w:themeColor="text1"/>
        </w:rPr>
        <w:t>age</w:t>
      </w:r>
      <w:r w:rsidR="00B11F37" w:rsidRPr="002A3B8C">
        <w:rPr>
          <w:rFonts w:asciiTheme="minorHAnsi" w:hAnsiTheme="minorHAnsi"/>
          <w:color w:val="000000" w:themeColor="text1"/>
        </w:rPr>
        <w:t xml:space="preserve"> was </w:t>
      </w:r>
      <w:r w:rsidRPr="002A3B8C">
        <w:rPr>
          <w:rFonts w:asciiTheme="minorHAnsi" w:hAnsiTheme="minorHAnsi"/>
          <w:color w:val="000000" w:themeColor="text1"/>
        </w:rPr>
        <w:t xml:space="preserve">posted </w:t>
      </w:r>
      <w:r w:rsidR="006D173A" w:rsidRPr="002A3B8C">
        <w:rPr>
          <w:rFonts w:asciiTheme="minorHAnsi" w:hAnsiTheme="minorHAnsi"/>
          <w:color w:val="000000" w:themeColor="text1"/>
        </w:rPr>
        <w:t>in the Federal Register on 16 September 2016</w:t>
      </w:r>
      <w:r w:rsidR="006D173A">
        <w:rPr>
          <w:rFonts w:asciiTheme="minorHAnsi" w:hAnsiTheme="minorHAnsi"/>
          <w:color w:val="000000" w:themeColor="text1"/>
        </w:rPr>
        <w:t xml:space="preserve"> as Department of Agriculture Economic Research Service Notice of Intent to Request New Information Collection, Vol. 81, No. 180 Federal </w:t>
      </w:r>
      <w:r w:rsidR="00167AFE">
        <w:rPr>
          <w:rFonts w:asciiTheme="minorHAnsi" w:hAnsiTheme="minorHAnsi"/>
          <w:color w:val="000000" w:themeColor="text1"/>
        </w:rPr>
        <w:t xml:space="preserve">Register (September 16, 2016) </w:t>
      </w:r>
      <w:r w:rsidR="00CE17C4" w:rsidRPr="002A3B8C">
        <w:rPr>
          <w:rFonts w:asciiTheme="minorHAnsi" w:hAnsiTheme="minorHAnsi"/>
          <w:color w:val="000000" w:themeColor="text1"/>
        </w:rPr>
        <w:t>(see Attachment I Federal Register Notice)</w:t>
      </w:r>
      <w:r w:rsidRPr="002A3B8C">
        <w:rPr>
          <w:rFonts w:asciiTheme="minorHAnsi" w:hAnsiTheme="minorHAnsi"/>
          <w:color w:val="000000" w:themeColor="text1"/>
        </w:rPr>
        <w:t>.  No comments have been received from the public.</w:t>
      </w:r>
      <w:r>
        <w:rPr>
          <w:rFonts w:asciiTheme="minorHAnsi" w:hAnsiTheme="minorHAnsi"/>
          <w:color w:val="000000" w:themeColor="text1"/>
        </w:rPr>
        <w:t xml:space="preserve">  </w:t>
      </w:r>
    </w:p>
    <w:p w14:paraId="48CEFBD8" w14:textId="3208A4EA" w:rsidR="00E33699" w:rsidRDefault="001E402C" w:rsidP="00403DFD">
      <w:pPr>
        <w:pStyle w:val="Num-DocParagraph"/>
        <w:rPr>
          <w:rFonts w:asciiTheme="minorHAnsi" w:hAnsiTheme="minorHAnsi"/>
          <w:color w:val="000000" w:themeColor="text1"/>
        </w:rPr>
      </w:pPr>
      <w:r>
        <w:rPr>
          <w:rFonts w:asciiTheme="minorHAnsi" w:hAnsiTheme="minorHAnsi"/>
          <w:color w:val="000000" w:themeColor="text1"/>
        </w:rPr>
        <w:t>Our research team includes external members</w:t>
      </w:r>
      <w:r w:rsidR="00E33699">
        <w:rPr>
          <w:rFonts w:asciiTheme="minorHAnsi" w:hAnsiTheme="minorHAnsi"/>
          <w:color w:val="000000" w:themeColor="text1"/>
        </w:rPr>
        <w:t xml:space="preserve"> </w:t>
      </w:r>
      <w:r>
        <w:rPr>
          <w:rFonts w:asciiTheme="minorHAnsi" w:hAnsiTheme="minorHAnsi"/>
          <w:color w:val="000000" w:themeColor="text1"/>
        </w:rPr>
        <w:t xml:space="preserve">Dr. </w:t>
      </w:r>
      <w:r w:rsidR="00E33699">
        <w:rPr>
          <w:rFonts w:asciiTheme="minorHAnsi" w:hAnsiTheme="minorHAnsi"/>
          <w:color w:val="000000" w:themeColor="text1"/>
        </w:rPr>
        <w:t>T</w:t>
      </w:r>
      <w:r w:rsidR="00CB559B">
        <w:rPr>
          <w:rFonts w:asciiTheme="minorHAnsi" w:hAnsiTheme="minorHAnsi"/>
          <w:color w:val="000000" w:themeColor="text1"/>
        </w:rPr>
        <w:t>h</w:t>
      </w:r>
      <w:r w:rsidR="00E33699">
        <w:rPr>
          <w:rFonts w:asciiTheme="minorHAnsi" w:hAnsiTheme="minorHAnsi"/>
          <w:color w:val="000000" w:themeColor="text1"/>
        </w:rPr>
        <w:t>om</w:t>
      </w:r>
      <w:r w:rsidR="00CB559B">
        <w:rPr>
          <w:rFonts w:asciiTheme="minorHAnsi" w:hAnsiTheme="minorHAnsi"/>
          <w:color w:val="000000" w:themeColor="text1"/>
        </w:rPr>
        <w:t>as</w:t>
      </w:r>
      <w:r w:rsidR="00E33699">
        <w:rPr>
          <w:rFonts w:asciiTheme="minorHAnsi" w:hAnsiTheme="minorHAnsi"/>
          <w:color w:val="000000" w:themeColor="text1"/>
        </w:rPr>
        <w:t xml:space="preserve"> </w:t>
      </w:r>
      <w:r w:rsidR="00433C56">
        <w:rPr>
          <w:rFonts w:asciiTheme="minorHAnsi" w:hAnsiTheme="minorHAnsi"/>
          <w:color w:val="000000" w:themeColor="text1"/>
        </w:rPr>
        <w:t xml:space="preserve">Sproul and </w:t>
      </w:r>
      <w:r>
        <w:rPr>
          <w:rFonts w:asciiTheme="minorHAnsi" w:hAnsiTheme="minorHAnsi"/>
          <w:color w:val="000000" w:themeColor="text1"/>
        </w:rPr>
        <w:t xml:space="preserve">Dr. </w:t>
      </w:r>
      <w:r w:rsidR="008B5FF4">
        <w:rPr>
          <w:rFonts w:asciiTheme="minorHAnsi" w:hAnsiTheme="minorHAnsi"/>
          <w:color w:val="000000" w:themeColor="text1"/>
        </w:rPr>
        <w:t>Charles</w:t>
      </w:r>
      <w:r w:rsidR="00433C56">
        <w:rPr>
          <w:rFonts w:asciiTheme="minorHAnsi" w:hAnsiTheme="minorHAnsi"/>
          <w:color w:val="000000" w:themeColor="text1"/>
        </w:rPr>
        <w:t xml:space="preserve"> Holt</w:t>
      </w:r>
      <w:r w:rsidR="00E33699">
        <w:rPr>
          <w:rFonts w:asciiTheme="minorHAnsi" w:hAnsiTheme="minorHAnsi"/>
          <w:color w:val="000000" w:themeColor="text1"/>
        </w:rPr>
        <w:t>.</w:t>
      </w:r>
      <w:r w:rsidR="002819DF">
        <w:rPr>
          <w:rFonts w:asciiTheme="minorHAnsi" w:hAnsiTheme="minorHAnsi"/>
          <w:color w:val="000000" w:themeColor="text1"/>
        </w:rPr>
        <w:t xml:space="preserve">  </w:t>
      </w:r>
      <w:r w:rsidR="006B388B">
        <w:rPr>
          <w:rFonts w:asciiTheme="minorHAnsi" w:hAnsiTheme="minorHAnsi"/>
          <w:color w:val="000000" w:themeColor="text1"/>
        </w:rPr>
        <w:t xml:space="preserve">Dr. Sproul is an assistant professor in the Department of Environmental &amp; Natural Resource Economics at the University of Rhode Island.  He has expertise in </w:t>
      </w:r>
      <w:r w:rsidR="009028BB">
        <w:rPr>
          <w:rFonts w:asciiTheme="minorHAnsi" w:hAnsiTheme="minorHAnsi"/>
          <w:color w:val="000000" w:themeColor="text1"/>
        </w:rPr>
        <w:t>agricultural</w:t>
      </w:r>
      <w:r w:rsidR="006B388B">
        <w:rPr>
          <w:rFonts w:asciiTheme="minorHAnsi" w:hAnsiTheme="minorHAnsi"/>
          <w:color w:val="000000" w:themeColor="text1"/>
        </w:rPr>
        <w:t xml:space="preserve"> economics and policy, risk modeling, and behavioral and experimental economics.</w:t>
      </w:r>
      <w:r w:rsidR="00433C56">
        <w:rPr>
          <w:rFonts w:asciiTheme="minorHAnsi" w:hAnsiTheme="minorHAnsi"/>
          <w:color w:val="000000" w:themeColor="text1"/>
        </w:rPr>
        <w:t xml:space="preserve">  Dr. Holt is the A. Willis Robertson Professor of Political Economy at the University of Virginia.  He is </w:t>
      </w:r>
      <w:r w:rsidR="002816E1">
        <w:rPr>
          <w:rFonts w:asciiTheme="minorHAnsi" w:hAnsiTheme="minorHAnsi"/>
          <w:color w:val="000000" w:themeColor="text1"/>
        </w:rPr>
        <w:t xml:space="preserve">acknowledged as </w:t>
      </w:r>
      <w:r w:rsidR="00433C56">
        <w:rPr>
          <w:rFonts w:asciiTheme="minorHAnsi" w:hAnsiTheme="minorHAnsi"/>
          <w:color w:val="000000" w:themeColor="text1"/>
        </w:rPr>
        <w:t>one of the top experimental economi</w:t>
      </w:r>
      <w:r w:rsidR="002816E1">
        <w:rPr>
          <w:rFonts w:asciiTheme="minorHAnsi" w:hAnsiTheme="minorHAnsi"/>
          <w:color w:val="000000" w:themeColor="text1"/>
        </w:rPr>
        <w:t>sts</w:t>
      </w:r>
      <w:r w:rsidR="00433C56">
        <w:rPr>
          <w:rFonts w:asciiTheme="minorHAnsi" w:hAnsiTheme="minorHAnsi"/>
          <w:color w:val="000000" w:themeColor="text1"/>
        </w:rPr>
        <w:t xml:space="preserve">, with 30 years of experience and extensive expertise in studying risk preferences with laboratory experiments.  </w:t>
      </w:r>
    </w:p>
    <w:p w14:paraId="47A05BC5" w14:textId="38F7C9A3" w:rsidR="00FE4F80" w:rsidRDefault="001E402C" w:rsidP="00403DFD">
      <w:pPr>
        <w:pStyle w:val="Num-DocParagraph"/>
        <w:rPr>
          <w:rFonts w:cs="Microsoft Sans Serif"/>
        </w:rPr>
      </w:pPr>
      <w:r>
        <w:rPr>
          <w:rFonts w:asciiTheme="minorHAnsi" w:hAnsiTheme="minorHAnsi"/>
          <w:color w:val="000000" w:themeColor="text1"/>
        </w:rPr>
        <w:t>We have a</w:t>
      </w:r>
      <w:r w:rsidR="00434F22">
        <w:rPr>
          <w:rFonts w:asciiTheme="minorHAnsi" w:hAnsiTheme="minorHAnsi"/>
          <w:color w:val="000000" w:themeColor="text1"/>
        </w:rPr>
        <w:t>lso consulted with Dr. Elisabet</w:t>
      </w:r>
      <w:r>
        <w:rPr>
          <w:rFonts w:asciiTheme="minorHAnsi" w:hAnsiTheme="minorHAnsi"/>
          <w:color w:val="000000" w:themeColor="text1"/>
        </w:rPr>
        <w:t xml:space="preserve"> Rutstrom as an additional external expert.  </w:t>
      </w:r>
      <w:r w:rsidRPr="00CD6092">
        <w:rPr>
          <w:rFonts w:cs="Microsoft Sans Serif"/>
        </w:rPr>
        <w:t xml:space="preserve">Dr. Rutstrom is the director of the Dean’s Behavioral Economics Laboratory at the J. Mack Robison College of Business at Georgia State University.  She has 20 years’ experience conducting economics experiments, as well as special expertise in using experimental approaches to assess individuals’ attitudes towards risk and uncertainty in student and non-student populations.  </w:t>
      </w:r>
    </w:p>
    <w:p w14:paraId="493EC65F" w14:textId="77777777" w:rsidR="005950A6" w:rsidRDefault="005950A6" w:rsidP="00403DFD">
      <w:pPr>
        <w:pStyle w:val="Num-DocParagraph"/>
        <w:rPr>
          <w:rFonts w:cs="Microsoft Sans Serif"/>
        </w:rPr>
      </w:pPr>
      <w:r>
        <w:rPr>
          <w:rFonts w:cs="Microsoft Sans Serif"/>
        </w:rPr>
        <w:t xml:space="preserve">We include contact information for all external experts consulted for this proposed study:  </w:t>
      </w:r>
    </w:p>
    <w:p w14:paraId="19C6B999" w14:textId="73CF0D56" w:rsidR="00050C89" w:rsidRPr="00EA5869" w:rsidRDefault="00304D9E" w:rsidP="00611F1E">
      <w:pPr>
        <w:spacing w:after="0"/>
      </w:pPr>
      <w:r w:rsidRPr="00EA5869">
        <w:t xml:space="preserve">Name: </w:t>
      </w:r>
      <w:r w:rsidR="005950A6" w:rsidRPr="00EA5869">
        <w:t xml:space="preserve">Dr. </w:t>
      </w:r>
      <w:r w:rsidR="00CB559B" w:rsidRPr="00EA5869">
        <w:t>Thomas</w:t>
      </w:r>
      <w:r w:rsidR="00050C89" w:rsidRPr="00EA5869">
        <w:t xml:space="preserve"> </w:t>
      </w:r>
      <w:r w:rsidR="005950A6" w:rsidRPr="00EA5869">
        <w:t>Sproul</w:t>
      </w:r>
      <w:r w:rsidR="00050C89" w:rsidRPr="00EA5869">
        <w:t xml:space="preserve"> </w:t>
      </w:r>
    </w:p>
    <w:p w14:paraId="0274BD7B" w14:textId="693F9DCB" w:rsidR="00CB559B" w:rsidRPr="00EA5869" w:rsidRDefault="00304D9E" w:rsidP="00611F1E">
      <w:pPr>
        <w:spacing w:after="0"/>
      </w:pPr>
      <w:r w:rsidRPr="00EA5869">
        <w:t xml:space="preserve">Title:  </w:t>
      </w:r>
      <w:r w:rsidR="00CB559B" w:rsidRPr="00EA5869">
        <w:t>Assistant Professor</w:t>
      </w:r>
    </w:p>
    <w:p w14:paraId="5395D01B" w14:textId="489550D5" w:rsidR="00CB559B" w:rsidRPr="00EA5869" w:rsidRDefault="00304D9E" w:rsidP="00611F1E">
      <w:pPr>
        <w:spacing w:after="0"/>
      </w:pPr>
      <w:r w:rsidRPr="00EA5869">
        <w:t xml:space="preserve">Affiliation:  </w:t>
      </w:r>
      <w:r w:rsidR="00E354BC" w:rsidRPr="00EA5869">
        <w:t xml:space="preserve">University of Rhode Island, </w:t>
      </w:r>
      <w:r w:rsidR="00CB559B" w:rsidRPr="00EA5869">
        <w:t>Department of Environmental &amp; Natural Resource Economics</w:t>
      </w:r>
    </w:p>
    <w:p w14:paraId="67E52CF5" w14:textId="7E462D66" w:rsidR="00CB559B" w:rsidRPr="00EA5869" w:rsidRDefault="00304D9E" w:rsidP="00611F1E">
      <w:pPr>
        <w:spacing w:after="0"/>
      </w:pPr>
      <w:r w:rsidRPr="00EA5869">
        <w:t xml:space="preserve">Address:  </w:t>
      </w:r>
      <w:r w:rsidR="00CB559B" w:rsidRPr="00EA5869">
        <w:t>Kingston Coastal Institute</w:t>
      </w:r>
      <w:r w:rsidRPr="00EA5869">
        <w:t xml:space="preserve">, </w:t>
      </w:r>
      <w:r w:rsidR="00CB559B" w:rsidRPr="00EA5869">
        <w:t>1 Greenhouse Road</w:t>
      </w:r>
      <w:r w:rsidRPr="00EA5869">
        <w:t xml:space="preserve">, </w:t>
      </w:r>
      <w:r w:rsidR="00CB559B" w:rsidRPr="00EA5869">
        <w:t>Kingston, RI 02881</w:t>
      </w:r>
    </w:p>
    <w:p w14:paraId="5DFA9409" w14:textId="064E7511" w:rsidR="00CB559B" w:rsidRPr="00EA5869" w:rsidRDefault="00C32E2C" w:rsidP="00611F1E">
      <w:pPr>
        <w:spacing w:after="0"/>
      </w:pPr>
      <w:r w:rsidRPr="00EA5869">
        <w:t xml:space="preserve">Phone:  </w:t>
      </w:r>
      <w:r w:rsidR="00CB559B" w:rsidRPr="00EA5869">
        <w:t>(401) 874-9197</w:t>
      </w:r>
    </w:p>
    <w:p w14:paraId="1178F2FC" w14:textId="0AEDB0D8" w:rsidR="00CB559B" w:rsidRPr="00EA5869" w:rsidRDefault="00C32E2C" w:rsidP="00611F1E">
      <w:pPr>
        <w:spacing w:after="0"/>
      </w:pPr>
      <w:r w:rsidRPr="00EA5869">
        <w:t xml:space="preserve">Email:  </w:t>
      </w:r>
      <w:hyperlink r:id="rId9" w:history="1">
        <w:r w:rsidR="00CB559B" w:rsidRPr="00EA5869">
          <w:rPr>
            <w:rStyle w:val="Hyperlink"/>
          </w:rPr>
          <w:t>sproul@uri.edu</w:t>
        </w:r>
      </w:hyperlink>
      <w:r w:rsidR="00CB559B" w:rsidRPr="00EA5869">
        <w:t xml:space="preserve"> </w:t>
      </w:r>
    </w:p>
    <w:p w14:paraId="064DB346" w14:textId="77777777" w:rsidR="00CB559B" w:rsidRDefault="00CB559B" w:rsidP="00403DFD">
      <w:pPr>
        <w:pStyle w:val="Num-DocParagraph"/>
        <w:rPr>
          <w:rFonts w:cs="Microsoft Sans Serif"/>
        </w:rPr>
      </w:pPr>
    </w:p>
    <w:p w14:paraId="7FC19114" w14:textId="77777777" w:rsidR="00EA5869" w:rsidRDefault="00EA5869" w:rsidP="00611F1E">
      <w:pPr>
        <w:pStyle w:val="Num-DocParagraph"/>
        <w:spacing w:after="0"/>
        <w:rPr>
          <w:rFonts w:cs="Microsoft Sans Serif"/>
        </w:rPr>
      </w:pPr>
      <w:r>
        <w:rPr>
          <w:rFonts w:cs="Microsoft Sans Serif"/>
        </w:rPr>
        <w:t xml:space="preserve">Name: </w:t>
      </w:r>
      <w:r w:rsidR="005950A6">
        <w:rPr>
          <w:rFonts w:cs="Microsoft Sans Serif"/>
        </w:rPr>
        <w:t xml:space="preserve">Dr. </w:t>
      </w:r>
      <w:r>
        <w:rPr>
          <w:rFonts w:cs="Microsoft Sans Serif"/>
        </w:rPr>
        <w:t xml:space="preserve">Charles </w:t>
      </w:r>
      <w:r w:rsidR="005950A6">
        <w:rPr>
          <w:rFonts w:cs="Microsoft Sans Serif"/>
        </w:rPr>
        <w:t>Holt</w:t>
      </w:r>
    </w:p>
    <w:p w14:paraId="2A39F4EA" w14:textId="13481E61" w:rsidR="00050C89" w:rsidRDefault="00F70FF1" w:rsidP="00611F1E">
      <w:pPr>
        <w:pStyle w:val="Num-DocParagraph"/>
        <w:spacing w:after="0"/>
        <w:rPr>
          <w:rFonts w:asciiTheme="minorHAnsi" w:hAnsiTheme="minorHAnsi"/>
          <w:color w:val="000000" w:themeColor="text1"/>
        </w:rPr>
      </w:pPr>
      <w:r>
        <w:rPr>
          <w:rFonts w:cs="Microsoft Sans Serif"/>
        </w:rPr>
        <w:t xml:space="preserve">Title:  </w:t>
      </w:r>
      <w:r w:rsidR="00050C89">
        <w:rPr>
          <w:rFonts w:cs="Microsoft Sans Serif"/>
        </w:rPr>
        <w:t xml:space="preserve"> </w:t>
      </w:r>
      <w:r w:rsidR="00503016">
        <w:rPr>
          <w:rFonts w:asciiTheme="minorHAnsi" w:hAnsiTheme="minorHAnsi"/>
          <w:color w:val="000000" w:themeColor="text1"/>
        </w:rPr>
        <w:t>A. Willis Robertson Professor of Political Economy</w:t>
      </w:r>
    </w:p>
    <w:p w14:paraId="50C234D9" w14:textId="0ED79FEA" w:rsidR="00503016" w:rsidRDefault="00503016" w:rsidP="00611F1E">
      <w:pPr>
        <w:pStyle w:val="Num-DocParagraph"/>
        <w:spacing w:after="0"/>
        <w:rPr>
          <w:rFonts w:asciiTheme="minorHAnsi" w:hAnsiTheme="minorHAnsi"/>
          <w:color w:val="000000" w:themeColor="text1"/>
        </w:rPr>
      </w:pPr>
      <w:r>
        <w:rPr>
          <w:rFonts w:asciiTheme="minorHAnsi" w:hAnsiTheme="minorHAnsi"/>
          <w:color w:val="000000" w:themeColor="text1"/>
        </w:rPr>
        <w:lastRenderedPageBreak/>
        <w:t>Affiliation:  University of Virginia</w:t>
      </w:r>
      <w:r w:rsidR="00CB7BC5">
        <w:rPr>
          <w:rFonts w:asciiTheme="minorHAnsi" w:hAnsiTheme="minorHAnsi"/>
          <w:color w:val="000000" w:themeColor="text1"/>
        </w:rPr>
        <w:t>, Department of Economics</w:t>
      </w:r>
    </w:p>
    <w:p w14:paraId="457238DB" w14:textId="00EFB513" w:rsidR="00503016" w:rsidRDefault="00750807" w:rsidP="00611F1E">
      <w:pPr>
        <w:pStyle w:val="Num-DocParagraph"/>
        <w:spacing w:after="0"/>
        <w:rPr>
          <w:rFonts w:asciiTheme="minorHAnsi" w:hAnsiTheme="minorHAnsi"/>
          <w:color w:val="000000" w:themeColor="text1"/>
        </w:rPr>
      </w:pPr>
      <w:r>
        <w:rPr>
          <w:rFonts w:asciiTheme="minorHAnsi" w:hAnsiTheme="minorHAnsi"/>
          <w:color w:val="000000" w:themeColor="text1"/>
        </w:rPr>
        <w:t xml:space="preserve">Address: </w:t>
      </w:r>
      <w:r w:rsidR="00CB7BC5">
        <w:rPr>
          <w:color w:val="000000"/>
        </w:rPr>
        <w:t>PO Box 400182, University of Virginia, Charlottesville, VA 22904-4182</w:t>
      </w:r>
      <w:proofErr w:type="gramStart"/>
      <w:r w:rsidR="00CB7BC5">
        <w:rPr>
          <w:color w:val="000000"/>
        </w:rPr>
        <w:t>  USA</w:t>
      </w:r>
      <w:proofErr w:type="gramEnd"/>
      <w:r w:rsidR="00CB7BC5">
        <w:rPr>
          <w:color w:val="000000"/>
        </w:rPr>
        <w:t> </w:t>
      </w:r>
    </w:p>
    <w:p w14:paraId="30660D30" w14:textId="55F62F25" w:rsidR="00750807" w:rsidRDefault="00750807" w:rsidP="00611F1E">
      <w:pPr>
        <w:pStyle w:val="Num-DocParagraph"/>
        <w:spacing w:after="0"/>
        <w:rPr>
          <w:rFonts w:asciiTheme="minorHAnsi" w:hAnsiTheme="minorHAnsi"/>
          <w:color w:val="000000" w:themeColor="text1"/>
        </w:rPr>
      </w:pPr>
      <w:r>
        <w:rPr>
          <w:rFonts w:asciiTheme="minorHAnsi" w:hAnsiTheme="minorHAnsi"/>
          <w:color w:val="000000" w:themeColor="text1"/>
        </w:rPr>
        <w:t>Phone:</w:t>
      </w:r>
      <w:r w:rsidR="006D1B2F">
        <w:rPr>
          <w:rFonts w:asciiTheme="minorHAnsi" w:hAnsiTheme="minorHAnsi"/>
          <w:color w:val="000000" w:themeColor="text1"/>
        </w:rPr>
        <w:t xml:space="preserve"> </w:t>
      </w:r>
      <w:r w:rsidR="003A3360">
        <w:rPr>
          <w:rFonts w:asciiTheme="minorHAnsi" w:hAnsiTheme="minorHAnsi"/>
          <w:color w:val="000000" w:themeColor="text1"/>
        </w:rPr>
        <w:t>(</w:t>
      </w:r>
      <w:r w:rsidR="006D1B2F">
        <w:rPr>
          <w:color w:val="000000"/>
        </w:rPr>
        <w:t>434</w:t>
      </w:r>
      <w:r w:rsidR="003A3360">
        <w:rPr>
          <w:color w:val="000000"/>
        </w:rPr>
        <w:t>) 924-</w:t>
      </w:r>
      <w:r w:rsidR="006D1B2F">
        <w:rPr>
          <w:color w:val="000000"/>
        </w:rPr>
        <w:t>7894</w:t>
      </w:r>
    </w:p>
    <w:p w14:paraId="74B7F51A" w14:textId="31AEBA5B" w:rsidR="00750807" w:rsidRDefault="00750807" w:rsidP="00611F1E">
      <w:pPr>
        <w:pStyle w:val="Num-DocParagraph"/>
        <w:spacing w:after="0"/>
        <w:rPr>
          <w:b/>
          <w:bCs/>
          <w:color w:val="000000"/>
        </w:rPr>
      </w:pPr>
      <w:r>
        <w:rPr>
          <w:rFonts w:asciiTheme="minorHAnsi" w:hAnsiTheme="minorHAnsi"/>
          <w:color w:val="000000" w:themeColor="text1"/>
        </w:rPr>
        <w:t xml:space="preserve">Email:  </w:t>
      </w:r>
      <w:hyperlink r:id="rId10" w:history="1">
        <w:r w:rsidR="006D1B2F">
          <w:rPr>
            <w:rStyle w:val="Hyperlink"/>
            <w:b/>
            <w:bCs/>
          </w:rPr>
          <w:t>holt@virginia.edu</w:t>
        </w:r>
      </w:hyperlink>
      <w:r w:rsidR="006D1B2F">
        <w:rPr>
          <w:b/>
          <w:bCs/>
          <w:color w:val="000000"/>
        </w:rPr>
        <w:t xml:space="preserve"> </w:t>
      </w:r>
    </w:p>
    <w:p w14:paraId="7DE768DC" w14:textId="77777777" w:rsidR="006D1B2F" w:rsidRDefault="006D1B2F" w:rsidP="00403DFD">
      <w:pPr>
        <w:pStyle w:val="Num-DocParagraph"/>
        <w:rPr>
          <w:rFonts w:cs="Microsoft Sans Serif"/>
        </w:rPr>
      </w:pPr>
    </w:p>
    <w:p w14:paraId="492DBD2A" w14:textId="4DCF3E78" w:rsidR="005950A6" w:rsidRDefault="002A10AE" w:rsidP="00611F1E">
      <w:pPr>
        <w:pStyle w:val="Num-DocParagraph"/>
        <w:spacing w:after="0"/>
        <w:rPr>
          <w:rFonts w:cs="Microsoft Sans Serif"/>
        </w:rPr>
      </w:pPr>
      <w:r>
        <w:rPr>
          <w:rFonts w:cs="Microsoft Sans Serif"/>
        </w:rPr>
        <w:t xml:space="preserve">Name:  </w:t>
      </w:r>
      <w:r w:rsidR="005950A6">
        <w:rPr>
          <w:rFonts w:cs="Microsoft Sans Serif"/>
        </w:rPr>
        <w:t xml:space="preserve">Dr. </w:t>
      </w:r>
      <w:r w:rsidR="00434F22">
        <w:rPr>
          <w:rFonts w:cs="Microsoft Sans Serif"/>
        </w:rPr>
        <w:t>Elisabet</w:t>
      </w:r>
      <w:r>
        <w:rPr>
          <w:rFonts w:cs="Microsoft Sans Serif"/>
        </w:rPr>
        <w:t xml:space="preserve"> </w:t>
      </w:r>
      <w:r w:rsidR="005950A6">
        <w:rPr>
          <w:rFonts w:cs="Microsoft Sans Serif"/>
        </w:rPr>
        <w:t>Rutstrom</w:t>
      </w:r>
    </w:p>
    <w:p w14:paraId="2C9C7C59" w14:textId="143F9EF1" w:rsidR="002A10AE" w:rsidRDefault="002A10AE" w:rsidP="00611F1E">
      <w:pPr>
        <w:pStyle w:val="Num-DocParagraph"/>
        <w:spacing w:after="0"/>
      </w:pPr>
      <w:r>
        <w:rPr>
          <w:rFonts w:cs="Microsoft Sans Serif"/>
        </w:rPr>
        <w:t xml:space="preserve">Title:  </w:t>
      </w:r>
      <w:r w:rsidR="00E7343C">
        <w:t>Professor and Director of the Dean's Behavioral Economics Laboratory</w:t>
      </w:r>
    </w:p>
    <w:p w14:paraId="04A7AC60" w14:textId="77777777" w:rsidR="007C5C4C" w:rsidRDefault="00E7343C" w:rsidP="00611F1E">
      <w:pPr>
        <w:spacing w:after="0"/>
      </w:pPr>
      <w:proofErr w:type="spellStart"/>
      <w:r>
        <w:t>Affliation</w:t>
      </w:r>
      <w:proofErr w:type="spellEnd"/>
      <w:r>
        <w:t xml:space="preserve">: Georgia State University, </w:t>
      </w:r>
      <w:r w:rsidRPr="00CD6092">
        <w:rPr>
          <w:rFonts w:cs="Microsoft Sans Serif"/>
        </w:rPr>
        <w:t>J. Mack Robison College of Business</w:t>
      </w:r>
      <w:r w:rsidR="007C5C4C">
        <w:rPr>
          <w:rFonts w:cs="Microsoft Sans Serif"/>
        </w:rPr>
        <w:t xml:space="preserve"> and </w:t>
      </w:r>
      <w:proofErr w:type="spellStart"/>
      <w:r w:rsidR="007C5C4C">
        <w:t>Dept</w:t>
      </w:r>
      <w:proofErr w:type="spellEnd"/>
      <w:r w:rsidR="007C5C4C">
        <w:t xml:space="preserve"> of Economics, Andrew Young School of Policy Studies</w:t>
      </w:r>
    </w:p>
    <w:p w14:paraId="1FE4BACF" w14:textId="0B52D8BA" w:rsidR="00E7343C" w:rsidRDefault="00E7343C" w:rsidP="00611F1E">
      <w:pPr>
        <w:pStyle w:val="Num-DocParagraph"/>
        <w:spacing w:after="0"/>
        <w:rPr>
          <w:rFonts w:cs="Microsoft Sans Serif"/>
        </w:rPr>
      </w:pPr>
      <w:r>
        <w:rPr>
          <w:rFonts w:cs="Microsoft Sans Serif"/>
        </w:rPr>
        <w:t xml:space="preserve">Address: </w:t>
      </w:r>
      <w:r w:rsidR="004320CD">
        <w:rPr>
          <w:rFonts w:cs="Microsoft Sans Serif"/>
        </w:rPr>
        <w:t>PO Box 3965, Atlanta, GA 30302-3965</w:t>
      </w:r>
    </w:p>
    <w:p w14:paraId="24DF6CC5" w14:textId="016E13E7" w:rsidR="00E7343C" w:rsidRDefault="00E7343C" w:rsidP="00611F1E">
      <w:pPr>
        <w:pStyle w:val="Num-DocParagraph"/>
        <w:spacing w:after="0"/>
        <w:rPr>
          <w:rFonts w:cs="Microsoft Sans Serif"/>
        </w:rPr>
      </w:pPr>
      <w:r>
        <w:rPr>
          <w:rFonts w:cs="Microsoft Sans Serif"/>
        </w:rPr>
        <w:t xml:space="preserve">Phone: </w:t>
      </w:r>
      <w:r w:rsidR="003A3360">
        <w:rPr>
          <w:rFonts w:cs="Microsoft Sans Serif"/>
        </w:rPr>
        <w:t>(404) 413-7111</w:t>
      </w:r>
    </w:p>
    <w:p w14:paraId="3A811BF5" w14:textId="18209F41" w:rsidR="00E7343C" w:rsidRDefault="00E7343C" w:rsidP="00611F1E">
      <w:pPr>
        <w:pStyle w:val="Num-DocParagraph"/>
        <w:spacing w:after="0"/>
        <w:rPr>
          <w:rFonts w:asciiTheme="minorHAnsi" w:hAnsiTheme="minorHAnsi"/>
          <w:color w:val="000000" w:themeColor="text1"/>
        </w:rPr>
      </w:pPr>
      <w:r>
        <w:rPr>
          <w:rFonts w:cs="Microsoft Sans Serif"/>
        </w:rPr>
        <w:t xml:space="preserve">Email:  </w:t>
      </w:r>
      <w:hyperlink r:id="rId11" w:history="1">
        <w:r w:rsidR="003A3360" w:rsidRPr="009259DD">
          <w:rPr>
            <w:rStyle w:val="Hyperlink"/>
            <w:rFonts w:cs="Microsoft Sans Serif"/>
          </w:rPr>
          <w:t>erutstrom@gsu.edu</w:t>
        </w:r>
      </w:hyperlink>
      <w:r w:rsidR="003A3360">
        <w:rPr>
          <w:rFonts w:cs="Microsoft Sans Serif"/>
        </w:rPr>
        <w:t xml:space="preserve"> </w:t>
      </w:r>
    </w:p>
    <w:p w14:paraId="6DED6749" w14:textId="77777777" w:rsidR="001E402C" w:rsidRDefault="001E402C" w:rsidP="00403DFD">
      <w:pPr>
        <w:pStyle w:val="Num-DocParagraph"/>
        <w:rPr>
          <w:rFonts w:asciiTheme="minorHAnsi" w:hAnsiTheme="minorHAnsi"/>
          <w:color w:val="000000" w:themeColor="text1"/>
        </w:rPr>
      </w:pPr>
    </w:p>
    <w:p w14:paraId="47A049BD" w14:textId="77777777" w:rsidR="00403DFD" w:rsidRDefault="001E74E3" w:rsidP="00FC11A2">
      <w:pPr>
        <w:pStyle w:val="Num-DocParagraph"/>
        <w:numPr>
          <w:ilvl w:val="0"/>
          <w:numId w:val="1"/>
        </w:numPr>
        <w:rPr>
          <w:rFonts w:asciiTheme="minorHAnsi" w:hAnsiTheme="minorHAnsi"/>
          <w:b/>
          <w:color w:val="000000" w:themeColor="text1"/>
        </w:rPr>
      </w:pPr>
      <w:r w:rsidRPr="000C7744">
        <w:rPr>
          <w:rFonts w:asciiTheme="minorHAnsi" w:hAnsiTheme="minorHAnsi"/>
          <w:b/>
          <w:color w:val="000000" w:themeColor="text1"/>
        </w:rPr>
        <w:t>Explanation of any payment or gift to respondents</w:t>
      </w:r>
    </w:p>
    <w:p w14:paraId="207AC03E" w14:textId="51D0E645" w:rsidR="00963151" w:rsidRPr="00604E9B" w:rsidRDefault="00963151" w:rsidP="00963151">
      <w:r w:rsidRPr="002A3B8C">
        <w:t xml:space="preserve">The experiment will be conducted using money payments to participants in the experiment.  </w:t>
      </w:r>
      <w:r w:rsidR="00B643A6" w:rsidRPr="002A3B8C">
        <w:t>I</w:t>
      </w:r>
      <w:r w:rsidR="007A7C01" w:rsidRPr="002A3B8C">
        <w:t xml:space="preserve">ncentivized money payments help insure </w:t>
      </w:r>
      <w:r w:rsidRPr="002A3B8C">
        <w:t>that p</w:t>
      </w:r>
      <w:r w:rsidR="004A7FD7" w:rsidRPr="002A3B8C">
        <w:t xml:space="preserve">articipants </w:t>
      </w:r>
      <w:r w:rsidRPr="002A3B8C">
        <w:t>tre</w:t>
      </w:r>
      <w:r w:rsidR="00926EBC" w:rsidRPr="002A3B8C">
        <w:t>at the decisions made in the experiment as reflective of decisions they would make when faced with equivalent real-world decisions</w:t>
      </w:r>
      <w:r w:rsidR="00AC6281" w:rsidRPr="002A3B8C">
        <w:t xml:space="preserve"> (</w:t>
      </w:r>
      <w:proofErr w:type="spellStart"/>
      <w:r w:rsidR="00AC6281" w:rsidRPr="002A3B8C">
        <w:t>Camerer</w:t>
      </w:r>
      <w:proofErr w:type="spellEnd"/>
      <w:r w:rsidR="00AC6281" w:rsidRPr="002A3B8C">
        <w:t xml:space="preserve"> and Hogarth, 1999; List, 2001; </w:t>
      </w:r>
      <w:r w:rsidR="007E48CB" w:rsidRPr="002A3B8C">
        <w:t xml:space="preserve">Holt and </w:t>
      </w:r>
      <w:proofErr w:type="spellStart"/>
      <w:r w:rsidR="007E48CB" w:rsidRPr="002A3B8C">
        <w:t>Laury</w:t>
      </w:r>
      <w:proofErr w:type="spellEnd"/>
      <w:r w:rsidR="007E48CB" w:rsidRPr="002A3B8C">
        <w:t xml:space="preserve">, 2002; </w:t>
      </w:r>
      <w:r w:rsidR="00AC6281" w:rsidRPr="002A3B8C">
        <w:t>Harrison and Rutstrom, 2008)</w:t>
      </w:r>
      <w:r w:rsidR="009C6325" w:rsidRPr="002A3B8C">
        <w:t>.</w:t>
      </w:r>
      <w:r w:rsidR="009C6325">
        <w:t xml:space="preserve">  </w:t>
      </w:r>
    </w:p>
    <w:p w14:paraId="202DC798" w14:textId="1C4AA297" w:rsidR="00260873" w:rsidRPr="00604E9B" w:rsidRDefault="00F72F96" w:rsidP="00963151">
      <w:r w:rsidRPr="00604E9B">
        <w:rPr>
          <w:b/>
        </w:rPr>
        <w:t>Payment procedures.</w:t>
      </w:r>
      <w:r w:rsidRPr="00604E9B">
        <w:t xml:space="preserve">  </w:t>
      </w:r>
      <w:r w:rsidR="00474DD5" w:rsidRPr="00604E9B">
        <w:t xml:space="preserve">Subjects will receive a </w:t>
      </w:r>
      <w:r w:rsidR="00260873" w:rsidRPr="00604E9B">
        <w:t xml:space="preserve">show-up fee as is consistent with standard practice at </w:t>
      </w:r>
      <w:proofErr w:type="spellStart"/>
      <w:r w:rsidR="00260873" w:rsidRPr="00604E9B">
        <w:t>SimLab</w:t>
      </w:r>
      <w:proofErr w:type="spellEnd"/>
      <w:r w:rsidR="00260873" w:rsidRPr="00604E9B">
        <w:t xml:space="preserve">.  </w:t>
      </w:r>
      <w:r w:rsidR="00926EBC" w:rsidRPr="00604E9B">
        <w:t xml:space="preserve">They will receive this payment even if they decline to participate in the experiment.  In addition to the show-up fee, subjects </w:t>
      </w:r>
      <w:r w:rsidR="00B8442A" w:rsidRPr="00604E9B">
        <w:t xml:space="preserve">will receive compensation based on the decisions they make during the course of the experiment.  </w:t>
      </w:r>
      <w:r w:rsidR="00926EBC" w:rsidRPr="00604E9B">
        <w:t xml:space="preserve"> </w:t>
      </w:r>
      <w:r w:rsidR="00260873" w:rsidRPr="00604E9B">
        <w:t xml:space="preserve"> </w:t>
      </w:r>
    </w:p>
    <w:p w14:paraId="174EC71F" w14:textId="4624D30A" w:rsidR="002906D8" w:rsidRPr="00604E9B" w:rsidRDefault="0063244A" w:rsidP="00963151">
      <w:r w:rsidRPr="00604E9B">
        <w:t xml:space="preserve">Each subject will complete </w:t>
      </w:r>
      <w:r w:rsidR="00013ED2">
        <w:t xml:space="preserve">three </w:t>
      </w:r>
      <w:r w:rsidR="006D24B4">
        <w:t>elicitation tasks</w:t>
      </w:r>
      <w:r w:rsidR="001A3768">
        <w:t xml:space="preserve"> (</w:t>
      </w:r>
      <w:r w:rsidR="00587590">
        <w:t>see Attachment B</w:t>
      </w:r>
      <w:r w:rsidR="005519A7">
        <w:t>: Experimental Design Protocol</w:t>
      </w:r>
      <w:r w:rsidR="00587590">
        <w:t xml:space="preserve"> for detailed </w:t>
      </w:r>
      <w:r w:rsidR="001A3768">
        <w:t>descriptions of each task)</w:t>
      </w:r>
      <w:r w:rsidR="006D24B4">
        <w:t xml:space="preserve">.  Each elicitation task will consist of </w:t>
      </w:r>
      <w:r w:rsidRPr="00604E9B">
        <w:t>multiple rou</w:t>
      </w:r>
      <w:r w:rsidR="00CB066F" w:rsidRPr="00604E9B">
        <w:t>nds: 20</w:t>
      </w:r>
      <w:r w:rsidR="007C4CB6">
        <w:t xml:space="preserve"> rounds for the</w:t>
      </w:r>
      <w:r w:rsidRPr="00604E9B">
        <w:t xml:space="preserve"> </w:t>
      </w:r>
      <w:r w:rsidR="00561920">
        <w:t>Cumulative Prospect T</w:t>
      </w:r>
      <w:r w:rsidRPr="00604E9B">
        <w:t>heory (CPT) risk</w:t>
      </w:r>
      <w:r w:rsidR="007C4CB6">
        <w:t xml:space="preserve"> preference task, 30 rounds for the</w:t>
      </w:r>
      <w:r w:rsidR="00561920">
        <w:t xml:space="preserve"> Myopic Loss A</w:t>
      </w:r>
      <w:r w:rsidRPr="00604E9B">
        <w:t>version (MLA) risk pre</w:t>
      </w:r>
      <w:r w:rsidR="007C4CB6">
        <w:t>ference task, and 15 rounds for the</w:t>
      </w:r>
      <w:r w:rsidRPr="00604E9B">
        <w:t xml:space="preserve"> </w:t>
      </w:r>
      <w:r w:rsidR="007C4CB6">
        <w:t>insurance and cover crop</w:t>
      </w:r>
      <w:r w:rsidRPr="00604E9B">
        <w:t xml:space="preserve"> demand elicitation task.   </w:t>
      </w:r>
      <w:r w:rsidR="00F300BF" w:rsidRPr="00604E9B">
        <w:t>Each round of each task will</w:t>
      </w:r>
      <w:r w:rsidR="00D46F5F" w:rsidRPr="00604E9B">
        <w:t xml:space="preserve"> require a subject to evaluate one or more</w:t>
      </w:r>
      <w:r w:rsidR="00F300BF" w:rsidRPr="00604E9B">
        <w:t xml:space="preserve"> risky decision</w:t>
      </w:r>
      <w:r w:rsidR="00D46F5F" w:rsidRPr="00604E9B">
        <w:t>s</w:t>
      </w:r>
      <w:r w:rsidR="00F300BF" w:rsidRPr="00604E9B">
        <w:t>.</w:t>
      </w:r>
      <w:r w:rsidR="002906D8" w:rsidRPr="00604E9B">
        <w:t xml:space="preserve">  Each subje</w:t>
      </w:r>
      <w:r w:rsidR="00393878" w:rsidRPr="00604E9B">
        <w:t>ct will complete all 65</w:t>
      </w:r>
      <w:r w:rsidR="002906D8" w:rsidRPr="00604E9B">
        <w:t xml:space="preserve"> rounds within a 90 minute time period.  </w:t>
      </w:r>
    </w:p>
    <w:p w14:paraId="4439ACE1" w14:textId="77777777" w:rsidR="0063244A" w:rsidRPr="00604E9B" w:rsidRDefault="002906D8" w:rsidP="00963151">
      <w:r w:rsidRPr="00604E9B">
        <w:t xml:space="preserve">When all rounds of all tasks are completed, one round will be randomly selected for payment from the entire experiment.  Subjects will receive a cash payment based on the decision in that specific round.  For rounds that involve multiple risky decisions, a single decision from the round will be selected for payment.     </w:t>
      </w:r>
      <w:r w:rsidR="00F300BF" w:rsidRPr="00604E9B">
        <w:t xml:space="preserve">  </w:t>
      </w:r>
    </w:p>
    <w:p w14:paraId="56C0B49D" w14:textId="11BB9BF8" w:rsidR="00B944B7" w:rsidRPr="00604E9B" w:rsidRDefault="00B944B7" w:rsidP="00963151">
      <w:r w:rsidRPr="00604E9B">
        <w:rPr>
          <w:b/>
        </w:rPr>
        <w:t>Show-up fee.</w:t>
      </w:r>
      <w:r w:rsidRPr="00604E9B">
        <w:t xml:space="preserve">  </w:t>
      </w:r>
      <w:r w:rsidR="00E61AE6" w:rsidRPr="00604E9B">
        <w:t xml:space="preserve">The show-up fee for this experiment will be $10.  </w:t>
      </w:r>
    </w:p>
    <w:p w14:paraId="0E1EF9EB" w14:textId="6D43ABB3" w:rsidR="00FD50FF" w:rsidRPr="00604E9B" w:rsidRDefault="00FD50FF" w:rsidP="00FD50FF">
      <w:r w:rsidRPr="00604E9B">
        <w:rPr>
          <w:b/>
        </w:rPr>
        <w:t>Expected payment.</w:t>
      </w:r>
      <w:r w:rsidRPr="00604E9B">
        <w:t xml:space="preserve">  The expected payment for this experiment, inclu</w:t>
      </w:r>
      <w:r w:rsidR="00C270D2">
        <w:t>ding show-up fee, is between $20-25</w:t>
      </w:r>
      <w:r w:rsidRPr="00604E9B">
        <w:t>.</w:t>
      </w:r>
      <w:r w:rsidR="00603089" w:rsidRPr="00604E9B">
        <w:t xml:space="preserve">  Pre-testing with 9 s</w:t>
      </w:r>
      <w:r w:rsidR="00614972" w:rsidRPr="00604E9B">
        <w:t>ubjects yielded payoffs of</w:t>
      </w:r>
      <w:r w:rsidR="00603089" w:rsidRPr="00604E9B">
        <w:t xml:space="preserve"> $10.00 - </w:t>
      </w:r>
      <w:r w:rsidR="009A38BC" w:rsidRPr="00604E9B">
        <w:t>$</w:t>
      </w:r>
      <w:r w:rsidR="00603089" w:rsidRPr="00604E9B">
        <w:t>29.80</w:t>
      </w:r>
      <w:r w:rsidR="00DD7FF5" w:rsidRPr="00604E9B">
        <w:t xml:space="preserve">, with session lengths ranging </w:t>
      </w:r>
      <w:r w:rsidR="006A36D0" w:rsidRPr="00604E9B">
        <w:t>from</w:t>
      </w:r>
      <w:r w:rsidR="00DD7FF5" w:rsidRPr="00604E9B">
        <w:t xml:space="preserve"> 47 – 74 minutes</w:t>
      </w:r>
      <w:r w:rsidR="00603089" w:rsidRPr="00604E9B">
        <w:t>.</w:t>
      </w:r>
      <w:r w:rsidR="002D562C" w:rsidRPr="00604E9B">
        <w:t xml:space="preserve">  Median payout was $23.33, and median run-time was 62 minutes. </w:t>
      </w:r>
      <w:r w:rsidR="00603089" w:rsidRPr="00604E9B">
        <w:t xml:space="preserve">  </w:t>
      </w:r>
      <w:r w:rsidRPr="00604E9B">
        <w:t xml:space="preserve">  </w:t>
      </w:r>
    </w:p>
    <w:p w14:paraId="0D319694" w14:textId="1A375ACD" w:rsidR="0094583F" w:rsidRDefault="00B174B3" w:rsidP="0094583F">
      <w:r w:rsidRPr="00604E9B">
        <w:rPr>
          <w:b/>
        </w:rPr>
        <w:t>Maximum possible payment.</w:t>
      </w:r>
      <w:r w:rsidRPr="00604E9B">
        <w:t xml:space="preserve">  </w:t>
      </w:r>
      <w:r w:rsidR="00FC5BFE" w:rsidRPr="00604E9B">
        <w:t>The maximum possible payment is $1</w:t>
      </w:r>
      <w:r w:rsidR="002A32BA">
        <w:t>00</w:t>
      </w:r>
      <w:r w:rsidR="00FC5BFE" w:rsidRPr="00604E9B">
        <w:t xml:space="preserve"> plus the show up fee. The probability of drawing a payment of $1</w:t>
      </w:r>
      <w:r w:rsidR="002A32BA">
        <w:t>00</w:t>
      </w:r>
      <w:r w:rsidR="00FC5BFE" w:rsidRPr="00604E9B">
        <w:t xml:space="preserve"> is 0.</w:t>
      </w:r>
      <w:r w:rsidR="0096418F">
        <w:t>385</w:t>
      </w:r>
      <w:r w:rsidR="00FC5BFE" w:rsidRPr="00604E9B">
        <w:t>%.  The probability of receiving a payment of $</w:t>
      </w:r>
      <w:r w:rsidR="00181A94">
        <w:t>75</w:t>
      </w:r>
      <w:r w:rsidR="00181A94" w:rsidRPr="00604E9B">
        <w:t xml:space="preserve"> </w:t>
      </w:r>
      <w:r w:rsidR="00FC5BFE" w:rsidRPr="00604E9B">
        <w:t xml:space="preserve">or </w:t>
      </w:r>
      <w:r w:rsidR="00FC5BFE" w:rsidRPr="00604E9B">
        <w:lastRenderedPageBreak/>
        <w:t>more is 0.</w:t>
      </w:r>
      <w:r w:rsidR="00181A94">
        <w:t>692</w:t>
      </w:r>
      <w:r w:rsidR="00FC5BFE" w:rsidRPr="00604E9B">
        <w:t xml:space="preserve">%.  The probability of receiving a payment of more than $50 is </w:t>
      </w:r>
      <w:r w:rsidR="00FD764B">
        <w:t>2.29</w:t>
      </w:r>
      <w:r w:rsidR="00FC5BFE" w:rsidRPr="00604E9B">
        <w:t xml:space="preserve">%.  We explain in detail how these probabilities were calculated in </w:t>
      </w:r>
      <w:r w:rsidR="005551C8">
        <w:t>Attachment B: Experimental Design Protocol</w:t>
      </w:r>
      <w:r w:rsidR="00FC5BFE" w:rsidRPr="00604E9B">
        <w:t xml:space="preserve">.  </w:t>
      </w:r>
      <w:r w:rsidR="007E2C17" w:rsidRPr="00604E9B">
        <w:t>In designing our experimental procedures and payment levels, we took into consideration academic standards for normal payoff ranges for student and non-student populations, statistical power considerations, budgetary limitations, and the history of discussions between OMB and ERS regarding ot</w:t>
      </w:r>
      <w:r w:rsidR="008231A2">
        <w:t xml:space="preserve">her research approved under a previous </w:t>
      </w:r>
      <w:r w:rsidR="007E2C17" w:rsidRPr="00604E9B">
        <w:t>generic clearance</w:t>
      </w:r>
      <w:r w:rsidR="005810C1">
        <w:t xml:space="preserve"> for experimental research</w:t>
      </w:r>
      <w:r w:rsidR="007E2C17" w:rsidRPr="00604E9B">
        <w:t xml:space="preserve"> (OMB control # 0536-0070).</w:t>
      </w:r>
    </w:p>
    <w:p w14:paraId="1D5FADB0" w14:textId="261D7E45" w:rsidR="0094583F" w:rsidRPr="00E61D0A" w:rsidRDefault="00221C5C" w:rsidP="0094583F">
      <w:r w:rsidRPr="00E61D0A">
        <w:rPr>
          <w:b/>
        </w:rPr>
        <w:t>Payment reporting.</w:t>
      </w:r>
      <w:r w:rsidRPr="00E61D0A">
        <w:t xml:space="preserve">  </w:t>
      </w:r>
      <w:r w:rsidR="0094583F" w:rsidRPr="00E61D0A">
        <w:t xml:space="preserve">We will report to OMB the distribution of payments, including the minimum, maximum, and average payments of </w:t>
      </w:r>
      <w:r w:rsidR="00850438">
        <w:t>all</w:t>
      </w:r>
      <w:r w:rsidR="0094583F" w:rsidRPr="00E61D0A">
        <w:t xml:space="preserve"> session</w:t>
      </w:r>
      <w:r w:rsidR="00850438">
        <w:t>s</w:t>
      </w:r>
      <w:r w:rsidR="0094583F" w:rsidRPr="00E61D0A">
        <w:t xml:space="preserve"> </w:t>
      </w:r>
      <w:r w:rsidR="00850438">
        <w:t>on a monthly basis</w:t>
      </w:r>
      <w:r w:rsidR="0094583F" w:rsidRPr="00E61D0A">
        <w:t>.  In addition, if any payment to a single participant in excess of $50 occurs, we will notify OMB immediately.  OMB will reserve the right to pause the collection if large payment outliers become a significant concern during the experiment. In such a case, we will consult with OMB for identifying appropriate methods to address this issue.  The experiment may be resumed only after obtaining further OMB approval.</w:t>
      </w:r>
    </w:p>
    <w:p w14:paraId="0A4C66AF" w14:textId="42EE7240" w:rsidR="005A6176" w:rsidRPr="00604E9B" w:rsidRDefault="00BB4082" w:rsidP="005A6176">
      <w:r w:rsidRPr="00604E9B">
        <w:rPr>
          <w:b/>
        </w:rPr>
        <w:t>Expected cost of experiment</w:t>
      </w:r>
      <w:r w:rsidRPr="00604E9B">
        <w:t>.</w:t>
      </w:r>
      <w:r w:rsidR="005A6176" w:rsidRPr="00604E9B">
        <w:t xml:space="preserve"> </w:t>
      </w:r>
      <w:r w:rsidR="00062BCC">
        <w:t>W</w:t>
      </w:r>
      <w:r w:rsidR="00AD31A2" w:rsidRPr="00604E9B">
        <w:t xml:space="preserve">e anticipate average </w:t>
      </w:r>
      <w:r w:rsidR="00E779FB" w:rsidRPr="00604E9B">
        <w:t>per subject</w:t>
      </w:r>
      <w:r w:rsidR="005A6176" w:rsidRPr="00604E9B">
        <w:t xml:space="preserve"> earnings of </w:t>
      </w:r>
      <w:r w:rsidR="007E565F" w:rsidRPr="00604E9B">
        <w:t xml:space="preserve">between </w:t>
      </w:r>
      <w:r w:rsidR="005A6176" w:rsidRPr="00604E9B">
        <w:t>$</w:t>
      </w:r>
      <w:r w:rsidR="008A1B85">
        <w:t>20-25</w:t>
      </w:r>
      <w:r w:rsidR="005A6176" w:rsidRPr="00604E9B">
        <w:t xml:space="preserve"> (including a $10 show-up fee).  We anticipate recruiting up to 500 student participants, bringing the expected total cos</w:t>
      </w:r>
      <w:r w:rsidR="00B75AF2" w:rsidRPr="00604E9B">
        <w:t xml:space="preserve">t of subject payments to $12,500 – </w:t>
      </w:r>
      <w:r w:rsidR="009A38BC" w:rsidRPr="00604E9B">
        <w:t>$</w:t>
      </w:r>
      <w:r w:rsidR="00B75AF2" w:rsidRPr="00604E9B">
        <w:t>15,000</w:t>
      </w:r>
      <w:r w:rsidR="005A6176" w:rsidRPr="00604E9B">
        <w:t xml:space="preserve">.   </w:t>
      </w:r>
    </w:p>
    <w:p w14:paraId="3B0D89E3" w14:textId="06CD6FE3" w:rsidR="00C10D7C" w:rsidRDefault="005A6176" w:rsidP="005A6176">
      <w:r w:rsidRPr="00604E9B">
        <w:rPr>
          <w:b/>
        </w:rPr>
        <w:t xml:space="preserve">Payment norms for </w:t>
      </w:r>
      <w:proofErr w:type="spellStart"/>
      <w:r w:rsidRPr="00604E9B">
        <w:rPr>
          <w:b/>
        </w:rPr>
        <w:t>Sim</w:t>
      </w:r>
      <w:r w:rsidR="00A232BB">
        <w:rPr>
          <w:b/>
        </w:rPr>
        <w:t>L</w:t>
      </w:r>
      <w:r w:rsidRPr="00604E9B">
        <w:rPr>
          <w:b/>
        </w:rPr>
        <w:t>ab</w:t>
      </w:r>
      <w:proofErr w:type="spellEnd"/>
      <w:r w:rsidRPr="00604E9B">
        <w:rPr>
          <w:b/>
        </w:rPr>
        <w:t>.</w:t>
      </w:r>
      <w:r w:rsidR="0017177F">
        <w:t xml:space="preserve">  Table 2</w:t>
      </w:r>
      <w:r w:rsidRPr="00604E9B">
        <w:t xml:space="preserve"> summarizes the total payments, show-up fees, and session lengths for experiments conducted a University of Rhode Island’s </w:t>
      </w:r>
      <w:proofErr w:type="spellStart"/>
      <w:r w:rsidRPr="00604E9B">
        <w:t>Sim</w:t>
      </w:r>
      <w:r w:rsidR="00A232BB">
        <w:t>L</w:t>
      </w:r>
      <w:r w:rsidRPr="00604E9B">
        <w:t>ab</w:t>
      </w:r>
      <w:proofErr w:type="spellEnd"/>
      <w:r w:rsidRPr="00604E9B">
        <w:t xml:space="preserve"> since 2014.</w:t>
      </w:r>
      <w:r w:rsidR="00285070" w:rsidRPr="00604E9B">
        <w:t xml:space="preserve">  The show-up fee, expected payment, and session length </w:t>
      </w:r>
      <w:r w:rsidR="005E3A9D" w:rsidRPr="00604E9B">
        <w:t xml:space="preserve">planned </w:t>
      </w:r>
      <w:r w:rsidR="00285070" w:rsidRPr="00604E9B">
        <w:t>for our</w:t>
      </w:r>
      <w:r w:rsidR="005E3A9D" w:rsidRPr="00604E9B">
        <w:t xml:space="preserve"> experiment are all</w:t>
      </w:r>
      <w:r w:rsidR="00285070" w:rsidRPr="00604E9B">
        <w:t xml:space="preserve"> consistent with the norms used for this laboratory.  </w:t>
      </w:r>
      <w:r w:rsidRPr="00604E9B">
        <w:t xml:space="preserve">  </w:t>
      </w:r>
    </w:p>
    <w:p w14:paraId="155785EF" w14:textId="77777777" w:rsidR="00075AD6" w:rsidRPr="00604E9B" w:rsidRDefault="00075AD6" w:rsidP="005A6176">
      <w:pPr>
        <w:rPr>
          <w:color w:val="000000" w:themeColor="text1"/>
        </w:rPr>
      </w:pPr>
    </w:p>
    <w:p w14:paraId="0A001596" w14:textId="2D679EF5" w:rsidR="004F6AE0" w:rsidRDefault="004F6AE0" w:rsidP="004F6AE0">
      <w:pPr>
        <w:pStyle w:val="Caption"/>
        <w:keepNext/>
      </w:pPr>
      <w:r>
        <w:t xml:space="preserve">Table </w:t>
      </w:r>
      <w:fldSimple w:instr=" SEQ Table \* ARABIC ">
        <w:r w:rsidR="006E7E7D">
          <w:rPr>
            <w:noProof/>
          </w:rPr>
          <w:t>2</w:t>
        </w:r>
      </w:fldSimple>
      <w:r>
        <w:t xml:space="preserve">: Payments and Session Lengths for Recent Experiments Conducted at </w:t>
      </w:r>
      <w:proofErr w:type="spellStart"/>
      <w:r>
        <w:t>SimLab</w:t>
      </w:r>
      <w:proofErr w:type="spellEnd"/>
    </w:p>
    <w:tbl>
      <w:tblPr>
        <w:tblW w:w="0" w:type="auto"/>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1882"/>
        <w:gridCol w:w="1710"/>
        <w:gridCol w:w="856"/>
        <w:gridCol w:w="835"/>
        <w:gridCol w:w="608"/>
        <w:gridCol w:w="1247"/>
        <w:gridCol w:w="905"/>
        <w:gridCol w:w="1301"/>
      </w:tblGrid>
      <w:tr w:rsidR="00FE152A" w:rsidRPr="000A2255" w14:paraId="1C097156" w14:textId="77777777" w:rsidTr="009A499D">
        <w:trPr>
          <w:trHeight w:val="315"/>
          <w:tblHeader/>
        </w:trPr>
        <w:tc>
          <w:tcPr>
            <w:tcW w:w="1882" w:type="dxa"/>
            <w:tcBorders>
              <w:top w:val="single" w:sz="6" w:space="0" w:color="CCCCCC"/>
              <w:left w:val="single" w:sz="6" w:space="0" w:color="CCCCCC"/>
              <w:bottom w:val="single" w:sz="6" w:space="0" w:color="CCCCCC"/>
              <w:right w:val="single" w:sz="6" w:space="0" w:color="CCCCCC"/>
            </w:tcBorders>
            <w:shd w:val="clear" w:color="auto" w:fill="E7E6E6" w:themeFill="background2"/>
            <w:tcMar>
              <w:top w:w="30" w:type="dxa"/>
              <w:left w:w="45" w:type="dxa"/>
              <w:bottom w:w="30" w:type="dxa"/>
              <w:right w:w="45" w:type="dxa"/>
            </w:tcMar>
            <w:vAlign w:val="bottom"/>
            <w:hideMark/>
          </w:tcPr>
          <w:p w14:paraId="2BCB2EE6" w14:textId="77777777" w:rsidR="0023022D" w:rsidRPr="000A2255" w:rsidRDefault="0023022D" w:rsidP="009E0A2C">
            <w:pPr>
              <w:spacing w:after="0" w:line="240" w:lineRule="auto"/>
              <w:rPr>
                <w:rFonts w:ascii="Arial" w:eastAsia="Times New Roman" w:hAnsi="Arial" w:cs="Arial"/>
                <w:sz w:val="20"/>
                <w:szCs w:val="20"/>
              </w:rPr>
            </w:pPr>
            <w:r w:rsidRPr="000A2255">
              <w:rPr>
                <w:rFonts w:ascii="Arial" w:eastAsia="Times New Roman" w:hAnsi="Arial" w:cs="Arial"/>
                <w:sz w:val="20"/>
                <w:szCs w:val="20"/>
              </w:rPr>
              <w:t>Paper</w:t>
            </w:r>
          </w:p>
        </w:tc>
        <w:tc>
          <w:tcPr>
            <w:tcW w:w="1710" w:type="dxa"/>
            <w:tcBorders>
              <w:top w:val="single" w:sz="6" w:space="0" w:color="CCCCCC"/>
              <w:left w:val="single" w:sz="6" w:space="0" w:color="CCCCCC"/>
              <w:bottom w:val="single" w:sz="6" w:space="0" w:color="CCCCCC"/>
              <w:right w:val="single" w:sz="6" w:space="0" w:color="CCCCCC"/>
            </w:tcBorders>
            <w:shd w:val="clear" w:color="auto" w:fill="E7E6E6" w:themeFill="background2"/>
            <w:tcMar>
              <w:top w:w="30" w:type="dxa"/>
              <w:left w:w="45" w:type="dxa"/>
              <w:bottom w:w="30" w:type="dxa"/>
              <w:right w:w="45" w:type="dxa"/>
            </w:tcMar>
            <w:vAlign w:val="bottom"/>
            <w:hideMark/>
          </w:tcPr>
          <w:p w14:paraId="2CD2FC88" w14:textId="77777777" w:rsidR="0023022D" w:rsidRPr="000A2255" w:rsidRDefault="0023022D" w:rsidP="009E0A2C">
            <w:pPr>
              <w:spacing w:after="0" w:line="240" w:lineRule="auto"/>
              <w:rPr>
                <w:rFonts w:ascii="Arial" w:eastAsia="Times New Roman" w:hAnsi="Arial" w:cs="Arial"/>
                <w:sz w:val="20"/>
                <w:szCs w:val="20"/>
              </w:rPr>
            </w:pPr>
            <w:r w:rsidRPr="000A2255">
              <w:rPr>
                <w:rFonts w:ascii="Arial" w:eastAsia="Times New Roman" w:hAnsi="Arial" w:cs="Arial"/>
                <w:sz w:val="20"/>
                <w:szCs w:val="20"/>
              </w:rPr>
              <w:t>Authors</w:t>
            </w:r>
          </w:p>
        </w:tc>
        <w:tc>
          <w:tcPr>
            <w:tcW w:w="856" w:type="dxa"/>
            <w:tcBorders>
              <w:top w:val="single" w:sz="6" w:space="0" w:color="CCCCCC"/>
              <w:left w:val="single" w:sz="6" w:space="0" w:color="CCCCCC"/>
              <w:bottom w:val="single" w:sz="6" w:space="0" w:color="CCCCCC"/>
              <w:right w:val="single" w:sz="6" w:space="0" w:color="CCCCCC"/>
            </w:tcBorders>
            <w:shd w:val="clear" w:color="auto" w:fill="E7E6E6" w:themeFill="background2"/>
            <w:vAlign w:val="bottom"/>
          </w:tcPr>
          <w:p w14:paraId="352EC91F" w14:textId="77777777" w:rsidR="0023022D" w:rsidRPr="000A2255" w:rsidRDefault="0023022D" w:rsidP="00FD14F9">
            <w:pPr>
              <w:spacing w:after="0" w:line="240" w:lineRule="auto"/>
              <w:rPr>
                <w:rFonts w:ascii="Arial" w:eastAsia="Times New Roman" w:hAnsi="Arial" w:cs="Arial"/>
                <w:sz w:val="20"/>
                <w:szCs w:val="20"/>
              </w:rPr>
            </w:pPr>
            <w:r>
              <w:rPr>
                <w:rFonts w:ascii="Arial" w:eastAsia="Times New Roman" w:hAnsi="Arial" w:cs="Arial"/>
                <w:sz w:val="20"/>
                <w:szCs w:val="20"/>
              </w:rPr>
              <w:t>Date</w:t>
            </w:r>
            <w:r w:rsidR="007F2798">
              <w:rPr>
                <w:rFonts w:ascii="Arial" w:eastAsia="Times New Roman" w:hAnsi="Arial" w:cs="Arial"/>
                <w:sz w:val="20"/>
                <w:szCs w:val="20"/>
              </w:rPr>
              <w:t>s</w:t>
            </w:r>
            <w:r>
              <w:rPr>
                <w:rFonts w:ascii="Arial" w:eastAsia="Times New Roman" w:hAnsi="Arial" w:cs="Arial"/>
                <w:sz w:val="20"/>
                <w:szCs w:val="20"/>
              </w:rPr>
              <w:t xml:space="preserve"> of </w:t>
            </w:r>
            <w:r w:rsidR="007F2798">
              <w:rPr>
                <w:rFonts w:ascii="Arial" w:eastAsia="Times New Roman" w:hAnsi="Arial" w:cs="Arial"/>
                <w:sz w:val="20"/>
                <w:szCs w:val="20"/>
              </w:rPr>
              <w:t>Lab Sessions</w:t>
            </w:r>
          </w:p>
        </w:tc>
        <w:tc>
          <w:tcPr>
            <w:tcW w:w="835" w:type="dxa"/>
            <w:tcBorders>
              <w:top w:val="single" w:sz="6" w:space="0" w:color="CCCCCC"/>
              <w:left w:val="single" w:sz="6" w:space="0" w:color="CCCCCC"/>
              <w:bottom w:val="single" w:sz="6" w:space="0" w:color="CCCCCC"/>
              <w:right w:val="single" w:sz="6" w:space="0" w:color="CCCCCC"/>
            </w:tcBorders>
            <w:shd w:val="clear" w:color="auto" w:fill="E7E6E6" w:themeFill="background2"/>
            <w:vAlign w:val="bottom"/>
          </w:tcPr>
          <w:p w14:paraId="5EE66A53" w14:textId="77777777" w:rsidR="0023022D" w:rsidRPr="000A2255" w:rsidRDefault="0023022D" w:rsidP="009E0A2C">
            <w:pPr>
              <w:spacing w:after="0" w:line="240" w:lineRule="auto"/>
              <w:rPr>
                <w:rFonts w:ascii="Arial" w:eastAsia="Times New Roman" w:hAnsi="Arial" w:cs="Arial"/>
                <w:sz w:val="20"/>
                <w:szCs w:val="20"/>
              </w:rPr>
            </w:pPr>
            <w:r w:rsidRPr="000A2255">
              <w:rPr>
                <w:rFonts w:ascii="Arial" w:eastAsia="Times New Roman" w:hAnsi="Arial" w:cs="Arial"/>
                <w:sz w:val="20"/>
                <w:szCs w:val="20"/>
              </w:rPr>
              <w:t>Average Payment USD</w:t>
            </w:r>
          </w:p>
        </w:tc>
        <w:tc>
          <w:tcPr>
            <w:tcW w:w="608" w:type="dxa"/>
            <w:tcBorders>
              <w:top w:val="single" w:sz="6" w:space="0" w:color="CCCCCC"/>
              <w:left w:val="single" w:sz="6" w:space="0" w:color="CCCCCC"/>
              <w:bottom w:val="single" w:sz="6" w:space="0" w:color="CCCCCC"/>
              <w:right w:val="single" w:sz="6" w:space="0" w:color="CCCCCC"/>
            </w:tcBorders>
            <w:shd w:val="clear" w:color="auto" w:fill="E7E6E6" w:themeFill="background2"/>
            <w:tcMar>
              <w:top w:w="30" w:type="dxa"/>
              <w:left w:w="45" w:type="dxa"/>
              <w:bottom w:w="30" w:type="dxa"/>
              <w:right w:w="45" w:type="dxa"/>
            </w:tcMar>
            <w:vAlign w:val="bottom"/>
            <w:hideMark/>
          </w:tcPr>
          <w:p w14:paraId="4889D79B" w14:textId="77777777" w:rsidR="0023022D" w:rsidRPr="000A2255" w:rsidRDefault="0023022D" w:rsidP="009E0A2C">
            <w:pPr>
              <w:spacing w:after="0" w:line="240" w:lineRule="auto"/>
              <w:rPr>
                <w:rFonts w:ascii="Arial" w:eastAsia="Times New Roman" w:hAnsi="Arial" w:cs="Arial"/>
                <w:sz w:val="20"/>
                <w:szCs w:val="20"/>
              </w:rPr>
            </w:pPr>
            <w:r>
              <w:rPr>
                <w:rFonts w:ascii="Arial" w:eastAsia="Times New Roman" w:hAnsi="Arial" w:cs="Arial"/>
                <w:sz w:val="20"/>
                <w:szCs w:val="20"/>
              </w:rPr>
              <w:t>Show Up Fee</w:t>
            </w:r>
          </w:p>
        </w:tc>
        <w:tc>
          <w:tcPr>
            <w:tcW w:w="1247" w:type="dxa"/>
            <w:tcBorders>
              <w:top w:val="single" w:sz="6" w:space="0" w:color="CCCCCC"/>
              <w:left w:val="single" w:sz="6" w:space="0" w:color="CCCCCC"/>
              <w:bottom w:val="single" w:sz="6" w:space="0" w:color="CCCCCC"/>
              <w:right w:val="single" w:sz="6" w:space="0" w:color="CCCCCC"/>
            </w:tcBorders>
            <w:shd w:val="clear" w:color="auto" w:fill="E7E6E6" w:themeFill="background2"/>
            <w:tcMar>
              <w:top w:w="30" w:type="dxa"/>
              <w:left w:w="45" w:type="dxa"/>
              <w:bottom w:w="30" w:type="dxa"/>
              <w:right w:w="45" w:type="dxa"/>
            </w:tcMar>
            <w:vAlign w:val="bottom"/>
            <w:hideMark/>
          </w:tcPr>
          <w:p w14:paraId="6B212CE6" w14:textId="77777777" w:rsidR="0023022D" w:rsidRPr="000A2255" w:rsidRDefault="0023022D" w:rsidP="009E0A2C">
            <w:pPr>
              <w:spacing w:after="0" w:line="240" w:lineRule="auto"/>
              <w:rPr>
                <w:rFonts w:ascii="Arial" w:eastAsia="Times New Roman" w:hAnsi="Arial" w:cs="Arial"/>
                <w:sz w:val="20"/>
                <w:szCs w:val="20"/>
              </w:rPr>
            </w:pPr>
            <w:r w:rsidRPr="000A2255">
              <w:rPr>
                <w:rFonts w:ascii="Arial" w:eastAsia="Times New Roman" w:hAnsi="Arial" w:cs="Arial"/>
                <w:sz w:val="20"/>
                <w:szCs w:val="20"/>
              </w:rPr>
              <w:t>Approximate Duration (mins)</w:t>
            </w:r>
          </w:p>
        </w:tc>
        <w:tc>
          <w:tcPr>
            <w:tcW w:w="905" w:type="dxa"/>
            <w:tcBorders>
              <w:top w:val="single" w:sz="6" w:space="0" w:color="CCCCCC"/>
              <w:left w:val="single" w:sz="6" w:space="0" w:color="CCCCCC"/>
              <w:bottom w:val="single" w:sz="6" w:space="0" w:color="CCCCCC"/>
              <w:right w:val="single" w:sz="6" w:space="0" w:color="CCCCCC"/>
            </w:tcBorders>
            <w:shd w:val="clear" w:color="auto" w:fill="E7E6E6" w:themeFill="background2"/>
            <w:tcMar>
              <w:top w:w="30" w:type="dxa"/>
              <w:left w:w="45" w:type="dxa"/>
              <w:bottom w:w="30" w:type="dxa"/>
              <w:right w:w="45" w:type="dxa"/>
            </w:tcMar>
            <w:vAlign w:val="bottom"/>
            <w:hideMark/>
          </w:tcPr>
          <w:p w14:paraId="72C45A5B" w14:textId="77777777" w:rsidR="0023022D" w:rsidRPr="000A2255" w:rsidRDefault="0023022D" w:rsidP="009E0A2C">
            <w:pPr>
              <w:spacing w:after="0" w:line="240" w:lineRule="auto"/>
              <w:rPr>
                <w:rFonts w:ascii="Arial" w:eastAsia="Times New Roman" w:hAnsi="Arial" w:cs="Arial"/>
                <w:sz w:val="20"/>
                <w:szCs w:val="20"/>
              </w:rPr>
            </w:pPr>
            <w:r w:rsidRPr="000A2255">
              <w:rPr>
                <w:rFonts w:ascii="Arial" w:eastAsia="Times New Roman" w:hAnsi="Arial" w:cs="Arial"/>
                <w:sz w:val="20"/>
                <w:szCs w:val="20"/>
              </w:rPr>
              <w:t>USD Payment / hour</w:t>
            </w:r>
          </w:p>
        </w:tc>
        <w:tc>
          <w:tcPr>
            <w:tcW w:w="1301" w:type="dxa"/>
            <w:tcBorders>
              <w:top w:val="single" w:sz="6" w:space="0" w:color="CCCCCC"/>
              <w:left w:val="single" w:sz="6" w:space="0" w:color="CCCCCC"/>
              <w:bottom w:val="single" w:sz="6" w:space="0" w:color="CCCCCC"/>
              <w:right w:val="single" w:sz="6" w:space="0" w:color="CCCCCC"/>
            </w:tcBorders>
            <w:shd w:val="clear" w:color="auto" w:fill="E7E6E6" w:themeFill="background2"/>
            <w:tcMar>
              <w:top w:w="30" w:type="dxa"/>
              <w:left w:w="45" w:type="dxa"/>
              <w:bottom w:w="30" w:type="dxa"/>
              <w:right w:w="45" w:type="dxa"/>
            </w:tcMar>
            <w:vAlign w:val="bottom"/>
            <w:hideMark/>
          </w:tcPr>
          <w:p w14:paraId="71CB36FD" w14:textId="77777777" w:rsidR="0023022D" w:rsidRPr="000A2255" w:rsidRDefault="0023022D" w:rsidP="009E0A2C">
            <w:pPr>
              <w:spacing w:after="0" w:line="240" w:lineRule="auto"/>
              <w:rPr>
                <w:rFonts w:ascii="Arial" w:eastAsia="Times New Roman" w:hAnsi="Arial" w:cs="Arial"/>
                <w:sz w:val="20"/>
                <w:szCs w:val="20"/>
              </w:rPr>
            </w:pPr>
            <w:r>
              <w:rPr>
                <w:rFonts w:ascii="Arial" w:eastAsia="Times New Roman" w:hAnsi="Arial" w:cs="Arial"/>
                <w:sz w:val="20"/>
                <w:szCs w:val="20"/>
              </w:rPr>
              <w:t xml:space="preserve">Extrapolated </w:t>
            </w:r>
            <w:r w:rsidRPr="000A2255">
              <w:rPr>
                <w:rFonts w:ascii="Arial" w:eastAsia="Times New Roman" w:hAnsi="Arial" w:cs="Arial"/>
                <w:sz w:val="20"/>
                <w:szCs w:val="20"/>
              </w:rPr>
              <w:t>Payment for 1.5 hours</w:t>
            </w:r>
            <w:r w:rsidR="00443163">
              <w:rPr>
                <w:rFonts w:ascii="Arial" w:eastAsia="Times New Roman" w:hAnsi="Arial" w:cs="Arial"/>
                <w:sz w:val="20"/>
                <w:szCs w:val="20"/>
              </w:rPr>
              <w:t xml:space="preserve"> + $10 show up fee</w:t>
            </w:r>
          </w:p>
        </w:tc>
      </w:tr>
      <w:tr w:rsidR="007F2798" w:rsidRPr="000A2255" w14:paraId="6EF0181B" w14:textId="77777777" w:rsidTr="00FD14F9">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4DB999" w14:textId="77777777" w:rsidR="008318D5" w:rsidRDefault="008318D5" w:rsidP="00070280">
            <w:pPr>
              <w:spacing w:after="0" w:line="240" w:lineRule="auto"/>
              <w:rPr>
                <w:sz w:val="19"/>
                <w:szCs w:val="19"/>
              </w:rPr>
            </w:pPr>
            <w:r>
              <w:rPr>
                <w:sz w:val="19"/>
                <w:szCs w:val="19"/>
              </w:rPr>
              <w:t>Personality and Cooperation - Treatment 5-7</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D5F5C1" w14:textId="77777777" w:rsidR="008318D5" w:rsidRDefault="008318D5" w:rsidP="009E0A2C">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Guilfoos</w:t>
            </w:r>
            <w:proofErr w:type="spellEnd"/>
          </w:p>
        </w:tc>
        <w:tc>
          <w:tcPr>
            <w:tcW w:w="856" w:type="dxa"/>
            <w:tcBorders>
              <w:top w:val="single" w:sz="6" w:space="0" w:color="CCCCCC"/>
              <w:left w:val="single" w:sz="6" w:space="0" w:color="CCCCCC"/>
              <w:bottom w:val="single" w:sz="6" w:space="0" w:color="CCCCCC"/>
              <w:right w:val="single" w:sz="6" w:space="0" w:color="CCCCCC"/>
            </w:tcBorders>
            <w:vAlign w:val="center"/>
          </w:tcPr>
          <w:p w14:paraId="6441B86A" w14:textId="77777777" w:rsidR="008318D5" w:rsidRDefault="008318D5"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Nov 2015</w:t>
            </w:r>
          </w:p>
        </w:tc>
        <w:tc>
          <w:tcPr>
            <w:tcW w:w="835" w:type="dxa"/>
            <w:tcBorders>
              <w:top w:val="single" w:sz="6" w:space="0" w:color="CCCCCC"/>
              <w:left w:val="single" w:sz="6" w:space="0" w:color="CCCCCC"/>
              <w:bottom w:val="single" w:sz="6" w:space="0" w:color="CCCCCC"/>
              <w:right w:val="single" w:sz="6" w:space="0" w:color="CCCCCC"/>
            </w:tcBorders>
            <w:vAlign w:val="center"/>
          </w:tcPr>
          <w:p w14:paraId="484CA967" w14:textId="77777777" w:rsidR="008318D5" w:rsidRDefault="008318D5"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27.14</w:t>
            </w:r>
          </w:p>
        </w:tc>
        <w:tc>
          <w:tcPr>
            <w:tcW w:w="6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00BA7AA" w14:textId="77777777" w:rsidR="008318D5" w:rsidRDefault="008318D5"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2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A2BF708" w14:textId="77777777" w:rsidR="008318D5" w:rsidRDefault="008318D5"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9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3B0B251" w14:textId="77777777" w:rsidR="008318D5" w:rsidRDefault="00EA5422"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10.28</w:t>
            </w:r>
          </w:p>
        </w:tc>
        <w:tc>
          <w:tcPr>
            <w:tcW w:w="13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CB5A10C" w14:textId="77777777" w:rsidR="008318D5" w:rsidRPr="000A2255" w:rsidRDefault="00443163"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25.42</w:t>
            </w:r>
          </w:p>
        </w:tc>
      </w:tr>
      <w:tr w:rsidR="00FE152A" w:rsidRPr="000A2255" w14:paraId="7C0D39E6" w14:textId="77777777" w:rsidTr="00FD14F9">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BD9C058" w14:textId="77777777" w:rsidR="0023022D" w:rsidRPr="000A2255" w:rsidRDefault="00070280" w:rsidP="00070280">
            <w:pPr>
              <w:spacing w:after="0" w:line="240" w:lineRule="auto"/>
              <w:rPr>
                <w:rFonts w:ascii="Arial" w:eastAsia="Times New Roman" w:hAnsi="Arial" w:cs="Arial"/>
                <w:sz w:val="20"/>
                <w:szCs w:val="20"/>
              </w:rPr>
            </w:pPr>
            <w:r>
              <w:rPr>
                <w:sz w:val="19"/>
                <w:szCs w:val="19"/>
              </w:rPr>
              <w:t xml:space="preserve">Statistical Dependence of Risk Preferences – </w:t>
            </w:r>
            <w:r w:rsidR="00F25599">
              <w:rPr>
                <w:sz w:val="19"/>
                <w:szCs w:val="19"/>
              </w:rPr>
              <w:t>Treatment</w:t>
            </w:r>
            <w:r>
              <w:rPr>
                <w:sz w:val="19"/>
                <w:szCs w:val="19"/>
              </w:rPr>
              <w:t xml:space="preserve"> 2</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BB49F40" w14:textId="77777777" w:rsidR="0023022D" w:rsidRPr="000A2255" w:rsidRDefault="0023022D" w:rsidP="009E0A2C">
            <w:pPr>
              <w:spacing w:after="0" w:line="240" w:lineRule="auto"/>
              <w:rPr>
                <w:rFonts w:ascii="Arial" w:eastAsia="Times New Roman" w:hAnsi="Arial" w:cs="Arial"/>
                <w:sz w:val="20"/>
                <w:szCs w:val="20"/>
              </w:rPr>
            </w:pPr>
            <w:r>
              <w:rPr>
                <w:rFonts w:ascii="Arial" w:eastAsia="Times New Roman" w:hAnsi="Arial" w:cs="Arial"/>
                <w:sz w:val="20"/>
                <w:szCs w:val="20"/>
              </w:rPr>
              <w:t>Sproul</w:t>
            </w:r>
          </w:p>
        </w:tc>
        <w:tc>
          <w:tcPr>
            <w:tcW w:w="856" w:type="dxa"/>
            <w:tcBorders>
              <w:top w:val="single" w:sz="6" w:space="0" w:color="CCCCCC"/>
              <w:left w:val="single" w:sz="6" w:space="0" w:color="CCCCCC"/>
              <w:bottom w:val="single" w:sz="6" w:space="0" w:color="CCCCCC"/>
              <w:right w:val="single" w:sz="6" w:space="0" w:color="CCCCCC"/>
            </w:tcBorders>
            <w:vAlign w:val="center"/>
          </w:tcPr>
          <w:p w14:paraId="1B4E2555" w14:textId="77777777" w:rsidR="0023022D" w:rsidRDefault="00070280"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Sep-Oct 2015</w:t>
            </w:r>
          </w:p>
        </w:tc>
        <w:tc>
          <w:tcPr>
            <w:tcW w:w="835" w:type="dxa"/>
            <w:tcBorders>
              <w:top w:val="single" w:sz="6" w:space="0" w:color="CCCCCC"/>
              <w:left w:val="single" w:sz="6" w:space="0" w:color="CCCCCC"/>
              <w:bottom w:val="single" w:sz="6" w:space="0" w:color="CCCCCC"/>
              <w:right w:val="single" w:sz="6" w:space="0" w:color="CCCCCC"/>
            </w:tcBorders>
            <w:vAlign w:val="center"/>
          </w:tcPr>
          <w:p w14:paraId="1FFAE182"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$25.59</w:t>
            </w:r>
          </w:p>
        </w:tc>
        <w:tc>
          <w:tcPr>
            <w:tcW w:w="6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6A9F178"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2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0A1801A"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9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EBC5ADB"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23.39</w:t>
            </w:r>
          </w:p>
        </w:tc>
        <w:tc>
          <w:tcPr>
            <w:tcW w:w="13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AF675AD" w14:textId="77777777" w:rsidR="0023022D" w:rsidRPr="000A2255" w:rsidRDefault="00FD14F9"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45.09</w:t>
            </w:r>
          </w:p>
        </w:tc>
      </w:tr>
      <w:tr w:rsidR="00FE152A" w:rsidRPr="000A2255" w14:paraId="7BDF37FB" w14:textId="77777777" w:rsidTr="00FD14F9">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2731468" w14:textId="77777777" w:rsidR="0023022D" w:rsidRPr="000A2255" w:rsidRDefault="0062203B" w:rsidP="009E0A2C">
            <w:pPr>
              <w:spacing w:after="0" w:line="240" w:lineRule="auto"/>
              <w:rPr>
                <w:rFonts w:ascii="Arial" w:eastAsia="Times New Roman" w:hAnsi="Arial" w:cs="Arial"/>
                <w:sz w:val="20"/>
                <w:szCs w:val="20"/>
              </w:rPr>
            </w:pPr>
            <w:r>
              <w:rPr>
                <w:sz w:val="19"/>
                <w:szCs w:val="19"/>
              </w:rPr>
              <w:t xml:space="preserve">Statistical Dependence of Risk Preferences – </w:t>
            </w:r>
            <w:r w:rsidR="00F25599">
              <w:rPr>
                <w:sz w:val="19"/>
                <w:szCs w:val="19"/>
              </w:rPr>
              <w:t>Treatment</w:t>
            </w:r>
            <w:r>
              <w:rPr>
                <w:sz w:val="19"/>
                <w:szCs w:val="19"/>
              </w:rPr>
              <w:t xml:space="preserve"> 1</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E2AA55" w14:textId="77777777" w:rsidR="0023022D" w:rsidRPr="000A2255" w:rsidRDefault="0023022D" w:rsidP="009E0A2C">
            <w:pPr>
              <w:spacing w:after="0" w:line="240" w:lineRule="auto"/>
              <w:rPr>
                <w:rFonts w:ascii="Arial" w:eastAsia="Times New Roman" w:hAnsi="Arial" w:cs="Arial"/>
                <w:sz w:val="20"/>
                <w:szCs w:val="20"/>
              </w:rPr>
            </w:pPr>
            <w:r>
              <w:rPr>
                <w:rFonts w:ascii="Arial" w:eastAsia="Times New Roman" w:hAnsi="Arial" w:cs="Arial"/>
                <w:sz w:val="20"/>
                <w:szCs w:val="20"/>
              </w:rPr>
              <w:t>Sproul</w:t>
            </w:r>
          </w:p>
        </w:tc>
        <w:tc>
          <w:tcPr>
            <w:tcW w:w="856" w:type="dxa"/>
            <w:tcBorders>
              <w:top w:val="single" w:sz="6" w:space="0" w:color="CCCCCC"/>
              <w:left w:val="single" w:sz="6" w:space="0" w:color="CCCCCC"/>
              <w:bottom w:val="single" w:sz="6" w:space="0" w:color="CCCCCC"/>
              <w:right w:val="single" w:sz="6" w:space="0" w:color="CCCCCC"/>
            </w:tcBorders>
            <w:vAlign w:val="center"/>
          </w:tcPr>
          <w:p w14:paraId="19AD3C79" w14:textId="77777777" w:rsidR="0023022D" w:rsidRDefault="0062203B"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May 2015</w:t>
            </w:r>
          </w:p>
        </w:tc>
        <w:tc>
          <w:tcPr>
            <w:tcW w:w="835" w:type="dxa"/>
            <w:tcBorders>
              <w:top w:val="single" w:sz="6" w:space="0" w:color="CCCCCC"/>
              <w:left w:val="single" w:sz="6" w:space="0" w:color="CCCCCC"/>
              <w:bottom w:val="single" w:sz="6" w:space="0" w:color="CCCCCC"/>
              <w:right w:val="single" w:sz="6" w:space="0" w:color="CCCCCC"/>
            </w:tcBorders>
            <w:vAlign w:val="center"/>
          </w:tcPr>
          <w:p w14:paraId="25F5AD46"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$23.85</w:t>
            </w:r>
          </w:p>
        </w:tc>
        <w:tc>
          <w:tcPr>
            <w:tcW w:w="6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D051C90"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2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8259AC1"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60</w:t>
            </w:r>
          </w:p>
        </w:tc>
        <w:tc>
          <w:tcPr>
            <w:tcW w:w="9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5AE9ACE"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13.85</w:t>
            </w:r>
          </w:p>
        </w:tc>
        <w:tc>
          <w:tcPr>
            <w:tcW w:w="13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675AF9F" w14:textId="77777777" w:rsidR="0023022D" w:rsidRPr="000A2255" w:rsidRDefault="009341B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30.78</w:t>
            </w:r>
          </w:p>
        </w:tc>
      </w:tr>
      <w:tr w:rsidR="00D23067" w:rsidRPr="000A2255" w14:paraId="5A338C29" w14:textId="77777777" w:rsidTr="00FD14F9">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73947D" w14:textId="77777777" w:rsidR="0081699D" w:rsidRDefault="0081699D" w:rsidP="009E0A2C">
            <w:pPr>
              <w:spacing w:after="0" w:line="240" w:lineRule="auto"/>
              <w:rPr>
                <w:sz w:val="19"/>
                <w:szCs w:val="19"/>
              </w:rPr>
            </w:pPr>
            <w:r>
              <w:rPr>
                <w:sz w:val="19"/>
                <w:szCs w:val="19"/>
              </w:rPr>
              <w:t>Endogenous Moral Hazard Policies-Pilot - Treatment 1-2</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6146670" w14:textId="77777777" w:rsidR="0081699D" w:rsidRDefault="0081699D" w:rsidP="009E0A2C">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Guilfoos</w:t>
            </w:r>
            <w:proofErr w:type="spellEnd"/>
            <w:r>
              <w:rPr>
                <w:rFonts w:ascii="Arial" w:eastAsia="Times New Roman" w:hAnsi="Arial" w:cs="Arial"/>
                <w:sz w:val="20"/>
                <w:szCs w:val="20"/>
              </w:rPr>
              <w:t xml:space="preserve"> &amp; Uchida</w:t>
            </w:r>
          </w:p>
        </w:tc>
        <w:tc>
          <w:tcPr>
            <w:tcW w:w="856" w:type="dxa"/>
            <w:tcBorders>
              <w:top w:val="single" w:sz="6" w:space="0" w:color="CCCCCC"/>
              <w:left w:val="single" w:sz="6" w:space="0" w:color="CCCCCC"/>
              <w:bottom w:val="single" w:sz="6" w:space="0" w:color="CCCCCC"/>
              <w:right w:val="single" w:sz="6" w:space="0" w:color="CCCCCC"/>
            </w:tcBorders>
            <w:vAlign w:val="center"/>
          </w:tcPr>
          <w:p w14:paraId="27AAA72A" w14:textId="77777777" w:rsidR="0081699D" w:rsidRDefault="0081699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May 2015</w:t>
            </w:r>
          </w:p>
        </w:tc>
        <w:tc>
          <w:tcPr>
            <w:tcW w:w="835" w:type="dxa"/>
            <w:tcBorders>
              <w:top w:val="single" w:sz="6" w:space="0" w:color="CCCCCC"/>
              <w:left w:val="single" w:sz="6" w:space="0" w:color="CCCCCC"/>
              <w:bottom w:val="single" w:sz="6" w:space="0" w:color="CCCCCC"/>
              <w:right w:val="single" w:sz="6" w:space="0" w:color="CCCCCC"/>
            </w:tcBorders>
            <w:vAlign w:val="center"/>
          </w:tcPr>
          <w:p w14:paraId="58DBACE1" w14:textId="77777777" w:rsidR="0081699D" w:rsidRDefault="0081699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$25.75</w:t>
            </w:r>
          </w:p>
        </w:tc>
        <w:tc>
          <w:tcPr>
            <w:tcW w:w="6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E841D89" w14:textId="77777777" w:rsidR="0081699D" w:rsidRDefault="0081699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2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D6DFCE4" w14:textId="77777777" w:rsidR="0081699D" w:rsidRDefault="0081699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60</w:t>
            </w:r>
          </w:p>
        </w:tc>
        <w:tc>
          <w:tcPr>
            <w:tcW w:w="9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F8B94DC" w14:textId="77777777" w:rsidR="0081699D" w:rsidRDefault="00005C12"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15.75</w:t>
            </w:r>
          </w:p>
        </w:tc>
        <w:tc>
          <w:tcPr>
            <w:tcW w:w="13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8DABA8D" w14:textId="77777777" w:rsidR="0081699D" w:rsidRPr="000A2255" w:rsidRDefault="00922B97"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33.63</w:t>
            </w:r>
          </w:p>
        </w:tc>
      </w:tr>
      <w:tr w:rsidR="00FE152A" w:rsidRPr="000A2255" w14:paraId="126E1FC9" w14:textId="77777777" w:rsidTr="00FD14F9">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694F20A" w14:textId="77777777" w:rsidR="00FE152A" w:rsidRDefault="00FE152A" w:rsidP="009E0A2C">
            <w:pPr>
              <w:spacing w:after="0" w:line="240" w:lineRule="auto"/>
              <w:rPr>
                <w:sz w:val="19"/>
                <w:szCs w:val="19"/>
              </w:rPr>
            </w:pPr>
            <w:r>
              <w:rPr>
                <w:sz w:val="19"/>
                <w:szCs w:val="19"/>
              </w:rPr>
              <w:t>Uncertainty, Communication, and Social Learning in a Coordination Game Experiment</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B1627C0" w14:textId="77777777" w:rsidR="00FE152A" w:rsidRDefault="00FE152A" w:rsidP="009E0A2C">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Uchida,Guildfoos</w:t>
            </w:r>
            <w:proofErr w:type="spellEnd"/>
            <w:r>
              <w:rPr>
                <w:rFonts w:ascii="Arial" w:eastAsia="Times New Roman" w:hAnsi="Arial" w:cs="Arial"/>
                <w:sz w:val="20"/>
                <w:szCs w:val="20"/>
              </w:rPr>
              <w:t xml:space="preserve">, Miao, </w:t>
            </w:r>
            <w:proofErr w:type="spellStart"/>
            <w:r>
              <w:rPr>
                <w:rFonts w:ascii="Arial" w:eastAsia="Times New Roman" w:hAnsi="Arial" w:cs="Arial"/>
                <w:sz w:val="20"/>
                <w:szCs w:val="20"/>
              </w:rPr>
              <w:t>Trandafir</w:t>
            </w:r>
            <w:proofErr w:type="spellEnd"/>
          </w:p>
        </w:tc>
        <w:tc>
          <w:tcPr>
            <w:tcW w:w="856" w:type="dxa"/>
            <w:tcBorders>
              <w:top w:val="single" w:sz="6" w:space="0" w:color="CCCCCC"/>
              <w:left w:val="single" w:sz="6" w:space="0" w:color="CCCCCC"/>
              <w:bottom w:val="single" w:sz="6" w:space="0" w:color="CCCCCC"/>
              <w:right w:val="single" w:sz="6" w:space="0" w:color="CCCCCC"/>
            </w:tcBorders>
            <w:vAlign w:val="center"/>
          </w:tcPr>
          <w:p w14:paraId="3BFFBA7B" w14:textId="77777777" w:rsidR="00FE152A" w:rsidRDefault="00C1038C"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Sep-Oct 2014</w:t>
            </w:r>
          </w:p>
        </w:tc>
        <w:tc>
          <w:tcPr>
            <w:tcW w:w="835" w:type="dxa"/>
            <w:tcBorders>
              <w:top w:val="single" w:sz="6" w:space="0" w:color="CCCCCC"/>
              <w:left w:val="single" w:sz="6" w:space="0" w:color="CCCCCC"/>
              <w:bottom w:val="single" w:sz="6" w:space="0" w:color="CCCCCC"/>
              <w:right w:val="single" w:sz="6" w:space="0" w:color="CCCCCC"/>
            </w:tcBorders>
            <w:vAlign w:val="center"/>
          </w:tcPr>
          <w:p w14:paraId="5CA1D055" w14:textId="77777777" w:rsidR="00FE152A" w:rsidRDefault="00C1038C"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$25.70</w:t>
            </w:r>
          </w:p>
        </w:tc>
        <w:tc>
          <w:tcPr>
            <w:tcW w:w="6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6C229F1" w14:textId="77777777" w:rsidR="00FE152A" w:rsidRDefault="00C1038C"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2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1CFCCF5" w14:textId="77777777" w:rsidR="00FE152A" w:rsidRDefault="00C1038C"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c>
          <w:tcPr>
            <w:tcW w:w="9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BF694A4" w14:textId="77777777" w:rsidR="00FE152A" w:rsidRDefault="006E7D51"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13.8</w:t>
            </w:r>
          </w:p>
        </w:tc>
        <w:tc>
          <w:tcPr>
            <w:tcW w:w="13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DB135E9" w14:textId="77777777" w:rsidR="00FE152A" w:rsidRPr="000A2255" w:rsidRDefault="00931C4B"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30.70</w:t>
            </w:r>
          </w:p>
        </w:tc>
      </w:tr>
      <w:tr w:rsidR="00FE152A" w:rsidRPr="000A2255" w14:paraId="5183C8B0" w14:textId="77777777" w:rsidTr="00FD14F9">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C62A7A" w14:textId="77777777" w:rsidR="0023022D" w:rsidRPr="000A2255" w:rsidRDefault="0062203B" w:rsidP="009E0A2C">
            <w:pPr>
              <w:spacing w:after="0" w:line="240" w:lineRule="auto"/>
              <w:rPr>
                <w:rFonts w:ascii="Arial" w:eastAsia="Times New Roman" w:hAnsi="Arial" w:cs="Arial"/>
                <w:sz w:val="20"/>
                <w:szCs w:val="20"/>
              </w:rPr>
            </w:pPr>
            <w:r>
              <w:rPr>
                <w:sz w:val="19"/>
                <w:szCs w:val="19"/>
              </w:rPr>
              <w:lastRenderedPageBreak/>
              <w:t>Myopic Loss Aversion and Learning</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585699" w14:textId="77777777" w:rsidR="0023022D" w:rsidRPr="000A2255" w:rsidRDefault="0023022D" w:rsidP="009E0A2C">
            <w:pPr>
              <w:spacing w:after="0" w:line="240" w:lineRule="auto"/>
              <w:rPr>
                <w:rFonts w:ascii="Arial" w:eastAsia="Times New Roman" w:hAnsi="Arial" w:cs="Arial"/>
                <w:sz w:val="20"/>
                <w:szCs w:val="20"/>
              </w:rPr>
            </w:pPr>
            <w:r>
              <w:rPr>
                <w:rFonts w:ascii="Arial" w:eastAsia="Times New Roman" w:hAnsi="Arial" w:cs="Arial"/>
                <w:sz w:val="20"/>
                <w:szCs w:val="20"/>
              </w:rPr>
              <w:t>Sproul</w:t>
            </w:r>
          </w:p>
        </w:tc>
        <w:tc>
          <w:tcPr>
            <w:tcW w:w="856" w:type="dxa"/>
            <w:tcBorders>
              <w:top w:val="single" w:sz="6" w:space="0" w:color="CCCCCC"/>
              <w:left w:val="single" w:sz="6" w:space="0" w:color="CCCCCC"/>
              <w:bottom w:val="single" w:sz="6" w:space="0" w:color="CCCCCC"/>
              <w:right w:val="single" w:sz="6" w:space="0" w:color="CCCCCC"/>
            </w:tcBorders>
            <w:vAlign w:val="center"/>
          </w:tcPr>
          <w:p w14:paraId="5DFF01F9" w14:textId="77777777" w:rsidR="0023022D" w:rsidRDefault="0062203B"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May 2014</w:t>
            </w:r>
          </w:p>
        </w:tc>
        <w:tc>
          <w:tcPr>
            <w:tcW w:w="835" w:type="dxa"/>
            <w:tcBorders>
              <w:top w:val="single" w:sz="6" w:space="0" w:color="CCCCCC"/>
              <w:left w:val="single" w:sz="6" w:space="0" w:color="CCCCCC"/>
              <w:bottom w:val="single" w:sz="6" w:space="0" w:color="CCCCCC"/>
              <w:right w:val="single" w:sz="6" w:space="0" w:color="CCCCCC"/>
            </w:tcBorders>
            <w:vAlign w:val="center"/>
          </w:tcPr>
          <w:p w14:paraId="1AFB97DC"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$19.09</w:t>
            </w:r>
          </w:p>
        </w:tc>
        <w:tc>
          <w:tcPr>
            <w:tcW w:w="6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0FD83B3"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2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8B24D62"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c>
          <w:tcPr>
            <w:tcW w:w="9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B4F7CE5" w14:textId="77777777" w:rsidR="0023022D" w:rsidRPr="000A2255" w:rsidRDefault="0023022D"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10.06</w:t>
            </w:r>
          </w:p>
        </w:tc>
        <w:tc>
          <w:tcPr>
            <w:tcW w:w="13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377444B" w14:textId="77777777" w:rsidR="0023022D" w:rsidRPr="000A2255" w:rsidRDefault="008C395C"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25.09</w:t>
            </w:r>
          </w:p>
        </w:tc>
      </w:tr>
      <w:tr w:rsidR="00FE152A" w:rsidRPr="000A2255" w14:paraId="3105FF35" w14:textId="77777777" w:rsidTr="00FD14F9">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B6E0CD" w14:textId="77777777" w:rsidR="0023022D" w:rsidRPr="000A2255" w:rsidRDefault="00D23067" w:rsidP="009E0A2C">
            <w:pPr>
              <w:spacing w:after="0" w:line="240" w:lineRule="auto"/>
              <w:rPr>
                <w:rFonts w:ascii="Arial" w:eastAsia="Times New Roman" w:hAnsi="Arial" w:cs="Arial"/>
                <w:sz w:val="20"/>
                <w:szCs w:val="20"/>
              </w:rPr>
            </w:pPr>
            <w:r>
              <w:rPr>
                <w:sz w:val="19"/>
                <w:szCs w:val="19"/>
              </w:rPr>
              <w:t>The impact of information on behavior under an ambient-based policy for regulating nonpoint source pollution</w:t>
            </w:r>
          </w:p>
        </w:tc>
        <w:tc>
          <w:tcPr>
            <w:tcW w:w="17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DB02A5" w14:textId="77777777" w:rsidR="0023022D" w:rsidRPr="000A2255" w:rsidRDefault="00D23067" w:rsidP="009E0A2C">
            <w:pPr>
              <w:spacing w:after="0" w:line="240" w:lineRule="auto"/>
              <w:rPr>
                <w:rFonts w:ascii="Arial" w:eastAsia="Times New Roman" w:hAnsi="Arial" w:cs="Arial"/>
                <w:sz w:val="20"/>
                <w:szCs w:val="20"/>
              </w:rPr>
            </w:pPr>
            <w:r>
              <w:rPr>
                <w:rFonts w:ascii="Arial" w:eastAsia="Times New Roman" w:hAnsi="Arial" w:cs="Arial"/>
                <w:sz w:val="20"/>
                <w:szCs w:val="20"/>
              </w:rPr>
              <w:t xml:space="preserve">Emi, Fooks, </w:t>
            </w:r>
            <w:proofErr w:type="spellStart"/>
            <w:r>
              <w:rPr>
                <w:rFonts w:ascii="Arial" w:eastAsia="Times New Roman" w:hAnsi="Arial" w:cs="Arial"/>
                <w:sz w:val="20"/>
                <w:szCs w:val="20"/>
              </w:rPr>
              <w:t>Guilfoos</w:t>
            </w:r>
            <w:proofErr w:type="spellEnd"/>
            <w:r>
              <w:rPr>
                <w:rFonts w:ascii="Arial" w:eastAsia="Times New Roman" w:hAnsi="Arial" w:cs="Arial"/>
                <w:sz w:val="20"/>
                <w:szCs w:val="20"/>
              </w:rPr>
              <w:t xml:space="preserve">, Messer, </w:t>
            </w:r>
            <w:proofErr w:type="spellStart"/>
            <w:r>
              <w:rPr>
                <w:rFonts w:ascii="Arial" w:eastAsia="Times New Roman" w:hAnsi="Arial" w:cs="Arial"/>
                <w:sz w:val="20"/>
                <w:szCs w:val="20"/>
              </w:rPr>
              <w:t>Pradhanang</w:t>
            </w:r>
            <w:proofErr w:type="spellEnd"/>
            <w:r>
              <w:rPr>
                <w:rFonts w:ascii="Arial" w:eastAsia="Times New Roman" w:hAnsi="Arial" w:cs="Arial"/>
                <w:sz w:val="20"/>
                <w:szCs w:val="20"/>
              </w:rPr>
              <w:t xml:space="preserve">, Suter, </w:t>
            </w:r>
            <w:proofErr w:type="spellStart"/>
            <w:r>
              <w:rPr>
                <w:rFonts w:ascii="Arial" w:eastAsia="Times New Roman" w:hAnsi="Arial" w:cs="Arial"/>
                <w:sz w:val="20"/>
                <w:szCs w:val="20"/>
              </w:rPr>
              <w:t>Trandafir</w:t>
            </w:r>
            <w:proofErr w:type="spellEnd"/>
            <w:r>
              <w:rPr>
                <w:rFonts w:ascii="Arial" w:eastAsia="Times New Roman" w:hAnsi="Arial" w:cs="Arial"/>
                <w:sz w:val="20"/>
                <w:szCs w:val="20"/>
              </w:rPr>
              <w:t>, Uchida</w:t>
            </w:r>
          </w:p>
        </w:tc>
        <w:tc>
          <w:tcPr>
            <w:tcW w:w="856" w:type="dxa"/>
            <w:tcBorders>
              <w:top w:val="single" w:sz="6" w:space="0" w:color="CCCCCC"/>
              <w:left w:val="single" w:sz="6" w:space="0" w:color="CCCCCC"/>
              <w:bottom w:val="single" w:sz="6" w:space="0" w:color="CCCCCC"/>
              <w:right w:val="single" w:sz="6" w:space="0" w:color="CCCCCC"/>
            </w:tcBorders>
            <w:vAlign w:val="center"/>
          </w:tcPr>
          <w:p w14:paraId="66015C8A" w14:textId="77777777" w:rsidR="0023022D" w:rsidRPr="000A2255" w:rsidRDefault="00A07E04" w:rsidP="00A07E04">
            <w:pPr>
              <w:spacing w:after="0" w:line="240" w:lineRule="auto"/>
              <w:jc w:val="center"/>
              <w:rPr>
                <w:rFonts w:ascii="Arial" w:eastAsia="Times New Roman" w:hAnsi="Arial" w:cs="Arial"/>
                <w:sz w:val="20"/>
                <w:szCs w:val="20"/>
              </w:rPr>
            </w:pPr>
            <w:r>
              <w:rPr>
                <w:rFonts w:ascii="Arial" w:eastAsia="Times New Roman" w:hAnsi="Arial" w:cs="Arial"/>
                <w:sz w:val="20"/>
                <w:szCs w:val="20"/>
              </w:rPr>
              <w:t>Apr</w:t>
            </w:r>
            <w:r w:rsidR="00D23067">
              <w:rPr>
                <w:rFonts w:ascii="Arial" w:eastAsia="Times New Roman" w:hAnsi="Arial" w:cs="Arial"/>
                <w:sz w:val="20"/>
                <w:szCs w:val="20"/>
              </w:rPr>
              <w:t>–May 2014</w:t>
            </w:r>
          </w:p>
        </w:tc>
        <w:tc>
          <w:tcPr>
            <w:tcW w:w="835" w:type="dxa"/>
            <w:tcBorders>
              <w:top w:val="single" w:sz="6" w:space="0" w:color="CCCCCC"/>
              <w:left w:val="single" w:sz="6" w:space="0" w:color="CCCCCC"/>
              <w:bottom w:val="single" w:sz="6" w:space="0" w:color="CCCCCC"/>
              <w:right w:val="single" w:sz="6" w:space="0" w:color="CCCCCC"/>
            </w:tcBorders>
            <w:vAlign w:val="center"/>
          </w:tcPr>
          <w:p w14:paraId="5D4809D9" w14:textId="77777777" w:rsidR="0023022D" w:rsidRPr="000A2255" w:rsidRDefault="00D23067"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$35.50</w:t>
            </w:r>
          </w:p>
        </w:tc>
        <w:tc>
          <w:tcPr>
            <w:tcW w:w="6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FAEC35E" w14:textId="77777777" w:rsidR="0023022D" w:rsidRPr="000A2255" w:rsidRDefault="00D23067"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2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E89B873" w14:textId="77777777" w:rsidR="0023022D" w:rsidRPr="000A2255" w:rsidRDefault="00D23067"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105</w:t>
            </w:r>
          </w:p>
        </w:tc>
        <w:tc>
          <w:tcPr>
            <w:tcW w:w="9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47602AB" w14:textId="2DAE0566" w:rsidR="0023022D" w:rsidRPr="000A2255" w:rsidRDefault="00FE1770" w:rsidP="008020B0">
            <w:pPr>
              <w:spacing w:after="0" w:line="240" w:lineRule="auto"/>
              <w:jc w:val="center"/>
              <w:rPr>
                <w:rFonts w:ascii="Arial" w:eastAsia="Times New Roman" w:hAnsi="Arial" w:cs="Arial"/>
                <w:sz w:val="20"/>
                <w:szCs w:val="20"/>
              </w:rPr>
            </w:pPr>
            <w:r>
              <w:rPr>
                <w:rFonts w:ascii="Arial" w:eastAsia="Times New Roman" w:hAnsi="Arial" w:cs="Arial"/>
                <w:sz w:val="20"/>
                <w:szCs w:val="20"/>
              </w:rPr>
              <w:t>14.5</w:t>
            </w:r>
          </w:p>
        </w:tc>
        <w:tc>
          <w:tcPr>
            <w:tcW w:w="13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E5153BB" w14:textId="77777777" w:rsidR="0023022D" w:rsidRPr="000A2255" w:rsidRDefault="00D12561" w:rsidP="00FE1770">
            <w:pPr>
              <w:spacing w:after="0" w:line="240" w:lineRule="auto"/>
              <w:jc w:val="center"/>
              <w:rPr>
                <w:rFonts w:ascii="Arial" w:eastAsia="Times New Roman" w:hAnsi="Arial" w:cs="Arial"/>
                <w:sz w:val="20"/>
                <w:szCs w:val="20"/>
              </w:rPr>
            </w:pPr>
            <w:r>
              <w:rPr>
                <w:rFonts w:ascii="Arial" w:eastAsia="Times New Roman" w:hAnsi="Arial" w:cs="Arial"/>
                <w:sz w:val="20"/>
                <w:szCs w:val="20"/>
              </w:rPr>
              <w:t>31.86</w:t>
            </w:r>
          </w:p>
        </w:tc>
      </w:tr>
    </w:tbl>
    <w:p w14:paraId="10AC68FE" w14:textId="77777777" w:rsidR="00C10D7C" w:rsidRDefault="00C10D7C" w:rsidP="00C10D7C">
      <w:pPr>
        <w:pStyle w:val="Num-DocParagraph"/>
        <w:rPr>
          <w:rFonts w:asciiTheme="minorHAnsi" w:hAnsiTheme="minorHAnsi"/>
          <w:b/>
          <w:color w:val="000000" w:themeColor="text1"/>
        </w:rPr>
      </w:pPr>
    </w:p>
    <w:p w14:paraId="41448814" w14:textId="77777777" w:rsidR="00B402F9" w:rsidRDefault="00B402F9" w:rsidP="00FC11A2">
      <w:pPr>
        <w:pStyle w:val="Num-DocParagraph"/>
        <w:numPr>
          <w:ilvl w:val="0"/>
          <w:numId w:val="1"/>
        </w:numPr>
        <w:rPr>
          <w:rFonts w:asciiTheme="minorHAnsi" w:hAnsiTheme="minorHAnsi"/>
          <w:b/>
          <w:color w:val="000000" w:themeColor="text1"/>
        </w:rPr>
      </w:pPr>
      <w:r w:rsidRPr="000C7744">
        <w:rPr>
          <w:rFonts w:asciiTheme="minorHAnsi" w:hAnsiTheme="minorHAnsi"/>
          <w:b/>
          <w:color w:val="000000" w:themeColor="text1"/>
        </w:rPr>
        <w:t>Assurance of confidentiality provided to respondent</w:t>
      </w:r>
    </w:p>
    <w:p w14:paraId="7D253CC1" w14:textId="77777777" w:rsidR="000C0980" w:rsidRDefault="000D0562" w:rsidP="000C0980">
      <w:pPr>
        <w:pStyle w:val="Num-DocParagraph"/>
        <w:rPr>
          <w:rFonts w:asciiTheme="minorHAnsi" w:hAnsiTheme="minorHAnsi"/>
          <w:color w:val="000000" w:themeColor="text1"/>
        </w:rPr>
      </w:pPr>
      <w:r>
        <w:rPr>
          <w:rFonts w:asciiTheme="minorHAnsi" w:hAnsiTheme="minorHAnsi"/>
          <w:color w:val="000000" w:themeColor="text1"/>
        </w:rPr>
        <w:t xml:space="preserve">Respondent data will be protected by the Privacy Act of 1974 (5 USC 552a). </w:t>
      </w:r>
    </w:p>
    <w:p w14:paraId="1898C1FC" w14:textId="750B6532" w:rsidR="003209F1" w:rsidRDefault="00A9635D" w:rsidP="000C0980">
      <w:pPr>
        <w:pStyle w:val="Num-DocParagraph"/>
        <w:rPr>
          <w:rFonts w:asciiTheme="minorHAnsi" w:hAnsiTheme="minorHAnsi"/>
          <w:color w:val="000000" w:themeColor="text1"/>
        </w:rPr>
      </w:pPr>
      <w:r>
        <w:rPr>
          <w:rFonts w:asciiTheme="minorHAnsi" w:hAnsiTheme="minorHAnsi"/>
          <w:color w:val="000000" w:themeColor="text1"/>
        </w:rPr>
        <w:t>Subjects will complete</w:t>
      </w:r>
      <w:r w:rsidR="003209F1">
        <w:rPr>
          <w:rFonts w:asciiTheme="minorHAnsi" w:hAnsiTheme="minorHAnsi"/>
          <w:color w:val="000000" w:themeColor="text1"/>
        </w:rPr>
        <w:t xml:space="preserve"> a consent form at the start of the experiment</w:t>
      </w:r>
      <w:r w:rsidR="003C154E">
        <w:rPr>
          <w:rFonts w:asciiTheme="minorHAnsi" w:hAnsiTheme="minorHAnsi"/>
          <w:color w:val="000000" w:themeColor="text1"/>
        </w:rPr>
        <w:t xml:space="preserve"> (Attachment F)</w:t>
      </w:r>
      <w:r w:rsidR="003209F1">
        <w:rPr>
          <w:rFonts w:asciiTheme="minorHAnsi" w:hAnsiTheme="minorHAnsi"/>
          <w:color w:val="000000" w:themeColor="text1"/>
        </w:rPr>
        <w:t>. They will be allowed to withdraw from the study at any time.  Subjects will receive an ID number to keep track of all decisions made within the experiment, including answers to demographic ques</w:t>
      </w:r>
      <w:r w:rsidR="00034512">
        <w:rPr>
          <w:rFonts w:asciiTheme="minorHAnsi" w:hAnsiTheme="minorHAnsi"/>
          <w:color w:val="000000" w:themeColor="text1"/>
        </w:rPr>
        <w:t>tions.  Students will</w:t>
      </w:r>
      <w:r w:rsidR="003209F1">
        <w:rPr>
          <w:rFonts w:asciiTheme="minorHAnsi" w:hAnsiTheme="minorHAnsi"/>
          <w:color w:val="000000" w:themeColor="text1"/>
        </w:rPr>
        <w:t xml:space="preserve"> also sign payment receipt</w:t>
      </w:r>
      <w:r w:rsidR="00FB4A38">
        <w:rPr>
          <w:rFonts w:asciiTheme="minorHAnsi" w:hAnsiTheme="minorHAnsi"/>
          <w:color w:val="000000" w:themeColor="text1"/>
        </w:rPr>
        <w:t>s for</w:t>
      </w:r>
      <w:r w:rsidR="003209F1">
        <w:rPr>
          <w:rFonts w:asciiTheme="minorHAnsi" w:hAnsiTheme="minorHAnsi"/>
          <w:color w:val="000000" w:themeColor="text1"/>
        </w:rPr>
        <w:t xml:space="preserve"> experimental earnings, but this information will be kept separate from all other experimental records.  </w:t>
      </w:r>
    </w:p>
    <w:p w14:paraId="37569C6A" w14:textId="77777777" w:rsidR="00047478" w:rsidRDefault="00C1705A" w:rsidP="00047478">
      <w:pPr>
        <w:pStyle w:val="Num-DocParagraph"/>
        <w:rPr>
          <w:rFonts w:asciiTheme="minorHAnsi" w:hAnsiTheme="minorHAnsi"/>
          <w:color w:val="000000" w:themeColor="text1"/>
        </w:rPr>
      </w:pPr>
      <w:r>
        <w:rPr>
          <w:rFonts w:asciiTheme="minorHAnsi" w:hAnsiTheme="minorHAnsi"/>
          <w:color w:val="000000" w:themeColor="text1"/>
        </w:rPr>
        <w:t xml:space="preserve">ERS researchers will not have any access to participant names, and participant names will not be stored on government computers. </w:t>
      </w:r>
    </w:p>
    <w:p w14:paraId="10BB6D5F" w14:textId="01AF51E8" w:rsidR="00047478" w:rsidRDefault="00047478" w:rsidP="00047478">
      <w:pPr>
        <w:pStyle w:val="Num-DocParagraph"/>
        <w:rPr>
          <w:rFonts w:asciiTheme="minorHAnsi" w:hAnsiTheme="minorHAnsi"/>
          <w:bCs/>
        </w:rPr>
      </w:pPr>
      <w:r w:rsidRPr="005A14F7">
        <w:rPr>
          <w:rFonts w:asciiTheme="minorHAnsi" w:hAnsiTheme="minorHAnsi"/>
          <w:bCs/>
        </w:rPr>
        <w:t xml:space="preserve">ERS has decided not to invoke the Confidential Information Protection and Statistical Efficiency Act of 2002 (CIPSEA).  </w:t>
      </w:r>
    </w:p>
    <w:p w14:paraId="0A0539C5" w14:textId="77777777" w:rsidR="006E44CF" w:rsidRPr="005A14F7" w:rsidRDefault="006E44CF" w:rsidP="00047478">
      <w:pPr>
        <w:pStyle w:val="Num-DocParagraph"/>
        <w:rPr>
          <w:rFonts w:asciiTheme="minorHAnsi" w:hAnsiTheme="minorHAnsi"/>
          <w:color w:val="000000" w:themeColor="text1"/>
        </w:rPr>
      </w:pPr>
    </w:p>
    <w:p w14:paraId="48D7E66D" w14:textId="77777777" w:rsidR="00B402F9" w:rsidRPr="00A660F8" w:rsidRDefault="00B402F9" w:rsidP="00FC11A2">
      <w:pPr>
        <w:pStyle w:val="Num-DocParagraph"/>
        <w:numPr>
          <w:ilvl w:val="0"/>
          <w:numId w:val="1"/>
        </w:numPr>
        <w:rPr>
          <w:rFonts w:asciiTheme="minorHAnsi" w:hAnsiTheme="minorHAnsi"/>
          <w:b/>
          <w:color w:val="000000" w:themeColor="text1"/>
        </w:rPr>
      </w:pPr>
      <w:r w:rsidRPr="00A660F8">
        <w:rPr>
          <w:rFonts w:asciiTheme="minorHAnsi" w:hAnsiTheme="minorHAnsi"/>
          <w:b/>
          <w:color w:val="000000" w:themeColor="text1"/>
        </w:rPr>
        <w:t>Justification for sensitive questions</w:t>
      </w:r>
    </w:p>
    <w:p w14:paraId="1DAFCAED" w14:textId="3E9A5A20" w:rsidR="00B402F9" w:rsidRDefault="00B402F9" w:rsidP="00B402F9">
      <w:pPr>
        <w:pStyle w:val="Num-DocParagraph"/>
        <w:rPr>
          <w:rFonts w:asciiTheme="minorHAnsi" w:hAnsiTheme="minorHAnsi"/>
          <w:color w:val="000000" w:themeColor="text1"/>
        </w:rPr>
      </w:pPr>
      <w:r>
        <w:rPr>
          <w:rFonts w:asciiTheme="minorHAnsi" w:hAnsiTheme="minorHAnsi"/>
          <w:color w:val="000000" w:themeColor="text1"/>
        </w:rPr>
        <w:t xml:space="preserve">No sensitive questions will be asked. </w:t>
      </w:r>
    </w:p>
    <w:p w14:paraId="7C08B78B" w14:textId="77777777" w:rsidR="00B402F9" w:rsidRDefault="00B402F9" w:rsidP="00B402F9">
      <w:pPr>
        <w:pStyle w:val="Num-DocParagraph"/>
        <w:rPr>
          <w:rFonts w:asciiTheme="minorHAnsi" w:hAnsiTheme="minorHAnsi"/>
          <w:color w:val="000000" w:themeColor="text1"/>
        </w:rPr>
      </w:pPr>
    </w:p>
    <w:p w14:paraId="0585E5E1" w14:textId="77777777" w:rsidR="006E44CF" w:rsidRDefault="006E44CF" w:rsidP="00B402F9">
      <w:pPr>
        <w:pStyle w:val="Num-DocParagraph"/>
        <w:rPr>
          <w:rFonts w:asciiTheme="minorHAnsi" w:hAnsiTheme="minorHAnsi"/>
          <w:color w:val="000000" w:themeColor="text1"/>
        </w:rPr>
      </w:pPr>
    </w:p>
    <w:p w14:paraId="75763A57" w14:textId="77777777" w:rsidR="00B402F9" w:rsidRPr="00FD28A2" w:rsidRDefault="00B402F9" w:rsidP="00FC11A2">
      <w:pPr>
        <w:pStyle w:val="Num-DocParagraph"/>
        <w:numPr>
          <w:ilvl w:val="0"/>
          <w:numId w:val="1"/>
        </w:numPr>
        <w:rPr>
          <w:rFonts w:asciiTheme="minorHAnsi" w:hAnsiTheme="minorHAnsi"/>
          <w:b/>
          <w:color w:val="000000" w:themeColor="text1"/>
        </w:rPr>
      </w:pPr>
      <w:r w:rsidRPr="00FD28A2">
        <w:rPr>
          <w:rFonts w:asciiTheme="minorHAnsi" w:hAnsiTheme="minorHAnsi"/>
          <w:b/>
          <w:color w:val="000000" w:themeColor="text1"/>
        </w:rPr>
        <w:t>Estimates of hour-burden including hourly costs</w:t>
      </w:r>
    </w:p>
    <w:p w14:paraId="53A91CB5" w14:textId="688EFCAA" w:rsidR="00E7484F" w:rsidRPr="00D010BA" w:rsidRDefault="00D12169" w:rsidP="000F306A">
      <w:r w:rsidRPr="00D010BA">
        <w:t xml:space="preserve">Each subject will participate in at most one session.  </w:t>
      </w:r>
      <w:r w:rsidR="00E7484F" w:rsidRPr="00D010BA">
        <w:t xml:space="preserve">We anticipate that laboratory sessions will require </w:t>
      </w:r>
      <w:r w:rsidR="00B96D51">
        <w:t>less than</w:t>
      </w:r>
      <w:r w:rsidR="00B96D51" w:rsidRPr="00D010BA">
        <w:t xml:space="preserve"> </w:t>
      </w:r>
      <w:r w:rsidR="00E7484F" w:rsidRPr="00D010BA">
        <w:t xml:space="preserve">90 minutes to complete.  </w:t>
      </w:r>
      <w:r w:rsidRPr="00D010BA">
        <w:t xml:space="preserve">Pre-testing with 9 subjects yielded payoffs of $10.00 - $29.80, with session lengths ranging from 47 – 74 minutes.  Median payout was $23.33, and median run-time was 62 minutes.  </w:t>
      </w:r>
    </w:p>
    <w:p w14:paraId="19BF2466" w14:textId="44B5C813" w:rsidR="0011106F" w:rsidRPr="00D010BA" w:rsidRDefault="0011106F" w:rsidP="000F306A">
      <w:pPr>
        <w:rPr>
          <w:bCs/>
        </w:rPr>
      </w:pPr>
      <w:r w:rsidRPr="00D010BA">
        <w:rPr>
          <w:bCs/>
        </w:rPr>
        <w:lastRenderedPageBreak/>
        <w:t xml:space="preserve">All experiments will be conducted at the University of Rhode Island.  Subjects will be recruited to participate in economic experiments via email and in-class solicitations.  Email invitations </w:t>
      </w:r>
      <w:r w:rsidR="00434BC4">
        <w:rPr>
          <w:bCs/>
        </w:rPr>
        <w:t xml:space="preserve">(Attachment </w:t>
      </w:r>
      <w:r w:rsidR="00487271">
        <w:rPr>
          <w:bCs/>
        </w:rPr>
        <w:t>J</w:t>
      </w:r>
      <w:r w:rsidR="00434BC4">
        <w:rPr>
          <w:bCs/>
        </w:rPr>
        <w:t xml:space="preserve">) </w:t>
      </w:r>
      <w:r w:rsidRPr="00D010BA">
        <w:rPr>
          <w:bCs/>
        </w:rPr>
        <w:t>reach a population of 1300 students. In-class invitations reach approximately 350 additional students per semester.  Response rates are approximately 40% for in-class invitations and 13.8% for email invitations.  Given current response rates, we anticipate recruiting 180 students via email and 140 students from in-class invitations per semester. The maximum number of subjects to be recruited for all experiments is 500 students.</w:t>
      </w:r>
      <w:r w:rsidRPr="00D010BA">
        <w:rPr>
          <w:rStyle w:val="FootnoteReference"/>
          <w:bCs/>
        </w:rPr>
        <w:footnoteReference w:id="4"/>
      </w:r>
      <w:r w:rsidRPr="00D010BA">
        <w:rPr>
          <w:bCs/>
        </w:rPr>
        <w:t xml:space="preserve"> </w:t>
      </w:r>
    </w:p>
    <w:p w14:paraId="54E40BF5" w14:textId="1D9524AA" w:rsidR="000F306A" w:rsidRDefault="000F306A" w:rsidP="000F306A">
      <w:pPr>
        <w:rPr>
          <w:bCs/>
        </w:rPr>
      </w:pPr>
      <w:r w:rsidRPr="00D010BA">
        <w:t xml:space="preserve">The total anticipated maximum burden hours for this study is 861 hours.  </w:t>
      </w:r>
      <w:r w:rsidR="00925B0E">
        <w:rPr>
          <w:bCs/>
        </w:rPr>
        <w:t>Table 3</w:t>
      </w:r>
      <w:r w:rsidRPr="00D010BA">
        <w:rPr>
          <w:bCs/>
        </w:rPr>
        <w:t xml:space="preserve"> summarizes how this value was estimated.</w:t>
      </w:r>
      <w:r>
        <w:rPr>
          <w:bCs/>
        </w:rPr>
        <w:t xml:space="preserve"> </w:t>
      </w:r>
    </w:p>
    <w:p w14:paraId="46E128DE" w14:textId="7712570D" w:rsidR="00EE2D1E" w:rsidRDefault="00EE2D1E" w:rsidP="00EE2D1E">
      <w:pPr>
        <w:pStyle w:val="Caption"/>
        <w:keepNext/>
      </w:pPr>
      <w:r>
        <w:t xml:space="preserve">Table </w:t>
      </w:r>
      <w:fldSimple w:instr=" SEQ Table \* ARABIC ">
        <w:r w:rsidR="006E7E7D">
          <w:rPr>
            <w:noProof/>
          </w:rPr>
          <w:t>3</w:t>
        </w:r>
      </w:fldSimple>
      <w:r>
        <w:t>: Calculation of Burden Hours for Proposed Study</w:t>
      </w:r>
    </w:p>
    <w:tbl>
      <w:tblPr>
        <w:tblStyle w:val="TableGrid"/>
        <w:tblW w:w="0" w:type="auto"/>
        <w:tblLayout w:type="fixed"/>
        <w:tblLook w:val="04A0" w:firstRow="1" w:lastRow="0" w:firstColumn="1" w:lastColumn="0" w:noHBand="0" w:noVBand="1"/>
      </w:tblPr>
      <w:tblGrid>
        <w:gridCol w:w="1525"/>
        <w:gridCol w:w="664"/>
        <w:gridCol w:w="536"/>
        <w:gridCol w:w="643"/>
        <w:gridCol w:w="643"/>
        <w:gridCol w:w="664"/>
        <w:gridCol w:w="810"/>
        <w:gridCol w:w="810"/>
        <w:gridCol w:w="752"/>
        <w:gridCol w:w="649"/>
        <w:gridCol w:w="759"/>
        <w:gridCol w:w="895"/>
      </w:tblGrid>
      <w:tr w:rsidR="00DE50F7" w14:paraId="3E02D2ED" w14:textId="77777777" w:rsidTr="008B4135">
        <w:tc>
          <w:tcPr>
            <w:tcW w:w="1525" w:type="dxa"/>
            <w:vMerge w:val="restart"/>
          </w:tcPr>
          <w:p w14:paraId="3D8E8B61" w14:textId="776E61C1" w:rsidR="00DE50F7" w:rsidRPr="0033503E" w:rsidRDefault="00DE50F7" w:rsidP="000F306A">
            <w:pPr>
              <w:rPr>
                <w:bCs/>
                <w:sz w:val="18"/>
                <w:szCs w:val="18"/>
              </w:rPr>
            </w:pPr>
            <w:r w:rsidRPr="0033503E">
              <w:rPr>
                <w:bCs/>
                <w:sz w:val="18"/>
                <w:szCs w:val="18"/>
              </w:rPr>
              <w:t>Experiment</w:t>
            </w:r>
          </w:p>
        </w:tc>
        <w:tc>
          <w:tcPr>
            <w:tcW w:w="664" w:type="dxa"/>
            <w:vMerge w:val="restart"/>
          </w:tcPr>
          <w:p w14:paraId="2085CF59" w14:textId="35F2AD74" w:rsidR="00DE50F7" w:rsidRPr="0033503E" w:rsidRDefault="00DE50F7" w:rsidP="000F306A">
            <w:pPr>
              <w:rPr>
                <w:bCs/>
                <w:sz w:val="18"/>
                <w:szCs w:val="18"/>
              </w:rPr>
            </w:pPr>
            <w:r w:rsidRPr="0033503E">
              <w:rPr>
                <w:bCs/>
                <w:sz w:val="18"/>
                <w:szCs w:val="18"/>
              </w:rPr>
              <w:t>Sample Size</w:t>
            </w:r>
          </w:p>
        </w:tc>
        <w:tc>
          <w:tcPr>
            <w:tcW w:w="536" w:type="dxa"/>
            <w:vMerge w:val="restart"/>
          </w:tcPr>
          <w:p w14:paraId="48704B45" w14:textId="39F50B8A" w:rsidR="00DE50F7" w:rsidRPr="0033503E" w:rsidRDefault="00DE50F7" w:rsidP="000F306A">
            <w:pPr>
              <w:rPr>
                <w:bCs/>
                <w:sz w:val="18"/>
                <w:szCs w:val="18"/>
              </w:rPr>
            </w:pPr>
            <w:proofErr w:type="spellStart"/>
            <w:r w:rsidRPr="0033503E">
              <w:rPr>
                <w:bCs/>
                <w:sz w:val="18"/>
                <w:szCs w:val="18"/>
              </w:rPr>
              <w:t>Freq</w:t>
            </w:r>
            <w:proofErr w:type="spellEnd"/>
          </w:p>
        </w:tc>
        <w:tc>
          <w:tcPr>
            <w:tcW w:w="2760" w:type="dxa"/>
            <w:gridSpan w:val="4"/>
          </w:tcPr>
          <w:p w14:paraId="550F9AE9" w14:textId="2BA63870" w:rsidR="00DE50F7" w:rsidRPr="0033503E" w:rsidRDefault="00DE50F7" w:rsidP="00A93BC0">
            <w:pPr>
              <w:jc w:val="center"/>
              <w:rPr>
                <w:bCs/>
                <w:sz w:val="18"/>
                <w:szCs w:val="18"/>
              </w:rPr>
            </w:pPr>
            <w:r w:rsidRPr="0033503E">
              <w:rPr>
                <w:bCs/>
                <w:sz w:val="18"/>
                <w:szCs w:val="18"/>
              </w:rPr>
              <w:t>Responses</w:t>
            </w:r>
          </w:p>
        </w:tc>
        <w:tc>
          <w:tcPr>
            <w:tcW w:w="2970" w:type="dxa"/>
            <w:gridSpan w:val="4"/>
          </w:tcPr>
          <w:p w14:paraId="42EFE997" w14:textId="26C20F7D" w:rsidR="00DE50F7" w:rsidRPr="0033503E" w:rsidRDefault="00DE50F7" w:rsidP="00A93BC0">
            <w:pPr>
              <w:jc w:val="center"/>
              <w:rPr>
                <w:bCs/>
                <w:sz w:val="18"/>
                <w:szCs w:val="18"/>
              </w:rPr>
            </w:pPr>
            <w:r w:rsidRPr="0033503E">
              <w:rPr>
                <w:bCs/>
                <w:sz w:val="18"/>
                <w:szCs w:val="18"/>
              </w:rPr>
              <w:t>Non-Response</w:t>
            </w:r>
          </w:p>
        </w:tc>
        <w:tc>
          <w:tcPr>
            <w:tcW w:w="895" w:type="dxa"/>
            <w:vMerge w:val="restart"/>
          </w:tcPr>
          <w:p w14:paraId="08E11582" w14:textId="5BD837E2" w:rsidR="00DE50F7" w:rsidRPr="003B5733" w:rsidRDefault="00DE50F7" w:rsidP="000F306A">
            <w:pPr>
              <w:rPr>
                <w:b/>
                <w:bCs/>
                <w:sz w:val="18"/>
                <w:szCs w:val="18"/>
              </w:rPr>
            </w:pPr>
            <w:r w:rsidRPr="003B5733">
              <w:rPr>
                <w:b/>
                <w:bCs/>
                <w:sz w:val="18"/>
                <w:szCs w:val="18"/>
              </w:rPr>
              <w:t>Total Burden Hours</w:t>
            </w:r>
          </w:p>
        </w:tc>
      </w:tr>
      <w:tr w:rsidR="00AE21F9" w14:paraId="7048F393" w14:textId="77777777" w:rsidTr="008B4135">
        <w:tc>
          <w:tcPr>
            <w:tcW w:w="1525" w:type="dxa"/>
            <w:vMerge/>
          </w:tcPr>
          <w:p w14:paraId="0D629881" w14:textId="77777777" w:rsidR="00DE50F7" w:rsidRPr="0033503E" w:rsidRDefault="00DE50F7" w:rsidP="000F306A">
            <w:pPr>
              <w:rPr>
                <w:bCs/>
                <w:sz w:val="18"/>
                <w:szCs w:val="18"/>
              </w:rPr>
            </w:pPr>
          </w:p>
        </w:tc>
        <w:tc>
          <w:tcPr>
            <w:tcW w:w="664" w:type="dxa"/>
            <w:vMerge/>
          </w:tcPr>
          <w:p w14:paraId="1A814E81" w14:textId="77777777" w:rsidR="00DE50F7" w:rsidRPr="0033503E" w:rsidRDefault="00DE50F7" w:rsidP="000F306A">
            <w:pPr>
              <w:rPr>
                <w:bCs/>
                <w:sz w:val="18"/>
                <w:szCs w:val="18"/>
              </w:rPr>
            </w:pPr>
          </w:p>
        </w:tc>
        <w:tc>
          <w:tcPr>
            <w:tcW w:w="536" w:type="dxa"/>
            <w:vMerge/>
          </w:tcPr>
          <w:p w14:paraId="6DAD62D5" w14:textId="77777777" w:rsidR="00DE50F7" w:rsidRPr="0033503E" w:rsidRDefault="00DE50F7" w:rsidP="000F306A">
            <w:pPr>
              <w:rPr>
                <w:bCs/>
                <w:sz w:val="18"/>
                <w:szCs w:val="18"/>
              </w:rPr>
            </w:pPr>
          </w:p>
        </w:tc>
        <w:tc>
          <w:tcPr>
            <w:tcW w:w="643" w:type="dxa"/>
          </w:tcPr>
          <w:p w14:paraId="2FB57985" w14:textId="0F5C36BA" w:rsidR="00DE50F7" w:rsidRPr="0033503E" w:rsidRDefault="00DE50F7" w:rsidP="000F306A">
            <w:pPr>
              <w:rPr>
                <w:bCs/>
                <w:sz w:val="18"/>
                <w:szCs w:val="18"/>
              </w:rPr>
            </w:pPr>
            <w:r w:rsidRPr="0033503E">
              <w:rPr>
                <w:bCs/>
                <w:sz w:val="18"/>
                <w:szCs w:val="18"/>
              </w:rPr>
              <w:t>Resp. Count</w:t>
            </w:r>
          </w:p>
        </w:tc>
        <w:tc>
          <w:tcPr>
            <w:tcW w:w="643" w:type="dxa"/>
          </w:tcPr>
          <w:p w14:paraId="6003ABC5" w14:textId="5FAC42F4" w:rsidR="00DE50F7" w:rsidRPr="0033503E" w:rsidRDefault="00DE50F7" w:rsidP="000F306A">
            <w:pPr>
              <w:rPr>
                <w:bCs/>
                <w:sz w:val="18"/>
                <w:szCs w:val="18"/>
              </w:rPr>
            </w:pPr>
            <w:proofErr w:type="spellStart"/>
            <w:r w:rsidRPr="0033503E">
              <w:rPr>
                <w:bCs/>
                <w:sz w:val="18"/>
                <w:szCs w:val="18"/>
              </w:rPr>
              <w:t>Freq</w:t>
            </w:r>
            <w:proofErr w:type="spellEnd"/>
            <w:r w:rsidRPr="0033503E">
              <w:rPr>
                <w:bCs/>
                <w:sz w:val="18"/>
                <w:szCs w:val="18"/>
              </w:rPr>
              <w:t xml:space="preserve"> x Count</w:t>
            </w:r>
          </w:p>
        </w:tc>
        <w:tc>
          <w:tcPr>
            <w:tcW w:w="664" w:type="dxa"/>
          </w:tcPr>
          <w:p w14:paraId="7DD8E51B" w14:textId="77777777" w:rsidR="00DE50F7" w:rsidRPr="0033503E" w:rsidRDefault="00DE50F7" w:rsidP="000F306A">
            <w:pPr>
              <w:rPr>
                <w:bCs/>
                <w:sz w:val="18"/>
                <w:szCs w:val="18"/>
              </w:rPr>
            </w:pPr>
            <w:r w:rsidRPr="0033503E">
              <w:rPr>
                <w:bCs/>
                <w:sz w:val="18"/>
                <w:szCs w:val="18"/>
              </w:rPr>
              <w:t>Min./</w:t>
            </w:r>
          </w:p>
          <w:p w14:paraId="07E19736" w14:textId="04DA2D94" w:rsidR="00DE50F7" w:rsidRPr="0033503E" w:rsidRDefault="00DE50F7" w:rsidP="000F306A">
            <w:pPr>
              <w:rPr>
                <w:bCs/>
                <w:sz w:val="18"/>
                <w:szCs w:val="18"/>
              </w:rPr>
            </w:pPr>
            <w:r w:rsidRPr="0033503E">
              <w:rPr>
                <w:bCs/>
                <w:sz w:val="18"/>
                <w:szCs w:val="18"/>
              </w:rPr>
              <w:t>Resp.</w:t>
            </w:r>
          </w:p>
        </w:tc>
        <w:tc>
          <w:tcPr>
            <w:tcW w:w="810" w:type="dxa"/>
          </w:tcPr>
          <w:p w14:paraId="7472A2A5" w14:textId="5BEDC72A" w:rsidR="00DE50F7" w:rsidRPr="0033503E" w:rsidRDefault="00DE50F7" w:rsidP="000F306A">
            <w:pPr>
              <w:rPr>
                <w:bCs/>
                <w:sz w:val="18"/>
                <w:szCs w:val="18"/>
              </w:rPr>
            </w:pPr>
            <w:r w:rsidRPr="0033503E">
              <w:rPr>
                <w:bCs/>
                <w:sz w:val="18"/>
                <w:szCs w:val="18"/>
              </w:rPr>
              <w:t>Burden Hours</w:t>
            </w:r>
          </w:p>
        </w:tc>
        <w:tc>
          <w:tcPr>
            <w:tcW w:w="810" w:type="dxa"/>
          </w:tcPr>
          <w:p w14:paraId="6CD67E56" w14:textId="4BFE714C" w:rsidR="00DE50F7" w:rsidRPr="0033503E" w:rsidRDefault="00DE50F7" w:rsidP="000F306A">
            <w:pPr>
              <w:rPr>
                <w:bCs/>
                <w:sz w:val="18"/>
                <w:szCs w:val="18"/>
              </w:rPr>
            </w:pPr>
            <w:proofErr w:type="spellStart"/>
            <w:r w:rsidRPr="0033503E">
              <w:rPr>
                <w:bCs/>
                <w:sz w:val="18"/>
                <w:szCs w:val="18"/>
              </w:rPr>
              <w:t>Nonresp</w:t>
            </w:r>
            <w:proofErr w:type="spellEnd"/>
            <w:r w:rsidRPr="0033503E">
              <w:rPr>
                <w:bCs/>
                <w:sz w:val="18"/>
                <w:szCs w:val="18"/>
              </w:rPr>
              <w:t xml:space="preserve"> Count</w:t>
            </w:r>
          </w:p>
        </w:tc>
        <w:tc>
          <w:tcPr>
            <w:tcW w:w="752" w:type="dxa"/>
          </w:tcPr>
          <w:p w14:paraId="7BB9A6BE" w14:textId="7B4D3EAE" w:rsidR="00DE50F7" w:rsidRPr="0033503E" w:rsidRDefault="00DE50F7" w:rsidP="000F306A">
            <w:pPr>
              <w:rPr>
                <w:bCs/>
                <w:sz w:val="18"/>
                <w:szCs w:val="18"/>
              </w:rPr>
            </w:pPr>
            <w:r w:rsidRPr="0033503E">
              <w:rPr>
                <w:bCs/>
                <w:sz w:val="18"/>
                <w:szCs w:val="18"/>
              </w:rPr>
              <w:t>Freq. x Count</w:t>
            </w:r>
          </w:p>
        </w:tc>
        <w:tc>
          <w:tcPr>
            <w:tcW w:w="649" w:type="dxa"/>
          </w:tcPr>
          <w:p w14:paraId="6E32B946" w14:textId="77777777" w:rsidR="003B5733" w:rsidRDefault="00DE50F7" w:rsidP="000F306A">
            <w:pPr>
              <w:rPr>
                <w:bCs/>
                <w:sz w:val="18"/>
                <w:szCs w:val="18"/>
              </w:rPr>
            </w:pPr>
            <w:r w:rsidRPr="0033503E">
              <w:rPr>
                <w:bCs/>
                <w:sz w:val="18"/>
                <w:szCs w:val="18"/>
              </w:rPr>
              <w:t>Min./</w:t>
            </w:r>
          </w:p>
          <w:p w14:paraId="1C3ED0D2" w14:textId="2AFAB09C" w:rsidR="00DE50F7" w:rsidRPr="0033503E" w:rsidRDefault="00DE50F7" w:rsidP="000F306A">
            <w:pPr>
              <w:rPr>
                <w:bCs/>
                <w:sz w:val="18"/>
                <w:szCs w:val="18"/>
              </w:rPr>
            </w:pPr>
            <w:proofErr w:type="spellStart"/>
            <w:r w:rsidRPr="0033503E">
              <w:rPr>
                <w:bCs/>
                <w:sz w:val="18"/>
                <w:szCs w:val="18"/>
              </w:rPr>
              <w:t>Nonr</w:t>
            </w:r>
            <w:proofErr w:type="spellEnd"/>
            <w:r w:rsidRPr="0033503E">
              <w:rPr>
                <w:bCs/>
                <w:sz w:val="18"/>
                <w:szCs w:val="18"/>
              </w:rPr>
              <w:t>.</w:t>
            </w:r>
          </w:p>
        </w:tc>
        <w:tc>
          <w:tcPr>
            <w:tcW w:w="759" w:type="dxa"/>
          </w:tcPr>
          <w:p w14:paraId="30DDBD44" w14:textId="5F18F768" w:rsidR="00DE50F7" w:rsidRPr="0033503E" w:rsidRDefault="00DE50F7" w:rsidP="000F306A">
            <w:pPr>
              <w:rPr>
                <w:bCs/>
                <w:sz w:val="18"/>
                <w:szCs w:val="18"/>
              </w:rPr>
            </w:pPr>
            <w:r w:rsidRPr="0033503E">
              <w:rPr>
                <w:bCs/>
                <w:sz w:val="18"/>
                <w:szCs w:val="18"/>
              </w:rPr>
              <w:t>Burden Hours</w:t>
            </w:r>
          </w:p>
        </w:tc>
        <w:tc>
          <w:tcPr>
            <w:tcW w:w="895" w:type="dxa"/>
            <w:vMerge/>
          </w:tcPr>
          <w:p w14:paraId="45B29D4A" w14:textId="77777777" w:rsidR="00DE50F7" w:rsidRPr="0033503E" w:rsidRDefault="00DE50F7" w:rsidP="000F306A">
            <w:pPr>
              <w:rPr>
                <w:bCs/>
                <w:sz w:val="18"/>
                <w:szCs w:val="18"/>
              </w:rPr>
            </w:pPr>
          </w:p>
        </w:tc>
      </w:tr>
      <w:tr w:rsidR="00DE50F7" w14:paraId="547C9EAC" w14:textId="77777777" w:rsidTr="008B4135">
        <w:tc>
          <w:tcPr>
            <w:tcW w:w="9350" w:type="dxa"/>
            <w:gridSpan w:val="12"/>
            <w:shd w:val="clear" w:color="auto" w:fill="DEEAF6" w:themeFill="accent1" w:themeFillTint="33"/>
          </w:tcPr>
          <w:p w14:paraId="32A3E45D" w14:textId="3F19607C" w:rsidR="00DE50F7" w:rsidRPr="003B5733" w:rsidRDefault="00DE50F7" w:rsidP="000F306A">
            <w:pPr>
              <w:rPr>
                <w:bCs/>
              </w:rPr>
            </w:pPr>
            <w:r w:rsidRPr="003B5733">
              <w:rPr>
                <w:bCs/>
              </w:rPr>
              <w:t>Recruitment</w:t>
            </w:r>
          </w:p>
        </w:tc>
      </w:tr>
      <w:tr w:rsidR="00AE21F9" w14:paraId="6A7EF317" w14:textId="77777777" w:rsidTr="008B4135">
        <w:tc>
          <w:tcPr>
            <w:tcW w:w="1525" w:type="dxa"/>
          </w:tcPr>
          <w:p w14:paraId="4BE012FC" w14:textId="4B9755DB" w:rsidR="00D10D62" w:rsidRDefault="00DE50F7" w:rsidP="000F306A">
            <w:pPr>
              <w:rPr>
                <w:bCs/>
              </w:rPr>
            </w:pPr>
            <w:r>
              <w:rPr>
                <w:bCs/>
              </w:rPr>
              <w:t>In-class (2 semesters)</w:t>
            </w:r>
          </w:p>
        </w:tc>
        <w:tc>
          <w:tcPr>
            <w:tcW w:w="664" w:type="dxa"/>
          </w:tcPr>
          <w:p w14:paraId="6E4539F7" w14:textId="07C5801D" w:rsidR="00D10D62" w:rsidRDefault="00DE50F7" w:rsidP="008A6645">
            <w:pPr>
              <w:jc w:val="center"/>
              <w:rPr>
                <w:bCs/>
              </w:rPr>
            </w:pPr>
            <w:r>
              <w:rPr>
                <w:bCs/>
              </w:rPr>
              <w:t>700</w:t>
            </w:r>
          </w:p>
        </w:tc>
        <w:tc>
          <w:tcPr>
            <w:tcW w:w="536" w:type="dxa"/>
          </w:tcPr>
          <w:p w14:paraId="70CDB290" w14:textId="3ED08BF0" w:rsidR="00D10D62" w:rsidRDefault="00DE50F7" w:rsidP="008A6645">
            <w:pPr>
              <w:jc w:val="center"/>
              <w:rPr>
                <w:bCs/>
              </w:rPr>
            </w:pPr>
            <w:r>
              <w:rPr>
                <w:bCs/>
              </w:rPr>
              <w:t>1</w:t>
            </w:r>
          </w:p>
        </w:tc>
        <w:tc>
          <w:tcPr>
            <w:tcW w:w="643" w:type="dxa"/>
          </w:tcPr>
          <w:p w14:paraId="1E4825A4" w14:textId="021E5D93" w:rsidR="00D10D62" w:rsidRDefault="003D0DB0" w:rsidP="008A6645">
            <w:pPr>
              <w:jc w:val="center"/>
              <w:rPr>
                <w:bCs/>
              </w:rPr>
            </w:pPr>
            <w:r>
              <w:rPr>
                <w:bCs/>
              </w:rPr>
              <w:t>320</w:t>
            </w:r>
          </w:p>
        </w:tc>
        <w:tc>
          <w:tcPr>
            <w:tcW w:w="643" w:type="dxa"/>
          </w:tcPr>
          <w:p w14:paraId="50D8CAA3" w14:textId="03732380" w:rsidR="00D10D62" w:rsidRDefault="009D7060" w:rsidP="008A6645">
            <w:pPr>
              <w:jc w:val="center"/>
              <w:rPr>
                <w:bCs/>
              </w:rPr>
            </w:pPr>
            <w:r>
              <w:rPr>
                <w:bCs/>
              </w:rPr>
              <w:t>320</w:t>
            </w:r>
          </w:p>
        </w:tc>
        <w:tc>
          <w:tcPr>
            <w:tcW w:w="664" w:type="dxa"/>
          </w:tcPr>
          <w:p w14:paraId="27E2A2B0" w14:textId="619540E4" w:rsidR="00D10D62" w:rsidRDefault="00DE50F7" w:rsidP="008A6645">
            <w:pPr>
              <w:jc w:val="center"/>
              <w:rPr>
                <w:bCs/>
              </w:rPr>
            </w:pPr>
            <w:r>
              <w:rPr>
                <w:bCs/>
              </w:rPr>
              <w:t>5</w:t>
            </w:r>
          </w:p>
        </w:tc>
        <w:tc>
          <w:tcPr>
            <w:tcW w:w="810" w:type="dxa"/>
          </w:tcPr>
          <w:p w14:paraId="3C87FAC0" w14:textId="33769A45" w:rsidR="00D10D62" w:rsidRDefault="00332DF1" w:rsidP="008A6645">
            <w:pPr>
              <w:jc w:val="center"/>
              <w:rPr>
                <w:bCs/>
              </w:rPr>
            </w:pPr>
            <w:r>
              <w:rPr>
                <w:bCs/>
              </w:rPr>
              <w:t>26.7</w:t>
            </w:r>
          </w:p>
        </w:tc>
        <w:tc>
          <w:tcPr>
            <w:tcW w:w="810" w:type="dxa"/>
          </w:tcPr>
          <w:p w14:paraId="47AB7629" w14:textId="69B62CF9" w:rsidR="00D10D62" w:rsidRDefault="009D7060" w:rsidP="008A6645">
            <w:pPr>
              <w:jc w:val="center"/>
              <w:rPr>
                <w:bCs/>
              </w:rPr>
            </w:pPr>
            <w:r>
              <w:rPr>
                <w:bCs/>
              </w:rPr>
              <w:t>380</w:t>
            </w:r>
          </w:p>
        </w:tc>
        <w:tc>
          <w:tcPr>
            <w:tcW w:w="752" w:type="dxa"/>
          </w:tcPr>
          <w:p w14:paraId="17E0D7A4" w14:textId="044AC3CF" w:rsidR="00D10D62" w:rsidRDefault="009D7060" w:rsidP="008A6645">
            <w:pPr>
              <w:jc w:val="center"/>
              <w:rPr>
                <w:bCs/>
              </w:rPr>
            </w:pPr>
            <w:r>
              <w:rPr>
                <w:bCs/>
              </w:rPr>
              <w:t>380</w:t>
            </w:r>
          </w:p>
        </w:tc>
        <w:tc>
          <w:tcPr>
            <w:tcW w:w="649" w:type="dxa"/>
          </w:tcPr>
          <w:p w14:paraId="27BD72C4" w14:textId="43468543" w:rsidR="00D10D62" w:rsidRDefault="009D7060" w:rsidP="008A6645">
            <w:pPr>
              <w:jc w:val="center"/>
              <w:rPr>
                <w:bCs/>
              </w:rPr>
            </w:pPr>
            <w:r>
              <w:rPr>
                <w:bCs/>
              </w:rPr>
              <w:t>5</w:t>
            </w:r>
          </w:p>
        </w:tc>
        <w:tc>
          <w:tcPr>
            <w:tcW w:w="759" w:type="dxa"/>
          </w:tcPr>
          <w:p w14:paraId="29E887EB" w14:textId="31650FA4" w:rsidR="00D10D62" w:rsidRDefault="00332DF1" w:rsidP="008A6645">
            <w:pPr>
              <w:jc w:val="center"/>
              <w:rPr>
                <w:bCs/>
              </w:rPr>
            </w:pPr>
            <w:r>
              <w:rPr>
                <w:bCs/>
              </w:rPr>
              <w:t>31.7</w:t>
            </w:r>
          </w:p>
        </w:tc>
        <w:tc>
          <w:tcPr>
            <w:tcW w:w="895" w:type="dxa"/>
          </w:tcPr>
          <w:p w14:paraId="58B31D7C" w14:textId="7E9E3B77" w:rsidR="00D10D62" w:rsidRPr="003B5733" w:rsidRDefault="00990D75" w:rsidP="008A6645">
            <w:pPr>
              <w:jc w:val="center"/>
              <w:rPr>
                <w:b/>
                <w:bCs/>
              </w:rPr>
            </w:pPr>
            <w:r w:rsidRPr="003B5733">
              <w:rPr>
                <w:b/>
                <w:bCs/>
              </w:rPr>
              <w:t>58.4</w:t>
            </w:r>
          </w:p>
        </w:tc>
      </w:tr>
      <w:tr w:rsidR="00AE21F9" w14:paraId="44A96B70" w14:textId="77777777" w:rsidTr="008B4135">
        <w:tc>
          <w:tcPr>
            <w:tcW w:w="1525" w:type="dxa"/>
          </w:tcPr>
          <w:p w14:paraId="2340996A" w14:textId="14E20EE3" w:rsidR="00D10D62" w:rsidRDefault="00D35A36" w:rsidP="000F306A">
            <w:pPr>
              <w:rPr>
                <w:bCs/>
              </w:rPr>
            </w:pPr>
            <w:r>
              <w:rPr>
                <w:bCs/>
              </w:rPr>
              <w:t>Email</w:t>
            </w:r>
          </w:p>
        </w:tc>
        <w:tc>
          <w:tcPr>
            <w:tcW w:w="664" w:type="dxa"/>
          </w:tcPr>
          <w:p w14:paraId="004A4C1B" w14:textId="61F88E4B" w:rsidR="00D10D62" w:rsidRDefault="003D0DB0" w:rsidP="008A6645">
            <w:pPr>
              <w:jc w:val="center"/>
              <w:rPr>
                <w:bCs/>
              </w:rPr>
            </w:pPr>
            <w:r>
              <w:rPr>
                <w:bCs/>
              </w:rPr>
              <w:t>1300</w:t>
            </w:r>
          </w:p>
        </w:tc>
        <w:tc>
          <w:tcPr>
            <w:tcW w:w="536" w:type="dxa"/>
          </w:tcPr>
          <w:p w14:paraId="3D565E0F" w14:textId="1777AE70" w:rsidR="00D10D62" w:rsidRDefault="003D0DB0" w:rsidP="008A6645">
            <w:pPr>
              <w:jc w:val="center"/>
              <w:rPr>
                <w:bCs/>
              </w:rPr>
            </w:pPr>
            <w:r>
              <w:rPr>
                <w:bCs/>
              </w:rPr>
              <w:t>1</w:t>
            </w:r>
          </w:p>
        </w:tc>
        <w:tc>
          <w:tcPr>
            <w:tcW w:w="643" w:type="dxa"/>
          </w:tcPr>
          <w:p w14:paraId="35632C69" w14:textId="3B77E87A" w:rsidR="00D10D62" w:rsidRDefault="003D0DB0" w:rsidP="008A6645">
            <w:pPr>
              <w:jc w:val="center"/>
              <w:rPr>
                <w:bCs/>
              </w:rPr>
            </w:pPr>
            <w:r>
              <w:rPr>
                <w:bCs/>
              </w:rPr>
              <w:t>180</w:t>
            </w:r>
          </w:p>
        </w:tc>
        <w:tc>
          <w:tcPr>
            <w:tcW w:w="643" w:type="dxa"/>
          </w:tcPr>
          <w:p w14:paraId="38AB7A88" w14:textId="732595E7" w:rsidR="00D10D62" w:rsidRDefault="009D7060" w:rsidP="008A6645">
            <w:pPr>
              <w:jc w:val="center"/>
              <w:rPr>
                <w:bCs/>
              </w:rPr>
            </w:pPr>
            <w:r>
              <w:rPr>
                <w:bCs/>
              </w:rPr>
              <w:t>180</w:t>
            </w:r>
          </w:p>
        </w:tc>
        <w:tc>
          <w:tcPr>
            <w:tcW w:w="664" w:type="dxa"/>
          </w:tcPr>
          <w:p w14:paraId="25888AB3" w14:textId="34712950" w:rsidR="00D10D62" w:rsidRDefault="00E44A35" w:rsidP="008A6645">
            <w:pPr>
              <w:jc w:val="center"/>
              <w:rPr>
                <w:bCs/>
              </w:rPr>
            </w:pPr>
            <w:r>
              <w:rPr>
                <w:bCs/>
              </w:rPr>
              <w:t>5</w:t>
            </w:r>
          </w:p>
        </w:tc>
        <w:tc>
          <w:tcPr>
            <w:tcW w:w="810" w:type="dxa"/>
          </w:tcPr>
          <w:p w14:paraId="023DBFF6" w14:textId="41E60BF2" w:rsidR="00D10D62" w:rsidRDefault="00332DF1" w:rsidP="008A6645">
            <w:pPr>
              <w:jc w:val="center"/>
              <w:rPr>
                <w:bCs/>
              </w:rPr>
            </w:pPr>
            <w:r>
              <w:rPr>
                <w:bCs/>
              </w:rPr>
              <w:t>15.0</w:t>
            </w:r>
          </w:p>
        </w:tc>
        <w:tc>
          <w:tcPr>
            <w:tcW w:w="810" w:type="dxa"/>
          </w:tcPr>
          <w:p w14:paraId="15F9E60F" w14:textId="73785086" w:rsidR="00D10D62" w:rsidRDefault="009D7060" w:rsidP="008A6645">
            <w:pPr>
              <w:jc w:val="center"/>
              <w:rPr>
                <w:bCs/>
              </w:rPr>
            </w:pPr>
            <w:r>
              <w:rPr>
                <w:bCs/>
              </w:rPr>
              <w:t>1120</w:t>
            </w:r>
          </w:p>
        </w:tc>
        <w:tc>
          <w:tcPr>
            <w:tcW w:w="752" w:type="dxa"/>
          </w:tcPr>
          <w:p w14:paraId="2EFB8EF1" w14:textId="4367E862" w:rsidR="00D10D62" w:rsidRDefault="009D7060" w:rsidP="008A6645">
            <w:pPr>
              <w:jc w:val="center"/>
              <w:rPr>
                <w:bCs/>
              </w:rPr>
            </w:pPr>
            <w:r>
              <w:rPr>
                <w:bCs/>
              </w:rPr>
              <w:t>1120</w:t>
            </w:r>
          </w:p>
        </w:tc>
        <w:tc>
          <w:tcPr>
            <w:tcW w:w="649" w:type="dxa"/>
          </w:tcPr>
          <w:p w14:paraId="03A77498" w14:textId="0CE835E2" w:rsidR="00D10D62" w:rsidRDefault="009D7060" w:rsidP="008A6645">
            <w:pPr>
              <w:jc w:val="center"/>
              <w:rPr>
                <w:bCs/>
              </w:rPr>
            </w:pPr>
            <w:r>
              <w:rPr>
                <w:bCs/>
              </w:rPr>
              <w:t>2</w:t>
            </w:r>
          </w:p>
        </w:tc>
        <w:tc>
          <w:tcPr>
            <w:tcW w:w="759" w:type="dxa"/>
          </w:tcPr>
          <w:p w14:paraId="4A3091CE" w14:textId="0D15E06C" w:rsidR="00D10D62" w:rsidRDefault="00332DF1" w:rsidP="008A6645">
            <w:pPr>
              <w:jc w:val="center"/>
              <w:rPr>
                <w:bCs/>
              </w:rPr>
            </w:pPr>
            <w:r>
              <w:rPr>
                <w:bCs/>
              </w:rPr>
              <w:t>37.3</w:t>
            </w:r>
          </w:p>
        </w:tc>
        <w:tc>
          <w:tcPr>
            <w:tcW w:w="895" w:type="dxa"/>
          </w:tcPr>
          <w:p w14:paraId="44567A94" w14:textId="175C4868" w:rsidR="00D10D62" w:rsidRPr="003B5733" w:rsidRDefault="00990D75" w:rsidP="008A6645">
            <w:pPr>
              <w:jc w:val="center"/>
              <w:rPr>
                <w:b/>
                <w:bCs/>
              </w:rPr>
            </w:pPr>
            <w:r w:rsidRPr="003B5733">
              <w:rPr>
                <w:b/>
                <w:bCs/>
              </w:rPr>
              <w:t>52.3</w:t>
            </w:r>
          </w:p>
        </w:tc>
      </w:tr>
      <w:tr w:rsidR="00D35A36" w14:paraId="3FDFB548" w14:textId="77777777" w:rsidTr="008B4135">
        <w:tc>
          <w:tcPr>
            <w:tcW w:w="9350" w:type="dxa"/>
            <w:gridSpan w:val="12"/>
            <w:shd w:val="clear" w:color="auto" w:fill="DEEAF6" w:themeFill="accent1" w:themeFillTint="33"/>
          </w:tcPr>
          <w:p w14:paraId="1B12EB75" w14:textId="0E26C4C7" w:rsidR="00D35A36" w:rsidRPr="003B5733" w:rsidRDefault="00D35A36" w:rsidP="000F306A">
            <w:pPr>
              <w:rPr>
                <w:bCs/>
              </w:rPr>
            </w:pPr>
            <w:r w:rsidRPr="003B5733">
              <w:rPr>
                <w:bCs/>
              </w:rPr>
              <w:t>Laboratory Time</w:t>
            </w:r>
          </w:p>
        </w:tc>
      </w:tr>
      <w:tr w:rsidR="00AE21F9" w14:paraId="5B690254" w14:textId="77777777" w:rsidTr="008B4135">
        <w:tc>
          <w:tcPr>
            <w:tcW w:w="1525" w:type="dxa"/>
          </w:tcPr>
          <w:p w14:paraId="043A5377" w14:textId="0057B3B4" w:rsidR="00D10D62" w:rsidRDefault="00D35A36" w:rsidP="000F306A">
            <w:pPr>
              <w:rPr>
                <w:bCs/>
              </w:rPr>
            </w:pPr>
            <w:r>
              <w:rPr>
                <w:bCs/>
              </w:rPr>
              <w:t>Experiment</w:t>
            </w:r>
          </w:p>
        </w:tc>
        <w:tc>
          <w:tcPr>
            <w:tcW w:w="664" w:type="dxa"/>
          </w:tcPr>
          <w:p w14:paraId="4CA0BA92" w14:textId="3F95B6B7" w:rsidR="00D10D62" w:rsidRDefault="00D35A36" w:rsidP="008A6645">
            <w:pPr>
              <w:jc w:val="center"/>
              <w:rPr>
                <w:bCs/>
              </w:rPr>
            </w:pPr>
            <w:r>
              <w:rPr>
                <w:bCs/>
              </w:rPr>
              <w:t>500</w:t>
            </w:r>
          </w:p>
        </w:tc>
        <w:tc>
          <w:tcPr>
            <w:tcW w:w="536" w:type="dxa"/>
          </w:tcPr>
          <w:p w14:paraId="4D2251AC" w14:textId="6D8F5868" w:rsidR="00D10D62" w:rsidRDefault="00D35A36" w:rsidP="008A6645">
            <w:pPr>
              <w:jc w:val="center"/>
              <w:rPr>
                <w:bCs/>
              </w:rPr>
            </w:pPr>
            <w:r>
              <w:rPr>
                <w:bCs/>
              </w:rPr>
              <w:t>1</w:t>
            </w:r>
          </w:p>
        </w:tc>
        <w:tc>
          <w:tcPr>
            <w:tcW w:w="643" w:type="dxa"/>
          </w:tcPr>
          <w:p w14:paraId="38A41D22" w14:textId="0720D64E" w:rsidR="00D10D62" w:rsidRDefault="00B23DF9" w:rsidP="008A6645">
            <w:pPr>
              <w:jc w:val="center"/>
              <w:rPr>
                <w:bCs/>
              </w:rPr>
            </w:pPr>
            <w:r>
              <w:rPr>
                <w:bCs/>
              </w:rPr>
              <w:t>500</w:t>
            </w:r>
          </w:p>
        </w:tc>
        <w:tc>
          <w:tcPr>
            <w:tcW w:w="643" w:type="dxa"/>
          </w:tcPr>
          <w:p w14:paraId="0AFE7F8A" w14:textId="11CA2B68" w:rsidR="00D10D62" w:rsidRDefault="00B23DF9" w:rsidP="008A6645">
            <w:pPr>
              <w:jc w:val="center"/>
              <w:rPr>
                <w:bCs/>
              </w:rPr>
            </w:pPr>
            <w:r>
              <w:rPr>
                <w:bCs/>
              </w:rPr>
              <w:t>500</w:t>
            </w:r>
          </w:p>
        </w:tc>
        <w:tc>
          <w:tcPr>
            <w:tcW w:w="664" w:type="dxa"/>
          </w:tcPr>
          <w:p w14:paraId="606F90F8" w14:textId="1580C706" w:rsidR="00D10D62" w:rsidRDefault="008D6B23" w:rsidP="008A6645">
            <w:pPr>
              <w:jc w:val="center"/>
              <w:rPr>
                <w:bCs/>
              </w:rPr>
            </w:pPr>
            <w:r>
              <w:rPr>
                <w:bCs/>
              </w:rPr>
              <w:t>85</w:t>
            </w:r>
          </w:p>
        </w:tc>
        <w:tc>
          <w:tcPr>
            <w:tcW w:w="810" w:type="dxa"/>
          </w:tcPr>
          <w:p w14:paraId="33197102" w14:textId="60A60048" w:rsidR="00D10D62" w:rsidRDefault="00990D75" w:rsidP="008A6645">
            <w:pPr>
              <w:jc w:val="center"/>
              <w:rPr>
                <w:bCs/>
              </w:rPr>
            </w:pPr>
            <w:r>
              <w:rPr>
                <w:bCs/>
              </w:rPr>
              <w:t>7</w:t>
            </w:r>
            <w:r w:rsidR="00AE21F9">
              <w:rPr>
                <w:bCs/>
              </w:rPr>
              <w:t>08</w:t>
            </w:r>
            <w:r w:rsidR="00A93BC0">
              <w:rPr>
                <w:bCs/>
              </w:rPr>
              <w:t>.</w:t>
            </w:r>
            <w:r w:rsidR="00031F96">
              <w:rPr>
                <w:bCs/>
              </w:rPr>
              <w:t>3</w:t>
            </w:r>
          </w:p>
        </w:tc>
        <w:tc>
          <w:tcPr>
            <w:tcW w:w="810" w:type="dxa"/>
          </w:tcPr>
          <w:p w14:paraId="72111751" w14:textId="42E784CD" w:rsidR="00D10D62" w:rsidRDefault="00B23DF9" w:rsidP="008A6645">
            <w:pPr>
              <w:jc w:val="center"/>
              <w:rPr>
                <w:bCs/>
              </w:rPr>
            </w:pPr>
            <w:r>
              <w:rPr>
                <w:bCs/>
              </w:rPr>
              <w:t>0</w:t>
            </w:r>
          </w:p>
        </w:tc>
        <w:tc>
          <w:tcPr>
            <w:tcW w:w="752" w:type="dxa"/>
          </w:tcPr>
          <w:p w14:paraId="14B8641B" w14:textId="46DE923A" w:rsidR="00D10D62" w:rsidRDefault="00B23DF9" w:rsidP="008A6645">
            <w:pPr>
              <w:jc w:val="center"/>
              <w:rPr>
                <w:bCs/>
              </w:rPr>
            </w:pPr>
            <w:r>
              <w:rPr>
                <w:bCs/>
              </w:rPr>
              <w:t>0</w:t>
            </w:r>
          </w:p>
        </w:tc>
        <w:tc>
          <w:tcPr>
            <w:tcW w:w="649" w:type="dxa"/>
          </w:tcPr>
          <w:p w14:paraId="00E52605" w14:textId="5B65AE42" w:rsidR="00D10D62" w:rsidRDefault="008D6B23" w:rsidP="008A6645">
            <w:pPr>
              <w:jc w:val="center"/>
              <w:rPr>
                <w:bCs/>
              </w:rPr>
            </w:pPr>
            <w:r>
              <w:rPr>
                <w:bCs/>
              </w:rPr>
              <w:t>85</w:t>
            </w:r>
          </w:p>
        </w:tc>
        <w:tc>
          <w:tcPr>
            <w:tcW w:w="759" w:type="dxa"/>
          </w:tcPr>
          <w:p w14:paraId="71F048DB" w14:textId="26BA3231" w:rsidR="00D10D62" w:rsidRDefault="00F206E8" w:rsidP="008A6645">
            <w:pPr>
              <w:jc w:val="center"/>
              <w:rPr>
                <w:bCs/>
              </w:rPr>
            </w:pPr>
            <w:r>
              <w:rPr>
                <w:bCs/>
              </w:rPr>
              <w:t>0</w:t>
            </w:r>
          </w:p>
        </w:tc>
        <w:tc>
          <w:tcPr>
            <w:tcW w:w="895" w:type="dxa"/>
          </w:tcPr>
          <w:p w14:paraId="2A27FEDC" w14:textId="7CA53E1B" w:rsidR="00D10D62" w:rsidRPr="003B5733" w:rsidRDefault="00990D75" w:rsidP="008A6645">
            <w:pPr>
              <w:jc w:val="center"/>
              <w:rPr>
                <w:b/>
                <w:bCs/>
              </w:rPr>
            </w:pPr>
            <w:r w:rsidRPr="003B5733">
              <w:rPr>
                <w:b/>
                <w:bCs/>
              </w:rPr>
              <w:t>7</w:t>
            </w:r>
            <w:r w:rsidR="00AE21F9">
              <w:rPr>
                <w:b/>
                <w:bCs/>
              </w:rPr>
              <w:t>08</w:t>
            </w:r>
            <w:r w:rsidR="00A93BC0" w:rsidRPr="003B5733">
              <w:rPr>
                <w:b/>
                <w:bCs/>
              </w:rPr>
              <w:t>.</w:t>
            </w:r>
            <w:r w:rsidR="009E77E6">
              <w:rPr>
                <w:b/>
                <w:bCs/>
              </w:rPr>
              <w:t>3</w:t>
            </w:r>
          </w:p>
        </w:tc>
      </w:tr>
      <w:tr w:rsidR="00AE21F9" w14:paraId="48FF7446" w14:textId="77777777" w:rsidTr="008B4135">
        <w:tc>
          <w:tcPr>
            <w:tcW w:w="1525" w:type="dxa"/>
          </w:tcPr>
          <w:p w14:paraId="668B4A7F" w14:textId="5887FDD5" w:rsidR="008D6B23" w:rsidRDefault="008D6B23" w:rsidP="008D6B23">
            <w:pPr>
              <w:rPr>
                <w:bCs/>
              </w:rPr>
            </w:pPr>
            <w:r>
              <w:rPr>
                <w:bCs/>
              </w:rPr>
              <w:t>Questionnaire</w:t>
            </w:r>
          </w:p>
        </w:tc>
        <w:tc>
          <w:tcPr>
            <w:tcW w:w="664" w:type="dxa"/>
          </w:tcPr>
          <w:p w14:paraId="08B5DF41" w14:textId="4AEBB924" w:rsidR="008D6B23" w:rsidRDefault="008D6B23" w:rsidP="008B4135">
            <w:pPr>
              <w:jc w:val="center"/>
              <w:rPr>
                <w:bCs/>
              </w:rPr>
            </w:pPr>
            <w:r>
              <w:rPr>
                <w:bCs/>
              </w:rPr>
              <w:t>500</w:t>
            </w:r>
          </w:p>
        </w:tc>
        <w:tc>
          <w:tcPr>
            <w:tcW w:w="536" w:type="dxa"/>
          </w:tcPr>
          <w:p w14:paraId="4442706B" w14:textId="502A890C" w:rsidR="008D6B23" w:rsidRDefault="008D6B23" w:rsidP="008B4135">
            <w:pPr>
              <w:jc w:val="center"/>
              <w:rPr>
                <w:bCs/>
              </w:rPr>
            </w:pPr>
            <w:r>
              <w:rPr>
                <w:bCs/>
              </w:rPr>
              <w:t>1</w:t>
            </w:r>
          </w:p>
        </w:tc>
        <w:tc>
          <w:tcPr>
            <w:tcW w:w="643" w:type="dxa"/>
          </w:tcPr>
          <w:p w14:paraId="43DF8E5D" w14:textId="0AD86B94" w:rsidR="008D6B23" w:rsidRDefault="008D6B23" w:rsidP="008B4135">
            <w:pPr>
              <w:jc w:val="center"/>
              <w:rPr>
                <w:bCs/>
              </w:rPr>
            </w:pPr>
            <w:r>
              <w:rPr>
                <w:bCs/>
              </w:rPr>
              <w:t>500</w:t>
            </w:r>
          </w:p>
        </w:tc>
        <w:tc>
          <w:tcPr>
            <w:tcW w:w="643" w:type="dxa"/>
          </w:tcPr>
          <w:p w14:paraId="7265694A" w14:textId="2BA3B48E" w:rsidR="008D6B23" w:rsidRDefault="008D6B23" w:rsidP="008B4135">
            <w:pPr>
              <w:jc w:val="center"/>
              <w:rPr>
                <w:bCs/>
              </w:rPr>
            </w:pPr>
            <w:r>
              <w:rPr>
                <w:bCs/>
              </w:rPr>
              <w:t>500</w:t>
            </w:r>
          </w:p>
        </w:tc>
        <w:tc>
          <w:tcPr>
            <w:tcW w:w="664" w:type="dxa"/>
          </w:tcPr>
          <w:p w14:paraId="37851E1D" w14:textId="6AF2EFF9" w:rsidR="008D6B23" w:rsidRDefault="008D6B23" w:rsidP="008B4135">
            <w:pPr>
              <w:jc w:val="center"/>
              <w:rPr>
                <w:bCs/>
              </w:rPr>
            </w:pPr>
            <w:r>
              <w:rPr>
                <w:bCs/>
              </w:rPr>
              <w:t>5</w:t>
            </w:r>
          </w:p>
        </w:tc>
        <w:tc>
          <w:tcPr>
            <w:tcW w:w="810" w:type="dxa"/>
          </w:tcPr>
          <w:p w14:paraId="08E11D79" w14:textId="02CC003E" w:rsidR="008D6B23" w:rsidRDefault="00031F96" w:rsidP="008B4135">
            <w:pPr>
              <w:jc w:val="center"/>
              <w:rPr>
                <w:bCs/>
              </w:rPr>
            </w:pPr>
            <w:r>
              <w:rPr>
                <w:bCs/>
              </w:rPr>
              <w:t>41.7</w:t>
            </w:r>
          </w:p>
        </w:tc>
        <w:tc>
          <w:tcPr>
            <w:tcW w:w="810" w:type="dxa"/>
          </w:tcPr>
          <w:p w14:paraId="3F3463C1" w14:textId="77298D2D" w:rsidR="008D6B23" w:rsidRDefault="008D6B23" w:rsidP="008B4135">
            <w:pPr>
              <w:jc w:val="center"/>
              <w:rPr>
                <w:bCs/>
              </w:rPr>
            </w:pPr>
            <w:r>
              <w:rPr>
                <w:bCs/>
              </w:rPr>
              <w:t>0</w:t>
            </w:r>
          </w:p>
        </w:tc>
        <w:tc>
          <w:tcPr>
            <w:tcW w:w="752" w:type="dxa"/>
          </w:tcPr>
          <w:p w14:paraId="57E3B0D0" w14:textId="1019F5C1" w:rsidR="008D6B23" w:rsidRDefault="008D6B23" w:rsidP="008B4135">
            <w:pPr>
              <w:jc w:val="center"/>
              <w:rPr>
                <w:bCs/>
              </w:rPr>
            </w:pPr>
            <w:r>
              <w:rPr>
                <w:bCs/>
              </w:rPr>
              <w:t>0</w:t>
            </w:r>
          </w:p>
        </w:tc>
        <w:tc>
          <w:tcPr>
            <w:tcW w:w="649" w:type="dxa"/>
          </w:tcPr>
          <w:p w14:paraId="55030343" w14:textId="5985F677" w:rsidR="008D6B23" w:rsidRDefault="008D6B23" w:rsidP="008B4135">
            <w:pPr>
              <w:jc w:val="center"/>
              <w:rPr>
                <w:bCs/>
              </w:rPr>
            </w:pPr>
            <w:r>
              <w:rPr>
                <w:bCs/>
              </w:rPr>
              <w:t>5</w:t>
            </w:r>
          </w:p>
        </w:tc>
        <w:tc>
          <w:tcPr>
            <w:tcW w:w="759" w:type="dxa"/>
          </w:tcPr>
          <w:p w14:paraId="6FA10A29" w14:textId="4296F613" w:rsidR="008D6B23" w:rsidRDefault="008D6B23" w:rsidP="008B4135">
            <w:pPr>
              <w:jc w:val="center"/>
              <w:rPr>
                <w:bCs/>
              </w:rPr>
            </w:pPr>
            <w:r>
              <w:rPr>
                <w:bCs/>
              </w:rPr>
              <w:t>0</w:t>
            </w:r>
          </w:p>
        </w:tc>
        <w:tc>
          <w:tcPr>
            <w:tcW w:w="895" w:type="dxa"/>
          </w:tcPr>
          <w:p w14:paraId="100FCB85" w14:textId="7A033C91" w:rsidR="008D6B23" w:rsidRPr="003B5733" w:rsidRDefault="00031F96" w:rsidP="008B4135">
            <w:pPr>
              <w:jc w:val="center"/>
              <w:rPr>
                <w:b/>
                <w:bCs/>
              </w:rPr>
            </w:pPr>
            <w:r>
              <w:rPr>
                <w:b/>
                <w:bCs/>
              </w:rPr>
              <w:t>41.7</w:t>
            </w:r>
          </w:p>
        </w:tc>
      </w:tr>
      <w:tr w:rsidR="00AE21F9" w14:paraId="797A0112" w14:textId="77777777" w:rsidTr="008B4135">
        <w:tc>
          <w:tcPr>
            <w:tcW w:w="1525" w:type="dxa"/>
            <w:shd w:val="clear" w:color="auto" w:fill="auto"/>
          </w:tcPr>
          <w:p w14:paraId="11E2F28F" w14:textId="77777777" w:rsidR="008D6B23" w:rsidRDefault="008D6B23" w:rsidP="008D6B23">
            <w:pPr>
              <w:rPr>
                <w:bCs/>
              </w:rPr>
            </w:pPr>
          </w:p>
        </w:tc>
        <w:tc>
          <w:tcPr>
            <w:tcW w:w="664" w:type="dxa"/>
            <w:shd w:val="clear" w:color="auto" w:fill="auto"/>
          </w:tcPr>
          <w:p w14:paraId="4A8011CB" w14:textId="77777777" w:rsidR="008D6B23" w:rsidRDefault="008D6B23" w:rsidP="008D6B23">
            <w:pPr>
              <w:rPr>
                <w:bCs/>
              </w:rPr>
            </w:pPr>
          </w:p>
        </w:tc>
        <w:tc>
          <w:tcPr>
            <w:tcW w:w="536" w:type="dxa"/>
            <w:shd w:val="clear" w:color="auto" w:fill="auto"/>
          </w:tcPr>
          <w:p w14:paraId="2E377B47" w14:textId="77777777" w:rsidR="008D6B23" w:rsidRDefault="008D6B23" w:rsidP="008D6B23">
            <w:pPr>
              <w:rPr>
                <w:bCs/>
              </w:rPr>
            </w:pPr>
          </w:p>
        </w:tc>
        <w:tc>
          <w:tcPr>
            <w:tcW w:w="643" w:type="dxa"/>
            <w:shd w:val="clear" w:color="auto" w:fill="auto"/>
          </w:tcPr>
          <w:p w14:paraId="2181272A" w14:textId="77777777" w:rsidR="008D6B23" w:rsidRDefault="008D6B23" w:rsidP="008D6B23">
            <w:pPr>
              <w:rPr>
                <w:bCs/>
              </w:rPr>
            </w:pPr>
          </w:p>
        </w:tc>
        <w:tc>
          <w:tcPr>
            <w:tcW w:w="643" w:type="dxa"/>
            <w:shd w:val="clear" w:color="auto" w:fill="auto"/>
          </w:tcPr>
          <w:p w14:paraId="72C83DF6" w14:textId="77777777" w:rsidR="008D6B23" w:rsidRDefault="008D6B23" w:rsidP="008D6B23">
            <w:pPr>
              <w:rPr>
                <w:bCs/>
              </w:rPr>
            </w:pPr>
          </w:p>
        </w:tc>
        <w:tc>
          <w:tcPr>
            <w:tcW w:w="664" w:type="dxa"/>
            <w:shd w:val="clear" w:color="auto" w:fill="auto"/>
          </w:tcPr>
          <w:p w14:paraId="06FE000E" w14:textId="77777777" w:rsidR="008D6B23" w:rsidRDefault="008D6B23" w:rsidP="008D6B23">
            <w:pPr>
              <w:rPr>
                <w:bCs/>
              </w:rPr>
            </w:pPr>
          </w:p>
        </w:tc>
        <w:tc>
          <w:tcPr>
            <w:tcW w:w="810" w:type="dxa"/>
            <w:shd w:val="clear" w:color="auto" w:fill="auto"/>
          </w:tcPr>
          <w:p w14:paraId="5954CBF6" w14:textId="77777777" w:rsidR="008D6B23" w:rsidRDefault="008D6B23" w:rsidP="008D6B23">
            <w:pPr>
              <w:rPr>
                <w:bCs/>
              </w:rPr>
            </w:pPr>
          </w:p>
        </w:tc>
        <w:tc>
          <w:tcPr>
            <w:tcW w:w="810" w:type="dxa"/>
            <w:shd w:val="clear" w:color="auto" w:fill="auto"/>
          </w:tcPr>
          <w:p w14:paraId="25218305" w14:textId="77777777" w:rsidR="008D6B23" w:rsidRDefault="008D6B23" w:rsidP="008D6B23">
            <w:pPr>
              <w:rPr>
                <w:bCs/>
              </w:rPr>
            </w:pPr>
          </w:p>
        </w:tc>
        <w:tc>
          <w:tcPr>
            <w:tcW w:w="752" w:type="dxa"/>
            <w:shd w:val="clear" w:color="auto" w:fill="auto"/>
          </w:tcPr>
          <w:p w14:paraId="11AC2AD0" w14:textId="77777777" w:rsidR="008D6B23" w:rsidRDefault="008D6B23" w:rsidP="008D6B23">
            <w:pPr>
              <w:rPr>
                <w:bCs/>
              </w:rPr>
            </w:pPr>
          </w:p>
        </w:tc>
        <w:tc>
          <w:tcPr>
            <w:tcW w:w="649" w:type="dxa"/>
            <w:shd w:val="clear" w:color="auto" w:fill="auto"/>
          </w:tcPr>
          <w:p w14:paraId="14F338CB" w14:textId="77777777" w:rsidR="008D6B23" w:rsidRDefault="008D6B23" w:rsidP="008D6B23">
            <w:pPr>
              <w:rPr>
                <w:bCs/>
              </w:rPr>
            </w:pPr>
          </w:p>
        </w:tc>
        <w:tc>
          <w:tcPr>
            <w:tcW w:w="759" w:type="dxa"/>
            <w:shd w:val="clear" w:color="auto" w:fill="auto"/>
          </w:tcPr>
          <w:p w14:paraId="51D6854F" w14:textId="77777777" w:rsidR="008D6B23" w:rsidRDefault="008D6B23" w:rsidP="008D6B23">
            <w:pPr>
              <w:rPr>
                <w:bCs/>
              </w:rPr>
            </w:pPr>
          </w:p>
        </w:tc>
        <w:tc>
          <w:tcPr>
            <w:tcW w:w="895" w:type="dxa"/>
            <w:shd w:val="clear" w:color="auto" w:fill="auto"/>
          </w:tcPr>
          <w:p w14:paraId="2DC4FF11" w14:textId="77777777" w:rsidR="008D6B23" w:rsidRPr="003B5733" w:rsidRDefault="008D6B23" w:rsidP="008D6B23">
            <w:pPr>
              <w:rPr>
                <w:b/>
                <w:bCs/>
              </w:rPr>
            </w:pPr>
          </w:p>
        </w:tc>
      </w:tr>
      <w:tr w:rsidR="00AE21F9" w14:paraId="5294DC58" w14:textId="77777777" w:rsidTr="008B4135">
        <w:tc>
          <w:tcPr>
            <w:tcW w:w="1525" w:type="dxa"/>
          </w:tcPr>
          <w:p w14:paraId="0B1C7BCC" w14:textId="7D64EF58" w:rsidR="008D6B23" w:rsidRPr="003B5733" w:rsidRDefault="008D6B23" w:rsidP="008D6B23">
            <w:pPr>
              <w:rPr>
                <w:b/>
                <w:bCs/>
              </w:rPr>
            </w:pPr>
            <w:r w:rsidRPr="003B5733">
              <w:rPr>
                <w:b/>
                <w:bCs/>
              </w:rPr>
              <w:t>Total</w:t>
            </w:r>
          </w:p>
        </w:tc>
        <w:tc>
          <w:tcPr>
            <w:tcW w:w="664" w:type="dxa"/>
          </w:tcPr>
          <w:p w14:paraId="5EC5F6D5" w14:textId="77777777" w:rsidR="008D6B23" w:rsidRPr="003B5733" w:rsidRDefault="008D6B23" w:rsidP="008D6B23">
            <w:pPr>
              <w:rPr>
                <w:b/>
                <w:bCs/>
              </w:rPr>
            </w:pPr>
          </w:p>
        </w:tc>
        <w:tc>
          <w:tcPr>
            <w:tcW w:w="536" w:type="dxa"/>
          </w:tcPr>
          <w:p w14:paraId="6B9B2C48" w14:textId="77777777" w:rsidR="008D6B23" w:rsidRPr="003B5733" w:rsidRDefault="008D6B23" w:rsidP="008D6B23">
            <w:pPr>
              <w:rPr>
                <w:b/>
                <w:bCs/>
              </w:rPr>
            </w:pPr>
          </w:p>
        </w:tc>
        <w:tc>
          <w:tcPr>
            <w:tcW w:w="643" w:type="dxa"/>
          </w:tcPr>
          <w:p w14:paraId="3AFEBD5E" w14:textId="01DE26AF" w:rsidR="008D6B23" w:rsidRPr="003B5733" w:rsidRDefault="008D6B23" w:rsidP="008D6B23">
            <w:pPr>
              <w:jc w:val="center"/>
              <w:rPr>
                <w:b/>
                <w:bCs/>
              </w:rPr>
            </w:pPr>
            <w:r w:rsidRPr="003B5733">
              <w:rPr>
                <w:b/>
                <w:bCs/>
              </w:rPr>
              <w:t>500</w:t>
            </w:r>
          </w:p>
        </w:tc>
        <w:tc>
          <w:tcPr>
            <w:tcW w:w="643" w:type="dxa"/>
          </w:tcPr>
          <w:p w14:paraId="59B398B0" w14:textId="77777777" w:rsidR="008D6B23" w:rsidRPr="003B5733" w:rsidRDefault="008D6B23" w:rsidP="008D6B23">
            <w:pPr>
              <w:jc w:val="center"/>
              <w:rPr>
                <w:b/>
                <w:bCs/>
              </w:rPr>
            </w:pPr>
          </w:p>
        </w:tc>
        <w:tc>
          <w:tcPr>
            <w:tcW w:w="664" w:type="dxa"/>
          </w:tcPr>
          <w:p w14:paraId="59F57419" w14:textId="77777777" w:rsidR="008D6B23" w:rsidRPr="003B5733" w:rsidRDefault="008D6B23" w:rsidP="008D6B23">
            <w:pPr>
              <w:jc w:val="center"/>
              <w:rPr>
                <w:b/>
                <w:bCs/>
              </w:rPr>
            </w:pPr>
          </w:p>
        </w:tc>
        <w:tc>
          <w:tcPr>
            <w:tcW w:w="810" w:type="dxa"/>
          </w:tcPr>
          <w:p w14:paraId="3873CCF5" w14:textId="3C51E94D" w:rsidR="008D6B23" w:rsidRPr="003B5733" w:rsidRDefault="008D6B23" w:rsidP="008D6B23">
            <w:pPr>
              <w:jc w:val="center"/>
              <w:rPr>
                <w:b/>
                <w:bCs/>
              </w:rPr>
            </w:pPr>
            <w:r w:rsidRPr="003B5733">
              <w:rPr>
                <w:b/>
                <w:bCs/>
              </w:rPr>
              <w:t>791.7</w:t>
            </w:r>
          </w:p>
        </w:tc>
        <w:tc>
          <w:tcPr>
            <w:tcW w:w="810" w:type="dxa"/>
          </w:tcPr>
          <w:p w14:paraId="4D8A9FBB" w14:textId="3D10D9ED" w:rsidR="008D6B23" w:rsidRPr="003B5733" w:rsidRDefault="008D6B23" w:rsidP="008D6B23">
            <w:pPr>
              <w:jc w:val="center"/>
              <w:rPr>
                <w:b/>
                <w:bCs/>
              </w:rPr>
            </w:pPr>
            <w:r>
              <w:rPr>
                <w:b/>
                <w:bCs/>
              </w:rPr>
              <w:t>1,500</w:t>
            </w:r>
          </w:p>
        </w:tc>
        <w:tc>
          <w:tcPr>
            <w:tcW w:w="752" w:type="dxa"/>
          </w:tcPr>
          <w:p w14:paraId="5A1EA2C5" w14:textId="77777777" w:rsidR="008D6B23" w:rsidRPr="003B5733" w:rsidRDefault="008D6B23" w:rsidP="008D6B23">
            <w:pPr>
              <w:jc w:val="center"/>
              <w:rPr>
                <w:b/>
                <w:bCs/>
              </w:rPr>
            </w:pPr>
          </w:p>
        </w:tc>
        <w:tc>
          <w:tcPr>
            <w:tcW w:w="649" w:type="dxa"/>
          </w:tcPr>
          <w:p w14:paraId="6457579A" w14:textId="77777777" w:rsidR="008D6B23" w:rsidRPr="003B5733" w:rsidRDefault="008D6B23" w:rsidP="008D6B23">
            <w:pPr>
              <w:jc w:val="center"/>
              <w:rPr>
                <w:b/>
                <w:bCs/>
              </w:rPr>
            </w:pPr>
          </w:p>
        </w:tc>
        <w:tc>
          <w:tcPr>
            <w:tcW w:w="759" w:type="dxa"/>
          </w:tcPr>
          <w:p w14:paraId="05C88857" w14:textId="456C1D35" w:rsidR="008D6B23" w:rsidRPr="003B5733" w:rsidRDefault="008D6B23" w:rsidP="008D6B23">
            <w:pPr>
              <w:jc w:val="center"/>
              <w:rPr>
                <w:b/>
                <w:bCs/>
              </w:rPr>
            </w:pPr>
            <w:r w:rsidRPr="003B5733">
              <w:rPr>
                <w:b/>
                <w:bCs/>
              </w:rPr>
              <w:t>69.0</w:t>
            </w:r>
          </w:p>
        </w:tc>
        <w:tc>
          <w:tcPr>
            <w:tcW w:w="895" w:type="dxa"/>
          </w:tcPr>
          <w:p w14:paraId="79231977" w14:textId="74709DA6" w:rsidR="008D6B23" w:rsidRPr="003B5733" w:rsidRDefault="008D6B23" w:rsidP="008D6B23">
            <w:pPr>
              <w:jc w:val="center"/>
              <w:rPr>
                <w:b/>
                <w:bCs/>
              </w:rPr>
            </w:pPr>
            <w:r w:rsidRPr="003B5733">
              <w:rPr>
                <w:b/>
                <w:bCs/>
              </w:rPr>
              <w:t>860.7</w:t>
            </w:r>
          </w:p>
        </w:tc>
      </w:tr>
    </w:tbl>
    <w:p w14:paraId="46C4D96B" w14:textId="77777777" w:rsidR="00044E8F" w:rsidRDefault="00044E8F" w:rsidP="000F306A">
      <w:pPr>
        <w:rPr>
          <w:bCs/>
        </w:rPr>
      </w:pPr>
    </w:p>
    <w:p w14:paraId="7ED0C0E3" w14:textId="7DEFC82B" w:rsidR="00701D79" w:rsidRDefault="00A94A62" w:rsidP="00701D79">
      <w:pPr>
        <w:pStyle w:val="Num-DocParagraph"/>
        <w:rPr>
          <w:rFonts w:asciiTheme="minorHAnsi" w:hAnsiTheme="minorHAnsi"/>
          <w:color w:val="000000" w:themeColor="text1"/>
        </w:rPr>
      </w:pPr>
      <w:r>
        <w:t>For a 1.5-hour experiment</w:t>
      </w:r>
      <w:r w:rsidR="00826F90">
        <w:t>, we anticipate average</w:t>
      </w:r>
      <w:r w:rsidR="00105BA0">
        <w:t xml:space="preserve"> earnings</w:t>
      </w:r>
      <w:r w:rsidR="00826F90">
        <w:t xml:space="preserve"> per subject</w:t>
      </w:r>
      <w:r w:rsidR="009D5B86">
        <w:t xml:space="preserve"> to be</w:t>
      </w:r>
      <w:r w:rsidR="00105BA0">
        <w:t xml:space="preserve"> $20-25</w:t>
      </w:r>
      <w:r>
        <w:t xml:space="preserve"> (including a $10 show-up fee).  We anticipate recruiting up to 500 student participants, bringing the expected total cost of subject payments to </w:t>
      </w:r>
      <w:r w:rsidR="002317A9">
        <w:t>$10,0</w:t>
      </w:r>
      <w:r w:rsidR="00165536" w:rsidRPr="00604E9B">
        <w:t>00 – $</w:t>
      </w:r>
      <w:r w:rsidR="002317A9">
        <w:t>12,500.</w:t>
      </w:r>
    </w:p>
    <w:p w14:paraId="2984BF59" w14:textId="77777777" w:rsidR="003972CF" w:rsidRDefault="003972CF" w:rsidP="00701D79">
      <w:pPr>
        <w:pStyle w:val="Num-DocParagraph"/>
        <w:rPr>
          <w:rFonts w:asciiTheme="minorHAnsi" w:hAnsiTheme="minorHAnsi"/>
          <w:color w:val="000000" w:themeColor="text1"/>
        </w:rPr>
      </w:pPr>
    </w:p>
    <w:p w14:paraId="64AD8EF9" w14:textId="77777777" w:rsidR="00B402F9" w:rsidRPr="00D20D0D" w:rsidRDefault="006A33E2" w:rsidP="00FC11A2">
      <w:pPr>
        <w:pStyle w:val="Num-DocParagraph"/>
        <w:numPr>
          <w:ilvl w:val="0"/>
          <w:numId w:val="1"/>
        </w:numPr>
        <w:rPr>
          <w:rFonts w:asciiTheme="minorHAnsi" w:hAnsiTheme="minorHAnsi"/>
          <w:b/>
          <w:color w:val="000000" w:themeColor="text1"/>
        </w:rPr>
      </w:pPr>
      <w:r w:rsidRPr="00D20D0D">
        <w:rPr>
          <w:rFonts w:asciiTheme="minorHAnsi" w:hAnsiTheme="minorHAnsi"/>
          <w:b/>
          <w:color w:val="000000" w:themeColor="text1"/>
        </w:rPr>
        <w:t xml:space="preserve">Estimate of other total annual cost burden to respondent or </w:t>
      </w:r>
      <w:proofErr w:type="spellStart"/>
      <w:r w:rsidRPr="00D20D0D">
        <w:rPr>
          <w:rFonts w:asciiTheme="minorHAnsi" w:hAnsiTheme="minorHAnsi"/>
          <w:b/>
          <w:color w:val="000000" w:themeColor="text1"/>
        </w:rPr>
        <w:t>recordkeepers</w:t>
      </w:r>
      <w:proofErr w:type="spellEnd"/>
    </w:p>
    <w:p w14:paraId="7152D7E5" w14:textId="483F6453" w:rsidR="006A33E2" w:rsidRDefault="006A33E2" w:rsidP="006A33E2">
      <w:pPr>
        <w:pStyle w:val="Num-DocParagraph"/>
        <w:rPr>
          <w:rFonts w:asciiTheme="minorHAnsi" w:hAnsiTheme="minorHAnsi"/>
          <w:color w:val="000000" w:themeColor="text1"/>
        </w:rPr>
      </w:pPr>
      <w:r>
        <w:rPr>
          <w:rFonts w:asciiTheme="minorHAnsi" w:hAnsiTheme="minorHAnsi"/>
          <w:color w:val="000000" w:themeColor="text1"/>
        </w:rPr>
        <w:t xml:space="preserve">There will be no capital, operating, or maintenance costs to the respondent as the result of participation in </w:t>
      </w:r>
      <w:r w:rsidR="00285813">
        <w:rPr>
          <w:rFonts w:asciiTheme="minorHAnsi" w:hAnsiTheme="minorHAnsi"/>
          <w:color w:val="000000" w:themeColor="text1"/>
        </w:rPr>
        <w:t>this experiment</w:t>
      </w:r>
      <w:r>
        <w:rPr>
          <w:rFonts w:asciiTheme="minorHAnsi" w:hAnsiTheme="minorHAnsi"/>
          <w:color w:val="000000" w:themeColor="text1"/>
        </w:rPr>
        <w:t xml:space="preserve">. </w:t>
      </w:r>
    </w:p>
    <w:p w14:paraId="12316C8C" w14:textId="77777777" w:rsidR="006A33E2" w:rsidRDefault="006A33E2" w:rsidP="006A33E2">
      <w:pPr>
        <w:pStyle w:val="Num-DocParagraph"/>
        <w:rPr>
          <w:rFonts w:asciiTheme="minorHAnsi" w:hAnsiTheme="minorHAnsi"/>
          <w:color w:val="000000" w:themeColor="text1"/>
        </w:rPr>
      </w:pPr>
    </w:p>
    <w:p w14:paraId="0D1DF02F" w14:textId="77777777" w:rsidR="006A33E2" w:rsidRPr="00875841" w:rsidRDefault="006A33E2" w:rsidP="00FC11A2">
      <w:pPr>
        <w:pStyle w:val="Num-DocParagraph"/>
        <w:numPr>
          <w:ilvl w:val="0"/>
          <w:numId w:val="1"/>
        </w:numPr>
        <w:rPr>
          <w:rFonts w:asciiTheme="minorHAnsi" w:hAnsiTheme="minorHAnsi"/>
          <w:b/>
          <w:color w:val="000000" w:themeColor="text1"/>
        </w:rPr>
      </w:pPr>
      <w:r w:rsidRPr="00875841">
        <w:rPr>
          <w:rFonts w:asciiTheme="minorHAnsi" w:hAnsiTheme="minorHAnsi"/>
          <w:b/>
          <w:color w:val="000000" w:themeColor="text1"/>
        </w:rPr>
        <w:t>Estimate of costs to the Federal Government</w:t>
      </w:r>
    </w:p>
    <w:p w14:paraId="5093ECD3" w14:textId="2909B7A4" w:rsidR="00D87610" w:rsidRDefault="004C35AD" w:rsidP="00D87610">
      <w:pPr>
        <w:pStyle w:val="Num-DocParagraph"/>
        <w:rPr>
          <w:rFonts w:asciiTheme="minorHAnsi" w:hAnsiTheme="minorHAnsi"/>
          <w:color w:val="000000" w:themeColor="text1"/>
        </w:rPr>
      </w:pPr>
      <w:r w:rsidRPr="00681050">
        <w:rPr>
          <w:rFonts w:asciiTheme="minorHAnsi" w:hAnsiTheme="minorHAnsi"/>
          <w:color w:val="000000" w:themeColor="text1"/>
        </w:rPr>
        <w:t xml:space="preserve">The Federal Government has funded this research through a </w:t>
      </w:r>
      <w:r w:rsidR="00F820F8" w:rsidRPr="00681050">
        <w:rPr>
          <w:rFonts w:asciiTheme="minorHAnsi" w:hAnsiTheme="minorHAnsi"/>
          <w:color w:val="000000" w:themeColor="text1"/>
        </w:rPr>
        <w:t xml:space="preserve">2-year </w:t>
      </w:r>
      <w:r w:rsidRPr="00681050">
        <w:rPr>
          <w:rFonts w:asciiTheme="minorHAnsi" w:hAnsiTheme="minorHAnsi"/>
          <w:color w:val="000000" w:themeColor="text1"/>
        </w:rPr>
        <w:t>cooperative agreement with the University of Rhode Island.  This cooperative agreement is intended to fund multiple projects</w:t>
      </w:r>
      <w:r w:rsidR="009618EC" w:rsidRPr="00681050">
        <w:rPr>
          <w:rFonts w:asciiTheme="minorHAnsi" w:hAnsiTheme="minorHAnsi"/>
          <w:color w:val="000000" w:themeColor="text1"/>
        </w:rPr>
        <w:t xml:space="preserve"> including </w:t>
      </w:r>
      <w:r w:rsidR="009618EC" w:rsidRPr="00681050">
        <w:rPr>
          <w:rFonts w:asciiTheme="minorHAnsi" w:hAnsiTheme="minorHAnsi"/>
          <w:color w:val="000000" w:themeColor="text1"/>
        </w:rPr>
        <w:lastRenderedPageBreak/>
        <w:t>the proposed experiment</w:t>
      </w:r>
      <w:r w:rsidRPr="00681050">
        <w:rPr>
          <w:rFonts w:asciiTheme="minorHAnsi" w:hAnsiTheme="minorHAnsi"/>
          <w:color w:val="000000" w:themeColor="text1"/>
        </w:rPr>
        <w:t xml:space="preserve">.  The total reimbursable cost of the cooperative agreement is $228,000.  </w:t>
      </w:r>
      <w:r w:rsidR="001B4F73" w:rsidRPr="00681050">
        <w:rPr>
          <w:rFonts w:asciiTheme="minorHAnsi" w:hAnsiTheme="minorHAnsi"/>
          <w:color w:val="000000" w:themeColor="text1"/>
        </w:rPr>
        <w:t xml:space="preserve">Total </w:t>
      </w:r>
      <w:r w:rsidRPr="00681050">
        <w:rPr>
          <w:rFonts w:asciiTheme="minorHAnsi" w:hAnsiTheme="minorHAnsi"/>
          <w:color w:val="000000" w:themeColor="text1"/>
        </w:rPr>
        <w:t xml:space="preserve">ERS in-house resources are anticipated to be </w:t>
      </w:r>
      <w:r w:rsidR="00F820F8" w:rsidRPr="00681050">
        <w:rPr>
          <w:rFonts w:asciiTheme="minorHAnsi" w:hAnsiTheme="minorHAnsi"/>
          <w:color w:val="000000" w:themeColor="text1"/>
        </w:rPr>
        <w:t xml:space="preserve">equivalent to 30% of the salary for full-time GS-12 </w:t>
      </w:r>
      <w:r w:rsidR="00661BA1" w:rsidRPr="00681050">
        <w:rPr>
          <w:rFonts w:asciiTheme="minorHAnsi" w:hAnsiTheme="minorHAnsi"/>
          <w:color w:val="000000" w:themeColor="text1"/>
        </w:rPr>
        <w:t>level employee over the 2-year span of the project</w:t>
      </w:r>
      <w:r w:rsidRPr="00681050">
        <w:rPr>
          <w:rFonts w:asciiTheme="minorHAnsi" w:hAnsiTheme="minorHAnsi"/>
          <w:color w:val="000000" w:themeColor="text1"/>
        </w:rPr>
        <w:t>.</w:t>
      </w:r>
      <w:r>
        <w:rPr>
          <w:rFonts w:asciiTheme="minorHAnsi" w:hAnsiTheme="minorHAnsi"/>
          <w:color w:val="000000" w:themeColor="text1"/>
        </w:rPr>
        <w:t xml:space="preserve">  </w:t>
      </w:r>
    </w:p>
    <w:p w14:paraId="55F14BDE" w14:textId="77777777" w:rsidR="00D87610" w:rsidRDefault="00D87610" w:rsidP="00D87610">
      <w:pPr>
        <w:pStyle w:val="Num-DocParagraph"/>
        <w:rPr>
          <w:rFonts w:asciiTheme="minorHAnsi" w:hAnsiTheme="minorHAnsi"/>
          <w:color w:val="000000" w:themeColor="text1"/>
        </w:rPr>
      </w:pPr>
    </w:p>
    <w:p w14:paraId="24F86F19" w14:textId="77777777" w:rsidR="006A33E2" w:rsidRPr="00B70AE5" w:rsidRDefault="004335D0" w:rsidP="00FC11A2">
      <w:pPr>
        <w:pStyle w:val="Num-DocParagraph"/>
        <w:numPr>
          <w:ilvl w:val="0"/>
          <w:numId w:val="1"/>
        </w:numPr>
        <w:rPr>
          <w:rFonts w:asciiTheme="minorHAnsi" w:hAnsiTheme="minorHAnsi"/>
          <w:b/>
          <w:color w:val="000000" w:themeColor="text1"/>
        </w:rPr>
      </w:pPr>
      <w:r w:rsidRPr="00B70AE5">
        <w:rPr>
          <w:rFonts w:asciiTheme="minorHAnsi" w:hAnsiTheme="minorHAnsi"/>
          <w:b/>
          <w:color w:val="000000" w:themeColor="text1"/>
        </w:rPr>
        <w:t>Changes in burden hour</w:t>
      </w:r>
    </w:p>
    <w:p w14:paraId="69CAD7B0" w14:textId="77777777" w:rsidR="009D7D16" w:rsidRDefault="00255FA4" w:rsidP="009D7D16">
      <w:pPr>
        <w:pStyle w:val="Num-DocParagraph"/>
        <w:rPr>
          <w:rFonts w:asciiTheme="minorHAnsi" w:hAnsiTheme="minorHAnsi"/>
          <w:color w:val="000000" w:themeColor="text1"/>
        </w:rPr>
      </w:pPr>
      <w:r>
        <w:rPr>
          <w:rFonts w:asciiTheme="minorHAnsi" w:hAnsiTheme="minorHAnsi"/>
          <w:color w:val="000000" w:themeColor="text1"/>
        </w:rPr>
        <w:t xml:space="preserve">This is new data collection. </w:t>
      </w:r>
    </w:p>
    <w:p w14:paraId="25C17153" w14:textId="77777777" w:rsidR="00255FA4" w:rsidRDefault="00255FA4" w:rsidP="009D7D16">
      <w:pPr>
        <w:pStyle w:val="Num-DocParagraph"/>
        <w:rPr>
          <w:rFonts w:asciiTheme="minorHAnsi" w:hAnsiTheme="minorHAnsi"/>
          <w:color w:val="000000" w:themeColor="text1"/>
        </w:rPr>
      </w:pPr>
    </w:p>
    <w:p w14:paraId="092556B2" w14:textId="77777777" w:rsidR="004335D0" w:rsidRPr="00014811" w:rsidRDefault="009403D3" w:rsidP="00FC11A2">
      <w:pPr>
        <w:pStyle w:val="Num-DocParagraph"/>
        <w:numPr>
          <w:ilvl w:val="0"/>
          <w:numId w:val="1"/>
        </w:numPr>
        <w:rPr>
          <w:rFonts w:asciiTheme="minorHAnsi" w:hAnsiTheme="minorHAnsi"/>
          <w:b/>
          <w:color w:val="000000" w:themeColor="text1"/>
        </w:rPr>
      </w:pPr>
      <w:r w:rsidRPr="00014811">
        <w:rPr>
          <w:rFonts w:asciiTheme="minorHAnsi" w:hAnsiTheme="minorHAnsi"/>
          <w:b/>
          <w:color w:val="000000" w:themeColor="text1"/>
        </w:rPr>
        <w:t>Plans for tabulation, publication, and project time schedule</w:t>
      </w:r>
    </w:p>
    <w:p w14:paraId="787BA076" w14:textId="5C7BBEAC" w:rsidR="00E710E8" w:rsidRDefault="0033671B" w:rsidP="00B202F8">
      <w:pPr>
        <w:pStyle w:val="Num-DocParagraph"/>
        <w:rPr>
          <w:rFonts w:asciiTheme="minorHAnsi" w:hAnsiTheme="minorHAnsi"/>
          <w:color w:val="000000" w:themeColor="text1"/>
        </w:rPr>
      </w:pPr>
      <w:r>
        <w:rPr>
          <w:rFonts w:asciiTheme="minorHAnsi" w:hAnsiTheme="minorHAnsi"/>
          <w:color w:val="000000" w:themeColor="text1"/>
        </w:rPr>
        <w:t>If approved, this research will be com</w:t>
      </w:r>
      <w:r w:rsidR="000A084F">
        <w:rPr>
          <w:rFonts w:asciiTheme="minorHAnsi" w:hAnsiTheme="minorHAnsi"/>
          <w:color w:val="000000" w:themeColor="text1"/>
        </w:rPr>
        <w:t>pleted within 16</w:t>
      </w:r>
      <w:r>
        <w:rPr>
          <w:rFonts w:asciiTheme="minorHAnsi" w:hAnsiTheme="minorHAnsi"/>
          <w:color w:val="000000" w:themeColor="text1"/>
        </w:rPr>
        <w:t xml:space="preserve"> months of approval.  Data will be analyzed and </w:t>
      </w:r>
      <w:r w:rsidR="000A084F">
        <w:rPr>
          <w:rFonts w:asciiTheme="minorHAnsi" w:hAnsiTheme="minorHAnsi"/>
          <w:color w:val="000000" w:themeColor="text1"/>
        </w:rPr>
        <w:t>a report will be written in 2018</w:t>
      </w:r>
      <w:r>
        <w:rPr>
          <w:rFonts w:asciiTheme="minorHAnsi" w:hAnsiTheme="minorHAnsi"/>
          <w:color w:val="000000" w:themeColor="text1"/>
        </w:rPr>
        <w:t xml:space="preserve">.  </w:t>
      </w:r>
    </w:p>
    <w:p w14:paraId="39C7B8BE" w14:textId="0B296A0F" w:rsidR="00FC2B45" w:rsidRDefault="00C81E09" w:rsidP="00B202F8">
      <w:pPr>
        <w:pStyle w:val="Num-DocParagraph"/>
        <w:rPr>
          <w:rFonts w:asciiTheme="minorHAnsi" w:hAnsiTheme="minorHAnsi"/>
          <w:color w:val="000000" w:themeColor="text1"/>
        </w:rPr>
      </w:pPr>
      <w:r>
        <w:t>D</w:t>
      </w:r>
      <w:r w:rsidR="00FC2B45">
        <w:t xml:space="preserve">ata analysis will include </w:t>
      </w:r>
      <w:r w:rsidR="00801F66">
        <w:t xml:space="preserve">using multivariate regressions to produce </w:t>
      </w:r>
      <w:r w:rsidR="00FC2B45">
        <w:t>coefficient estimates of risk parameters and demand elasticities; estimates of correlation coefficients between risk parameter estimates, elasticity estimates, and demographic characteristics; and univariate comparisons of demand elasticities and correlation coefficients under the different environmental treatments (t-tests and non-parametric tests).</w:t>
      </w:r>
    </w:p>
    <w:p w14:paraId="3E071DD3" w14:textId="12400E3C" w:rsidR="00B202F8" w:rsidRDefault="00E710E8" w:rsidP="00B202F8">
      <w:pPr>
        <w:pStyle w:val="Num-DocParagraph"/>
        <w:rPr>
          <w:rFonts w:asciiTheme="minorHAnsi" w:hAnsiTheme="minorHAnsi"/>
          <w:color w:val="000000" w:themeColor="text1"/>
        </w:rPr>
      </w:pPr>
      <w:r>
        <w:t xml:space="preserve">Results will inform future experiments to study </w:t>
      </w:r>
      <w:r w:rsidR="00792B7B">
        <w:t xml:space="preserve">farmers’ </w:t>
      </w:r>
      <w:r>
        <w:t>risk management dec</w:t>
      </w:r>
      <w:r w:rsidR="00CA7B05">
        <w:t xml:space="preserve">ision-making </w:t>
      </w:r>
      <w:r w:rsidR="00792B7B">
        <w:t>processes</w:t>
      </w:r>
      <w:r>
        <w:t>.  Results may be shared with other agencies within USDA, but will not be used to evaluate existing policies or directly inform new policy making.  Additionally, results may be disseminated as presentations and publications for academic and professional audiences, but will not be used to prepare official agency statistics.</w:t>
      </w:r>
    </w:p>
    <w:p w14:paraId="32100876" w14:textId="77777777" w:rsidR="00B202F8" w:rsidRDefault="00B202F8" w:rsidP="00B202F8">
      <w:pPr>
        <w:pStyle w:val="Num-DocParagraph"/>
        <w:rPr>
          <w:rFonts w:asciiTheme="minorHAnsi" w:hAnsiTheme="minorHAnsi"/>
          <w:color w:val="000000" w:themeColor="text1"/>
        </w:rPr>
      </w:pPr>
    </w:p>
    <w:p w14:paraId="2C21646B" w14:textId="77777777" w:rsidR="009403D3" w:rsidRPr="00B202F8" w:rsidRDefault="009403D3" w:rsidP="00FC11A2">
      <w:pPr>
        <w:pStyle w:val="Num-DocParagraph"/>
        <w:numPr>
          <w:ilvl w:val="0"/>
          <w:numId w:val="1"/>
        </w:numPr>
        <w:rPr>
          <w:rFonts w:asciiTheme="minorHAnsi" w:hAnsiTheme="minorHAnsi"/>
          <w:b/>
          <w:color w:val="000000" w:themeColor="text1"/>
        </w:rPr>
      </w:pPr>
      <w:r w:rsidRPr="00B202F8">
        <w:rPr>
          <w:rFonts w:asciiTheme="minorHAnsi" w:hAnsiTheme="minorHAnsi"/>
          <w:b/>
          <w:color w:val="000000" w:themeColor="text1"/>
        </w:rPr>
        <w:t>Reasons display of OMB expiration date is inappropriate</w:t>
      </w:r>
    </w:p>
    <w:p w14:paraId="181636A3" w14:textId="77777777" w:rsidR="00B70378" w:rsidRDefault="006063C2" w:rsidP="00B70378">
      <w:pPr>
        <w:pStyle w:val="Num-DocParagraph"/>
        <w:rPr>
          <w:rFonts w:asciiTheme="minorHAnsi" w:hAnsiTheme="minorHAnsi"/>
          <w:color w:val="000000" w:themeColor="text1"/>
        </w:rPr>
      </w:pPr>
      <w:r>
        <w:rPr>
          <w:rFonts w:asciiTheme="minorHAnsi" w:hAnsiTheme="minorHAnsi"/>
          <w:color w:val="000000" w:themeColor="text1"/>
        </w:rPr>
        <w:t xml:space="preserve">No exemption is requested. </w:t>
      </w:r>
    </w:p>
    <w:p w14:paraId="273AD5EC" w14:textId="77777777" w:rsidR="00B70378" w:rsidRDefault="00B70378" w:rsidP="00B70378">
      <w:pPr>
        <w:pStyle w:val="Num-DocParagraph"/>
        <w:rPr>
          <w:rFonts w:asciiTheme="minorHAnsi" w:hAnsiTheme="minorHAnsi"/>
          <w:color w:val="000000" w:themeColor="text1"/>
        </w:rPr>
      </w:pPr>
    </w:p>
    <w:p w14:paraId="172D75E2" w14:textId="77777777" w:rsidR="009403D3" w:rsidRPr="00B202F8" w:rsidRDefault="009403D3" w:rsidP="00FC11A2">
      <w:pPr>
        <w:pStyle w:val="Num-DocParagraph"/>
        <w:numPr>
          <w:ilvl w:val="0"/>
          <w:numId w:val="1"/>
        </w:numPr>
        <w:rPr>
          <w:rFonts w:asciiTheme="minorHAnsi" w:hAnsiTheme="minorHAnsi"/>
          <w:b/>
          <w:color w:val="000000" w:themeColor="text1"/>
        </w:rPr>
      </w:pPr>
      <w:r w:rsidRPr="00B202F8">
        <w:rPr>
          <w:rFonts w:asciiTheme="minorHAnsi" w:hAnsiTheme="minorHAnsi"/>
          <w:b/>
          <w:color w:val="000000" w:themeColor="text1"/>
        </w:rPr>
        <w:t>Exceptions to certification for paperwork reduction act submissions</w:t>
      </w:r>
    </w:p>
    <w:p w14:paraId="64980748" w14:textId="53E30F2D" w:rsidR="00534893" w:rsidRDefault="009403D3" w:rsidP="00CD6FAE">
      <w:pPr>
        <w:pStyle w:val="Num-DocParagraph"/>
        <w:rPr>
          <w:rFonts w:asciiTheme="minorHAnsi" w:hAnsiTheme="minorHAnsi"/>
          <w:color w:val="000000" w:themeColor="text1"/>
        </w:rPr>
      </w:pPr>
      <w:r>
        <w:rPr>
          <w:rFonts w:asciiTheme="minorHAnsi" w:hAnsiTheme="minorHAnsi"/>
          <w:color w:val="000000" w:themeColor="text1"/>
        </w:rPr>
        <w:t xml:space="preserve">No exceptions to certification are requested. </w:t>
      </w:r>
    </w:p>
    <w:p w14:paraId="5A8E622A" w14:textId="77777777" w:rsidR="004138EE" w:rsidRDefault="004138EE" w:rsidP="00CD6FAE">
      <w:pPr>
        <w:pStyle w:val="Num-DocParagraph"/>
        <w:rPr>
          <w:rFonts w:asciiTheme="minorHAnsi" w:hAnsiTheme="minorHAnsi"/>
          <w:color w:val="000000" w:themeColor="text1"/>
        </w:rPr>
      </w:pPr>
    </w:p>
    <w:p w14:paraId="5DA13B2A" w14:textId="20AF5C89" w:rsidR="00FB3BA5" w:rsidRDefault="00FF2B59" w:rsidP="00866814">
      <w:pPr>
        <w:pStyle w:val="Heading2"/>
      </w:pPr>
      <w:r>
        <w:t xml:space="preserve">List of </w:t>
      </w:r>
      <w:r w:rsidR="003D02A1">
        <w:t xml:space="preserve">Attachments </w:t>
      </w:r>
    </w:p>
    <w:p w14:paraId="5C64B7F8" w14:textId="5D69D275" w:rsidR="003D02A1" w:rsidRDefault="00FF2B59" w:rsidP="00866814">
      <w:r>
        <w:t>Attachment A – 7 USC 2204a</w:t>
      </w:r>
    </w:p>
    <w:p w14:paraId="2544D9F2" w14:textId="2318FCAE" w:rsidR="00FF2B59" w:rsidRDefault="00FF2B59" w:rsidP="00866814">
      <w:r>
        <w:t>Attachment B – Experimental Design</w:t>
      </w:r>
    </w:p>
    <w:p w14:paraId="12BE2187" w14:textId="44FA419B" w:rsidR="00FF2B59" w:rsidRDefault="00FF2B59" w:rsidP="00866814">
      <w:r>
        <w:lastRenderedPageBreak/>
        <w:t>Attachment C – ERS Literature Review on Consequences of Commodity Support Programs and Crop Insurance on Agricultural Production and the Environment</w:t>
      </w:r>
    </w:p>
    <w:p w14:paraId="4FB3BA97" w14:textId="64192576" w:rsidR="00FF2B59" w:rsidRDefault="00A50353" w:rsidP="00866814">
      <w:r>
        <w:t>Attachment D – Instructions</w:t>
      </w:r>
    </w:p>
    <w:p w14:paraId="401D0E86" w14:textId="2A75208B" w:rsidR="00A50353" w:rsidRDefault="00A50353" w:rsidP="00866814">
      <w:r>
        <w:t>Attachment E – Questionnaire</w:t>
      </w:r>
    </w:p>
    <w:p w14:paraId="33BF0A1E" w14:textId="2E3C1CFB" w:rsidR="00A50353" w:rsidRDefault="00A50353" w:rsidP="00866814">
      <w:r>
        <w:t>Attachment F – Consent Form</w:t>
      </w:r>
    </w:p>
    <w:p w14:paraId="1592726B" w14:textId="25F4433C" w:rsidR="00A50353" w:rsidRDefault="00A50353" w:rsidP="00866814">
      <w:r>
        <w:t>Attachment G – Disclaimer</w:t>
      </w:r>
    </w:p>
    <w:p w14:paraId="5330A62B" w14:textId="2F820EDC" w:rsidR="00A50353" w:rsidRDefault="00A50353" w:rsidP="00866814">
      <w:r>
        <w:t>Attachment H – Pretest Report</w:t>
      </w:r>
    </w:p>
    <w:p w14:paraId="78CEC5AA" w14:textId="7D67313F" w:rsidR="00A50353" w:rsidRDefault="00A50353" w:rsidP="00866814">
      <w:r>
        <w:t>Attachment I – Federal Register Notice</w:t>
      </w:r>
    </w:p>
    <w:p w14:paraId="01A04AEE" w14:textId="4592C06B" w:rsidR="00A50353" w:rsidRDefault="00A50353" w:rsidP="00866814">
      <w:r>
        <w:t>Attachment J – Recruitment Message</w:t>
      </w:r>
    </w:p>
    <w:p w14:paraId="1EF289BA" w14:textId="77777777" w:rsidR="003D02A1" w:rsidRPr="00866814" w:rsidRDefault="003D02A1" w:rsidP="00866814"/>
    <w:p w14:paraId="62F55B92" w14:textId="0EAD4394" w:rsidR="004138EE" w:rsidRDefault="004138EE" w:rsidP="004138EE">
      <w:pPr>
        <w:pStyle w:val="Heading2"/>
      </w:pPr>
      <w:r>
        <w:t>References</w:t>
      </w:r>
    </w:p>
    <w:p w14:paraId="78A5D7FF" w14:textId="6AD4777F" w:rsidR="00B54BA3" w:rsidRDefault="00B54BA3" w:rsidP="004608C2">
      <w:pPr>
        <w:pStyle w:val="NoSpacing"/>
      </w:pPr>
      <w:proofErr w:type="spellStart"/>
      <w:r w:rsidRPr="00B54BA3">
        <w:t>Antle</w:t>
      </w:r>
      <w:proofErr w:type="spellEnd"/>
      <w:r w:rsidRPr="00B54BA3">
        <w:t xml:space="preserve">, J. M. (1983). Incorporating risk in production analysis. </w:t>
      </w:r>
      <w:r w:rsidRPr="00B54BA3">
        <w:rPr>
          <w:i/>
          <w:iCs/>
        </w:rPr>
        <w:t>American Journal of Agricultural Economics</w:t>
      </w:r>
      <w:r w:rsidRPr="00B54BA3">
        <w:t xml:space="preserve">, </w:t>
      </w:r>
      <w:r w:rsidRPr="00B54BA3">
        <w:rPr>
          <w:i/>
          <w:iCs/>
        </w:rPr>
        <w:t>65</w:t>
      </w:r>
      <w:r w:rsidRPr="00B54BA3">
        <w:t>(5), 1099-1106.</w:t>
      </w:r>
    </w:p>
    <w:p w14:paraId="73F93CAB" w14:textId="77777777" w:rsidR="00B54BA3" w:rsidRPr="004608C2" w:rsidRDefault="00B54BA3" w:rsidP="004608C2">
      <w:pPr>
        <w:spacing w:after="0" w:line="240" w:lineRule="auto"/>
        <w:rPr>
          <w:rFonts w:ascii="Times New Roman" w:eastAsia="Times New Roman" w:hAnsi="Times New Roman" w:cs="Times New Roman"/>
          <w:sz w:val="24"/>
          <w:szCs w:val="24"/>
        </w:rPr>
      </w:pPr>
    </w:p>
    <w:p w14:paraId="2F8CCE25" w14:textId="77777777" w:rsidR="00E9734A" w:rsidRPr="00E9734A" w:rsidRDefault="00E9734A" w:rsidP="00F12E1E">
      <w:r w:rsidRPr="00E9734A">
        <w:t xml:space="preserve">Babcock, B. A. (2015). Using Cumulative Prospect Theory to Explain Anomalous Crop Insurance Coverage Choice. </w:t>
      </w:r>
      <w:r w:rsidRPr="00E9734A">
        <w:rPr>
          <w:i/>
          <w:iCs/>
        </w:rPr>
        <w:t>American Journal of Agricultural Economics</w:t>
      </w:r>
      <w:r w:rsidRPr="00E9734A">
        <w:t>, aav032.</w:t>
      </w:r>
    </w:p>
    <w:p w14:paraId="4FB081EF" w14:textId="77777777" w:rsidR="00051310" w:rsidRDefault="00051310" w:rsidP="00F12E1E">
      <w:proofErr w:type="spellStart"/>
      <w:r>
        <w:t>Bardsley</w:t>
      </w:r>
      <w:proofErr w:type="spellEnd"/>
      <w:r>
        <w:t xml:space="preserve">, N. (2010). </w:t>
      </w:r>
      <w:r>
        <w:rPr>
          <w:i/>
          <w:iCs/>
        </w:rPr>
        <w:t>Experimental economics: Rethinking the rules</w:t>
      </w:r>
      <w:r>
        <w:t>. Princeton University Press.</w:t>
      </w:r>
    </w:p>
    <w:p w14:paraId="10CE6DBD" w14:textId="77777777" w:rsidR="003026A0" w:rsidRPr="003026A0" w:rsidRDefault="003026A0" w:rsidP="00F12E1E">
      <w:proofErr w:type="spellStart"/>
      <w:r w:rsidRPr="003026A0">
        <w:t>Barseghyan</w:t>
      </w:r>
      <w:proofErr w:type="spellEnd"/>
      <w:r w:rsidRPr="003026A0">
        <w:t xml:space="preserve">, L., Molinari, F., </w:t>
      </w:r>
      <w:proofErr w:type="spellStart"/>
      <w:r w:rsidRPr="003026A0">
        <w:t>O’Donoghue</w:t>
      </w:r>
      <w:proofErr w:type="spellEnd"/>
      <w:r w:rsidRPr="003026A0">
        <w:t xml:space="preserve">, T., &amp; </w:t>
      </w:r>
      <w:proofErr w:type="spellStart"/>
      <w:r w:rsidRPr="003026A0">
        <w:t>Teitelbaum</w:t>
      </w:r>
      <w:proofErr w:type="spellEnd"/>
      <w:r w:rsidRPr="003026A0">
        <w:t xml:space="preserve">, J. C. (2013). The nature of risk preferences: Evidence from insurance choices. </w:t>
      </w:r>
      <w:r w:rsidRPr="003026A0">
        <w:rPr>
          <w:i/>
          <w:iCs/>
        </w:rPr>
        <w:t>American Economic Review</w:t>
      </w:r>
      <w:r w:rsidRPr="003026A0">
        <w:t xml:space="preserve">, </w:t>
      </w:r>
      <w:r w:rsidRPr="003026A0">
        <w:rPr>
          <w:i/>
          <w:iCs/>
        </w:rPr>
        <w:t>103</w:t>
      </w:r>
      <w:r w:rsidRPr="003026A0">
        <w:t>(6), 2499–2529.</w:t>
      </w:r>
    </w:p>
    <w:p w14:paraId="011DB6D0" w14:textId="18FDA0F6" w:rsidR="00800446" w:rsidRDefault="00800446" w:rsidP="008B4135">
      <w:pPr>
        <w:pStyle w:val="NoSpacing"/>
      </w:pPr>
      <w:proofErr w:type="spellStart"/>
      <w:r w:rsidRPr="00320AC0">
        <w:t>Baucells</w:t>
      </w:r>
      <w:proofErr w:type="spellEnd"/>
      <w:r w:rsidRPr="00320AC0">
        <w:t xml:space="preserve">, M., &amp; </w:t>
      </w:r>
      <w:proofErr w:type="spellStart"/>
      <w:r w:rsidRPr="00320AC0">
        <w:t>Villasís</w:t>
      </w:r>
      <w:proofErr w:type="spellEnd"/>
      <w:r w:rsidRPr="00320AC0">
        <w:t xml:space="preserve">, A. (2010). Stability of risk preferences and the reflection effect of prospect theory. </w:t>
      </w:r>
      <w:r w:rsidRPr="00320AC0">
        <w:rPr>
          <w:i/>
          <w:iCs/>
        </w:rPr>
        <w:t>Theory and Decision</w:t>
      </w:r>
      <w:r w:rsidRPr="00320AC0">
        <w:t xml:space="preserve">, </w:t>
      </w:r>
      <w:r w:rsidRPr="00320AC0">
        <w:rPr>
          <w:i/>
          <w:iCs/>
        </w:rPr>
        <w:t>68</w:t>
      </w:r>
      <w:r w:rsidRPr="00320AC0">
        <w:t>(1-2), 193-211.</w:t>
      </w:r>
    </w:p>
    <w:p w14:paraId="5514B9D5" w14:textId="77777777" w:rsidR="00800446" w:rsidRDefault="00800446" w:rsidP="008B4135">
      <w:pPr>
        <w:pStyle w:val="NoSpacing"/>
      </w:pPr>
    </w:p>
    <w:p w14:paraId="55FD667C" w14:textId="795BA3C2" w:rsidR="00197EB1" w:rsidRDefault="00197EB1" w:rsidP="00F12E1E">
      <w:proofErr w:type="spellStart"/>
      <w:r>
        <w:t>Benartzi</w:t>
      </w:r>
      <w:proofErr w:type="spellEnd"/>
      <w:r>
        <w:t>, S.</w:t>
      </w:r>
      <w:r w:rsidRPr="00905EB2">
        <w:t>,</w:t>
      </w:r>
      <w:r>
        <w:t xml:space="preserve"> and R.</w:t>
      </w:r>
      <w:r w:rsidRPr="00905EB2">
        <w:t xml:space="preserve"> H. </w:t>
      </w:r>
      <w:proofErr w:type="spellStart"/>
      <w:r w:rsidRPr="00905EB2">
        <w:t>Thaler</w:t>
      </w:r>
      <w:proofErr w:type="spellEnd"/>
      <w:r w:rsidRPr="00905EB2">
        <w:t xml:space="preserve">. "Myopic loss aversion and the equity premium puzzle." </w:t>
      </w:r>
      <w:r>
        <w:rPr>
          <w:i/>
          <w:iCs/>
        </w:rPr>
        <w:t>The Quarterly J</w:t>
      </w:r>
      <w:r w:rsidRPr="00905EB2">
        <w:rPr>
          <w:i/>
          <w:iCs/>
        </w:rPr>
        <w:t>ournal of Economics</w:t>
      </w:r>
      <w:r w:rsidRPr="00905EB2">
        <w:t xml:space="preserve"> 110, no. 1 (1995): 73-92.</w:t>
      </w:r>
    </w:p>
    <w:p w14:paraId="17922283" w14:textId="77777777" w:rsidR="00405592" w:rsidRPr="00BA0BD9" w:rsidRDefault="00405592" w:rsidP="00405592">
      <w:pPr>
        <w:pStyle w:val="NoSpacing"/>
      </w:pPr>
      <w:proofErr w:type="spellStart"/>
      <w:r w:rsidRPr="00BA0BD9">
        <w:t>Bocquého</w:t>
      </w:r>
      <w:proofErr w:type="spellEnd"/>
      <w:r w:rsidRPr="00BA0BD9">
        <w:t xml:space="preserve">, G., </w:t>
      </w:r>
      <w:proofErr w:type="spellStart"/>
      <w:r w:rsidRPr="00BA0BD9">
        <w:t>Jacquet</w:t>
      </w:r>
      <w:proofErr w:type="spellEnd"/>
      <w:r w:rsidRPr="00BA0BD9">
        <w:t xml:space="preserve">, F., &amp; Reynaud, A. (2014). Expected utility or prospect theory </w:t>
      </w:r>
      <w:proofErr w:type="spellStart"/>
      <w:r w:rsidRPr="00BA0BD9">
        <w:t>maximisers</w:t>
      </w:r>
      <w:proofErr w:type="spellEnd"/>
      <w:r w:rsidRPr="00BA0BD9">
        <w:t xml:space="preserve">? Assessing farmers' risk </w:t>
      </w:r>
      <w:proofErr w:type="spellStart"/>
      <w:r w:rsidRPr="00BA0BD9">
        <w:t>behaviour</w:t>
      </w:r>
      <w:proofErr w:type="spellEnd"/>
      <w:r w:rsidRPr="00BA0BD9">
        <w:t xml:space="preserve"> from field-experiment data. </w:t>
      </w:r>
      <w:r w:rsidRPr="00BA0BD9">
        <w:rPr>
          <w:i/>
          <w:iCs/>
        </w:rPr>
        <w:t>European Review of Agricultural Economics</w:t>
      </w:r>
      <w:r w:rsidRPr="00BA0BD9">
        <w:t xml:space="preserve">, </w:t>
      </w:r>
      <w:r w:rsidRPr="00BA0BD9">
        <w:rPr>
          <w:i/>
          <w:iCs/>
        </w:rPr>
        <w:t>41</w:t>
      </w:r>
      <w:r w:rsidRPr="00BA0BD9">
        <w:t>(1), 135-172.</w:t>
      </w:r>
    </w:p>
    <w:p w14:paraId="5C42B8F4" w14:textId="77777777" w:rsidR="00405592" w:rsidRDefault="00405592" w:rsidP="00405592">
      <w:pPr>
        <w:pStyle w:val="NoSpacing"/>
      </w:pPr>
    </w:p>
    <w:p w14:paraId="06BE5FC8" w14:textId="77777777" w:rsidR="00405592" w:rsidRPr="002932B0" w:rsidRDefault="00405592" w:rsidP="00405592">
      <w:pPr>
        <w:pStyle w:val="NoSpacing"/>
      </w:pPr>
      <w:proofErr w:type="spellStart"/>
      <w:r w:rsidRPr="002932B0">
        <w:t>Borghans</w:t>
      </w:r>
      <w:proofErr w:type="spellEnd"/>
      <w:r w:rsidRPr="002932B0">
        <w:t xml:space="preserve">, L., Heckman, J. J., </w:t>
      </w:r>
      <w:proofErr w:type="spellStart"/>
      <w:r w:rsidRPr="002932B0">
        <w:t>Golsteyn</w:t>
      </w:r>
      <w:proofErr w:type="spellEnd"/>
      <w:r w:rsidRPr="002932B0">
        <w:t xml:space="preserve">, B. H., &amp; </w:t>
      </w:r>
      <w:proofErr w:type="spellStart"/>
      <w:r w:rsidRPr="002932B0">
        <w:t>Meijers</w:t>
      </w:r>
      <w:proofErr w:type="spellEnd"/>
      <w:r w:rsidRPr="002932B0">
        <w:t xml:space="preserve">, H. (2009). Gender differences in risk aversion and ambiguity aversion. </w:t>
      </w:r>
      <w:r w:rsidRPr="002932B0">
        <w:rPr>
          <w:i/>
          <w:iCs/>
        </w:rPr>
        <w:t>Journal of the European Economic Association</w:t>
      </w:r>
      <w:r w:rsidRPr="002932B0">
        <w:t xml:space="preserve">, </w:t>
      </w:r>
      <w:r w:rsidRPr="002932B0">
        <w:rPr>
          <w:i/>
          <w:iCs/>
        </w:rPr>
        <w:t>7</w:t>
      </w:r>
      <w:r w:rsidRPr="002932B0">
        <w:t>(2</w:t>
      </w:r>
      <w:r w:rsidRPr="002932B0">
        <w:rPr>
          <w:rFonts w:ascii="Cambria Math" w:hAnsi="Cambria Math" w:cs="Cambria Math"/>
        </w:rPr>
        <w:t>‐</w:t>
      </w:r>
      <w:r w:rsidRPr="002932B0">
        <w:t>3), 649-658.</w:t>
      </w:r>
    </w:p>
    <w:p w14:paraId="506D27CA" w14:textId="77777777" w:rsidR="00405592" w:rsidRDefault="00405592" w:rsidP="00405592">
      <w:pPr>
        <w:pStyle w:val="NoSpacing"/>
      </w:pPr>
    </w:p>
    <w:p w14:paraId="1C36364E" w14:textId="34C41F49" w:rsidR="00405592" w:rsidRDefault="00405592" w:rsidP="008B4135">
      <w:pPr>
        <w:pStyle w:val="NoSpacing"/>
      </w:pPr>
      <w:proofErr w:type="spellStart"/>
      <w:r w:rsidRPr="00370B98">
        <w:t>Bruhin</w:t>
      </w:r>
      <w:proofErr w:type="spellEnd"/>
      <w:r w:rsidRPr="00370B98">
        <w:t>, A., Fehr</w:t>
      </w:r>
      <w:r w:rsidRPr="00370B98">
        <w:rPr>
          <w:rFonts w:ascii="Cambria Math" w:hAnsi="Cambria Math" w:cs="Cambria Math"/>
        </w:rPr>
        <w:t>‐</w:t>
      </w:r>
      <w:proofErr w:type="spellStart"/>
      <w:r w:rsidRPr="00370B98">
        <w:t>Duda</w:t>
      </w:r>
      <w:proofErr w:type="spellEnd"/>
      <w:r w:rsidRPr="00370B98">
        <w:t xml:space="preserve">, H., &amp; </w:t>
      </w:r>
      <w:proofErr w:type="spellStart"/>
      <w:r w:rsidRPr="00370B98">
        <w:t>Epper</w:t>
      </w:r>
      <w:proofErr w:type="spellEnd"/>
      <w:r w:rsidRPr="00370B98">
        <w:t xml:space="preserve">, T. (2010). Risk and rationality: Uncovering heterogeneity in probability distortion. </w:t>
      </w:r>
      <w:proofErr w:type="spellStart"/>
      <w:r w:rsidRPr="00370B98">
        <w:rPr>
          <w:i/>
          <w:iCs/>
        </w:rPr>
        <w:t>Econometrica</w:t>
      </w:r>
      <w:proofErr w:type="spellEnd"/>
      <w:r w:rsidRPr="00370B98">
        <w:t xml:space="preserve">, </w:t>
      </w:r>
      <w:r w:rsidRPr="00370B98">
        <w:rPr>
          <w:i/>
          <w:iCs/>
        </w:rPr>
        <w:t>78</w:t>
      </w:r>
      <w:r w:rsidRPr="00370B98">
        <w:t>(4), 1375-1412.</w:t>
      </w:r>
    </w:p>
    <w:p w14:paraId="62F10364" w14:textId="77777777" w:rsidR="00405592" w:rsidRDefault="00405592" w:rsidP="008B4135">
      <w:pPr>
        <w:pStyle w:val="NoSpacing"/>
      </w:pPr>
    </w:p>
    <w:p w14:paraId="5EE06C41" w14:textId="4296CA4A" w:rsidR="00197EB1" w:rsidRPr="00326DA4" w:rsidRDefault="00197EB1" w:rsidP="0033518A">
      <w:proofErr w:type="spellStart"/>
      <w:r>
        <w:t>Camerer</w:t>
      </w:r>
      <w:proofErr w:type="spellEnd"/>
      <w:r>
        <w:t>, C.</w:t>
      </w:r>
      <w:r w:rsidRPr="00326DA4">
        <w:t xml:space="preserve"> F. "Prospect theory in the wild: Evidence from the field." </w:t>
      </w:r>
      <w:r>
        <w:rPr>
          <w:i/>
          <w:iCs/>
        </w:rPr>
        <w:t>Advances in Behavioral E</w:t>
      </w:r>
      <w:r w:rsidRPr="00326DA4">
        <w:rPr>
          <w:i/>
          <w:iCs/>
        </w:rPr>
        <w:t>conomics</w:t>
      </w:r>
      <w:r w:rsidRPr="00326DA4">
        <w:t xml:space="preserve"> (2004): 148-161.</w:t>
      </w:r>
    </w:p>
    <w:p w14:paraId="280E2646" w14:textId="77777777" w:rsidR="00164C47" w:rsidRDefault="00164C47" w:rsidP="00F12E1E">
      <w:proofErr w:type="spellStart"/>
      <w:r>
        <w:t>Camerer</w:t>
      </w:r>
      <w:proofErr w:type="spellEnd"/>
      <w:r>
        <w:t xml:space="preserve">, C. (2011). The promise and success of lab-field generalizability in experimental economics: A critical reply to Levitt and List. </w:t>
      </w:r>
      <w:r>
        <w:rPr>
          <w:i/>
          <w:iCs/>
        </w:rPr>
        <w:t>Available at SSRN 1977749</w:t>
      </w:r>
      <w:r>
        <w:t>.</w:t>
      </w:r>
    </w:p>
    <w:p w14:paraId="1436628A" w14:textId="77777777" w:rsidR="00507A07" w:rsidRPr="00507A07" w:rsidRDefault="00507A07" w:rsidP="00507A07">
      <w:proofErr w:type="spellStart"/>
      <w:r w:rsidRPr="00507A07">
        <w:lastRenderedPageBreak/>
        <w:t>Camerer</w:t>
      </w:r>
      <w:proofErr w:type="spellEnd"/>
      <w:r w:rsidRPr="00507A07">
        <w:t xml:space="preserve">, C. F., &amp; Hogarth, R. M. (1999). The effects of financial incentives in experiments: A review and capital-labor-production framework. </w:t>
      </w:r>
      <w:r w:rsidRPr="00507A07">
        <w:rPr>
          <w:i/>
          <w:iCs/>
        </w:rPr>
        <w:t>Journal of risk and uncertainty</w:t>
      </w:r>
      <w:r w:rsidRPr="00507A07">
        <w:t xml:space="preserve">, </w:t>
      </w:r>
      <w:r w:rsidRPr="00507A07">
        <w:rPr>
          <w:i/>
          <w:iCs/>
        </w:rPr>
        <w:t>19</w:t>
      </w:r>
      <w:r w:rsidRPr="00507A07">
        <w:t>(1-3), 7-42.</w:t>
      </w:r>
    </w:p>
    <w:p w14:paraId="129A33E9" w14:textId="0F4B2841" w:rsidR="00F139C3" w:rsidRDefault="00F139C3" w:rsidP="008B4135">
      <w:pPr>
        <w:pStyle w:val="NoSpacing"/>
      </w:pPr>
      <w:proofErr w:type="spellStart"/>
      <w:r w:rsidRPr="00A86997">
        <w:t>Camerer</w:t>
      </w:r>
      <w:proofErr w:type="spellEnd"/>
      <w:r w:rsidRPr="00A86997">
        <w:t xml:space="preserve">, C. F., Hogarth, R. M., </w:t>
      </w:r>
      <w:proofErr w:type="spellStart"/>
      <w:r w:rsidRPr="00A86997">
        <w:t>Budescu</w:t>
      </w:r>
      <w:proofErr w:type="spellEnd"/>
      <w:r w:rsidRPr="00A86997">
        <w:t xml:space="preserve">, D. V., &amp; </w:t>
      </w:r>
      <w:proofErr w:type="spellStart"/>
      <w:r w:rsidRPr="00A86997">
        <w:t>Eckel</w:t>
      </w:r>
      <w:proofErr w:type="spellEnd"/>
      <w:r w:rsidRPr="00A86997">
        <w:t xml:space="preserve">, C. (1999). The effects of financial incentives in experiments: A review and capital-labor-production framework. In </w:t>
      </w:r>
      <w:r w:rsidRPr="00A86997">
        <w:rPr>
          <w:i/>
          <w:iCs/>
        </w:rPr>
        <w:t>Elicitation of Preferences</w:t>
      </w:r>
      <w:r w:rsidRPr="00A86997">
        <w:t xml:space="preserve"> (pp. 7-48). Springer Netherlands.</w:t>
      </w:r>
    </w:p>
    <w:p w14:paraId="1A91F8E5" w14:textId="77777777" w:rsidR="00451846" w:rsidRDefault="00451846" w:rsidP="008B4135">
      <w:pPr>
        <w:pStyle w:val="NoSpacing"/>
      </w:pPr>
    </w:p>
    <w:p w14:paraId="646A7F37" w14:textId="4E9739D1" w:rsidR="00451846" w:rsidRDefault="00451846" w:rsidP="008B4135">
      <w:pPr>
        <w:pStyle w:val="NoSpacing"/>
      </w:pPr>
      <w:proofErr w:type="spellStart"/>
      <w:r w:rsidRPr="004009FD">
        <w:t>Charness</w:t>
      </w:r>
      <w:proofErr w:type="spellEnd"/>
      <w:r w:rsidRPr="004009FD">
        <w:t xml:space="preserve">, G., &amp; </w:t>
      </w:r>
      <w:proofErr w:type="spellStart"/>
      <w:r w:rsidRPr="004009FD">
        <w:t>Gneezy</w:t>
      </w:r>
      <w:proofErr w:type="spellEnd"/>
      <w:r w:rsidRPr="004009FD">
        <w:t xml:space="preserve">, U. (2012). Strong evidence for gender differences in risk taking. </w:t>
      </w:r>
      <w:r w:rsidRPr="004009FD">
        <w:rPr>
          <w:i/>
          <w:iCs/>
        </w:rPr>
        <w:t>Journal of Economic Behavior &amp; Organization</w:t>
      </w:r>
      <w:r w:rsidRPr="004009FD">
        <w:t xml:space="preserve">, </w:t>
      </w:r>
      <w:r w:rsidRPr="004009FD">
        <w:rPr>
          <w:i/>
          <w:iCs/>
        </w:rPr>
        <w:t>83</w:t>
      </w:r>
      <w:r w:rsidRPr="004009FD">
        <w:t>(1), 50-58.</w:t>
      </w:r>
    </w:p>
    <w:p w14:paraId="5153EC6D" w14:textId="77777777" w:rsidR="00F139C3" w:rsidRDefault="00F139C3" w:rsidP="008B4135">
      <w:pPr>
        <w:pStyle w:val="NoSpacing"/>
      </w:pPr>
    </w:p>
    <w:p w14:paraId="52265E44" w14:textId="73D6BB6A" w:rsidR="00CD5BD2" w:rsidRDefault="00CD5BD2" w:rsidP="00F12E1E">
      <w:r>
        <w:t xml:space="preserve">Chavas, J. P., Chambers, R. G., &amp; Pope, R. D. (2010). Production economics and farm management: a century of contributions. </w:t>
      </w:r>
      <w:r>
        <w:rPr>
          <w:i/>
          <w:iCs/>
        </w:rPr>
        <w:t>American Journal of Agricultural Economics</w:t>
      </w:r>
      <w:r>
        <w:t xml:space="preserve">, </w:t>
      </w:r>
      <w:r>
        <w:rPr>
          <w:i/>
          <w:iCs/>
        </w:rPr>
        <w:t>92</w:t>
      </w:r>
      <w:r>
        <w:t>(2), 356-375.</w:t>
      </w:r>
    </w:p>
    <w:p w14:paraId="4C269E5A" w14:textId="0D37B0E2" w:rsidR="00F2742A" w:rsidRDefault="00F2742A" w:rsidP="008B4135">
      <w:pPr>
        <w:pStyle w:val="NoSpacing"/>
      </w:pPr>
      <w:proofErr w:type="spellStart"/>
      <w:r w:rsidRPr="0014753C">
        <w:t>Chetty</w:t>
      </w:r>
      <w:proofErr w:type="spellEnd"/>
      <w:r w:rsidRPr="0014753C">
        <w:t xml:space="preserve">, R., </w:t>
      </w:r>
      <w:proofErr w:type="spellStart"/>
      <w:r w:rsidRPr="0014753C">
        <w:t>Hendren</w:t>
      </w:r>
      <w:proofErr w:type="spellEnd"/>
      <w:r w:rsidRPr="0014753C">
        <w:t xml:space="preserve">, N., &amp; Katz, L. F. (2016). The effects of exposure to better neighborhoods on children: New evidence from the Moving to Opportunity experiment. </w:t>
      </w:r>
      <w:r w:rsidRPr="0014753C">
        <w:rPr>
          <w:i/>
          <w:iCs/>
        </w:rPr>
        <w:t>The American Economic Review</w:t>
      </w:r>
      <w:r w:rsidRPr="0014753C">
        <w:t xml:space="preserve">, </w:t>
      </w:r>
      <w:r w:rsidRPr="0014753C">
        <w:rPr>
          <w:i/>
          <w:iCs/>
        </w:rPr>
        <w:t>106</w:t>
      </w:r>
      <w:r w:rsidRPr="0014753C">
        <w:t>(4), 855-902.</w:t>
      </w:r>
    </w:p>
    <w:p w14:paraId="2C897E0F" w14:textId="77777777" w:rsidR="00F2742A" w:rsidRDefault="00F2742A" w:rsidP="008B4135">
      <w:pPr>
        <w:pStyle w:val="NoSpacing"/>
      </w:pPr>
    </w:p>
    <w:p w14:paraId="3F863DCA" w14:textId="06045AB2" w:rsidR="00090A1F" w:rsidRDefault="00090A1F" w:rsidP="00F12E1E">
      <w:r>
        <w:t xml:space="preserve">Coble, K. H., Knight, T. O., Pope, R. D., &amp; Williams, J. R. (1996). Modeling farm-level crop insurance demand with panel data. </w:t>
      </w:r>
      <w:r>
        <w:rPr>
          <w:i/>
          <w:iCs/>
        </w:rPr>
        <w:t>American Journal of Agricultural Economics</w:t>
      </w:r>
      <w:r>
        <w:t xml:space="preserve">, </w:t>
      </w:r>
      <w:r>
        <w:rPr>
          <w:i/>
          <w:iCs/>
        </w:rPr>
        <w:t>78</w:t>
      </w:r>
      <w:r>
        <w:t>(2), 439-447.</w:t>
      </w:r>
    </w:p>
    <w:p w14:paraId="6604F227" w14:textId="4AAECB44" w:rsidR="002A5252" w:rsidRDefault="002A5252" w:rsidP="00F12E1E">
      <w:r>
        <w:t xml:space="preserve">Coble, K. H., Knight, T. O., Pope, R. D., &amp; Williams, J. R. (1997). An expected-indemnity approach to the measurement of moral hazard in crop insurance. </w:t>
      </w:r>
      <w:r>
        <w:rPr>
          <w:i/>
          <w:iCs/>
        </w:rPr>
        <w:t>American Journal of Agricultural Economics</w:t>
      </w:r>
      <w:r>
        <w:t xml:space="preserve">, </w:t>
      </w:r>
      <w:r>
        <w:rPr>
          <w:i/>
          <w:iCs/>
        </w:rPr>
        <w:t>79</w:t>
      </w:r>
      <w:r>
        <w:t>(1), 216-226.</w:t>
      </w:r>
    </w:p>
    <w:p w14:paraId="76E78DF7" w14:textId="77777777" w:rsidR="00164C47" w:rsidRDefault="00164C47" w:rsidP="00F12E1E">
      <w:proofErr w:type="spellStart"/>
      <w:r>
        <w:t>Croson</w:t>
      </w:r>
      <w:proofErr w:type="spellEnd"/>
      <w:r>
        <w:t xml:space="preserve">, R., &amp; </w:t>
      </w:r>
      <w:proofErr w:type="spellStart"/>
      <w:r>
        <w:t>Gächter</w:t>
      </w:r>
      <w:proofErr w:type="spellEnd"/>
      <w:r>
        <w:t xml:space="preserve">, S. (2010). The science of experimental economics. </w:t>
      </w:r>
      <w:r>
        <w:rPr>
          <w:i/>
          <w:iCs/>
        </w:rPr>
        <w:t>Journal of Economic Behavior &amp; Organization</w:t>
      </w:r>
      <w:r>
        <w:t xml:space="preserve">, </w:t>
      </w:r>
      <w:r>
        <w:rPr>
          <w:i/>
          <w:iCs/>
        </w:rPr>
        <w:t>73</w:t>
      </w:r>
      <w:r>
        <w:t>(1), 122-131.</w:t>
      </w:r>
    </w:p>
    <w:p w14:paraId="34030FA7" w14:textId="77777777" w:rsidR="00AE6243" w:rsidRPr="00573B5D" w:rsidRDefault="00AE6243" w:rsidP="00AE6243">
      <w:pPr>
        <w:pStyle w:val="NoSpacing"/>
      </w:pPr>
      <w:proofErr w:type="spellStart"/>
      <w:r w:rsidRPr="00573B5D">
        <w:t>Croson</w:t>
      </w:r>
      <w:proofErr w:type="spellEnd"/>
      <w:r w:rsidRPr="00573B5D">
        <w:t xml:space="preserve">, R., &amp; </w:t>
      </w:r>
      <w:proofErr w:type="spellStart"/>
      <w:r w:rsidRPr="00573B5D">
        <w:t>Gneezy</w:t>
      </w:r>
      <w:proofErr w:type="spellEnd"/>
      <w:r w:rsidRPr="00573B5D">
        <w:t xml:space="preserve">, U. (2009). Gender differences in preferences. </w:t>
      </w:r>
      <w:r w:rsidRPr="00573B5D">
        <w:rPr>
          <w:i/>
          <w:iCs/>
        </w:rPr>
        <w:t>Journal of Economic literature</w:t>
      </w:r>
      <w:r w:rsidRPr="00573B5D">
        <w:t xml:space="preserve">, </w:t>
      </w:r>
      <w:r w:rsidRPr="00573B5D">
        <w:rPr>
          <w:i/>
          <w:iCs/>
        </w:rPr>
        <w:t>47</w:t>
      </w:r>
      <w:r w:rsidRPr="00573B5D">
        <w:t>(2), 448-474.</w:t>
      </w:r>
    </w:p>
    <w:p w14:paraId="747C5A66" w14:textId="77777777" w:rsidR="00AE6243" w:rsidRDefault="00AE6243" w:rsidP="00AE6243">
      <w:pPr>
        <w:pStyle w:val="NoSpacing"/>
      </w:pPr>
    </w:p>
    <w:p w14:paraId="01855501" w14:textId="0E65260A" w:rsidR="00AE6243" w:rsidRDefault="00AE6243" w:rsidP="008B4135">
      <w:pPr>
        <w:pStyle w:val="NoSpacing"/>
      </w:pPr>
      <w:proofErr w:type="spellStart"/>
      <w:r w:rsidRPr="006B039E">
        <w:t>Crumpler</w:t>
      </w:r>
      <w:proofErr w:type="spellEnd"/>
      <w:r w:rsidRPr="006B039E">
        <w:t xml:space="preserve">, H., &amp; Grossman, P. J. (2008). An experimental test of warm glow giving. </w:t>
      </w:r>
      <w:r w:rsidRPr="006B039E">
        <w:rPr>
          <w:i/>
          <w:iCs/>
        </w:rPr>
        <w:t>Journal of public Economics</w:t>
      </w:r>
      <w:r w:rsidRPr="006B039E">
        <w:t xml:space="preserve">, </w:t>
      </w:r>
      <w:r w:rsidRPr="006B039E">
        <w:rPr>
          <w:i/>
          <w:iCs/>
        </w:rPr>
        <w:t>92</w:t>
      </w:r>
      <w:r w:rsidRPr="006B039E">
        <w:t>(5), 1011-1021.</w:t>
      </w:r>
    </w:p>
    <w:p w14:paraId="5970FF89" w14:textId="77777777" w:rsidR="00AE6243" w:rsidRDefault="00AE6243" w:rsidP="008B4135">
      <w:pPr>
        <w:pStyle w:val="NoSpacing"/>
      </w:pPr>
    </w:p>
    <w:p w14:paraId="17224F53" w14:textId="62095B40" w:rsidR="00F0604D" w:rsidRDefault="00F0604D" w:rsidP="00F12E1E">
      <w:r>
        <w:t xml:space="preserve">Dabney, S. M., Delgado, J. A., &amp; Reeves, D. W. (2001). Using winter cover crops to improve soil and water quality. </w:t>
      </w:r>
      <w:r>
        <w:rPr>
          <w:i/>
          <w:iCs/>
        </w:rPr>
        <w:t>Communications in Soil Science and Plant Analysis</w:t>
      </w:r>
      <w:r>
        <w:t xml:space="preserve">, </w:t>
      </w:r>
      <w:r>
        <w:rPr>
          <w:i/>
          <w:iCs/>
        </w:rPr>
        <w:t>32</w:t>
      </w:r>
      <w:r>
        <w:t>(7-8), 1221-1250.</w:t>
      </w:r>
    </w:p>
    <w:p w14:paraId="44D58725" w14:textId="77777777" w:rsidR="00FD2177" w:rsidRPr="00B718D6" w:rsidRDefault="00FD2177" w:rsidP="00FD2177">
      <w:pPr>
        <w:pStyle w:val="NoSpacing"/>
      </w:pPr>
      <w:r w:rsidRPr="00B718D6">
        <w:t xml:space="preserve">Dave, C., </w:t>
      </w:r>
      <w:proofErr w:type="spellStart"/>
      <w:r w:rsidRPr="00B718D6">
        <w:t>Eckel</w:t>
      </w:r>
      <w:proofErr w:type="spellEnd"/>
      <w:r w:rsidRPr="00B718D6">
        <w:t>, C. C., Johnson, C. A., &amp; Rojas, C. (2010). Eliciting risk preferences: When is simple better</w:t>
      </w:r>
      <w:proofErr w:type="gramStart"/>
      <w:r w:rsidRPr="00B718D6">
        <w:t>?.</w:t>
      </w:r>
      <w:proofErr w:type="gramEnd"/>
      <w:r w:rsidRPr="00B718D6">
        <w:t xml:space="preserve"> </w:t>
      </w:r>
      <w:r w:rsidRPr="00B718D6">
        <w:rPr>
          <w:i/>
          <w:iCs/>
        </w:rPr>
        <w:t>Journal of Risk and Uncertainty</w:t>
      </w:r>
      <w:r w:rsidRPr="00B718D6">
        <w:t xml:space="preserve">, </w:t>
      </w:r>
      <w:r w:rsidRPr="00B718D6">
        <w:rPr>
          <w:i/>
          <w:iCs/>
        </w:rPr>
        <w:t>41</w:t>
      </w:r>
      <w:r w:rsidRPr="00B718D6">
        <w:t>(3), 219-243.</w:t>
      </w:r>
    </w:p>
    <w:p w14:paraId="4EAE72C1" w14:textId="77777777" w:rsidR="00FD2177" w:rsidRDefault="00FD2177" w:rsidP="00FD2177">
      <w:pPr>
        <w:pStyle w:val="NoSpacing"/>
      </w:pPr>
    </w:p>
    <w:p w14:paraId="15752790" w14:textId="77777777" w:rsidR="00FD2177" w:rsidRPr="00742CDE" w:rsidRDefault="00FD2177" w:rsidP="00FD2177">
      <w:pPr>
        <w:pStyle w:val="NoSpacing"/>
      </w:pPr>
      <w:r w:rsidRPr="00742CDE">
        <w:t xml:space="preserve">Davis, D. D., &amp; Millner, E. L. (2005). Rebates, matches, and consumer behavior. </w:t>
      </w:r>
      <w:r w:rsidRPr="00742CDE">
        <w:rPr>
          <w:i/>
          <w:iCs/>
        </w:rPr>
        <w:t>Southern Economic Journal</w:t>
      </w:r>
      <w:r w:rsidRPr="00742CDE">
        <w:t>, 410-421.</w:t>
      </w:r>
    </w:p>
    <w:p w14:paraId="4A7B83CC" w14:textId="77777777" w:rsidR="00FD2177" w:rsidRDefault="00FD2177" w:rsidP="00FD2177">
      <w:pPr>
        <w:pStyle w:val="NoSpacing"/>
      </w:pPr>
    </w:p>
    <w:p w14:paraId="7F7C03B2" w14:textId="77777777" w:rsidR="00FD2177" w:rsidRPr="0025427F" w:rsidRDefault="00FD2177" w:rsidP="00FD2177">
      <w:pPr>
        <w:pStyle w:val="NoSpacing"/>
      </w:pPr>
      <w:proofErr w:type="spellStart"/>
      <w:r w:rsidRPr="0025427F">
        <w:t>Depositario</w:t>
      </w:r>
      <w:proofErr w:type="spellEnd"/>
      <w:r w:rsidRPr="0025427F">
        <w:t xml:space="preserve">, D. P. T., </w:t>
      </w:r>
      <w:proofErr w:type="spellStart"/>
      <w:r w:rsidRPr="0025427F">
        <w:t>Nayga</w:t>
      </w:r>
      <w:proofErr w:type="spellEnd"/>
      <w:r w:rsidRPr="0025427F">
        <w:t>, R. M., Wu, X., &amp; Laude, T. P. (2009). Should students be used as subjects in experimental auctions</w:t>
      </w:r>
      <w:proofErr w:type="gramStart"/>
      <w:r w:rsidRPr="0025427F">
        <w:t>?.</w:t>
      </w:r>
      <w:proofErr w:type="gramEnd"/>
      <w:r w:rsidRPr="0025427F">
        <w:t xml:space="preserve"> </w:t>
      </w:r>
      <w:r w:rsidRPr="0025427F">
        <w:rPr>
          <w:i/>
          <w:iCs/>
        </w:rPr>
        <w:t>Economics Letters</w:t>
      </w:r>
      <w:r w:rsidRPr="0025427F">
        <w:t xml:space="preserve">, </w:t>
      </w:r>
      <w:r w:rsidRPr="0025427F">
        <w:rPr>
          <w:i/>
          <w:iCs/>
        </w:rPr>
        <w:t>102</w:t>
      </w:r>
      <w:r w:rsidRPr="0025427F">
        <w:t>(2), 122-124.</w:t>
      </w:r>
    </w:p>
    <w:p w14:paraId="53A6B4A8" w14:textId="77777777" w:rsidR="00FD2177" w:rsidRDefault="00FD2177" w:rsidP="00FD2177">
      <w:pPr>
        <w:pStyle w:val="NoSpacing"/>
      </w:pPr>
    </w:p>
    <w:p w14:paraId="3D6D6793" w14:textId="77777777" w:rsidR="00FD2177" w:rsidRPr="000E6A78" w:rsidRDefault="00FD2177" w:rsidP="00FD2177">
      <w:pPr>
        <w:pStyle w:val="NoSpacing"/>
      </w:pPr>
      <w:r w:rsidRPr="000E6A78">
        <w:t xml:space="preserve">Dohmen, T., Falk, A., Huffman, D., &amp; </w:t>
      </w:r>
      <w:proofErr w:type="spellStart"/>
      <w:r w:rsidRPr="000E6A78">
        <w:t>Sunde</w:t>
      </w:r>
      <w:proofErr w:type="spellEnd"/>
      <w:r w:rsidRPr="000E6A78">
        <w:t xml:space="preserve">, U. (2010). Are risk aversion and impatience related to cognitive ability? </w:t>
      </w:r>
      <w:r w:rsidRPr="000E6A78">
        <w:rPr>
          <w:i/>
          <w:iCs/>
        </w:rPr>
        <w:t>The American Economic Review</w:t>
      </w:r>
      <w:r w:rsidRPr="000E6A78">
        <w:t xml:space="preserve">, </w:t>
      </w:r>
      <w:r w:rsidRPr="000E6A78">
        <w:rPr>
          <w:i/>
          <w:iCs/>
        </w:rPr>
        <w:t>100</w:t>
      </w:r>
      <w:r w:rsidRPr="000E6A78">
        <w:t>(3), 1238-1260.</w:t>
      </w:r>
    </w:p>
    <w:p w14:paraId="292B4460" w14:textId="77777777" w:rsidR="00FD2177" w:rsidRDefault="00FD2177" w:rsidP="00FD2177">
      <w:pPr>
        <w:pStyle w:val="NoSpacing"/>
      </w:pPr>
    </w:p>
    <w:p w14:paraId="577BD635" w14:textId="095434A5" w:rsidR="00FD2177" w:rsidRDefault="00FD2177" w:rsidP="008B4135">
      <w:pPr>
        <w:pStyle w:val="NoSpacing"/>
      </w:pPr>
      <w:r w:rsidRPr="00BC657B">
        <w:lastRenderedPageBreak/>
        <w:t xml:space="preserve">Dohmen, T., Falk, A., Huffman, D., </w:t>
      </w:r>
      <w:proofErr w:type="spellStart"/>
      <w:r w:rsidRPr="00BC657B">
        <w:t>Sunde</w:t>
      </w:r>
      <w:proofErr w:type="spellEnd"/>
      <w:r w:rsidRPr="00BC657B">
        <w:t xml:space="preserve">, U., </w:t>
      </w:r>
      <w:proofErr w:type="spellStart"/>
      <w:r w:rsidRPr="00BC657B">
        <w:t>Schupp</w:t>
      </w:r>
      <w:proofErr w:type="spellEnd"/>
      <w:r w:rsidRPr="00BC657B">
        <w:t xml:space="preserve">, J., &amp; Wagner, G. G. (2011). Individual risk attitudes: Measurement, determinants, and behavioral consequences. </w:t>
      </w:r>
      <w:r w:rsidRPr="00BC657B">
        <w:rPr>
          <w:i/>
          <w:iCs/>
        </w:rPr>
        <w:t>Journal of the European Economic Association</w:t>
      </w:r>
      <w:r w:rsidRPr="00BC657B">
        <w:t xml:space="preserve">, </w:t>
      </w:r>
      <w:r w:rsidRPr="00BC657B">
        <w:rPr>
          <w:i/>
          <w:iCs/>
        </w:rPr>
        <w:t>9</w:t>
      </w:r>
      <w:r w:rsidRPr="00BC657B">
        <w:t>(3), 522-550.</w:t>
      </w:r>
    </w:p>
    <w:p w14:paraId="7E74486C" w14:textId="77777777" w:rsidR="0082660B" w:rsidRDefault="0082660B" w:rsidP="008B4135">
      <w:pPr>
        <w:pStyle w:val="NoSpacing"/>
      </w:pPr>
    </w:p>
    <w:p w14:paraId="25404B95" w14:textId="77777777" w:rsidR="00075B45" w:rsidRDefault="00164C47" w:rsidP="00075B45">
      <w:proofErr w:type="spellStart"/>
      <w:r>
        <w:t>Druckman</w:t>
      </w:r>
      <w:proofErr w:type="spellEnd"/>
      <w:r>
        <w:t xml:space="preserve">, J. N., &amp; Kam, C. D. (2009). Students as experimental participants: A defense of </w:t>
      </w:r>
      <w:proofErr w:type="spellStart"/>
      <w:r>
        <w:t>the'narrow</w:t>
      </w:r>
      <w:proofErr w:type="spellEnd"/>
      <w:r>
        <w:t xml:space="preserve"> data base'. </w:t>
      </w:r>
      <w:r>
        <w:rPr>
          <w:i/>
          <w:iCs/>
        </w:rPr>
        <w:t>Available at SSRN 1498843</w:t>
      </w:r>
    </w:p>
    <w:p w14:paraId="69BA2DA7" w14:textId="2EA06806" w:rsidR="00075B45" w:rsidRPr="00075B45" w:rsidRDefault="00075B45" w:rsidP="00075B45">
      <w:r w:rsidRPr="00075B45">
        <w:rPr>
          <w:rFonts w:eastAsia="Times New Roman" w:cs="Times New Roman"/>
        </w:rPr>
        <w:t xml:space="preserve">Du, X., Feng, H., &amp; Hennessy, D. A. (2016). Rationality of Choices in Subsidized Crop Insurance Markets. </w:t>
      </w:r>
      <w:r w:rsidRPr="00075B45">
        <w:rPr>
          <w:rFonts w:eastAsia="Times New Roman" w:cs="Times New Roman"/>
          <w:i/>
          <w:iCs/>
        </w:rPr>
        <w:t>American Journal of Agricultural Economics</w:t>
      </w:r>
      <w:r w:rsidRPr="00075B45">
        <w:rPr>
          <w:rFonts w:eastAsia="Times New Roman" w:cs="Times New Roman"/>
        </w:rPr>
        <w:t xml:space="preserve">, </w:t>
      </w:r>
      <w:r w:rsidRPr="00075B45">
        <w:rPr>
          <w:rFonts w:eastAsia="Times New Roman" w:cs="Times New Roman"/>
          <w:i/>
          <w:iCs/>
        </w:rPr>
        <w:t>99</w:t>
      </w:r>
      <w:r w:rsidRPr="00075B45">
        <w:rPr>
          <w:rFonts w:eastAsia="Times New Roman" w:cs="Times New Roman"/>
        </w:rPr>
        <w:t>(3), 732-756.</w:t>
      </w:r>
    </w:p>
    <w:p w14:paraId="376AE8D6" w14:textId="3B0F127A" w:rsidR="00B3351B" w:rsidRDefault="00B3351B" w:rsidP="003E4553">
      <w:proofErr w:type="spellStart"/>
      <w:r w:rsidRPr="006B039E">
        <w:t>Eckel</w:t>
      </w:r>
      <w:proofErr w:type="spellEnd"/>
      <w:r w:rsidRPr="006B039E">
        <w:t xml:space="preserve">, C. C., &amp; Grossman, P. J. (2000). Volunteers and pseudo-volunteers: The effect of recruitment method in dictator experiments. </w:t>
      </w:r>
      <w:r w:rsidRPr="006B039E">
        <w:rPr>
          <w:i/>
          <w:iCs/>
        </w:rPr>
        <w:t>Experimental Economics</w:t>
      </w:r>
      <w:r w:rsidRPr="006B039E">
        <w:t xml:space="preserve">, </w:t>
      </w:r>
      <w:r w:rsidRPr="006B039E">
        <w:rPr>
          <w:i/>
          <w:iCs/>
        </w:rPr>
        <w:t>3</w:t>
      </w:r>
      <w:r w:rsidRPr="006B039E">
        <w:t>(2), 107-120.</w:t>
      </w:r>
      <w:bookmarkStart w:id="0" w:name="_GoBack"/>
      <w:bookmarkEnd w:id="0"/>
    </w:p>
    <w:p w14:paraId="1B733203" w14:textId="77777777" w:rsidR="00B3351B" w:rsidRPr="003C2A2B" w:rsidRDefault="00B3351B" w:rsidP="00B3351B">
      <w:pPr>
        <w:pStyle w:val="NoSpacing"/>
      </w:pPr>
      <w:proofErr w:type="spellStart"/>
      <w:r w:rsidRPr="003C2A2B">
        <w:t>Eckel</w:t>
      </w:r>
      <w:proofErr w:type="spellEnd"/>
      <w:r w:rsidRPr="003C2A2B">
        <w:t>, C. C., &amp; Grossman, P. J. (2008</w:t>
      </w:r>
      <w:r>
        <w:t>a</w:t>
      </w:r>
      <w:r w:rsidRPr="003C2A2B">
        <w:t xml:space="preserve">). Men, women and risk aversion: Experimental evidence. </w:t>
      </w:r>
      <w:r w:rsidRPr="003C2A2B">
        <w:rPr>
          <w:i/>
          <w:iCs/>
        </w:rPr>
        <w:t>Handbook of experimental economics results</w:t>
      </w:r>
      <w:r w:rsidRPr="003C2A2B">
        <w:t xml:space="preserve">, </w:t>
      </w:r>
      <w:r w:rsidRPr="003C2A2B">
        <w:rPr>
          <w:i/>
          <w:iCs/>
        </w:rPr>
        <w:t>1</w:t>
      </w:r>
      <w:r w:rsidRPr="003C2A2B">
        <w:t>, 1061-1073.</w:t>
      </w:r>
    </w:p>
    <w:p w14:paraId="2D524F85" w14:textId="77777777" w:rsidR="00B3351B" w:rsidRDefault="00B3351B" w:rsidP="00B3351B">
      <w:pPr>
        <w:pStyle w:val="NoSpacing"/>
      </w:pPr>
    </w:p>
    <w:p w14:paraId="49C15E28" w14:textId="77777777" w:rsidR="00B3351B" w:rsidRPr="004478EC" w:rsidRDefault="00B3351B" w:rsidP="00B3351B">
      <w:pPr>
        <w:pStyle w:val="NoSpacing"/>
      </w:pPr>
      <w:proofErr w:type="spellStart"/>
      <w:r w:rsidRPr="004478EC">
        <w:t>Eckel</w:t>
      </w:r>
      <w:proofErr w:type="spellEnd"/>
      <w:r w:rsidRPr="004478EC">
        <w:t>, C. C., &amp; Grossman, P. J. (2008</w:t>
      </w:r>
      <w:r>
        <w:t>b</w:t>
      </w:r>
      <w:r w:rsidRPr="004478EC">
        <w:t xml:space="preserve">). Subsidizing charitable contributions: a natural field experiment comparing matching and rebate subsidies. </w:t>
      </w:r>
      <w:r w:rsidRPr="004478EC">
        <w:rPr>
          <w:i/>
          <w:iCs/>
        </w:rPr>
        <w:t>Experimental Economics</w:t>
      </w:r>
      <w:r w:rsidRPr="004478EC">
        <w:t xml:space="preserve">, </w:t>
      </w:r>
      <w:r w:rsidRPr="004478EC">
        <w:rPr>
          <w:i/>
          <w:iCs/>
        </w:rPr>
        <w:t>11</w:t>
      </w:r>
      <w:r w:rsidRPr="004478EC">
        <w:t>(3), 234-252.</w:t>
      </w:r>
    </w:p>
    <w:p w14:paraId="1A461141" w14:textId="77777777" w:rsidR="00B3351B" w:rsidRDefault="00B3351B" w:rsidP="00B3351B">
      <w:pPr>
        <w:pStyle w:val="NoSpacing"/>
      </w:pPr>
    </w:p>
    <w:p w14:paraId="0D10B399" w14:textId="77777777" w:rsidR="00B3351B" w:rsidRPr="007C5934" w:rsidRDefault="00B3351B" w:rsidP="00B3351B">
      <w:pPr>
        <w:pStyle w:val="NoSpacing"/>
      </w:pPr>
      <w:proofErr w:type="spellStart"/>
      <w:r w:rsidRPr="007C5934">
        <w:t>Einav</w:t>
      </w:r>
      <w:proofErr w:type="spellEnd"/>
      <w:r w:rsidRPr="007C5934">
        <w:t xml:space="preserve">, L., Finkelstein, A., </w:t>
      </w:r>
      <w:proofErr w:type="spellStart"/>
      <w:r w:rsidRPr="007C5934">
        <w:t>Pascu</w:t>
      </w:r>
      <w:proofErr w:type="spellEnd"/>
      <w:r w:rsidRPr="007C5934">
        <w:t xml:space="preserve">, I., &amp; Cullen, M. R. (2012). How general are risk preferences? Choices under uncertainty in different domains. </w:t>
      </w:r>
      <w:r w:rsidRPr="007C5934">
        <w:rPr>
          <w:i/>
          <w:iCs/>
        </w:rPr>
        <w:t>The American economic review</w:t>
      </w:r>
      <w:r w:rsidRPr="007C5934">
        <w:t xml:space="preserve">, </w:t>
      </w:r>
      <w:r w:rsidRPr="007C5934">
        <w:rPr>
          <w:i/>
          <w:iCs/>
        </w:rPr>
        <w:t>102</w:t>
      </w:r>
      <w:r w:rsidRPr="007C5934">
        <w:t>(6), 2606-2638.</w:t>
      </w:r>
    </w:p>
    <w:p w14:paraId="54C6A4E9" w14:textId="77777777" w:rsidR="00B3351B" w:rsidRDefault="00B3351B" w:rsidP="00B3351B">
      <w:pPr>
        <w:pStyle w:val="NoSpacing"/>
      </w:pPr>
    </w:p>
    <w:p w14:paraId="7313FCBD" w14:textId="77777777" w:rsidR="00F174D3" w:rsidRDefault="00B3351B" w:rsidP="008B4135">
      <w:pPr>
        <w:pStyle w:val="NoSpacing"/>
      </w:pPr>
      <w:r w:rsidRPr="00A94CB7">
        <w:t xml:space="preserve">Ferraro, P. J., Rondeau, D., &amp; Poe, G. L. (2003). Detecting other-regarding behavior with virtual players. </w:t>
      </w:r>
      <w:r w:rsidRPr="00A94CB7">
        <w:rPr>
          <w:i/>
          <w:iCs/>
        </w:rPr>
        <w:t>Journal of Economic Behavior &amp; Organization</w:t>
      </w:r>
      <w:r w:rsidRPr="00A94CB7">
        <w:t xml:space="preserve">, </w:t>
      </w:r>
      <w:r w:rsidRPr="00A94CB7">
        <w:rPr>
          <w:i/>
          <w:iCs/>
        </w:rPr>
        <w:t>51</w:t>
      </w:r>
      <w:r w:rsidRPr="00A94CB7">
        <w:t>(1), 99-109.</w:t>
      </w:r>
    </w:p>
    <w:p w14:paraId="3939A2A2" w14:textId="77777777" w:rsidR="00F174D3" w:rsidRDefault="00F174D3" w:rsidP="008B4135">
      <w:pPr>
        <w:pStyle w:val="NoSpacing"/>
      </w:pPr>
    </w:p>
    <w:p w14:paraId="6929A090" w14:textId="60D3D25A" w:rsidR="003C4090" w:rsidRDefault="003C4090" w:rsidP="008B4135">
      <w:pPr>
        <w:pStyle w:val="NoSpacing"/>
      </w:pPr>
      <w:proofErr w:type="spellStart"/>
      <w:r>
        <w:t>Gneezy</w:t>
      </w:r>
      <w:proofErr w:type="spellEnd"/>
      <w:r>
        <w:t xml:space="preserve">, U., &amp; Potters, J. (1997). An experiment on risk taking and evaluation periods. </w:t>
      </w:r>
      <w:r>
        <w:rPr>
          <w:i/>
          <w:iCs/>
        </w:rPr>
        <w:t>The Quarterly Journal of Economics</w:t>
      </w:r>
      <w:r>
        <w:t>, 631-645.</w:t>
      </w:r>
    </w:p>
    <w:p w14:paraId="7320F5D1" w14:textId="77777777" w:rsidR="00F174D3" w:rsidRDefault="00F174D3" w:rsidP="008B4135">
      <w:pPr>
        <w:pStyle w:val="NoSpacing"/>
      </w:pPr>
    </w:p>
    <w:p w14:paraId="27019914" w14:textId="6904C28C" w:rsidR="00353634" w:rsidRDefault="00353634" w:rsidP="00F12E1E">
      <w:r>
        <w:t xml:space="preserve">Goodwin, B. K., &amp; </w:t>
      </w:r>
      <w:proofErr w:type="spellStart"/>
      <w:r>
        <w:t>Kastens</w:t>
      </w:r>
      <w:proofErr w:type="spellEnd"/>
      <w:r>
        <w:t xml:space="preserve">, T. L. (1993). Adverse selection, disaster relief, and the demand for multiple peril crop insurance. </w:t>
      </w:r>
      <w:r w:rsidRPr="00353634">
        <w:t>C</w:t>
      </w:r>
      <w:r w:rsidRPr="004608C2">
        <w:rPr>
          <w:iCs/>
        </w:rPr>
        <w:t>ontract report for the Federal Crop Insurance Corporation</w:t>
      </w:r>
      <w:r>
        <w:t>.</w:t>
      </w:r>
    </w:p>
    <w:p w14:paraId="0E83713B" w14:textId="77777777" w:rsidR="00164C47" w:rsidRDefault="00164C47" w:rsidP="00F12E1E">
      <w:proofErr w:type="spellStart"/>
      <w:r>
        <w:t>Guala</w:t>
      </w:r>
      <w:proofErr w:type="spellEnd"/>
      <w:r>
        <w:t xml:space="preserve">, F. (2005). </w:t>
      </w:r>
      <w:r>
        <w:rPr>
          <w:i/>
          <w:iCs/>
        </w:rPr>
        <w:t>The methodology of experimental economics</w:t>
      </w:r>
      <w:r>
        <w:t>. Cambridge University Press.</w:t>
      </w:r>
    </w:p>
    <w:p w14:paraId="12FA4EB2" w14:textId="77777777" w:rsidR="006727E5" w:rsidRPr="00A91602" w:rsidRDefault="006727E5" w:rsidP="006727E5">
      <w:pPr>
        <w:pStyle w:val="NoSpacing"/>
      </w:pPr>
      <w:proofErr w:type="spellStart"/>
      <w:r w:rsidRPr="00A91602">
        <w:t>Haisley</w:t>
      </w:r>
      <w:proofErr w:type="spellEnd"/>
      <w:r w:rsidRPr="00A91602">
        <w:t xml:space="preserve">, E., Mostafa, R., &amp; </w:t>
      </w:r>
      <w:proofErr w:type="spellStart"/>
      <w:r w:rsidRPr="00A91602">
        <w:t>Loewenstein</w:t>
      </w:r>
      <w:proofErr w:type="spellEnd"/>
      <w:r w:rsidRPr="00A91602">
        <w:t xml:space="preserve">, G. (2008). Myopic risk-seeking: The impact of narrow decision bracketing on lottery play. </w:t>
      </w:r>
      <w:r w:rsidRPr="00A91602">
        <w:rPr>
          <w:i/>
          <w:iCs/>
        </w:rPr>
        <w:t>Journal of Risk and Uncertainty</w:t>
      </w:r>
      <w:r w:rsidRPr="00A91602">
        <w:t xml:space="preserve">, </w:t>
      </w:r>
      <w:r w:rsidRPr="00A91602">
        <w:rPr>
          <w:i/>
          <w:iCs/>
        </w:rPr>
        <w:t>37</w:t>
      </w:r>
      <w:r w:rsidRPr="00A91602">
        <w:t>(1), 57-75.</w:t>
      </w:r>
    </w:p>
    <w:p w14:paraId="27A9BFA8" w14:textId="77777777" w:rsidR="006727E5" w:rsidRDefault="006727E5" w:rsidP="006727E5">
      <w:pPr>
        <w:pStyle w:val="NoSpacing"/>
      </w:pPr>
    </w:p>
    <w:p w14:paraId="362A6454" w14:textId="77777777" w:rsidR="006727E5" w:rsidRDefault="006727E5" w:rsidP="006727E5">
      <w:pPr>
        <w:pStyle w:val="NoSpacing"/>
      </w:pPr>
      <w:proofErr w:type="spellStart"/>
      <w:r w:rsidRPr="008D1327">
        <w:t>Halek</w:t>
      </w:r>
      <w:proofErr w:type="spellEnd"/>
      <w:r w:rsidRPr="008D1327">
        <w:t xml:space="preserve">, M., &amp; </w:t>
      </w:r>
      <w:proofErr w:type="spellStart"/>
      <w:r w:rsidRPr="008D1327">
        <w:t>Eisenhauer</w:t>
      </w:r>
      <w:proofErr w:type="spellEnd"/>
      <w:r w:rsidRPr="008D1327">
        <w:t xml:space="preserve">, J. G. (2001). Demography of risk aversion. </w:t>
      </w:r>
      <w:r w:rsidRPr="008D1327">
        <w:rPr>
          <w:i/>
          <w:iCs/>
        </w:rPr>
        <w:t>Journal of Risk and Insurance</w:t>
      </w:r>
      <w:r w:rsidRPr="008D1327">
        <w:t>, 1-24.</w:t>
      </w:r>
    </w:p>
    <w:p w14:paraId="325D6318" w14:textId="77777777" w:rsidR="006727E5" w:rsidRDefault="006727E5" w:rsidP="004608C2">
      <w:pPr>
        <w:pStyle w:val="NoSpacing"/>
      </w:pPr>
    </w:p>
    <w:p w14:paraId="184FDA79" w14:textId="77777777" w:rsidR="00B045F9" w:rsidRDefault="00B045F9" w:rsidP="004608C2">
      <w:pPr>
        <w:pStyle w:val="NoSpacing"/>
      </w:pPr>
      <w:proofErr w:type="spellStart"/>
      <w:r w:rsidRPr="00B045F9">
        <w:t>Hardaker</w:t>
      </w:r>
      <w:proofErr w:type="spellEnd"/>
      <w:r w:rsidRPr="00B045F9">
        <w:t xml:space="preserve">, J. B. (Ed.). (2004). </w:t>
      </w:r>
      <w:r w:rsidRPr="00B045F9">
        <w:rPr>
          <w:i/>
          <w:iCs/>
        </w:rPr>
        <w:t>Coping with risk in agriculture</w:t>
      </w:r>
      <w:r w:rsidRPr="00B045F9">
        <w:t xml:space="preserve">. </w:t>
      </w:r>
      <w:proofErr w:type="spellStart"/>
      <w:r w:rsidRPr="00B045F9">
        <w:t>Cabi</w:t>
      </w:r>
      <w:proofErr w:type="spellEnd"/>
      <w:r w:rsidRPr="00B045F9">
        <w:t>.</w:t>
      </w:r>
    </w:p>
    <w:p w14:paraId="3C33A0BC" w14:textId="77777777" w:rsidR="00B045F9" w:rsidRDefault="00B045F9" w:rsidP="004608C2">
      <w:pPr>
        <w:pStyle w:val="NoSpacing"/>
      </w:pPr>
    </w:p>
    <w:p w14:paraId="58E1B0DC" w14:textId="77777777" w:rsidR="009F165D" w:rsidRPr="007F0D9C" w:rsidRDefault="009F165D" w:rsidP="009F165D">
      <w:pPr>
        <w:pStyle w:val="NoSpacing"/>
      </w:pPr>
      <w:r w:rsidRPr="007F0D9C">
        <w:t xml:space="preserve">Harrison*, G. W., Johnson, E., </w:t>
      </w:r>
      <w:proofErr w:type="spellStart"/>
      <w:r w:rsidRPr="007F0D9C">
        <w:t>McInnes</w:t>
      </w:r>
      <w:proofErr w:type="spellEnd"/>
      <w:r w:rsidRPr="007F0D9C">
        <w:t xml:space="preserve">, M. M., &amp; </w:t>
      </w:r>
      <w:proofErr w:type="spellStart"/>
      <w:r w:rsidRPr="007F0D9C">
        <w:t>Rutström</w:t>
      </w:r>
      <w:proofErr w:type="spellEnd"/>
      <w:r w:rsidRPr="007F0D9C">
        <w:t xml:space="preserve">, E. E. (2005). Temporal stability of estimates of risk aversion. </w:t>
      </w:r>
      <w:r w:rsidRPr="007F0D9C">
        <w:rPr>
          <w:i/>
          <w:iCs/>
        </w:rPr>
        <w:t>Applied Financial Economics Letters</w:t>
      </w:r>
      <w:r w:rsidRPr="007F0D9C">
        <w:t xml:space="preserve">, </w:t>
      </w:r>
      <w:r w:rsidRPr="007F0D9C">
        <w:rPr>
          <w:i/>
          <w:iCs/>
        </w:rPr>
        <w:t>1</w:t>
      </w:r>
      <w:r w:rsidRPr="007F0D9C">
        <w:t>(1), 31-35.</w:t>
      </w:r>
    </w:p>
    <w:p w14:paraId="1F609FDD" w14:textId="77777777" w:rsidR="009F165D" w:rsidRDefault="009F165D" w:rsidP="004608C2">
      <w:pPr>
        <w:pStyle w:val="NoSpacing"/>
      </w:pPr>
    </w:p>
    <w:p w14:paraId="51909F40" w14:textId="77777777" w:rsidR="003A6589" w:rsidRDefault="003A6589" w:rsidP="003A6589">
      <w:pPr>
        <w:pStyle w:val="NoSpacing"/>
      </w:pPr>
      <w:r>
        <w:t xml:space="preserve">Harrison, G. W., Lau, M. I., &amp; </w:t>
      </w:r>
      <w:proofErr w:type="spellStart"/>
      <w:r>
        <w:t>Rutström</w:t>
      </w:r>
      <w:proofErr w:type="spellEnd"/>
      <w:r>
        <w:t xml:space="preserve">, E. E. (2007). Estimating risk attitudes in Denmark: A field experiment. </w:t>
      </w:r>
      <w:r>
        <w:rPr>
          <w:i/>
          <w:iCs/>
        </w:rPr>
        <w:t>The Scandinavian Journal of Economics</w:t>
      </w:r>
      <w:r>
        <w:t xml:space="preserve">, </w:t>
      </w:r>
      <w:r>
        <w:rPr>
          <w:i/>
          <w:iCs/>
        </w:rPr>
        <w:t>109</w:t>
      </w:r>
      <w:r>
        <w:t>(2), 341-368.</w:t>
      </w:r>
    </w:p>
    <w:p w14:paraId="343A36CA" w14:textId="77777777" w:rsidR="003A6589" w:rsidRDefault="003A6589" w:rsidP="003A6589">
      <w:pPr>
        <w:pStyle w:val="NoSpacing"/>
      </w:pPr>
    </w:p>
    <w:p w14:paraId="3854A35F" w14:textId="77777777" w:rsidR="003A6589" w:rsidRPr="00E318E6" w:rsidRDefault="003A6589" w:rsidP="003A6589">
      <w:pPr>
        <w:pStyle w:val="NoSpacing"/>
      </w:pPr>
      <w:r w:rsidRPr="00E318E6">
        <w:t xml:space="preserve">Harrison, G. W., Lau, M. I., &amp; </w:t>
      </w:r>
      <w:proofErr w:type="spellStart"/>
      <w:r w:rsidRPr="00E318E6">
        <w:t>Rutström</w:t>
      </w:r>
      <w:proofErr w:type="spellEnd"/>
      <w:r w:rsidRPr="00E318E6">
        <w:t xml:space="preserve">, E. E. (2009). Risk attitudes, randomization to treatment, and self-selection into experiments. </w:t>
      </w:r>
      <w:r w:rsidRPr="00E318E6">
        <w:rPr>
          <w:i/>
          <w:iCs/>
        </w:rPr>
        <w:t>Journal of Economic Behavior &amp; Organization</w:t>
      </w:r>
      <w:r w:rsidRPr="00E318E6">
        <w:t xml:space="preserve">, </w:t>
      </w:r>
      <w:r w:rsidRPr="00E318E6">
        <w:rPr>
          <w:i/>
          <w:iCs/>
        </w:rPr>
        <w:t>70</w:t>
      </w:r>
      <w:r w:rsidRPr="00E318E6">
        <w:t>(3), 498-507.</w:t>
      </w:r>
    </w:p>
    <w:p w14:paraId="220C5200" w14:textId="77777777" w:rsidR="003A6589" w:rsidRDefault="003A6589" w:rsidP="003A6589">
      <w:pPr>
        <w:pStyle w:val="NoSpacing"/>
      </w:pPr>
    </w:p>
    <w:p w14:paraId="23AA2072" w14:textId="58A327D6" w:rsidR="00B045F9" w:rsidRDefault="003C4090" w:rsidP="004608C2">
      <w:pPr>
        <w:pStyle w:val="NoSpacing"/>
      </w:pPr>
      <w:r>
        <w:lastRenderedPageBreak/>
        <w:t xml:space="preserve">Harrison, G. W., &amp; List, J. A. (2004). Field experiments. </w:t>
      </w:r>
      <w:r>
        <w:rPr>
          <w:i/>
          <w:iCs/>
        </w:rPr>
        <w:t>Journal of Economic literature</w:t>
      </w:r>
      <w:r>
        <w:t xml:space="preserve">, </w:t>
      </w:r>
      <w:r>
        <w:rPr>
          <w:i/>
          <w:iCs/>
        </w:rPr>
        <w:t>42</w:t>
      </w:r>
      <w:r>
        <w:t>(4), 1009-1055.</w:t>
      </w:r>
    </w:p>
    <w:p w14:paraId="50AB6837" w14:textId="77777777" w:rsidR="00B045F9" w:rsidRDefault="00B045F9" w:rsidP="004608C2">
      <w:pPr>
        <w:pStyle w:val="NoSpacing"/>
      </w:pPr>
    </w:p>
    <w:p w14:paraId="61CD2D20" w14:textId="77777777" w:rsidR="00CA475D" w:rsidRPr="00F3681D" w:rsidRDefault="00CA475D" w:rsidP="00CA475D">
      <w:r w:rsidRPr="00F3681D">
        <w:t xml:space="preserve">Harrison, G. W., &amp; Ng, J. M. (2016). Evaluating the Expected Welfare Gain from Insurance. </w:t>
      </w:r>
      <w:r w:rsidRPr="00F3681D">
        <w:rPr>
          <w:i/>
          <w:iCs/>
        </w:rPr>
        <w:t>Journal of Risk and Insurance</w:t>
      </w:r>
      <w:r w:rsidRPr="00F3681D">
        <w:t xml:space="preserve">, </w:t>
      </w:r>
      <w:r w:rsidRPr="00F3681D">
        <w:rPr>
          <w:i/>
          <w:iCs/>
        </w:rPr>
        <w:t>83</w:t>
      </w:r>
      <w:r w:rsidRPr="00F3681D">
        <w:t>(1), 91–120. http://doi.org/10.1111/jori.12142</w:t>
      </w:r>
    </w:p>
    <w:p w14:paraId="5725A4F3" w14:textId="77777777" w:rsidR="00FE5F87" w:rsidRDefault="00FE5F87" w:rsidP="004608C2">
      <w:pPr>
        <w:pStyle w:val="NoSpacing"/>
      </w:pPr>
      <w:r w:rsidRPr="00FE5F87">
        <w:t xml:space="preserve">Harrison, G. W., &amp; </w:t>
      </w:r>
      <w:proofErr w:type="spellStart"/>
      <w:r w:rsidRPr="00FE5F87">
        <w:t>Rutström</w:t>
      </w:r>
      <w:proofErr w:type="spellEnd"/>
      <w:r w:rsidRPr="00FE5F87">
        <w:t xml:space="preserve">, E. E. (2008). Experimental evidence on the existence of hypothetical bias in value elicitation methods. </w:t>
      </w:r>
      <w:r w:rsidRPr="00FE5F87">
        <w:rPr>
          <w:i/>
          <w:iCs/>
        </w:rPr>
        <w:t>Handbook of experimental economics results</w:t>
      </w:r>
      <w:r w:rsidRPr="00FE5F87">
        <w:t xml:space="preserve">, </w:t>
      </w:r>
      <w:r w:rsidRPr="00FE5F87">
        <w:rPr>
          <w:i/>
          <w:iCs/>
        </w:rPr>
        <w:t>1</w:t>
      </w:r>
      <w:r w:rsidRPr="00FE5F87">
        <w:t>, 752-767.</w:t>
      </w:r>
    </w:p>
    <w:p w14:paraId="1FA501AB" w14:textId="77777777" w:rsidR="008821F0" w:rsidRPr="00FE5F87" w:rsidRDefault="008821F0" w:rsidP="004608C2">
      <w:pPr>
        <w:pStyle w:val="NoSpacing"/>
      </w:pPr>
    </w:p>
    <w:p w14:paraId="58272262" w14:textId="2946E3F2" w:rsidR="00F270EC" w:rsidRDefault="00F270EC" w:rsidP="00640229">
      <w:proofErr w:type="spellStart"/>
      <w:r>
        <w:t>Hartwig</w:t>
      </w:r>
      <w:proofErr w:type="spellEnd"/>
      <w:r>
        <w:t xml:space="preserve">, N. L., &amp; Ammon, H. U. (2002). Cover crops and living mulches. </w:t>
      </w:r>
      <w:r>
        <w:rPr>
          <w:i/>
          <w:iCs/>
        </w:rPr>
        <w:t>Weed science</w:t>
      </w:r>
      <w:r>
        <w:t xml:space="preserve">, </w:t>
      </w:r>
      <w:r>
        <w:rPr>
          <w:i/>
          <w:iCs/>
        </w:rPr>
        <w:t>50</w:t>
      </w:r>
      <w:r>
        <w:t>(6), 688-699.</w:t>
      </w:r>
    </w:p>
    <w:p w14:paraId="2D3293F2" w14:textId="77777777" w:rsidR="003A6589" w:rsidRDefault="003A6589" w:rsidP="008B4135">
      <w:pPr>
        <w:pStyle w:val="NoSpacing"/>
      </w:pPr>
      <w:r w:rsidRPr="00BD09E5">
        <w:t xml:space="preserve">Heckman, J. J., </w:t>
      </w:r>
      <w:proofErr w:type="spellStart"/>
      <w:r w:rsidRPr="00BD09E5">
        <w:t>Stixrud</w:t>
      </w:r>
      <w:proofErr w:type="spellEnd"/>
      <w:r w:rsidRPr="00BD09E5">
        <w:t xml:space="preserve">, J., &amp; </w:t>
      </w:r>
      <w:proofErr w:type="spellStart"/>
      <w:r w:rsidRPr="00BD09E5">
        <w:t>Urzua</w:t>
      </w:r>
      <w:proofErr w:type="spellEnd"/>
      <w:r w:rsidRPr="00BD09E5">
        <w:t xml:space="preserve">, S. (2006). The effects of cognitive and </w:t>
      </w:r>
      <w:proofErr w:type="spellStart"/>
      <w:r w:rsidRPr="00BD09E5">
        <w:t>noncognitive</w:t>
      </w:r>
      <w:proofErr w:type="spellEnd"/>
      <w:r w:rsidRPr="00BD09E5">
        <w:t xml:space="preserve"> abilities on labor market outcomes and social behavior. </w:t>
      </w:r>
      <w:r w:rsidRPr="00BD09E5">
        <w:rPr>
          <w:i/>
          <w:iCs/>
        </w:rPr>
        <w:t>Journal of Labor economics</w:t>
      </w:r>
      <w:r w:rsidRPr="00BD09E5">
        <w:t xml:space="preserve">, </w:t>
      </w:r>
      <w:r w:rsidRPr="00BD09E5">
        <w:rPr>
          <w:i/>
          <w:iCs/>
        </w:rPr>
        <w:t>24</w:t>
      </w:r>
      <w:r w:rsidRPr="00BD09E5">
        <w:t>(3), 411-482.</w:t>
      </w:r>
    </w:p>
    <w:p w14:paraId="45440087" w14:textId="77777777" w:rsidR="003A6589" w:rsidRDefault="003A6589" w:rsidP="008B4135">
      <w:pPr>
        <w:pStyle w:val="NoSpacing"/>
      </w:pPr>
    </w:p>
    <w:p w14:paraId="5CD51DDF" w14:textId="13F2BA23" w:rsidR="003A6589" w:rsidRPr="00640229" w:rsidRDefault="00640229" w:rsidP="008B4135">
      <w:pPr>
        <w:pStyle w:val="NoSpacing"/>
      </w:pPr>
      <w:r w:rsidRPr="00640229">
        <w:t xml:space="preserve">Holt, Charles A., and Susan K. </w:t>
      </w:r>
      <w:proofErr w:type="spellStart"/>
      <w:r w:rsidRPr="00640229">
        <w:t>Laury</w:t>
      </w:r>
      <w:proofErr w:type="spellEnd"/>
      <w:r w:rsidRPr="00640229">
        <w:t xml:space="preserve">. "Risk aversion and incentive effects." </w:t>
      </w:r>
      <w:r w:rsidRPr="00640229">
        <w:rPr>
          <w:i/>
          <w:iCs/>
        </w:rPr>
        <w:t>American economic review</w:t>
      </w:r>
      <w:r w:rsidRPr="00640229">
        <w:t xml:space="preserve"> 92, no. 5 (2002): 1644-1655.</w:t>
      </w:r>
    </w:p>
    <w:p w14:paraId="3172184C" w14:textId="77777777" w:rsidR="00602731" w:rsidRDefault="00602731" w:rsidP="008B4135">
      <w:pPr>
        <w:pStyle w:val="NoSpacing"/>
      </w:pPr>
    </w:p>
    <w:p w14:paraId="31A3E48C" w14:textId="0D9E92B9" w:rsidR="00876D75" w:rsidRDefault="00876D75" w:rsidP="008B4135">
      <w:pPr>
        <w:pStyle w:val="NoSpacing"/>
      </w:pPr>
      <w:r>
        <w:t xml:space="preserve">Horowitz, J. K., &amp; Lichtenberg, E. (1993). Insurance, moral hazard, and chemical use in agriculture. </w:t>
      </w:r>
      <w:r>
        <w:rPr>
          <w:i/>
          <w:iCs/>
        </w:rPr>
        <w:t>American Journal of Agricultural Economics</w:t>
      </w:r>
      <w:r>
        <w:t xml:space="preserve">, </w:t>
      </w:r>
      <w:r>
        <w:rPr>
          <w:i/>
          <w:iCs/>
        </w:rPr>
        <w:t>75</w:t>
      </w:r>
      <w:r>
        <w:t>(4), 926-935.</w:t>
      </w:r>
    </w:p>
    <w:p w14:paraId="76E7E440" w14:textId="77777777" w:rsidR="003A6589" w:rsidRDefault="003A6589" w:rsidP="008B4135">
      <w:pPr>
        <w:pStyle w:val="NoSpacing"/>
      </w:pPr>
    </w:p>
    <w:p w14:paraId="08035938" w14:textId="77777777" w:rsidR="003246F4" w:rsidRPr="00E20A18" w:rsidRDefault="003246F4" w:rsidP="003246F4">
      <w:pPr>
        <w:pStyle w:val="NoSpacing"/>
      </w:pPr>
      <w:proofErr w:type="spellStart"/>
      <w:r w:rsidRPr="00E20A18">
        <w:t>Hussam</w:t>
      </w:r>
      <w:proofErr w:type="spellEnd"/>
      <w:r w:rsidRPr="00E20A18">
        <w:t xml:space="preserve">, R. N., Porter, D., &amp; Smith, V. L. (2008). Thar she blows: Can bubbles be rekindled with experienced subjects? </w:t>
      </w:r>
      <w:r w:rsidRPr="00E20A18">
        <w:rPr>
          <w:i/>
          <w:iCs/>
        </w:rPr>
        <w:t>The American Economic Review</w:t>
      </w:r>
      <w:r w:rsidRPr="00E20A18">
        <w:t xml:space="preserve">, </w:t>
      </w:r>
      <w:r w:rsidRPr="00E20A18">
        <w:rPr>
          <w:i/>
          <w:iCs/>
        </w:rPr>
        <w:t>98</w:t>
      </w:r>
      <w:r w:rsidRPr="00E20A18">
        <w:t>(3), 924-937.</w:t>
      </w:r>
    </w:p>
    <w:p w14:paraId="03825BAA" w14:textId="77777777" w:rsidR="003246F4" w:rsidRDefault="003246F4" w:rsidP="003246F4">
      <w:pPr>
        <w:pStyle w:val="NoSpacing"/>
      </w:pPr>
    </w:p>
    <w:p w14:paraId="3B034394" w14:textId="77777777" w:rsidR="003246F4" w:rsidRPr="006D248D" w:rsidRDefault="003246F4" w:rsidP="003246F4">
      <w:pPr>
        <w:pStyle w:val="NoSpacing"/>
      </w:pPr>
      <w:r w:rsidRPr="006D248D">
        <w:t xml:space="preserve">James, H. S. (2005). Why did you do that? An economic examination of the effect of extrinsic compensation on intrinsic motivation and performance. </w:t>
      </w:r>
      <w:r w:rsidRPr="006D248D">
        <w:rPr>
          <w:i/>
          <w:iCs/>
        </w:rPr>
        <w:t>Journal of economic psychology</w:t>
      </w:r>
      <w:r w:rsidRPr="006D248D">
        <w:t xml:space="preserve">, </w:t>
      </w:r>
      <w:r w:rsidRPr="006D248D">
        <w:rPr>
          <w:i/>
          <w:iCs/>
        </w:rPr>
        <w:t>26</w:t>
      </w:r>
      <w:r w:rsidRPr="006D248D">
        <w:t>(4), 549-566.</w:t>
      </w:r>
    </w:p>
    <w:p w14:paraId="2F57043E" w14:textId="77777777" w:rsidR="003246F4" w:rsidRDefault="003246F4" w:rsidP="008B4135">
      <w:pPr>
        <w:pStyle w:val="NoSpacing"/>
      </w:pPr>
    </w:p>
    <w:p w14:paraId="378FBF23" w14:textId="778392AB" w:rsidR="00F3681D" w:rsidRPr="00F3681D" w:rsidRDefault="00F3681D" w:rsidP="00F12E1E">
      <w:proofErr w:type="spellStart"/>
      <w:r w:rsidRPr="00F3681D">
        <w:t>Jaspersen</w:t>
      </w:r>
      <w:proofErr w:type="spellEnd"/>
      <w:r w:rsidRPr="00F3681D">
        <w:t xml:space="preserve">, J. G. (2015). Hypothetical Surveys and Experimental Studies of Insurance Demand: A Review. </w:t>
      </w:r>
      <w:r w:rsidRPr="00F3681D">
        <w:rPr>
          <w:i/>
          <w:iCs/>
        </w:rPr>
        <w:t>Journal of Risk and Insurance</w:t>
      </w:r>
      <w:r w:rsidRPr="00F3681D">
        <w:t>. Retrieved from http://onlinelibrary.wiley.com/doi/10.1111/jori.12100/full</w:t>
      </w:r>
    </w:p>
    <w:p w14:paraId="156D29A8" w14:textId="77777777" w:rsidR="00755F92" w:rsidRDefault="003246F4" w:rsidP="008B4135">
      <w:pPr>
        <w:pStyle w:val="NoSpacing"/>
      </w:pPr>
      <w:proofErr w:type="spellStart"/>
      <w:r w:rsidRPr="00F8410D">
        <w:t>Jianakoplos</w:t>
      </w:r>
      <w:proofErr w:type="spellEnd"/>
      <w:r w:rsidRPr="00F8410D">
        <w:t xml:space="preserve">, N. A., &amp; </w:t>
      </w:r>
      <w:proofErr w:type="spellStart"/>
      <w:r w:rsidRPr="00F8410D">
        <w:t>Bernasek</w:t>
      </w:r>
      <w:proofErr w:type="spellEnd"/>
      <w:r w:rsidRPr="00F8410D">
        <w:t xml:space="preserve">, A. (1998). Are women more risk averse? </w:t>
      </w:r>
      <w:r w:rsidRPr="00F8410D">
        <w:rPr>
          <w:i/>
          <w:iCs/>
        </w:rPr>
        <w:t>Economic inquiry</w:t>
      </w:r>
      <w:r w:rsidRPr="00F8410D">
        <w:t xml:space="preserve">, </w:t>
      </w:r>
      <w:r w:rsidRPr="00F8410D">
        <w:rPr>
          <w:i/>
          <w:iCs/>
        </w:rPr>
        <w:t>36</w:t>
      </w:r>
      <w:r w:rsidRPr="00F8410D">
        <w:t>(4), 620-630.</w:t>
      </w:r>
    </w:p>
    <w:p w14:paraId="193F30D7" w14:textId="77777777" w:rsidR="00755F92" w:rsidRDefault="00755F92" w:rsidP="008B4135">
      <w:pPr>
        <w:pStyle w:val="NoSpacing"/>
      </w:pPr>
    </w:p>
    <w:p w14:paraId="3E9FB06A" w14:textId="17E3CD14" w:rsidR="00E62561" w:rsidRDefault="00E62561" w:rsidP="008B4135">
      <w:pPr>
        <w:pStyle w:val="NoSpacing"/>
      </w:pPr>
      <w:r>
        <w:t xml:space="preserve">Just, R. E., &amp; Pope, R. D. (Eds.). (2013). </w:t>
      </w:r>
      <w:r>
        <w:rPr>
          <w:i/>
          <w:iCs/>
        </w:rPr>
        <w:t>A comprehensive assessment of the role of risk in US agriculture</w:t>
      </w:r>
      <w:r>
        <w:t xml:space="preserve"> (Vol. 23). Springer Science &amp; Business Media.</w:t>
      </w:r>
    </w:p>
    <w:p w14:paraId="284160E7" w14:textId="77777777" w:rsidR="00755F92" w:rsidRDefault="00755F92" w:rsidP="008B4135">
      <w:pPr>
        <w:pStyle w:val="NoSpacing"/>
      </w:pPr>
    </w:p>
    <w:p w14:paraId="4F789CEB" w14:textId="721DBBBA" w:rsidR="00B60AA1" w:rsidRDefault="00B60AA1" w:rsidP="008B4135">
      <w:pPr>
        <w:pStyle w:val="NoSpacing"/>
      </w:pPr>
      <w:proofErr w:type="spellStart"/>
      <w:r w:rsidRPr="007E25F6">
        <w:t>Karlan</w:t>
      </w:r>
      <w:proofErr w:type="spellEnd"/>
      <w:r w:rsidRPr="007E25F6">
        <w:t xml:space="preserve">, D., List, J. A., &amp; </w:t>
      </w:r>
      <w:proofErr w:type="spellStart"/>
      <w:r w:rsidRPr="007E25F6">
        <w:t>Shafir</w:t>
      </w:r>
      <w:proofErr w:type="spellEnd"/>
      <w:r w:rsidRPr="007E25F6">
        <w:t xml:space="preserve">, E. (2011). Small matches and charitable giving: Evidence from a natural field experiment. </w:t>
      </w:r>
      <w:r w:rsidRPr="007E25F6">
        <w:rPr>
          <w:i/>
          <w:iCs/>
        </w:rPr>
        <w:t>Journal of Public Economics</w:t>
      </w:r>
      <w:r w:rsidRPr="007E25F6">
        <w:t xml:space="preserve">, </w:t>
      </w:r>
      <w:r w:rsidRPr="007E25F6">
        <w:rPr>
          <w:i/>
          <w:iCs/>
        </w:rPr>
        <w:t>95</w:t>
      </w:r>
      <w:r w:rsidRPr="007E25F6">
        <w:t>(5), 344-350.</w:t>
      </w:r>
    </w:p>
    <w:p w14:paraId="79B7C840" w14:textId="77777777" w:rsidR="00B60AA1" w:rsidRDefault="00B60AA1" w:rsidP="008B4135">
      <w:pPr>
        <w:pStyle w:val="NoSpacing"/>
      </w:pPr>
    </w:p>
    <w:p w14:paraId="0BA49A0B" w14:textId="260D82F5" w:rsidR="00F44472" w:rsidRDefault="00F44472" w:rsidP="005B2B1A">
      <w:proofErr w:type="spellStart"/>
      <w:r>
        <w:t>Karlan</w:t>
      </w:r>
      <w:proofErr w:type="spellEnd"/>
      <w:r>
        <w:t xml:space="preserve">, D., </w:t>
      </w:r>
      <w:proofErr w:type="spellStart"/>
      <w:r>
        <w:t>Osei</w:t>
      </w:r>
      <w:proofErr w:type="spellEnd"/>
      <w:r>
        <w:t xml:space="preserve">, R., </w:t>
      </w:r>
      <w:proofErr w:type="spellStart"/>
      <w:r>
        <w:t>Osei-Akoto</w:t>
      </w:r>
      <w:proofErr w:type="spellEnd"/>
      <w:r>
        <w:t xml:space="preserve">, I., &amp; </w:t>
      </w:r>
      <w:proofErr w:type="spellStart"/>
      <w:r>
        <w:t>Udry</w:t>
      </w:r>
      <w:proofErr w:type="spellEnd"/>
      <w:r>
        <w:t xml:space="preserve">, C. (2014). Agricultural decisions after relaxing credit and risk constraints. </w:t>
      </w:r>
      <w:r>
        <w:rPr>
          <w:i/>
          <w:iCs/>
        </w:rPr>
        <w:t>The Quarterly Journal of Economics</w:t>
      </w:r>
      <w:r>
        <w:t xml:space="preserve">, </w:t>
      </w:r>
      <w:r>
        <w:rPr>
          <w:i/>
          <w:iCs/>
        </w:rPr>
        <w:t>129</w:t>
      </w:r>
      <w:r>
        <w:t>(2), 597-652.</w:t>
      </w:r>
    </w:p>
    <w:p w14:paraId="03F76173" w14:textId="77777777" w:rsidR="005B2B1A" w:rsidRPr="005B2B1A" w:rsidRDefault="005B2B1A" w:rsidP="005B2B1A">
      <w:proofErr w:type="spellStart"/>
      <w:r w:rsidRPr="005B2B1A">
        <w:t>Kunreuther</w:t>
      </w:r>
      <w:proofErr w:type="spellEnd"/>
      <w:r w:rsidRPr="005B2B1A">
        <w:t>, H., &amp; Michel-</w:t>
      </w:r>
      <w:proofErr w:type="spellStart"/>
      <w:r w:rsidRPr="005B2B1A">
        <w:t>Kerjan</w:t>
      </w:r>
      <w:proofErr w:type="spellEnd"/>
      <w:r w:rsidRPr="005B2B1A">
        <w:t xml:space="preserve">, E. (2015). Demand for fixed-price multi-year contracts: Experimental evidence from insurance decisions. </w:t>
      </w:r>
      <w:r w:rsidRPr="005B2B1A">
        <w:rPr>
          <w:i/>
          <w:iCs/>
        </w:rPr>
        <w:t>Journal of Risk and Uncertainty</w:t>
      </w:r>
      <w:r w:rsidRPr="005B2B1A">
        <w:t xml:space="preserve">, </w:t>
      </w:r>
      <w:r w:rsidRPr="005B2B1A">
        <w:rPr>
          <w:i/>
          <w:iCs/>
        </w:rPr>
        <w:t>51</w:t>
      </w:r>
      <w:r w:rsidRPr="005B2B1A">
        <w:t>(2), 171-194.</w:t>
      </w:r>
    </w:p>
    <w:p w14:paraId="40E3286E" w14:textId="4892CE02" w:rsidR="003C4090" w:rsidRDefault="003C4090" w:rsidP="00F12E1E">
      <w:r>
        <w:t>Levitt, S. D., &amp; List, J. A. (2007). What do laboratory experiments measuring social preferenc</w:t>
      </w:r>
      <w:r w:rsidR="008C2975">
        <w:t>es reveal about the real world?</w:t>
      </w:r>
      <w:r>
        <w:t xml:space="preserve"> </w:t>
      </w:r>
      <w:r w:rsidR="008C2975">
        <w:rPr>
          <w:i/>
          <w:iCs/>
        </w:rPr>
        <w:t>The Journal of Economic P</w:t>
      </w:r>
      <w:r>
        <w:rPr>
          <w:i/>
          <w:iCs/>
        </w:rPr>
        <w:t>erspectives</w:t>
      </w:r>
      <w:r>
        <w:t xml:space="preserve">, </w:t>
      </w:r>
      <w:r>
        <w:rPr>
          <w:i/>
          <w:iCs/>
        </w:rPr>
        <w:t>21</w:t>
      </w:r>
      <w:r>
        <w:t>(2), 153-174.</w:t>
      </w:r>
    </w:p>
    <w:p w14:paraId="7C3FAD79" w14:textId="32354EB8" w:rsidR="00D1471A" w:rsidRPr="00A73871" w:rsidRDefault="00D1471A" w:rsidP="00F12E1E">
      <w:r>
        <w:t>List</w:t>
      </w:r>
      <w:r w:rsidR="00890446">
        <w:t>, J.</w:t>
      </w:r>
      <w:r>
        <w:t xml:space="preserve"> (2001). “Do Explicit Warnings Eliminate the Hypothetical Bias in Elicitation Procedures?  Evidence from Field Auctions for </w:t>
      </w:r>
      <w:proofErr w:type="spellStart"/>
      <w:r>
        <w:t>Sportscards</w:t>
      </w:r>
      <w:proofErr w:type="spellEnd"/>
      <w:r>
        <w:t xml:space="preserve">,” </w:t>
      </w:r>
      <w:r>
        <w:rPr>
          <w:i/>
        </w:rPr>
        <w:t>American Economic Review</w:t>
      </w:r>
      <w:r>
        <w:t>, 91(5): 1498-1507.</w:t>
      </w:r>
    </w:p>
    <w:p w14:paraId="7EF5A4A9" w14:textId="77777777" w:rsidR="00602731" w:rsidRDefault="0093432E" w:rsidP="00602731">
      <w:pPr>
        <w:pStyle w:val="NoSpacing"/>
      </w:pPr>
      <w:proofErr w:type="spellStart"/>
      <w:r w:rsidRPr="00A90CBE">
        <w:lastRenderedPageBreak/>
        <w:t>Marwell</w:t>
      </w:r>
      <w:proofErr w:type="spellEnd"/>
      <w:r w:rsidRPr="00A90CBE">
        <w:t>, G., &amp; Ames, R. E. (1981). Economists free ride, does anyone else</w:t>
      </w:r>
      <w:proofErr w:type="gramStart"/>
      <w:r w:rsidRPr="00A90CBE">
        <w:t>?:</w:t>
      </w:r>
      <w:proofErr w:type="gramEnd"/>
      <w:r w:rsidRPr="00A90CBE">
        <w:t xml:space="preserve"> Experiments on the provision of public goods, IV. </w:t>
      </w:r>
      <w:r w:rsidRPr="00A90CBE">
        <w:rPr>
          <w:i/>
          <w:iCs/>
        </w:rPr>
        <w:t>Journal of public economics</w:t>
      </w:r>
      <w:r w:rsidRPr="00A90CBE">
        <w:t xml:space="preserve">, </w:t>
      </w:r>
      <w:r w:rsidRPr="00A90CBE">
        <w:rPr>
          <w:i/>
          <w:iCs/>
        </w:rPr>
        <w:t>15</w:t>
      </w:r>
      <w:r w:rsidRPr="00A90CBE">
        <w:t>(3), 295-310.</w:t>
      </w:r>
    </w:p>
    <w:p w14:paraId="0EA85682" w14:textId="77777777" w:rsidR="00602731" w:rsidRDefault="00602731" w:rsidP="00602731">
      <w:pPr>
        <w:pStyle w:val="NoSpacing"/>
      </w:pPr>
    </w:p>
    <w:p w14:paraId="323051BA" w14:textId="77777777" w:rsidR="00602731" w:rsidRDefault="00094C77" w:rsidP="004608C2">
      <w:pPr>
        <w:pStyle w:val="NoSpacing"/>
      </w:pPr>
      <w:r w:rsidRPr="00094C77">
        <w:t xml:space="preserve">Neumann, J. V., &amp; Morgenstern, O. (1944). </w:t>
      </w:r>
      <w:r w:rsidRPr="00094C77">
        <w:rPr>
          <w:i/>
          <w:iCs/>
        </w:rPr>
        <w:t>Theory of games and economic behavior</w:t>
      </w:r>
      <w:r w:rsidRPr="00094C77">
        <w:t xml:space="preserve"> (Vol. 60). Princeton: Princeton university press.</w:t>
      </w:r>
    </w:p>
    <w:p w14:paraId="02E18C72" w14:textId="77777777" w:rsidR="00602731" w:rsidRDefault="00602731" w:rsidP="004608C2">
      <w:pPr>
        <w:pStyle w:val="NoSpacing"/>
      </w:pPr>
    </w:p>
    <w:p w14:paraId="3CBF7C20" w14:textId="02BC0A3E" w:rsidR="00A12AE7" w:rsidRPr="00A12AE7" w:rsidRDefault="00A12AE7" w:rsidP="004608C2">
      <w:pPr>
        <w:pStyle w:val="NoSpacing"/>
      </w:pPr>
      <w:r w:rsidRPr="00A12AE7">
        <w:t xml:space="preserve">Pannell, D. J. (1991). Pests and pesticides, risk and risk aversion. </w:t>
      </w:r>
      <w:r w:rsidRPr="00A12AE7">
        <w:rPr>
          <w:i/>
          <w:iCs/>
        </w:rPr>
        <w:t>Agricultural Economics</w:t>
      </w:r>
      <w:r w:rsidRPr="00A12AE7">
        <w:t xml:space="preserve">, </w:t>
      </w:r>
      <w:r w:rsidRPr="00A12AE7">
        <w:rPr>
          <w:i/>
          <w:iCs/>
        </w:rPr>
        <w:t>5</w:t>
      </w:r>
      <w:r w:rsidRPr="00A12AE7">
        <w:t>(4), 361-383.</w:t>
      </w:r>
    </w:p>
    <w:p w14:paraId="533696C4" w14:textId="77777777" w:rsidR="00A12AE7" w:rsidRDefault="00A12AE7" w:rsidP="004608C2">
      <w:pPr>
        <w:pStyle w:val="NoSpacing"/>
      </w:pPr>
    </w:p>
    <w:p w14:paraId="05569EC6" w14:textId="77777777" w:rsidR="00085280" w:rsidRDefault="000B3E96" w:rsidP="004608C2">
      <w:pPr>
        <w:pStyle w:val="NoSpacing"/>
      </w:pPr>
      <w:r w:rsidRPr="000B3E96">
        <w:t xml:space="preserve">Pannell, D. J., Malcolm, B., &amp; </w:t>
      </w:r>
      <w:proofErr w:type="spellStart"/>
      <w:r w:rsidRPr="000B3E96">
        <w:t>Kingwell</w:t>
      </w:r>
      <w:proofErr w:type="spellEnd"/>
      <w:r w:rsidRPr="000B3E96">
        <w:t xml:space="preserve">, R. S. (2000). Are we risking too much? Perspectives on risk in farm modelling. </w:t>
      </w:r>
      <w:r w:rsidRPr="000B3E96">
        <w:rPr>
          <w:i/>
          <w:iCs/>
        </w:rPr>
        <w:t>Agricultural Economics</w:t>
      </w:r>
      <w:r w:rsidRPr="000B3E96">
        <w:t xml:space="preserve">, </w:t>
      </w:r>
      <w:r w:rsidRPr="000B3E96">
        <w:rPr>
          <w:i/>
          <w:iCs/>
        </w:rPr>
        <w:t>23</w:t>
      </w:r>
      <w:r w:rsidRPr="000B3E96">
        <w:t>(1), 69-78.</w:t>
      </w:r>
    </w:p>
    <w:p w14:paraId="4B7C1ED9" w14:textId="77777777" w:rsidR="00085280" w:rsidRDefault="00085280" w:rsidP="004608C2">
      <w:pPr>
        <w:pStyle w:val="NoSpacing"/>
      </w:pPr>
    </w:p>
    <w:p w14:paraId="02455D9F" w14:textId="6715D43D" w:rsidR="00835B9B" w:rsidRDefault="00835B9B" w:rsidP="004608C2">
      <w:pPr>
        <w:pStyle w:val="NoSpacing"/>
      </w:pPr>
      <w:proofErr w:type="spellStart"/>
      <w:r>
        <w:t>Plott</w:t>
      </w:r>
      <w:proofErr w:type="spellEnd"/>
      <w:r>
        <w:t xml:space="preserve">, C. R. (1991). Will economics become an experimental science?  </w:t>
      </w:r>
      <w:r>
        <w:rPr>
          <w:i/>
          <w:iCs/>
        </w:rPr>
        <w:t>Southern Economic Journal</w:t>
      </w:r>
      <w:r>
        <w:t>, 901-919.</w:t>
      </w:r>
    </w:p>
    <w:p w14:paraId="73B839E1" w14:textId="77777777" w:rsidR="00085280" w:rsidRDefault="00085280" w:rsidP="004608C2">
      <w:pPr>
        <w:pStyle w:val="NoSpacing"/>
      </w:pPr>
    </w:p>
    <w:p w14:paraId="773657A8" w14:textId="77777777" w:rsidR="0020574A" w:rsidRPr="0020574A" w:rsidRDefault="0020574A" w:rsidP="00F12E1E">
      <w:r w:rsidRPr="0020574A">
        <w:t xml:space="preserve">Richter, A., Schiller, J., &amp; Schlesinger, H. (2014). Behavioral insurance: Theory and experiments. </w:t>
      </w:r>
      <w:r w:rsidRPr="0020574A">
        <w:rPr>
          <w:i/>
          <w:iCs/>
        </w:rPr>
        <w:t>Journal of Risk and Uncertainty</w:t>
      </w:r>
      <w:r w:rsidRPr="0020574A">
        <w:t xml:space="preserve">, </w:t>
      </w:r>
      <w:r w:rsidRPr="0020574A">
        <w:rPr>
          <w:i/>
          <w:iCs/>
        </w:rPr>
        <w:t>48</w:t>
      </w:r>
      <w:r w:rsidRPr="0020574A">
        <w:t>(2), 85–96.</w:t>
      </w:r>
    </w:p>
    <w:p w14:paraId="78290339" w14:textId="77777777" w:rsidR="00D569FE" w:rsidRPr="00F037EA" w:rsidRDefault="00D569FE" w:rsidP="00D569FE">
      <w:pPr>
        <w:pStyle w:val="NoSpacing"/>
      </w:pPr>
      <w:r w:rsidRPr="00F037EA">
        <w:t xml:space="preserve">Riley Jr, W. B., &amp; Chow, K. V. (1992). Asset allocation and individual risk aversion. </w:t>
      </w:r>
      <w:r w:rsidRPr="00F037EA">
        <w:rPr>
          <w:i/>
          <w:iCs/>
        </w:rPr>
        <w:t>Financial Analysts Journal</w:t>
      </w:r>
      <w:r w:rsidRPr="00F037EA">
        <w:t>, 32-37.</w:t>
      </w:r>
    </w:p>
    <w:p w14:paraId="586D941F" w14:textId="77777777" w:rsidR="00D569FE" w:rsidRDefault="00D569FE" w:rsidP="00D569FE">
      <w:pPr>
        <w:pStyle w:val="NoSpacing"/>
      </w:pPr>
    </w:p>
    <w:p w14:paraId="357E8490" w14:textId="076FC0BF" w:rsidR="00995933" w:rsidRDefault="00995933" w:rsidP="00F12E1E">
      <w:r>
        <w:t xml:space="preserve">Roberts, M. J., Key, N., &amp; </w:t>
      </w:r>
      <w:proofErr w:type="spellStart"/>
      <w:r>
        <w:t>O'Donoghue</w:t>
      </w:r>
      <w:proofErr w:type="spellEnd"/>
      <w:r>
        <w:t xml:space="preserve">, E. (2006). Estimating the extent of moral hazard in crop insurance using administrative data. </w:t>
      </w:r>
      <w:r>
        <w:rPr>
          <w:i/>
          <w:iCs/>
        </w:rPr>
        <w:t>Applied Economic Perspectives and Policy</w:t>
      </w:r>
      <w:r>
        <w:t xml:space="preserve">, </w:t>
      </w:r>
      <w:r>
        <w:rPr>
          <w:i/>
          <w:iCs/>
        </w:rPr>
        <w:t>28</w:t>
      </w:r>
      <w:r>
        <w:t>(3), 381-390.</w:t>
      </w:r>
    </w:p>
    <w:p w14:paraId="7ED8512F" w14:textId="36C83EE6" w:rsidR="00D569FE" w:rsidRDefault="00FA7B45" w:rsidP="008B4135">
      <w:pPr>
        <w:pStyle w:val="NoSpacing"/>
      </w:pPr>
      <w:r>
        <w:t xml:space="preserve">Rosch, S. (2017).  Risk Attitudes of US Agricultural Producers. Selected Paper Prepared for the 2017 AAEA Annual Meeting in Chicago, IL, 30 July – 1 August 2017.   </w:t>
      </w:r>
    </w:p>
    <w:p w14:paraId="3B21E0E9" w14:textId="77777777" w:rsidR="005624F6" w:rsidRDefault="005624F6" w:rsidP="008B4135">
      <w:pPr>
        <w:pStyle w:val="NoSpacing"/>
      </w:pPr>
    </w:p>
    <w:p w14:paraId="21B5C44A" w14:textId="77777777" w:rsidR="005624F6" w:rsidRDefault="005624F6" w:rsidP="008B4135">
      <w:pPr>
        <w:pStyle w:val="NoSpacing"/>
      </w:pPr>
      <w:r w:rsidRPr="007E656F">
        <w:t xml:space="preserve">Sapienza, P., </w:t>
      </w:r>
      <w:proofErr w:type="spellStart"/>
      <w:r w:rsidRPr="007E656F">
        <w:t>Zingales</w:t>
      </w:r>
      <w:proofErr w:type="spellEnd"/>
      <w:r w:rsidRPr="007E656F">
        <w:t xml:space="preserve">, L., &amp; </w:t>
      </w:r>
      <w:proofErr w:type="spellStart"/>
      <w:r w:rsidRPr="007E656F">
        <w:t>Maestripieri</w:t>
      </w:r>
      <w:proofErr w:type="spellEnd"/>
      <w:r w:rsidRPr="007E656F">
        <w:t xml:space="preserve">, D. (2009). Gender differences in financial risk aversion and career choices are affected by testosterone. </w:t>
      </w:r>
      <w:r w:rsidRPr="007E656F">
        <w:rPr>
          <w:i/>
          <w:iCs/>
        </w:rPr>
        <w:t>Proceedings of the National Academy of Sciences</w:t>
      </w:r>
      <w:r w:rsidRPr="007E656F">
        <w:t xml:space="preserve">, </w:t>
      </w:r>
      <w:r w:rsidRPr="007E656F">
        <w:rPr>
          <w:i/>
          <w:iCs/>
        </w:rPr>
        <w:t>106</w:t>
      </w:r>
      <w:r w:rsidRPr="007E656F">
        <w:t>(36), 15268-15273.</w:t>
      </w:r>
    </w:p>
    <w:p w14:paraId="6589A304" w14:textId="77777777" w:rsidR="005624F6" w:rsidRDefault="005624F6" w:rsidP="008B4135">
      <w:pPr>
        <w:pStyle w:val="NoSpacing"/>
      </w:pPr>
    </w:p>
    <w:p w14:paraId="6C3FBAA0" w14:textId="19C37ADD" w:rsidR="005624F6" w:rsidRDefault="00A26B64" w:rsidP="008B4135">
      <w:pPr>
        <w:pStyle w:val="NoSpacing"/>
      </w:pPr>
      <w:proofErr w:type="spellStart"/>
      <w:r>
        <w:t>Schipanski</w:t>
      </w:r>
      <w:proofErr w:type="spellEnd"/>
      <w:r>
        <w:t xml:space="preserve">, M. E., </w:t>
      </w:r>
      <w:proofErr w:type="spellStart"/>
      <w:r>
        <w:t>Barbercheck</w:t>
      </w:r>
      <w:proofErr w:type="spellEnd"/>
      <w:r>
        <w:t>, M., Douglas, M. R., Finney, D. M.,</w:t>
      </w:r>
      <w:r w:rsidR="001F6A30">
        <w:t xml:space="preserve"> </w:t>
      </w:r>
      <w:proofErr w:type="spellStart"/>
      <w:r w:rsidR="001F6A30">
        <w:t>Haider</w:t>
      </w:r>
      <w:proofErr w:type="spellEnd"/>
      <w:r w:rsidR="001F6A30">
        <w:t>, K., Kaye, J. P.,</w:t>
      </w:r>
      <w:r>
        <w:t xml:space="preserve"> &amp; White, C. (2014). A framework for evaluating ecosystem services provided by cover crops in agroecosystems. </w:t>
      </w:r>
      <w:r>
        <w:rPr>
          <w:i/>
          <w:iCs/>
        </w:rPr>
        <w:t>Agricultural Systems</w:t>
      </w:r>
      <w:r>
        <w:t xml:space="preserve">, </w:t>
      </w:r>
      <w:r>
        <w:rPr>
          <w:i/>
          <w:iCs/>
        </w:rPr>
        <w:t>125</w:t>
      </w:r>
      <w:r>
        <w:t>, 12-22.</w:t>
      </w:r>
    </w:p>
    <w:p w14:paraId="21D5B36E" w14:textId="77777777" w:rsidR="00602731" w:rsidRDefault="00602731" w:rsidP="008B4135">
      <w:pPr>
        <w:pStyle w:val="NoSpacing"/>
      </w:pPr>
    </w:p>
    <w:p w14:paraId="3778673B" w14:textId="77777777" w:rsidR="00602731" w:rsidRDefault="00020F9A" w:rsidP="00602731">
      <w:pPr>
        <w:pStyle w:val="NoSpacing"/>
      </w:pPr>
      <w:proofErr w:type="spellStart"/>
      <w:r w:rsidRPr="00020F9A">
        <w:t>Shapira</w:t>
      </w:r>
      <w:proofErr w:type="spellEnd"/>
      <w:r w:rsidRPr="00020F9A">
        <w:t xml:space="preserve">, Z., &amp; </w:t>
      </w:r>
      <w:proofErr w:type="spellStart"/>
      <w:r w:rsidRPr="00020F9A">
        <w:t>Venezia</w:t>
      </w:r>
      <w:proofErr w:type="spellEnd"/>
      <w:r w:rsidRPr="00020F9A">
        <w:t xml:space="preserve">, I. (2008). On the preference for full-coverage policies: Why do people buy too much insurance? </w:t>
      </w:r>
      <w:r w:rsidRPr="00020F9A">
        <w:rPr>
          <w:i/>
          <w:iCs/>
        </w:rPr>
        <w:t>Journal of Economic Psychology</w:t>
      </w:r>
      <w:r w:rsidRPr="00020F9A">
        <w:t xml:space="preserve">, </w:t>
      </w:r>
      <w:r w:rsidRPr="00020F9A">
        <w:rPr>
          <w:i/>
          <w:iCs/>
        </w:rPr>
        <w:t>29</w:t>
      </w:r>
      <w:r w:rsidRPr="00020F9A">
        <w:t>(5), 747–761.</w:t>
      </w:r>
    </w:p>
    <w:p w14:paraId="738DA9B6" w14:textId="77777777" w:rsidR="00602731" w:rsidRDefault="00602731" w:rsidP="00602731">
      <w:pPr>
        <w:pStyle w:val="NoSpacing"/>
      </w:pPr>
    </w:p>
    <w:p w14:paraId="2E397D27" w14:textId="77777777" w:rsidR="00602731" w:rsidRDefault="004C5E1C" w:rsidP="00602731">
      <w:pPr>
        <w:pStyle w:val="NoSpacing"/>
      </w:pPr>
      <w:proofErr w:type="spellStart"/>
      <w:r w:rsidRPr="004C5E1C">
        <w:t>Slovic</w:t>
      </w:r>
      <w:proofErr w:type="spellEnd"/>
      <w:r w:rsidRPr="004C5E1C">
        <w:t xml:space="preserve">, P., </w:t>
      </w:r>
      <w:proofErr w:type="spellStart"/>
      <w:r w:rsidRPr="004C5E1C">
        <w:t>Fischhoff</w:t>
      </w:r>
      <w:proofErr w:type="spellEnd"/>
      <w:r w:rsidRPr="004C5E1C">
        <w:t xml:space="preserve">, B., Lichtenstein, S., Corrigan, B., &amp; Combs, B. (1977). Preference for insuring against probable small losses: Insurance implications. </w:t>
      </w:r>
      <w:r w:rsidRPr="004C5E1C">
        <w:rPr>
          <w:i/>
          <w:iCs/>
        </w:rPr>
        <w:t>Journal of Risk and insurance</w:t>
      </w:r>
      <w:r w:rsidRPr="004C5E1C">
        <w:t>, 237-258.</w:t>
      </w:r>
    </w:p>
    <w:p w14:paraId="32D8D9A1" w14:textId="77777777" w:rsidR="00602731" w:rsidRDefault="00602731" w:rsidP="00602731">
      <w:pPr>
        <w:pStyle w:val="NoSpacing"/>
      </w:pPr>
    </w:p>
    <w:p w14:paraId="5E892D4B" w14:textId="77777777" w:rsidR="00602731" w:rsidRDefault="004D155D" w:rsidP="00602731">
      <w:pPr>
        <w:pStyle w:val="NoSpacing"/>
      </w:pPr>
      <w:r>
        <w:t xml:space="preserve">Smith, V. H., &amp; </w:t>
      </w:r>
      <w:proofErr w:type="spellStart"/>
      <w:r>
        <w:t>Baquet</w:t>
      </w:r>
      <w:proofErr w:type="spellEnd"/>
      <w:r>
        <w:t xml:space="preserve">, A. E. (1996). The demand for multiple peril crop insurance: evidence from Montana wheat farms. </w:t>
      </w:r>
      <w:r>
        <w:rPr>
          <w:i/>
          <w:iCs/>
        </w:rPr>
        <w:t>American journal of agricultural economics</w:t>
      </w:r>
      <w:r>
        <w:t xml:space="preserve">, </w:t>
      </w:r>
      <w:r>
        <w:rPr>
          <w:i/>
          <w:iCs/>
        </w:rPr>
        <w:t>78</w:t>
      </w:r>
      <w:r>
        <w:t>(1), 189-201.</w:t>
      </w:r>
    </w:p>
    <w:p w14:paraId="19500BDB" w14:textId="77777777" w:rsidR="00602731" w:rsidRDefault="00602731" w:rsidP="00602731">
      <w:pPr>
        <w:pStyle w:val="NoSpacing"/>
      </w:pPr>
    </w:p>
    <w:p w14:paraId="6C15FEDE" w14:textId="77777777" w:rsidR="00602731" w:rsidRDefault="00AA197E" w:rsidP="00602731">
      <w:pPr>
        <w:pStyle w:val="NoSpacing"/>
      </w:pPr>
      <w:r>
        <w:t xml:space="preserve">Smith, V. H., &amp; Goodwin, B. K. (1996). Crop insurance, moral hazard, and agricultural chemical use. </w:t>
      </w:r>
      <w:r>
        <w:rPr>
          <w:i/>
          <w:iCs/>
        </w:rPr>
        <w:t>American Journal of Agricultural Economics</w:t>
      </w:r>
      <w:r>
        <w:t xml:space="preserve">, </w:t>
      </w:r>
      <w:r>
        <w:rPr>
          <w:i/>
          <w:iCs/>
        </w:rPr>
        <w:t>78</w:t>
      </w:r>
      <w:r>
        <w:t>(2), 428-438.</w:t>
      </w:r>
    </w:p>
    <w:p w14:paraId="711E8A22" w14:textId="77777777" w:rsidR="00602731" w:rsidRDefault="00602731" w:rsidP="00602731">
      <w:pPr>
        <w:pStyle w:val="NoSpacing"/>
      </w:pPr>
    </w:p>
    <w:p w14:paraId="73690806" w14:textId="77777777" w:rsidR="00602731" w:rsidRDefault="00085280" w:rsidP="00602731">
      <w:pPr>
        <w:pStyle w:val="NoSpacing"/>
      </w:pPr>
      <w:proofErr w:type="spellStart"/>
      <w:r>
        <w:lastRenderedPageBreak/>
        <w:t>Snapp</w:t>
      </w:r>
      <w:proofErr w:type="spellEnd"/>
      <w:r>
        <w:t xml:space="preserve">, S. S., Swinton, S. M., </w:t>
      </w:r>
      <w:proofErr w:type="spellStart"/>
      <w:r>
        <w:t>Labarta</w:t>
      </w:r>
      <w:proofErr w:type="spellEnd"/>
      <w:r>
        <w:t xml:space="preserve">, R., </w:t>
      </w:r>
      <w:proofErr w:type="spellStart"/>
      <w:r>
        <w:t>Mutch</w:t>
      </w:r>
      <w:proofErr w:type="spellEnd"/>
      <w:r>
        <w:t xml:space="preserve">, D., Black, J. R., </w:t>
      </w:r>
      <w:proofErr w:type="spellStart"/>
      <w:r>
        <w:t>Leep</w:t>
      </w:r>
      <w:proofErr w:type="spellEnd"/>
      <w:r>
        <w:t>, R</w:t>
      </w:r>
      <w:proofErr w:type="gramStart"/>
      <w:r>
        <w:t>., ...</w:t>
      </w:r>
      <w:proofErr w:type="gramEnd"/>
      <w:r>
        <w:t xml:space="preserve"> &amp; O'Neil, K. (2005). Evaluating cover crops for benefits, costs and performance within cropping system niches. </w:t>
      </w:r>
      <w:r>
        <w:rPr>
          <w:i/>
          <w:iCs/>
        </w:rPr>
        <w:t>Agronomy Journal</w:t>
      </w:r>
      <w:r>
        <w:t xml:space="preserve">, </w:t>
      </w:r>
      <w:r>
        <w:rPr>
          <w:i/>
          <w:iCs/>
        </w:rPr>
        <w:t>97</w:t>
      </w:r>
      <w:r>
        <w:t>(1), 322-332.</w:t>
      </w:r>
    </w:p>
    <w:p w14:paraId="1BA92598" w14:textId="77777777" w:rsidR="00602731" w:rsidRDefault="00602731" w:rsidP="00602731">
      <w:pPr>
        <w:pStyle w:val="NoSpacing"/>
      </w:pPr>
    </w:p>
    <w:p w14:paraId="724DCEE8" w14:textId="77777777" w:rsidR="00602731" w:rsidRDefault="003026A0" w:rsidP="00602731">
      <w:pPr>
        <w:pStyle w:val="NoSpacing"/>
      </w:pPr>
      <w:r w:rsidRPr="003026A0">
        <w:t xml:space="preserve">Sydnor, J. (2010). (Over) insuring modest risks. </w:t>
      </w:r>
      <w:r w:rsidRPr="003026A0">
        <w:rPr>
          <w:i/>
          <w:iCs/>
        </w:rPr>
        <w:t>American Economic Journal: Applied Economics</w:t>
      </w:r>
      <w:r w:rsidRPr="003026A0">
        <w:t xml:space="preserve">, </w:t>
      </w:r>
      <w:r w:rsidRPr="003026A0">
        <w:rPr>
          <w:i/>
          <w:iCs/>
        </w:rPr>
        <w:t>2</w:t>
      </w:r>
      <w:r w:rsidRPr="003026A0">
        <w:t>(4), 177–199.</w:t>
      </w:r>
    </w:p>
    <w:p w14:paraId="716E5EDE" w14:textId="77777777" w:rsidR="00602731" w:rsidRDefault="00602731" w:rsidP="00602731">
      <w:pPr>
        <w:pStyle w:val="NoSpacing"/>
      </w:pPr>
    </w:p>
    <w:p w14:paraId="4DDEE3D2" w14:textId="77777777" w:rsidR="00602731" w:rsidRDefault="00197EB1" w:rsidP="00602731">
      <w:pPr>
        <w:pStyle w:val="NoSpacing"/>
      </w:pPr>
      <w:proofErr w:type="spellStart"/>
      <w:r>
        <w:t>Thaler</w:t>
      </w:r>
      <w:proofErr w:type="spellEnd"/>
      <w:r>
        <w:t xml:space="preserve">, R. H., A. </w:t>
      </w:r>
      <w:proofErr w:type="spellStart"/>
      <w:r>
        <w:t>Tversky</w:t>
      </w:r>
      <w:proofErr w:type="spellEnd"/>
      <w:r>
        <w:t xml:space="preserve">, D. </w:t>
      </w:r>
      <w:proofErr w:type="spellStart"/>
      <w:r>
        <w:t>Kahneman</w:t>
      </w:r>
      <w:proofErr w:type="spellEnd"/>
      <w:r>
        <w:t>, and A.</w:t>
      </w:r>
      <w:r w:rsidRPr="00905EB2">
        <w:t xml:space="preserve"> Schwartz. "The effect of myopia and loss aversion on risk taking: An experimental test." </w:t>
      </w:r>
      <w:r w:rsidRPr="00905EB2">
        <w:rPr>
          <w:i/>
          <w:iCs/>
        </w:rPr>
        <w:t>The Quarterly Journal of Economics</w:t>
      </w:r>
      <w:r w:rsidRPr="00905EB2">
        <w:t xml:space="preserve"> 112, no. 2 (1997): 647-661.</w:t>
      </w:r>
    </w:p>
    <w:p w14:paraId="1C311133" w14:textId="77777777" w:rsidR="00602731" w:rsidRDefault="00602731" w:rsidP="00602731">
      <w:pPr>
        <w:pStyle w:val="NoSpacing"/>
      </w:pPr>
    </w:p>
    <w:p w14:paraId="020743DE" w14:textId="77777777" w:rsidR="00602731" w:rsidRDefault="00197EB1" w:rsidP="00602731">
      <w:pPr>
        <w:pStyle w:val="NoSpacing"/>
      </w:pPr>
      <w:proofErr w:type="spellStart"/>
      <w:r>
        <w:t>Tversky</w:t>
      </w:r>
      <w:proofErr w:type="spellEnd"/>
      <w:r>
        <w:t>, A., and D.</w:t>
      </w:r>
      <w:r w:rsidRPr="00FC05DE">
        <w:t xml:space="preserve"> </w:t>
      </w:r>
      <w:proofErr w:type="spellStart"/>
      <w:r w:rsidRPr="00FC05DE">
        <w:t>Kahneman</w:t>
      </w:r>
      <w:proofErr w:type="spellEnd"/>
      <w:r w:rsidRPr="00FC05DE">
        <w:t xml:space="preserve">. "Advances in prospect theory: Cumulative representation of uncertainty." </w:t>
      </w:r>
      <w:r>
        <w:rPr>
          <w:i/>
          <w:iCs/>
        </w:rPr>
        <w:t>Journal of Risk and U</w:t>
      </w:r>
      <w:r w:rsidRPr="00FC05DE">
        <w:rPr>
          <w:i/>
          <w:iCs/>
        </w:rPr>
        <w:t>ncertainty</w:t>
      </w:r>
      <w:r w:rsidRPr="00FC05DE">
        <w:t xml:space="preserve"> 5, no. 4 (1992): 297-323.</w:t>
      </w:r>
    </w:p>
    <w:p w14:paraId="3CF924BC" w14:textId="77777777" w:rsidR="00602731" w:rsidRDefault="00602731" w:rsidP="00602731">
      <w:pPr>
        <w:pStyle w:val="NoSpacing"/>
      </w:pPr>
    </w:p>
    <w:p w14:paraId="388A9F5B" w14:textId="77777777" w:rsidR="00602731" w:rsidRDefault="00904015" w:rsidP="00727B14">
      <w:pPr>
        <w:pStyle w:val="NoSpacing"/>
      </w:pPr>
      <w:proofErr w:type="spellStart"/>
      <w:r>
        <w:t>Velandia</w:t>
      </w:r>
      <w:proofErr w:type="spellEnd"/>
      <w:r>
        <w:t xml:space="preserve">, M., Rejesus, R. M., Knight, T. O., &amp; </w:t>
      </w:r>
      <w:proofErr w:type="spellStart"/>
      <w:r>
        <w:t>Sherrick</w:t>
      </w:r>
      <w:proofErr w:type="spellEnd"/>
      <w:r>
        <w:t xml:space="preserve">, B. J. (2009). Factors affecting farmers' utilization of agricultural risk management tools: the case of crop insurance, forward contracting, and spreading sales. </w:t>
      </w:r>
      <w:r>
        <w:rPr>
          <w:i/>
          <w:iCs/>
        </w:rPr>
        <w:t>Journal of agricultural and applied economics</w:t>
      </w:r>
      <w:r>
        <w:t xml:space="preserve">, </w:t>
      </w:r>
      <w:r>
        <w:rPr>
          <w:i/>
          <w:iCs/>
        </w:rPr>
        <w:t>41</w:t>
      </w:r>
      <w:r>
        <w:t>(01), 107-123.</w:t>
      </w:r>
    </w:p>
    <w:p w14:paraId="3FBAE8DD" w14:textId="77777777" w:rsidR="00602731" w:rsidRDefault="00602731" w:rsidP="00727B14">
      <w:pPr>
        <w:pStyle w:val="NoSpacing"/>
      </w:pPr>
    </w:p>
    <w:p w14:paraId="2FF1E4C8" w14:textId="391041D9" w:rsidR="00727B14" w:rsidRPr="002068F5" w:rsidRDefault="00727B14" w:rsidP="00727B14">
      <w:pPr>
        <w:pStyle w:val="NoSpacing"/>
      </w:pPr>
      <w:r w:rsidRPr="002068F5">
        <w:t xml:space="preserve">Weber, E. U., </w:t>
      </w:r>
      <w:proofErr w:type="spellStart"/>
      <w:r w:rsidRPr="002068F5">
        <w:t>Blais</w:t>
      </w:r>
      <w:proofErr w:type="spellEnd"/>
      <w:r w:rsidRPr="002068F5">
        <w:t>, A. R., &amp; Betz, N. E. (2002). A domain</w:t>
      </w:r>
      <w:r w:rsidRPr="002068F5">
        <w:rPr>
          <w:rFonts w:ascii="Cambria Math" w:hAnsi="Cambria Math" w:cs="Cambria Math"/>
        </w:rPr>
        <w:t>‐</w:t>
      </w:r>
      <w:r w:rsidRPr="002068F5">
        <w:t>specific risk</w:t>
      </w:r>
      <w:r w:rsidRPr="002068F5">
        <w:rPr>
          <w:rFonts w:ascii="Cambria Math" w:hAnsi="Cambria Math" w:cs="Cambria Math"/>
        </w:rPr>
        <w:t>‐</w:t>
      </w:r>
      <w:r w:rsidRPr="002068F5">
        <w:t xml:space="preserve">attitude scale: Measuring risk perceptions and risk behaviors. </w:t>
      </w:r>
      <w:r w:rsidRPr="002068F5">
        <w:rPr>
          <w:i/>
          <w:iCs/>
        </w:rPr>
        <w:t>Journal of behavioral decision making</w:t>
      </w:r>
      <w:r w:rsidRPr="002068F5">
        <w:t xml:space="preserve">, </w:t>
      </w:r>
      <w:r w:rsidRPr="002068F5">
        <w:rPr>
          <w:i/>
          <w:iCs/>
        </w:rPr>
        <w:t>15</w:t>
      </w:r>
      <w:r w:rsidRPr="002068F5">
        <w:t>(4), 263-290.</w:t>
      </w:r>
    </w:p>
    <w:p w14:paraId="6DE2A8D1" w14:textId="77777777" w:rsidR="00727B14" w:rsidRDefault="00727B14" w:rsidP="00727B14">
      <w:pPr>
        <w:pStyle w:val="NoSpacing"/>
      </w:pPr>
    </w:p>
    <w:p w14:paraId="2B7343CD" w14:textId="77777777" w:rsidR="00727B14" w:rsidRPr="00465437" w:rsidRDefault="00727B14" w:rsidP="00727B14">
      <w:pPr>
        <w:pStyle w:val="NoSpacing"/>
      </w:pPr>
      <w:proofErr w:type="spellStart"/>
      <w:r w:rsidRPr="00465437">
        <w:t>Zelmer</w:t>
      </w:r>
      <w:proofErr w:type="spellEnd"/>
      <w:r w:rsidRPr="00465437">
        <w:t xml:space="preserve">, J. (2003). Linear public goods experiments: A meta-analysis. </w:t>
      </w:r>
      <w:r w:rsidRPr="00465437">
        <w:rPr>
          <w:i/>
          <w:iCs/>
        </w:rPr>
        <w:t>Experimental Economics</w:t>
      </w:r>
      <w:r w:rsidRPr="00465437">
        <w:t xml:space="preserve">, </w:t>
      </w:r>
      <w:r w:rsidRPr="00465437">
        <w:rPr>
          <w:i/>
          <w:iCs/>
        </w:rPr>
        <w:t>6</w:t>
      </w:r>
      <w:r w:rsidRPr="00465437">
        <w:t>(3), 299-310.</w:t>
      </w:r>
    </w:p>
    <w:p w14:paraId="7FFCDC45" w14:textId="77777777" w:rsidR="00727B14" w:rsidRDefault="00727B14" w:rsidP="00727B14">
      <w:pPr>
        <w:pStyle w:val="NoSpacing"/>
      </w:pPr>
    </w:p>
    <w:p w14:paraId="229B4A3D" w14:textId="77777777" w:rsidR="00727B14" w:rsidRPr="00330990" w:rsidRDefault="00727B14" w:rsidP="00727B14">
      <w:pPr>
        <w:pStyle w:val="NoSpacing"/>
      </w:pPr>
      <w:proofErr w:type="spellStart"/>
      <w:r w:rsidRPr="00330990">
        <w:t>Zocco</w:t>
      </w:r>
      <w:proofErr w:type="spellEnd"/>
      <w:r w:rsidRPr="00330990">
        <w:t xml:space="preserve">, D. (2009). Risk theory and student course selection. </w:t>
      </w:r>
      <w:r w:rsidRPr="00330990">
        <w:rPr>
          <w:i/>
          <w:iCs/>
        </w:rPr>
        <w:t>Research in Higher Education Journal</w:t>
      </w:r>
      <w:r w:rsidRPr="00330990">
        <w:t xml:space="preserve">, </w:t>
      </w:r>
      <w:r w:rsidRPr="00330990">
        <w:rPr>
          <w:i/>
          <w:iCs/>
        </w:rPr>
        <w:t>3</w:t>
      </w:r>
      <w:r w:rsidRPr="00330990">
        <w:t>, 1.</w:t>
      </w:r>
    </w:p>
    <w:p w14:paraId="35664856" w14:textId="77777777" w:rsidR="00727B14" w:rsidRPr="00210DCB" w:rsidRDefault="00727B14" w:rsidP="00F12E1E"/>
    <w:sectPr w:rsidR="00727B14" w:rsidRPr="00210DC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3C05D" w14:textId="77777777" w:rsidR="00A277B8" w:rsidRDefault="00A277B8" w:rsidP="00AE6799">
      <w:pPr>
        <w:spacing w:after="0" w:line="240" w:lineRule="auto"/>
      </w:pPr>
      <w:r>
        <w:separator/>
      </w:r>
    </w:p>
  </w:endnote>
  <w:endnote w:type="continuationSeparator" w:id="0">
    <w:p w14:paraId="4F34856A" w14:textId="77777777" w:rsidR="00A277B8" w:rsidRDefault="00A277B8" w:rsidP="00AE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kzidenz Grotesk BE Light">
    <w:altName w:val="Akzidenz Grotesk BE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D840B" w14:textId="69AACB5F" w:rsidR="00442259" w:rsidRDefault="009078D7">
    <w:pPr>
      <w:pStyle w:val="Footer"/>
    </w:pPr>
    <w:r>
      <w:t>Supporting Statement: Part A</w:t>
    </w:r>
    <w:r>
      <w:ptab w:relativeTo="margin" w:alignment="center" w:leader="none"/>
    </w:r>
    <w:r>
      <w:ptab w:relativeTo="margin" w:alignment="right" w:leader="none"/>
    </w:r>
    <w:r w:rsidRPr="009078D7">
      <w:t xml:space="preserve">Page </w:t>
    </w:r>
    <w:r w:rsidRPr="009078D7">
      <w:rPr>
        <w:b/>
        <w:bCs/>
      </w:rPr>
      <w:fldChar w:fldCharType="begin"/>
    </w:r>
    <w:r w:rsidRPr="009078D7">
      <w:rPr>
        <w:b/>
        <w:bCs/>
      </w:rPr>
      <w:instrText xml:space="preserve"> PAGE  \* Arabic  \* MERGEFORMAT </w:instrText>
    </w:r>
    <w:r w:rsidRPr="009078D7">
      <w:rPr>
        <w:b/>
        <w:bCs/>
      </w:rPr>
      <w:fldChar w:fldCharType="separate"/>
    </w:r>
    <w:r w:rsidR="003E4553">
      <w:rPr>
        <w:b/>
        <w:bCs/>
        <w:noProof/>
      </w:rPr>
      <w:t>20</w:t>
    </w:r>
    <w:r w:rsidRPr="009078D7">
      <w:rPr>
        <w:b/>
        <w:bCs/>
      </w:rPr>
      <w:fldChar w:fldCharType="end"/>
    </w:r>
    <w:r w:rsidRPr="009078D7">
      <w:t xml:space="preserve"> of </w:t>
    </w:r>
    <w:r w:rsidRPr="009078D7">
      <w:rPr>
        <w:b/>
        <w:bCs/>
      </w:rPr>
      <w:fldChar w:fldCharType="begin"/>
    </w:r>
    <w:r w:rsidRPr="009078D7">
      <w:rPr>
        <w:b/>
        <w:bCs/>
      </w:rPr>
      <w:instrText xml:space="preserve"> NUMPAGES  \* Arabic  \* MERGEFORMAT </w:instrText>
    </w:r>
    <w:r w:rsidRPr="009078D7">
      <w:rPr>
        <w:b/>
        <w:bCs/>
      </w:rPr>
      <w:fldChar w:fldCharType="separate"/>
    </w:r>
    <w:r w:rsidR="003E4553">
      <w:rPr>
        <w:b/>
        <w:bCs/>
        <w:noProof/>
      </w:rPr>
      <w:t>21</w:t>
    </w:r>
    <w:r w:rsidRPr="009078D7">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2CD04" w14:textId="77777777" w:rsidR="00A277B8" w:rsidRDefault="00A277B8" w:rsidP="00AE6799">
      <w:pPr>
        <w:spacing w:after="0" w:line="240" w:lineRule="auto"/>
      </w:pPr>
      <w:r>
        <w:separator/>
      </w:r>
    </w:p>
  </w:footnote>
  <w:footnote w:type="continuationSeparator" w:id="0">
    <w:p w14:paraId="1F00BE64" w14:textId="77777777" w:rsidR="00A277B8" w:rsidRDefault="00A277B8" w:rsidP="00AE6799">
      <w:pPr>
        <w:spacing w:after="0" w:line="240" w:lineRule="auto"/>
      </w:pPr>
      <w:r>
        <w:continuationSeparator/>
      </w:r>
    </w:p>
  </w:footnote>
  <w:footnote w:id="1">
    <w:p w14:paraId="530E0B5C" w14:textId="77777777" w:rsidR="00120FEF" w:rsidRDefault="00120FEF" w:rsidP="00120FEF">
      <w:pPr>
        <w:pStyle w:val="FootnoteText"/>
      </w:pPr>
      <w:r>
        <w:rPr>
          <w:rStyle w:val="FootnoteReference"/>
        </w:rPr>
        <w:footnoteRef/>
      </w:r>
      <w:r>
        <w:t xml:space="preserve"> </w:t>
      </w:r>
      <w:proofErr w:type="spellStart"/>
      <w:r>
        <w:t>Druckman</w:t>
      </w:r>
      <w:proofErr w:type="spellEnd"/>
      <w:r>
        <w:t xml:space="preserve"> and Kam (2011) provide extensive discussion of the external validity of experiments with student subjects that are specifically to test economic theories. See also </w:t>
      </w:r>
      <w:proofErr w:type="spellStart"/>
      <w:r>
        <w:t>Plott</w:t>
      </w:r>
      <w:proofErr w:type="spellEnd"/>
      <w:r>
        <w:t xml:space="preserve"> (1991), </w:t>
      </w:r>
      <w:proofErr w:type="spellStart"/>
      <w:r>
        <w:t>Guala</w:t>
      </w:r>
      <w:proofErr w:type="spellEnd"/>
      <w:r>
        <w:t xml:space="preserve"> (2005), </w:t>
      </w:r>
      <w:proofErr w:type="spellStart"/>
      <w:r>
        <w:t>Bardsley</w:t>
      </w:r>
      <w:proofErr w:type="spellEnd"/>
      <w:r>
        <w:t xml:space="preserve"> (2010), </w:t>
      </w:r>
      <w:proofErr w:type="spellStart"/>
      <w:r>
        <w:t>Croson</w:t>
      </w:r>
      <w:proofErr w:type="spellEnd"/>
      <w:r>
        <w:t xml:space="preserve"> and </w:t>
      </w:r>
      <w:proofErr w:type="spellStart"/>
      <w:r>
        <w:t>Gachter</w:t>
      </w:r>
      <w:proofErr w:type="spellEnd"/>
      <w:r>
        <w:t xml:space="preserve"> (2010), and </w:t>
      </w:r>
      <w:proofErr w:type="spellStart"/>
      <w:r>
        <w:t>Camerer</w:t>
      </w:r>
      <w:proofErr w:type="spellEnd"/>
      <w:r>
        <w:t xml:space="preserve"> (2011).  </w:t>
      </w:r>
    </w:p>
  </w:footnote>
  <w:footnote w:id="2">
    <w:p w14:paraId="50189EAE" w14:textId="77777777" w:rsidR="00710643" w:rsidRDefault="00710643" w:rsidP="00710643">
      <w:pPr>
        <w:pStyle w:val="FootnoteText"/>
      </w:pPr>
      <w:r>
        <w:rPr>
          <w:rStyle w:val="FootnoteReference"/>
        </w:rPr>
        <w:footnoteRef/>
      </w:r>
      <w:r>
        <w:t xml:space="preserve"> Rounds are also referred to as stages during the experiment.  This is a convention to help subjects keep track of their own progress during the experiment.  See Attachment B: Experimental Design Protocol for explanations of key terminology used.    </w:t>
      </w:r>
    </w:p>
  </w:footnote>
  <w:footnote w:id="3">
    <w:p w14:paraId="15260757" w14:textId="77777777" w:rsidR="00AF5425" w:rsidRDefault="00AF5425" w:rsidP="00AF5425">
      <w:pPr>
        <w:pStyle w:val="FootnoteText"/>
      </w:pPr>
      <w:r>
        <w:rPr>
          <w:rStyle w:val="FootnoteReference"/>
        </w:rPr>
        <w:footnoteRef/>
      </w:r>
      <w:r>
        <w:t xml:space="preserve"> The ARMS survey is the primary source of information to the U.S. Department of Agriculture and the public on a broad range of issues about U.S. agricultural resource use, costs, and farm sector financial conditions.  This survey is conducted jointly by the National Agricultural Statistics Service (NASS) and the Economic Research Service (ERS). See </w:t>
      </w:r>
      <w:hyperlink r:id="rId1" w:history="1">
        <w:r w:rsidRPr="009654A4">
          <w:rPr>
            <w:rStyle w:val="Hyperlink"/>
          </w:rPr>
          <w:t>https://www.ers.usda.gov/data-products/arms-farm-financial-and-crop-production-practices/documentation/</w:t>
        </w:r>
      </w:hyperlink>
      <w:r>
        <w:t xml:space="preserve"> for additional descriptions of the data collected through this survey.  </w:t>
      </w:r>
    </w:p>
  </w:footnote>
  <w:footnote w:id="4">
    <w:p w14:paraId="5CD6A5C8" w14:textId="73E35D3B" w:rsidR="0011106F" w:rsidRDefault="0011106F" w:rsidP="0011106F">
      <w:pPr>
        <w:pStyle w:val="FootnoteText"/>
      </w:pPr>
      <w:r>
        <w:rPr>
          <w:rStyle w:val="FootnoteReference"/>
        </w:rPr>
        <w:footnoteRef/>
      </w:r>
      <w:r>
        <w:t xml:space="preserve"> </w:t>
      </w:r>
      <w:r w:rsidRPr="00F96F4B">
        <w:t>Choice of sample size is based on power calculations to measure risk parameters for a convenience sample of students</w:t>
      </w:r>
      <w:r w:rsidR="004C3774" w:rsidRPr="00F96F4B">
        <w:t xml:space="preserve"> as described in Attachment B: Experimental Design Protocol</w:t>
      </w:r>
      <w:r w:rsidRPr="00F96F4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906CA"/>
    <w:multiLevelType w:val="hybridMultilevel"/>
    <w:tmpl w:val="1CEE614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32897A09"/>
    <w:multiLevelType w:val="multilevel"/>
    <w:tmpl w:val="DCD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D6FFD"/>
    <w:multiLevelType w:val="hybridMultilevel"/>
    <w:tmpl w:val="9F2A9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154B5"/>
    <w:multiLevelType w:val="hybridMultilevel"/>
    <w:tmpl w:val="A5E01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F6D59"/>
    <w:multiLevelType w:val="hybridMultilevel"/>
    <w:tmpl w:val="C5CE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26359"/>
    <w:multiLevelType w:val="hybridMultilevel"/>
    <w:tmpl w:val="5A365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960A3"/>
    <w:multiLevelType w:val="hybridMultilevel"/>
    <w:tmpl w:val="41A0E4A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7D5A48A6"/>
    <w:multiLevelType w:val="hybridMultilevel"/>
    <w:tmpl w:val="B7A4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4"/>
    <w:rsid w:val="000030B0"/>
    <w:rsid w:val="00004372"/>
    <w:rsid w:val="00005C12"/>
    <w:rsid w:val="00013ED2"/>
    <w:rsid w:val="00014811"/>
    <w:rsid w:val="000150F2"/>
    <w:rsid w:val="0001605C"/>
    <w:rsid w:val="00020F9A"/>
    <w:rsid w:val="00024859"/>
    <w:rsid w:val="00025E4B"/>
    <w:rsid w:val="00027A00"/>
    <w:rsid w:val="00027D23"/>
    <w:rsid w:val="00030B59"/>
    <w:rsid w:val="00031AAA"/>
    <w:rsid w:val="00031B63"/>
    <w:rsid w:val="00031F96"/>
    <w:rsid w:val="000344C6"/>
    <w:rsid w:val="00034512"/>
    <w:rsid w:val="000413BD"/>
    <w:rsid w:val="000425A3"/>
    <w:rsid w:val="0004488C"/>
    <w:rsid w:val="00044E8F"/>
    <w:rsid w:val="00045AD6"/>
    <w:rsid w:val="00047478"/>
    <w:rsid w:val="000500E3"/>
    <w:rsid w:val="00050C89"/>
    <w:rsid w:val="00051310"/>
    <w:rsid w:val="00052269"/>
    <w:rsid w:val="00054EB3"/>
    <w:rsid w:val="0005521E"/>
    <w:rsid w:val="0005565F"/>
    <w:rsid w:val="00061162"/>
    <w:rsid w:val="00062B75"/>
    <w:rsid w:val="00062BCC"/>
    <w:rsid w:val="0006458E"/>
    <w:rsid w:val="00067C28"/>
    <w:rsid w:val="00070280"/>
    <w:rsid w:val="000739FC"/>
    <w:rsid w:val="00073A19"/>
    <w:rsid w:val="00074CA6"/>
    <w:rsid w:val="00075AD6"/>
    <w:rsid w:val="00075B45"/>
    <w:rsid w:val="0008135F"/>
    <w:rsid w:val="00085280"/>
    <w:rsid w:val="00090A1F"/>
    <w:rsid w:val="00090DCE"/>
    <w:rsid w:val="00093093"/>
    <w:rsid w:val="000942E6"/>
    <w:rsid w:val="00094C77"/>
    <w:rsid w:val="000A084F"/>
    <w:rsid w:val="000A38E9"/>
    <w:rsid w:val="000B01EE"/>
    <w:rsid w:val="000B05F5"/>
    <w:rsid w:val="000B29B0"/>
    <w:rsid w:val="000B3016"/>
    <w:rsid w:val="000B3E96"/>
    <w:rsid w:val="000B50BE"/>
    <w:rsid w:val="000B666C"/>
    <w:rsid w:val="000C0980"/>
    <w:rsid w:val="000C0BA4"/>
    <w:rsid w:val="000C1634"/>
    <w:rsid w:val="000C2596"/>
    <w:rsid w:val="000C55D1"/>
    <w:rsid w:val="000C69D0"/>
    <w:rsid w:val="000C7744"/>
    <w:rsid w:val="000D0562"/>
    <w:rsid w:val="000D061F"/>
    <w:rsid w:val="000D16BD"/>
    <w:rsid w:val="000D27D7"/>
    <w:rsid w:val="000D3CDB"/>
    <w:rsid w:val="000D4B78"/>
    <w:rsid w:val="000E358E"/>
    <w:rsid w:val="000E4ADB"/>
    <w:rsid w:val="000E6683"/>
    <w:rsid w:val="000E710F"/>
    <w:rsid w:val="000E716E"/>
    <w:rsid w:val="000E7454"/>
    <w:rsid w:val="000F1037"/>
    <w:rsid w:val="000F306A"/>
    <w:rsid w:val="000F558B"/>
    <w:rsid w:val="000F5749"/>
    <w:rsid w:val="000F7949"/>
    <w:rsid w:val="001007BF"/>
    <w:rsid w:val="00101450"/>
    <w:rsid w:val="00101BEA"/>
    <w:rsid w:val="00103C6D"/>
    <w:rsid w:val="0010442A"/>
    <w:rsid w:val="001049C7"/>
    <w:rsid w:val="00105BA0"/>
    <w:rsid w:val="00107AE6"/>
    <w:rsid w:val="0011106F"/>
    <w:rsid w:val="00112E64"/>
    <w:rsid w:val="001137E7"/>
    <w:rsid w:val="00113B5C"/>
    <w:rsid w:val="00113C76"/>
    <w:rsid w:val="00114437"/>
    <w:rsid w:val="00116A77"/>
    <w:rsid w:val="00120FEF"/>
    <w:rsid w:val="00124149"/>
    <w:rsid w:val="00124D18"/>
    <w:rsid w:val="00125234"/>
    <w:rsid w:val="00126413"/>
    <w:rsid w:val="001303A2"/>
    <w:rsid w:val="00130CAF"/>
    <w:rsid w:val="0013207E"/>
    <w:rsid w:val="0013222B"/>
    <w:rsid w:val="001322AE"/>
    <w:rsid w:val="001329B5"/>
    <w:rsid w:val="0013315E"/>
    <w:rsid w:val="00137C49"/>
    <w:rsid w:val="0014263C"/>
    <w:rsid w:val="00144D4E"/>
    <w:rsid w:val="0014656D"/>
    <w:rsid w:val="0014788C"/>
    <w:rsid w:val="00153098"/>
    <w:rsid w:val="0015724A"/>
    <w:rsid w:val="00160A3C"/>
    <w:rsid w:val="0016100D"/>
    <w:rsid w:val="00161A31"/>
    <w:rsid w:val="00161E9C"/>
    <w:rsid w:val="00162E33"/>
    <w:rsid w:val="00164C47"/>
    <w:rsid w:val="00165335"/>
    <w:rsid w:val="00165536"/>
    <w:rsid w:val="0016657E"/>
    <w:rsid w:val="00167AFE"/>
    <w:rsid w:val="00170A46"/>
    <w:rsid w:val="0017177F"/>
    <w:rsid w:val="00173D65"/>
    <w:rsid w:val="00174A41"/>
    <w:rsid w:val="00177384"/>
    <w:rsid w:val="00177E9B"/>
    <w:rsid w:val="00180B35"/>
    <w:rsid w:val="00180C43"/>
    <w:rsid w:val="00180F31"/>
    <w:rsid w:val="00181A94"/>
    <w:rsid w:val="00182E7D"/>
    <w:rsid w:val="001852B5"/>
    <w:rsid w:val="00186982"/>
    <w:rsid w:val="001906D5"/>
    <w:rsid w:val="00193495"/>
    <w:rsid w:val="001944A0"/>
    <w:rsid w:val="00197725"/>
    <w:rsid w:val="00197EB1"/>
    <w:rsid w:val="001A260F"/>
    <w:rsid w:val="001A2E7F"/>
    <w:rsid w:val="001A3768"/>
    <w:rsid w:val="001A7225"/>
    <w:rsid w:val="001A795F"/>
    <w:rsid w:val="001A7E31"/>
    <w:rsid w:val="001B049F"/>
    <w:rsid w:val="001B04B5"/>
    <w:rsid w:val="001B4F73"/>
    <w:rsid w:val="001B6277"/>
    <w:rsid w:val="001B6A46"/>
    <w:rsid w:val="001B6BDD"/>
    <w:rsid w:val="001B6F0A"/>
    <w:rsid w:val="001B779C"/>
    <w:rsid w:val="001C006C"/>
    <w:rsid w:val="001C34D0"/>
    <w:rsid w:val="001C44C1"/>
    <w:rsid w:val="001C5B5E"/>
    <w:rsid w:val="001C602E"/>
    <w:rsid w:val="001C75F3"/>
    <w:rsid w:val="001C7EA9"/>
    <w:rsid w:val="001D0574"/>
    <w:rsid w:val="001D0E88"/>
    <w:rsid w:val="001D1620"/>
    <w:rsid w:val="001D1F69"/>
    <w:rsid w:val="001D3518"/>
    <w:rsid w:val="001D5647"/>
    <w:rsid w:val="001D6383"/>
    <w:rsid w:val="001E07F1"/>
    <w:rsid w:val="001E402C"/>
    <w:rsid w:val="001E5CB4"/>
    <w:rsid w:val="001E6699"/>
    <w:rsid w:val="001E74E3"/>
    <w:rsid w:val="001F04EC"/>
    <w:rsid w:val="001F112C"/>
    <w:rsid w:val="001F12FE"/>
    <w:rsid w:val="001F1FC2"/>
    <w:rsid w:val="001F2914"/>
    <w:rsid w:val="001F5EDA"/>
    <w:rsid w:val="001F692A"/>
    <w:rsid w:val="001F6A07"/>
    <w:rsid w:val="001F6A30"/>
    <w:rsid w:val="001F6AAE"/>
    <w:rsid w:val="0020574A"/>
    <w:rsid w:val="0020613D"/>
    <w:rsid w:val="0020660E"/>
    <w:rsid w:val="00210DCB"/>
    <w:rsid w:val="00220EE4"/>
    <w:rsid w:val="002214C3"/>
    <w:rsid w:val="00221631"/>
    <w:rsid w:val="00221C5C"/>
    <w:rsid w:val="002233CB"/>
    <w:rsid w:val="002238BD"/>
    <w:rsid w:val="00225ADD"/>
    <w:rsid w:val="00226076"/>
    <w:rsid w:val="00226B1B"/>
    <w:rsid w:val="002277B9"/>
    <w:rsid w:val="0023022D"/>
    <w:rsid w:val="002317A9"/>
    <w:rsid w:val="002328D9"/>
    <w:rsid w:val="00234AFB"/>
    <w:rsid w:val="00235E4B"/>
    <w:rsid w:val="00236331"/>
    <w:rsid w:val="00240153"/>
    <w:rsid w:val="00240D4D"/>
    <w:rsid w:val="00241C19"/>
    <w:rsid w:val="00243478"/>
    <w:rsid w:val="00245A5D"/>
    <w:rsid w:val="002473A8"/>
    <w:rsid w:val="00247911"/>
    <w:rsid w:val="00250327"/>
    <w:rsid w:val="002528AA"/>
    <w:rsid w:val="00254484"/>
    <w:rsid w:val="0025457E"/>
    <w:rsid w:val="00255FA4"/>
    <w:rsid w:val="0025628F"/>
    <w:rsid w:val="00257803"/>
    <w:rsid w:val="00260873"/>
    <w:rsid w:val="0026209D"/>
    <w:rsid w:val="00263B30"/>
    <w:rsid w:val="00263C54"/>
    <w:rsid w:val="00264120"/>
    <w:rsid w:val="00264156"/>
    <w:rsid w:val="002648B9"/>
    <w:rsid w:val="00266976"/>
    <w:rsid w:val="002700A6"/>
    <w:rsid w:val="00271433"/>
    <w:rsid w:val="00272A48"/>
    <w:rsid w:val="00272AFF"/>
    <w:rsid w:val="00273084"/>
    <w:rsid w:val="00275157"/>
    <w:rsid w:val="002764D0"/>
    <w:rsid w:val="00280C8F"/>
    <w:rsid w:val="002816E1"/>
    <w:rsid w:val="002819DF"/>
    <w:rsid w:val="00282CA3"/>
    <w:rsid w:val="00282F4F"/>
    <w:rsid w:val="002835FC"/>
    <w:rsid w:val="00285070"/>
    <w:rsid w:val="00285813"/>
    <w:rsid w:val="002866E5"/>
    <w:rsid w:val="00287198"/>
    <w:rsid w:val="002871DE"/>
    <w:rsid w:val="00287A2B"/>
    <w:rsid w:val="002906D8"/>
    <w:rsid w:val="0029111A"/>
    <w:rsid w:val="00291A2C"/>
    <w:rsid w:val="002952D8"/>
    <w:rsid w:val="00296630"/>
    <w:rsid w:val="002966E2"/>
    <w:rsid w:val="00297B76"/>
    <w:rsid w:val="002A059D"/>
    <w:rsid w:val="002A0B73"/>
    <w:rsid w:val="002A10AE"/>
    <w:rsid w:val="002A273B"/>
    <w:rsid w:val="002A32BA"/>
    <w:rsid w:val="002A3B8C"/>
    <w:rsid w:val="002A5252"/>
    <w:rsid w:val="002A7171"/>
    <w:rsid w:val="002B363F"/>
    <w:rsid w:val="002B5949"/>
    <w:rsid w:val="002B59D1"/>
    <w:rsid w:val="002B6DF5"/>
    <w:rsid w:val="002C305D"/>
    <w:rsid w:val="002C4E92"/>
    <w:rsid w:val="002C7BBC"/>
    <w:rsid w:val="002C7FDD"/>
    <w:rsid w:val="002D0ADB"/>
    <w:rsid w:val="002D562C"/>
    <w:rsid w:val="002D6466"/>
    <w:rsid w:val="002D6812"/>
    <w:rsid w:val="002E16D3"/>
    <w:rsid w:val="002E427C"/>
    <w:rsid w:val="002E68B2"/>
    <w:rsid w:val="002E68DE"/>
    <w:rsid w:val="002F01C6"/>
    <w:rsid w:val="002F0465"/>
    <w:rsid w:val="002F1743"/>
    <w:rsid w:val="002F5DA0"/>
    <w:rsid w:val="00302066"/>
    <w:rsid w:val="003026A0"/>
    <w:rsid w:val="0030440C"/>
    <w:rsid w:val="00304D9E"/>
    <w:rsid w:val="00305088"/>
    <w:rsid w:val="00305330"/>
    <w:rsid w:val="003109FF"/>
    <w:rsid w:val="00310FF8"/>
    <w:rsid w:val="003111F7"/>
    <w:rsid w:val="00314786"/>
    <w:rsid w:val="00314C3E"/>
    <w:rsid w:val="0031555D"/>
    <w:rsid w:val="00315BEF"/>
    <w:rsid w:val="00316EAA"/>
    <w:rsid w:val="003209F1"/>
    <w:rsid w:val="0032144D"/>
    <w:rsid w:val="00322844"/>
    <w:rsid w:val="0032415D"/>
    <w:rsid w:val="003246F4"/>
    <w:rsid w:val="00324AA4"/>
    <w:rsid w:val="00332DF1"/>
    <w:rsid w:val="0033503E"/>
    <w:rsid w:val="0033518A"/>
    <w:rsid w:val="00335FC2"/>
    <w:rsid w:val="0033671B"/>
    <w:rsid w:val="00336E2C"/>
    <w:rsid w:val="00337722"/>
    <w:rsid w:val="0034011D"/>
    <w:rsid w:val="00340345"/>
    <w:rsid w:val="00340A13"/>
    <w:rsid w:val="00342CB6"/>
    <w:rsid w:val="00344017"/>
    <w:rsid w:val="00346217"/>
    <w:rsid w:val="00346DA0"/>
    <w:rsid w:val="003527D0"/>
    <w:rsid w:val="00353148"/>
    <w:rsid w:val="00353634"/>
    <w:rsid w:val="00353E33"/>
    <w:rsid w:val="00354A4B"/>
    <w:rsid w:val="003564E8"/>
    <w:rsid w:val="00360808"/>
    <w:rsid w:val="00370629"/>
    <w:rsid w:val="0037260F"/>
    <w:rsid w:val="00375269"/>
    <w:rsid w:val="00377104"/>
    <w:rsid w:val="00377646"/>
    <w:rsid w:val="00380446"/>
    <w:rsid w:val="003813D4"/>
    <w:rsid w:val="00381BD2"/>
    <w:rsid w:val="00382AD7"/>
    <w:rsid w:val="00391273"/>
    <w:rsid w:val="00392558"/>
    <w:rsid w:val="00392902"/>
    <w:rsid w:val="003934C0"/>
    <w:rsid w:val="00393878"/>
    <w:rsid w:val="00395DEE"/>
    <w:rsid w:val="003972CF"/>
    <w:rsid w:val="003A259E"/>
    <w:rsid w:val="003A32AF"/>
    <w:rsid w:val="003A3360"/>
    <w:rsid w:val="003A434C"/>
    <w:rsid w:val="003A5BD1"/>
    <w:rsid w:val="003A655F"/>
    <w:rsid w:val="003A6589"/>
    <w:rsid w:val="003A7BD5"/>
    <w:rsid w:val="003B13BC"/>
    <w:rsid w:val="003B202B"/>
    <w:rsid w:val="003B397A"/>
    <w:rsid w:val="003B5733"/>
    <w:rsid w:val="003B59D5"/>
    <w:rsid w:val="003B7A49"/>
    <w:rsid w:val="003C154E"/>
    <w:rsid w:val="003C1BB8"/>
    <w:rsid w:val="003C1BC1"/>
    <w:rsid w:val="003C1C0C"/>
    <w:rsid w:val="003C4090"/>
    <w:rsid w:val="003C4AC3"/>
    <w:rsid w:val="003C5425"/>
    <w:rsid w:val="003C5CE8"/>
    <w:rsid w:val="003C6A7A"/>
    <w:rsid w:val="003C7DB8"/>
    <w:rsid w:val="003D02A1"/>
    <w:rsid w:val="003D0DB0"/>
    <w:rsid w:val="003D193B"/>
    <w:rsid w:val="003D3786"/>
    <w:rsid w:val="003D5654"/>
    <w:rsid w:val="003D6C95"/>
    <w:rsid w:val="003D7C38"/>
    <w:rsid w:val="003E3361"/>
    <w:rsid w:val="003E4553"/>
    <w:rsid w:val="003E6D9F"/>
    <w:rsid w:val="003F12B4"/>
    <w:rsid w:val="003F1840"/>
    <w:rsid w:val="003F68F1"/>
    <w:rsid w:val="003F6FD4"/>
    <w:rsid w:val="00401CD5"/>
    <w:rsid w:val="00403CB9"/>
    <w:rsid w:val="00403DFD"/>
    <w:rsid w:val="0040548D"/>
    <w:rsid w:val="00405592"/>
    <w:rsid w:val="00407177"/>
    <w:rsid w:val="00410608"/>
    <w:rsid w:val="004108DE"/>
    <w:rsid w:val="004138EE"/>
    <w:rsid w:val="00413A9D"/>
    <w:rsid w:val="00416224"/>
    <w:rsid w:val="00417DE5"/>
    <w:rsid w:val="0042133E"/>
    <w:rsid w:val="0042139D"/>
    <w:rsid w:val="00423B03"/>
    <w:rsid w:val="004270A3"/>
    <w:rsid w:val="0043209B"/>
    <w:rsid w:val="004320CD"/>
    <w:rsid w:val="004335D0"/>
    <w:rsid w:val="00433C56"/>
    <w:rsid w:val="00434BC4"/>
    <w:rsid w:val="00434F22"/>
    <w:rsid w:val="00435CD7"/>
    <w:rsid w:val="00441402"/>
    <w:rsid w:val="00441D3C"/>
    <w:rsid w:val="00442259"/>
    <w:rsid w:val="00442C64"/>
    <w:rsid w:val="00443163"/>
    <w:rsid w:val="00443603"/>
    <w:rsid w:val="00444485"/>
    <w:rsid w:val="00444E1C"/>
    <w:rsid w:val="0044668C"/>
    <w:rsid w:val="00451846"/>
    <w:rsid w:val="0045303C"/>
    <w:rsid w:val="00454C6B"/>
    <w:rsid w:val="00454CC1"/>
    <w:rsid w:val="00455C4C"/>
    <w:rsid w:val="00460035"/>
    <w:rsid w:val="004608C2"/>
    <w:rsid w:val="00463760"/>
    <w:rsid w:val="00463AD3"/>
    <w:rsid w:val="00463D5E"/>
    <w:rsid w:val="004650C7"/>
    <w:rsid w:val="00466A7F"/>
    <w:rsid w:val="00471E45"/>
    <w:rsid w:val="004733AC"/>
    <w:rsid w:val="00474DD5"/>
    <w:rsid w:val="00474DDD"/>
    <w:rsid w:val="00475632"/>
    <w:rsid w:val="004757EC"/>
    <w:rsid w:val="004759D7"/>
    <w:rsid w:val="00481BA4"/>
    <w:rsid w:val="004832D2"/>
    <w:rsid w:val="00487271"/>
    <w:rsid w:val="00487EEC"/>
    <w:rsid w:val="00491CCC"/>
    <w:rsid w:val="00495D62"/>
    <w:rsid w:val="0049600A"/>
    <w:rsid w:val="004A1937"/>
    <w:rsid w:val="004A1972"/>
    <w:rsid w:val="004A503D"/>
    <w:rsid w:val="004A514F"/>
    <w:rsid w:val="004A5BCE"/>
    <w:rsid w:val="004A7301"/>
    <w:rsid w:val="004A7FD7"/>
    <w:rsid w:val="004B2D54"/>
    <w:rsid w:val="004B2EF7"/>
    <w:rsid w:val="004B34DF"/>
    <w:rsid w:val="004B4719"/>
    <w:rsid w:val="004C1FAA"/>
    <w:rsid w:val="004C28CF"/>
    <w:rsid w:val="004C35AD"/>
    <w:rsid w:val="004C3774"/>
    <w:rsid w:val="004C5E1C"/>
    <w:rsid w:val="004C5E9B"/>
    <w:rsid w:val="004C5FB8"/>
    <w:rsid w:val="004C777D"/>
    <w:rsid w:val="004D0BFC"/>
    <w:rsid w:val="004D0DC3"/>
    <w:rsid w:val="004D155D"/>
    <w:rsid w:val="004D3429"/>
    <w:rsid w:val="004D55BD"/>
    <w:rsid w:val="004E0F74"/>
    <w:rsid w:val="004E1C8E"/>
    <w:rsid w:val="004E1D78"/>
    <w:rsid w:val="004E2BC3"/>
    <w:rsid w:val="004E3049"/>
    <w:rsid w:val="004E5C79"/>
    <w:rsid w:val="004E756E"/>
    <w:rsid w:val="004E78E5"/>
    <w:rsid w:val="004F2B4F"/>
    <w:rsid w:val="004F4C42"/>
    <w:rsid w:val="004F6954"/>
    <w:rsid w:val="004F6A56"/>
    <w:rsid w:val="004F6AE0"/>
    <w:rsid w:val="00501486"/>
    <w:rsid w:val="00501DD9"/>
    <w:rsid w:val="00502975"/>
    <w:rsid w:val="00503016"/>
    <w:rsid w:val="00504D52"/>
    <w:rsid w:val="00507A07"/>
    <w:rsid w:val="00511250"/>
    <w:rsid w:val="00514A18"/>
    <w:rsid w:val="0051705A"/>
    <w:rsid w:val="00517137"/>
    <w:rsid w:val="0052051B"/>
    <w:rsid w:val="0052276D"/>
    <w:rsid w:val="00523158"/>
    <w:rsid w:val="0052456C"/>
    <w:rsid w:val="0052664B"/>
    <w:rsid w:val="00526AC5"/>
    <w:rsid w:val="00531190"/>
    <w:rsid w:val="005322F7"/>
    <w:rsid w:val="00534893"/>
    <w:rsid w:val="0053589B"/>
    <w:rsid w:val="005360D1"/>
    <w:rsid w:val="00541138"/>
    <w:rsid w:val="00541C45"/>
    <w:rsid w:val="005420A2"/>
    <w:rsid w:val="005424B0"/>
    <w:rsid w:val="0054433E"/>
    <w:rsid w:val="0054474D"/>
    <w:rsid w:val="005519A7"/>
    <w:rsid w:val="0055404B"/>
    <w:rsid w:val="005551C8"/>
    <w:rsid w:val="00555F24"/>
    <w:rsid w:val="0055767A"/>
    <w:rsid w:val="005606A7"/>
    <w:rsid w:val="00560E34"/>
    <w:rsid w:val="00560F9E"/>
    <w:rsid w:val="00561920"/>
    <w:rsid w:val="005624F6"/>
    <w:rsid w:val="00562D0D"/>
    <w:rsid w:val="00564F1B"/>
    <w:rsid w:val="00565941"/>
    <w:rsid w:val="005708DE"/>
    <w:rsid w:val="00574B46"/>
    <w:rsid w:val="005769DB"/>
    <w:rsid w:val="00576E96"/>
    <w:rsid w:val="005770AD"/>
    <w:rsid w:val="005810C1"/>
    <w:rsid w:val="00581595"/>
    <w:rsid w:val="005858AA"/>
    <w:rsid w:val="00587590"/>
    <w:rsid w:val="0058762A"/>
    <w:rsid w:val="005903AF"/>
    <w:rsid w:val="00590540"/>
    <w:rsid w:val="00590694"/>
    <w:rsid w:val="00593899"/>
    <w:rsid w:val="00594156"/>
    <w:rsid w:val="005950A6"/>
    <w:rsid w:val="00595FC5"/>
    <w:rsid w:val="005967E6"/>
    <w:rsid w:val="00596927"/>
    <w:rsid w:val="005A10B1"/>
    <w:rsid w:val="005A14F7"/>
    <w:rsid w:val="005A4536"/>
    <w:rsid w:val="005A4BEA"/>
    <w:rsid w:val="005A6176"/>
    <w:rsid w:val="005B013D"/>
    <w:rsid w:val="005B1EB0"/>
    <w:rsid w:val="005B25A3"/>
    <w:rsid w:val="005B2B1A"/>
    <w:rsid w:val="005B306E"/>
    <w:rsid w:val="005B3B6A"/>
    <w:rsid w:val="005B6E59"/>
    <w:rsid w:val="005C03E8"/>
    <w:rsid w:val="005C04B9"/>
    <w:rsid w:val="005C18CD"/>
    <w:rsid w:val="005C5415"/>
    <w:rsid w:val="005C6837"/>
    <w:rsid w:val="005C7A19"/>
    <w:rsid w:val="005D283E"/>
    <w:rsid w:val="005D5A37"/>
    <w:rsid w:val="005D5A9F"/>
    <w:rsid w:val="005E3A9D"/>
    <w:rsid w:val="005E3B37"/>
    <w:rsid w:val="005E54D1"/>
    <w:rsid w:val="005E69E2"/>
    <w:rsid w:val="005E6B40"/>
    <w:rsid w:val="005F16C1"/>
    <w:rsid w:val="005F235D"/>
    <w:rsid w:val="005F2426"/>
    <w:rsid w:val="005F2DBA"/>
    <w:rsid w:val="005F367F"/>
    <w:rsid w:val="005F4FC2"/>
    <w:rsid w:val="005F54A2"/>
    <w:rsid w:val="005F58C2"/>
    <w:rsid w:val="005F64F5"/>
    <w:rsid w:val="005F6771"/>
    <w:rsid w:val="005F6946"/>
    <w:rsid w:val="0060114E"/>
    <w:rsid w:val="00602731"/>
    <w:rsid w:val="00603089"/>
    <w:rsid w:val="00604C46"/>
    <w:rsid w:val="00604C84"/>
    <w:rsid w:val="00604E9B"/>
    <w:rsid w:val="006057EB"/>
    <w:rsid w:val="006063C2"/>
    <w:rsid w:val="006066CF"/>
    <w:rsid w:val="006118BF"/>
    <w:rsid w:val="00611B14"/>
    <w:rsid w:val="00611F1E"/>
    <w:rsid w:val="00612388"/>
    <w:rsid w:val="00613988"/>
    <w:rsid w:val="00614972"/>
    <w:rsid w:val="00616C25"/>
    <w:rsid w:val="00617A76"/>
    <w:rsid w:val="0062203B"/>
    <w:rsid w:val="00623CCE"/>
    <w:rsid w:val="00624EC6"/>
    <w:rsid w:val="00625091"/>
    <w:rsid w:val="0062558A"/>
    <w:rsid w:val="00626772"/>
    <w:rsid w:val="00630EAD"/>
    <w:rsid w:val="006315FD"/>
    <w:rsid w:val="00631DDD"/>
    <w:rsid w:val="0063244A"/>
    <w:rsid w:val="006361E7"/>
    <w:rsid w:val="006364D3"/>
    <w:rsid w:val="00640229"/>
    <w:rsid w:val="0064078D"/>
    <w:rsid w:val="006417C1"/>
    <w:rsid w:val="00642099"/>
    <w:rsid w:val="006439C8"/>
    <w:rsid w:val="00645A3A"/>
    <w:rsid w:val="00656412"/>
    <w:rsid w:val="00657A4E"/>
    <w:rsid w:val="00657A99"/>
    <w:rsid w:val="006618DA"/>
    <w:rsid w:val="00661BA1"/>
    <w:rsid w:val="00666E4D"/>
    <w:rsid w:val="00667DEA"/>
    <w:rsid w:val="006709F0"/>
    <w:rsid w:val="006727E5"/>
    <w:rsid w:val="006803AF"/>
    <w:rsid w:val="00681050"/>
    <w:rsid w:val="006815E9"/>
    <w:rsid w:val="00681983"/>
    <w:rsid w:val="00681C4E"/>
    <w:rsid w:val="0068202F"/>
    <w:rsid w:val="00683562"/>
    <w:rsid w:val="00690094"/>
    <w:rsid w:val="00692044"/>
    <w:rsid w:val="006920DC"/>
    <w:rsid w:val="006920EA"/>
    <w:rsid w:val="00693BA0"/>
    <w:rsid w:val="00694D61"/>
    <w:rsid w:val="00695858"/>
    <w:rsid w:val="00696D27"/>
    <w:rsid w:val="006974BA"/>
    <w:rsid w:val="006A0782"/>
    <w:rsid w:val="006A09A4"/>
    <w:rsid w:val="006A14BF"/>
    <w:rsid w:val="006A33E2"/>
    <w:rsid w:val="006A36D0"/>
    <w:rsid w:val="006A3945"/>
    <w:rsid w:val="006A3BEE"/>
    <w:rsid w:val="006B004B"/>
    <w:rsid w:val="006B15F1"/>
    <w:rsid w:val="006B388B"/>
    <w:rsid w:val="006B64A2"/>
    <w:rsid w:val="006C2D3C"/>
    <w:rsid w:val="006C36E7"/>
    <w:rsid w:val="006C52A2"/>
    <w:rsid w:val="006C6DD8"/>
    <w:rsid w:val="006D14DC"/>
    <w:rsid w:val="006D173A"/>
    <w:rsid w:val="006D1B2F"/>
    <w:rsid w:val="006D2391"/>
    <w:rsid w:val="006D24B4"/>
    <w:rsid w:val="006D622A"/>
    <w:rsid w:val="006D7FE9"/>
    <w:rsid w:val="006E1070"/>
    <w:rsid w:val="006E44CF"/>
    <w:rsid w:val="006E7D51"/>
    <w:rsid w:val="006E7E7D"/>
    <w:rsid w:val="006E7F07"/>
    <w:rsid w:val="006F5952"/>
    <w:rsid w:val="00701D79"/>
    <w:rsid w:val="00706FDF"/>
    <w:rsid w:val="00710643"/>
    <w:rsid w:val="00711053"/>
    <w:rsid w:val="00713930"/>
    <w:rsid w:val="00714FC0"/>
    <w:rsid w:val="00715D26"/>
    <w:rsid w:val="007229FA"/>
    <w:rsid w:val="00725661"/>
    <w:rsid w:val="00727B14"/>
    <w:rsid w:val="00730D86"/>
    <w:rsid w:val="0073126A"/>
    <w:rsid w:val="007312F4"/>
    <w:rsid w:val="00732B1F"/>
    <w:rsid w:val="00732E2E"/>
    <w:rsid w:val="007336A4"/>
    <w:rsid w:val="00733E86"/>
    <w:rsid w:val="00734940"/>
    <w:rsid w:val="00735620"/>
    <w:rsid w:val="00736B21"/>
    <w:rsid w:val="00742E03"/>
    <w:rsid w:val="0074441F"/>
    <w:rsid w:val="00744792"/>
    <w:rsid w:val="00746504"/>
    <w:rsid w:val="00747F50"/>
    <w:rsid w:val="00750807"/>
    <w:rsid w:val="007517C0"/>
    <w:rsid w:val="007557F9"/>
    <w:rsid w:val="00755F92"/>
    <w:rsid w:val="00757B96"/>
    <w:rsid w:val="007606A5"/>
    <w:rsid w:val="00761BB7"/>
    <w:rsid w:val="00764610"/>
    <w:rsid w:val="00766BA2"/>
    <w:rsid w:val="00767593"/>
    <w:rsid w:val="00772E57"/>
    <w:rsid w:val="00773F89"/>
    <w:rsid w:val="007745D8"/>
    <w:rsid w:val="007747FD"/>
    <w:rsid w:val="0077708D"/>
    <w:rsid w:val="00777684"/>
    <w:rsid w:val="00777D6A"/>
    <w:rsid w:val="00780081"/>
    <w:rsid w:val="007833F3"/>
    <w:rsid w:val="007837CC"/>
    <w:rsid w:val="00785FC4"/>
    <w:rsid w:val="00786133"/>
    <w:rsid w:val="007926BA"/>
    <w:rsid w:val="00792B7B"/>
    <w:rsid w:val="00794520"/>
    <w:rsid w:val="00796761"/>
    <w:rsid w:val="007A285C"/>
    <w:rsid w:val="007A3015"/>
    <w:rsid w:val="007A51B1"/>
    <w:rsid w:val="007A6A31"/>
    <w:rsid w:val="007A7C01"/>
    <w:rsid w:val="007B57C2"/>
    <w:rsid w:val="007C2153"/>
    <w:rsid w:val="007C2608"/>
    <w:rsid w:val="007C4CB6"/>
    <w:rsid w:val="007C5C4C"/>
    <w:rsid w:val="007C6951"/>
    <w:rsid w:val="007C7523"/>
    <w:rsid w:val="007D0092"/>
    <w:rsid w:val="007D14BC"/>
    <w:rsid w:val="007D224F"/>
    <w:rsid w:val="007D6305"/>
    <w:rsid w:val="007D6EC3"/>
    <w:rsid w:val="007D705B"/>
    <w:rsid w:val="007D74E9"/>
    <w:rsid w:val="007D777B"/>
    <w:rsid w:val="007E01B5"/>
    <w:rsid w:val="007E031D"/>
    <w:rsid w:val="007E0C65"/>
    <w:rsid w:val="007E12BE"/>
    <w:rsid w:val="007E2651"/>
    <w:rsid w:val="007E2C17"/>
    <w:rsid w:val="007E48CB"/>
    <w:rsid w:val="007E4E97"/>
    <w:rsid w:val="007E565F"/>
    <w:rsid w:val="007E7CDD"/>
    <w:rsid w:val="007F2798"/>
    <w:rsid w:val="007F2A7F"/>
    <w:rsid w:val="007F5FD8"/>
    <w:rsid w:val="007F657F"/>
    <w:rsid w:val="00800446"/>
    <w:rsid w:val="00800E90"/>
    <w:rsid w:val="0080111C"/>
    <w:rsid w:val="00801F66"/>
    <w:rsid w:val="00801F8C"/>
    <w:rsid w:val="008020B0"/>
    <w:rsid w:val="00804DF6"/>
    <w:rsid w:val="00805258"/>
    <w:rsid w:val="00806C22"/>
    <w:rsid w:val="00810166"/>
    <w:rsid w:val="0081195A"/>
    <w:rsid w:val="00816507"/>
    <w:rsid w:val="0081699D"/>
    <w:rsid w:val="00820D1C"/>
    <w:rsid w:val="00821DEE"/>
    <w:rsid w:val="00822FD6"/>
    <w:rsid w:val="008231A2"/>
    <w:rsid w:val="0082660B"/>
    <w:rsid w:val="00826F90"/>
    <w:rsid w:val="0083070C"/>
    <w:rsid w:val="00831252"/>
    <w:rsid w:val="008318D5"/>
    <w:rsid w:val="0083198F"/>
    <w:rsid w:val="00835B9B"/>
    <w:rsid w:val="00837228"/>
    <w:rsid w:val="00837E68"/>
    <w:rsid w:val="00842861"/>
    <w:rsid w:val="0084588F"/>
    <w:rsid w:val="008473D9"/>
    <w:rsid w:val="00850438"/>
    <w:rsid w:val="00851A3B"/>
    <w:rsid w:val="008543E6"/>
    <w:rsid w:val="008616BD"/>
    <w:rsid w:val="00862FD0"/>
    <w:rsid w:val="008631E2"/>
    <w:rsid w:val="00865F6E"/>
    <w:rsid w:val="00866766"/>
    <w:rsid w:val="00866814"/>
    <w:rsid w:val="008669AC"/>
    <w:rsid w:val="00871F2D"/>
    <w:rsid w:val="008722B5"/>
    <w:rsid w:val="0087285F"/>
    <w:rsid w:val="00873A64"/>
    <w:rsid w:val="00875364"/>
    <w:rsid w:val="00875841"/>
    <w:rsid w:val="0087594E"/>
    <w:rsid w:val="00876D75"/>
    <w:rsid w:val="00877D3E"/>
    <w:rsid w:val="008821F0"/>
    <w:rsid w:val="00884728"/>
    <w:rsid w:val="00890446"/>
    <w:rsid w:val="0089079B"/>
    <w:rsid w:val="00890F68"/>
    <w:rsid w:val="00893444"/>
    <w:rsid w:val="00894E99"/>
    <w:rsid w:val="008972ED"/>
    <w:rsid w:val="008A12EE"/>
    <w:rsid w:val="008A1B85"/>
    <w:rsid w:val="008A2428"/>
    <w:rsid w:val="008A2859"/>
    <w:rsid w:val="008A3258"/>
    <w:rsid w:val="008A4495"/>
    <w:rsid w:val="008A527B"/>
    <w:rsid w:val="008A6645"/>
    <w:rsid w:val="008A6BDE"/>
    <w:rsid w:val="008B068B"/>
    <w:rsid w:val="008B1579"/>
    <w:rsid w:val="008B188C"/>
    <w:rsid w:val="008B3228"/>
    <w:rsid w:val="008B4026"/>
    <w:rsid w:val="008B4135"/>
    <w:rsid w:val="008B5FF4"/>
    <w:rsid w:val="008B7FC9"/>
    <w:rsid w:val="008C2975"/>
    <w:rsid w:val="008C2C42"/>
    <w:rsid w:val="008C2EFF"/>
    <w:rsid w:val="008C395C"/>
    <w:rsid w:val="008C550A"/>
    <w:rsid w:val="008D2DDD"/>
    <w:rsid w:val="008D3808"/>
    <w:rsid w:val="008D6B23"/>
    <w:rsid w:val="008D79EA"/>
    <w:rsid w:val="008D7FB1"/>
    <w:rsid w:val="008E09A6"/>
    <w:rsid w:val="008E1D23"/>
    <w:rsid w:val="008E754E"/>
    <w:rsid w:val="008F1FFF"/>
    <w:rsid w:val="008F3A7F"/>
    <w:rsid w:val="008F589E"/>
    <w:rsid w:val="008F5FDB"/>
    <w:rsid w:val="008F6B86"/>
    <w:rsid w:val="00900BA2"/>
    <w:rsid w:val="00900F29"/>
    <w:rsid w:val="009028BB"/>
    <w:rsid w:val="00903609"/>
    <w:rsid w:val="00904015"/>
    <w:rsid w:val="0090468D"/>
    <w:rsid w:val="009067EF"/>
    <w:rsid w:val="00906A21"/>
    <w:rsid w:val="00906FB0"/>
    <w:rsid w:val="009078D7"/>
    <w:rsid w:val="00910D9A"/>
    <w:rsid w:val="00910FC6"/>
    <w:rsid w:val="009149F8"/>
    <w:rsid w:val="00914AC0"/>
    <w:rsid w:val="00915F7E"/>
    <w:rsid w:val="00916B42"/>
    <w:rsid w:val="00917416"/>
    <w:rsid w:val="0091791A"/>
    <w:rsid w:val="00922B97"/>
    <w:rsid w:val="009255E7"/>
    <w:rsid w:val="009259B8"/>
    <w:rsid w:val="00925B0E"/>
    <w:rsid w:val="009260EF"/>
    <w:rsid w:val="0092611D"/>
    <w:rsid w:val="00926EBC"/>
    <w:rsid w:val="00931C4B"/>
    <w:rsid w:val="0093243B"/>
    <w:rsid w:val="00932AA9"/>
    <w:rsid w:val="0093388B"/>
    <w:rsid w:val="00933C84"/>
    <w:rsid w:val="009341BD"/>
    <w:rsid w:val="0093432E"/>
    <w:rsid w:val="009403D3"/>
    <w:rsid w:val="009407FB"/>
    <w:rsid w:val="00942050"/>
    <w:rsid w:val="009421A5"/>
    <w:rsid w:val="00942C8A"/>
    <w:rsid w:val="00942DCC"/>
    <w:rsid w:val="009436B4"/>
    <w:rsid w:val="009438E2"/>
    <w:rsid w:val="009451C5"/>
    <w:rsid w:val="0094583F"/>
    <w:rsid w:val="00945CD8"/>
    <w:rsid w:val="00950660"/>
    <w:rsid w:val="00950FD5"/>
    <w:rsid w:val="009549B9"/>
    <w:rsid w:val="00960978"/>
    <w:rsid w:val="009618EC"/>
    <w:rsid w:val="00961F47"/>
    <w:rsid w:val="009621D6"/>
    <w:rsid w:val="00963151"/>
    <w:rsid w:val="0096418F"/>
    <w:rsid w:val="009641F6"/>
    <w:rsid w:val="0096422A"/>
    <w:rsid w:val="00965A88"/>
    <w:rsid w:val="00967080"/>
    <w:rsid w:val="00967F8E"/>
    <w:rsid w:val="00971D8A"/>
    <w:rsid w:val="00972A82"/>
    <w:rsid w:val="00972C7B"/>
    <w:rsid w:val="00972DB2"/>
    <w:rsid w:val="0097311A"/>
    <w:rsid w:val="009753C0"/>
    <w:rsid w:val="009758F9"/>
    <w:rsid w:val="00977170"/>
    <w:rsid w:val="009810A3"/>
    <w:rsid w:val="00981DA4"/>
    <w:rsid w:val="00982B65"/>
    <w:rsid w:val="0098427E"/>
    <w:rsid w:val="00985244"/>
    <w:rsid w:val="00987B3D"/>
    <w:rsid w:val="00990D75"/>
    <w:rsid w:val="00992EC2"/>
    <w:rsid w:val="0099377B"/>
    <w:rsid w:val="00995933"/>
    <w:rsid w:val="0099742B"/>
    <w:rsid w:val="00997EF1"/>
    <w:rsid w:val="009A00B4"/>
    <w:rsid w:val="009A243F"/>
    <w:rsid w:val="009A38BC"/>
    <w:rsid w:val="009A499D"/>
    <w:rsid w:val="009A4B3F"/>
    <w:rsid w:val="009A5AAD"/>
    <w:rsid w:val="009A6DCE"/>
    <w:rsid w:val="009B0A7B"/>
    <w:rsid w:val="009B1D9E"/>
    <w:rsid w:val="009B2DD3"/>
    <w:rsid w:val="009B32D2"/>
    <w:rsid w:val="009B3553"/>
    <w:rsid w:val="009B4166"/>
    <w:rsid w:val="009B50DA"/>
    <w:rsid w:val="009B547A"/>
    <w:rsid w:val="009B6393"/>
    <w:rsid w:val="009C0E7A"/>
    <w:rsid w:val="009C32DB"/>
    <w:rsid w:val="009C5039"/>
    <w:rsid w:val="009C6325"/>
    <w:rsid w:val="009C6E74"/>
    <w:rsid w:val="009D04FC"/>
    <w:rsid w:val="009D18EC"/>
    <w:rsid w:val="009D22FE"/>
    <w:rsid w:val="009D4067"/>
    <w:rsid w:val="009D5891"/>
    <w:rsid w:val="009D5B86"/>
    <w:rsid w:val="009D7060"/>
    <w:rsid w:val="009D7D16"/>
    <w:rsid w:val="009E0A2C"/>
    <w:rsid w:val="009E1AA2"/>
    <w:rsid w:val="009E2E04"/>
    <w:rsid w:val="009E5519"/>
    <w:rsid w:val="009E77E6"/>
    <w:rsid w:val="009F165D"/>
    <w:rsid w:val="009F4645"/>
    <w:rsid w:val="009F5BF9"/>
    <w:rsid w:val="009F7CF5"/>
    <w:rsid w:val="00A00BBA"/>
    <w:rsid w:val="00A04EFC"/>
    <w:rsid w:val="00A07E04"/>
    <w:rsid w:val="00A07F70"/>
    <w:rsid w:val="00A1091B"/>
    <w:rsid w:val="00A12AE7"/>
    <w:rsid w:val="00A12B95"/>
    <w:rsid w:val="00A13307"/>
    <w:rsid w:val="00A1336C"/>
    <w:rsid w:val="00A13B63"/>
    <w:rsid w:val="00A13F01"/>
    <w:rsid w:val="00A145EF"/>
    <w:rsid w:val="00A14BAE"/>
    <w:rsid w:val="00A17900"/>
    <w:rsid w:val="00A232BB"/>
    <w:rsid w:val="00A26B64"/>
    <w:rsid w:val="00A277B8"/>
    <w:rsid w:val="00A30C05"/>
    <w:rsid w:val="00A30C71"/>
    <w:rsid w:val="00A3189B"/>
    <w:rsid w:val="00A34D64"/>
    <w:rsid w:val="00A3575D"/>
    <w:rsid w:val="00A400BF"/>
    <w:rsid w:val="00A42C7E"/>
    <w:rsid w:val="00A44C5F"/>
    <w:rsid w:val="00A50353"/>
    <w:rsid w:val="00A50BD0"/>
    <w:rsid w:val="00A51B36"/>
    <w:rsid w:val="00A55BDA"/>
    <w:rsid w:val="00A5606A"/>
    <w:rsid w:val="00A6019D"/>
    <w:rsid w:val="00A61716"/>
    <w:rsid w:val="00A644F3"/>
    <w:rsid w:val="00A65D09"/>
    <w:rsid w:val="00A660F8"/>
    <w:rsid w:val="00A746D7"/>
    <w:rsid w:val="00A76D84"/>
    <w:rsid w:val="00A771EB"/>
    <w:rsid w:val="00A7760C"/>
    <w:rsid w:val="00A800ED"/>
    <w:rsid w:val="00A8694D"/>
    <w:rsid w:val="00A87143"/>
    <w:rsid w:val="00A92290"/>
    <w:rsid w:val="00A931D2"/>
    <w:rsid w:val="00A93BC0"/>
    <w:rsid w:val="00A93D46"/>
    <w:rsid w:val="00A945A5"/>
    <w:rsid w:val="00A94A62"/>
    <w:rsid w:val="00A94C71"/>
    <w:rsid w:val="00A95427"/>
    <w:rsid w:val="00A955F1"/>
    <w:rsid w:val="00A9635D"/>
    <w:rsid w:val="00A96A09"/>
    <w:rsid w:val="00A96E74"/>
    <w:rsid w:val="00A975C2"/>
    <w:rsid w:val="00A97C83"/>
    <w:rsid w:val="00AA0DE8"/>
    <w:rsid w:val="00AA0E6C"/>
    <w:rsid w:val="00AA197E"/>
    <w:rsid w:val="00AA19D4"/>
    <w:rsid w:val="00AA4F67"/>
    <w:rsid w:val="00AA610F"/>
    <w:rsid w:val="00AA6787"/>
    <w:rsid w:val="00AB397B"/>
    <w:rsid w:val="00AB3CD2"/>
    <w:rsid w:val="00AB5984"/>
    <w:rsid w:val="00AB779A"/>
    <w:rsid w:val="00AC0DA3"/>
    <w:rsid w:val="00AC0F74"/>
    <w:rsid w:val="00AC147F"/>
    <w:rsid w:val="00AC58ED"/>
    <w:rsid w:val="00AC6281"/>
    <w:rsid w:val="00AD1CA8"/>
    <w:rsid w:val="00AD31A2"/>
    <w:rsid w:val="00AD5A6C"/>
    <w:rsid w:val="00AE1D09"/>
    <w:rsid w:val="00AE21F9"/>
    <w:rsid w:val="00AE4772"/>
    <w:rsid w:val="00AE5386"/>
    <w:rsid w:val="00AE6243"/>
    <w:rsid w:val="00AE63FE"/>
    <w:rsid w:val="00AE6799"/>
    <w:rsid w:val="00AE6CF7"/>
    <w:rsid w:val="00AE70B5"/>
    <w:rsid w:val="00AF3AFB"/>
    <w:rsid w:val="00AF3B4D"/>
    <w:rsid w:val="00AF5425"/>
    <w:rsid w:val="00AF56BC"/>
    <w:rsid w:val="00B00BBB"/>
    <w:rsid w:val="00B034E5"/>
    <w:rsid w:val="00B045F9"/>
    <w:rsid w:val="00B0482A"/>
    <w:rsid w:val="00B05577"/>
    <w:rsid w:val="00B059FA"/>
    <w:rsid w:val="00B10360"/>
    <w:rsid w:val="00B10D5D"/>
    <w:rsid w:val="00B11E65"/>
    <w:rsid w:val="00B11F37"/>
    <w:rsid w:val="00B12289"/>
    <w:rsid w:val="00B12607"/>
    <w:rsid w:val="00B12F05"/>
    <w:rsid w:val="00B13C5F"/>
    <w:rsid w:val="00B13E4F"/>
    <w:rsid w:val="00B15BEA"/>
    <w:rsid w:val="00B174B3"/>
    <w:rsid w:val="00B17CD4"/>
    <w:rsid w:val="00B202F8"/>
    <w:rsid w:val="00B23DF9"/>
    <w:rsid w:val="00B25522"/>
    <w:rsid w:val="00B301F0"/>
    <w:rsid w:val="00B3351B"/>
    <w:rsid w:val="00B33611"/>
    <w:rsid w:val="00B35B08"/>
    <w:rsid w:val="00B36B0E"/>
    <w:rsid w:val="00B37051"/>
    <w:rsid w:val="00B402F9"/>
    <w:rsid w:val="00B41659"/>
    <w:rsid w:val="00B431C3"/>
    <w:rsid w:val="00B43D1C"/>
    <w:rsid w:val="00B51A95"/>
    <w:rsid w:val="00B51FD1"/>
    <w:rsid w:val="00B54BA3"/>
    <w:rsid w:val="00B60AA1"/>
    <w:rsid w:val="00B624C1"/>
    <w:rsid w:val="00B62FE6"/>
    <w:rsid w:val="00B63AD3"/>
    <w:rsid w:val="00B643A6"/>
    <w:rsid w:val="00B70378"/>
    <w:rsid w:val="00B70AE5"/>
    <w:rsid w:val="00B74AA6"/>
    <w:rsid w:val="00B75AF2"/>
    <w:rsid w:val="00B767C7"/>
    <w:rsid w:val="00B76BA1"/>
    <w:rsid w:val="00B82D23"/>
    <w:rsid w:val="00B8442A"/>
    <w:rsid w:val="00B858DD"/>
    <w:rsid w:val="00B85C68"/>
    <w:rsid w:val="00B85DFF"/>
    <w:rsid w:val="00B876D8"/>
    <w:rsid w:val="00B87BFF"/>
    <w:rsid w:val="00B908C4"/>
    <w:rsid w:val="00B93ADC"/>
    <w:rsid w:val="00B944B7"/>
    <w:rsid w:val="00B95FB2"/>
    <w:rsid w:val="00B96D51"/>
    <w:rsid w:val="00B976F4"/>
    <w:rsid w:val="00BA2447"/>
    <w:rsid w:val="00BA276F"/>
    <w:rsid w:val="00BA2B1A"/>
    <w:rsid w:val="00BA50C0"/>
    <w:rsid w:val="00BA565A"/>
    <w:rsid w:val="00BA6007"/>
    <w:rsid w:val="00BA7920"/>
    <w:rsid w:val="00BB07CA"/>
    <w:rsid w:val="00BB104D"/>
    <w:rsid w:val="00BB2C83"/>
    <w:rsid w:val="00BB4082"/>
    <w:rsid w:val="00BB4A64"/>
    <w:rsid w:val="00BB74FC"/>
    <w:rsid w:val="00BC499E"/>
    <w:rsid w:val="00BC5A92"/>
    <w:rsid w:val="00BC6F08"/>
    <w:rsid w:val="00BC78EE"/>
    <w:rsid w:val="00BC7A03"/>
    <w:rsid w:val="00BD25D5"/>
    <w:rsid w:val="00BD5CE4"/>
    <w:rsid w:val="00BD7107"/>
    <w:rsid w:val="00BE1F0B"/>
    <w:rsid w:val="00BE540B"/>
    <w:rsid w:val="00BE62E0"/>
    <w:rsid w:val="00BE64D7"/>
    <w:rsid w:val="00BE74D6"/>
    <w:rsid w:val="00BE7FF3"/>
    <w:rsid w:val="00BF1702"/>
    <w:rsid w:val="00BF3F5B"/>
    <w:rsid w:val="00BF3FA9"/>
    <w:rsid w:val="00BF509B"/>
    <w:rsid w:val="00BF57DE"/>
    <w:rsid w:val="00C028C3"/>
    <w:rsid w:val="00C03420"/>
    <w:rsid w:val="00C03A94"/>
    <w:rsid w:val="00C05279"/>
    <w:rsid w:val="00C06794"/>
    <w:rsid w:val="00C07CF4"/>
    <w:rsid w:val="00C1038C"/>
    <w:rsid w:val="00C10D7C"/>
    <w:rsid w:val="00C12BEA"/>
    <w:rsid w:val="00C12EE3"/>
    <w:rsid w:val="00C142C0"/>
    <w:rsid w:val="00C1705A"/>
    <w:rsid w:val="00C17FFA"/>
    <w:rsid w:val="00C20512"/>
    <w:rsid w:val="00C20990"/>
    <w:rsid w:val="00C22EDB"/>
    <w:rsid w:val="00C23E67"/>
    <w:rsid w:val="00C2563C"/>
    <w:rsid w:val="00C26F1D"/>
    <w:rsid w:val="00C270D2"/>
    <w:rsid w:val="00C30835"/>
    <w:rsid w:val="00C3212B"/>
    <w:rsid w:val="00C32E2C"/>
    <w:rsid w:val="00C3332A"/>
    <w:rsid w:val="00C35899"/>
    <w:rsid w:val="00C35DFC"/>
    <w:rsid w:val="00C36B0F"/>
    <w:rsid w:val="00C47DC0"/>
    <w:rsid w:val="00C50CD4"/>
    <w:rsid w:val="00C5462F"/>
    <w:rsid w:val="00C54BCE"/>
    <w:rsid w:val="00C55954"/>
    <w:rsid w:val="00C56655"/>
    <w:rsid w:val="00C56BFB"/>
    <w:rsid w:val="00C60DD4"/>
    <w:rsid w:val="00C64CF9"/>
    <w:rsid w:val="00C715CA"/>
    <w:rsid w:val="00C71F82"/>
    <w:rsid w:val="00C74C56"/>
    <w:rsid w:val="00C76A0C"/>
    <w:rsid w:val="00C772DA"/>
    <w:rsid w:val="00C77992"/>
    <w:rsid w:val="00C819AC"/>
    <w:rsid w:val="00C81E09"/>
    <w:rsid w:val="00C823C6"/>
    <w:rsid w:val="00C85488"/>
    <w:rsid w:val="00C86EC0"/>
    <w:rsid w:val="00C9093A"/>
    <w:rsid w:val="00C91922"/>
    <w:rsid w:val="00C949EA"/>
    <w:rsid w:val="00CA0BDC"/>
    <w:rsid w:val="00CA2292"/>
    <w:rsid w:val="00CA28BC"/>
    <w:rsid w:val="00CA3513"/>
    <w:rsid w:val="00CA475D"/>
    <w:rsid w:val="00CA67D3"/>
    <w:rsid w:val="00CA6965"/>
    <w:rsid w:val="00CA7683"/>
    <w:rsid w:val="00CA7B05"/>
    <w:rsid w:val="00CB066F"/>
    <w:rsid w:val="00CB2A22"/>
    <w:rsid w:val="00CB3595"/>
    <w:rsid w:val="00CB559B"/>
    <w:rsid w:val="00CB58EA"/>
    <w:rsid w:val="00CB675E"/>
    <w:rsid w:val="00CB68B9"/>
    <w:rsid w:val="00CB7BC5"/>
    <w:rsid w:val="00CC387A"/>
    <w:rsid w:val="00CC6685"/>
    <w:rsid w:val="00CC7080"/>
    <w:rsid w:val="00CD0F41"/>
    <w:rsid w:val="00CD1B8C"/>
    <w:rsid w:val="00CD350E"/>
    <w:rsid w:val="00CD36B3"/>
    <w:rsid w:val="00CD3E6C"/>
    <w:rsid w:val="00CD5BD2"/>
    <w:rsid w:val="00CD6FAE"/>
    <w:rsid w:val="00CE1227"/>
    <w:rsid w:val="00CE17C4"/>
    <w:rsid w:val="00CE3BE3"/>
    <w:rsid w:val="00CE426C"/>
    <w:rsid w:val="00CE4381"/>
    <w:rsid w:val="00CE43F5"/>
    <w:rsid w:val="00CE5BAF"/>
    <w:rsid w:val="00CE6398"/>
    <w:rsid w:val="00CE651A"/>
    <w:rsid w:val="00CF1CF6"/>
    <w:rsid w:val="00CF2B9E"/>
    <w:rsid w:val="00CF2C2D"/>
    <w:rsid w:val="00CF3F8F"/>
    <w:rsid w:val="00CF456C"/>
    <w:rsid w:val="00CF6683"/>
    <w:rsid w:val="00D007EC"/>
    <w:rsid w:val="00D0082E"/>
    <w:rsid w:val="00D010BA"/>
    <w:rsid w:val="00D0623F"/>
    <w:rsid w:val="00D07269"/>
    <w:rsid w:val="00D10D62"/>
    <w:rsid w:val="00D12169"/>
    <w:rsid w:val="00D12561"/>
    <w:rsid w:val="00D13DA8"/>
    <w:rsid w:val="00D1471A"/>
    <w:rsid w:val="00D16FB7"/>
    <w:rsid w:val="00D20D0D"/>
    <w:rsid w:val="00D23067"/>
    <w:rsid w:val="00D23AC7"/>
    <w:rsid w:val="00D27E4F"/>
    <w:rsid w:val="00D330E7"/>
    <w:rsid w:val="00D35A36"/>
    <w:rsid w:val="00D377B6"/>
    <w:rsid w:val="00D4136B"/>
    <w:rsid w:val="00D41448"/>
    <w:rsid w:val="00D42470"/>
    <w:rsid w:val="00D44433"/>
    <w:rsid w:val="00D45447"/>
    <w:rsid w:val="00D4553B"/>
    <w:rsid w:val="00D45972"/>
    <w:rsid w:val="00D46F5F"/>
    <w:rsid w:val="00D50044"/>
    <w:rsid w:val="00D505A4"/>
    <w:rsid w:val="00D51287"/>
    <w:rsid w:val="00D52716"/>
    <w:rsid w:val="00D533B8"/>
    <w:rsid w:val="00D53715"/>
    <w:rsid w:val="00D54967"/>
    <w:rsid w:val="00D569FE"/>
    <w:rsid w:val="00D60D4F"/>
    <w:rsid w:val="00D6636B"/>
    <w:rsid w:val="00D67A20"/>
    <w:rsid w:val="00D707B3"/>
    <w:rsid w:val="00D72A6F"/>
    <w:rsid w:val="00D7305E"/>
    <w:rsid w:val="00D8199B"/>
    <w:rsid w:val="00D8277A"/>
    <w:rsid w:val="00D85231"/>
    <w:rsid w:val="00D85CED"/>
    <w:rsid w:val="00D87610"/>
    <w:rsid w:val="00D9041E"/>
    <w:rsid w:val="00D927E1"/>
    <w:rsid w:val="00D95872"/>
    <w:rsid w:val="00D97742"/>
    <w:rsid w:val="00DA096B"/>
    <w:rsid w:val="00DA5849"/>
    <w:rsid w:val="00DA6138"/>
    <w:rsid w:val="00DB17E6"/>
    <w:rsid w:val="00DB2327"/>
    <w:rsid w:val="00DB4363"/>
    <w:rsid w:val="00DB44AA"/>
    <w:rsid w:val="00DB50A6"/>
    <w:rsid w:val="00DB576C"/>
    <w:rsid w:val="00DC01B6"/>
    <w:rsid w:val="00DC0E8A"/>
    <w:rsid w:val="00DC5401"/>
    <w:rsid w:val="00DD1597"/>
    <w:rsid w:val="00DD27AB"/>
    <w:rsid w:val="00DD4A84"/>
    <w:rsid w:val="00DD7F71"/>
    <w:rsid w:val="00DD7FF5"/>
    <w:rsid w:val="00DE50F7"/>
    <w:rsid w:val="00DF0999"/>
    <w:rsid w:val="00DF234D"/>
    <w:rsid w:val="00DF238E"/>
    <w:rsid w:val="00DF24AB"/>
    <w:rsid w:val="00DF57ED"/>
    <w:rsid w:val="00E00FA1"/>
    <w:rsid w:val="00E01FDE"/>
    <w:rsid w:val="00E02A94"/>
    <w:rsid w:val="00E07070"/>
    <w:rsid w:val="00E14473"/>
    <w:rsid w:val="00E148AF"/>
    <w:rsid w:val="00E1569D"/>
    <w:rsid w:val="00E17547"/>
    <w:rsid w:val="00E2259A"/>
    <w:rsid w:val="00E2278C"/>
    <w:rsid w:val="00E23720"/>
    <w:rsid w:val="00E23836"/>
    <w:rsid w:val="00E27E1F"/>
    <w:rsid w:val="00E30B0B"/>
    <w:rsid w:val="00E30B5D"/>
    <w:rsid w:val="00E3311A"/>
    <w:rsid w:val="00E33699"/>
    <w:rsid w:val="00E34B4A"/>
    <w:rsid w:val="00E34C52"/>
    <w:rsid w:val="00E354BC"/>
    <w:rsid w:val="00E359F5"/>
    <w:rsid w:val="00E42D42"/>
    <w:rsid w:val="00E43B9C"/>
    <w:rsid w:val="00E446F4"/>
    <w:rsid w:val="00E44A35"/>
    <w:rsid w:val="00E535C2"/>
    <w:rsid w:val="00E540B4"/>
    <w:rsid w:val="00E554B0"/>
    <w:rsid w:val="00E61AE6"/>
    <w:rsid w:val="00E61D0A"/>
    <w:rsid w:val="00E62561"/>
    <w:rsid w:val="00E628B6"/>
    <w:rsid w:val="00E634B1"/>
    <w:rsid w:val="00E63A77"/>
    <w:rsid w:val="00E710E8"/>
    <w:rsid w:val="00E7282C"/>
    <w:rsid w:val="00E7343C"/>
    <w:rsid w:val="00E7400C"/>
    <w:rsid w:val="00E7484F"/>
    <w:rsid w:val="00E7494C"/>
    <w:rsid w:val="00E779FB"/>
    <w:rsid w:val="00E80614"/>
    <w:rsid w:val="00E80B88"/>
    <w:rsid w:val="00E80D76"/>
    <w:rsid w:val="00E80D9F"/>
    <w:rsid w:val="00E826DC"/>
    <w:rsid w:val="00E91420"/>
    <w:rsid w:val="00E938B6"/>
    <w:rsid w:val="00E96E46"/>
    <w:rsid w:val="00E9734A"/>
    <w:rsid w:val="00EA0079"/>
    <w:rsid w:val="00EA5422"/>
    <w:rsid w:val="00EA5869"/>
    <w:rsid w:val="00EB0782"/>
    <w:rsid w:val="00EB1E7F"/>
    <w:rsid w:val="00EB379A"/>
    <w:rsid w:val="00EB4A16"/>
    <w:rsid w:val="00EB6AF6"/>
    <w:rsid w:val="00EC0F2F"/>
    <w:rsid w:val="00EC4E7C"/>
    <w:rsid w:val="00EC655D"/>
    <w:rsid w:val="00EC7829"/>
    <w:rsid w:val="00ED7C87"/>
    <w:rsid w:val="00EE2D1E"/>
    <w:rsid w:val="00EE755B"/>
    <w:rsid w:val="00EF0B84"/>
    <w:rsid w:val="00EF277F"/>
    <w:rsid w:val="00EF30E1"/>
    <w:rsid w:val="00EF3978"/>
    <w:rsid w:val="00EF42AA"/>
    <w:rsid w:val="00EF6938"/>
    <w:rsid w:val="00EF787B"/>
    <w:rsid w:val="00F001A9"/>
    <w:rsid w:val="00F0103A"/>
    <w:rsid w:val="00F0167B"/>
    <w:rsid w:val="00F01F2C"/>
    <w:rsid w:val="00F02BB2"/>
    <w:rsid w:val="00F03EC5"/>
    <w:rsid w:val="00F0604D"/>
    <w:rsid w:val="00F06CB3"/>
    <w:rsid w:val="00F112AD"/>
    <w:rsid w:val="00F1168F"/>
    <w:rsid w:val="00F12E1E"/>
    <w:rsid w:val="00F139C3"/>
    <w:rsid w:val="00F143C4"/>
    <w:rsid w:val="00F174D3"/>
    <w:rsid w:val="00F179DA"/>
    <w:rsid w:val="00F206E8"/>
    <w:rsid w:val="00F209C4"/>
    <w:rsid w:val="00F23E55"/>
    <w:rsid w:val="00F23F04"/>
    <w:rsid w:val="00F24EEF"/>
    <w:rsid w:val="00F25599"/>
    <w:rsid w:val="00F26389"/>
    <w:rsid w:val="00F270EC"/>
    <w:rsid w:val="00F272DC"/>
    <w:rsid w:val="00F2742A"/>
    <w:rsid w:val="00F300BF"/>
    <w:rsid w:val="00F30354"/>
    <w:rsid w:val="00F313FC"/>
    <w:rsid w:val="00F322BE"/>
    <w:rsid w:val="00F35E82"/>
    <w:rsid w:val="00F364CB"/>
    <w:rsid w:val="00F3681D"/>
    <w:rsid w:val="00F41055"/>
    <w:rsid w:val="00F42588"/>
    <w:rsid w:val="00F431C2"/>
    <w:rsid w:val="00F44472"/>
    <w:rsid w:val="00F50E5C"/>
    <w:rsid w:val="00F53369"/>
    <w:rsid w:val="00F548D4"/>
    <w:rsid w:val="00F57E23"/>
    <w:rsid w:val="00F629BA"/>
    <w:rsid w:val="00F64F57"/>
    <w:rsid w:val="00F65144"/>
    <w:rsid w:val="00F6530C"/>
    <w:rsid w:val="00F65C45"/>
    <w:rsid w:val="00F67561"/>
    <w:rsid w:val="00F67CB9"/>
    <w:rsid w:val="00F70FF1"/>
    <w:rsid w:val="00F72F96"/>
    <w:rsid w:val="00F7561F"/>
    <w:rsid w:val="00F75D85"/>
    <w:rsid w:val="00F767B2"/>
    <w:rsid w:val="00F8206F"/>
    <w:rsid w:val="00F820F8"/>
    <w:rsid w:val="00F86A4D"/>
    <w:rsid w:val="00F872D5"/>
    <w:rsid w:val="00F87BBB"/>
    <w:rsid w:val="00F9095A"/>
    <w:rsid w:val="00F9113A"/>
    <w:rsid w:val="00F91EC3"/>
    <w:rsid w:val="00F938A0"/>
    <w:rsid w:val="00F94337"/>
    <w:rsid w:val="00F96D50"/>
    <w:rsid w:val="00F96F4B"/>
    <w:rsid w:val="00F97266"/>
    <w:rsid w:val="00FA016E"/>
    <w:rsid w:val="00FA0358"/>
    <w:rsid w:val="00FA38B1"/>
    <w:rsid w:val="00FA43DA"/>
    <w:rsid w:val="00FA6E73"/>
    <w:rsid w:val="00FA7706"/>
    <w:rsid w:val="00FA7B45"/>
    <w:rsid w:val="00FB180E"/>
    <w:rsid w:val="00FB3BA5"/>
    <w:rsid w:val="00FB3DB6"/>
    <w:rsid w:val="00FB4A0D"/>
    <w:rsid w:val="00FB4A38"/>
    <w:rsid w:val="00FB5261"/>
    <w:rsid w:val="00FC11A2"/>
    <w:rsid w:val="00FC1846"/>
    <w:rsid w:val="00FC213A"/>
    <w:rsid w:val="00FC26C4"/>
    <w:rsid w:val="00FC2B45"/>
    <w:rsid w:val="00FC35D1"/>
    <w:rsid w:val="00FC43AF"/>
    <w:rsid w:val="00FC5BE8"/>
    <w:rsid w:val="00FC5BFE"/>
    <w:rsid w:val="00FC6272"/>
    <w:rsid w:val="00FC6E55"/>
    <w:rsid w:val="00FC73A0"/>
    <w:rsid w:val="00FC7ED1"/>
    <w:rsid w:val="00FD14F9"/>
    <w:rsid w:val="00FD20CE"/>
    <w:rsid w:val="00FD2177"/>
    <w:rsid w:val="00FD22EC"/>
    <w:rsid w:val="00FD28A2"/>
    <w:rsid w:val="00FD3679"/>
    <w:rsid w:val="00FD46F2"/>
    <w:rsid w:val="00FD50FF"/>
    <w:rsid w:val="00FD764B"/>
    <w:rsid w:val="00FE0731"/>
    <w:rsid w:val="00FE152A"/>
    <w:rsid w:val="00FE1770"/>
    <w:rsid w:val="00FE182F"/>
    <w:rsid w:val="00FE38DD"/>
    <w:rsid w:val="00FE4F80"/>
    <w:rsid w:val="00FE562C"/>
    <w:rsid w:val="00FE5F87"/>
    <w:rsid w:val="00FE7CBD"/>
    <w:rsid w:val="00FE7D73"/>
    <w:rsid w:val="00FF0311"/>
    <w:rsid w:val="00FF1166"/>
    <w:rsid w:val="00FF2B59"/>
    <w:rsid w:val="00FF5D2F"/>
    <w:rsid w:val="00FF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A9A3"/>
  <w15:chartTrackingRefBased/>
  <w15:docId w15:val="{23CC35BE-3DC2-4C81-A8D4-0794CD36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13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6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AD3"/>
    <w:pPr>
      <w:ind w:left="720"/>
      <w:contextualSpacing/>
    </w:pPr>
  </w:style>
  <w:style w:type="paragraph" w:customStyle="1" w:styleId="Num-DocParagraph">
    <w:name w:val="Num-Doc Paragraph"/>
    <w:link w:val="Num-DocParagraphChar1"/>
    <w:uiPriority w:val="99"/>
    <w:rsid w:val="009D5891"/>
    <w:pPr>
      <w:spacing w:after="200" w:line="276" w:lineRule="auto"/>
    </w:pPr>
    <w:rPr>
      <w:rFonts w:ascii="Calibri" w:eastAsia="Calibri" w:hAnsi="Calibri" w:cs="Calibri"/>
    </w:rPr>
  </w:style>
  <w:style w:type="character" w:customStyle="1" w:styleId="Num-DocParagraphChar1">
    <w:name w:val="Num-Doc Paragraph Char1"/>
    <w:basedOn w:val="DefaultParagraphFont"/>
    <w:link w:val="Num-DocParagraph"/>
    <w:uiPriority w:val="99"/>
    <w:rsid w:val="009D5891"/>
    <w:rPr>
      <w:rFonts w:ascii="Calibri" w:eastAsia="Calibri" w:hAnsi="Calibri" w:cs="Calibri"/>
    </w:rPr>
  </w:style>
  <w:style w:type="table" w:styleId="TableGrid">
    <w:name w:val="Table Grid"/>
    <w:basedOn w:val="TableNormal"/>
    <w:uiPriority w:val="39"/>
    <w:rsid w:val="00E3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6C25"/>
    <w:pPr>
      <w:spacing w:after="200" w:line="240" w:lineRule="auto"/>
    </w:pPr>
    <w:rPr>
      <w:i/>
      <w:iCs/>
      <w:color w:val="44546A" w:themeColor="text2"/>
      <w:sz w:val="18"/>
      <w:szCs w:val="18"/>
    </w:rPr>
  </w:style>
  <w:style w:type="character" w:styleId="CommentReference">
    <w:name w:val="annotation reference"/>
    <w:basedOn w:val="DefaultParagraphFont"/>
    <w:uiPriority w:val="99"/>
    <w:unhideWhenUsed/>
    <w:rsid w:val="008A527B"/>
    <w:rPr>
      <w:sz w:val="16"/>
      <w:szCs w:val="16"/>
    </w:rPr>
  </w:style>
  <w:style w:type="paragraph" w:styleId="CommentText">
    <w:name w:val="annotation text"/>
    <w:basedOn w:val="Normal"/>
    <w:link w:val="CommentTextChar"/>
    <w:uiPriority w:val="99"/>
    <w:unhideWhenUsed/>
    <w:rsid w:val="008A527B"/>
    <w:pPr>
      <w:spacing w:line="240" w:lineRule="auto"/>
    </w:pPr>
    <w:rPr>
      <w:sz w:val="20"/>
      <w:szCs w:val="20"/>
    </w:rPr>
  </w:style>
  <w:style w:type="character" w:customStyle="1" w:styleId="CommentTextChar">
    <w:name w:val="Comment Text Char"/>
    <w:basedOn w:val="DefaultParagraphFont"/>
    <w:link w:val="CommentText"/>
    <w:uiPriority w:val="99"/>
    <w:rsid w:val="008A527B"/>
    <w:rPr>
      <w:sz w:val="20"/>
      <w:szCs w:val="20"/>
    </w:rPr>
  </w:style>
  <w:style w:type="paragraph" w:styleId="BalloonText">
    <w:name w:val="Balloon Text"/>
    <w:basedOn w:val="Normal"/>
    <w:link w:val="BalloonTextChar"/>
    <w:uiPriority w:val="99"/>
    <w:semiHidden/>
    <w:unhideWhenUsed/>
    <w:rsid w:val="008A5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27B"/>
    <w:rPr>
      <w:rFonts w:ascii="Segoe UI" w:hAnsi="Segoe UI" w:cs="Segoe UI"/>
      <w:sz w:val="18"/>
      <w:szCs w:val="18"/>
    </w:rPr>
  </w:style>
  <w:style w:type="paragraph" w:styleId="FootnoteText">
    <w:name w:val="footnote text"/>
    <w:basedOn w:val="Normal"/>
    <w:link w:val="FootnoteTextChar"/>
    <w:uiPriority w:val="99"/>
    <w:semiHidden/>
    <w:unhideWhenUsed/>
    <w:rsid w:val="00AE67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799"/>
    <w:rPr>
      <w:sz w:val="20"/>
      <w:szCs w:val="20"/>
    </w:rPr>
  </w:style>
  <w:style w:type="character" w:styleId="FootnoteReference">
    <w:name w:val="footnote reference"/>
    <w:basedOn w:val="DefaultParagraphFont"/>
    <w:uiPriority w:val="99"/>
    <w:semiHidden/>
    <w:unhideWhenUsed/>
    <w:rsid w:val="00AE6799"/>
    <w:rPr>
      <w:vertAlign w:val="superscript"/>
    </w:rPr>
  </w:style>
  <w:style w:type="character" w:customStyle="1" w:styleId="Heading1Char">
    <w:name w:val="Heading 1 Char"/>
    <w:basedOn w:val="DefaultParagraphFont"/>
    <w:link w:val="Heading1"/>
    <w:uiPriority w:val="9"/>
    <w:rsid w:val="00F313F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628B6"/>
    <w:pPr>
      <w:spacing w:after="0" w:line="240" w:lineRule="auto"/>
    </w:pPr>
  </w:style>
  <w:style w:type="character" w:customStyle="1" w:styleId="Heading2Char">
    <w:name w:val="Heading 2 Char"/>
    <w:basedOn w:val="DefaultParagraphFont"/>
    <w:link w:val="Heading2"/>
    <w:uiPriority w:val="9"/>
    <w:rsid w:val="00666E4D"/>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A42C7E"/>
    <w:rPr>
      <w:b/>
      <w:bCs/>
    </w:rPr>
  </w:style>
  <w:style w:type="character" w:customStyle="1" w:styleId="CommentSubjectChar">
    <w:name w:val="Comment Subject Char"/>
    <w:basedOn w:val="CommentTextChar"/>
    <w:link w:val="CommentSubject"/>
    <w:uiPriority w:val="99"/>
    <w:semiHidden/>
    <w:rsid w:val="00A42C7E"/>
    <w:rPr>
      <w:b/>
      <w:bCs/>
      <w:sz w:val="20"/>
      <w:szCs w:val="20"/>
    </w:rPr>
  </w:style>
  <w:style w:type="paragraph" w:styleId="BodyText">
    <w:name w:val="Body Text"/>
    <w:basedOn w:val="Normal"/>
    <w:link w:val="BodyTextChar"/>
    <w:semiHidden/>
    <w:unhideWhenUsed/>
    <w:rsid w:val="00A644F3"/>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644F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2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259"/>
  </w:style>
  <w:style w:type="paragraph" w:styleId="Footer">
    <w:name w:val="footer"/>
    <w:basedOn w:val="Normal"/>
    <w:link w:val="FooterChar"/>
    <w:uiPriority w:val="99"/>
    <w:unhideWhenUsed/>
    <w:rsid w:val="0044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259"/>
  </w:style>
  <w:style w:type="character" w:styleId="Hyperlink">
    <w:name w:val="Hyperlink"/>
    <w:basedOn w:val="DefaultParagraphFont"/>
    <w:uiPriority w:val="99"/>
    <w:unhideWhenUsed/>
    <w:rsid w:val="003C4090"/>
    <w:rPr>
      <w:color w:val="0563C1" w:themeColor="hyperlink"/>
      <w:u w:val="single"/>
    </w:rPr>
  </w:style>
  <w:style w:type="paragraph" w:customStyle="1" w:styleId="P1-StandPara">
    <w:name w:val="P1-Stand Para"/>
    <w:rsid w:val="0045303C"/>
    <w:pPr>
      <w:spacing w:after="0" w:line="360" w:lineRule="atLeast"/>
      <w:ind w:firstLine="1152"/>
      <w:jc w:val="both"/>
    </w:pPr>
    <w:rPr>
      <w:rFonts w:ascii="Times New Roman" w:eastAsia="Times New Roman" w:hAnsi="Times New Roman" w:cs="Times New Roman"/>
      <w:szCs w:val="20"/>
    </w:rPr>
  </w:style>
  <w:style w:type="paragraph" w:styleId="HTMLPreformatted">
    <w:name w:val="HTML Preformatted"/>
    <w:basedOn w:val="Normal"/>
    <w:link w:val="HTMLPreformattedChar"/>
    <w:uiPriority w:val="99"/>
    <w:semiHidden/>
    <w:unhideWhenUsed/>
    <w:rsid w:val="006D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17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4860">
      <w:bodyDiv w:val="1"/>
      <w:marLeft w:val="0"/>
      <w:marRight w:val="0"/>
      <w:marTop w:val="0"/>
      <w:marBottom w:val="0"/>
      <w:divBdr>
        <w:top w:val="none" w:sz="0" w:space="0" w:color="auto"/>
        <w:left w:val="none" w:sz="0" w:space="0" w:color="auto"/>
        <w:bottom w:val="none" w:sz="0" w:space="0" w:color="auto"/>
        <w:right w:val="none" w:sz="0" w:space="0" w:color="auto"/>
      </w:divBdr>
      <w:divsChild>
        <w:div w:id="1527018991">
          <w:marLeft w:val="0"/>
          <w:marRight w:val="0"/>
          <w:marTop w:val="0"/>
          <w:marBottom w:val="0"/>
          <w:divBdr>
            <w:top w:val="none" w:sz="0" w:space="0" w:color="auto"/>
            <w:left w:val="none" w:sz="0" w:space="0" w:color="auto"/>
            <w:bottom w:val="none" w:sz="0" w:space="0" w:color="auto"/>
            <w:right w:val="none" w:sz="0" w:space="0" w:color="auto"/>
          </w:divBdr>
          <w:divsChild>
            <w:div w:id="19074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9882">
      <w:bodyDiv w:val="1"/>
      <w:marLeft w:val="0"/>
      <w:marRight w:val="0"/>
      <w:marTop w:val="0"/>
      <w:marBottom w:val="0"/>
      <w:divBdr>
        <w:top w:val="none" w:sz="0" w:space="0" w:color="auto"/>
        <w:left w:val="none" w:sz="0" w:space="0" w:color="auto"/>
        <w:bottom w:val="none" w:sz="0" w:space="0" w:color="auto"/>
        <w:right w:val="none" w:sz="0" w:space="0" w:color="auto"/>
      </w:divBdr>
    </w:div>
    <w:div w:id="120421391">
      <w:bodyDiv w:val="1"/>
      <w:marLeft w:val="0"/>
      <w:marRight w:val="0"/>
      <w:marTop w:val="0"/>
      <w:marBottom w:val="0"/>
      <w:divBdr>
        <w:top w:val="none" w:sz="0" w:space="0" w:color="auto"/>
        <w:left w:val="none" w:sz="0" w:space="0" w:color="auto"/>
        <w:bottom w:val="none" w:sz="0" w:space="0" w:color="auto"/>
        <w:right w:val="none" w:sz="0" w:space="0" w:color="auto"/>
      </w:divBdr>
    </w:div>
    <w:div w:id="151531472">
      <w:bodyDiv w:val="1"/>
      <w:marLeft w:val="0"/>
      <w:marRight w:val="0"/>
      <w:marTop w:val="0"/>
      <w:marBottom w:val="0"/>
      <w:divBdr>
        <w:top w:val="none" w:sz="0" w:space="0" w:color="auto"/>
        <w:left w:val="none" w:sz="0" w:space="0" w:color="auto"/>
        <w:bottom w:val="none" w:sz="0" w:space="0" w:color="auto"/>
        <w:right w:val="none" w:sz="0" w:space="0" w:color="auto"/>
      </w:divBdr>
      <w:divsChild>
        <w:div w:id="844200415">
          <w:marLeft w:val="0"/>
          <w:marRight w:val="0"/>
          <w:marTop w:val="0"/>
          <w:marBottom w:val="0"/>
          <w:divBdr>
            <w:top w:val="none" w:sz="0" w:space="0" w:color="auto"/>
            <w:left w:val="none" w:sz="0" w:space="0" w:color="auto"/>
            <w:bottom w:val="none" w:sz="0" w:space="0" w:color="auto"/>
            <w:right w:val="none" w:sz="0" w:space="0" w:color="auto"/>
          </w:divBdr>
          <w:divsChild>
            <w:div w:id="11183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3187">
      <w:bodyDiv w:val="1"/>
      <w:marLeft w:val="0"/>
      <w:marRight w:val="0"/>
      <w:marTop w:val="0"/>
      <w:marBottom w:val="0"/>
      <w:divBdr>
        <w:top w:val="none" w:sz="0" w:space="0" w:color="auto"/>
        <w:left w:val="none" w:sz="0" w:space="0" w:color="auto"/>
        <w:bottom w:val="none" w:sz="0" w:space="0" w:color="auto"/>
        <w:right w:val="none" w:sz="0" w:space="0" w:color="auto"/>
      </w:divBdr>
      <w:divsChild>
        <w:div w:id="1162231919">
          <w:marLeft w:val="0"/>
          <w:marRight w:val="0"/>
          <w:marTop w:val="0"/>
          <w:marBottom w:val="0"/>
          <w:divBdr>
            <w:top w:val="none" w:sz="0" w:space="0" w:color="auto"/>
            <w:left w:val="none" w:sz="0" w:space="0" w:color="auto"/>
            <w:bottom w:val="none" w:sz="0" w:space="0" w:color="auto"/>
            <w:right w:val="none" w:sz="0" w:space="0" w:color="auto"/>
          </w:divBdr>
        </w:div>
      </w:divsChild>
    </w:div>
    <w:div w:id="320932528">
      <w:bodyDiv w:val="1"/>
      <w:marLeft w:val="0"/>
      <w:marRight w:val="0"/>
      <w:marTop w:val="0"/>
      <w:marBottom w:val="0"/>
      <w:divBdr>
        <w:top w:val="none" w:sz="0" w:space="0" w:color="auto"/>
        <w:left w:val="none" w:sz="0" w:space="0" w:color="auto"/>
        <w:bottom w:val="none" w:sz="0" w:space="0" w:color="auto"/>
        <w:right w:val="none" w:sz="0" w:space="0" w:color="auto"/>
      </w:divBdr>
      <w:divsChild>
        <w:div w:id="2007858532">
          <w:marLeft w:val="0"/>
          <w:marRight w:val="0"/>
          <w:marTop w:val="0"/>
          <w:marBottom w:val="0"/>
          <w:divBdr>
            <w:top w:val="none" w:sz="0" w:space="0" w:color="auto"/>
            <w:left w:val="none" w:sz="0" w:space="0" w:color="auto"/>
            <w:bottom w:val="none" w:sz="0" w:space="0" w:color="auto"/>
            <w:right w:val="none" w:sz="0" w:space="0" w:color="auto"/>
          </w:divBdr>
          <w:divsChild>
            <w:div w:id="10062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7242">
      <w:bodyDiv w:val="1"/>
      <w:marLeft w:val="0"/>
      <w:marRight w:val="0"/>
      <w:marTop w:val="0"/>
      <w:marBottom w:val="0"/>
      <w:divBdr>
        <w:top w:val="none" w:sz="0" w:space="0" w:color="auto"/>
        <w:left w:val="none" w:sz="0" w:space="0" w:color="auto"/>
        <w:bottom w:val="none" w:sz="0" w:space="0" w:color="auto"/>
        <w:right w:val="none" w:sz="0" w:space="0" w:color="auto"/>
      </w:divBdr>
      <w:divsChild>
        <w:div w:id="906497943">
          <w:marLeft w:val="0"/>
          <w:marRight w:val="0"/>
          <w:marTop w:val="0"/>
          <w:marBottom w:val="0"/>
          <w:divBdr>
            <w:top w:val="none" w:sz="0" w:space="0" w:color="auto"/>
            <w:left w:val="none" w:sz="0" w:space="0" w:color="auto"/>
            <w:bottom w:val="none" w:sz="0" w:space="0" w:color="auto"/>
            <w:right w:val="none" w:sz="0" w:space="0" w:color="auto"/>
          </w:divBdr>
          <w:divsChild>
            <w:div w:id="7160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9046">
      <w:bodyDiv w:val="1"/>
      <w:marLeft w:val="0"/>
      <w:marRight w:val="0"/>
      <w:marTop w:val="0"/>
      <w:marBottom w:val="0"/>
      <w:divBdr>
        <w:top w:val="none" w:sz="0" w:space="0" w:color="auto"/>
        <w:left w:val="none" w:sz="0" w:space="0" w:color="auto"/>
        <w:bottom w:val="none" w:sz="0" w:space="0" w:color="auto"/>
        <w:right w:val="none" w:sz="0" w:space="0" w:color="auto"/>
      </w:divBdr>
      <w:divsChild>
        <w:div w:id="777721981">
          <w:marLeft w:val="0"/>
          <w:marRight w:val="0"/>
          <w:marTop w:val="0"/>
          <w:marBottom w:val="0"/>
          <w:divBdr>
            <w:top w:val="none" w:sz="0" w:space="0" w:color="auto"/>
            <w:left w:val="none" w:sz="0" w:space="0" w:color="auto"/>
            <w:bottom w:val="none" w:sz="0" w:space="0" w:color="auto"/>
            <w:right w:val="none" w:sz="0" w:space="0" w:color="auto"/>
          </w:divBdr>
        </w:div>
      </w:divsChild>
    </w:div>
    <w:div w:id="338428201">
      <w:bodyDiv w:val="1"/>
      <w:marLeft w:val="0"/>
      <w:marRight w:val="0"/>
      <w:marTop w:val="0"/>
      <w:marBottom w:val="0"/>
      <w:divBdr>
        <w:top w:val="none" w:sz="0" w:space="0" w:color="auto"/>
        <w:left w:val="none" w:sz="0" w:space="0" w:color="auto"/>
        <w:bottom w:val="none" w:sz="0" w:space="0" w:color="auto"/>
        <w:right w:val="none" w:sz="0" w:space="0" w:color="auto"/>
      </w:divBdr>
    </w:div>
    <w:div w:id="465314884">
      <w:bodyDiv w:val="1"/>
      <w:marLeft w:val="0"/>
      <w:marRight w:val="0"/>
      <w:marTop w:val="0"/>
      <w:marBottom w:val="0"/>
      <w:divBdr>
        <w:top w:val="none" w:sz="0" w:space="0" w:color="auto"/>
        <w:left w:val="none" w:sz="0" w:space="0" w:color="auto"/>
        <w:bottom w:val="none" w:sz="0" w:space="0" w:color="auto"/>
        <w:right w:val="none" w:sz="0" w:space="0" w:color="auto"/>
      </w:divBdr>
      <w:divsChild>
        <w:div w:id="755630801">
          <w:marLeft w:val="0"/>
          <w:marRight w:val="0"/>
          <w:marTop w:val="0"/>
          <w:marBottom w:val="0"/>
          <w:divBdr>
            <w:top w:val="none" w:sz="0" w:space="0" w:color="auto"/>
            <w:left w:val="none" w:sz="0" w:space="0" w:color="auto"/>
            <w:bottom w:val="none" w:sz="0" w:space="0" w:color="auto"/>
            <w:right w:val="none" w:sz="0" w:space="0" w:color="auto"/>
          </w:divBdr>
        </w:div>
      </w:divsChild>
    </w:div>
    <w:div w:id="580991067">
      <w:bodyDiv w:val="1"/>
      <w:marLeft w:val="0"/>
      <w:marRight w:val="0"/>
      <w:marTop w:val="0"/>
      <w:marBottom w:val="0"/>
      <w:divBdr>
        <w:top w:val="none" w:sz="0" w:space="0" w:color="auto"/>
        <w:left w:val="none" w:sz="0" w:space="0" w:color="auto"/>
        <w:bottom w:val="none" w:sz="0" w:space="0" w:color="auto"/>
        <w:right w:val="none" w:sz="0" w:space="0" w:color="auto"/>
      </w:divBdr>
      <w:divsChild>
        <w:div w:id="159974588">
          <w:marLeft w:val="0"/>
          <w:marRight w:val="0"/>
          <w:marTop w:val="0"/>
          <w:marBottom w:val="0"/>
          <w:divBdr>
            <w:top w:val="none" w:sz="0" w:space="0" w:color="auto"/>
            <w:left w:val="none" w:sz="0" w:space="0" w:color="auto"/>
            <w:bottom w:val="none" w:sz="0" w:space="0" w:color="auto"/>
            <w:right w:val="none" w:sz="0" w:space="0" w:color="auto"/>
          </w:divBdr>
        </w:div>
      </w:divsChild>
    </w:div>
    <w:div w:id="803162093">
      <w:bodyDiv w:val="1"/>
      <w:marLeft w:val="0"/>
      <w:marRight w:val="0"/>
      <w:marTop w:val="0"/>
      <w:marBottom w:val="0"/>
      <w:divBdr>
        <w:top w:val="none" w:sz="0" w:space="0" w:color="auto"/>
        <w:left w:val="none" w:sz="0" w:space="0" w:color="auto"/>
        <w:bottom w:val="none" w:sz="0" w:space="0" w:color="auto"/>
        <w:right w:val="none" w:sz="0" w:space="0" w:color="auto"/>
      </w:divBdr>
      <w:divsChild>
        <w:div w:id="1752654522">
          <w:marLeft w:val="0"/>
          <w:marRight w:val="0"/>
          <w:marTop w:val="0"/>
          <w:marBottom w:val="0"/>
          <w:divBdr>
            <w:top w:val="none" w:sz="0" w:space="0" w:color="auto"/>
            <w:left w:val="none" w:sz="0" w:space="0" w:color="auto"/>
            <w:bottom w:val="none" w:sz="0" w:space="0" w:color="auto"/>
            <w:right w:val="none" w:sz="0" w:space="0" w:color="auto"/>
          </w:divBdr>
        </w:div>
      </w:divsChild>
    </w:div>
    <w:div w:id="810949631">
      <w:bodyDiv w:val="1"/>
      <w:marLeft w:val="0"/>
      <w:marRight w:val="0"/>
      <w:marTop w:val="0"/>
      <w:marBottom w:val="0"/>
      <w:divBdr>
        <w:top w:val="none" w:sz="0" w:space="0" w:color="auto"/>
        <w:left w:val="none" w:sz="0" w:space="0" w:color="auto"/>
        <w:bottom w:val="none" w:sz="0" w:space="0" w:color="auto"/>
        <w:right w:val="none" w:sz="0" w:space="0" w:color="auto"/>
      </w:divBdr>
      <w:divsChild>
        <w:div w:id="1042291101">
          <w:marLeft w:val="0"/>
          <w:marRight w:val="0"/>
          <w:marTop w:val="0"/>
          <w:marBottom w:val="0"/>
          <w:divBdr>
            <w:top w:val="none" w:sz="0" w:space="0" w:color="auto"/>
            <w:left w:val="none" w:sz="0" w:space="0" w:color="auto"/>
            <w:bottom w:val="none" w:sz="0" w:space="0" w:color="auto"/>
            <w:right w:val="none" w:sz="0" w:space="0" w:color="auto"/>
          </w:divBdr>
        </w:div>
      </w:divsChild>
    </w:div>
    <w:div w:id="1153569808">
      <w:bodyDiv w:val="1"/>
      <w:marLeft w:val="0"/>
      <w:marRight w:val="0"/>
      <w:marTop w:val="0"/>
      <w:marBottom w:val="0"/>
      <w:divBdr>
        <w:top w:val="none" w:sz="0" w:space="0" w:color="auto"/>
        <w:left w:val="none" w:sz="0" w:space="0" w:color="auto"/>
        <w:bottom w:val="none" w:sz="0" w:space="0" w:color="auto"/>
        <w:right w:val="none" w:sz="0" w:space="0" w:color="auto"/>
      </w:divBdr>
      <w:divsChild>
        <w:div w:id="1561482705">
          <w:marLeft w:val="0"/>
          <w:marRight w:val="0"/>
          <w:marTop w:val="0"/>
          <w:marBottom w:val="0"/>
          <w:divBdr>
            <w:top w:val="none" w:sz="0" w:space="0" w:color="auto"/>
            <w:left w:val="none" w:sz="0" w:space="0" w:color="auto"/>
            <w:bottom w:val="none" w:sz="0" w:space="0" w:color="auto"/>
            <w:right w:val="none" w:sz="0" w:space="0" w:color="auto"/>
          </w:divBdr>
          <w:divsChild>
            <w:div w:id="16335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0657">
      <w:bodyDiv w:val="1"/>
      <w:marLeft w:val="0"/>
      <w:marRight w:val="0"/>
      <w:marTop w:val="0"/>
      <w:marBottom w:val="0"/>
      <w:divBdr>
        <w:top w:val="none" w:sz="0" w:space="0" w:color="auto"/>
        <w:left w:val="none" w:sz="0" w:space="0" w:color="auto"/>
        <w:bottom w:val="none" w:sz="0" w:space="0" w:color="auto"/>
        <w:right w:val="none" w:sz="0" w:space="0" w:color="auto"/>
      </w:divBdr>
      <w:divsChild>
        <w:div w:id="1949123737">
          <w:marLeft w:val="0"/>
          <w:marRight w:val="0"/>
          <w:marTop w:val="0"/>
          <w:marBottom w:val="0"/>
          <w:divBdr>
            <w:top w:val="none" w:sz="0" w:space="0" w:color="auto"/>
            <w:left w:val="none" w:sz="0" w:space="0" w:color="auto"/>
            <w:bottom w:val="none" w:sz="0" w:space="0" w:color="auto"/>
            <w:right w:val="none" w:sz="0" w:space="0" w:color="auto"/>
          </w:divBdr>
        </w:div>
      </w:divsChild>
    </w:div>
    <w:div w:id="1295597509">
      <w:bodyDiv w:val="1"/>
      <w:marLeft w:val="0"/>
      <w:marRight w:val="0"/>
      <w:marTop w:val="0"/>
      <w:marBottom w:val="0"/>
      <w:divBdr>
        <w:top w:val="none" w:sz="0" w:space="0" w:color="auto"/>
        <w:left w:val="none" w:sz="0" w:space="0" w:color="auto"/>
        <w:bottom w:val="none" w:sz="0" w:space="0" w:color="auto"/>
        <w:right w:val="none" w:sz="0" w:space="0" w:color="auto"/>
      </w:divBdr>
      <w:divsChild>
        <w:div w:id="1047140733">
          <w:marLeft w:val="0"/>
          <w:marRight w:val="0"/>
          <w:marTop w:val="0"/>
          <w:marBottom w:val="0"/>
          <w:divBdr>
            <w:top w:val="none" w:sz="0" w:space="0" w:color="auto"/>
            <w:left w:val="none" w:sz="0" w:space="0" w:color="auto"/>
            <w:bottom w:val="none" w:sz="0" w:space="0" w:color="auto"/>
            <w:right w:val="none" w:sz="0" w:space="0" w:color="auto"/>
          </w:divBdr>
        </w:div>
      </w:divsChild>
    </w:div>
    <w:div w:id="1441487123">
      <w:bodyDiv w:val="1"/>
      <w:marLeft w:val="0"/>
      <w:marRight w:val="0"/>
      <w:marTop w:val="0"/>
      <w:marBottom w:val="0"/>
      <w:divBdr>
        <w:top w:val="none" w:sz="0" w:space="0" w:color="auto"/>
        <w:left w:val="none" w:sz="0" w:space="0" w:color="auto"/>
        <w:bottom w:val="none" w:sz="0" w:space="0" w:color="auto"/>
        <w:right w:val="none" w:sz="0" w:space="0" w:color="auto"/>
      </w:divBdr>
      <w:divsChild>
        <w:div w:id="1626620304">
          <w:marLeft w:val="0"/>
          <w:marRight w:val="0"/>
          <w:marTop w:val="0"/>
          <w:marBottom w:val="0"/>
          <w:divBdr>
            <w:top w:val="none" w:sz="0" w:space="0" w:color="auto"/>
            <w:left w:val="none" w:sz="0" w:space="0" w:color="auto"/>
            <w:bottom w:val="none" w:sz="0" w:space="0" w:color="auto"/>
            <w:right w:val="none" w:sz="0" w:space="0" w:color="auto"/>
          </w:divBdr>
        </w:div>
      </w:divsChild>
    </w:div>
    <w:div w:id="1644383601">
      <w:bodyDiv w:val="1"/>
      <w:marLeft w:val="0"/>
      <w:marRight w:val="0"/>
      <w:marTop w:val="0"/>
      <w:marBottom w:val="0"/>
      <w:divBdr>
        <w:top w:val="none" w:sz="0" w:space="0" w:color="auto"/>
        <w:left w:val="none" w:sz="0" w:space="0" w:color="auto"/>
        <w:bottom w:val="none" w:sz="0" w:space="0" w:color="auto"/>
        <w:right w:val="none" w:sz="0" w:space="0" w:color="auto"/>
      </w:divBdr>
      <w:divsChild>
        <w:div w:id="1322343406">
          <w:marLeft w:val="0"/>
          <w:marRight w:val="0"/>
          <w:marTop w:val="0"/>
          <w:marBottom w:val="0"/>
          <w:divBdr>
            <w:top w:val="none" w:sz="0" w:space="0" w:color="auto"/>
            <w:left w:val="none" w:sz="0" w:space="0" w:color="auto"/>
            <w:bottom w:val="none" w:sz="0" w:space="0" w:color="auto"/>
            <w:right w:val="none" w:sz="0" w:space="0" w:color="auto"/>
          </w:divBdr>
          <w:divsChild>
            <w:div w:id="2350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00573">
      <w:bodyDiv w:val="1"/>
      <w:marLeft w:val="0"/>
      <w:marRight w:val="0"/>
      <w:marTop w:val="0"/>
      <w:marBottom w:val="0"/>
      <w:divBdr>
        <w:top w:val="none" w:sz="0" w:space="0" w:color="auto"/>
        <w:left w:val="none" w:sz="0" w:space="0" w:color="auto"/>
        <w:bottom w:val="none" w:sz="0" w:space="0" w:color="auto"/>
        <w:right w:val="none" w:sz="0" w:space="0" w:color="auto"/>
      </w:divBdr>
      <w:divsChild>
        <w:div w:id="2026469637">
          <w:marLeft w:val="0"/>
          <w:marRight w:val="0"/>
          <w:marTop w:val="0"/>
          <w:marBottom w:val="0"/>
          <w:divBdr>
            <w:top w:val="none" w:sz="0" w:space="0" w:color="auto"/>
            <w:left w:val="none" w:sz="0" w:space="0" w:color="auto"/>
            <w:bottom w:val="none" w:sz="0" w:space="0" w:color="auto"/>
            <w:right w:val="none" w:sz="0" w:space="0" w:color="auto"/>
          </w:divBdr>
          <w:divsChild>
            <w:div w:id="3694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2745">
      <w:bodyDiv w:val="1"/>
      <w:marLeft w:val="0"/>
      <w:marRight w:val="0"/>
      <w:marTop w:val="0"/>
      <w:marBottom w:val="0"/>
      <w:divBdr>
        <w:top w:val="none" w:sz="0" w:space="0" w:color="auto"/>
        <w:left w:val="none" w:sz="0" w:space="0" w:color="auto"/>
        <w:bottom w:val="none" w:sz="0" w:space="0" w:color="auto"/>
        <w:right w:val="none" w:sz="0" w:space="0" w:color="auto"/>
      </w:divBdr>
      <w:divsChild>
        <w:div w:id="218248685">
          <w:marLeft w:val="0"/>
          <w:marRight w:val="0"/>
          <w:marTop w:val="0"/>
          <w:marBottom w:val="0"/>
          <w:divBdr>
            <w:top w:val="none" w:sz="0" w:space="0" w:color="auto"/>
            <w:left w:val="none" w:sz="0" w:space="0" w:color="auto"/>
            <w:bottom w:val="none" w:sz="0" w:space="0" w:color="auto"/>
            <w:right w:val="none" w:sz="0" w:space="0" w:color="auto"/>
          </w:divBdr>
        </w:div>
      </w:divsChild>
    </w:div>
    <w:div w:id="1838231878">
      <w:bodyDiv w:val="1"/>
      <w:marLeft w:val="0"/>
      <w:marRight w:val="0"/>
      <w:marTop w:val="0"/>
      <w:marBottom w:val="0"/>
      <w:divBdr>
        <w:top w:val="none" w:sz="0" w:space="0" w:color="auto"/>
        <w:left w:val="none" w:sz="0" w:space="0" w:color="auto"/>
        <w:bottom w:val="none" w:sz="0" w:space="0" w:color="auto"/>
        <w:right w:val="none" w:sz="0" w:space="0" w:color="auto"/>
      </w:divBdr>
      <w:divsChild>
        <w:div w:id="1337004483">
          <w:marLeft w:val="0"/>
          <w:marRight w:val="0"/>
          <w:marTop w:val="0"/>
          <w:marBottom w:val="0"/>
          <w:divBdr>
            <w:top w:val="none" w:sz="0" w:space="0" w:color="auto"/>
            <w:left w:val="none" w:sz="0" w:space="0" w:color="auto"/>
            <w:bottom w:val="none" w:sz="0" w:space="0" w:color="auto"/>
            <w:right w:val="none" w:sz="0" w:space="0" w:color="auto"/>
          </w:divBdr>
        </w:div>
      </w:divsChild>
    </w:div>
    <w:div w:id="1934589271">
      <w:bodyDiv w:val="1"/>
      <w:marLeft w:val="0"/>
      <w:marRight w:val="0"/>
      <w:marTop w:val="0"/>
      <w:marBottom w:val="0"/>
      <w:divBdr>
        <w:top w:val="none" w:sz="0" w:space="0" w:color="auto"/>
        <w:left w:val="none" w:sz="0" w:space="0" w:color="auto"/>
        <w:bottom w:val="none" w:sz="0" w:space="0" w:color="auto"/>
        <w:right w:val="none" w:sz="0" w:space="0" w:color="auto"/>
      </w:divBdr>
      <w:divsChild>
        <w:div w:id="129709806">
          <w:marLeft w:val="0"/>
          <w:marRight w:val="0"/>
          <w:marTop w:val="0"/>
          <w:marBottom w:val="0"/>
          <w:divBdr>
            <w:top w:val="none" w:sz="0" w:space="0" w:color="auto"/>
            <w:left w:val="none" w:sz="0" w:space="0" w:color="auto"/>
            <w:bottom w:val="none" w:sz="0" w:space="0" w:color="auto"/>
            <w:right w:val="none" w:sz="0" w:space="0" w:color="auto"/>
          </w:divBdr>
        </w:div>
      </w:divsChild>
    </w:div>
    <w:div w:id="1937782380">
      <w:bodyDiv w:val="1"/>
      <w:marLeft w:val="0"/>
      <w:marRight w:val="0"/>
      <w:marTop w:val="0"/>
      <w:marBottom w:val="0"/>
      <w:divBdr>
        <w:top w:val="none" w:sz="0" w:space="0" w:color="auto"/>
        <w:left w:val="none" w:sz="0" w:space="0" w:color="auto"/>
        <w:bottom w:val="none" w:sz="0" w:space="0" w:color="auto"/>
        <w:right w:val="none" w:sz="0" w:space="0" w:color="auto"/>
      </w:divBdr>
      <w:divsChild>
        <w:div w:id="1061636257">
          <w:marLeft w:val="0"/>
          <w:marRight w:val="0"/>
          <w:marTop w:val="0"/>
          <w:marBottom w:val="0"/>
          <w:divBdr>
            <w:top w:val="none" w:sz="0" w:space="0" w:color="auto"/>
            <w:left w:val="none" w:sz="0" w:space="0" w:color="auto"/>
            <w:bottom w:val="none" w:sz="0" w:space="0" w:color="auto"/>
            <w:right w:val="none" w:sz="0" w:space="0" w:color="auto"/>
          </w:divBdr>
        </w:div>
      </w:divsChild>
    </w:div>
    <w:div w:id="1944068847">
      <w:bodyDiv w:val="1"/>
      <w:marLeft w:val="0"/>
      <w:marRight w:val="0"/>
      <w:marTop w:val="0"/>
      <w:marBottom w:val="0"/>
      <w:divBdr>
        <w:top w:val="none" w:sz="0" w:space="0" w:color="auto"/>
        <w:left w:val="none" w:sz="0" w:space="0" w:color="auto"/>
        <w:bottom w:val="none" w:sz="0" w:space="0" w:color="auto"/>
        <w:right w:val="none" w:sz="0" w:space="0" w:color="auto"/>
      </w:divBdr>
      <w:divsChild>
        <w:div w:id="913705747">
          <w:marLeft w:val="0"/>
          <w:marRight w:val="0"/>
          <w:marTop w:val="0"/>
          <w:marBottom w:val="0"/>
          <w:divBdr>
            <w:top w:val="none" w:sz="0" w:space="0" w:color="auto"/>
            <w:left w:val="none" w:sz="0" w:space="0" w:color="auto"/>
            <w:bottom w:val="none" w:sz="0" w:space="0" w:color="auto"/>
            <w:right w:val="none" w:sz="0" w:space="0" w:color="auto"/>
          </w:divBdr>
        </w:div>
      </w:divsChild>
    </w:div>
    <w:div w:id="1945110749">
      <w:bodyDiv w:val="1"/>
      <w:marLeft w:val="0"/>
      <w:marRight w:val="0"/>
      <w:marTop w:val="0"/>
      <w:marBottom w:val="0"/>
      <w:divBdr>
        <w:top w:val="none" w:sz="0" w:space="0" w:color="auto"/>
        <w:left w:val="none" w:sz="0" w:space="0" w:color="auto"/>
        <w:bottom w:val="none" w:sz="0" w:space="0" w:color="auto"/>
        <w:right w:val="none" w:sz="0" w:space="0" w:color="auto"/>
      </w:divBdr>
    </w:div>
    <w:div w:id="2034838248">
      <w:bodyDiv w:val="1"/>
      <w:marLeft w:val="0"/>
      <w:marRight w:val="0"/>
      <w:marTop w:val="0"/>
      <w:marBottom w:val="0"/>
      <w:divBdr>
        <w:top w:val="none" w:sz="0" w:space="0" w:color="auto"/>
        <w:left w:val="none" w:sz="0" w:space="0" w:color="auto"/>
        <w:bottom w:val="none" w:sz="0" w:space="0" w:color="auto"/>
        <w:right w:val="none" w:sz="0" w:space="0" w:color="auto"/>
      </w:divBdr>
      <w:divsChild>
        <w:div w:id="655690289">
          <w:marLeft w:val="0"/>
          <w:marRight w:val="0"/>
          <w:marTop w:val="0"/>
          <w:marBottom w:val="0"/>
          <w:divBdr>
            <w:top w:val="none" w:sz="0" w:space="0" w:color="auto"/>
            <w:left w:val="none" w:sz="0" w:space="0" w:color="auto"/>
            <w:bottom w:val="none" w:sz="0" w:space="0" w:color="auto"/>
            <w:right w:val="none" w:sz="0" w:space="0" w:color="auto"/>
          </w:divBdr>
          <w:divsChild>
            <w:div w:id="2832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utstrom@gsu.edu" TargetMode="External"/><Relationship Id="rId5" Type="http://schemas.openxmlformats.org/officeDocument/2006/relationships/webSettings" Target="webSettings.xml"/><Relationship Id="rId10" Type="http://schemas.openxmlformats.org/officeDocument/2006/relationships/hyperlink" Target="mailto:holt@virginia.edu" TargetMode="External"/><Relationship Id="rId4" Type="http://schemas.openxmlformats.org/officeDocument/2006/relationships/settings" Target="settings.xml"/><Relationship Id="rId9" Type="http://schemas.openxmlformats.org/officeDocument/2006/relationships/hyperlink" Target="mailto:sproul@uri.ed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s.usda.gov/data-products/arms-farm-financial-and-crop-production-practices/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E0DD-4414-45B0-8EFB-84BE7D38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8402</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56182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Rosch, Stephanie - ERS</dc:creator>
  <cp:keywords/>
  <dc:description/>
  <cp:lastModifiedBy>Rosch, Stephanie - ERS</cp:lastModifiedBy>
  <cp:revision>42</cp:revision>
  <cp:lastPrinted>2016-12-05T22:11:00Z</cp:lastPrinted>
  <dcterms:created xsi:type="dcterms:W3CDTF">2017-07-06T20:11:00Z</dcterms:created>
  <dcterms:modified xsi:type="dcterms:W3CDTF">2017-07-06T20:45:00Z</dcterms:modified>
</cp:coreProperties>
</file>