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1D" w:rsidRDefault="000C091D"/>
    <w:p w:rsidR="00892651" w:rsidRDefault="00892651"/>
    <w:p w:rsidR="00892651" w:rsidRPr="005D74BB" w:rsidRDefault="00892651" w:rsidP="005D74BB">
      <w:pPr>
        <w:jc w:val="center"/>
        <w:rPr>
          <w:rFonts w:ascii="Times New Roman" w:hAnsi="Times New Roman" w:cs="Times New Roman"/>
          <w:b/>
          <w:sz w:val="24"/>
          <w:szCs w:val="24"/>
        </w:rPr>
      </w:pPr>
      <w:r w:rsidRPr="005D74BB">
        <w:rPr>
          <w:rFonts w:ascii="Times New Roman" w:hAnsi="Times New Roman" w:cs="Times New Roman"/>
          <w:b/>
          <w:sz w:val="24"/>
          <w:szCs w:val="24"/>
        </w:rPr>
        <w:t xml:space="preserve">Grounds for Appeal for </w:t>
      </w:r>
      <w:r w:rsidR="005D74BB">
        <w:rPr>
          <w:rFonts w:ascii="Times New Roman" w:hAnsi="Times New Roman" w:cs="Times New Roman"/>
          <w:b/>
          <w:sz w:val="24"/>
          <w:szCs w:val="24"/>
        </w:rPr>
        <w:t xml:space="preserve">the </w:t>
      </w:r>
      <w:r w:rsidRPr="005D74BB">
        <w:rPr>
          <w:rFonts w:ascii="Times New Roman" w:hAnsi="Times New Roman" w:cs="Times New Roman"/>
          <w:b/>
          <w:sz w:val="24"/>
          <w:szCs w:val="24"/>
        </w:rPr>
        <w:t>Outer Cape Area Limited Access Program 2014</w:t>
      </w:r>
    </w:p>
    <w:p w:rsidR="00892651" w:rsidRPr="005D74BB" w:rsidRDefault="00892651" w:rsidP="005D74BB">
      <w:pPr>
        <w:rPr>
          <w:rFonts w:ascii="Times New Roman" w:hAnsi="Times New Roman" w:cs="Times New Roman"/>
          <w:sz w:val="24"/>
          <w:szCs w:val="24"/>
        </w:rPr>
      </w:pPr>
    </w:p>
    <w:p w:rsidR="005D74BB" w:rsidRDefault="005D74BB" w:rsidP="005D74BB">
      <w:pPr>
        <w:tabs>
          <w:tab w:val="left" w:pos="0"/>
          <w:tab w:val="left" w:pos="720"/>
        </w:tabs>
        <w:rPr>
          <w:rFonts w:ascii="Times New Roman" w:eastAsia="Times New Roman" w:hAnsi="Times New Roman" w:cs="Times New Roman"/>
          <w:sz w:val="24"/>
          <w:szCs w:val="24"/>
        </w:rPr>
      </w:pPr>
    </w:p>
    <w:p w:rsidR="007758BD" w:rsidRPr="005D74BB" w:rsidRDefault="007758BD" w:rsidP="005D74BB">
      <w:pPr>
        <w:tabs>
          <w:tab w:val="left" w:pos="0"/>
          <w:tab w:val="left" w:pos="720"/>
        </w:tabs>
        <w:rPr>
          <w:rFonts w:ascii="Times New Roman" w:eastAsia="Times New Roman" w:hAnsi="Times New Roman" w:cs="Times New Roman"/>
          <w:sz w:val="24"/>
          <w:szCs w:val="24"/>
        </w:rPr>
      </w:pPr>
      <w:r w:rsidRPr="005D74BB">
        <w:rPr>
          <w:rFonts w:ascii="Times New Roman" w:eastAsia="Times New Roman" w:hAnsi="Times New Roman" w:cs="Times New Roman"/>
          <w:iCs/>
          <w:sz w:val="24"/>
          <w:szCs w:val="24"/>
          <w:u w:val="single"/>
        </w:rPr>
        <w:t>Appeal of denial of permit</w:t>
      </w:r>
      <w:r w:rsidRPr="005D74BB">
        <w:rPr>
          <w:rFonts w:ascii="Times New Roman" w:eastAsia="Times New Roman" w:hAnsi="Times New Roman" w:cs="Times New Roman"/>
          <w:iCs/>
          <w:sz w:val="24"/>
          <w:szCs w:val="24"/>
        </w:rPr>
        <w:t xml:space="preserve">.  </w:t>
      </w:r>
      <w:r w:rsidRPr="005D74BB">
        <w:rPr>
          <w:rFonts w:ascii="Times New Roman" w:eastAsia="Times New Roman" w:hAnsi="Times New Roman" w:cs="Times New Roman"/>
          <w:sz w:val="24"/>
          <w:szCs w:val="24"/>
        </w:rPr>
        <w:t xml:space="preserve">Any applicant having first applied for initial qualification into the Outer Cape Area trap fishery pursuant to this section, but having been denied access or allocation may appeal to the Regional Administrator within 45 days of the date indicated on the notice of denial.  Any such appeal must be in writing.  Appeals may be submitted in the following two situations: </w:t>
      </w:r>
    </w:p>
    <w:p w:rsidR="005D74BB" w:rsidRDefault="005D74BB" w:rsidP="005D74BB">
      <w:pPr>
        <w:tabs>
          <w:tab w:val="left" w:pos="0"/>
          <w:tab w:val="left" w:pos="720"/>
        </w:tabs>
        <w:rPr>
          <w:rFonts w:ascii="Times New Roman" w:eastAsia="Times New Roman" w:hAnsi="Times New Roman" w:cs="Times New Roman"/>
          <w:sz w:val="24"/>
          <w:szCs w:val="24"/>
        </w:rPr>
      </w:pPr>
    </w:p>
    <w:p w:rsidR="007758BD" w:rsidRPr="005D74BB" w:rsidRDefault="007758BD" w:rsidP="005D74BB">
      <w:pPr>
        <w:tabs>
          <w:tab w:val="left" w:pos="0"/>
          <w:tab w:val="left" w:pos="720"/>
        </w:tabs>
        <w:rPr>
          <w:rFonts w:ascii="Times New Roman" w:eastAsia="Times New Roman" w:hAnsi="Times New Roman" w:cs="Times New Roman"/>
          <w:sz w:val="24"/>
          <w:szCs w:val="24"/>
        </w:rPr>
      </w:pPr>
      <w:r w:rsidRPr="005D74BB">
        <w:rPr>
          <w:rFonts w:ascii="Times New Roman" w:eastAsia="Times New Roman" w:hAnsi="Times New Roman" w:cs="Times New Roman"/>
          <w:sz w:val="24"/>
          <w:szCs w:val="24"/>
        </w:rPr>
        <w:tab/>
        <w:t>(</w:t>
      </w:r>
      <w:r w:rsidRPr="005D74BB">
        <w:rPr>
          <w:rFonts w:ascii="Times New Roman" w:eastAsia="Times New Roman" w:hAnsi="Times New Roman" w:cs="Times New Roman"/>
          <w:sz w:val="24"/>
          <w:szCs w:val="24"/>
          <w:u w:val="single"/>
        </w:rPr>
        <w:t>1</w:t>
      </w:r>
      <w:r w:rsidRPr="005D74BB">
        <w:rPr>
          <w:rFonts w:ascii="Times New Roman" w:eastAsia="Times New Roman" w:hAnsi="Times New Roman" w:cs="Times New Roman"/>
          <w:sz w:val="24"/>
          <w:szCs w:val="24"/>
        </w:rPr>
        <w:t xml:space="preserve">) </w:t>
      </w:r>
      <w:r w:rsidRPr="005D74BB">
        <w:rPr>
          <w:rFonts w:ascii="Times New Roman" w:eastAsia="Times New Roman" w:hAnsi="Times New Roman" w:cs="Times New Roman"/>
          <w:iCs/>
          <w:sz w:val="24"/>
          <w:szCs w:val="24"/>
          <w:u w:val="single"/>
        </w:rPr>
        <w:t>Clerical error</w:t>
      </w:r>
      <w:r w:rsidRPr="005D74BB">
        <w:rPr>
          <w:rFonts w:ascii="Times New Roman" w:eastAsia="Times New Roman" w:hAnsi="Times New Roman" w:cs="Times New Roman"/>
          <w:iCs/>
          <w:sz w:val="24"/>
          <w:szCs w:val="24"/>
        </w:rPr>
        <w:t xml:space="preserve">.  </w:t>
      </w:r>
      <w:r w:rsidRPr="005D74BB">
        <w:rPr>
          <w:rFonts w:ascii="Times New Roman" w:eastAsia="Times New Roman" w:hAnsi="Times New Roman" w:cs="Times New Roman"/>
          <w:sz w:val="24"/>
          <w:szCs w:val="24"/>
        </w:rPr>
        <w:t>The grounds for administrative appeal shall be that the Regional Administrator erred clerically in concluding that the vessel did not meet the criteria in paragraph (a</w:t>
      </w:r>
      <w:proofErr w:type="gramStart"/>
      <w:r w:rsidRPr="005D74BB">
        <w:rPr>
          <w:rFonts w:ascii="Times New Roman" w:eastAsia="Times New Roman" w:hAnsi="Times New Roman" w:cs="Times New Roman"/>
          <w:sz w:val="24"/>
          <w:szCs w:val="24"/>
        </w:rPr>
        <w:t>)(</w:t>
      </w:r>
      <w:proofErr w:type="gramEnd"/>
      <w:r w:rsidRPr="005D74BB">
        <w:rPr>
          <w:rFonts w:ascii="Times New Roman" w:eastAsia="Times New Roman" w:hAnsi="Times New Roman" w:cs="Times New Roman"/>
          <w:sz w:val="24"/>
          <w:szCs w:val="24"/>
        </w:rPr>
        <w:t xml:space="preserve">7)(vii) of this section.  Errors arising from oversight or omission such as ministerial, mathematical, or typographical mistakes would form the basis of such an appeal.  Alleged errors in substance or judgment do not form a sufficient basis of appeal under this paragraph.  The appeal must set forth the basis for the applicant's belief that the Regional Administrator's decision was made in error.  If the appealing applicant does not clearly and convincingly prove that an error occurred, the appeal must be denied.  </w:t>
      </w:r>
    </w:p>
    <w:p w:rsidR="005D74BB" w:rsidRDefault="005D74BB" w:rsidP="005D74BB">
      <w:pPr>
        <w:tabs>
          <w:tab w:val="left" w:pos="0"/>
          <w:tab w:val="left" w:pos="720"/>
        </w:tabs>
        <w:rPr>
          <w:rFonts w:ascii="Times New Roman" w:eastAsia="Times New Roman" w:hAnsi="Times New Roman" w:cs="Times New Roman"/>
          <w:sz w:val="24"/>
          <w:szCs w:val="24"/>
        </w:rPr>
      </w:pPr>
    </w:p>
    <w:p w:rsidR="007758BD" w:rsidRPr="005D74BB" w:rsidRDefault="007758BD" w:rsidP="005D74BB">
      <w:pPr>
        <w:tabs>
          <w:tab w:val="left" w:pos="0"/>
          <w:tab w:val="left" w:pos="720"/>
        </w:tabs>
        <w:rPr>
          <w:rFonts w:ascii="Times New Roman" w:eastAsia="Times New Roman" w:hAnsi="Times New Roman" w:cs="Times New Roman"/>
          <w:sz w:val="24"/>
          <w:szCs w:val="24"/>
        </w:rPr>
      </w:pPr>
      <w:r w:rsidRPr="005D74BB">
        <w:rPr>
          <w:rFonts w:ascii="Times New Roman" w:eastAsia="Times New Roman" w:hAnsi="Times New Roman" w:cs="Times New Roman"/>
          <w:sz w:val="24"/>
          <w:szCs w:val="24"/>
        </w:rPr>
        <w:tab/>
        <w:t>(</w:t>
      </w:r>
      <w:r w:rsidRPr="005D74BB">
        <w:rPr>
          <w:rFonts w:ascii="Times New Roman" w:eastAsia="Times New Roman" w:hAnsi="Times New Roman" w:cs="Times New Roman"/>
          <w:sz w:val="24"/>
          <w:szCs w:val="24"/>
          <w:u w:val="single"/>
        </w:rPr>
        <w:t>2</w:t>
      </w:r>
      <w:r w:rsidRPr="005D74BB">
        <w:rPr>
          <w:rFonts w:ascii="Times New Roman" w:eastAsia="Times New Roman" w:hAnsi="Times New Roman" w:cs="Times New Roman"/>
          <w:sz w:val="24"/>
          <w:szCs w:val="24"/>
        </w:rPr>
        <w:t xml:space="preserve">) </w:t>
      </w:r>
      <w:r w:rsidRPr="005D74BB">
        <w:rPr>
          <w:rFonts w:ascii="Times New Roman" w:eastAsia="Times New Roman" w:hAnsi="Times New Roman" w:cs="Times New Roman"/>
          <w:iCs/>
          <w:sz w:val="24"/>
          <w:szCs w:val="24"/>
          <w:u w:val="single"/>
        </w:rPr>
        <w:t>Director’s appeal</w:t>
      </w:r>
      <w:r w:rsidRPr="005D74BB">
        <w:rPr>
          <w:rFonts w:ascii="Times New Roman" w:eastAsia="Times New Roman" w:hAnsi="Times New Roman" w:cs="Times New Roman"/>
          <w:iCs/>
          <w:sz w:val="24"/>
          <w:szCs w:val="24"/>
        </w:rPr>
        <w:t xml:space="preserve">.  </w:t>
      </w:r>
      <w:r w:rsidRPr="005D74BB">
        <w:rPr>
          <w:rFonts w:ascii="Times New Roman" w:eastAsia="Times New Roman" w:hAnsi="Times New Roman" w:cs="Times New Roman"/>
          <w:sz w:val="24"/>
          <w:szCs w:val="24"/>
        </w:rPr>
        <w:t>A state’s marine fisheries agency may appeal on behalf of one of its state permit holders.  The only grounds for a Director’s Appeal shall be that the Regional Administrator’s decision on a dual permit holder’s Federal permit has created a detrimental incongruence with the state’s earlier decision on that permit holder’s state permit.  In order to pursue a Director’s Appeal, the state must establish the following by a preponderance of the evidence:</w:t>
      </w:r>
    </w:p>
    <w:p w:rsidR="007758BD" w:rsidRPr="005D74BB" w:rsidRDefault="007758BD" w:rsidP="005D74BB">
      <w:pPr>
        <w:tabs>
          <w:tab w:val="left" w:pos="0"/>
          <w:tab w:val="left" w:pos="720"/>
        </w:tabs>
        <w:rPr>
          <w:rFonts w:ascii="Times New Roman" w:eastAsia="Times New Roman" w:hAnsi="Times New Roman" w:cs="Times New Roman"/>
          <w:sz w:val="24"/>
          <w:szCs w:val="24"/>
        </w:rPr>
      </w:pPr>
      <w:r w:rsidRPr="005D74BB">
        <w:rPr>
          <w:rFonts w:ascii="Times New Roman" w:eastAsia="Times New Roman" w:hAnsi="Times New Roman" w:cs="Times New Roman"/>
          <w:sz w:val="24"/>
          <w:szCs w:val="24"/>
        </w:rPr>
        <w:tab/>
        <w:t>(</w:t>
      </w:r>
      <w:r w:rsidR="005D74BB">
        <w:rPr>
          <w:rFonts w:ascii="Times New Roman" w:eastAsia="Times New Roman" w:hAnsi="Times New Roman" w:cs="Times New Roman"/>
          <w:sz w:val="24"/>
          <w:szCs w:val="24"/>
        </w:rPr>
        <w:t>a</w:t>
      </w:r>
      <w:r w:rsidRPr="005D74BB">
        <w:rPr>
          <w:rFonts w:ascii="Times New Roman" w:eastAsia="Times New Roman" w:hAnsi="Times New Roman" w:cs="Times New Roman"/>
          <w:sz w:val="24"/>
          <w:szCs w:val="24"/>
        </w:rPr>
        <w:t xml:space="preserve">) </w:t>
      </w:r>
      <w:r w:rsidRPr="005D74BB">
        <w:rPr>
          <w:rFonts w:ascii="Times New Roman" w:eastAsia="Times New Roman" w:hAnsi="Times New Roman" w:cs="Times New Roman"/>
          <w:sz w:val="24"/>
          <w:szCs w:val="24"/>
          <w:u w:val="single"/>
        </w:rPr>
        <w:t>Proof of an incongruence</w:t>
      </w:r>
      <w:r w:rsidRPr="005D74BB">
        <w:rPr>
          <w:rFonts w:ascii="Times New Roman" w:eastAsia="Times New Roman" w:hAnsi="Times New Roman" w:cs="Times New Roman"/>
          <w:sz w:val="24"/>
          <w:szCs w:val="24"/>
        </w:rPr>
        <w:t>.  The state must establish that the individual has a state lobster permit, which the state has qualified for access with traps into the Outer Cape Area, as well as a Federal lobster permit, which the Regional Administrator has denied access or restricted the permit’s trap allocation into the Outer Cape Area.  The state must establish that the incongruent permits were linked during the year or years used in the initial application such that the fishing history used in Federal and state permit decisions was the same.</w:t>
      </w:r>
    </w:p>
    <w:p w:rsidR="005D74BB" w:rsidRDefault="007758BD" w:rsidP="005D74BB">
      <w:pPr>
        <w:tabs>
          <w:tab w:val="left" w:pos="0"/>
          <w:tab w:val="left" w:pos="720"/>
        </w:tabs>
        <w:rPr>
          <w:rFonts w:ascii="Times New Roman" w:eastAsia="Times New Roman" w:hAnsi="Times New Roman" w:cs="Times New Roman"/>
          <w:sz w:val="24"/>
          <w:szCs w:val="24"/>
        </w:rPr>
      </w:pPr>
      <w:r w:rsidRPr="005D74BB">
        <w:rPr>
          <w:rFonts w:ascii="Times New Roman" w:eastAsia="Times New Roman" w:hAnsi="Times New Roman" w:cs="Times New Roman"/>
          <w:sz w:val="24"/>
          <w:szCs w:val="24"/>
        </w:rPr>
        <w:tab/>
      </w:r>
    </w:p>
    <w:p w:rsidR="007758BD" w:rsidRPr="005D74BB" w:rsidRDefault="005D74BB" w:rsidP="005D74BB">
      <w:pPr>
        <w:tabs>
          <w:tab w:val="left" w:pos="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758BD" w:rsidRPr="005D74BB">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007758BD" w:rsidRPr="005D74BB">
        <w:rPr>
          <w:rFonts w:ascii="Times New Roman" w:eastAsia="Times New Roman" w:hAnsi="Times New Roman" w:cs="Times New Roman"/>
          <w:sz w:val="24"/>
          <w:szCs w:val="24"/>
        </w:rPr>
        <w:t xml:space="preserve">) </w:t>
      </w:r>
      <w:r w:rsidR="007758BD" w:rsidRPr="005D74BB">
        <w:rPr>
          <w:rFonts w:ascii="Times New Roman" w:eastAsia="Times New Roman" w:hAnsi="Times New Roman" w:cs="Times New Roman"/>
          <w:sz w:val="24"/>
          <w:szCs w:val="24"/>
          <w:u w:val="single"/>
        </w:rPr>
        <w:t>Proof of detriment</w:t>
      </w:r>
      <w:r w:rsidR="007758BD" w:rsidRPr="005D74BB">
        <w:rPr>
          <w:rFonts w:ascii="Times New Roman" w:eastAsia="Times New Roman" w:hAnsi="Times New Roman" w:cs="Times New Roman"/>
          <w:sz w:val="24"/>
          <w:szCs w:val="24"/>
        </w:rPr>
        <w:t>.  The state must provide a letter supporting the granting of trap access for the Federal permit holder.  In the support letter, the state must explain how the incongruence in this instance is detrimental to the Outer Cape Area lobster fishery and why granting the appeal is, on balance, in the best interests of the fishery overall.  A showing of detriment to the individual permit holder is not grou</w:t>
      </w:r>
      <w:bookmarkStart w:id="0" w:name="_GoBack"/>
      <w:bookmarkEnd w:id="0"/>
      <w:r w:rsidR="007758BD" w:rsidRPr="005D74BB">
        <w:rPr>
          <w:rFonts w:ascii="Times New Roman" w:eastAsia="Times New Roman" w:hAnsi="Times New Roman" w:cs="Times New Roman"/>
          <w:sz w:val="24"/>
          <w:szCs w:val="24"/>
        </w:rPr>
        <w:t>nds for this appeal and will not be considered relevant to the decision.</w:t>
      </w:r>
    </w:p>
    <w:p w:rsidR="005D74BB" w:rsidRDefault="005D74BB" w:rsidP="005D74BB">
      <w:pPr>
        <w:tabs>
          <w:tab w:val="left" w:pos="0"/>
          <w:tab w:val="left" w:pos="720"/>
        </w:tabs>
        <w:rPr>
          <w:rFonts w:ascii="Times New Roman" w:eastAsia="Times New Roman" w:hAnsi="Times New Roman" w:cs="Times New Roman"/>
          <w:sz w:val="24"/>
          <w:szCs w:val="24"/>
        </w:rPr>
      </w:pPr>
    </w:p>
    <w:p w:rsidR="007758BD" w:rsidRPr="005D74BB" w:rsidRDefault="007758BD" w:rsidP="005D74BB">
      <w:pPr>
        <w:tabs>
          <w:tab w:val="left" w:pos="0"/>
          <w:tab w:val="left" w:pos="720"/>
        </w:tabs>
        <w:rPr>
          <w:rFonts w:ascii="Times New Roman" w:eastAsia="Times New Roman" w:hAnsi="Times New Roman" w:cs="Times New Roman"/>
          <w:sz w:val="24"/>
          <w:szCs w:val="24"/>
        </w:rPr>
      </w:pPr>
      <w:proofErr w:type="gramStart"/>
      <w:r w:rsidRPr="005D74BB">
        <w:rPr>
          <w:rFonts w:ascii="Times New Roman" w:eastAsia="Times New Roman" w:hAnsi="Times New Roman" w:cs="Times New Roman"/>
          <w:iCs/>
          <w:sz w:val="24"/>
          <w:szCs w:val="24"/>
          <w:u w:val="single"/>
        </w:rPr>
        <w:t>Appellate timing and review</w:t>
      </w:r>
      <w:r w:rsidRPr="005D74BB">
        <w:rPr>
          <w:rFonts w:ascii="Times New Roman" w:eastAsia="Times New Roman" w:hAnsi="Times New Roman" w:cs="Times New Roman"/>
          <w:iCs/>
          <w:sz w:val="24"/>
          <w:szCs w:val="24"/>
        </w:rPr>
        <w:t>.</w:t>
      </w:r>
      <w:proofErr w:type="gramEnd"/>
      <w:r w:rsidRPr="005D74BB">
        <w:rPr>
          <w:rFonts w:ascii="Times New Roman" w:eastAsia="Times New Roman" w:hAnsi="Times New Roman" w:cs="Times New Roman"/>
          <w:iCs/>
          <w:sz w:val="24"/>
          <w:szCs w:val="24"/>
        </w:rPr>
        <w:t xml:space="preserve">  </w:t>
      </w:r>
      <w:r w:rsidRPr="005D74BB">
        <w:rPr>
          <w:rFonts w:ascii="Times New Roman" w:eastAsia="Times New Roman" w:hAnsi="Times New Roman" w:cs="Times New Roman"/>
          <w:sz w:val="24"/>
          <w:szCs w:val="24"/>
        </w:rPr>
        <w:t xml:space="preserve">All appeals must be submitted to the Regional Administrator in writing and reviewed as follows:  </w:t>
      </w:r>
    </w:p>
    <w:p w:rsidR="005D74BB" w:rsidRDefault="005D74BB" w:rsidP="005D74BB">
      <w:pPr>
        <w:tabs>
          <w:tab w:val="left" w:pos="0"/>
          <w:tab w:val="left" w:pos="720"/>
        </w:tabs>
        <w:rPr>
          <w:rFonts w:ascii="Times New Roman" w:eastAsia="Times New Roman" w:hAnsi="Times New Roman" w:cs="Times New Roman"/>
          <w:sz w:val="24"/>
          <w:szCs w:val="24"/>
        </w:rPr>
      </w:pPr>
    </w:p>
    <w:p w:rsidR="007758BD" w:rsidRPr="005D74BB" w:rsidRDefault="007758BD" w:rsidP="005D74BB">
      <w:pPr>
        <w:tabs>
          <w:tab w:val="left" w:pos="0"/>
          <w:tab w:val="left" w:pos="720"/>
        </w:tabs>
        <w:rPr>
          <w:rFonts w:ascii="Times New Roman" w:eastAsia="Times New Roman" w:hAnsi="Times New Roman" w:cs="Times New Roman"/>
          <w:sz w:val="24"/>
          <w:szCs w:val="24"/>
        </w:rPr>
      </w:pPr>
      <w:r w:rsidRPr="005D74BB">
        <w:rPr>
          <w:rFonts w:ascii="Times New Roman" w:eastAsia="Times New Roman" w:hAnsi="Times New Roman" w:cs="Times New Roman"/>
          <w:sz w:val="24"/>
          <w:szCs w:val="24"/>
          <w:u w:val="single"/>
        </w:rPr>
        <w:t>Clerical appeals timing</w:t>
      </w:r>
      <w:r w:rsidRPr="005D74BB">
        <w:rPr>
          <w:rFonts w:ascii="Times New Roman" w:eastAsia="Times New Roman" w:hAnsi="Times New Roman" w:cs="Times New Roman"/>
          <w:sz w:val="24"/>
          <w:szCs w:val="24"/>
        </w:rPr>
        <w:t xml:space="preserve">.  Applicants must submit Clerical Appeals no later than 45 days after the date on the NMFS Notice of Denial of the Initial Qualification Application.  NMFS shall consider the appeal’s postmark date as constituting the submission date for the purposes of determining timing.  Failure to register an appeal within 45 days of the date of the Notice of Denial will preclude any further appeal.  The appellant may notify the Regional Administrator in </w:t>
      </w:r>
      <w:r w:rsidRPr="005D74BB">
        <w:rPr>
          <w:rFonts w:ascii="Times New Roman" w:eastAsia="Times New Roman" w:hAnsi="Times New Roman" w:cs="Times New Roman"/>
          <w:sz w:val="24"/>
          <w:szCs w:val="24"/>
        </w:rPr>
        <w:lastRenderedPageBreak/>
        <w:t xml:space="preserve">writing of his or her intent to appeal within the 45 days and request a time extension to procure the necessary documentation.  Time extensions shall be limited to 30 days and shall be calculated as extending 30 days beyond the initial 45-day period that begins on the original date on the Notice of Denial.  Appeals submitted beyond the deadlines stated herein will not be accepted.  </w:t>
      </w:r>
    </w:p>
    <w:p w:rsidR="005D74BB" w:rsidRDefault="007758BD" w:rsidP="005D74BB">
      <w:pPr>
        <w:tabs>
          <w:tab w:val="left" w:pos="0"/>
          <w:tab w:val="left" w:pos="720"/>
        </w:tabs>
        <w:rPr>
          <w:rFonts w:ascii="Times New Roman" w:eastAsia="Times New Roman" w:hAnsi="Times New Roman" w:cs="Times New Roman"/>
          <w:sz w:val="24"/>
          <w:szCs w:val="24"/>
        </w:rPr>
      </w:pPr>
      <w:r w:rsidRPr="005D74BB">
        <w:rPr>
          <w:rFonts w:ascii="Times New Roman" w:eastAsia="Times New Roman" w:hAnsi="Times New Roman" w:cs="Times New Roman"/>
          <w:sz w:val="24"/>
          <w:szCs w:val="24"/>
        </w:rPr>
        <w:tab/>
      </w:r>
    </w:p>
    <w:p w:rsidR="007758BD" w:rsidRPr="005D74BB" w:rsidRDefault="007758BD" w:rsidP="005D74BB">
      <w:pPr>
        <w:tabs>
          <w:tab w:val="left" w:pos="0"/>
          <w:tab w:val="left" w:pos="720"/>
        </w:tabs>
        <w:rPr>
          <w:rFonts w:ascii="Times New Roman" w:eastAsia="Times New Roman" w:hAnsi="Times New Roman" w:cs="Times New Roman"/>
          <w:sz w:val="24"/>
          <w:szCs w:val="24"/>
        </w:rPr>
      </w:pPr>
      <w:r w:rsidRPr="005D74BB">
        <w:rPr>
          <w:rFonts w:ascii="Times New Roman" w:eastAsia="Times New Roman" w:hAnsi="Times New Roman" w:cs="Times New Roman"/>
          <w:sz w:val="24"/>
          <w:szCs w:val="24"/>
          <w:u w:val="single"/>
        </w:rPr>
        <w:t>Director’s appeals timing</w:t>
      </w:r>
      <w:r w:rsidRPr="005D74BB">
        <w:rPr>
          <w:rFonts w:ascii="Times New Roman" w:eastAsia="Times New Roman" w:hAnsi="Times New Roman" w:cs="Times New Roman"/>
          <w:sz w:val="24"/>
          <w:szCs w:val="24"/>
        </w:rPr>
        <w:t xml:space="preserve">.  State Directors must submit Director’s Appeals on behalf of their constituents no later than 180 days after the date of the NMFS Notice of Denial of the Initial Qualification Application.  NMFS shall consider the appeal’s postmark date as constituting the submission date for the purposes of determining timing.  Failure to register an appeal within 180 days of the date of the Notice of Denial will preclude any further appeal.  The Director may notify the Regional Administrator in writing of his or her intent to appeal within the 180 days and request a time extension to procure the necessary documentation.  Time extensions shall be limited to 30 days and shall be calculated as extending 30 days beyond the initial 180-day period that begins on the original date on the Notice of Denial.  Appeals submitted beyond the deadline will not be accepted.  </w:t>
      </w:r>
    </w:p>
    <w:p w:rsidR="005D74BB" w:rsidRDefault="005D74BB" w:rsidP="005D74BB">
      <w:pPr>
        <w:tabs>
          <w:tab w:val="left" w:pos="0"/>
          <w:tab w:val="left" w:pos="720"/>
        </w:tabs>
        <w:rPr>
          <w:rFonts w:ascii="Times New Roman" w:eastAsia="Times New Roman" w:hAnsi="Times New Roman" w:cs="Times New Roman"/>
          <w:sz w:val="24"/>
          <w:szCs w:val="24"/>
        </w:rPr>
      </w:pPr>
    </w:p>
    <w:p w:rsidR="007758BD" w:rsidRPr="005D74BB" w:rsidRDefault="007758BD" w:rsidP="005D74BB">
      <w:pPr>
        <w:tabs>
          <w:tab w:val="left" w:pos="0"/>
          <w:tab w:val="left" w:pos="720"/>
        </w:tabs>
        <w:rPr>
          <w:rFonts w:ascii="Times New Roman" w:eastAsia="Times New Roman" w:hAnsi="Times New Roman" w:cs="Times New Roman"/>
          <w:sz w:val="24"/>
          <w:szCs w:val="24"/>
        </w:rPr>
      </w:pPr>
      <w:proofErr w:type="gramStart"/>
      <w:r w:rsidRPr="005D74BB">
        <w:rPr>
          <w:rFonts w:ascii="Times New Roman" w:eastAsia="Times New Roman" w:hAnsi="Times New Roman" w:cs="Times New Roman"/>
          <w:sz w:val="24"/>
          <w:szCs w:val="24"/>
          <w:u w:val="single"/>
        </w:rPr>
        <w:t>Agency response</w:t>
      </w:r>
      <w:r w:rsidRPr="005D74BB">
        <w:rPr>
          <w:rFonts w:ascii="Times New Roman" w:eastAsia="Times New Roman" w:hAnsi="Times New Roman" w:cs="Times New Roman"/>
          <w:sz w:val="24"/>
          <w:szCs w:val="24"/>
        </w:rPr>
        <w:t>.</w:t>
      </w:r>
      <w:proofErr w:type="gramEnd"/>
      <w:r w:rsidRPr="005D74BB">
        <w:rPr>
          <w:rFonts w:ascii="Times New Roman" w:eastAsia="Times New Roman" w:hAnsi="Times New Roman" w:cs="Times New Roman"/>
          <w:sz w:val="24"/>
          <w:szCs w:val="24"/>
        </w:rPr>
        <w:t xml:space="preserve">  Upon receipt of a complete written appeal with supporting documentation in the time frame allowable, the Regional Administrator will then appoint an appeals officer who will review the appellate documentation.  After completing a review of the appeal, the appeals officer will make findings and a recommendation, which shall be advisory only, to the Regional Administrator, who shall make the final agency decision whether to qualify the applicant.  </w:t>
      </w:r>
    </w:p>
    <w:p w:rsidR="005D74BB" w:rsidRDefault="005D74BB" w:rsidP="005D74BB">
      <w:pPr>
        <w:tabs>
          <w:tab w:val="left" w:pos="0"/>
          <w:tab w:val="left" w:pos="720"/>
        </w:tabs>
        <w:rPr>
          <w:rFonts w:ascii="Times New Roman" w:eastAsia="Times New Roman" w:hAnsi="Times New Roman" w:cs="Times New Roman"/>
          <w:sz w:val="24"/>
          <w:szCs w:val="24"/>
        </w:rPr>
      </w:pPr>
    </w:p>
    <w:p w:rsidR="007758BD" w:rsidRPr="005D74BB" w:rsidRDefault="007758BD" w:rsidP="005D74BB">
      <w:pPr>
        <w:tabs>
          <w:tab w:val="left" w:pos="0"/>
          <w:tab w:val="left" w:pos="720"/>
        </w:tabs>
        <w:rPr>
          <w:rFonts w:ascii="Times New Roman" w:eastAsia="Times New Roman" w:hAnsi="Times New Roman" w:cs="Times New Roman"/>
          <w:sz w:val="24"/>
          <w:szCs w:val="24"/>
        </w:rPr>
      </w:pPr>
      <w:proofErr w:type="gramStart"/>
      <w:r w:rsidRPr="005D74BB">
        <w:rPr>
          <w:rFonts w:ascii="Times New Roman" w:eastAsia="Times New Roman" w:hAnsi="Times New Roman" w:cs="Times New Roman"/>
          <w:iCs/>
          <w:sz w:val="24"/>
          <w:szCs w:val="24"/>
          <w:u w:val="single"/>
        </w:rPr>
        <w:t>Status of vessels pending appeal</w:t>
      </w:r>
      <w:r w:rsidRPr="005D74BB">
        <w:rPr>
          <w:rFonts w:ascii="Times New Roman" w:eastAsia="Times New Roman" w:hAnsi="Times New Roman" w:cs="Times New Roman"/>
          <w:iCs/>
          <w:sz w:val="24"/>
          <w:szCs w:val="24"/>
        </w:rPr>
        <w:t>.</w:t>
      </w:r>
      <w:proofErr w:type="gramEnd"/>
      <w:r w:rsidRPr="005D74BB">
        <w:rPr>
          <w:rFonts w:ascii="Times New Roman" w:eastAsia="Times New Roman" w:hAnsi="Times New Roman" w:cs="Times New Roman"/>
          <w:iCs/>
          <w:sz w:val="24"/>
          <w:szCs w:val="24"/>
        </w:rPr>
        <w:t xml:space="preserve">  </w:t>
      </w:r>
      <w:r w:rsidRPr="005D74BB">
        <w:rPr>
          <w:rFonts w:ascii="Times New Roman" w:eastAsia="Times New Roman" w:hAnsi="Times New Roman" w:cs="Times New Roman"/>
          <w:sz w:val="24"/>
          <w:szCs w:val="24"/>
        </w:rPr>
        <w:t>The Regional Administrator may authorize a vessel to fish with traps in the Outer Cape Area during an appeal.  The Regional Administrator may do so by issuing a letter authorizing the appellant to fish up to 800 traps in the Outer Cape Area during the pendency of the appeal.  The Regional Administrator's letter must be present onboard the vessel while it is engaged in such fishing in order for the vessel to be authorized.  If the appeal is ultimately denied, the Regional Administrator's letter authorizing fishing during the appeal will become invalid 5 days after receipt of the notice of appellate denial, or 15 days after the date on the notice of appellate denial, whichever occurs first.</w:t>
      </w:r>
    </w:p>
    <w:p w:rsidR="00892651" w:rsidRPr="005D74BB" w:rsidRDefault="00892651" w:rsidP="005D74BB">
      <w:pPr>
        <w:rPr>
          <w:rFonts w:ascii="Times New Roman" w:hAnsi="Times New Roman" w:cs="Times New Roman"/>
          <w:sz w:val="24"/>
          <w:szCs w:val="24"/>
        </w:rPr>
      </w:pPr>
    </w:p>
    <w:sectPr w:rsidR="00892651" w:rsidRPr="005D74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BB" w:rsidRDefault="005D74BB" w:rsidP="005D74BB">
      <w:r>
        <w:separator/>
      </w:r>
    </w:p>
  </w:endnote>
  <w:endnote w:type="continuationSeparator" w:id="0">
    <w:p w:rsidR="005D74BB" w:rsidRDefault="005D74BB" w:rsidP="005D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909938"/>
      <w:docPartObj>
        <w:docPartGallery w:val="Page Numbers (Bottom of Page)"/>
        <w:docPartUnique/>
      </w:docPartObj>
    </w:sdtPr>
    <w:sdtEndPr>
      <w:rPr>
        <w:noProof/>
      </w:rPr>
    </w:sdtEndPr>
    <w:sdtContent>
      <w:p w:rsidR="005D74BB" w:rsidRDefault="005D74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D74BB" w:rsidRDefault="005D7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BB" w:rsidRDefault="005D74BB" w:rsidP="005D74BB">
      <w:r>
        <w:separator/>
      </w:r>
    </w:p>
  </w:footnote>
  <w:footnote w:type="continuationSeparator" w:id="0">
    <w:p w:rsidR="005D74BB" w:rsidRDefault="005D74BB" w:rsidP="005D7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46"/>
    <w:rsid w:val="000C091D"/>
    <w:rsid w:val="005D74BB"/>
    <w:rsid w:val="007758BD"/>
    <w:rsid w:val="00873446"/>
    <w:rsid w:val="0089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4BB"/>
    <w:pPr>
      <w:tabs>
        <w:tab w:val="center" w:pos="4680"/>
        <w:tab w:val="right" w:pos="9360"/>
      </w:tabs>
    </w:pPr>
  </w:style>
  <w:style w:type="character" w:customStyle="1" w:styleId="HeaderChar">
    <w:name w:val="Header Char"/>
    <w:basedOn w:val="DefaultParagraphFont"/>
    <w:link w:val="Header"/>
    <w:uiPriority w:val="99"/>
    <w:rsid w:val="005D74BB"/>
  </w:style>
  <w:style w:type="paragraph" w:styleId="Footer">
    <w:name w:val="footer"/>
    <w:basedOn w:val="Normal"/>
    <w:link w:val="FooterChar"/>
    <w:uiPriority w:val="99"/>
    <w:unhideWhenUsed/>
    <w:rsid w:val="005D74BB"/>
    <w:pPr>
      <w:tabs>
        <w:tab w:val="center" w:pos="4680"/>
        <w:tab w:val="right" w:pos="9360"/>
      </w:tabs>
    </w:pPr>
  </w:style>
  <w:style w:type="character" w:customStyle="1" w:styleId="FooterChar">
    <w:name w:val="Footer Char"/>
    <w:basedOn w:val="DefaultParagraphFont"/>
    <w:link w:val="Footer"/>
    <w:uiPriority w:val="99"/>
    <w:rsid w:val="005D7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4BB"/>
    <w:pPr>
      <w:tabs>
        <w:tab w:val="center" w:pos="4680"/>
        <w:tab w:val="right" w:pos="9360"/>
      </w:tabs>
    </w:pPr>
  </w:style>
  <w:style w:type="character" w:customStyle="1" w:styleId="HeaderChar">
    <w:name w:val="Header Char"/>
    <w:basedOn w:val="DefaultParagraphFont"/>
    <w:link w:val="Header"/>
    <w:uiPriority w:val="99"/>
    <w:rsid w:val="005D74BB"/>
  </w:style>
  <w:style w:type="paragraph" w:styleId="Footer">
    <w:name w:val="footer"/>
    <w:basedOn w:val="Normal"/>
    <w:link w:val="FooterChar"/>
    <w:uiPriority w:val="99"/>
    <w:unhideWhenUsed/>
    <w:rsid w:val="005D74BB"/>
    <w:pPr>
      <w:tabs>
        <w:tab w:val="center" w:pos="4680"/>
        <w:tab w:val="right" w:pos="9360"/>
      </w:tabs>
    </w:pPr>
  </w:style>
  <w:style w:type="character" w:customStyle="1" w:styleId="FooterChar">
    <w:name w:val="Footer Char"/>
    <w:basedOn w:val="DefaultParagraphFont"/>
    <w:link w:val="Footer"/>
    <w:uiPriority w:val="99"/>
    <w:rsid w:val="005D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864</Words>
  <Characters>4928</Characters>
  <Application>Microsoft Office Word</Application>
  <DocSecurity>0</DocSecurity>
  <Lines>41</Lines>
  <Paragraphs>11</Paragraphs>
  <ScaleCrop>false</ScaleCrop>
  <Company>NERO</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PBurns</dc:creator>
  <cp:lastModifiedBy>PBurns</cp:lastModifiedBy>
  <cp:revision>4</cp:revision>
  <dcterms:created xsi:type="dcterms:W3CDTF">2013-12-23T19:45:00Z</dcterms:created>
  <dcterms:modified xsi:type="dcterms:W3CDTF">2013-12-23T20:18:00Z</dcterms:modified>
</cp:coreProperties>
</file>