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4F26E9" w:rsidRDefault="00BE7CD4">
      <w:pPr>
        <w:jc w:val="center"/>
        <w:rPr>
          <w:b/>
          <w:bCs/>
          <w:sz w:val="24"/>
          <w:szCs w:val="24"/>
        </w:rPr>
      </w:pPr>
      <w:r w:rsidRPr="00BE7CD4">
        <w:rPr>
          <w:b/>
          <w:bCs/>
          <w:sz w:val="24"/>
          <w:szCs w:val="24"/>
        </w:rPr>
        <w:t>AMERICAN LOBSTER INDIVIDUAL TRANSFERABLE TRAP (ITT) PROGRAM</w:t>
      </w:r>
    </w:p>
    <w:p w:rsidR="004F26E9" w:rsidRDefault="004F26E9">
      <w:pPr>
        <w:jc w:val="center"/>
        <w:rPr>
          <w:sz w:val="24"/>
          <w:szCs w:val="24"/>
        </w:rPr>
      </w:pPr>
      <w:r>
        <w:rPr>
          <w:b/>
          <w:bCs/>
          <w:sz w:val="24"/>
          <w:szCs w:val="24"/>
        </w:rPr>
        <w:t>OMB CONTROL NO. 0648-</w:t>
      </w:r>
      <w:r w:rsidR="00C764F3">
        <w:rPr>
          <w:b/>
          <w:bCs/>
          <w:sz w:val="24"/>
          <w:szCs w:val="24"/>
        </w:rPr>
        <w:t>0673</w:t>
      </w:r>
    </w:p>
    <w:p w:rsidR="004F26E9" w:rsidRDefault="004F26E9">
      <w:pPr>
        <w:rPr>
          <w:sz w:val="24"/>
          <w:szCs w:val="24"/>
        </w:rPr>
      </w:pPr>
    </w:p>
    <w:p w:rsidR="004F26E9" w:rsidRDefault="00CB3C0C">
      <w:pPr>
        <w:tabs>
          <w:tab w:val="left" w:pos="720"/>
        </w:tabs>
        <w:ind w:left="720" w:hanging="720"/>
        <w:rPr>
          <w:sz w:val="24"/>
          <w:szCs w:val="24"/>
        </w:rPr>
      </w:pPr>
      <w:r>
        <w:rPr>
          <w:b/>
          <w:bCs/>
          <w:sz w:val="24"/>
          <w:szCs w:val="24"/>
        </w:rPr>
        <w:t>A.</w:t>
      </w:r>
      <w:r w:rsidR="004F26E9">
        <w:rPr>
          <w:b/>
          <w:bCs/>
          <w:sz w:val="24"/>
          <w:szCs w:val="24"/>
        </w:rPr>
        <w:tab/>
        <w:t>JUSTIFICATION</w:t>
      </w:r>
    </w:p>
    <w:p w:rsidR="00CB3C0C" w:rsidRDefault="00CB3C0C">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4F26E9" w:rsidRDefault="004F26E9">
      <w:pPr>
        <w:rPr>
          <w:sz w:val="24"/>
          <w:szCs w:val="24"/>
        </w:rPr>
      </w:pPr>
    </w:p>
    <w:p w:rsidR="00A60228" w:rsidRDefault="00A60228" w:rsidP="00AE315E">
      <w:pPr>
        <w:rPr>
          <w:sz w:val="24"/>
          <w:szCs w:val="24"/>
        </w:rPr>
      </w:pPr>
      <w:r w:rsidRPr="00A60228">
        <w:rPr>
          <w:sz w:val="24"/>
          <w:szCs w:val="24"/>
        </w:rPr>
        <w:t>The National Oceanic and Atmospheric Administration’s (NOAA) National Marine Fisheries Service (NMFS) requests the approval by the Office of Management and Budget (OMB)</w:t>
      </w:r>
      <w:r>
        <w:rPr>
          <w:sz w:val="24"/>
          <w:szCs w:val="24"/>
        </w:rPr>
        <w:t xml:space="preserve"> of</w:t>
      </w:r>
      <w:r w:rsidR="00DA2700">
        <w:rPr>
          <w:sz w:val="24"/>
          <w:szCs w:val="24"/>
        </w:rPr>
        <w:t xml:space="preserve"> a revision and extension of the existing </w:t>
      </w:r>
      <w:r w:rsidR="00DA2700" w:rsidRPr="00DA2700">
        <w:rPr>
          <w:sz w:val="24"/>
          <w:szCs w:val="24"/>
        </w:rPr>
        <w:t>collection of information under OMB Control N</w:t>
      </w:r>
      <w:r w:rsidR="00DA2700">
        <w:rPr>
          <w:sz w:val="24"/>
          <w:szCs w:val="24"/>
        </w:rPr>
        <w:t>umber</w:t>
      </w:r>
      <w:r w:rsidR="00DA2700" w:rsidRPr="00DA2700">
        <w:rPr>
          <w:sz w:val="24"/>
          <w:szCs w:val="24"/>
        </w:rPr>
        <w:t xml:space="preserve"> 0648-0673</w:t>
      </w:r>
      <w:r w:rsidR="00DA2700">
        <w:rPr>
          <w:sz w:val="24"/>
          <w:szCs w:val="24"/>
        </w:rPr>
        <w:t xml:space="preserve"> for the Annual American Lobster Trap Transfer Program.</w:t>
      </w:r>
      <w:r w:rsidR="00DA2700" w:rsidRPr="00DA2700">
        <w:t xml:space="preserve"> </w:t>
      </w:r>
      <w:r w:rsidR="00BA4DE1">
        <w:t xml:space="preserve"> </w:t>
      </w:r>
      <w:r w:rsidR="00DA2700" w:rsidRPr="00DA2700">
        <w:rPr>
          <w:sz w:val="24"/>
          <w:szCs w:val="24"/>
        </w:rPr>
        <w:t>Originally, this collection was part of a new rulemaking action and included efforts to obtain information from American lobster permit holders in order to implement a limited access permit program</w:t>
      </w:r>
      <w:r w:rsidR="009E7086">
        <w:rPr>
          <w:sz w:val="24"/>
          <w:szCs w:val="24"/>
        </w:rPr>
        <w:t xml:space="preserve"> in addition to the Trap Transfer P</w:t>
      </w:r>
      <w:r w:rsidR="00DA2700">
        <w:rPr>
          <w:sz w:val="24"/>
          <w:szCs w:val="24"/>
        </w:rPr>
        <w:t>rogram</w:t>
      </w:r>
      <w:r w:rsidR="00DA2700" w:rsidRPr="00DA2700">
        <w:rPr>
          <w:sz w:val="24"/>
          <w:szCs w:val="24"/>
        </w:rPr>
        <w:t>.  NMFS has now completed t</w:t>
      </w:r>
      <w:r w:rsidR="00DA2700">
        <w:rPr>
          <w:sz w:val="24"/>
          <w:szCs w:val="24"/>
        </w:rPr>
        <w:t xml:space="preserve">he qualification </w:t>
      </w:r>
      <w:r w:rsidR="00DA2700" w:rsidRPr="00DA2700">
        <w:rPr>
          <w:sz w:val="24"/>
          <w:szCs w:val="24"/>
        </w:rPr>
        <w:t xml:space="preserve">activities </w:t>
      </w:r>
      <w:r w:rsidR="00DA2700">
        <w:rPr>
          <w:sz w:val="24"/>
          <w:szCs w:val="24"/>
        </w:rPr>
        <w:t>associated with this limited access program, and requests a revision to remove it f</w:t>
      </w:r>
      <w:r w:rsidR="001E3547">
        <w:rPr>
          <w:sz w:val="24"/>
          <w:szCs w:val="24"/>
        </w:rPr>
        <w:t>rom the collection.  Also, the Trap Transfer P</w:t>
      </w:r>
      <w:r w:rsidR="00DA2700">
        <w:rPr>
          <w:sz w:val="24"/>
          <w:szCs w:val="24"/>
        </w:rPr>
        <w:t xml:space="preserve">rogram </w:t>
      </w:r>
      <w:r w:rsidR="00954E0D">
        <w:rPr>
          <w:sz w:val="24"/>
          <w:szCs w:val="24"/>
        </w:rPr>
        <w:t xml:space="preserve">has started since the initial collection of information request, </w:t>
      </w:r>
      <w:r w:rsidR="00954E0D" w:rsidRPr="00954E0D">
        <w:rPr>
          <w:sz w:val="24"/>
          <w:szCs w:val="24"/>
        </w:rPr>
        <w:t>and has n</w:t>
      </w:r>
      <w:r w:rsidR="00954E0D">
        <w:rPr>
          <w:sz w:val="24"/>
          <w:szCs w:val="24"/>
        </w:rPr>
        <w:t>ow been conducted for two years</w:t>
      </w:r>
      <w:r w:rsidR="00954E0D" w:rsidRPr="00954E0D">
        <w:rPr>
          <w:sz w:val="24"/>
          <w:szCs w:val="24"/>
        </w:rPr>
        <w:t xml:space="preserve"> </w:t>
      </w:r>
      <w:r w:rsidR="00032A33">
        <w:rPr>
          <w:sz w:val="24"/>
          <w:szCs w:val="24"/>
        </w:rPr>
        <w:t>providing</w:t>
      </w:r>
      <w:r w:rsidR="00954E0D" w:rsidRPr="00954E0D">
        <w:rPr>
          <w:sz w:val="24"/>
          <w:szCs w:val="24"/>
        </w:rPr>
        <w:t xml:space="preserve"> </w:t>
      </w:r>
      <w:r w:rsidR="00954E0D">
        <w:rPr>
          <w:sz w:val="24"/>
          <w:szCs w:val="24"/>
        </w:rPr>
        <w:t xml:space="preserve">more accurate </w:t>
      </w:r>
      <w:r w:rsidR="00954E0D" w:rsidRPr="00954E0D">
        <w:rPr>
          <w:sz w:val="24"/>
          <w:szCs w:val="24"/>
        </w:rPr>
        <w:t xml:space="preserve">data from which to adjust </w:t>
      </w:r>
      <w:r w:rsidR="00954E0D">
        <w:rPr>
          <w:sz w:val="24"/>
          <w:szCs w:val="24"/>
        </w:rPr>
        <w:t xml:space="preserve">the </w:t>
      </w:r>
      <w:r w:rsidR="00954E0D" w:rsidRPr="00954E0D">
        <w:rPr>
          <w:sz w:val="24"/>
          <w:szCs w:val="24"/>
        </w:rPr>
        <w:t>original burden estimates</w:t>
      </w:r>
      <w:r w:rsidR="00954E0D">
        <w:rPr>
          <w:sz w:val="24"/>
          <w:szCs w:val="24"/>
        </w:rPr>
        <w:t>.</w:t>
      </w:r>
    </w:p>
    <w:p w:rsidR="004D277D" w:rsidRDefault="004D277D" w:rsidP="00AE315E">
      <w:pPr>
        <w:rPr>
          <w:sz w:val="24"/>
          <w:szCs w:val="24"/>
        </w:rPr>
      </w:pPr>
    </w:p>
    <w:p w:rsidR="004D277D" w:rsidRDefault="004D277D" w:rsidP="004D277D">
      <w:pPr>
        <w:rPr>
          <w:sz w:val="24"/>
          <w:szCs w:val="24"/>
        </w:rPr>
      </w:pPr>
      <w:r w:rsidRPr="004D277D">
        <w:rPr>
          <w:sz w:val="24"/>
          <w:szCs w:val="24"/>
        </w:rPr>
        <w:t xml:space="preserve">The American lobster resource and fishery are cooperatively managed by the states and NMFS under the authority of the Atlantic Coastal Fisheries Cooperative Management Act, according to the framework </w:t>
      </w:r>
      <w:r w:rsidR="00032A33">
        <w:rPr>
          <w:sz w:val="24"/>
          <w:szCs w:val="24"/>
        </w:rPr>
        <w:t>established</w:t>
      </w:r>
      <w:r w:rsidRPr="004D277D">
        <w:rPr>
          <w:sz w:val="24"/>
          <w:szCs w:val="24"/>
        </w:rPr>
        <w:t xml:space="preserve"> by the Atlantic States Marine Fisheries Commission (ASMFC) in Amendment 3 of its Interstate Fishery Management Plan (ISFMP</w:t>
      </w:r>
      <w:r w:rsidR="00D44579">
        <w:rPr>
          <w:sz w:val="24"/>
          <w:szCs w:val="24"/>
        </w:rPr>
        <w:t xml:space="preserve"> (developed under the authority of the </w:t>
      </w:r>
      <w:hyperlink r:id="rId8" w:history="1">
        <w:r w:rsidR="00D44579" w:rsidRPr="00D44579">
          <w:rPr>
            <w:rStyle w:val="Hyperlink"/>
            <w:sz w:val="24"/>
            <w:szCs w:val="24"/>
          </w:rPr>
          <w:t>Magnuson-Stevens Fishery Conservation and Management Act</w:t>
        </w:r>
      </w:hyperlink>
      <w:r w:rsidR="00D44579">
        <w:rPr>
          <w:sz w:val="24"/>
          <w:szCs w:val="24"/>
        </w:rPr>
        <w:t xml:space="preserve"> (MSA)</w:t>
      </w:r>
      <w:r w:rsidRPr="004D277D">
        <w:rPr>
          <w:sz w:val="24"/>
          <w:szCs w:val="24"/>
        </w:rPr>
        <w:t>).  This collection of information is in response to several addenda to Amendment 3 of the ISFMP that work to reduce trap fishing effort through limited entry fishing and trap allocation limit reductions.  Th</w:t>
      </w:r>
      <w:r w:rsidR="003976D4">
        <w:rPr>
          <w:sz w:val="24"/>
          <w:szCs w:val="24"/>
        </w:rPr>
        <w:t>e Trap T</w:t>
      </w:r>
      <w:r w:rsidR="0045006F">
        <w:rPr>
          <w:sz w:val="24"/>
          <w:szCs w:val="24"/>
        </w:rPr>
        <w:t>ransfer</w:t>
      </w:r>
      <w:r w:rsidR="003976D4">
        <w:rPr>
          <w:sz w:val="24"/>
          <w:szCs w:val="24"/>
        </w:rPr>
        <w:t xml:space="preserve"> P</w:t>
      </w:r>
      <w:r w:rsidRPr="004D277D">
        <w:rPr>
          <w:sz w:val="24"/>
          <w:szCs w:val="24"/>
        </w:rPr>
        <w:t xml:space="preserve">rogram is intended to </w:t>
      </w:r>
      <w:r w:rsidR="0045006F">
        <w:rPr>
          <w:sz w:val="24"/>
          <w:szCs w:val="24"/>
        </w:rPr>
        <w:t>f</w:t>
      </w:r>
      <w:r w:rsidR="0045006F" w:rsidRPr="00BA71FF">
        <w:rPr>
          <w:sz w:val="24"/>
          <w:szCs w:val="24"/>
        </w:rPr>
        <w:t xml:space="preserve">oster economic flexibility for the lobster industry </w:t>
      </w:r>
      <w:r w:rsidR="0045006F">
        <w:rPr>
          <w:sz w:val="24"/>
          <w:szCs w:val="24"/>
        </w:rPr>
        <w:t>while</w:t>
      </w:r>
      <w:r w:rsidR="0045006F" w:rsidRPr="00BA71FF">
        <w:rPr>
          <w:sz w:val="24"/>
          <w:szCs w:val="24"/>
        </w:rPr>
        <w:t xml:space="preserve"> reduc</w:t>
      </w:r>
      <w:r w:rsidR="0045006F">
        <w:rPr>
          <w:sz w:val="24"/>
          <w:szCs w:val="24"/>
        </w:rPr>
        <w:t>ing</w:t>
      </w:r>
      <w:r w:rsidR="0045006F" w:rsidRPr="00BA71FF">
        <w:rPr>
          <w:sz w:val="24"/>
          <w:szCs w:val="24"/>
        </w:rPr>
        <w:t xml:space="preserve"> fishing effort on the American lobster resource</w:t>
      </w:r>
      <w:r w:rsidR="0045006F">
        <w:rPr>
          <w:sz w:val="24"/>
          <w:szCs w:val="24"/>
        </w:rPr>
        <w:t>.</w:t>
      </w:r>
    </w:p>
    <w:p w:rsidR="0045006F" w:rsidRDefault="0045006F" w:rsidP="004D277D">
      <w:pPr>
        <w:rPr>
          <w:sz w:val="24"/>
          <w:szCs w:val="24"/>
        </w:rPr>
      </w:pPr>
    </w:p>
    <w:p w:rsidR="00D80409" w:rsidRDefault="004D277D" w:rsidP="00D80409">
      <w:pPr>
        <w:rPr>
          <w:sz w:val="24"/>
          <w:szCs w:val="24"/>
          <w:highlight w:val="yellow"/>
        </w:rPr>
      </w:pPr>
      <w:r w:rsidRPr="004D277D">
        <w:rPr>
          <w:sz w:val="24"/>
          <w:szCs w:val="24"/>
        </w:rPr>
        <w:t>Currently, Federal lobster permit holders qualified to fish with trap gear in Lobster Conservation Management Areas 2 and 3 are undergoing scheduled annual trap allocation reductions of 5 percent per year until 2021 (Area 2) and 2020 (Area 3)</w:t>
      </w:r>
      <w:r w:rsidR="007A61BB">
        <w:rPr>
          <w:sz w:val="24"/>
          <w:szCs w:val="24"/>
        </w:rPr>
        <w:t xml:space="preserve"> from recommendations in Addendum </w:t>
      </w:r>
      <w:r w:rsidR="007A61BB" w:rsidRPr="007A61BB">
        <w:rPr>
          <w:sz w:val="24"/>
          <w:szCs w:val="24"/>
        </w:rPr>
        <w:t>XVIII</w:t>
      </w:r>
      <w:r w:rsidR="007A61BB" w:rsidRPr="007A61BB">
        <w:t xml:space="preserve"> </w:t>
      </w:r>
      <w:r w:rsidR="007A61BB" w:rsidRPr="007A61BB">
        <w:rPr>
          <w:sz w:val="24"/>
          <w:szCs w:val="24"/>
        </w:rPr>
        <w:t>to Amendment 3 of the ISFMP</w:t>
      </w:r>
      <w:r w:rsidRPr="004D277D">
        <w:rPr>
          <w:sz w:val="24"/>
          <w:szCs w:val="24"/>
        </w:rPr>
        <w:t xml:space="preserve">.  In 2015, in an effort to help mitigate the initial economic burden of these reductions, NMFS and state agencies implemented the Lobster Trap Transfer Program that allows all qualified Federal lobster permit holders to buy and sell trap allocation from Areas 2, 3, or Outer Cape Cod.  </w:t>
      </w:r>
      <w:r w:rsidR="004F2CDD" w:rsidRPr="004F2CDD">
        <w:rPr>
          <w:sz w:val="24"/>
          <w:szCs w:val="24"/>
        </w:rPr>
        <w:t>Through the program,</w:t>
      </w:r>
      <w:r w:rsidR="00D80409" w:rsidRPr="004F2CDD">
        <w:rPr>
          <w:sz w:val="24"/>
          <w:szCs w:val="24"/>
        </w:rPr>
        <w:t xml:space="preserve"> </w:t>
      </w:r>
      <w:r w:rsidR="004F2CDD" w:rsidRPr="004F2CDD">
        <w:rPr>
          <w:sz w:val="24"/>
          <w:szCs w:val="24"/>
        </w:rPr>
        <w:t>any</w:t>
      </w:r>
      <w:r w:rsidR="00D80409" w:rsidRPr="004F2CDD">
        <w:rPr>
          <w:sz w:val="24"/>
          <w:szCs w:val="24"/>
        </w:rPr>
        <w:t xml:space="preserve"> Federal lobster permit holders </w:t>
      </w:r>
      <w:r w:rsidR="004F2CDD" w:rsidRPr="004F2CDD">
        <w:rPr>
          <w:sz w:val="24"/>
          <w:szCs w:val="24"/>
        </w:rPr>
        <w:t>(regardless of prior area qualifications) may</w:t>
      </w:r>
      <w:r w:rsidR="00D80409" w:rsidRPr="004F2CDD">
        <w:rPr>
          <w:sz w:val="24"/>
          <w:szCs w:val="24"/>
        </w:rPr>
        <w:t xml:space="preserve"> </w:t>
      </w:r>
      <w:r w:rsidR="004F2CDD" w:rsidRPr="004F2CDD">
        <w:rPr>
          <w:sz w:val="24"/>
          <w:szCs w:val="24"/>
        </w:rPr>
        <w:t>purchase all or part of an</w:t>
      </w:r>
      <w:r w:rsidR="00D80409" w:rsidRPr="004F2CDD">
        <w:rPr>
          <w:sz w:val="24"/>
          <w:szCs w:val="24"/>
        </w:rPr>
        <w:t xml:space="preserve"> Area 2, Area 3, </w:t>
      </w:r>
      <w:r w:rsidR="004F2CDD" w:rsidRPr="004F2CDD">
        <w:rPr>
          <w:sz w:val="24"/>
          <w:szCs w:val="24"/>
        </w:rPr>
        <w:t>and/or</w:t>
      </w:r>
      <w:r w:rsidR="00D80409" w:rsidRPr="004F2CDD">
        <w:rPr>
          <w:sz w:val="24"/>
          <w:szCs w:val="24"/>
        </w:rPr>
        <w:t xml:space="preserve"> Outer Cape Area </w:t>
      </w:r>
      <w:r w:rsidR="004F2CDD" w:rsidRPr="004F2CDD">
        <w:rPr>
          <w:sz w:val="24"/>
          <w:szCs w:val="24"/>
        </w:rPr>
        <w:t xml:space="preserve">trap allocation from eligible permit holders; </w:t>
      </w:r>
      <w:r w:rsidR="00D80409" w:rsidRPr="004F2CDD">
        <w:rPr>
          <w:sz w:val="24"/>
          <w:szCs w:val="24"/>
        </w:rPr>
        <w:t xml:space="preserve">and those with qualified permits for </w:t>
      </w:r>
      <w:r w:rsidR="004F2CDD" w:rsidRPr="004F2CDD">
        <w:rPr>
          <w:sz w:val="24"/>
          <w:szCs w:val="24"/>
        </w:rPr>
        <w:t xml:space="preserve">any of </w:t>
      </w:r>
      <w:r w:rsidR="00D80409" w:rsidRPr="004F2CDD">
        <w:rPr>
          <w:sz w:val="24"/>
          <w:szCs w:val="24"/>
        </w:rPr>
        <w:t xml:space="preserve">these three areas </w:t>
      </w:r>
      <w:r w:rsidR="004F2CDD" w:rsidRPr="004F2CDD">
        <w:rPr>
          <w:sz w:val="24"/>
          <w:szCs w:val="24"/>
        </w:rPr>
        <w:t>may</w:t>
      </w:r>
      <w:r w:rsidR="00D80409" w:rsidRPr="004F2CDD">
        <w:rPr>
          <w:sz w:val="24"/>
          <w:szCs w:val="24"/>
        </w:rPr>
        <w:t xml:space="preserve"> sell and buy traps to scale their businesses to an optimal size.</w:t>
      </w:r>
      <w:r w:rsidR="00D80409">
        <w:rPr>
          <w:sz w:val="24"/>
          <w:szCs w:val="24"/>
        </w:rPr>
        <w:t xml:space="preserve">  </w:t>
      </w:r>
      <w:r w:rsidRPr="004D277D">
        <w:rPr>
          <w:sz w:val="24"/>
          <w:szCs w:val="24"/>
        </w:rPr>
        <w:t xml:space="preserve">Each transaction includes a conservation tax of 10 percent, which </w:t>
      </w:r>
      <w:r w:rsidR="00D96826">
        <w:rPr>
          <w:sz w:val="24"/>
          <w:szCs w:val="24"/>
        </w:rPr>
        <w:t>removes</w:t>
      </w:r>
      <w:r w:rsidRPr="004D277D">
        <w:rPr>
          <w:sz w:val="24"/>
          <w:szCs w:val="24"/>
        </w:rPr>
        <w:t xml:space="preserve"> </w:t>
      </w:r>
      <w:r w:rsidR="00D96826">
        <w:rPr>
          <w:sz w:val="24"/>
          <w:szCs w:val="24"/>
        </w:rPr>
        <w:t xml:space="preserve">the </w:t>
      </w:r>
      <w:r w:rsidRPr="004D277D">
        <w:rPr>
          <w:sz w:val="24"/>
          <w:szCs w:val="24"/>
        </w:rPr>
        <w:t xml:space="preserve">number of traps equal to 10 percent of the total traps </w:t>
      </w:r>
      <w:r w:rsidR="004F2CDD">
        <w:rPr>
          <w:sz w:val="24"/>
          <w:szCs w:val="24"/>
        </w:rPr>
        <w:t>in the</w:t>
      </w:r>
      <w:r w:rsidRPr="004D277D">
        <w:rPr>
          <w:sz w:val="24"/>
          <w:szCs w:val="24"/>
        </w:rPr>
        <w:t xml:space="preserve"> transfer permanently from the fishery.</w:t>
      </w:r>
      <w:r w:rsidR="00D80409" w:rsidRPr="00032A33">
        <w:rPr>
          <w:sz w:val="24"/>
          <w:szCs w:val="24"/>
        </w:rPr>
        <w:t xml:space="preserve"> </w:t>
      </w:r>
      <w:r w:rsidR="00DB41E7">
        <w:rPr>
          <w:sz w:val="24"/>
          <w:szCs w:val="24"/>
        </w:rPr>
        <w:t xml:space="preserve"> </w:t>
      </w:r>
      <w:r w:rsidR="00D80409" w:rsidRPr="00E05823">
        <w:rPr>
          <w:sz w:val="24"/>
          <w:szCs w:val="24"/>
        </w:rPr>
        <w:t>These traps would be debited from the overall number of fishable traps for the associated lobster trap area</w:t>
      </w:r>
      <w:r w:rsidR="00E05823" w:rsidRPr="00E05823">
        <w:rPr>
          <w:sz w:val="24"/>
          <w:szCs w:val="24"/>
        </w:rPr>
        <w:t>,</w:t>
      </w:r>
      <w:r w:rsidR="00D80409" w:rsidRPr="00E05823">
        <w:rPr>
          <w:sz w:val="24"/>
          <w:szCs w:val="24"/>
        </w:rPr>
        <w:t xml:space="preserve"> </w:t>
      </w:r>
      <w:r w:rsidR="00E05823" w:rsidRPr="00E05823">
        <w:rPr>
          <w:sz w:val="24"/>
          <w:szCs w:val="24"/>
        </w:rPr>
        <w:t>as well as the lobster fishery as a whole</w:t>
      </w:r>
      <w:r w:rsidR="00D80409" w:rsidRPr="00E05823">
        <w:rPr>
          <w:sz w:val="24"/>
          <w:szCs w:val="24"/>
        </w:rPr>
        <w:t>, thereby reducing the overall number of fishable traps</w:t>
      </w:r>
      <w:r w:rsidR="00E05823" w:rsidRPr="00E05823">
        <w:rPr>
          <w:sz w:val="24"/>
          <w:szCs w:val="24"/>
        </w:rPr>
        <w:t xml:space="preserve"> in the water</w:t>
      </w:r>
      <w:r w:rsidR="00D80409" w:rsidRPr="00E05823">
        <w:rPr>
          <w:sz w:val="24"/>
          <w:szCs w:val="24"/>
        </w:rPr>
        <w:t>.</w:t>
      </w:r>
      <w:r w:rsidR="00A17526" w:rsidRPr="00E05823">
        <w:rPr>
          <w:sz w:val="24"/>
          <w:szCs w:val="24"/>
        </w:rPr>
        <w:t xml:space="preserve"> </w:t>
      </w:r>
      <w:r w:rsidR="00E05823">
        <w:rPr>
          <w:sz w:val="24"/>
          <w:szCs w:val="24"/>
        </w:rPr>
        <w:t xml:space="preserve"> </w:t>
      </w:r>
      <w:r w:rsidR="00A17526" w:rsidRPr="00E05823">
        <w:rPr>
          <w:sz w:val="24"/>
          <w:szCs w:val="24"/>
        </w:rPr>
        <w:t xml:space="preserve">This concept is consistent with the </w:t>
      </w:r>
      <w:r w:rsidR="004742A3" w:rsidRPr="004742A3">
        <w:rPr>
          <w:sz w:val="24"/>
          <w:szCs w:val="24"/>
        </w:rPr>
        <w:t>ISFMP</w:t>
      </w:r>
      <w:r w:rsidR="00A17526" w:rsidRPr="00E05823">
        <w:rPr>
          <w:sz w:val="24"/>
          <w:szCs w:val="24"/>
        </w:rPr>
        <w:t>, which includes the conservation tax as an additional means of controlling effort in the fishery.</w:t>
      </w:r>
    </w:p>
    <w:p w:rsidR="001C09BC" w:rsidRDefault="001C09BC" w:rsidP="00D80409">
      <w:pPr>
        <w:rPr>
          <w:sz w:val="24"/>
          <w:szCs w:val="24"/>
          <w:highlight w:val="yellow"/>
        </w:rPr>
      </w:pPr>
    </w:p>
    <w:p w:rsidR="00D44579" w:rsidRDefault="00D44579" w:rsidP="008371B6">
      <w:pPr>
        <w:rPr>
          <w:sz w:val="24"/>
          <w:szCs w:val="24"/>
        </w:rPr>
      </w:pPr>
    </w:p>
    <w:p w:rsidR="008371B6" w:rsidRPr="004F2CDD" w:rsidRDefault="001C09BC" w:rsidP="008371B6">
      <w:pPr>
        <w:rPr>
          <w:sz w:val="24"/>
          <w:szCs w:val="24"/>
        </w:rPr>
      </w:pPr>
      <w:r>
        <w:rPr>
          <w:sz w:val="24"/>
          <w:szCs w:val="24"/>
        </w:rPr>
        <w:lastRenderedPageBreak/>
        <w:t xml:space="preserve">This collection of information will allow NMFS to </w:t>
      </w:r>
      <w:r w:rsidR="001116EE">
        <w:rPr>
          <w:sz w:val="24"/>
          <w:szCs w:val="24"/>
        </w:rPr>
        <w:t xml:space="preserve">continue to </w:t>
      </w:r>
      <w:r>
        <w:rPr>
          <w:sz w:val="24"/>
          <w:szCs w:val="24"/>
        </w:rPr>
        <w:t>obtain data from Federal lobster permit holders on a voluntary basis</w:t>
      </w:r>
      <w:r w:rsidR="004F2CDD">
        <w:rPr>
          <w:sz w:val="24"/>
          <w:szCs w:val="24"/>
        </w:rPr>
        <w:t xml:space="preserve"> every year</w:t>
      </w:r>
      <w:r w:rsidR="001116EE">
        <w:rPr>
          <w:sz w:val="24"/>
          <w:szCs w:val="24"/>
        </w:rPr>
        <w:t xml:space="preserve"> in the form of an application</w:t>
      </w:r>
      <w:r w:rsidR="0070104F">
        <w:rPr>
          <w:sz w:val="24"/>
          <w:szCs w:val="24"/>
        </w:rPr>
        <w:t xml:space="preserve"> form</w:t>
      </w:r>
      <w:r w:rsidR="001116EE">
        <w:rPr>
          <w:sz w:val="24"/>
          <w:szCs w:val="24"/>
        </w:rPr>
        <w:t xml:space="preserve"> to transfer traps through the </w:t>
      </w:r>
      <w:r w:rsidR="007F5D1B">
        <w:rPr>
          <w:sz w:val="24"/>
          <w:szCs w:val="24"/>
        </w:rPr>
        <w:t>a</w:t>
      </w:r>
      <w:r w:rsidR="001116EE">
        <w:rPr>
          <w:sz w:val="24"/>
          <w:szCs w:val="24"/>
        </w:rPr>
        <w:t>nnual Trap Transfer Program</w:t>
      </w:r>
      <w:r>
        <w:rPr>
          <w:sz w:val="24"/>
          <w:szCs w:val="24"/>
        </w:rPr>
        <w:t>.</w:t>
      </w:r>
      <w:r w:rsidR="0070104F">
        <w:rPr>
          <w:sz w:val="24"/>
          <w:szCs w:val="24"/>
        </w:rPr>
        <w:t xml:space="preserve">  Applications are only accepted during a 2-month period each year </w:t>
      </w:r>
      <w:r w:rsidR="0070104F" w:rsidRPr="0070104F">
        <w:rPr>
          <w:sz w:val="24"/>
          <w:szCs w:val="24"/>
        </w:rPr>
        <w:t>(August 1</w:t>
      </w:r>
      <w:r w:rsidR="0070104F">
        <w:rPr>
          <w:sz w:val="24"/>
          <w:szCs w:val="24"/>
        </w:rPr>
        <w:t xml:space="preserve"> - </w:t>
      </w:r>
      <w:r w:rsidR="0070104F" w:rsidRPr="0070104F">
        <w:rPr>
          <w:sz w:val="24"/>
          <w:szCs w:val="24"/>
        </w:rPr>
        <w:t>September 30)</w:t>
      </w:r>
      <w:r w:rsidR="0070104F">
        <w:rPr>
          <w:sz w:val="24"/>
          <w:szCs w:val="24"/>
        </w:rPr>
        <w:t xml:space="preserve">, and the revised allocations for </w:t>
      </w:r>
      <w:r w:rsidR="0070104F" w:rsidRPr="0070104F">
        <w:rPr>
          <w:sz w:val="24"/>
          <w:szCs w:val="24"/>
        </w:rPr>
        <w:t>each participating lobster permit resulting from the transfers become effective at the start of the following Federal l</w:t>
      </w:r>
      <w:r w:rsidR="0070104F">
        <w:rPr>
          <w:sz w:val="24"/>
          <w:szCs w:val="24"/>
        </w:rPr>
        <w:t>obster fishing year, on May 1.</w:t>
      </w:r>
      <w:r w:rsidR="0070104F" w:rsidRPr="0070104F">
        <w:t xml:space="preserve"> </w:t>
      </w:r>
      <w:r w:rsidR="0070104F">
        <w:t xml:space="preserve"> </w:t>
      </w:r>
      <w:r w:rsidR="0070104F" w:rsidRPr="0070104F">
        <w:rPr>
          <w:sz w:val="24"/>
          <w:szCs w:val="24"/>
        </w:rPr>
        <w:t>Both t</w:t>
      </w:r>
      <w:r w:rsidR="0093579B">
        <w:rPr>
          <w:sz w:val="24"/>
          <w:szCs w:val="24"/>
        </w:rPr>
        <w:t>he seller and buyer of the trap allocation</w:t>
      </w:r>
      <w:r w:rsidR="0070104F" w:rsidRPr="0070104F">
        <w:rPr>
          <w:sz w:val="24"/>
          <w:szCs w:val="24"/>
        </w:rPr>
        <w:t xml:space="preserve"> must sign and date the form as an agreement to the number of traps in the transfer; as well as clearly show that the transferring permit holder has sufficient allocation to transfer and the permit holder receiving the traps has sufficient room under any applicable trap cap.  </w:t>
      </w:r>
      <w:r w:rsidR="004D277D" w:rsidRPr="0070104F">
        <w:rPr>
          <w:sz w:val="24"/>
          <w:szCs w:val="24"/>
        </w:rPr>
        <w:t xml:space="preserve">This information allows NMFS to process and track transfers of </w:t>
      </w:r>
      <w:r w:rsidR="0070104F" w:rsidRPr="0070104F">
        <w:rPr>
          <w:sz w:val="24"/>
          <w:szCs w:val="24"/>
        </w:rPr>
        <w:t>traps</w:t>
      </w:r>
      <w:r w:rsidR="004D277D" w:rsidRPr="0070104F">
        <w:rPr>
          <w:sz w:val="24"/>
          <w:szCs w:val="24"/>
        </w:rPr>
        <w:t xml:space="preserve"> through the Trap Transfer Program, and better enables the monitoring and management of the American lobster fishery as a whole.</w:t>
      </w:r>
    </w:p>
    <w:p w:rsidR="008371B6" w:rsidRPr="008371B6" w:rsidRDefault="008371B6" w:rsidP="008371B6">
      <w:pPr>
        <w:rPr>
          <w:sz w:val="24"/>
          <w:szCs w:val="24"/>
          <w:highlight w:val="yellow"/>
        </w:rPr>
      </w:pPr>
    </w:p>
    <w:p w:rsidR="008371B6" w:rsidRDefault="008371B6" w:rsidP="008371B6">
      <w:pPr>
        <w:rPr>
          <w:sz w:val="24"/>
          <w:szCs w:val="24"/>
        </w:rPr>
      </w:pPr>
      <w:r w:rsidRPr="00A86C9B">
        <w:rPr>
          <w:sz w:val="24"/>
          <w:szCs w:val="24"/>
        </w:rPr>
        <w:t xml:space="preserve">The Atlantic Coastal Act authorizes NMFS to regulate lobster in Federal waters in cooperation with the </w:t>
      </w:r>
      <w:r w:rsidR="00324488" w:rsidRPr="00A86C9B">
        <w:rPr>
          <w:sz w:val="24"/>
          <w:szCs w:val="24"/>
        </w:rPr>
        <w:t>ASMFC</w:t>
      </w:r>
      <w:r w:rsidRPr="00A86C9B">
        <w:rPr>
          <w:sz w:val="24"/>
          <w:szCs w:val="24"/>
        </w:rPr>
        <w:t xml:space="preserve"> through </w:t>
      </w:r>
      <w:r w:rsidR="00324488" w:rsidRPr="00A86C9B">
        <w:rPr>
          <w:sz w:val="24"/>
          <w:szCs w:val="24"/>
        </w:rPr>
        <w:t xml:space="preserve">implementation of the </w:t>
      </w:r>
      <w:r w:rsidR="0093579B" w:rsidRPr="0093579B">
        <w:rPr>
          <w:sz w:val="24"/>
          <w:szCs w:val="24"/>
        </w:rPr>
        <w:t>ISFMP</w:t>
      </w:r>
      <w:r w:rsidRPr="00A86C9B">
        <w:rPr>
          <w:sz w:val="24"/>
          <w:szCs w:val="24"/>
        </w:rPr>
        <w:t xml:space="preserve">.  The </w:t>
      </w:r>
      <w:r w:rsidR="004742A3" w:rsidRPr="004742A3">
        <w:rPr>
          <w:sz w:val="24"/>
          <w:szCs w:val="24"/>
        </w:rPr>
        <w:t>ISFMP</w:t>
      </w:r>
      <w:r w:rsidRPr="00A86C9B">
        <w:rPr>
          <w:sz w:val="24"/>
          <w:szCs w:val="24"/>
        </w:rPr>
        <w:t xml:space="preserve"> requires that states implement regulations in support of the </w:t>
      </w:r>
      <w:r w:rsidR="0093579B">
        <w:rPr>
          <w:sz w:val="24"/>
          <w:szCs w:val="24"/>
        </w:rPr>
        <w:t xml:space="preserve">lobster management </w:t>
      </w:r>
      <w:r w:rsidRPr="00A86C9B">
        <w:rPr>
          <w:sz w:val="24"/>
          <w:szCs w:val="24"/>
        </w:rPr>
        <w:t xml:space="preserve">plan and recommends that NMFS implement complementary regulations in Federal waters.  The majority of the lobster fishery occurs in state waters and most Federal lobster permit holders also hold a state lobster license.  </w:t>
      </w:r>
      <w:r w:rsidR="00324488" w:rsidRPr="00A86C9B">
        <w:rPr>
          <w:sz w:val="24"/>
          <w:szCs w:val="24"/>
        </w:rPr>
        <w:t xml:space="preserve">To coordinate the trap transfer effort between NMFS and the states, a joint interjurisdictional trap transfer </w:t>
      </w:r>
      <w:r w:rsidR="009E7086">
        <w:rPr>
          <w:sz w:val="24"/>
          <w:szCs w:val="24"/>
        </w:rPr>
        <w:t>database was developed for the Trap Transfer P</w:t>
      </w:r>
      <w:r w:rsidR="00324488" w:rsidRPr="00A86C9B">
        <w:rPr>
          <w:sz w:val="24"/>
          <w:szCs w:val="24"/>
        </w:rPr>
        <w:t xml:space="preserve">rogram </w:t>
      </w:r>
      <w:r w:rsidR="00A86C9B" w:rsidRPr="00A86C9B">
        <w:rPr>
          <w:sz w:val="24"/>
          <w:szCs w:val="24"/>
        </w:rPr>
        <w:t xml:space="preserve">that is cooperatively managed by both NMFS and state agencies.  All trap transfer applications </w:t>
      </w:r>
      <w:r w:rsidR="0093579B">
        <w:rPr>
          <w:sz w:val="24"/>
          <w:szCs w:val="24"/>
        </w:rPr>
        <w:t>are</w:t>
      </w:r>
      <w:r w:rsidR="00A86C9B" w:rsidRPr="00A86C9B">
        <w:rPr>
          <w:sz w:val="24"/>
          <w:szCs w:val="24"/>
        </w:rPr>
        <w:t xml:space="preserve"> processed through this joint database and must be approved by both NMFS and the corresponding state, with special attention given to those transaction</w:t>
      </w:r>
      <w:r w:rsidR="0093579B">
        <w:rPr>
          <w:sz w:val="24"/>
          <w:szCs w:val="24"/>
        </w:rPr>
        <w:t>s</w:t>
      </w:r>
      <w:r w:rsidR="00A86C9B" w:rsidRPr="00A86C9B">
        <w:rPr>
          <w:sz w:val="24"/>
          <w:szCs w:val="24"/>
        </w:rPr>
        <w:t xml:space="preserve"> involving “dual” permit holders with both state and Federal trap allocation.  </w:t>
      </w:r>
      <w:r w:rsidR="00EF6642" w:rsidRPr="00A86C9B">
        <w:rPr>
          <w:sz w:val="24"/>
          <w:szCs w:val="24"/>
        </w:rPr>
        <w:t xml:space="preserve">Working cooperatively with </w:t>
      </w:r>
      <w:r w:rsidR="00D80409" w:rsidRPr="00A86C9B">
        <w:rPr>
          <w:sz w:val="24"/>
          <w:szCs w:val="24"/>
        </w:rPr>
        <w:t xml:space="preserve">the </w:t>
      </w:r>
      <w:r w:rsidR="00EF6642" w:rsidRPr="00A86C9B">
        <w:rPr>
          <w:sz w:val="24"/>
          <w:szCs w:val="24"/>
        </w:rPr>
        <w:t>state</w:t>
      </w:r>
      <w:r w:rsidR="00D80409" w:rsidRPr="00A86C9B">
        <w:rPr>
          <w:sz w:val="24"/>
          <w:szCs w:val="24"/>
        </w:rPr>
        <w:t>s</w:t>
      </w:r>
      <w:r w:rsidRPr="00A86C9B">
        <w:rPr>
          <w:sz w:val="24"/>
          <w:szCs w:val="24"/>
        </w:rPr>
        <w:t xml:space="preserve"> </w:t>
      </w:r>
      <w:r w:rsidR="00D80409" w:rsidRPr="00A86C9B">
        <w:rPr>
          <w:sz w:val="24"/>
          <w:szCs w:val="24"/>
        </w:rPr>
        <w:t xml:space="preserve">and sharing a joint trap transfer database </w:t>
      </w:r>
      <w:r w:rsidRPr="00A86C9B">
        <w:rPr>
          <w:sz w:val="24"/>
          <w:szCs w:val="24"/>
        </w:rPr>
        <w:t>prevent</w:t>
      </w:r>
      <w:r w:rsidR="00D80409" w:rsidRPr="00A86C9B">
        <w:rPr>
          <w:sz w:val="24"/>
          <w:szCs w:val="24"/>
        </w:rPr>
        <w:t>s disconnect</w:t>
      </w:r>
      <w:r w:rsidRPr="00A86C9B">
        <w:rPr>
          <w:sz w:val="24"/>
          <w:szCs w:val="24"/>
        </w:rPr>
        <w:t xml:space="preserve"> between a state and Federal </w:t>
      </w:r>
      <w:r w:rsidR="00D80409" w:rsidRPr="00A86C9B">
        <w:rPr>
          <w:sz w:val="24"/>
          <w:szCs w:val="24"/>
        </w:rPr>
        <w:t xml:space="preserve">trap </w:t>
      </w:r>
      <w:r w:rsidR="00EF6642" w:rsidRPr="00A86C9B">
        <w:rPr>
          <w:sz w:val="24"/>
          <w:szCs w:val="24"/>
        </w:rPr>
        <w:t>allocations and transfer agreements (especially for dual st</w:t>
      </w:r>
      <w:r w:rsidR="00D80409" w:rsidRPr="00A86C9B">
        <w:rPr>
          <w:sz w:val="24"/>
          <w:szCs w:val="24"/>
        </w:rPr>
        <w:t>ate and Federal permit holders),</w:t>
      </w:r>
      <w:r w:rsidRPr="00A86C9B">
        <w:rPr>
          <w:sz w:val="24"/>
          <w:szCs w:val="24"/>
        </w:rPr>
        <w:t xml:space="preserve"> </w:t>
      </w:r>
      <w:r w:rsidR="00D80409" w:rsidRPr="00A86C9B">
        <w:rPr>
          <w:sz w:val="24"/>
          <w:szCs w:val="24"/>
        </w:rPr>
        <w:t>and fosters a supportive environment between agencies.  This simplifies the overall transfer process, and helps all parties maintain accurate data for their records and management</w:t>
      </w:r>
      <w:r w:rsidR="00153710">
        <w:rPr>
          <w:sz w:val="24"/>
          <w:szCs w:val="24"/>
        </w:rPr>
        <w:t>.</w:t>
      </w:r>
    </w:p>
    <w:p w:rsidR="00153710" w:rsidRDefault="00153710" w:rsidP="008371B6">
      <w:pPr>
        <w:rPr>
          <w:sz w:val="24"/>
          <w:szCs w:val="24"/>
        </w:rPr>
      </w:pPr>
    </w:p>
    <w:p w:rsidR="00153710" w:rsidRPr="00A86C9B" w:rsidRDefault="00153710" w:rsidP="008371B6">
      <w:pPr>
        <w:rPr>
          <w:sz w:val="24"/>
          <w:szCs w:val="24"/>
        </w:rPr>
      </w:pPr>
      <w:r>
        <w:rPr>
          <w:sz w:val="24"/>
          <w:szCs w:val="24"/>
        </w:rPr>
        <w:t>The Trap Transfer</w:t>
      </w:r>
      <w:r w:rsidR="0093579B">
        <w:rPr>
          <w:sz w:val="24"/>
          <w:szCs w:val="24"/>
        </w:rPr>
        <w:t xml:space="preserve"> Program </w:t>
      </w:r>
      <w:r>
        <w:rPr>
          <w:sz w:val="24"/>
          <w:szCs w:val="24"/>
        </w:rPr>
        <w:t xml:space="preserve">officially began in 2015, and has now been conducted for two years, with over 100 trap transfers processed for lobster permit holders across all three </w:t>
      </w:r>
      <w:r w:rsidR="00032A33">
        <w:rPr>
          <w:sz w:val="24"/>
          <w:szCs w:val="24"/>
        </w:rPr>
        <w:t>applicable</w:t>
      </w:r>
      <w:r>
        <w:rPr>
          <w:sz w:val="24"/>
          <w:szCs w:val="24"/>
        </w:rPr>
        <w:t xml:space="preserve"> areas.  </w:t>
      </w:r>
      <w:r w:rsidR="000428E3" w:rsidRPr="000428E3">
        <w:rPr>
          <w:sz w:val="24"/>
          <w:szCs w:val="24"/>
        </w:rPr>
        <w:t>Th</w:t>
      </w:r>
      <w:r w:rsidR="000428E3">
        <w:rPr>
          <w:sz w:val="24"/>
          <w:szCs w:val="24"/>
        </w:rPr>
        <w:t>is program is a part of further</w:t>
      </w:r>
      <w:r w:rsidR="000428E3" w:rsidRPr="000428E3">
        <w:rPr>
          <w:sz w:val="24"/>
          <w:szCs w:val="24"/>
        </w:rPr>
        <w:t xml:space="preserve"> management measures </w:t>
      </w:r>
      <w:r w:rsidR="000428E3">
        <w:rPr>
          <w:sz w:val="24"/>
          <w:szCs w:val="24"/>
        </w:rPr>
        <w:t xml:space="preserve">that </w:t>
      </w:r>
      <w:r w:rsidR="000428E3" w:rsidRPr="000428E3">
        <w:rPr>
          <w:sz w:val="24"/>
          <w:szCs w:val="24"/>
        </w:rPr>
        <w:t>seek to promote economic efficiency within the fishery while maintaining existing social and cultural features of the industry where possible</w:t>
      </w:r>
      <w:r w:rsidR="000428E3">
        <w:rPr>
          <w:sz w:val="24"/>
          <w:szCs w:val="24"/>
        </w:rPr>
        <w:t xml:space="preserve">.  </w:t>
      </w:r>
      <w:r>
        <w:rPr>
          <w:sz w:val="24"/>
          <w:szCs w:val="24"/>
        </w:rPr>
        <w:t xml:space="preserve">It is important to maintain this program on an annual basis </w:t>
      </w:r>
      <w:r w:rsidR="000428E3">
        <w:rPr>
          <w:sz w:val="24"/>
          <w:szCs w:val="24"/>
        </w:rPr>
        <w:t>in order to</w:t>
      </w:r>
      <w:r>
        <w:rPr>
          <w:sz w:val="24"/>
          <w:szCs w:val="24"/>
        </w:rPr>
        <w:t xml:space="preserve"> continue to allow permit holders to mitigate the stress caused by scheduled trap reductions and maximize economic flexibility</w:t>
      </w:r>
      <w:r w:rsidR="000428E3">
        <w:rPr>
          <w:sz w:val="24"/>
          <w:szCs w:val="24"/>
        </w:rPr>
        <w:t xml:space="preserve">; </w:t>
      </w:r>
      <w:r w:rsidR="000428E3" w:rsidRPr="00771E34">
        <w:rPr>
          <w:sz w:val="24"/>
          <w:szCs w:val="24"/>
        </w:rPr>
        <w:t>while also realizing the</w:t>
      </w:r>
      <w:r w:rsidRPr="00771E34">
        <w:rPr>
          <w:sz w:val="24"/>
          <w:szCs w:val="24"/>
        </w:rPr>
        <w:t xml:space="preserve"> </w:t>
      </w:r>
      <w:r w:rsidR="000428E3" w:rsidRPr="00771E34">
        <w:rPr>
          <w:sz w:val="24"/>
          <w:szCs w:val="24"/>
        </w:rPr>
        <w:t xml:space="preserve">conservation benefits that </w:t>
      </w:r>
      <w:r w:rsidR="00647EC0" w:rsidRPr="00771E34">
        <w:rPr>
          <w:sz w:val="24"/>
          <w:szCs w:val="24"/>
        </w:rPr>
        <w:t xml:space="preserve">result from the transfer tax, </w:t>
      </w:r>
      <w:r w:rsidR="000428E3" w:rsidRPr="00771E34">
        <w:rPr>
          <w:sz w:val="24"/>
          <w:szCs w:val="24"/>
        </w:rPr>
        <w:t>and</w:t>
      </w:r>
      <w:r w:rsidRPr="00771E34">
        <w:rPr>
          <w:sz w:val="24"/>
          <w:szCs w:val="24"/>
        </w:rPr>
        <w:t xml:space="preserve"> keep the </w:t>
      </w:r>
      <w:r w:rsidR="000428E3" w:rsidRPr="00771E34">
        <w:rPr>
          <w:sz w:val="24"/>
          <w:szCs w:val="24"/>
        </w:rPr>
        <w:t xml:space="preserve">American </w:t>
      </w:r>
      <w:r w:rsidR="00CF325C" w:rsidRPr="00771E34">
        <w:rPr>
          <w:sz w:val="24"/>
          <w:szCs w:val="24"/>
        </w:rPr>
        <w:t>lobster industry sustainable.</w:t>
      </w:r>
    </w:p>
    <w:p w:rsidR="00CF325C" w:rsidRPr="00A86C9B" w:rsidRDefault="00CF325C">
      <w:pPr>
        <w:rPr>
          <w:sz w:val="24"/>
          <w:szCs w:val="24"/>
        </w:rPr>
      </w:pPr>
    </w:p>
    <w:p w:rsidR="004F26E9" w:rsidRDefault="004F26E9">
      <w:pPr>
        <w:rPr>
          <w:sz w:val="24"/>
          <w:szCs w:val="24"/>
        </w:rPr>
      </w:pPr>
      <w:r w:rsidRPr="00A86C9B">
        <w:rPr>
          <w:b/>
          <w:bCs/>
          <w:sz w:val="24"/>
          <w:szCs w:val="24"/>
        </w:rPr>
        <w:t xml:space="preserve">2.  </w:t>
      </w:r>
      <w:r w:rsidRPr="00A86C9B">
        <w:rPr>
          <w:szCs w:val="24"/>
          <w:lang w:val="en-CA"/>
        </w:rPr>
        <w:fldChar w:fldCharType="begin"/>
      </w:r>
      <w:r w:rsidRPr="00A86C9B">
        <w:rPr>
          <w:szCs w:val="24"/>
          <w:lang w:val="en-CA"/>
        </w:rPr>
        <w:instrText xml:space="preserve"> SEQ CHAPTER \h \r 1</w:instrText>
      </w:r>
      <w:r w:rsidRPr="00A86C9B">
        <w:rPr>
          <w:szCs w:val="24"/>
          <w:lang w:val="en-CA"/>
        </w:rPr>
        <w:fldChar w:fldCharType="end"/>
      </w:r>
      <w:r w:rsidRPr="00A86C9B">
        <w:rPr>
          <w:b/>
          <w:bCs/>
          <w:sz w:val="24"/>
          <w:szCs w:val="24"/>
          <w:u w:val="single"/>
        </w:rPr>
        <w:t xml:space="preserve">Explain how, by whom, how frequently, and for what purpose the information will be used.  </w:t>
      </w:r>
      <w:r w:rsidRPr="00A86C9B">
        <w:rPr>
          <w:szCs w:val="24"/>
          <w:lang w:val="en-CA"/>
        </w:rPr>
        <w:fldChar w:fldCharType="begin"/>
      </w:r>
      <w:r w:rsidRPr="00A86C9B">
        <w:rPr>
          <w:szCs w:val="24"/>
          <w:lang w:val="en-CA"/>
        </w:rPr>
        <w:instrText xml:space="preserve"> SEQ CHAPTER \h \r 1</w:instrText>
      </w:r>
      <w:r w:rsidRPr="00A86C9B">
        <w:rPr>
          <w:szCs w:val="24"/>
          <w:lang w:val="en-CA"/>
        </w:rPr>
        <w:fldChar w:fldCharType="end"/>
      </w:r>
      <w:r w:rsidRPr="00A86C9B">
        <w:rPr>
          <w:b/>
          <w:bCs/>
          <w:sz w:val="24"/>
          <w:szCs w:val="24"/>
          <w:u w:val="single"/>
        </w:rPr>
        <w:t>If the information collected will be disseminated to the public or used to support information that will</w:t>
      </w:r>
      <w:r>
        <w:rPr>
          <w:b/>
          <w:bCs/>
          <w:sz w:val="24"/>
          <w:szCs w:val="24"/>
          <w:u w:val="single"/>
        </w:rPr>
        <w:t xml:space="preserve"> be disseminated to the public, then explain how the collection complies with all applicable Information Quality Guidelines</w:t>
      </w:r>
      <w:r>
        <w:rPr>
          <w:b/>
          <w:bCs/>
          <w:sz w:val="24"/>
          <w:szCs w:val="24"/>
        </w:rPr>
        <w:t>.</w:t>
      </w:r>
    </w:p>
    <w:p w:rsidR="004F26E9" w:rsidRDefault="004F26E9">
      <w:pPr>
        <w:rPr>
          <w:sz w:val="24"/>
          <w:szCs w:val="24"/>
        </w:rPr>
      </w:pPr>
    </w:p>
    <w:p w:rsidR="00AE315E" w:rsidRDefault="004C42C6" w:rsidP="00BD0BB5">
      <w:pPr>
        <w:rPr>
          <w:sz w:val="24"/>
          <w:szCs w:val="24"/>
        </w:rPr>
      </w:pPr>
      <w:r w:rsidRPr="004C42C6">
        <w:rPr>
          <w:sz w:val="24"/>
          <w:szCs w:val="24"/>
        </w:rPr>
        <w:t xml:space="preserve">NMFS will collect the trap transfer applications </w:t>
      </w:r>
      <w:r w:rsidR="000E4C63">
        <w:rPr>
          <w:sz w:val="24"/>
          <w:szCs w:val="24"/>
        </w:rPr>
        <w:t xml:space="preserve">on an annual basis </w:t>
      </w:r>
      <w:r w:rsidRPr="004C42C6">
        <w:rPr>
          <w:sz w:val="24"/>
          <w:szCs w:val="24"/>
        </w:rPr>
        <w:t>from Federal lobster permit holders interested in buying or selling trap allocation from one or more of the transferable lobster management areas (Area</w:t>
      </w:r>
      <w:r w:rsidR="008B0A7B">
        <w:rPr>
          <w:sz w:val="24"/>
          <w:szCs w:val="24"/>
        </w:rPr>
        <w:t>s</w:t>
      </w:r>
      <w:r w:rsidRPr="004C42C6">
        <w:rPr>
          <w:sz w:val="24"/>
          <w:szCs w:val="24"/>
        </w:rPr>
        <w:t xml:space="preserve"> 2, 3, </w:t>
      </w:r>
      <w:r w:rsidR="00A41522" w:rsidRPr="004C42C6">
        <w:rPr>
          <w:sz w:val="24"/>
          <w:szCs w:val="24"/>
        </w:rPr>
        <w:t>and Outer</w:t>
      </w:r>
      <w:r w:rsidR="008B0A7B">
        <w:rPr>
          <w:sz w:val="24"/>
          <w:szCs w:val="24"/>
        </w:rPr>
        <w:t xml:space="preserve"> Cape Cod</w:t>
      </w:r>
      <w:r w:rsidRPr="004C42C6">
        <w:rPr>
          <w:sz w:val="24"/>
          <w:szCs w:val="24"/>
        </w:rPr>
        <w:t xml:space="preserve">).  The information will be used to </w:t>
      </w:r>
      <w:r w:rsidR="000E4C63">
        <w:rPr>
          <w:sz w:val="24"/>
          <w:szCs w:val="24"/>
        </w:rPr>
        <w:t>enact the transfer</w:t>
      </w:r>
      <w:r w:rsidR="00E46895" w:rsidRPr="00E46895">
        <w:rPr>
          <w:sz w:val="24"/>
          <w:szCs w:val="24"/>
        </w:rPr>
        <w:t xml:space="preserve"> </w:t>
      </w:r>
      <w:r w:rsidR="00E46895">
        <w:rPr>
          <w:sz w:val="24"/>
          <w:szCs w:val="24"/>
        </w:rPr>
        <w:t xml:space="preserve">transactions themselves, </w:t>
      </w:r>
      <w:r w:rsidR="00E46895" w:rsidRPr="00E46895">
        <w:rPr>
          <w:sz w:val="24"/>
          <w:szCs w:val="24"/>
        </w:rPr>
        <w:t>which includes</w:t>
      </w:r>
      <w:r w:rsidR="00E46895">
        <w:rPr>
          <w:sz w:val="24"/>
          <w:szCs w:val="24"/>
        </w:rPr>
        <w:t>:</w:t>
      </w:r>
      <w:r w:rsidR="00E46895" w:rsidRPr="00E46895">
        <w:rPr>
          <w:sz w:val="24"/>
          <w:szCs w:val="24"/>
        </w:rPr>
        <w:t xml:space="preserve"> checking the permits and trap allocations</w:t>
      </w:r>
      <w:r w:rsidR="00E46895">
        <w:rPr>
          <w:sz w:val="24"/>
          <w:szCs w:val="24"/>
        </w:rPr>
        <w:t xml:space="preserve"> of the participants, </w:t>
      </w:r>
      <w:r w:rsidR="00E46895" w:rsidRPr="00E46895">
        <w:rPr>
          <w:sz w:val="24"/>
          <w:szCs w:val="24"/>
        </w:rPr>
        <w:t>returning</w:t>
      </w:r>
      <w:r w:rsidR="00E46895">
        <w:rPr>
          <w:sz w:val="24"/>
          <w:szCs w:val="24"/>
        </w:rPr>
        <w:t>/revising</w:t>
      </w:r>
      <w:r w:rsidR="00E46895" w:rsidRPr="00E46895">
        <w:rPr>
          <w:sz w:val="24"/>
          <w:szCs w:val="24"/>
        </w:rPr>
        <w:t xml:space="preserve"> incomplete</w:t>
      </w:r>
      <w:r w:rsidR="00E46895">
        <w:rPr>
          <w:sz w:val="24"/>
          <w:szCs w:val="24"/>
        </w:rPr>
        <w:t xml:space="preserve"> or erroneous</w:t>
      </w:r>
      <w:r w:rsidR="00E46895" w:rsidRPr="00E46895">
        <w:rPr>
          <w:sz w:val="24"/>
          <w:szCs w:val="24"/>
        </w:rPr>
        <w:t xml:space="preserve"> applications</w:t>
      </w:r>
      <w:r w:rsidR="00E46895">
        <w:rPr>
          <w:sz w:val="24"/>
          <w:szCs w:val="24"/>
        </w:rPr>
        <w:t xml:space="preserve">, </w:t>
      </w:r>
      <w:r w:rsidR="00E46895" w:rsidRPr="00E46895">
        <w:rPr>
          <w:sz w:val="24"/>
          <w:szCs w:val="24"/>
        </w:rPr>
        <w:t xml:space="preserve">auditing the information to </w:t>
      </w:r>
      <w:r w:rsidR="00E46895">
        <w:rPr>
          <w:sz w:val="24"/>
          <w:szCs w:val="24"/>
        </w:rPr>
        <w:t>ensure</w:t>
      </w:r>
      <w:r w:rsidR="00E46895" w:rsidRPr="00E46895">
        <w:t xml:space="preserve"> </w:t>
      </w:r>
      <w:r w:rsidR="00E46895" w:rsidRPr="00E46895">
        <w:rPr>
          <w:sz w:val="24"/>
          <w:szCs w:val="24"/>
        </w:rPr>
        <w:t xml:space="preserve">the appropriate ending trap allocations are correct in the </w:t>
      </w:r>
      <w:r w:rsidR="00E46895">
        <w:rPr>
          <w:sz w:val="24"/>
          <w:szCs w:val="24"/>
        </w:rPr>
        <w:t xml:space="preserve">shared </w:t>
      </w:r>
      <w:r w:rsidR="00E46895" w:rsidRPr="00E46895">
        <w:rPr>
          <w:sz w:val="24"/>
          <w:szCs w:val="24"/>
        </w:rPr>
        <w:t xml:space="preserve">internal and </w:t>
      </w:r>
      <w:r w:rsidR="00E46895">
        <w:rPr>
          <w:sz w:val="24"/>
          <w:szCs w:val="24"/>
        </w:rPr>
        <w:t xml:space="preserve">individual </w:t>
      </w:r>
      <w:r w:rsidR="00E46895" w:rsidRPr="00E46895">
        <w:rPr>
          <w:sz w:val="24"/>
          <w:szCs w:val="24"/>
        </w:rPr>
        <w:lastRenderedPageBreak/>
        <w:t>regional trap transfer databases</w:t>
      </w:r>
      <w:r w:rsidR="00E46895">
        <w:rPr>
          <w:sz w:val="24"/>
          <w:szCs w:val="24"/>
        </w:rPr>
        <w:t xml:space="preserve">, and notifying the participants of the completed transaction and changes to their respective permits after the transfer is </w:t>
      </w:r>
      <w:r w:rsidR="00122D12">
        <w:rPr>
          <w:sz w:val="24"/>
          <w:szCs w:val="24"/>
        </w:rPr>
        <w:t>finalized</w:t>
      </w:r>
      <w:r w:rsidR="00E46895">
        <w:rPr>
          <w:sz w:val="24"/>
          <w:szCs w:val="24"/>
        </w:rPr>
        <w:t>.</w:t>
      </w:r>
    </w:p>
    <w:p w:rsidR="000E4C63" w:rsidRDefault="000E4C63" w:rsidP="00BD0BB5">
      <w:pPr>
        <w:rPr>
          <w:sz w:val="24"/>
          <w:szCs w:val="24"/>
        </w:rPr>
      </w:pPr>
    </w:p>
    <w:p w:rsidR="000E4C63" w:rsidRDefault="000E4C63" w:rsidP="00BD0BB5">
      <w:pPr>
        <w:rPr>
          <w:sz w:val="24"/>
          <w:szCs w:val="24"/>
        </w:rPr>
      </w:pPr>
      <w:r>
        <w:rPr>
          <w:sz w:val="24"/>
          <w:szCs w:val="24"/>
        </w:rPr>
        <w:t xml:space="preserve">Each year, </w:t>
      </w:r>
      <w:r w:rsidRPr="000E4C63">
        <w:rPr>
          <w:sz w:val="24"/>
          <w:szCs w:val="24"/>
        </w:rPr>
        <w:t xml:space="preserve">permit holders have the opportunity to transfer all or some of their </w:t>
      </w:r>
      <w:r>
        <w:rPr>
          <w:sz w:val="24"/>
          <w:szCs w:val="24"/>
        </w:rPr>
        <w:t xml:space="preserve">Area 2, 3, or Outer Cape trap allocation by submitting a trap transfer application form during the designated </w:t>
      </w:r>
      <w:r w:rsidRPr="000E4C63">
        <w:rPr>
          <w:sz w:val="24"/>
          <w:szCs w:val="24"/>
        </w:rPr>
        <w:t xml:space="preserve">two-month </w:t>
      </w:r>
      <w:r>
        <w:rPr>
          <w:sz w:val="24"/>
          <w:szCs w:val="24"/>
        </w:rPr>
        <w:t xml:space="preserve">application </w:t>
      </w:r>
      <w:r w:rsidRPr="000E4C63">
        <w:rPr>
          <w:sz w:val="24"/>
          <w:szCs w:val="24"/>
        </w:rPr>
        <w:t>period</w:t>
      </w:r>
      <w:r>
        <w:rPr>
          <w:sz w:val="24"/>
          <w:szCs w:val="24"/>
        </w:rPr>
        <w:t xml:space="preserve"> (August-September).  NMFS collects all of the applications, but consults with the appropriate state agencies on all applications that involve dual state and Federal trap allocations throughout the transfer process.</w:t>
      </w:r>
      <w:r w:rsidR="00A32AE2">
        <w:rPr>
          <w:sz w:val="24"/>
          <w:szCs w:val="24"/>
        </w:rPr>
        <w:t xml:space="preserve">  All data collected through this program is then entered into and processed through a shared, cooperatively managed trap transfer database.  </w:t>
      </w:r>
      <w:r w:rsidR="00A32AE2" w:rsidRPr="00A32AE2">
        <w:rPr>
          <w:sz w:val="24"/>
          <w:szCs w:val="24"/>
        </w:rPr>
        <w:t xml:space="preserve">Accordingly, NMFS will utilize this data to remain consistent with the </w:t>
      </w:r>
      <w:r w:rsidR="0064446E">
        <w:rPr>
          <w:sz w:val="24"/>
          <w:szCs w:val="24"/>
        </w:rPr>
        <w:t xml:space="preserve">ASMFC’s </w:t>
      </w:r>
      <w:r w:rsidR="00A32AE2" w:rsidRPr="00A32AE2">
        <w:rPr>
          <w:sz w:val="24"/>
          <w:szCs w:val="24"/>
        </w:rPr>
        <w:t>recommendations for complementary management</w:t>
      </w:r>
      <w:r w:rsidR="00A32AE2">
        <w:rPr>
          <w:sz w:val="24"/>
          <w:szCs w:val="24"/>
        </w:rPr>
        <w:t xml:space="preserve">. </w:t>
      </w:r>
      <w:r w:rsidR="00A32AE2" w:rsidRPr="00A32AE2">
        <w:t xml:space="preserve"> </w:t>
      </w:r>
      <w:r w:rsidR="00A32AE2" w:rsidRPr="00A32AE2">
        <w:rPr>
          <w:sz w:val="24"/>
          <w:szCs w:val="24"/>
        </w:rPr>
        <w:t>To do otherwise could lead to incongruent</w:t>
      </w:r>
      <w:r w:rsidR="00A32AE2" w:rsidRPr="00A32AE2">
        <w:t xml:space="preserve"> </w:t>
      </w:r>
      <w:r w:rsidR="00A32AE2" w:rsidRPr="00A32AE2">
        <w:rPr>
          <w:sz w:val="24"/>
          <w:szCs w:val="24"/>
        </w:rPr>
        <w:t>trap allocations for dual</w:t>
      </w:r>
      <w:r w:rsidR="00A32AE2">
        <w:rPr>
          <w:sz w:val="24"/>
          <w:szCs w:val="24"/>
        </w:rPr>
        <w:t xml:space="preserve"> permit holders, creating added confusion and undermining the effective implementation of the program.</w:t>
      </w:r>
    </w:p>
    <w:p w:rsidR="00074C99" w:rsidRDefault="00074C99" w:rsidP="00BD0BB5">
      <w:pPr>
        <w:rPr>
          <w:sz w:val="24"/>
          <w:szCs w:val="24"/>
        </w:rPr>
      </w:pPr>
    </w:p>
    <w:p w:rsidR="00353A2F" w:rsidRPr="00FE510C" w:rsidRDefault="00074C99" w:rsidP="00BD0BB5">
      <w:pPr>
        <w:rPr>
          <w:sz w:val="24"/>
          <w:szCs w:val="24"/>
        </w:rPr>
      </w:pPr>
      <w:r w:rsidRPr="00FE510C">
        <w:rPr>
          <w:sz w:val="24"/>
          <w:szCs w:val="24"/>
        </w:rPr>
        <w:t xml:space="preserve">NMFS makes the </w:t>
      </w:r>
      <w:r w:rsidR="00E31999" w:rsidRPr="00E31999">
        <w:rPr>
          <w:sz w:val="24"/>
          <w:szCs w:val="24"/>
        </w:rPr>
        <w:t xml:space="preserve">Area 2, 3, and Outer Cape </w:t>
      </w:r>
      <w:r w:rsidRPr="00FE510C">
        <w:rPr>
          <w:sz w:val="24"/>
          <w:szCs w:val="24"/>
        </w:rPr>
        <w:t xml:space="preserve">trap allocation data of </w:t>
      </w:r>
      <w:r w:rsidR="00E31999">
        <w:rPr>
          <w:sz w:val="24"/>
          <w:szCs w:val="24"/>
        </w:rPr>
        <w:t xml:space="preserve">each Federal lobster </w:t>
      </w:r>
      <w:r w:rsidRPr="00FE510C">
        <w:rPr>
          <w:sz w:val="24"/>
          <w:szCs w:val="24"/>
        </w:rPr>
        <w:t>permit holders available online</w:t>
      </w:r>
      <w:r w:rsidR="00353A2F">
        <w:rPr>
          <w:sz w:val="24"/>
          <w:szCs w:val="24"/>
        </w:rPr>
        <w:t xml:space="preserve"> each year before and during the trap transfer application period</w:t>
      </w:r>
      <w:r>
        <w:rPr>
          <w:sz w:val="24"/>
          <w:szCs w:val="24"/>
        </w:rPr>
        <w:t xml:space="preserve"> </w:t>
      </w:r>
      <w:r w:rsidR="00353A2F">
        <w:rPr>
          <w:sz w:val="24"/>
          <w:szCs w:val="24"/>
        </w:rPr>
        <w:t xml:space="preserve">to facilitate the transfer process, allocation management, and rulemaking </w:t>
      </w:r>
      <w:r w:rsidR="00E31999">
        <w:rPr>
          <w:sz w:val="24"/>
          <w:szCs w:val="24"/>
        </w:rPr>
        <w:t>process</w:t>
      </w:r>
      <w:r w:rsidR="00353A2F">
        <w:rPr>
          <w:sz w:val="24"/>
          <w:szCs w:val="24"/>
        </w:rPr>
        <w:t xml:space="preserve">.  Specific information on each transaction </w:t>
      </w:r>
      <w:r w:rsidR="0064446E">
        <w:rPr>
          <w:sz w:val="24"/>
          <w:szCs w:val="24"/>
        </w:rPr>
        <w:t>i</w:t>
      </w:r>
      <w:r w:rsidR="00353A2F">
        <w:rPr>
          <w:sz w:val="24"/>
          <w:szCs w:val="24"/>
        </w:rPr>
        <w:t>s never available to the public</w:t>
      </w:r>
      <w:r w:rsidR="00FE510C">
        <w:rPr>
          <w:sz w:val="24"/>
          <w:szCs w:val="24"/>
        </w:rPr>
        <w:t>, but the aggregate allocation and transfer data, including permit-specific allocations, are available for public use.</w:t>
      </w:r>
    </w:p>
    <w:p w:rsidR="00353A2F" w:rsidRDefault="00353A2F" w:rsidP="00BD0BB5">
      <w:pPr>
        <w:rPr>
          <w:sz w:val="24"/>
          <w:szCs w:val="24"/>
          <w:highlight w:val="yellow"/>
        </w:rPr>
      </w:pPr>
    </w:p>
    <w:p w:rsidR="00AE315E" w:rsidRPr="00A32AE2" w:rsidRDefault="008964F6" w:rsidP="00AE315E">
      <w:pPr>
        <w:rPr>
          <w:sz w:val="24"/>
          <w:szCs w:val="24"/>
          <w:highlight w:val="yellow"/>
        </w:rPr>
      </w:pPr>
      <w:r w:rsidRPr="008964F6">
        <w:rPr>
          <w:sz w:val="24"/>
          <w:szCs w:val="24"/>
        </w:rPr>
        <w:t>It is anticipated that the information collected will be used to support publicly disseminated information</w:t>
      </w:r>
      <w:r w:rsidR="00E31999">
        <w:rPr>
          <w:sz w:val="24"/>
          <w:szCs w:val="24"/>
        </w:rPr>
        <w:t xml:space="preserve"> regarding potential future rulemaking actions relevant to the Trap Transfer Program or other lobster fishery management actions</w:t>
      </w:r>
      <w:r w:rsidRPr="008964F6">
        <w:rPr>
          <w:sz w:val="24"/>
          <w:szCs w:val="24"/>
        </w:rPr>
        <w:t xml:space="preserve">. </w:t>
      </w:r>
      <w:r w:rsidR="000F013B">
        <w:rPr>
          <w:sz w:val="24"/>
          <w:szCs w:val="24"/>
        </w:rPr>
        <w:t xml:space="preserve"> </w:t>
      </w:r>
      <w:r>
        <w:rPr>
          <w:sz w:val="24"/>
          <w:szCs w:val="24"/>
        </w:rPr>
        <w:t>NMFS</w:t>
      </w:r>
      <w:r w:rsidRPr="008964F6">
        <w:rPr>
          <w:sz w:val="24"/>
          <w:szCs w:val="24"/>
        </w:rPr>
        <w:t xml:space="preserve"> will retain control over the information and safeguard it from improper access, modification, and destruction, consistent with NOAA standards for confidentiality, privacy, and electronic information. </w:t>
      </w:r>
      <w:r w:rsidR="000F013B">
        <w:rPr>
          <w:sz w:val="24"/>
          <w:szCs w:val="24"/>
        </w:rPr>
        <w:t xml:space="preserve"> </w:t>
      </w:r>
      <w:r w:rsidRPr="008964F6">
        <w:rPr>
          <w:sz w:val="24"/>
          <w:szCs w:val="24"/>
        </w:rPr>
        <w:t xml:space="preserve">See response to Question 10 of this Supporting Statement for more information on confidentiality and privacy. </w:t>
      </w:r>
      <w:r w:rsidR="000F013B">
        <w:rPr>
          <w:sz w:val="24"/>
          <w:szCs w:val="24"/>
        </w:rPr>
        <w:t xml:space="preserve"> </w:t>
      </w:r>
      <w:r w:rsidRPr="008964F6">
        <w:rPr>
          <w:sz w:val="24"/>
          <w:szCs w:val="24"/>
        </w:rPr>
        <w:t xml:space="preserve">The information collection is designed to yield data that meet all applicable information quality guidelines. </w:t>
      </w:r>
      <w:r w:rsidR="000F013B">
        <w:rPr>
          <w:sz w:val="24"/>
          <w:szCs w:val="24"/>
        </w:rPr>
        <w:t xml:space="preserve"> </w:t>
      </w:r>
      <w:r w:rsidRPr="008964F6">
        <w:rPr>
          <w:sz w:val="24"/>
          <w:szCs w:val="24"/>
        </w:rPr>
        <w:t xml:space="preserve">Prior to dissemination, the information will be subjected to quality control measures and a pre-dissemination review pursuant to </w:t>
      </w:r>
      <w:hyperlink r:id="rId9" w:history="1">
        <w:r w:rsidRPr="00D44579">
          <w:rPr>
            <w:rStyle w:val="Hyperlink"/>
            <w:sz w:val="24"/>
            <w:szCs w:val="24"/>
          </w:rPr>
          <w:t>Section 515 of Public Law 106-554</w:t>
        </w:r>
      </w:hyperlink>
      <w:r w:rsidR="0064446E">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5363DD" w:rsidRPr="00C16C57" w:rsidRDefault="002B08D6" w:rsidP="00BE7CD4">
      <w:pPr>
        <w:rPr>
          <w:sz w:val="24"/>
          <w:szCs w:val="24"/>
        </w:rPr>
      </w:pPr>
      <w:r w:rsidRPr="00C16C57">
        <w:rPr>
          <w:sz w:val="24"/>
          <w:szCs w:val="24"/>
        </w:rPr>
        <w:t xml:space="preserve">Trap transfer applications </w:t>
      </w:r>
      <w:r w:rsidR="00C16C57" w:rsidRPr="00C16C57">
        <w:rPr>
          <w:sz w:val="24"/>
          <w:szCs w:val="24"/>
        </w:rPr>
        <w:t>are currently accepted electronically by email</w:t>
      </w:r>
      <w:r w:rsidR="00C16C57">
        <w:rPr>
          <w:sz w:val="24"/>
          <w:szCs w:val="24"/>
        </w:rPr>
        <w:t>,</w:t>
      </w:r>
      <w:r w:rsidR="00C16C57" w:rsidRPr="00C16C57">
        <w:rPr>
          <w:sz w:val="24"/>
          <w:szCs w:val="24"/>
        </w:rPr>
        <w:t xml:space="preserve"> in addition to </w:t>
      </w:r>
      <w:r w:rsidR="00C16C57">
        <w:rPr>
          <w:sz w:val="24"/>
          <w:szCs w:val="24"/>
        </w:rPr>
        <w:t xml:space="preserve">traditional </w:t>
      </w:r>
      <w:r w:rsidR="00C16C57" w:rsidRPr="00C16C57">
        <w:rPr>
          <w:sz w:val="24"/>
          <w:szCs w:val="24"/>
        </w:rPr>
        <w:t xml:space="preserve">fax, </w:t>
      </w:r>
      <w:r w:rsidRPr="00C16C57">
        <w:rPr>
          <w:sz w:val="24"/>
          <w:szCs w:val="24"/>
        </w:rPr>
        <w:t>U.S. mail</w:t>
      </w:r>
      <w:r w:rsidR="00C16C57" w:rsidRPr="00C16C57">
        <w:rPr>
          <w:sz w:val="24"/>
          <w:szCs w:val="24"/>
        </w:rPr>
        <w:t>,</w:t>
      </w:r>
      <w:r w:rsidRPr="00C16C57">
        <w:rPr>
          <w:sz w:val="24"/>
          <w:szCs w:val="24"/>
        </w:rPr>
        <w:t xml:space="preserve"> or other postal method</w:t>
      </w:r>
      <w:r w:rsidR="00E31999">
        <w:rPr>
          <w:sz w:val="24"/>
          <w:szCs w:val="24"/>
        </w:rPr>
        <w:t xml:space="preserve">.  </w:t>
      </w:r>
      <w:r w:rsidR="008854D1">
        <w:rPr>
          <w:sz w:val="24"/>
          <w:szCs w:val="24"/>
        </w:rPr>
        <w:t>NMFS</w:t>
      </w:r>
      <w:r w:rsidR="00E31999">
        <w:rPr>
          <w:sz w:val="24"/>
          <w:szCs w:val="24"/>
        </w:rPr>
        <w:t xml:space="preserve"> provide</w:t>
      </w:r>
      <w:r w:rsidR="008854D1">
        <w:rPr>
          <w:sz w:val="24"/>
          <w:szCs w:val="24"/>
        </w:rPr>
        <w:t>s</w:t>
      </w:r>
      <w:r w:rsidR="00E31999">
        <w:rPr>
          <w:sz w:val="24"/>
          <w:szCs w:val="24"/>
        </w:rPr>
        <w:t xml:space="preserve"> o</w:t>
      </w:r>
      <w:r w:rsidR="00C16C57">
        <w:rPr>
          <w:sz w:val="24"/>
          <w:szCs w:val="24"/>
        </w:rPr>
        <w:t xml:space="preserve">ptions to </w:t>
      </w:r>
      <w:r w:rsidR="00C16C57" w:rsidRPr="00C16C57">
        <w:rPr>
          <w:sz w:val="24"/>
          <w:szCs w:val="24"/>
        </w:rPr>
        <w:t>facilitate the timely submission of the required information</w:t>
      </w:r>
      <w:r w:rsidR="00C16C57">
        <w:rPr>
          <w:sz w:val="24"/>
          <w:szCs w:val="24"/>
        </w:rPr>
        <w:t>,</w:t>
      </w:r>
      <w:r w:rsidR="00C16C57" w:rsidRPr="00C16C57">
        <w:rPr>
          <w:sz w:val="24"/>
          <w:szCs w:val="24"/>
        </w:rPr>
        <w:t xml:space="preserve"> and to reduce the time and costs associated with the application process.</w:t>
      </w:r>
      <w:r w:rsidR="00C16C57">
        <w:rPr>
          <w:sz w:val="24"/>
          <w:szCs w:val="24"/>
        </w:rPr>
        <w:t xml:space="preserve">  NMFS utilizes its own databases to track and process applications/trap transfers, as well as a joint trap transfer database collaboratively managed with state agencies to handle applications from dual (state and Federal lobster) permit holders.  I</w:t>
      </w:r>
      <w:r w:rsidR="00C16C57" w:rsidRPr="00C16C57">
        <w:rPr>
          <w:sz w:val="24"/>
          <w:szCs w:val="24"/>
        </w:rPr>
        <w:t xml:space="preserve">t is anticipated that permit holders </w:t>
      </w:r>
      <w:r w:rsidR="00C16C57">
        <w:rPr>
          <w:sz w:val="24"/>
          <w:szCs w:val="24"/>
        </w:rPr>
        <w:t>may</w:t>
      </w:r>
      <w:r w:rsidR="00C16C57" w:rsidRPr="00C16C57">
        <w:rPr>
          <w:sz w:val="24"/>
          <w:szCs w:val="24"/>
        </w:rPr>
        <w:t xml:space="preserve"> be able to request trap transfers </w:t>
      </w:r>
      <w:r w:rsidR="00C16C57">
        <w:rPr>
          <w:sz w:val="24"/>
          <w:szCs w:val="24"/>
        </w:rPr>
        <w:t xml:space="preserve">electronically </w:t>
      </w:r>
      <w:r w:rsidR="00C16C57" w:rsidRPr="00C16C57">
        <w:rPr>
          <w:sz w:val="24"/>
          <w:szCs w:val="24"/>
        </w:rPr>
        <w:t xml:space="preserve">through an online portal </w:t>
      </w:r>
      <w:r w:rsidR="00C16C57">
        <w:rPr>
          <w:sz w:val="24"/>
          <w:szCs w:val="24"/>
        </w:rPr>
        <w:t xml:space="preserve">directly </w:t>
      </w:r>
      <w:r w:rsidR="00C16C57" w:rsidRPr="00C16C57">
        <w:rPr>
          <w:sz w:val="24"/>
          <w:szCs w:val="24"/>
        </w:rPr>
        <w:t>connected to thi</w:t>
      </w:r>
      <w:r w:rsidR="00C16C57">
        <w:rPr>
          <w:sz w:val="24"/>
          <w:szCs w:val="24"/>
        </w:rPr>
        <w:t xml:space="preserve">s joint database in the future—eliminating </w:t>
      </w:r>
      <w:r w:rsidR="00D40764">
        <w:rPr>
          <w:sz w:val="24"/>
          <w:szCs w:val="24"/>
        </w:rPr>
        <w:t xml:space="preserve">postage costs and </w:t>
      </w:r>
      <w:r w:rsidR="00C16C57">
        <w:rPr>
          <w:sz w:val="24"/>
          <w:szCs w:val="24"/>
        </w:rPr>
        <w:t xml:space="preserve">another step in the process—but </w:t>
      </w:r>
      <w:r w:rsidR="00C16C57" w:rsidRPr="00C16C57">
        <w:rPr>
          <w:sz w:val="24"/>
          <w:szCs w:val="24"/>
        </w:rPr>
        <w:t>this feature is not yet available</w:t>
      </w:r>
      <w:r w:rsidR="00C16C57">
        <w:rPr>
          <w:sz w:val="24"/>
          <w:szCs w:val="24"/>
        </w:rPr>
        <w:t>.</w:t>
      </w:r>
    </w:p>
    <w:p w:rsidR="00BE7CD4" w:rsidRPr="00BE7CD4" w:rsidRDefault="00BE7CD4" w:rsidP="00BE7CD4">
      <w:pPr>
        <w:rPr>
          <w:sz w:val="24"/>
          <w:szCs w:val="24"/>
          <w:highlight w:val="yellow"/>
        </w:rPr>
      </w:pPr>
    </w:p>
    <w:p w:rsidR="00D44579" w:rsidRDefault="00E31999" w:rsidP="00BE7CD4">
      <w:pPr>
        <w:rPr>
          <w:sz w:val="24"/>
          <w:szCs w:val="24"/>
        </w:rPr>
      </w:pPr>
      <w:r>
        <w:rPr>
          <w:sz w:val="24"/>
          <w:szCs w:val="24"/>
        </w:rPr>
        <w:t>NMFS posted c</w:t>
      </w:r>
      <w:r w:rsidR="00BE7CD4" w:rsidRPr="00D40764">
        <w:rPr>
          <w:sz w:val="24"/>
          <w:szCs w:val="24"/>
        </w:rPr>
        <w:t xml:space="preserve">opies of the </w:t>
      </w:r>
      <w:r w:rsidR="00D40764" w:rsidRPr="00D40764">
        <w:rPr>
          <w:sz w:val="24"/>
          <w:szCs w:val="24"/>
        </w:rPr>
        <w:t>trap transfer application form</w:t>
      </w:r>
      <w:r w:rsidR="00BE7CD4" w:rsidRPr="00D40764">
        <w:rPr>
          <w:sz w:val="24"/>
          <w:szCs w:val="24"/>
        </w:rPr>
        <w:t xml:space="preserve"> </w:t>
      </w:r>
      <w:r w:rsidR="00D40764" w:rsidRPr="00D40764">
        <w:rPr>
          <w:sz w:val="24"/>
          <w:szCs w:val="24"/>
        </w:rPr>
        <w:t xml:space="preserve">(both fillable and printable) </w:t>
      </w:r>
      <w:r w:rsidR="00BE7CD4" w:rsidRPr="00D40764">
        <w:rPr>
          <w:sz w:val="24"/>
          <w:szCs w:val="24"/>
        </w:rPr>
        <w:t xml:space="preserve">and instructions for this information collection on the NMFS </w:t>
      </w:r>
      <w:r w:rsidR="00D40764" w:rsidRPr="00D40764">
        <w:rPr>
          <w:sz w:val="24"/>
          <w:szCs w:val="24"/>
        </w:rPr>
        <w:t xml:space="preserve">American Lobster </w:t>
      </w:r>
      <w:r w:rsidR="00D40764">
        <w:rPr>
          <w:sz w:val="24"/>
          <w:szCs w:val="24"/>
        </w:rPr>
        <w:t xml:space="preserve">Species </w:t>
      </w:r>
      <w:r w:rsidR="00D40764" w:rsidRPr="00D40764">
        <w:rPr>
          <w:sz w:val="24"/>
          <w:szCs w:val="24"/>
        </w:rPr>
        <w:t xml:space="preserve">Page (https://www.greateratlantic.fisheries.noaa.gov/sustainable/species/lobster/) under the “Trap </w:t>
      </w:r>
    </w:p>
    <w:p w:rsidR="00D44579" w:rsidRDefault="00D44579" w:rsidP="00BE7CD4">
      <w:pPr>
        <w:rPr>
          <w:sz w:val="24"/>
          <w:szCs w:val="24"/>
        </w:rPr>
      </w:pPr>
    </w:p>
    <w:p w:rsidR="00D44579" w:rsidRDefault="00D40764" w:rsidP="00BE7CD4">
      <w:pPr>
        <w:rPr>
          <w:sz w:val="24"/>
          <w:szCs w:val="24"/>
        </w:rPr>
      </w:pPr>
      <w:r w:rsidRPr="00D40764">
        <w:rPr>
          <w:sz w:val="24"/>
          <w:szCs w:val="24"/>
        </w:rPr>
        <w:lastRenderedPageBreak/>
        <w:t>Transfer Program”</w:t>
      </w:r>
      <w:r>
        <w:rPr>
          <w:sz w:val="24"/>
          <w:szCs w:val="24"/>
        </w:rPr>
        <w:t xml:space="preserve"> tab,</w:t>
      </w:r>
      <w:r w:rsidR="00BE7CD4" w:rsidRPr="00D40764">
        <w:rPr>
          <w:sz w:val="24"/>
          <w:szCs w:val="24"/>
        </w:rPr>
        <w:t xml:space="preserve"> to provide easy access for those who have misplaced their applications and to inform interested parties such as state a</w:t>
      </w:r>
      <w:r>
        <w:rPr>
          <w:sz w:val="24"/>
          <w:szCs w:val="24"/>
        </w:rPr>
        <w:t xml:space="preserve">gencies and industry groups.  The “fillable” </w:t>
      </w:r>
    </w:p>
    <w:p w:rsidR="00BE7CD4" w:rsidRPr="00D40764" w:rsidRDefault="00D40764" w:rsidP="00BE7CD4">
      <w:pPr>
        <w:rPr>
          <w:sz w:val="24"/>
          <w:szCs w:val="24"/>
        </w:rPr>
      </w:pPr>
      <w:r>
        <w:rPr>
          <w:sz w:val="24"/>
          <w:szCs w:val="24"/>
        </w:rPr>
        <w:t xml:space="preserve">version of this form also calculates and </w:t>
      </w:r>
      <w:r w:rsidR="000207EC">
        <w:rPr>
          <w:sz w:val="24"/>
          <w:szCs w:val="24"/>
        </w:rPr>
        <w:t>populates</w:t>
      </w:r>
      <w:r>
        <w:rPr>
          <w:sz w:val="24"/>
          <w:szCs w:val="24"/>
        </w:rPr>
        <w:t xml:space="preserve"> the “number of traps received by buyer” field for the applicant, to help prevent math errors and returned applications.</w:t>
      </w:r>
    </w:p>
    <w:p w:rsidR="004F26E9" w:rsidRDefault="004F26E9">
      <w:pPr>
        <w:rPr>
          <w:sz w:val="24"/>
          <w:szCs w:val="24"/>
        </w:rPr>
      </w:pPr>
    </w:p>
    <w:p w:rsidR="004F26E9" w:rsidRPr="000914E5" w:rsidRDefault="004F26E9">
      <w:pPr>
        <w:rPr>
          <w:sz w:val="24"/>
          <w:szCs w:val="24"/>
        </w:rPr>
      </w:pPr>
      <w:r w:rsidRPr="000914E5">
        <w:rPr>
          <w:b/>
          <w:bCs/>
          <w:sz w:val="24"/>
          <w:szCs w:val="24"/>
        </w:rPr>
        <w:t xml:space="preserve">4.  </w:t>
      </w:r>
      <w:r w:rsidRPr="000914E5">
        <w:rPr>
          <w:b/>
          <w:bCs/>
          <w:sz w:val="24"/>
          <w:szCs w:val="24"/>
          <w:u w:val="single"/>
        </w:rPr>
        <w:t>Describe efforts to identify duplication</w:t>
      </w:r>
      <w:r w:rsidRPr="000914E5">
        <w:rPr>
          <w:b/>
          <w:bCs/>
          <w:sz w:val="24"/>
          <w:szCs w:val="24"/>
        </w:rPr>
        <w:t>.</w:t>
      </w:r>
    </w:p>
    <w:p w:rsidR="004F26E9" w:rsidRPr="000914E5" w:rsidRDefault="004F26E9">
      <w:pPr>
        <w:rPr>
          <w:sz w:val="24"/>
          <w:szCs w:val="24"/>
        </w:rPr>
      </w:pPr>
    </w:p>
    <w:p w:rsidR="004F26E9" w:rsidRPr="000914E5" w:rsidRDefault="000914E5">
      <w:pPr>
        <w:rPr>
          <w:sz w:val="24"/>
          <w:szCs w:val="24"/>
        </w:rPr>
      </w:pPr>
      <w:r w:rsidRPr="000914E5">
        <w:rPr>
          <w:sz w:val="24"/>
          <w:szCs w:val="24"/>
        </w:rPr>
        <w:t>NMFS work</w:t>
      </w:r>
      <w:r w:rsidR="003933AC">
        <w:rPr>
          <w:sz w:val="24"/>
          <w:szCs w:val="24"/>
        </w:rPr>
        <w:t>s</w:t>
      </w:r>
      <w:r w:rsidRPr="000914E5">
        <w:rPr>
          <w:sz w:val="24"/>
          <w:szCs w:val="24"/>
        </w:rPr>
        <w:t xml:space="preserve"> with the states on cases of applicants </w:t>
      </w:r>
      <w:r w:rsidR="000722D5">
        <w:rPr>
          <w:sz w:val="24"/>
          <w:szCs w:val="24"/>
        </w:rPr>
        <w:t xml:space="preserve">who </w:t>
      </w:r>
      <w:r w:rsidRPr="000914E5">
        <w:rPr>
          <w:sz w:val="24"/>
          <w:szCs w:val="24"/>
        </w:rPr>
        <w:t>hold dual (state and Federal</w:t>
      </w:r>
      <w:r w:rsidR="003933AC">
        <w:rPr>
          <w:sz w:val="24"/>
          <w:szCs w:val="24"/>
        </w:rPr>
        <w:t>) permits</w:t>
      </w:r>
      <w:r w:rsidRPr="000914E5">
        <w:rPr>
          <w:sz w:val="24"/>
          <w:szCs w:val="24"/>
        </w:rPr>
        <w:t xml:space="preserve"> to ensure duplication does not occur.  All trap transfer applications must be approved by both NMFS and the </w:t>
      </w:r>
      <w:r w:rsidR="000722D5">
        <w:rPr>
          <w:sz w:val="24"/>
          <w:szCs w:val="24"/>
        </w:rPr>
        <w:t xml:space="preserve">marine </w:t>
      </w:r>
      <w:r w:rsidR="00F502E5">
        <w:rPr>
          <w:sz w:val="24"/>
          <w:szCs w:val="24"/>
        </w:rPr>
        <w:t>fisheries agency</w:t>
      </w:r>
      <w:r w:rsidR="000722D5">
        <w:rPr>
          <w:sz w:val="24"/>
          <w:szCs w:val="24"/>
        </w:rPr>
        <w:t xml:space="preserve"> of the permit holder’s </w:t>
      </w:r>
      <w:r w:rsidRPr="000914E5">
        <w:rPr>
          <w:sz w:val="24"/>
          <w:szCs w:val="24"/>
        </w:rPr>
        <w:t>resident state(s) before the transacti</w:t>
      </w:r>
      <w:r w:rsidR="000722D5">
        <w:rPr>
          <w:sz w:val="24"/>
          <w:szCs w:val="24"/>
        </w:rPr>
        <w:t>on is approved and processed.</w:t>
      </w:r>
      <w:r w:rsidRPr="000914E5">
        <w:rPr>
          <w:sz w:val="24"/>
          <w:szCs w:val="24"/>
        </w:rPr>
        <w:t xml:space="preserve"> </w:t>
      </w:r>
      <w:r w:rsidR="000722D5">
        <w:rPr>
          <w:sz w:val="24"/>
          <w:szCs w:val="24"/>
        </w:rPr>
        <w:t xml:space="preserve"> </w:t>
      </w:r>
      <w:r w:rsidR="008F7FE5">
        <w:rPr>
          <w:sz w:val="24"/>
          <w:szCs w:val="24"/>
        </w:rPr>
        <w:t>A</w:t>
      </w:r>
      <w:r w:rsidRPr="000914E5">
        <w:rPr>
          <w:sz w:val="24"/>
          <w:szCs w:val="24"/>
        </w:rPr>
        <w:t xml:space="preserve">ll transfer data </w:t>
      </w:r>
      <w:r w:rsidR="008F7FE5">
        <w:rPr>
          <w:sz w:val="24"/>
          <w:szCs w:val="24"/>
        </w:rPr>
        <w:t xml:space="preserve">is entered </w:t>
      </w:r>
      <w:r w:rsidR="003933AC">
        <w:rPr>
          <w:sz w:val="24"/>
          <w:szCs w:val="24"/>
        </w:rPr>
        <w:t>into a</w:t>
      </w:r>
      <w:r w:rsidRPr="000914E5">
        <w:rPr>
          <w:sz w:val="24"/>
          <w:szCs w:val="24"/>
        </w:rPr>
        <w:t xml:space="preserve"> </w:t>
      </w:r>
      <w:r w:rsidR="003933AC" w:rsidRPr="003933AC">
        <w:rPr>
          <w:sz w:val="24"/>
          <w:szCs w:val="24"/>
        </w:rPr>
        <w:t>joint trap transfer database</w:t>
      </w:r>
      <w:r w:rsidR="003933AC">
        <w:rPr>
          <w:sz w:val="24"/>
          <w:szCs w:val="24"/>
        </w:rPr>
        <w:t xml:space="preserve"> </w:t>
      </w:r>
      <w:r w:rsidRPr="000914E5">
        <w:rPr>
          <w:sz w:val="24"/>
          <w:szCs w:val="24"/>
        </w:rPr>
        <w:t>that can be accessed and managed by both NMFS and state agencies.  If duplication occurs it can be identified quickly within the shared system and resolved easily.</w:t>
      </w:r>
    </w:p>
    <w:p w:rsidR="000914E5" w:rsidRPr="000914E5" w:rsidRDefault="000914E5">
      <w:pPr>
        <w:rPr>
          <w:sz w:val="24"/>
          <w:szCs w:val="24"/>
        </w:rPr>
      </w:pPr>
    </w:p>
    <w:p w:rsidR="004F26E9" w:rsidRPr="000914E5" w:rsidRDefault="004F26E9">
      <w:pPr>
        <w:rPr>
          <w:sz w:val="24"/>
          <w:szCs w:val="24"/>
        </w:rPr>
      </w:pPr>
      <w:r w:rsidRPr="000914E5">
        <w:rPr>
          <w:b/>
          <w:bCs/>
          <w:sz w:val="24"/>
          <w:szCs w:val="24"/>
        </w:rPr>
        <w:t xml:space="preserve">5.  </w:t>
      </w:r>
      <w:r w:rsidRPr="000914E5">
        <w:rPr>
          <w:b/>
          <w:bCs/>
          <w:sz w:val="24"/>
          <w:szCs w:val="24"/>
          <w:u w:val="single"/>
        </w:rPr>
        <w:t>If the collection of information involves small businesses or</w:t>
      </w:r>
      <w:r w:rsidR="00234555" w:rsidRPr="000914E5">
        <w:rPr>
          <w:b/>
          <w:bCs/>
          <w:sz w:val="24"/>
          <w:szCs w:val="24"/>
          <w:u w:val="single"/>
        </w:rPr>
        <w:t xml:space="preserve"> other small entities, describe </w:t>
      </w:r>
      <w:r w:rsidRPr="000914E5">
        <w:rPr>
          <w:b/>
          <w:bCs/>
          <w:sz w:val="24"/>
          <w:szCs w:val="24"/>
          <w:u w:val="single"/>
        </w:rPr>
        <w:t>the methods used to minimize burden</w:t>
      </w:r>
      <w:r w:rsidRPr="000914E5">
        <w:rPr>
          <w:b/>
          <w:bCs/>
          <w:sz w:val="24"/>
          <w:szCs w:val="24"/>
        </w:rPr>
        <w:t>.</w:t>
      </w:r>
      <w:r w:rsidRPr="000914E5">
        <w:rPr>
          <w:sz w:val="24"/>
          <w:szCs w:val="24"/>
        </w:rPr>
        <w:t xml:space="preserve"> </w:t>
      </w:r>
    </w:p>
    <w:p w:rsidR="004F26E9" w:rsidRPr="000914E5" w:rsidRDefault="004F26E9">
      <w:pPr>
        <w:rPr>
          <w:sz w:val="24"/>
          <w:szCs w:val="24"/>
        </w:rPr>
      </w:pPr>
    </w:p>
    <w:p w:rsidR="002210DF" w:rsidRPr="005C697E" w:rsidRDefault="002210DF" w:rsidP="00BE7CD4">
      <w:pPr>
        <w:rPr>
          <w:sz w:val="24"/>
          <w:szCs w:val="24"/>
        </w:rPr>
      </w:pPr>
      <w:r w:rsidRPr="000914E5">
        <w:rPr>
          <w:sz w:val="24"/>
          <w:szCs w:val="24"/>
        </w:rPr>
        <w:t xml:space="preserve">All the respondents are small businesses; however this collection </w:t>
      </w:r>
      <w:r w:rsidR="00F502E5">
        <w:rPr>
          <w:sz w:val="24"/>
          <w:szCs w:val="24"/>
        </w:rPr>
        <w:t xml:space="preserve">is </w:t>
      </w:r>
      <w:r w:rsidRPr="000914E5">
        <w:rPr>
          <w:sz w:val="24"/>
          <w:szCs w:val="24"/>
        </w:rPr>
        <w:t>voluntary, and is not expected to have a significant financial impact.</w:t>
      </w:r>
      <w:r w:rsidR="00507C89" w:rsidRPr="000914E5">
        <w:rPr>
          <w:sz w:val="24"/>
          <w:szCs w:val="24"/>
        </w:rPr>
        <w:t xml:space="preserve">  </w:t>
      </w:r>
      <w:r w:rsidR="00F502E5">
        <w:rPr>
          <w:sz w:val="24"/>
          <w:szCs w:val="24"/>
        </w:rPr>
        <w:t>T</w:t>
      </w:r>
      <w:r w:rsidR="00507C89" w:rsidRPr="000914E5">
        <w:rPr>
          <w:sz w:val="24"/>
          <w:szCs w:val="24"/>
        </w:rPr>
        <w:t xml:space="preserve">o reduce burden on all applicants, </w:t>
      </w:r>
      <w:r w:rsidR="005C697E" w:rsidRPr="000914E5">
        <w:rPr>
          <w:sz w:val="24"/>
          <w:szCs w:val="24"/>
        </w:rPr>
        <w:t xml:space="preserve">trap allocations for Areas 2, 3, and Outer Cape (before and after the year’s annual trap reductions) are made available online to permit holders before each trap transfer application submission window.  This saves potential applicants the burden of finding their information, or taking extra time to search for potential buyers/sellers to transfer with.  </w:t>
      </w:r>
      <w:r w:rsidR="00F502E5">
        <w:rPr>
          <w:sz w:val="24"/>
          <w:szCs w:val="24"/>
        </w:rPr>
        <w:t xml:space="preserve">All documents and instructions for the Trap Transfer Program are also made available online, together with the posted allocation information on the </w:t>
      </w:r>
      <w:r w:rsidR="00F502E5" w:rsidRPr="00F502E5">
        <w:rPr>
          <w:sz w:val="24"/>
          <w:szCs w:val="24"/>
        </w:rPr>
        <w:t xml:space="preserve">NMFS American Lobster </w:t>
      </w:r>
      <w:r w:rsidR="00F502E5">
        <w:rPr>
          <w:sz w:val="24"/>
          <w:szCs w:val="24"/>
        </w:rPr>
        <w:t xml:space="preserve">webpage, </w:t>
      </w:r>
      <w:r w:rsidR="00F502E5" w:rsidRPr="00F502E5">
        <w:rPr>
          <w:sz w:val="24"/>
          <w:szCs w:val="24"/>
        </w:rPr>
        <w:t xml:space="preserve">to provide easy access for interested parties </w:t>
      </w:r>
      <w:r w:rsidR="00F502E5">
        <w:rPr>
          <w:sz w:val="24"/>
          <w:szCs w:val="24"/>
        </w:rPr>
        <w:t xml:space="preserve">to relevant materials all in one place.  </w:t>
      </w:r>
      <w:r w:rsidR="005C697E" w:rsidRPr="000914E5">
        <w:rPr>
          <w:sz w:val="24"/>
          <w:szCs w:val="24"/>
        </w:rPr>
        <w:t xml:space="preserve">Applicants </w:t>
      </w:r>
      <w:r w:rsidR="00B55592">
        <w:rPr>
          <w:sz w:val="24"/>
          <w:szCs w:val="24"/>
        </w:rPr>
        <w:t>may</w:t>
      </w:r>
      <w:r w:rsidR="005C697E" w:rsidRPr="000914E5">
        <w:rPr>
          <w:sz w:val="24"/>
          <w:szCs w:val="24"/>
        </w:rPr>
        <w:t xml:space="preserve"> submit application forms electronically through email; saving time and postage costs.  In the future, with the further improvement and development of the inter-agency trap transfer database, there will likely be an option to conduct transfer requests directly through an online portal as well, saving participants time and money when transferring traps; however this is not yet available on our current system.</w:t>
      </w:r>
    </w:p>
    <w:p w:rsidR="004F26E9" w:rsidRPr="005C697E" w:rsidRDefault="004F26E9">
      <w:pPr>
        <w:rPr>
          <w:sz w:val="24"/>
          <w:szCs w:val="24"/>
        </w:rPr>
      </w:pPr>
    </w:p>
    <w:p w:rsidR="004F26E9" w:rsidRDefault="004F26E9">
      <w:pPr>
        <w:rPr>
          <w:sz w:val="24"/>
          <w:szCs w:val="24"/>
        </w:rPr>
      </w:pPr>
      <w:r w:rsidRPr="005C697E">
        <w:rPr>
          <w:b/>
          <w:bCs/>
          <w:sz w:val="24"/>
          <w:szCs w:val="24"/>
        </w:rPr>
        <w:t xml:space="preserve">6.  </w:t>
      </w:r>
      <w:r w:rsidRPr="005C697E">
        <w:rPr>
          <w:b/>
          <w:bCs/>
          <w:sz w:val="24"/>
          <w:szCs w:val="24"/>
          <w:u w:val="single"/>
        </w:rPr>
        <w:t>Describe the consequences to the Federal program or policy activities if the collection is not conducted</w:t>
      </w:r>
      <w:r>
        <w:rPr>
          <w:b/>
          <w:bCs/>
          <w:sz w:val="24"/>
          <w:szCs w:val="24"/>
          <w:u w:val="single"/>
        </w:rPr>
        <w:t xml:space="preserve"> or is conducted less frequently</w:t>
      </w:r>
      <w:r>
        <w:rPr>
          <w:b/>
          <w:bCs/>
          <w:sz w:val="24"/>
          <w:szCs w:val="24"/>
        </w:rPr>
        <w:t>.</w:t>
      </w:r>
      <w:r>
        <w:rPr>
          <w:sz w:val="24"/>
          <w:szCs w:val="24"/>
        </w:rPr>
        <w:t xml:space="preserve"> </w:t>
      </w:r>
    </w:p>
    <w:p w:rsidR="004F26E9" w:rsidRDefault="004F26E9">
      <w:pPr>
        <w:rPr>
          <w:sz w:val="24"/>
          <w:szCs w:val="24"/>
        </w:rPr>
      </w:pPr>
    </w:p>
    <w:p w:rsidR="00EF43FF" w:rsidRPr="00814026" w:rsidRDefault="00FF15F0">
      <w:pPr>
        <w:rPr>
          <w:sz w:val="24"/>
          <w:szCs w:val="24"/>
          <w:highlight w:val="lightGray"/>
        </w:rPr>
      </w:pPr>
      <w:r w:rsidRPr="00FF15F0">
        <w:rPr>
          <w:sz w:val="24"/>
          <w:szCs w:val="24"/>
        </w:rPr>
        <w:t>Th</w:t>
      </w:r>
      <w:r w:rsidR="009E7086">
        <w:rPr>
          <w:sz w:val="24"/>
          <w:szCs w:val="24"/>
        </w:rPr>
        <w:t>e Trap T</w:t>
      </w:r>
      <w:r>
        <w:rPr>
          <w:sz w:val="24"/>
          <w:szCs w:val="24"/>
        </w:rPr>
        <w:t>ransfer</w:t>
      </w:r>
      <w:r w:rsidR="009E7086">
        <w:rPr>
          <w:sz w:val="24"/>
          <w:szCs w:val="24"/>
        </w:rPr>
        <w:t xml:space="preserve"> P</w:t>
      </w:r>
      <w:r w:rsidRPr="00FF15F0">
        <w:rPr>
          <w:sz w:val="24"/>
          <w:szCs w:val="24"/>
        </w:rPr>
        <w:t>rogram is intended to help control fishing effort while increasing economic flexibility in the American lobster trap fishery</w:t>
      </w:r>
      <w:r>
        <w:rPr>
          <w:sz w:val="24"/>
          <w:szCs w:val="24"/>
        </w:rPr>
        <w:t>.</w:t>
      </w:r>
      <w:r w:rsidR="007D7953">
        <w:rPr>
          <w:sz w:val="24"/>
          <w:szCs w:val="24"/>
        </w:rPr>
        <w:t xml:space="preserve">  NMFS and state agencies will use the collected data, on an annual basis, to help permit holders voluntarily transfer trap allocation </w:t>
      </w:r>
      <w:r w:rsidR="007D7953" w:rsidRPr="007D7953">
        <w:rPr>
          <w:sz w:val="24"/>
          <w:szCs w:val="24"/>
        </w:rPr>
        <w:t>to or from his or her</w:t>
      </w:r>
      <w:r w:rsidR="007D7953">
        <w:rPr>
          <w:sz w:val="24"/>
          <w:szCs w:val="24"/>
        </w:rPr>
        <w:t xml:space="preserve"> permit. </w:t>
      </w:r>
      <w:r w:rsidR="00DB41E7">
        <w:rPr>
          <w:sz w:val="24"/>
          <w:szCs w:val="24"/>
        </w:rPr>
        <w:t xml:space="preserve"> </w:t>
      </w:r>
      <w:r w:rsidR="00AD38DB">
        <w:rPr>
          <w:sz w:val="24"/>
          <w:szCs w:val="24"/>
        </w:rPr>
        <w:t xml:space="preserve">Permit holders may submit applications during a two month submission window in the fall, to manage their permits and make business decisions before annual trap reductions take effect for Areas 2 and 3 at the beginning of the following fishing year on May 1. </w:t>
      </w:r>
      <w:r w:rsidR="000F013B">
        <w:rPr>
          <w:sz w:val="24"/>
          <w:szCs w:val="24"/>
        </w:rPr>
        <w:t xml:space="preserve"> </w:t>
      </w:r>
      <w:r w:rsidR="007D7953" w:rsidRPr="007D7953">
        <w:rPr>
          <w:sz w:val="24"/>
          <w:szCs w:val="24"/>
        </w:rPr>
        <w:t>The annual transfer period is optimal</w:t>
      </w:r>
      <w:r w:rsidR="007D7953">
        <w:rPr>
          <w:sz w:val="24"/>
          <w:szCs w:val="24"/>
        </w:rPr>
        <w:t>,</w:t>
      </w:r>
      <w:r w:rsidR="007D7953" w:rsidRPr="007D7953">
        <w:rPr>
          <w:sz w:val="24"/>
          <w:szCs w:val="24"/>
        </w:rPr>
        <w:t xml:space="preserve"> </w:t>
      </w:r>
      <w:r w:rsidR="007D7953">
        <w:rPr>
          <w:sz w:val="24"/>
          <w:szCs w:val="24"/>
        </w:rPr>
        <w:t>as</w:t>
      </w:r>
      <w:r w:rsidR="007D7953" w:rsidRPr="007D7953">
        <w:rPr>
          <w:sz w:val="24"/>
          <w:szCs w:val="24"/>
        </w:rPr>
        <w:t xml:space="preserve"> it provides a means for permit holders to take advantage of the economic benefits associated with trap transferability on an optional basis, while restricting the timing to minimize </w:t>
      </w:r>
      <w:r w:rsidR="007D7953">
        <w:rPr>
          <w:sz w:val="24"/>
          <w:szCs w:val="24"/>
        </w:rPr>
        <w:t xml:space="preserve">the </w:t>
      </w:r>
      <w:r w:rsidR="007D7953" w:rsidRPr="007D7953">
        <w:rPr>
          <w:sz w:val="24"/>
          <w:szCs w:val="24"/>
        </w:rPr>
        <w:t>administrative burdens on the Federal government and affected permit holders</w:t>
      </w:r>
      <w:r w:rsidR="007D7953">
        <w:rPr>
          <w:sz w:val="24"/>
          <w:szCs w:val="24"/>
        </w:rPr>
        <w:t xml:space="preserve">. </w:t>
      </w:r>
      <w:r w:rsidR="00DB41E7">
        <w:rPr>
          <w:sz w:val="24"/>
          <w:szCs w:val="24"/>
        </w:rPr>
        <w:t xml:space="preserve"> </w:t>
      </w:r>
      <w:r w:rsidR="007D7953">
        <w:rPr>
          <w:sz w:val="24"/>
          <w:szCs w:val="24"/>
        </w:rPr>
        <w:t>Failure to implement/offer this program at all would restrict economic flexibility, and remove an option initially provided to help mitigate the impact of scheduled trap allocation reductions in Areas 2 and 3.</w:t>
      </w:r>
    </w:p>
    <w:p w:rsidR="004F26E9" w:rsidRDefault="004F26E9">
      <w:pPr>
        <w:rPr>
          <w:sz w:val="24"/>
          <w:szCs w:val="24"/>
        </w:rPr>
      </w:pPr>
    </w:p>
    <w:p w:rsidR="00D44579" w:rsidRDefault="00D44579">
      <w:pPr>
        <w:rPr>
          <w:b/>
          <w:bCs/>
          <w:sz w:val="24"/>
          <w:szCs w:val="24"/>
        </w:rPr>
      </w:pPr>
    </w:p>
    <w:p w:rsidR="004F26E9" w:rsidRDefault="004F26E9">
      <w:pPr>
        <w:rPr>
          <w:sz w:val="24"/>
          <w:szCs w:val="24"/>
        </w:rPr>
      </w:pPr>
      <w:r>
        <w:rPr>
          <w:b/>
          <w:bCs/>
          <w:sz w:val="24"/>
          <w:szCs w:val="24"/>
        </w:rPr>
        <w:lastRenderedPageBreak/>
        <w:t xml:space="preserve">7.  </w:t>
      </w:r>
      <w:r>
        <w:rPr>
          <w:b/>
          <w:bCs/>
          <w:sz w:val="24"/>
          <w:szCs w:val="24"/>
          <w:u w:val="single"/>
        </w:rPr>
        <w:t>Explain any special circumstances that require the collection to be conducted in a manner inconsistent with OMB guidelines</w:t>
      </w:r>
      <w:r>
        <w:rPr>
          <w:b/>
          <w:bCs/>
          <w:sz w:val="24"/>
          <w:szCs w:val="24"/>
        </w:rPr>
        <w:t>.</w:t>
      </w:r>
    </w:p>
    <w:p w:rsidR="004F26E9" w:rsidRDefault="004F26E9">
      <w:pPr>
        <w:rPr>
          <w:sz w:val="24"/>
          <w:szCs w:val="24"/>
        </w:rPr>
      </w:pPr>
    </w:p>
    <w:p w:rsidR="004F26E9" w:rsidRDefault="00234555">
      <w:pPr>
        <w:rPr>
          <w:sz w:val="24"/>
          <w:szCs w:val="24"/>
        </w:rPr>
      </w:pPr>
      <w:r w:rsidRPr="00234555">
        <w:rPr>
          <w:sz w:val="24"/>
          <w:szCs w:val="24"/>
        </w:rPr>
        <w:t>The data collection as described is consistent with OMB guidelines.</w:t>
      </w:r>
    </w:p>
    <w:p w:rsidR="004F26E9" w:rsidRDefault="004F26E9">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w:t>
      </w:r>
      <w:r w:rsidRPr="00AE7E29">
        <w:rPr>
          <w:b/>
          <w:bCs/>
          <w:i/>
          <w:sz w:val="24"/>
          <w:szCs w:val="24"/>
          <w:u w:val="single"/>
        </w:rPr>
        <w:t>Federal Register</w:t>
      </w:r>
      <w:r>
        <w:rPr>
          <w:b/>
          <w:bCs/>
          <w:sz w:val="24"/>
          <w:szCs w:val="24"/>
          <w:u w:val="single"/>
        </w:rPr>
        <w:t xml:space="preserve">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662D18" w:rsidRDefault="00662D18">
      <w:pPr>
        <w:rPr>
          <w:sz w:val="24"/>
          <w:szCs w:val="24"/>
        </w:rPr>
      </w:pPr>
      <w:r w:rsidRPr="00662D18">
        <w:rPr>
          <w:sz w:val="24"/>
          <w:szCs w:val="24"/>
        </w:rPr>
        <w:t>A Federal Register Notice published on</w:t>
      </w:r>
      <w:r w:rsidR="000F2FEE">
        <w:rPr>
          <w:sz w:val="24"/>
          <w:szCs w:val="24"/>
        </w:rPr>
        <w:t xml:space="preserve"> October 26, 2016 (</w:t>
      </w:r>
      <w:r w:rsidR="006414A8">
        <w:rPr>
          <w:sz w:val="24"/>
          <w:szCs w:val="24"/>
        </w:rPr>
        <w:t>81 FR 74407), solicited public comment.</w:t>
      </w:r>
      <w:r w:rsidR="00DB41E7">
        <w:rPr>
          <w:sz w:val="24"/>
          <w:szCs w:val="24"/>
        </w:rPr>
        <w:t xml:space="preserve">  </w:t>
      </w:r>
      <w:r w:rsidR="006414A8">
        <w:rPr>
          <w:sz w:val="24"/>
          <w:szCs w:val="24"/>
        </w:rPr>
        <w:t>No comments were received.</w:t>
      </w:r>
    </w:p>
    <w:p w:rsidR="000F7FF4" w:rsidRDefault="000F7FF4">
      <w:pPr>
        <w:rPr>
          <w:sz w:val="24"/>
          <w:szCs w:val="24"/>
        </w:rPr>
      </w:pPr>
    </w:p>
    <w:p w:rsidR="000F7FF4" w:rsidRDefault="000F7FF4">
      <w:pPr>
        <w:rPr>
          <w:sz w:val="24"/>
          <w:szCs w:val="24"/>
        </w:rPr>
      </w:pPr>
      <w:r>
        <w:rPr>
          <w:sz w:val="24"/>
          <w:szCs w:val="24"/>
        </w:rPr>
        <w:t xml:space="preserve">NMFS </w:t>
      </w:r>
      <w:r w:rsidR="00F82611">
        <w:rPr>
          <w:sz w:val="24"/>
          <w:szCs w:val="24"/>
        </w:rPr>
        <w:t>officially began conducting the Trap Transfer Program in 2015, and works to maintain open industry/public communication as a part of participation in the program.  Feedback in the form of comments or questions is welcomed and encouraged throughout the trap transfer process, and several contact numbers are provided on the application form and supporting informational materials.</w:t>
      </w:r>
    </w:p>
    <w:p w:rsidR="00662D18" w:rsidRPr="00814026" w:rsidRDefault="00662D18">
      <w:pPr>
        <w:rPr>
          <w:sz w:val="24"/>
          <w:szCs w:val="24"/>
          <w:highlight w:val="lightGray"/>
        </w:rPr>
      </w:pPr>
    </w:p>
    <w:p w:rsidR="00F93D3D" w:rsidRPr="00814026" w:rsidRDefault="00F93D3D">
      <w:pPr>
        <w:rPr>
          <w:sz w:val="24"/>
          <w:szCs w:val="24"/>
          <w:highlight w:val="lightGray"/>
        </w:rPr>
      </w:pPr>
      <w:r w:rsidRPr="00F93D3D">
        <w:rPr>
          <w:sz w:val="24"/>
          <w:szCs w:val="24"/>
        </w:rPr>
        <w:t xml:space="preserve">In addition to formal announcements made each year by NMFS prior to the start of each </w:t>
      </w:r>
      <w:r>
        <w:rPr>
          <w:sz w:val="24"/>
          <w:szCs w:val="24"/>
        </w:rPr>
        <w:t>application submission period, NMFS has also held two public</w:t>
      </w:r>
      <w:r w:rsidR="003346D5">
        <w:rPr>
          <w:sz w:val="24"/>
          <w:szCs w:val="24"/>
        </w:rPr>
        <w:t xml:space="preserve"> informational</w:t>
      </w:r>
      <w:r>
        <w:rPr>
          <w:sz w:val="24"/>
          <w:szCs w:val="24"/>
        </w:rPr>
        <w:t xml:space="preserve"> workshops in July </w:t>
      </w:r>
      <w:r w:rsidR="003346D5">
        <w:rPr>
          <w:sz w:val="24"/>
          <w:szCs w:val="24"/>
        </w:rPr>
        <w:t>each year to remind interested parties about the Trap Transfer Program, provide details about any updates or changes to the program, and take any questions or feedback from attendees.  Comments from these workshops are used to improve the program moving forward, and streamline to process of transferring traps for everyone involved.</w:t>
      </w:r>
      <w:r w:rsidR="00261082">
        <w:rPr>
          <w:sz w:val="24"/>
          <w:szCs w:val="24"/>
        </w:rPr>
        <w:t xml:space="preserve">  This year’s workshops were held on July 20, 2016</w:t>
      </w:r>
      <w:r w:rsidR="00AE7E29">
        <w:rPr>
          <w:sz w:val="24"/>
          <w:szCs w:val="24"/>
        </w:rPr>
        <w:t>,</w:t>
      </w:r>
      <w:r w:rsidR="00261082">
        <w:rPr>
          <w:sz w:val="24"/>
          <w:szCs w:val="24"/>
        </w:rPr>
        <w:t xml:space="preserve"> in Gloucester, MA, and July 21, 2016</w:t>
      </w:r>
      <w:r w:rsidR="00AE7E29">
        <w:rPr>
          <w:sz w:val="24"/>
          <w:szCs w:val="24"/>
        </w:rPr>
        <w:t>,</w:t>
      </w:r>
      <w:r w:rsidR="00261082">
        <w:rPr>
          <w:sz w:val="24"/>
          <w:szCs w:val="24"/>
        </w:rPr>
        <w:t xml:space="preserve"> in New Bedford, MA.  </w:t>
      </w:r>
      <w:r w:rsidR="00C422BF">
        <w:rPr>
          <w:sz w:val="24"/>
          <w:szCs w:val="24"/>
        </w:rPr>
        <w:t>Although the workshops were well attended by state agency, government, and fishing industry members, t</w:t>
      </w:r>
      <w:r w:rsidR="00261082">
        <w:rPr>
          <w:sz w:val="24"/>
          <w:szCs w:val="24"/>
        </w:rPr>
        <w:t>here was little comment this year on the collection of information itself</w:t>
      </w:r>
      <w:r w:rsidR="00C422BF">
        <w:rPr>
          <w:sz w:val="24"/>
          <w:szCs w:val="24"/>
        </w:rPr>
        <w:t xml:space="preserve">.  This was most likely because the industry and other interested parties were already familiar with the program from the first year (2015) and its previous workshops.  </w:t>
      </w:r>
      <w:r w:rsidR="00AE7E29">
        <w:rPr>
          <w:sz w:val="24"/>
          <w:szCs w:val="24"/>
        </w:rPr>
        <w:t>S</w:t>
      </w:r>
      <w:r w:rsidR="00C422BF">
        <w:rPr>
          <w:sz w:val="24"/>
          <w:szCs w:val="24"/>
        </w:rPr>
        <w:t xml:space="preserve">ome </w:t>
      </w:r>
      <w:r w:rsidR="00910052">
        <w:rPr>
          <w:sz w:val="24"/>
          <w:szCs w:val="24"/>
        </w:rPr>
        <w:t xml:space="preserve">participants </w:t>
      </w:r>
      <w:r w:rsidR="00AE7E29">
        <w:rPr>
          <w:sz w:val="24"/>
          <w:szCs w:val="24"/>
        </w:rPr>
        <w:t xml:space="preserve">in these workshops </w:t>
      </w:r>
      <w:r w:rsidR="00C422BF">
        <w:rPr>
          <w:sz w:val="24"/>
          <w:szCs w:val="24"/>
        </w:rPr>
        <w:t>did want</w:t>
      </w:r>
      <w:r w:rsidR="00910052">
        <w:rPr>
          <w:sz w:val="24"/>
          <w:szCs w:val="24"/>
        </w:rPr>
        <w:t xml:space="preserve"> to confirm the details of the timeframe for submitting applications, and </w:t>
      </w:r>
      <w:r w:rsidR="00C422BF">
        <w:rPr>
          <w:sz w:val="24"/>
          <w:szCs w:val="24"/>
        </w:rPr>
        <w:t xml:space="preserve">the </w:t>
      </w:r>
      <w:r w:rsidR="00910052">
        <w:rPr>
          <w:sz w:val="24"/>
          <w:szCs w:val="24"/>
        </w:rPr>
        <w:t>logistics of filling out the form itself.  In addition to answering questions at the workshops</w:t>
      </w:r>
      <w:r w:rsidR="005E7B52">
        <w:rPr>
          <w:sz w:val="24"/>
          <w:szCs w:val="24"/>
        </w:rPr>
        <w:t>,</w:t>
      </w:r>
      <w:r w:rsidR="00910052">
        <w:rPr>
          <w:sz w:val="24"/>
          <w:szCs w:val="24"/>
        </w:rPr>
        <w:t xml:space="preserve"> and afterwards on the phone, NMFS responded to this general request </w:t>
      </w:r>
      <w:r w:rsidR="00D44579">
        <w:rPr>
          <w:sz w:val="24"/>
          <w:szCs w:val="24"/>
        </w:rPr>
        <w:t xml:space="preserve">regarding </w:t>
      </w:r>
      <w:r w:rsidR="00910052">
        <w:rPr>
          <w:sz w:val="24"/>
          <w:szCs w:val="24"/>
        </w:rPr>
        <w:t>clarity of instructions by sending another reminder about the application submission time period, and organizing all of the application materials (including application forms, practice worksheets, instructional packet, etc.) into one place and posting them in their own section on the American Lobster page on the NMFS website.  This way, interested parties can access everything they need for the Trap Transfer Program all in one place</w:t>
      </w:r>
      <w:r w:rsidR="005E7B52">
        <w:rPr>
          <w:sz w:val="24"/>
          <w:szCs w:val="24"/>
        </w:rPr>
        <w:t>, and in an electronic format</w:t>
      </w:r>
      <w:r w:rsidR="00910052">
        <w:rPr>
          <w:sz w:val="24"/>
          <w:szCs w:val="24"/>
        </w:rPr>
        <w:t>.</w:t>
      </w:r>
    </w:p>
    <w:p w:rsidR="004F26E9" w:rsidRPr="006414A8" w:rsidRDefault="004F26E9">
      <w:pPr>
        <w:rPr>
          <w:sz w:val="24"/>
          <w:szCs w:val="24"/>
        </w:rPr>
      </w:pPr>
    </w:p>
    <w:p w:rsidR="004F26E9" w:rsidRDefault="004F26E9">
      <w:pPr>
        <w:rPr>
          <w:sz w:val="24"/>
          <w:szCs w:val="24"/>
        </w:rPr>
      </w:pPr>
      <w:r w:rsidRPr="006414A8">
        <w:rPr>
          <w:b/>
          <w:bCs/>
          <w:sz w:val="24"/>
          <w:szCs w:val="24"/>
        </w:rPr>
        <w:t xml:space="preserve">9.  </w:t>
      </w:r>
      <w:r w:rsidRPr="006414A8">
        <w:rPr>
          <w:b/>
          <w:bCs/>
          <w:sz w:val="24"/>
          <w:szCs w:val="24"/>
          <w:u w:val="single"/>
        </w:rPr>
        <w:t>Explain any decisions to provide payments or gifts to respondents, other than remuneration</w:t>
      </w:r>
      <w:r>
        <w:rPr>
          <w:b/>
          <w:bCs/>
          <w:sz w:val="24"/>
          <w:szCs w:val="24"/>
          <w:u w:val="single"/>
        </w:rPr>
        <w:t xml:space="preserve"> of contractors or grantees</w:t>
      </w:r>
      <w:r>
        <w:rPr>
          <w:b/>
          <w:bCs/>
          <w:sz w:val="24"/>
          <w:szCs w:val="24"/>
        </w:rPr>
        <w:t>.</w:t>
      </w:r>
    </w:p>
    <w:p w:rsidR="004F26E9" w:rsidRDefault="004F26E9">
      <w:pPr>
        <w:rPr>
          <w:sz w:val="24"/>
          <w:szCs w:val="24"/>
        </w:rPr>
      </w:pPr>
    </w:p>
    <w:p w:rsidR="004F26E9" w:rsidRDefault="00E468AE">
      <w:pPr>
        <w:rPr>
          <w:sz w:val="24"/>
          <w:szCs w:val="24"/>
        </w:rPr>
      </w:pPr>
      <w:r w:rsidRPr="00E468AE">
        <w:rPr>
          <w:sz w:val="24"/>
          <w:szCs w:val="24"/>
        </w:rPr>
        <w:t>Respondents will not receive any gifts or payment.</w:t>
      </w:r>
    </w:p>
    <w:p w:rsidR="004F26E9" w:rsidRDefault="004F26E9">
      <w:pPr>
        <w:rPr>
          <w:sz w:val="24"/>
          <w:szCs w:val="24"/>
        </w:rPr>
      </w:pPr>
    </w:p>
    <w:p w:rsidR="00D44579" w:rsidRDefault="00D44579">
      <w:pPr>
        <w:rPr>
          <w:b/>
          <w:bCs/>
          <w:sz w:val="24"/>
          <w:szCs w:val="24"/>
        </w:rPr>
      </w:pPr>
    </w:p>
    <w:p w:rsidR="004F26E9" w:rsidRDefault="004F26E9">
      <w:pPr>
        <w:rPr>
          <w:sz w:val="24"/>
          <w:szCs w:val="24"/>
        </w:rPr>
      </w:pPr>
      <w:r>
        <w:rPr>
          <w:b/>
          <w:bCs/>
          <w:sz w:val="24"/>
          <w:szCs w:val="24"/>
        </w:rPr>
        <w:lastRenderedPageBreak/>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4F26E9" w:rsidRDefault="005404ED">
      <w:pPr>
        <w:rPr>
          <w:sz w:val="24"/>
          <w:szCs w:val="24"/>
        </w:rPr>
      </w:pPr>
      <w:r w:rsidRPr="005404ED">
        <w:rPr>
          <w:sz w:val="24"/>
          <w:szCs w:val="24"/>
        </w:rPr>
        <w:t xml:space="preserve">As stated on the forms, all data will be kept confidential as required by </w:t>
      </w:r>
      <w:hyperlink r:id="rId10" w:history="1">
        <w:r w:rsidRPr="00D44579">
          <w:rPr>
            <w:rStyle w:val="Hyperlink"/>
            <w:sz w:val="24"/>
            <w:szCs w:val="24"/>
          </w:rPr>
          <w:t>NOAA Administrative Order 216-100, Confiden</w:t>
        </w:r>
        <w:r w:rsidR="00DE3B1B" w:rsidRPr="00D44579">
          <w:rPr>
            <w:rStyle w:val="Hyperlink"/>
            <w:sz w:val="24"/>
            <w:szCs w:val="24"/>
          </w:rPr>
          <w:t>tiality of Fisheries Statistics</w:t>
        </w:r>
      </w:hyperlink>
      <w:r w:rsidR="00DE3B1B">
        <w:rPr>
          <w:sz w:val="24"/>
          <w:szCs w:val="24"/>
        </w:rPr>
        <w:t xml:space="preserve">.  </w:t>
      </w:r>
      <w:r w:rsidR="00AE30E3">
        <w:rPr>
          <w:sz w:val="24"/>
          <w:szCs w:val="24"/>
        </w:rPr>
        <w:t>F</w:t>
      </w:r>
      <w:r w:rsidRPr="005404ED">
        <w:rPr>
          <w:sz w:val="24"/>
          <w:szCs w:val="24"/>
        </w:rPr>
        <w:t xml:space="preserve">inal eligibility determinations and trap allocations </w:t>
      </w:r>
      <w:r w:rsidR="00AE30E3">
        <w:rPr>
          <w:sz w:val="24"/>
          <w:szCs w:val="24"/>
        </w:rPr>
        <w:t>are</w:t>
      </w:r>
      <w:r w:rsidRPr="005404ED">
        <w:rPr>
          <w:sz w:val="24"/>
          <w:szCs w:val="24"/>
        </w:rPr>
        <w:t xml:space="preserve"> available to the public, consistent with current practices</w:t>
      </w:r>
      <w:r w:rsidR="00DB41E7">
        <w:rPr>
          <w:sz w:val="24"/>
          <w:szCs w:val="24"/>
        </w:rPr>
        <w:t xml:space="preserve"> relative to NMFS permit data</w:t>
      </w:r>
      <w:r w:rsidR="00AE30E3">
        <w:rPr>
          <w:sz w:val="24"/>
          <w:szCs w:val="24"/>
        </w:rPr>
        <w:t>, but no confidential data is included in this information, or ever made available</w:t>
      </w:r>
      <w:r w:rsidR="00DB41E7">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4F26E9" w:rsidRDefault="001972E5">
      <w:pPr>
        <w:rPr>
          <w:sz w:val="24"/>
          <w:szCs w:val="24"/>
        </w:rPr>
      </w:pPr>
      <w:r w:rsidRPr="001972E5">
        <w:rPr>
          <w:sz w:val="24"/>
          <w:szCs w:val="24"/>
        </w:rPr>
        <w:t>There are no questions of a sensitive nature</w:t>
      </w:r>
      <w:r>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D52EB6" w:rsidRDefault="00D52EB6" w:rsidP="00BD2637">
      <w:pPr>
        <w:rPr>
          <w:sz w:val="24"/>
          <w:szCs w:val="24"/>
        </w:rPr>
      </w:pPr>
    </w:p>
    <w:p w:rsidR="0019280A" w:rsidRDefault="00E60A5A" w:rsidP="00BD2637">
      <w:pPr>
        <w:rPr>
          <w:sz w:val="24"/>
          <w:szCs w:val="24"/>
        </w:rPr>
      </w:pPr>
      <w:r>
        <w:rPr>
          <w:sz w:val="24"/>
          <w:szCs w:val="24"/>
        </w:rPr>
        <w:t>For each trap transfer transaction, b</w:t>
      </w:r>
      <w:r w:rsidR="0019280A" w:rsidRPr="0019280A">
        <w:rPr>
          <w:sz w:val="24"/>
          <w:szCs w:val="24"/>
        </w:rPr>
        <w:t>oth the sel</w:t>
      </w:r>
      <w:r w:rsidR="0019280A">
        <w:rPr>
          <w:sz w:val="24"/>
          <w:szCs w:val="24"/>
        </w:rPr>
        <w:t>ler and</w:t>
      </w:r>
      <w:r w:rsidR="0019280A" w:rsidRPr="0019280A">
        <w:rPr>
          <w:sz w:val="24"/>
          <w:szCs w:val="24"/>
        </w:rPr>
        <w:t xml:space="preserve"> buyer of the traps need to </w:t>
      </w:r>
      <w:r w:rsidR="00744966">
        <w:rPr>
          <w:sz w:val="24"/>
          <w:szCs w:val="24"/>
        </w:rPr>
        <w:t>fill out</w:t>
      </w:r>
      <w:r>
        <w:rPr>
          <w:sz w:val="24"/>
          <w:szCs w:val="24"/>
        </w:rPr>
        <w:t>, sign, and date</w:t>
      </w:r>
      <w:r w:rsidR="0019280A" w:rsidRPr="0019280A">
        <w:rPr>
          <w:sz w:val="24"/>
          <w:szCs w:val="24"/>
        </w:rPr>
        <w:t xml:space="preserve"> the trap transfer application form</w:t>
      </w:r>
      <w:r w:rsidR="00744966">
        <w:rPr>
          <w:sz w:val="24"/>
          <w:szCs w:val="24"/>
        </w:rPr>
        <w:t xml:space="preserve"> together</w:t>
      </w:r>
      <w:r>
        <w:rPr>
          <w:sz w:val="24"/>
          <w:szCs w:val="24"/>
        </w:rPr>
        <w:t>; resulting in two applicants/parties (buyer and seller) for each application/transaction</w:t>
      </w:r>
      <w:r w:rsidR="00744966">
        <w:rPr>
          <w:sz w:val="24"/>
          <w:szCs w:val="24"/>
        </w:rPr>
        <w:t>.</w:t>
      </w:r>
      <w:r w:rsidRPr="00E60A5A">
        <w:t xml:space="preserve"> </w:t>
      </w:r>
      <w:r w:rsidR="00916386">
        <w:t xml:space="preserve"> </w:t>
      </w:r>
      <w:r w:rsidRPr="00E60A5A">
        <w:rPr>
          <w:b/>
          <w:sz w:val="24"/>
          <w:szCs w:val="24"/>
        </w:rPr>
        <w:t>NMFS estimates that for each two-party transaction, it takes 10 minutes to complete the application form, sign the form in agreement, and submit the final application to NMFS.</w:t>
      </w:r>
      <w:r w:rsidR="00916386">
        <w:rPr>
          <w:sz w:val="24"/>
          <w:szCs w:val="24"/>
        </w:rPr>
        <w:t xml:space="preserve">  </w:t>
      </w:r>
      <w:r w:rsidR="00D9298D">
        <w:rPr>
          <w:sz w:val="24"/>
          <w:szCs w:val="24"/>
        </w:rPr>
        <w:t>T</w:t>
      </w:r>
      <w:r w:rsidR="00A777E6" w:rsidRPr="00A777E6">
        <w:rPr>
          <w:sz w:val="24"/>
          <w:szCs w:val="24"/>
        </w:rPr>
        <w:t xml:space="preserve">he time required for a permit holder to submit a trap transfer application online is </w:t>
      </w:r>
      <w:r w:rsidR="00D9298D">
        <w:rPr>
          <w:sz w:val="24"/>
          <w:szCs w:val="24"/>
        </w:rPr>
        <w:t xml:space="preserve">roughly </w:t>
      </w:r>
      <w:r w:rsidR="00A777E6" w:rsidRPr="00A777E6">
        <w:rPr>
          <w:sz w:val="24"/>
          <w:szCs w:val="24"/>
        </w:rPr>
        <w:t>the same as submitting a hard copy, but the costs of an electronic submission could be $0.00, since those choosing that option may already have</w:t>
      </w:r>
      <w:r w:rsidR="00D91F7B">
        <w:rPr>
          <w:sz w:val="24"/>
          <w:szCs w:val="24"/>
        </w:rPr>
        <w:t xml:space="preserve"> access to a computer and the i</w:t>
      </w:r>
      <w:r w:rsidR="00A777E6" w:rsidRPr="00A777E6">
        <w:rPr>
          <w:sz w:val="24"/>
          <w:szCs w:val="24"/>
        </w:rPr>
        <w:t xml:space="preserve">nternet.  </w:t>
      </w:r>
      <w:r w:rsidR="00D91F7B">
        <w:rPr>
          <w:sz w:val="24"/>
          <w:szCs w:val="24"/>
        </w:rPr>
        <w:t xml:space="preserve">In the first two years of the Trap Transfer Program, most applications have been received by email or fax, but several are still received in hard copy format through the mail.  It can be difficult to determine, in any given year, how applications will be submitted, and there are still participants with limited access to computers and the internet. </w:t>
      </w:r>
      <w:r w:rsidR="00F278F2">
        <w:rPr>
          <w:sz w:val="24"/>
          <w:szCs w:val="24"/>
        </w:rPr>
        <w:t xml:space="preserve"> </w:t>
      </w:r>
      <w:r w:rsidR="00D91F7B">
        <w:rPr>
          <w:sz w:val="24"/>
          <w:szCs w:val="24"/>
        </w:rPr>
        <w:t xml:space="preserve">So </w:t>
      </w:r>
      <w:r w:rsidR="00F278F2">
        <w:rPr>
          <w:sz w:val="24"/>
          <w:szCs w:val="24"/>
        </w:rPr>
        <w:t>we will assume</w:t>
      </w:r>
      <w:r w:rsidR="007B36E6">
        <w:rPr>
          <w:sz w:val="24"/>
          <w:szCs w:val="24"/>
        </w:rPr>
        <w:t>—for the purposes of public burden estimation—that all participants will conduct their transactions using hard-copy submissions.</w:t>
      </w:r>
    </w:p>
    <w:p w:rsidR="004A73ED" w:rsidRDefault="004A73ED" w:rsidP="0019280A">
      <w:pPr>
        <w:rPr>
          <w:sz w:val="24"/>
          <w:szCs w:val="24"/>
        </w:rPr>
      </w:pPr>
    </w:p>
    <w:p w:rsidR="004A73ED" w:rsidRDefault="004A73ED" w:rsidP="0019280A">
      <w:pPr>
        <w:rPr>
          <w:sz w:val="24"/>
          <w:szCs w:val="24"/>
        </w:rPr>
      </w:pPr>
      <w:r>
        <w:rPr>
          <w:sz w:val="24"/>
          <w:szCs w:val="24"/>
        </w:rPr>
        <w:t>While it is difficult to estimate how ma</w:t>
      </w:r>
      <w:r w:rsidR="006E4E1A">
        <w:rPr>
          <w:sz w:val="24"/>
          <w:szCs w:val="24"/>
        </w:rPr>
        <w:t>ny</w:t>
      </w:r>
      <w:r>
        <w:rPr>
          <w:sz w:val="24"/>
          <w:szCs w:val="24"/>
        </w:rPr>
        <w:t xml:space="preserve"> Federal lobster permit holders will take advantage of the </w:t>
      </w:r>
      <w:r w:rsidR="009E7086">
        <w:rPr>
          <w:sz w:val="24"/>
          <w:szCs w:val="24"/>
        </w:rPr>
        <w:t>T</w:t>
      </w:r>
      <w:r>
        <w:rPr>
          <w:sz w:val="24"/>
          <w:szCs w:val="24"/>
        </w:rPr>
        <w:t xml:space="preserve">rap </w:t>
      </w:r>
      <w:r w:rsidR="009E7086">
        <w:rPr>
          <w:sz w:val="24"/>
          <w:szCs w:val="24"/>
        </w:rPr>
        <w:t>T</w:t>
      </w:r>
      <w:r>
        <w:rPr>
          <w:sz w:val="24"/>
          <w:szCs w:val="24"/>
        </w:rPr>
        <w:t xml:space="preserve">ransfer </w:t>
      </w:r>
      <w:r w:rsidR="009E7086">
        <w:rPr>
          <w:sz w:val="24"/>
          <w:szCs w:val="24"/>
        </w:rPr>
        <w:t>P</w:t>
      </w:r>
      <w:r>
        <w:rPr>
          <w:sz w:val="24"/>
          <w:szCs w:val="24"/>
        </w:rPr>
        <w:t xml:space="preserve">rogram in any given year, </w:t>
      </w:r>
      <w:r w:rsidR="00687EB7">
        <w:rPr>
          <w:sz w:val="24"/>
          <w:szCs w:val="24"/>
        </w:rPr>
        <w:t>data is now available</w:t>
      </w:r>
      <w:r>
        <w:rPr>
          <w:sz w:val="24"/>
          <w:szCs w:val="24"/>
        </w:rPr>
        <w:t xml:space="preserve"> from the first two years of the program for some preliminary reference.</w:t>
      </w:r>
      <w:r w:rsidR="00D60E42">
        <w:rPr>
          <w:sz w:val="24"/>
          <w:szCs w:val="24"/>
        </w:rPr>
        <w:t xml:space="preserve"> </w:t>
      </w:r>
      <w:r w:rsidR="00DB41E7">
        <w:rPr>
          <w:sz w:val="24"/>
          <w:szCs w:val="24"/>
        </w:rPr>
        <w:t xml:space="preserve"> </w:t>
      </w:r>
      <w:r w:rsidR="00687EB7">
        <w:rPr>
          <w:sz w:val="24"/>
          <w:szCs w:val="24"/>
        </w:rPr>
        <w:t>NMFS</w:t>
      </w:r>
      <w:r w:rsidR="00D60E42">
        <w:rPr>
          <w:sz w:val="24"/>
          <w:szCs w:val="24"/>
        </w:rPr>
        <w:t xml:space="preserve"> initially predicted that the greatest number of transfers would take place within the first two to three years of the program (in its early stages); with a rapid decline in following years as businesses stabilize, the availability of traps decrease, and prices for remaining traps increase. </w:t>
      </w:r>
      <w:r w:rsidR="00DB41E7">
        <w:rPr>
          <w:sz w:val="24"/>
          <w:szCs w:val="24"/>
        </w:rPr>
        <w:t xml:space="preserve"> </w:t>
      </w:r>
      <w:r w:rsidR="0017530D">
        <w:rPr>
          <w:sz w:val="24"/>
          <w:szCs w:val="24"/>
        </w:rPr>
        <w:t xml:space="preserve">With only two years of data, </w:t>
      </w:r>
      <w:r w:rsidR="00CE590A">
        <w:rPr>
          <w:sz w:val="24"/>
          <w:szCs w:val="24"/>
        </w:rPr>
        <w:t>it is difficult</w:t>
      </w:r>
      <w:r w:rsidR="0017530D">
        <w:rPr>
          <w:sz w:val="24"/>
          <w:szCs w:val="24"/>
        </w:rPr>
        <w:t xml:space="preserve"> to see evidence of any trends at this time, and </w:t>
      </w:r>
      <w:r w:rsidR="007A46FF">
        <w:rPr>
          <w:sz w:val="24"/>
          <w:szCs w:val="24"/>
        </w:rPr>
        <w:t xml:space="preserve">NMFS </w:t>
      </w:r>
      <w:r w:rsidR="0017530D">
        <w:rPr>
          <w:sz w:val="24"/>
          <w:szCs w:val="24"/>
        </w:rPr>
        <w:t xml:space="preserve">can only adjust estimations accordingly.  </w:t>
      </w:r>
      <w:r w:rsidR="007A46FF">
        <w:rPr>
          <w:sz w:val="24"/>
          <w:szCs w:val="24"/>
        </w:rPr>
        <w:t xml:space="preserve">NMFS </w:t>
      </w:r>
      <w:r w:rsidR="00D60E42">
        <w:rPr>
          <w:sz w:val="24"/>
          <w:szCs w:val="24"/>
        </w:rPr>
        <w:t>can only make rough estimates about perm</w:t>
      </w:r>
      <w:r w:rsidR="009E7086">
        <w:rPr>
          <w:sz w:val="24"/>
          <w:szCs w:val="24"/>
        </w:rPr>
        <w:t>it holder participation in the T</w:t>
      </w:r>
      <w:r w:rsidR="00D60E42">
        <w:rPr>
          <w:sz w:val="24"/>
          <w:szCs w:val="24"/>
        </w:rPr>
        <w:t xml:space="preserve">rap </w:t>
      </w:r>
      <w:r w:rsidR="009E7086">
        <w:rPr>
          <w:sz w:val="24"/>
          <w:szCs w:val="24"/>
        </w:rPr>
        <w:t>T</w:t>
      </w:r>
      <w:r w:rsidR="00D60E42">
        <w:rPr>
          <w:sz w:val="24"/>
          <w:szCs w:val="24"/>
        </w:rPr>
        <w:t xml:space="preserve">ransfer </w:t>
      </w:r>
      <w:r w:rsidR="009E7086">
        <w:rPr>
          <w:sz w:val="24"/>
          <w:szCs w:val="24"/>
        </w:rPr>
        <w:t>P</w:t>
      </w:r>
      <w:r w:rsidR="00D60E42">
        <w:rPr>
          <w:sz w:val="24"/>
          <w:szCs w:val="24"/>
        </w:rPr>
        <w:t>rogram</w:t>
      </w:r>
      <w:r w:rsidR="00CE590A">
        <w:rPr>
          <w:sz w:val="24"/>
          <w:szCs w:val="24"/>
        </w:rPr>
        <w:t xml:space="preserve"> at this time</w:t>
      </w:r>
      <w:r w:rsidR="007A46FF">
        <w:rPr>
          <w:sz w:val="24"/>
          <w:szCs w:val="24"/>
        </w:rPr>
        <w:t>;</w:t>
      </w:r>
      <w:r w:rsidR="00D60E42">
        <w:rPr>
          <w:sz w:val="24"/>
          <w:szCs w:val="24"/>
        </w:rPr>
        <w:t xml:space="preserve"> but drawing on preliminary data from the first two years, </w:t>
      </w:r>
      <w:r w:rsidR="007A46FF">
        <w:rPr>
          <w:sz w:val="24"/>
          <w:szCs w:val="24"/>
        </w:rPr>
        <w:t>these approximations are</w:t>
      </w:r>
      <w:r w:rsidR="00D60E42">
        <w:rPr>
          <w:sz w:val="24"/>
          <w:szCs w:val="24"/>
        </w:rPr>
        <w:t xml:space="preserve"> better informed than in </w:t>
      </w:r>
      <w:r w:rsidR="007A46FF">
        <w:rPr>
          <w:sz w:val="24"/>
          <w:szCs w:val="24"/>
        </w:rPr>
        <w:t xml:space="preserve">the </w:t>
      </w:r>
      <w:r w:rsidR="00D60E42">
        <w:rPr>
          <w:sz w:val="24"/>
          <w:szCs w:val="24"/>
        </w:rPr>
        <w:t>initial estimate.</w:t>
      </w:r>
    </w:p>
    <w:p w:rsidR="00011DE4" w:rsidRDefault="00011DE4" w:rsidP="0019280A">
      <w:pPr>
        <w:rPr>
          <w:sz w:val="24"/>
          <w:szCs w:val="24"/>
        </w:rPr>
      </w:pPr>
    </w:p>
    <w:p w:rsidR="00490875" w:rsidRDefault="00011DE4" w:rsidP="000D3F4A">
      <w:pPr>
        <w:rPr>
          <w:b/>
          <w:sz w:val="24"/>
          <w:szCs w:val="24"/>
        </w:rPr>
      </w:pPr>
      <w:r w:rsidRPr="0014392D">
        <w:rPr>
          <w:sz w:val="24"/>
          <w:szCs w:val="24"/>
        </w:rPr>
        <w:t xml:space="preserve">In general, based upon relative interest and initial numbers, </w:t>
      </w:r>
      <w:r w:rsidR="00221BCC" w:rsidRPr="0014392D">
        <w:rPr>
          <w:sz w:val="24"/>
          <w:szCs w:val="24"/>
        </w:rPr>
        <w:t>NMFS</w:t>
      </w:r>
      <w:r w:rsidR="00E53DA0" w:rsidRPr="0014392D">
        <w:rPr>
          <w:sz w:val="24"/>
          <w:szCs w:val="24"/>
        </w:rPr>
        <w:t xml:space="preserve"> estimate</w:t>
      </w:r>
      <w:r w:rsidR="00221BCC" w:rsidRPr="0014392D">
        <w:rPr>
          <w:sz w:val="24"/>
          <w:szCs w:val="24"/>
        </w:rPr>
        <w:t>s</w:t>
      </w:r>
      <w:r w:rsidR="00E53DA0" w:rsidRPr="0014392D">
        <w:rPr>
          <w:sz w:val="24"/>
          <w:szCs w:val="24"/>
        </w:rPr>
        <w:t xml:space="preserve"> that approximately 25 percent</w:t>
      </w:r>
      <w:r w:rsidRPr="0014392D">
        <w:rPr>
          <w:sz w:val="24"/>
          <w:szCs w:val="24"/>
        </w:rPr>
        <w:t xml:space="preserve"> of those permit holders </w:t>
      </w:r>
      <w:r w:rsidR="00EE1E2B" w:rsidRPr="0014392D">
        <w:rPr>
          <w:sz w:val="24"/>
          <w:szCs w:val="24"/>
        </w:rPr>
        <w:t>with trap allocations in</w:t>
      </w:r>
      <w:r w:rsidRPr="0014392D">
        <w:rPr>
          <w:sz w:val="24"/>
          <w:szCs w:val="24"/>
        </w:rPr>
        <w:t xml:space="preserve"> one of the transferable area</w:t>
      </w:r>
      <w:r w:rsidR="00EE1E2B" w:rsidRPr="0014392D">
        <w:rPr>
          <w:sz w:val="24"/>
          <w:szCs w:val="24"/>
        </w:rPr>
        <w:t>s</w:t>
      </w:r>
      <w:r w:rsidRPr="0014392D">
        <w:rPr>
          <w:sz w:val="24"/>
          <w:szCs w:val="24"/>
        </w:rPr>
        <w:t xml:space="preserve"> (Area 2, Area 3, Outer Cape Cod Area) may decide to transfer traps</w:t>
      </w:r>
      <w:r w:rsidR="00A4437D" w:rsidRPr="0014392D">
        <w:rPr>
          <w:sz w:val="24"/>
          <w:szCs w:val="24"/>
        </w:rPr>
        <w:t xml:space="preserve">.  </w:t>
      </w:r>
      <w:r w:rsidR="00A4437D" w:rsidRPr="0014392D">
        <w:rPr>
          <w:b/>
          <w:sz w:val="24"/>
          <w:szCs w:val="24"/>
        </w:rPr>
        <w:t>This amounts to 86 permit holders</w:t>
      </w:r>
      <w:r w:rsidR="00563C32" w:rsidRPr="0014392D">
        <w:rPr>
          <w:rStyle w:val="FootnoteReference"/>
          <w:b/>
          <w:sz w:val="24"/>
          <w:szCs w:val="24"/>
        </w:rPr>
        <w:footnoteReference w:id="1"/>
      </w:r>
      <w:r w:rsidR="00563C32" w:rsidRPr="0014392D">
        <w:rPr>
          <w:b/>
          <w:sz w:val="24"/>
          <w:szCs w:val="24"/>
        </w:rPr>
        <w:t>.</w:t>
      </w:r>
      <w:r w:rsidR="00FD45D4" w:rsidRPr="0014392D">
        <w:rPr>
          <w:sz w:val="24"/>
          <w:szCs w:val="24"/>
        </w:rPr>
        <w:t xml:space="preserve">  </w:t>
      </w:r>
      <w:r w:rsidR="00FD45D4" w:rsidRPr="00B570F5">
        <w:rPr>
          <w:sz w:val="24"/>
          <w:szCs w:val="24"/>
        </w:rPr>
        <w:t xml:space="preserve">Permit holders </w:t>
      </w:r>
      <w:r w:rsidR="00EE1E2B" w:rsidRPr="00B570F5">
        <w:rPr>
          <w:sz w:val="24"/>
          <w:szCs w:val="24"/>
        </w:rPr>
        <w:t xml:space="preserve">with trap allocation in other </w:t>
      </w:r>
      <w:r w:rsidR="00FD45D4" w:rsidRPr="00B570F5">
        <w:rPr>
          <w:sz w:val="24"/>
          <w:szCs w:val="24"/>
        </w:rPr>
        <w:t xml:space="preserve">areas and those with non-trap permits may </w:t>
      </w:r>
      <w:r w:rsidR="00FD45D4" w:rsidRPr="00B570F5">
        <w:rPr>
          <w:sz w:val="24"/>
          <w:szCs w:val="24"/>
        </w:rPr>
        <w:lastRenderedPageBreak/>
        <w:t>also be interested in establishing a trap allocation for the trap transferability areas.</w:t>
      </w:r>
      <w:r w:rsidR="00461F75" w:rsidRPr="00B570F5">
        <w:rPr>
          <w:sz w:val="24"/>
          <w:szCs w:val="24"/>
        </w:rPr>
        <w:t xml:space="preserve"> </w:t>
      </w:r>
      <w:r w:rsidR="00DB41E7" w:rsidRPr="00B570F5">
        <w:rPr>
          <w:sz w:val="24"/>
          <w:szCs w:val="24"/>
        </w:rPr>
        <w:t xml:space="preserve"> </w:t>
      </w:r>
      <w:r w:rsidR="00461F75" w:rsidRPr="00B570F5">
        <w:rPr>
          <w:sz w:val="24"/>
          <w:szCs w:val="24"/>
        </w:rPr>
        <w:t xml:space="preserve">Some </w:t>
      </w:r>
      <w:r w:rsidR="00B570F5" w:rsidRPr="00B570F5">
        <w:rPr>
          <w:sz w:val="24"/>
          <w:szCs w:val="24"/>
        </w:rPr>
        <w:t xml:space="preserve">factors that may influence a permit holder’s decision to “buy in” to one of these areas </w:t>
      </w:r>
      <w:r w:rsidR="00461F75" w:rsidRPr="00B570F5">
        <w:rPr>
          <w:sz w:val="24"/>
          <w:szCs w:val="24"/>
        </w:rPr>
        <w:t xml:space="preserve">may be: The availability and price of traps; the location of the permit holders; the gear types they use; and the other areas </w:t>
      </w:r>
      <w:r w:rsidR="00B570F5" w:rsidRPr="00B570F5">
        <w:rPr>
          <w:sz w:val="24"/>
          <w:szCs w:val="24"/>
        </w:rPr>
        <w:t xml:space="preserve">and allocations </w:t>
      </w:r>
      <w:r w:rsidR="00461F75" w:rsidRPr="00B570F5">
        <w:rPr>
          <w:sz w:val="24"/>
          <w:szCs w:val="24"/>
        </w:rPr>
        <w:t xml:space="preserve">they may already be authorized to fish.  </w:t>
      </w:r>
      <w:r w:rsidR="000D3F4A" w:rsidRPr="00B570F5">
        <w:rPr>
          <w:sz w:val="24"/>
          <w:szCs w:val="24"/>
        </w:rPr>
        <w:t>Given these fa</w:t>
      </w:r>
      <w:r w:rsidR="00461F75" w:rsidRPr="00B570F5">
        <w:rPr>
          <w:sz w:val="24"/>
          <w:szCs w:val="24"/>
        </w:rPr>
        <w:t>ctors, initial program numbers, and other uncertainties—including the current failing stock status of Southern New England lobster—</w:t>
      </w:r>
      <w:r w:rsidR="000D3F4A" w:rsidRPr="00B570F5">
        <w:rPr>
          <w:sz w:val="24"/>
          <w:szCs w:val="24"/>
        </w:rPr>
        <w:t xml:space="preserve">it may be sufficient to estimate that about </w:t>
      </w:r>
      <w:r w:rsidR="00461F75" w:rsidRPr="00B570F5">
        <w:rPr>
          <w:sz w:val="24"/>
          <w:szCs w:val="24"/>
        </w:rPr>
        <w:t>5</w:t>
      </w:r>
      <w:r w:rsidR="00C06B7D" w:rsidRPr="00B570F5">
        <w:rPr>
          <w:sz w:val="24"/>
          <w:szCs w:val="24"/>
        </w:rPr>
        <w:t xml:space="preserve"> percent</w:t>
      </w:r>
      <w:r w:rsidR="000D3F4A" w:rsidRPr="00B570F5">
        <w:rPr>
          <w:sz w:val="24"/>
          <w:szCs w:val="24"/>
        </w:rPr>
        <w:t xml:space="preserve"> of all Federal lobster permit holders who</w:t>
      </w:r>
      <w:r w:rsidR="00461F75" w:rsidRPr="00B570F5">
        <w:rPr>
          <w:sz w:val="24"/>
          <w:szCs w:val="24"/>
        </w:rPr>
        <w:t xml:space="preserve"> </w:t>
      </w:r>
      <w:r w:rsidR="00EE1E2B" w:rsidRPr="00B570F5">
        <w:rPr>
          <w:sz w:val="24"/>
          <w:szCs w:val="24"/>
        </w:rPr>
        <w:t>do not have allocation in</w:t>
      </w:r>
      <w:r w:rsidR="000D3F4A" w:rsidRPr="00B570F5">
        <w:rPr>
          <w:sz w:val="24"/>
          <w:szCs w:val="24"/>
        </w:rPr>
        <w:t xml:space="preserve"> Area 2, Area 3 or the Outer Cap</w:t>
      </w:r>
      <w:r w:rsidR="009E7086" w:rsidRPr="00B570F5">
        <w:rPr>
          <w:sz w:val="24"/>
          <w:szCs w:val="24"/>
        </w:rPr>
        <w:t>e Area, may participate in the Trap Transfer P</w:t>
      </w:r>
      <w:r w:rsidR="000D3F4A" w:rsidRPr="00B570F5">
        <w:rPr>
          <w:sz w:val="24"/>
          <w:szCs w:val="24"/>
        </w:rPr>
        <w:t xml:space="preserve">rogram in any given year.  There are </w:t>
      </w:r>
      <w:r w:rsidR="00B27846" w:rsidRPr="00B570F5">
        <w:rPr>
          <w:sz w:val="24"/>
          <w:szCs w:val="24"/>
        </w:rPr>
        <w:t>3</w:t>
      </w:r>
      <w:r w:rsidR="000D3F4A" w:rsidRPr="00B570F5">
        <w:rPr>
          <w:sz w:val="24"/>
          <w:szCs w:val="24"/>
        </w:rPr>
        <w:t>,</w:t>
      </w:r>
      <w:r w:rsidR="00B27846" w:rsidRPr="00B570F5">
        <w:rPr>
          <w:sz w:val="24"/>
          <w:szCs w:val="24"/>
        </w:rPr>
        <w:t>072</w:t>
      </w:r>
      <w:r w:rsidR="000D3F4A" w:rsidRPr="00B570F5">
        <w:rPr>
          <w:sz w:val="24"/>
          <w:szCs w:val="24"/>
        </w:rPr>
        <w:t xml:space="preserve"> </w:t>
      </w:r>
      <w:r w:rsidR="00490875" w:rsidRPr="00B570F5">
        <w:rPr>
          <w:sz w:val="24"/>
          <w:szCs w:val="24"/>
        </w:rPr>
        <w:t>F</w:t>
      </w:r>
      <w:r w:rsidR="000D3F4A" w:rsidRPr="00B570F5">
        <w:rPr>
          <w:sz w:val="24"/>
          <w:szCs w:val="24"/>
        </w:rPr>
        <w:t xml:space="preserve">ederal lobster permits in </w:t>
      </w:r>
      <w:r w:rsidR="00490875" w:rsidRPr="00B570F5">
        <w:rPr>
          <w:sz w:val="24"/>
          <w:szCs w:val="24"/>
        </w:rPr>
        <w:t>2016</w:t>
      </w:r>
      <w:r w:rsidR="000D3F4A" w:rsidRPr="00B570F5">
        <w:rPr>
          <w:sz w:val="24"/>
          <w:szCs w:val="24"/>
        </w:rPr>
        <w:t xml:space="preserve">.  </w:t>
      </w:r>
      <w:r w:rsidR="00490875" w:rsidRPr="00B570F5">
        <w:rPr>
          <w:sz w:val="24"/>
          <w:szCs w:val="24"/>
        </w:rPr>
        <w:t>If we consider the 341 permits that qualify for at least one of the three trap transfer areas, the result is 2,731 permits that are not granted a trap allocation for these areas, and would need to “buy in” to gain access.</w:t>
      </w:r>
      <w:r w:rsidR="00864D25" w:rsidRPr="00B570F5">
        <w:rPr>
          <w:sz w:val="24"/>
          <w:szCs w:val="24"/>
        </w:rPr>
        <w:t xml:space="preserve">  We can assume that only those permit holders who are actively fishing their permits would want to add new fishing areas and expand the regions in which they can continue to fish</w:t>
      </w:r>
      <w:r w:rsidR="00EE1E2B" w:rsidRPr="00B570F5">
        <w:rPr>
          <w:rStyle w:val="FootnoteReference"/>
          <w:sz w:val="24"/>
          <w:szCs w:val="24"/>
        </w:rPr>
        <w:footnoteReference w:id="2"/>
      </w:r>
      <w:r w:rsidR="00864D25" w:rsidRPr="00B570F5">
        <w:rPr>
          <w:sz w:val="24"/>
          <w:szCs w:val="24"/>
        </w:rPr>
        <w:t xml:space="preserve">; so if we remove the 389 permits currently inactive in CPH (confirmation of permit history), we are left with 2,342 permits. </w:t>
      </w:r>
      <w:r w:rsidR="00DB41E7" w:rsidRPr="00B570F5">
        <w:rPr>
          <w:sz w:val="24"/>
          <w:szCs w:val="24"/>
        </w:rPr>
        <w:t xml:space="preserve"> </w:t>
      </w:r>
      <w:r w:rsidR="00864D25" w:rsidRPr="00D27FFB">
        <w:rPr>
          <w:sz w:val="24"/>
          <w:szCs w:val="24"/>
        </w:rPr>
        <w:t xml:space="preserve">Five percent of all lobster permits in this subset gives us </w:t>
      </w:r>
      <w:r w:rsidR="00864D25" w:rsidRPr="00D27FFB">
        <w:rPr>
          <w:b/>
          <w:sz w:val="24"/>
          <w:szCs w:val="24"/>
        </w:rPr>
        <w:t>a total of 118 permits/permit holders</w:t>
      </w:r>
      <w:r w:rsidR="00864D25" w:rsidRPr="00D27FFB">
        <w:rPr>
          <w:sz w:val="24"/>
          <w:szCs w:val="24"/>
        </w:rPr>
        <w:t xml:space="preserve"> who would </w:t>
      </w:r>
      <w:r w:rsidR="009E7086" w:rsidRPr="00D27FFB">
        <w:rPr>
          <w:sz w:val="24"/>
          <w:szCs w:val="24"/>
        </w:rPr>
        <w:t>potentially participate in the Trap Transfer P</w:t>
      </w:r>
      <w:r w:rsidR="00864D25" w:rsidRPr="00D27FFB">
        <w:rPr>
          <w:sz w:val="24"/>
          <w:szCs w:val="24"/>
        </w:rPr>
        <w:t>rogram.</w:t>
      </w:r>
      <w:r w:rsidR="00343DEB" w:rsidRPr="00D27FFB">
        <w:rPr>
          <w:sz w:val="24"/>
          <w:szCs w:val="24"/>
        </w:rPr>
        <w:t xml:space="preserve">  When this is added to the number of </w:t>
      </w:r>
      <w:r w:rsidR="00EE1E2B" w:rsidRPr="00D27FFB">
        <w:rPr>
          <w:sz w:val="24"/>
          <w:szCs w:val="24"/>
        </w:rPr>
        <w:t>permit holders with allocation in</w:t>
      </w:r>
      <w:r w:rsidR="00343DEB" w:rsidRPr="00D27FFB">
        <w:rPr>
          <w:sz w:val="24"/>
          <w:szCs w:val="24"/>
        </w:rPr>
        <w:t xml:space="preserve"> Area 2, Area 3, and the Outer Cape Area that are expected to participate (25</w:t>
      </w:r>
      <w:r w:rsidR="00C06B7D" w:rsidRPr="00D27FFB">
        <w:rPr>
          <w:sz w:val="24"/>
          <w:szCs w:val="24"/>
        </w:rPr>
        <w:t xml:space="preserve"> percent</w:t>
      </w:r>
      <w:r w:rsidR="00343DEB" w:rsidRPr="00D27FFB">
        <w:rPr>
          <w:sz w:val="24"/>
          <w:szCs w:val="24"/>
        </w:rPr>
        <w:t xml:space="preserve"> of the 341 total = 86), </w:t>
      </w:r>
      <w:r w:rsidR="00343DEB" w:rsidRPr="00D27FFB">
        <w:rPr>
          <w:b/>
          <w:sz w:val="24"/>
          <w:szCs w:val="24"/>
        </w:rPr>
        <w:t xml:space="preserve">the overall number of potential annual participants to buy and/or sell traps in any given year is </w:t>
      </w:r>
      <w:r w:rsidR="00E752DF" w:rsidRPr="00D27FFB">
        <w:rPr>
          <w:b/>
          <w:sz w:val="24"/>
          <w:szCs w:val="24"/>
        </w:rPr>
        <w:t>approximately 204 Federal lobster permit holders.</w:t>
      </w:r>
    </w:p>
    <w:p w:rsidR="00261F48" w:rsidRDefault="00261F48" w:rsidP="000D3F4A">
      <w:pPr>
        <w:rPr>
          <w:b/>
          <w:sz w:val="24"/>
          <w:szCs w:val="24"/>
        </w:rPr>
      </w:pPr>
    </w:p>
    <w:p w:rsidR="00261F48" w:rsidRPr="00261F48" w:rsidRDefault="00261F48" w:rsidP="000D3F4A">
      <w:pPr>
        <w:rPr>
          <w:sz w:val="24"/>
          <w:szCs w:val="24"/>
          <w:highlight w:val="yellow"/>
        </w:rPr>
      </w:pPr>
      <w:r>
        <w:rPr>
          <w:sz w:val="24"/>
          <w:szCs w:val="24"/>
        </w:rPr>
        <w:t xml:space="preserve">Each transfer transaction requires two permit holders, a buyer and a seller.  Therefore, the number of expected participants is twice the number of actual transactions.  </w:t>
      </w:r>
      <w:r w:rsidRPr="00570030">
        <w:rPr>
          <w:b/>
          <w:sz w:val="24"/>
          <w:szCs w:val="24"/>
        </w:rPr>
        <w:t>If 204 permit holders buy or sell traps in a given year, then the number of transfer transactions would be half that number, or 102 transactions.</w:t>
      </w:r>
      <w:r w:rsidR="00DB41E7">
        <w:rPr>
          <w:b/>
          <w:sz w:val="24"/>
          <w:szCs w:val="24"/>
        </w:rPr>
        <w:t xml:space="preserve"> </w:t>
      </w:r>
      <w:r>
        <w:rPr>
          <w:sz w:val="24"/>
          <w:szCs w:val="24"/>
        </w:rPr>
        <w:t xml:space="preserve"> </w:t>
      </w:r>
      <w:r w:rsidRPr="00570030">
        <w:rPr>
          <w:b/>
          <w:sz w:val="24"/>
          <w:szCs w:val="24"/>
        </w:rPr>
        <w:t xml:space="preserve">If each transaction takes 10 minutes to complete, then the total time for 204 </w:t>
      </w:r>
      <w:r w:rsidR="00570030" w:rsidRPr="00570030">
        <w:rPr>
          <w:b/>
          <w:sz w:val="24"/>
          <w:szCs w:val="24"/>
        </w:rPr>
        <w:t>permit holders to transfer traps through 102 transactions during the annual trap transfer application submission window is 17 hours (102 transactions X 10 minutes per transaction = 1,020 minutes = 17 hours).</w:t>
      </w:r>
    </w:p>
    <w:p w:rsidR="0019280A" w:rsidRPr="00BD2637" w:rsidRDefault="0019280A" w:rsidP="0019280A">
      <w:pPr>
        <w:rPr>
          <w:sz w:val="24"/>
          <w:szCs w:val="24"/>
          <w:highlight w:val="yellow"/>
        </w:rPr>
      </w:pPr>
    </w:p>
    <w:p w:rsidR="004F26E9" w:rsidRDefault="00F666D0" w:rsidP="00BD2637">
      <w:pPr>
        <w:rPr>
          <w:b/>
          <w:sz w:val="24"/>
          <w:szCs w:val="24"/>
        </w:rPr>
      </w:pPr>
      <w:r w:rsidRPr="00F666D0">
        <w:rPr>
          <w:sz w:val="24"/>
          <w:szCs w:val="24"/>
        </w:rPr>
        <w:t xml:space="preserve">Originally, this collection was part of a new rulemaking action, and included efforts to obtain </w:t>
      </w:r>
      <w:r w:rsidR="00005586" w:rsidRPr="00366328">
        <w:rPr>
          <w:sz w:val="24"/>
          <w:szCs w:val="24"/>
        </w:rPr>
        <w:t xml:space="preserve">additional </w:t>
      </w:r>
      <w:r w:rsidRPr="00366328">
        <w:rPr>
          <w:sz w:val="24"/>
          <w:szCs w:val="24"/>
        </w:rPr>
        <w:t xml:space="preserve">information from American lobster permit holders to implement a </w:t>
      </w:r>
      <w:r w:rsidR="00005586" w:rsidRPr="00366328">
        <w:rPr>
          <w:sz w:val="24"/>
          <w:szCs w:val="24"/>
        </w:rPr>
        <w:t>limited access permit program</w:t>
      </w:r>
      <w:r w:rsidRPr="00366328">
        <w:rPr>
          <w:sz w:val="24"/>
          <w:szCs w:val="24"/>
        </w:rPr>
        <w:t>.  Th</w:t>
      </w:r>
      <w:r w:rsidR="00005586" w:rsidRPr="00366328">
        <w:rPr>
          <w:sz w:val="24"/>
          <w:szCs w:val="24"/>
        </w:rPr>
        <w:t>e</w:t>
      </w:r>
      <w:r w:rsidRPr="00366328">
        <w:rPr>
          <w:sz w:val="24"/>
          <w:szCs w:val="24"/>
        </w:rPr>
        <w:t xml:space="preserve"> limited access portion of the collection is </w:t>
      </w:r>
      <w:r w:rsidR="00005586" w:rsidRPr="00366328">
        <w:rPr>
          <w:sz w:val="24"/>
          <w:szCs w:val="24"/>
        </w:rPr>
        <w:t xml:space="preserve">now </w:t>
      </w:r>
      <w:r w:rsidRPr="00366328">
        <w:rPr>
          <w:sz w:val="24"/>
          <w:szCs w:val="24"/>
        </w:rPr>
        <w:t>complete</w:t>
      </w:r>
      <w:r w:rsidR="00005586" w:rsidRPr="00366328">
        <w:rPr>
          <w:sz w:val="24"/>
          <w:szCs w:val="24"/>
        </w:rPr>
        <w:t xml:space="preserve"> and has been removed from this collection, significantly decreasing the overall burden.</w:t>
      </w:r>
      <w:r w:rsidRPr="00366328">
        <w:rPr>
          <w:sz w:val="24"/>
          <w:szCs w:val="24"/>
        </w:rPr>
        <w:t xml:space="preserve"> </w:t>
      </w:r>
      <w:r w:rsidR="009E7086">
        <w:rPr>
          <w:sz w:val="24"/>
          <w:szCs w:val="24"/>
        </w:rPr>
        <w:t xml:space="preserve"> In addition, the Trap T</w:t>
      </w:r>
      <w:r w:rsidR="00005586" w:rsidRPr="00366328">
        <w:rPr>
          <w:sz w:val="24"/>
          <w:szCs w:val="24"/>
        </w:rPr>
        <w:t>ransfer</w:t>
      </w:r>
      <w:r w:rsidR="009E7086">
        <w:rPr>
          <w:sz w:val="24"/>
          <w:szCs w:val="24"/>
        </w:rPr>
        <w:t xml:space="preserve"> P</w:t>
      </w:r>
      <w:r w:rsidR="00005586" w:rsidRPr="00366328">
        <w:rPr>
          <w:sz w:val="24"/>
          <w:szCs w:val="24"/>
        </w:rPr>
        <w:t>rogram has now begun, and has nearly two years of preliminary data from which to adjust burden estimates.</w:t>
      </w:r>
      <w:r w:rsidR="00DB41E7">
        <w:rPr>
          <w:sz w:val="24"/>
          <w:szCs w:val="24"/>
        </w:rPr>
        <w:t xml:space="preserve"> </w:t>
      </w:r>
      <w:r w:rsidR="00005586" w:rsidRPr="00366328">
        <w:rPr>
          <w:sz w:val="24"/>
          <w:szCs w:val="24"/>
        </w:rPr>
        <w:t xml:space="preserve"> When this collection was first approved, the total annualized number of responses was estimated to be around 340, with total annualized burden of 60 hours.</w:t>
      </w:r>
      <w:r w:rsidR="00DB41E7">
        <w:rPr>
          <w:sz w:val="24"/>
          <w:szCs w:val="24"/>
        </w:rPr>
        <w:t xml:space="preserve"> </w:t>
      </w:r>
      <w:r w:rsidR="00BD1140" w:rsidRPr="00366328">
        <w:rPr>
          <w:sz w:val="24"/>
          <w:szCs w:val="24"/>
        </w:rPr>
        <w:t xml:space="preserve"> Revised for the conclusion of the limited access program and adjustments based on gathered trap transfer data, these numbers have decreased by 238 and 43, respectively.</w:t>
      </w:r>
      <w:r w:rsidR="00DB41E7">
        <w:rPr>
          <w:sz w:val="24"/>
          <w:szCs w:val="24"/>
        </w:rPr>
        <w:t xml:space="preserve"> </w:t>
      </w:r>
      <w:r w:rsidR="00BD1140" w:rsidRPr="00366328">
        <w:rPr>
          <w:sz w:val="24"/>
          <w:szCs w:val="24"/>
        </w:rPr>
        <w:t xml:space="preserve"> </w:t>
      </w:r>
      <w:r w:rsidR="00BD1140" w:rsidRPr="00366328">
        <w:rPr>
          <w:b/>
          <w:sz w:val="24"/>
          <w:szCs w:val="24"/>
        </w:rPr>
        <w:t xml:space="preserve">Current estimates for the </w:t>
      </w:r>
      <w:r w:rsidR="000157D1">
        <w:rPr>
          <w:b/>
          <w:sz w:val="24"/>
          <w:szCs w:val="24"/>
        </w:rPr>
        <w:t>a</w:t>
      </w:r>
      <w:r w:rsidR="00BD1140" w:rsidRPr="00366328">
        <w:rPr>
          <w:b/>
          <w:sz w:val="24"/>
          <w:szCs w:val="24"/>
        </w:rPr>
        <w:t xml:space="preserve">nnual Trap Transfer Program collection of information, as described above, predict approximately 102 two-party transactions from 204 respondents, creating an overall </w:t>
      </w:r>
      <w:r w:rsidR="000157D1">
        <w:rPr>
          <w:b/>
          <w:sz w:val="24"/>
          <w:szCs w:val="24"/>
        </w:rPr>
        <w:t xml:space="preserve">public </w:t>
      </w:r>
      <w:r w:rsidR="00BD1140" w:rsidRPr="00366328">
        <w:rPr>
          <w:b/>
          <w:sz w:val="24"/>
          <w:szCs w:val="24"/>
        </w:rPr>
        <w:t>burden of 17 hours annually.</w:t>
      </w:r>
    </w:p>
    <w:p w:rsidR="00B77716" w:rsidRDefault="00B77716" w:rsidP="00BD2637">
      <w:pPr>
        <w:rPr>
          <w:b/>
          <w:szCs w:val="24"/>
        </w:rPr>
      </w:pPr>
    </w:p>
    <w:p w:rsidR="00D44579" w:rsidRDefault="00D44579" w:rsidP="00BD2637">
      <w:pPr>
        <w:rPr>
          <w:b/>
          <w:szCs w:val="24"/>
        </w:rPr>
      </w:pPr>
    </w:p>
    <w:p w:rsidR="00D44579" w:rsidRDefault="00D44579" w:rsidP="00BD2637">
      <w:pPr>
        <w:rPr>
          <w:b/>
          <w:szCs w:val="24"/>
        </w:rPr>
      </w:pPr>
    </w:p>
    <w:p w:rsidR="00D44579" w:rsidRDefault="00D44579" w:rsidP="00BD2637">
      <w:pPr>
        <w:rPr>
          <w:b/>
          <w:szCs w:val="24"/>
        </w:rPr>
      </w:pPr>
    </w:p>
    <w:p w:rsidR="00D44579" w:rsidRDefault="00D44579" w:rsidP="00BD2637">
      <w:pPr>
        <w:rPr>
          <w:b/>
          <w:szCs w:val="24"/>
        </w:rPr>
      </w:pPr>
    </w:p>
    <w:p w:rsidR="00D44579" w:rsidRPr="00B95362" w:rsidRDefault="00D44579" w:rsidP="00BD2637">
      <w:pPr>
        <w:rPr>
          <w:b/>
          <w:szCs w:val="24"/>
        </w:rPr>
      </w:pPr>
      <w:r>
        <w:rPr>
          <w:b/>
          <w:szCs w:val="24"/>
        </w:rPr>
        <w:br w:type="page"/>
      </w:r>
    </w:p>
    <w:p w:rsidR="00911FAD" w:rsidRDefault="00911FAD" w:rsidP="00B77716">
      <w:pPr>
        <w:spacing w:after="120"/>
        <w:jc w:val="center"/>
        <w:rPr>
          <w:b/>
          <w:sz w:val="22"/>
          <w:szCs w:val="24"/>
        </w:rPr>
      </w:pPr>
      <w:r w:rsidRPr="00911FAD">
        <w:rPr>
          <w:b/>
          <w:sz w:val="22"/>
          <w:szCs w:val="24"/>
        </w:rPr>
        <w:t>Table 1.</w:t>
      </w:r>
      <w:r>
        <w:rPr>
          <w:b/>
          <w:sz w:val="22"/>
          <w:szCs w:val="24"/>
        </w:rPr>
        <w:t xml:space="preserve"> </w:t>
      </w:r>
      <w:r w:rsidR="00234D4A">
        <w:rPr>
          <w:b/>
          <w:sz w:val="22"/>
          <w:szCs w:val="24"/>
        </w:rPr>
        <w:t xml:space="preserve">Estimate of </w:t>
      </w:r>
      <w:r>
        <w:rPr>
          <w:b/>
          <w:sz w:val="22"/>
          <w:szCs w:val="24"/>
        </w:rPr>
        <w:t xml:space="preserve">Annual </w:t>
      </w:r>
      <w:r w:rsidRPr="00911FAD">
        <w:rPr>
          <w:b/>
          <w:sz w:val="22"/>
          <w:szCs w:val="24"/>
        </w:rPr>
        <w:t xml:space="preserve">Time Burden on </w:t>
      </w:r>
      <w:r>
        <w:rPr>
          <w:b/>
          <w:sz w:val="22"/>
          <w:szCs w:val="24"/>
        </w:rPr>
        <w:t>Respondents</w:t>
      </w:r>
      <w:bookmarkStart w:id="0" w:name="_GoBack"/>
      <w:bookmarkEnd w:id="0"/>
    </w:p>
    <w:tbl>
      <w:tblPr>
        <w:tblW w:w="978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998"/>
        <w:gridCol w:w="1710"/>
        <w:gridCol w:w="1440"/>
        <w:gridCol w:w="1440"/>
        <w:gridCol w:w="1710"/>
        <w:gridCol w:w="1489"/>
      </w:tblGrid>
      <w:tr w:rsidR="00814026" w:rsidTr="00814026">
        <w:trPr>
          <w:trHeight w:val="525"/>
        </w:trPr>
        <w:tc>
          <w:tcPr>
            <w:tcW w:w="1998" w:type="dxa"/>
            <w:tcBorders>
              <w:top w:val="single" w:sz="12" w:space="0" w:color="000000"/>
              <w:bottom w:val="single" w:sz="12" w:space="0" w:color="000000"/>
              <w:right w:val="single" w:sz="12" w:space="0" w:color="000000"/>
            </w:tcBorders>
            <w:shd w:val="clear" w:color="auto" w:fill="auto"/>
            <w:vAlign w:val="center"/>
          </w:tcPr>
          <w:p w:rsidR="000A405F" w:rsidRPr="00814026" w:rsidRDefault="000A405F" w:rsidP="00814026">
            <w:pPr>
              <w:jc w:val="center"/>
              <w:rPr>
                <w:b/>
                <w:sz w:val="22"/>
                <w:szCs w:val="24"/>
              </w:rPr>
            </w:pPr>
            <w:r w:rsidRPr="00814026">
              <w:rPr>
                <w:b/>
                <w:sz w:val="22"/>
                <w:szCs w:val="24"/>
              </w:rPr>
              <w:t>Collection of Information</w:t>
            </w:r>
          </w:p>
        </w:tc>
        <w:tc>
          <w:tcPr>
            <w:tcW w:w="1710" w:type="dxa"/>
            <w:tcBorders>
              <w:left w:val="single" w:sz="12" w:space="0" w:color="000000"/>
              <w:bottom w:val="single" w:sz="12" w:space="0" w:color="000000"/>
            </w:tcBorders>
            <w:shd w:val="clear" w:color="auto" w:fill="auto"/>
            <w:vAlign w:val="center"/>
          </w:tcPr>
          <w:p w:rsidR="000A405F" w:rsidRPr="00814026" w:rsidRDefault="000A405F" w:rsidP="00814026">
            <w:pPr>
              <w:jc w:val="center"/>
              <w:rPr>
                <w:b/>
                <w:sz w:val="22"/>
                <w:szCs w:val="24"/>
              </w:rPr>
            </w:pPr>
            <w:r w:rsidRPr="00814026">
              <w:rPr>
                <w:b/>
                <w:sz w:val="22"/>
                <w:szCs w:val="24"/>
              </w:rPr>
              <w:t>Estimated Burden per Response (min)</w:t>
            </w:r>
          </w:p>
        </w:tc>
        <w:tc>
          <w:tcPr>
            <w:tcW w:w="1440" w:type="dxa"/>
            <w:tcBorders>
              <w:bottom w:val="single" w:sz="12" w:space="0" w:color="000000"/>
            </w:tcBorders>
            <w:shd w:val="clear" w:color="auto" w:fill="auto"/>
            <w:vAlign w:val="center"/>
          </w:tcPr>
          <w:p w:rsidR="000A405F" w:rsidRPr="00814026" w:rsidRDefault="000A405F" w:rsidP="00814026">
            <w:pPr>
              <w:jc w:val="center"/>
              <w:rPr>
                <w:b/>
                <w:sz w:val="22"/>
                <w:szCs w:val="24"/>
              </w:rPr>
            </w:pPr>
            <w:r w:rsidRPr="00814026">
              <w:rPr>
                <w:b/>
                <w:sz w:val="22"/>
                <w:szCs w:val="24"/>
              </w:rPr>
              <w:t>Number of Respondents</w:t>
            </w:r>
          </w:p>
        </w:tc>
        <w:tc>
          <w:tcPr>
            <w:tcW w:w="1440" w:type="dxa"/>
            <w:tcBorders>
              <w:bottom w:val="single" w:sz="12" w:space="0" w:color="000000"/>
            </w:tcBorders>
            <w:shd w:val="clear" w:color="auto" w:fill="auto"/>
            <w:vAlign w:val="center"/>
          </w:tcPr>
          <w:p w:rsidR="000A405F" w:rsidRPr="00814026" w:rsidRDefault="000A405F" w:rsidP="00814026">
            <w:pPr>
              <w:jc w:val="center"/>
              <w:rPr>
                <w:b/>
                <w:sz w:val="22"/>
                <w:szCs w:val="24"/>
              </w:rPr>
            </w:pPr>
            <w:r w:rsidRPr="00814026">
              <w:rPr>
                <w:b/>
                <w:sz w:val="22"/>
                <w:szCs w:val="24"/>
              </w:rPr>
              <w:t>Number of Transactions</w:t>
            </w:r>
          </w:p>
        </w:tc>
        <w:tc>
          <w:tcPr>
            <w:tcW w:w="1710" w:type="dxa"/>
            <w:tcBorders>
              <w:bottom w:val="single" w:sz="12" w:space="0" w:color="000000"/>
            </w:tcBorders>
            <w:shd w:val="clear" w:color="auto" w:fill="auto"/>
            <w:vAlign w:val="center"/>
          </w:tcPr>
          <w:p w:rsidR="000A405F" w:rsidRPr="00814026" w:rsidRDefault="000A405F" w:rsidP="00814026">
            <w:pPr>
              <w:jc w:val="center"/>
              <w:rPr>
                <w:b/>
                <w:sz w:val="22"/>
                <w:szCs w:val="24"/>
              </w:rPr>
            </w:pPr>
            <w:r w:rsidRPr="00814026">
              <w:rPr>
                <w:b/>
                <w:sz w:val="22"/>
                <w:szCs w:val="24"/>
              </w:rPr>
              <w:t>Limited Access Program</w:t>
            </w:r>
            <w:r w:rsidR="0013320D" w:rsidRPr="00814026">
              <w:rPr>
                <w:b/>
                <w:sz w:val="22"/>
                <w:szCs w:val="24"/>
              </w:rPr>
              <w:t xml:space="preserve"> Burden (h</w:t>
            </w:r>
            <w:r w:rsidR="00365E35" w:rsidRPr="00814026">
              <w:rPr>
                <w:b/>
                <w:sz w:val="22"/>
                <w:szCs w:val="24"/>
              </w:rPr>
              <w:t>ou</w:t>
            </w:r>
            <w:r w:rsidR="0013320D" w:rsidRPr="00814026">
              <w:rPr>
                <w:b/>
                <w:sz w:val="22"/>
                <w:szCs w:val="24"/>
              </w:rPr>
              <w:t>rs)</w:t>
            </w:r>
          </w:p>
        </w:tc>
        <w:tc>
          <w:tcPr>
            <w:tcW w:w="1489" w:type="dxa"/>
            <w:tcBorders>
              <w:bottom w:val="single" w:sz="12" w:space="0" w:color="000000"/>
            </w:tcBorders>
            <w:shd w:val="clear" w:color="auto" w:fill="auto"/>
            <w:vAlign w:val="center"/>
          </w:tcPr>
          <w:p w:rsidR="000A405F" w:rsidRPr="00814026" w:rsidRDefault="000A405F" w:rsidP="00814026">
            <w:pPr>
              <w:jc w:val="center"/>
              <w:rPr>
                <w:b/>
                <w:sz w:val="22"/>
                <w:szCs w:val="24"/>
              </w:rPr>
            </w:pPr>
            <w:r w:rsidRPr="00814026">
              <w:rPr>
                <w:b/>
                <w:sz w:val="22"/>
                <w:szCs w:val="24"/>
              </w:rPr>
              <w:t>Total Annual Burden (hours)</w:t>
            </w:r>
          </w:p>
        </w:tc>
      </w:tr>
      <w:tr w:rsidR="00814026" w:rsidTr="00814026">
        <w:trPr>
          <w:trHeight w:val="247"/>
        </w:trPr>
        <w:tc>
          <w:tcPr>
            <w:tcW w:w="1998" w:type="dxa"/>
            <w:tcBorders>
              <w:right w:val="single" w:sz="12" w:space="0" w:color="000000"/>
            </w:tcBorders>
            <w:shd w:val="clear" w:color="auto" w:fill="auto"/>
          </w:tcPr>
          <w:p w:rsidR="000A405F" w:rsidRPr="00814026" w:rsidRDefault="000A405F" w:rsidP="00814026">
            <w:pPr>
              <w:jc w:val="center"/>
              <w:rPr>
                <w:b/>
                <w:sz w:val="22"/>
                <w:szCs w:val="24"/>
              </w:rPr>
            </w:pPr>
            <w:r w:rsidRPr="00814026">
              <w:rPr>
                <w:b/>
                <w:sz w:val="22"/>
                <w:szCs w:val="24"/>
              </w:rPr>
              <w:t>Original</w:t>
            </w:r>
          </w:p>
        </w:tc>
        <w:tc>
          <w:tcPr>
            <w:tcW w:w="1710" w:type="dxa"/>
            <w:tcBorders>
              <w:left w:val="single" w:sz="12" w:space="0" w:color="000000"/>
            </w:tcBorders>
            <w:shd w:val="clear" w:color="auto" w:fill="auto"/>
          </w:tcPr>
          <w:p w:rsidR="000A405F" w:rsidRPr="00814026" w:rsidRDefault="000A405F" w:rsidP="00814026">
            <w:pPr>
              <w:jc w:val="center"/>
              <w:rPr>
                <w:sz w:val="22"/>
                <w:szCs w:val="24"/>
              </w:rPr>
            </w:pPr>
            <w:r w:rsidRPr="00814026">
              <w:rPr>
                <w:sz w:val="22"/>
                <w:szCs w:val="24"/>
              </w:rPr>
              <w:t>10</w:t>
            </w:r>
          </w:p>
        </w:tc>
        <w:tc>
          <w:tcPr>
            <w:tcW w:w="1440" w:type="dxa"/>
            <w:shd w:val="clear" w:color="auto" w:fill="auto"/>
          </w:tcPr>
          <w:p w:rsidR="000A405F" w:rsidRPr="00814026" w:rsidRDefault="000A405F" w:rsidP="00814026">
            <w:pPr>
              <w:jc w:val="center"/>
              <w:rPr>
                <w:sz w:val="22"/>
                <w:szCs w:val="24"/>
              </w:rPr>
            </w:pPr>
            <w:r w:rsidRPr="00814026">
              <w:rPr>
                <w:sz w:val="22"/>
                <w:szCs w:val="24"/>
              </w:rPr>
              <w:t>432</w:t>
            </w:r>
          </w:p>
        </w:tc>
        <w:tc>
          <w:tcPr>
            <w:tcW w:w="1440" w:type="dxa"/>
            <w:shd w:val="clear" w:color="auto" w:fill="auto"/>
          </w:tcPr>
          <w:p w:rsidR="000A405F" w:rsidRPr="00814026" w:rsidRDefault="00357DCE" w:rsidP="00814026">
            <w:pPr>
              <w:jc w:val="center"/>
              <w:rPr>
                <w:sz w:val="22"/>
                <w:szCs w:val="24"/>
              </w:rPr>
            </w:pPr>
            <w:r w:rsidRPr="00814026">
              <w:rPr>
                <w:sz w:val="22"/>
                <w:szCs w:val="24"/>
              </w:rPr>
              <w:t>216</w:t>
            </w:r>
          </w:p>
        </w:tc>
        <w:tc>
          <w:tcPr>
            <w:tcW w:w="1710" w:type="dxa"/>
            <w:shd w:val="clear" w:color="auto" w:fill="auto"/>
          </w:tcPr>
          <w:p w:rsidR="000A405F" w:rsidRPr="00814026" w:rsidRDefault="00D34FB8" w:rsidP="00814026">
            <w:pPr>
              <w:jc w:val="center"/>
              <w:rPr>
                <w:sz w:val="22"/>
                <w:szCs w:val="24"/>
              </w:rPr>
            </w:pPr>
            <w:r w:rsidRPr="00814026">
              <w:rPr>
                <w:sz w:val="22"/>
                <w:szCs w:val="24"/>
              </w:rPr>
              <w:t>24</w:t>
            </w:r>
          </w:p>
        </w:tc>
        <w:tc>
          <w:tcPr>
            <w:tcW w:w="1489" w:type="dxa"/>
            <w:shd w:val="clear" w:color="auto" w:fill="auto"/>
          </w:tcPr>
          <w:p w:rsidR="000A405F" w:rsidRPr="00814026" w:rsidRDefault="000A405F" w:rsidP="00814026">
            <w:pPr>
              <w:jc w:val="center"/>
              <w:rPr>
                <w:sz w:val="22"/>
                <w:szCs w:val="24"/>
              </w:rPr>
            </w:pPr>
            <w:r w:rsidRPr="00814026">
              <w:rPr>
                <w:sz w:val="22"/>
                <w:szCs w:val="24"/>
              </w:rPr>
              <w:t>60</w:t>
            </w:r>
          </w:p>
        </w:tc>
      </w:tr>
      <w:tr w:rsidR="00814026" w:rsidTr="00814026">
        <w:trPr>
          <w:trHeight w:val="262"/>
        </w:trPr>
        <w:tc>
          <w:tcPr>
            <w:tcW w:w="1998" w:type="dxa"/>
            <w:tcBorders>
              <w:right w:val="single" w:sz="12" w:space="0" w:color="000000"/>
            </w:tcBorders>
            <w:shd w:val="clear" w:color="auto" w:fill="auto"/>
          </w:tcPr>
          <w:p w:rsidR="000A405F" w:rsidRPr="00814026" w:rsidRDefault="000A405F" w:rsidP="00814026">
            <w:pPr>
              <w:jc w:val="center"/>
              <w:rPr>
                <w:b/>
                <w:sz w:val="22"/>
                <w:szCs w:val="24"/>
              </w:rPr>
            </w:pPr>
            <w:r w:rsidRPr="00814026">
              <w:rPr>
                <w:b/>
                <w:sz w:val="22"/>
                <w:szCs w:val="24"/>
              </w:rPr>
              <w:t>Current</w:t>
            </w:r>
          </w:p>
        </w:tc>
        <w:tc>
          <w:tcPr>
            <w:tcW w:w="1710" w:type="dxa"/>
            <w:tcBorders>
              <w:left w:val="single" w:sz="12" w:space="0" w:color="000000"/>
            </w:tcBorders>
            <w:shd w:val="clear" w:color="auto" w:fill="auto"/>
          </w:tcPr>
          <w:p w:rsidR="000A405F" w:rsidRPr="00814026" w:rsidRDefault="000A405F" w:rsidP="00814026">
            <w:pPr>
              <w:jc w:val="center"/>
              <w:rPr>
                <w:b/>
                <w:sz w:val="22"/>
                <w:szCs w:val="24"/>
              </w:rPr>
            </w:pPr>
            <w:r w:rsidRPr="00814026">
              <w:rPr>
                <w:b/>
                <w:sz w:val="22"/>
                <w:szCs w:val="24"/>
              </w:rPr>
              <w:t>10</w:t>
            </w:r>
          </w:p>
        </w:tc>
        <w:tc>
          <w:tcPr>
            <w:tcW w:w="1440" w:type="dxa"/>
            <w:shd w:val="clear" w:color="auto" w:fill="auto"/>
          </w:tcPr>
          <w:p w:rsidR="000A405F" w:rsidRPr="00814026" w:rsidRDefault="000A405F" w:rsidP="00814026">
            <w:pPr>
              <w:jc w:val="center"/>
              <w:rPr>
                <w:b/>
                <w:sz w:val="22"/>
                <w:szCs w:val="24"/>
              </w:rPr>
            </w:pPr>
            <w:r w:rsidRPr="00814026">
              <w:rPr>
                <w:b/>
                <w:sz w:val="22"/>
                <w:szCs w:val="24"/>
              </w:rPr>
              <w:t>204</w:t>
            </w:r>
          </w:p>
        </w:tc>
        <w:tc>
          <w:tcPr>
            <w:tcW w:w="1440" w:type="dxa"/>
            <w:shd w:val="clear" w:color="auto" w:fill="auto"/>
          </w:tcPr>
          <w:p w:rsidR="000A405F" w:rsidRPr="00814026" w:rsidRDefault="000A405F" w:rsidP="00814026">
            <w:pPr>
              <w:jc w:val="center"/>
              <w:rPr>
                <w:b/>
                <w:sz w:val="22"/>
                <w:szCs w:val="24"/>
              </w:rPr>
            </w:pPr>
            <w:r w:rsidRPr="00814026">
              <w:rPr>
                <w:b/>
                <w:sz w:val="22"/>
                <w:szCs w:val="24"/>
              </w:rPr>
              <w:t>102</w:t>
            </w:r>
          </w:p>
        </w:tc>
        <w:tc>
          <w:tcPr>
            <w:tcW w:w="1710" w:type="dxa"/>
            <w:shd w:val="clear" w:color="auto" w:fill="auto"/>
          </w:tcPr>
          <w:p w:rsidR="000A405F" w:rsidRPr="00814026" w:rsidRDefault="00D34FB8" w:rsidP="00814026">
            <w:pPr>
              <w:jc w:val="center"/>
              <w:rPr>
                <w:b/>
                <w:sz w:val="22"/>
                <w:szCs w:val="24"/>
              </w:rPr>
            </w:pPr>
            <w:r w:rsidRPr="00814026">
              <w:rPr>
                <w:b/>
                <w:sz w:val="22"/>
                <w:szCs w:val="24"/>
              </w:rPr>
              <w:t>0</w:t>
            </w:r>
          </w:p>
        </w:tc>
        <w:tc>
          <w:tcPr>
            <w:tcW w:w="1489" w:type="dxa"/>
            <w:shd w:val="clear" w:color="auto" w:fill="auto"/>
          </w:tcPr>
          <w:p w:rsidR="000A405F" w:rsidRPr="00814026" w:rsidRDefault="000A405F" w:rsidP="00814026">
            <w:pPr>
              <w:jc w:val="center"/>
              <w:rPr>
                <w:b/>
                <w:sz w:val="22"/>
                <w:szCs w:val="24"/>
              </w:rPr>
            </w:pPr>
            <w:r w:rsidRPr="00814026">
              <w:rPr>
                <w:b/>
                <w:sz w:val="22"/>
                <w:szCs w:val="24"/>
              </w:rPr>
              <w:t>17</w:t>
            </w:r>
          </w:p>
        </w:tc>
      </w:tr>
      <w:tr w:rsidR="00814026" w:rsidTr="00814026">
        <w:trPr>
          <w:trHeight w:val="262"/>
        </w:trPr>
        <w:tc>
          <w:tcPr>
            <w:tcW w:w="1998" w:type="dxa"/>
            <w:tcBorders>
              <w:bottom w:val="single" w:sz="12" w:space="0" w:color="000000"/>
              <w:right w:val="single" w:sz="12" w:space="0" w:color="000000"/>
            </w:tcBorders>
            <w:shd w:val="clear" w:color="auto" w:fill="auto"/>
          </w:tcPr>
          <w:p w:rsidR="000A405F" w:rsidRPr="00814026" w:rsidRDefault="000A405F" w:rsidP="00814026">
            <w:pPr>
              <w:jc w:val="center"/>
              <w:rPr>
                <w:b/>
                <w:sz w:val="22"/>
                <w:szCs w:val="24"/>
              </w:rPr>
            </w:pPr>
            <w:r w:rsidRPr="00814026">
              <w:rPr>
                <w:b/>
                <w:sz w:val="22"/>
                <w:szCs w:val="24"/>
              </w:rPr>
              <w:t>Difference/Change</w:t>
            </w:r>
          </w:p>
        </w:tc>
        <w:tc>
          <w:tcPr>
            <w:tcW w:w="1710" w:type="dxa"/>
            <w:tcBorders>
              <w:left w:val="single" w:sz="12" w:space="0" w:color="000000"/>
            </w:tcBorders>
            <w:shd w:val="clear" w:color="auto" w:fill="auto"/>
          </w:tcPr>
          <w:p w:rsidR="000A405F" w:rsidRPr="00814026" w:rsidRDefault="000A405F" w:rsidP="00814026">
            <w:pPr>
              <w:jc w:val="center"/>
              <w:rPr>
                <w:sz w:val="22"/>
                <w:szCs w:val="24"/>
              </w:rPr>
            </w:pPr>
            <w:r w:rsidRPr="00814026">
              <w:rPr>
                <w:sz w:val="22"/>
                <w:szCs w:val="24"/>
              </w:rPr>
              <w:t>0</w:t>
            </w:r>
          </w:p>
        </w:tc>
        <w:tc>
          <w:tcPr>
            <w:tcW w:w="1440" w:type="dxa"/>
            <w:shd w:val="clear" w:color="auto" w:fill="auto"/>
          </w:tcPr>
          <w:p w:rsidR="000A405F" w:rsidRPr="00814026" w:rsidRDefault="00671A3C" w:rsidP="00814026">
            <w:pPr>
              <w:jc w:val="center"/>
              <w:rPr>
                <w:sz w:val="22"/>
                <w:szCs w:val="24"/>
              </w:rPr>
            </w:pPr>
            <w:r w:rsidRPr="00814026">
              <w:rPr>
                <w:sz w:val="22"/>
                <w:szCs w:val="24"/>
              </w:rPr>
              <w:t>-</w:t>
            </w:r>
            <w:r w:rsidR="000A405F" w:rsidRPr="00814026">
              <w:rPr>
                <w:sz w:val="22"/>
                <w:szCs w:val="24"/>
              </w:rPr>
              <w:t>228</w:t>
            </w:r>
          </w:p>
        </w:tc>
        <w:tc>
          <w:tcPr>
            <w:tcW w:w="1440" w:type="dxa"/>
            <w:shd w:val="clear" w:color="auto" w:fill="auto"/>
          </w:tcPr>
          <w:p w:rsidR="000A405F" w:rsidRPr="00814026" w:rsidRDefault="00671A3C" w:rsidP="00814026">
            <w:pPr>
              <w:jc w:val="center"/>
              <w:rPr>
                <w:sz w:val="22"/>
                <w:szCs w:val="24"/>
              </w:rPr>
            </w:pPr>
            <w:r w:rsidRPr="00814026">
              <w:rPr>
                <w:sz w:val="22"/>
                <w:szCs w:val="24"/>
              </w:rPr>
              <w:t>-</w:t>
            </w:r>
            <w:r w:rsidR="00357DCE" w:rsidRPr="00814026">
              <w:rPr>
                <w:sz w:val="22"/>
                <w:szCs w:val="24"/>
              </w:rPr>
              <w:t>114</w:t>
            </w:r>
          </w:p>
        </w:tc>
        <w:tc>
          <w:tcPr>
            <w:tcW w:w="1710" w:type="dxa"/>
            <w:shd w:val="clear" w:color="auto" w:fill="auto"/>
          </w:tcPr>
          <w:p w:rsidR="000A405F" w:rsidRPr="00814026" w:rsidRDefault="00671A3C" w:rsidP="00814026">
            <w:pPr>
              <w:jc w:val="center"/>
              <w:rPr>
                <w:sz w:val="22"/>
                <w:szCs w:val="24"/>
              </w:rPr>
            </w:pPr>
            <w:r w:rsidRPr="00814026">
              <w:rPr>
                <w:sz w:val="22"/>
                <w:szCs w:val="24"/>
              </w:rPr>
              <w:t>-</w:t>
            </w:r>
            <w:r w:rsidR="00D34FB8" w:rsidRPr="00814026">
              <w:rPr>
                <w:sz w:val="22"/>
                <w:szCs w:val="24"/>
              </w:rPr>
              <w:t>24</w:t>
            </w:r>
          </w:p>
        </w:tc>
        <w:tc>
          <w:tcPr>
            <w:tcW w:w="1489" w:type="dxa"/>
            <w:shd w:val="clear" w:color="auto" w:fill="auto"/>
          </w:tcPr>
          <w:p w:rsidR="000A405F" w:rsidRPr="00814026" w:rsidRDefault="00671A3C" w:rsidP="00814026">
            <w:pPr>
              <w:jc w:val="center"/>
              <w:rPr>
                <w:sz w:val="22"/>
                <w:szCs w:val="24"/>
              </w:rPr>
            </w:pPr>
            <w:r w:rsidRPr="00814026">
              <w:rPr>
                <w:sz w:val="22"/>
                <w:szCs w:val="24"/>
              </w:rPr>
              <w:t>-</w:t>
            </w:r>
            <w:r w:rsidR="00357DCE" w:rsidRPr="00814026">
              <w:rPr>
                <w:sz w:val="22"/>
                <w:szCs w:val="24"/>
              </w:rPr>
              <w:t>4</w:t>
            </w:r>
            <w:r w:rsidR="000A405F" w:rsidRPr="00814026">
              <w:rPr>
                <w:sz w:val="22"/>
                <w:szCs w:val="24"/>
              </w:rPr>
              <w:t>3</w:t>
            </w:r>
          </w:p>
        </w:tc>
      </w:tr>
    </w:tbl>
    <w:p w:rsidR="004F26E9" w:rsidRPr="00366328" w:rsidRDefault="004F26E9">
      <w:pPr>
        <w:rPr>
          <w:sz w:val="24"/>
          <w:szCs w:val="24"/>
        </w:rPr>
      </w:pPr>
    </w:p>
    <w:p w:rsidR="004F26E9" w:rsidRDefault="004F26E9">
      <w:pPr>
        <w:rPr>
          <w:sz w:val="24"/>
          <w:szCs w:val="24"/>
        </w:rPr>
      </w:pPr>
      <w:r w:rsidRPr="00366328">
        <w:rPr>
          <w:b/>
          <w:bCs/>
          <w:sz w:val="24"/>
          <w:szCs w:val="24"/>
        </w:rPr>
        <w:t>13</w:t>
      </w:r>
      <w:r>
        <w:rPr>
          <w:b/>
          <w:bCs/>
          <w:sz w:val="24"/>
          <w:szCs w:val="24"/>
        </w:rPr>
        <w:t xml:space="preserve">.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F952DB" w:rsidRDefault="00F952DB" w:rsidP="00BD2637">
      <w:pPr>
        <w:rPr>
          <w:sz w:val="24"/>
          <w:szCs w:val="24"/>
          <w:highlight w:val="yellow"/>
        </w:rPr>
      </w:pPr>
    </w:p>
    <w:p w:rsidR="00F952DB" w:rsidRDefault="005F0A20" w:rsidP="00F952DB">
      <w:pPr>
        <w:rPr>
          <w:b/>
          <w:sz w:val="24"/>
          <w:szCs w:val="24"/>
        </w:rPr>
      </w:pPr>
      <w:r w:rsidRPr="005F0A20">
        <w:rPr>
          <w:sz w:val="24"/>
          <w:szCs w:val="24"/>
        </w:rPr>
        <w:t xml:space="preserve">The cost to submit a </w:t>
      </w:r>
      <w:r>
        <w:rPr>
          <w:sz w:val="24"/>
          <w:szCs w:val="24"/>
        </w:rPr>
        <w:t xml:space="preserve">trap transfer </w:t>
      </w:r>
      <w:r w:rsidRPr="005F0A20">
        <w:rPr>
          <w:sz w:val="24"/>
          <w:szCs w:val="24"/>
        </w:rPr>
        <w:t xml:space="preserve">transaction </w:t>
      </w:r>
      <w:r>
        <w:rPr>
          <w:sz w:val="24"/>
          <w:szCs w:val="24"/>
        </w:rPr>
        <w:t xml:space="preserve">application </w:t>
      </w:r>
      <w:r w:rsidRPr="005F0A20">
        <w:rPr>
          <w:sz w:val="24"/>
          <w:szCs w:val="24"/>
        </w:rPr>
        <w:t xml:space="preserve">is </w:t>
      </w:r>
      <w:r>
        <w:rPr>
          <w:sz w:val="24"/>
          <w:szCs w:val="24"/>
        </w:rPr>
        <w:t xml:space="preserve">equal to </w:t>
      </w:r>
      <w:r w:rsidRPr="005F0A20">
        <w:rPr>
          <w:sz w:val="24"/>
          <w:szCs w:val="24"/>
        </w:rPr>
        <w:t xml:space="preserve">the </w:t>
      </w:r>
      <w:r>
        <w:rPr>
          <w:sz w:val="24"/>
          <w:szCs w:val="24"/>
        </w:rPr>
        <w:t>price</w:t>
      </w:r>
      <w:r w:rsidRPr="005F0A20">
        <w:rPr>
          <w:sz w:val="24"/>
          <w:szCs w:val="24"/>
        </w:rPr>
        <w:t xml:space="preserve"> of a large letter sized envelope </w:t>
      </w:r>
      <w:r>
        <w:rPr>
          <w:sz w:val="24"/>
          <w:szCs w:val="24"/>
        </w:rPr>
        <w:t>(</w:t>
      </w:r>
      <w:r w:rsidRPr="005F0A20">
        <w:rPr>
          <w:sz w:val="24"/>
          <w:szCs w:val="24"/>
        </w:rPr>
        <w:t>$2.00</w:t>
      </w:r>
      <w:r>
        <w:rPr>
          <w:sz w:val="24"/>
          <w:szCs w:val="24"/>
        </w:rPr>
        <w:t>)</w:t>
      </w:r>
      <w:r w:rsidRPr="005F0A20">
        <w:rPr>
          <w:sz w:val="24"/>
          <w:szCs w:val="24"/>
        </w:rPr>
        <w:t xml:space="preserve"> and postage </w:t>
      </w:r>
      <w:r>
        <w:rPr>
          <w:sz w:val="24"/>
          <w:szCs w:val="24"/>
        </w:rPr>
        <w:t>($1.22)</w:t>
      </w:r>
      <w:r w:rsidR="005F3491">
        <w:rPr>
          <w:sz w:val="24"/>
          <w:szCs w:val="24"/>
        </w:rPr>
        <w:t>,</w:t>
      </w:r>
      <w:r>
        <w:rPr>
          <w:sz w:val="24"/>
          <w:szCs w:val="24"/>
        </w:rPr>
        <w:t xml:space="preserve"> totaling $3.22</w:t>
      </w:r>
      <w:r w:rsidRPr="005F0A20">
        <w:rPr>
          <w:sz w:val="24"/>
          <w:szCs w:val="24"/>
        </w:rPr>
        <w:t xml:space="preserve">, </w:t>
      </w:r>
      <w:r>
        <w:rPr>
          <w:sz w:val="24"/>
          <w:szCs w:val="24"/>
        </w:rPr>
        <w:t>added to</w:t>
      </w:r>
      <w:r w:rsidRPr="005F0A20">
        <w:rPr>
          <w:sz w:val="24"/>
          <w:szCs w:val="24"/>
        </w:rPr>
        <w:t xml:space="preserve"> the cost </w:t>
      </w:r>
      <w:r w:rsidR="005F3491">
        <w:rPr>
          <w:sz w:val="24"/>
          <w:szCs w:val="24"/>
        </w:rPr>
        <w:t>of</w:t>
      </w:r>
      <w:r w:rsidRPr="005F0A20">
        <w:rPr>
          <w:sz w:val="24"/>
          <w:szCs w:val="24"/>
        </w:rPr>
        <w:t xml:space="preserve"> copy</w:t>
      </w:r>
      <w:r w:rsidR="005F3491">
        <w:rPr>
          <w:sz w:val="24"/>
          <w:szCs w:val="24"/>
        </w:rPr>
        <w:t>ing</w:t>
      </w:r>
      <w:r w:rsidRPr="005F0A20">
        <w:rPr>
          <w:sz w:val="24"/>
          <w:szCs w:val="24"/>
        </w:rPr>
        <w:t xml:space="preserve"> or fax</w:t>
      </w:r>
      <w:r w:rsidR="005F3491">
        <w:rPr>
          <w:sz w:val="24"/>
          <w:szCs w:val="24"/>
        </w:rPr>
        <w:t xml:space="preserve">ing </w:t>
      </w:r>
      <w:r w:rsidRPr="005F0A20">
        <w:rPr>
          <w:sz w:val="24"/>
          <w:szCs w:val="24"/>
        </w:rPr>
        <w:t>each page of the two-sided trap transfer form (</w:t>
      </w:r>
      <w:r w:rsidR="00260A7E">
        <w:rPr>
          <w:sz w:val="24"/>
          <w:szCs w:val="24"/>
        </w:rPr>
        <w:t>two</w:t>
      </w:r>
      <w:r w:rsidRPr="005F0A20">
        <w:rPr>
          <w:sz w:val="24"/>
          <w:szCs w:val="24"/>
        </w:rPr>
        <w:t xml:space="preserve"> copies, one for each permit holde</w:t>
      </w:r>
      <w:r>
        <w:rPr>
          <w:sz w:val="24"/>
          <w:szCs w:val="24"/>
        </w:rPr>
        <w:t xml:space="preserve">r = $0.20 per page X </w:t>
      </w:r>
      <w:r w:rsidR="00260A7E">
        <w:rPr>
          <w:sz w:val="24"/>
          <w:szCs w:val="24"/>
        </w:rPr>
        <w:t>four</w:t>
      </w:r>
      <w:r>
        <w:rPr>
          <w:sz w:val="24"/>
          <w:szCs w:val="24"/>
        </w:rPr>
        <w:t xml:space="preserve"> pages;</w:t>
      </w:r>
      <w:r w:rsidRPr="005F0A20">
        <w:rPr>
          <w:sz w:val="24"/>
          <w:szCs w:val="24"/>
        </w:rPr>
        <w:t xml:space="preserve"> estimated at $0.80).  </w:t>
      </w:r>
      <w:r w:rsidR="00260A7E">
        <w:rPr>
          <w:sz w:val="24"/>
          <w:szCs w:val="24"/>
        </w:rPr>
        <w:t xml:space="preserve">This adds up to roughly $4.02 per application transaction. </w:t>
      </w:r>
      <w:r w:rsidR="00DB41E7">
        <w:rPr>
          <w:sz w:val="24"/>
          <w:szCs w:val="24"/>
        </w:rPr>
        <w:t xml:space="preserve"> </w:t>
      </w:r>
      <w:r w:rsidR="00260A7E">
        <w:rPr>
          <w:sz w:val="24"/>
          <w:szCs w:val="24"/>
        </w:rPr>
        <w:t>However, e</w:t>
      </w:r>
      <w:r w:rsidRPr="005F0A20">
        <w:rPr>
          <w:sz w:val="24"/>
          <w:szCs w:val="24"/>
        </w:rPr>
        <w:t>ach applicant may also need to provide two additional pages of documents such as a letter to show their current trap allocation or permit information.  Th</w:t>
      </w:r>
      <w:r w:rsidR="00260A7E">
        <w:rPr>
          <w:sz w:val="24"/>
          <w:szCs w:val="24"/>
        </w:rPr>
        <w:t>is adds four</w:t>
      </w:r>
      <w:r w:rsidRPr="005F0A20">
        <w:rPr>
          <w:sz w:val="24"/>
          <w:szCs w:val="24"/>
        </w:rPr>
        <w:t xml:space="preserve"> more pages for copying or faxing, at $0.20 per page, and about $</w:t>
      </w:r>
      <w:r w:rsidR="00260A7E">
        <w:rPr>
          <w:sz w:val="24"/>
          <w:szCs w:val="24"/>
        </w:rPr>
        <w:t>0.80 more to the cost</w:t>
      </w:r>
      <w:r w:rsidRPr="005F0A20">
        <w:rPr>
          <w:sz w:val="24"/>
          <w:szCs w:val="24"/>
        </w:rPr>
        <w:t>.</w:t>
      </w:r>
      <w:r w:rsidR="00F44F29" w:rsidRPr="00F44F29">
        <w:t xml:space="preserve"> </w:t>
      </w:r>
      <w:r w:rsidR="00F44F29">
        <w:t xml:space="preserve"> </w:t>
      </w:r>
      <w:r w:rsidR="00F44F29" w:rsidRPr="005A56C6">
        <w:rPr>
          <w:b/>
          <w:sz w:val="24"/>
          <w:szCs w:val="24"/>
        </w:rPr>
        <w:t>Therefore, the total cost of each joint transfer</w:t>
      </w:r>
      <w:r w:rsidR="007577EA" w:rsidRPr="005A56C6">
        <w:rPr>
          <w:b/>
          <w:sz w:val="24"/>
          <w:szCs w:val="24"/>
        </w:rPr>
        <w:t xml:space="preserve"> transaction is approximately $4.82, and the estimate of the overall annual cost for all 102 trap transfer transactions at $4.82 per transaction is $491.64</w:t>
      </w:r>
      <w:r w:rsidR="005A56C6" w:rsidRPr="005A56C6">
        <w:rPr>
          <w:b/>
          <w:sz w:val="24"/>
          <w:szCs w:val="24"/>
        </w:rPr>
        <w:t>.</w:t>
      </w:r>
    </w:p>
    <w:p w:rsidR="005A56C6" w:rsidRDefault="005A56C6" w:rsidP="00F952DB">
      <w:pPr>
        <w:rPr>
          <w:b/>
          <w:sz w:val="24"/>
          <w:szCs w:val="24"/>
        </w:rPr>
      </w:pPr>
    </w:p>
    <w:p w:rsidR="005A56C6" w:rsidRDefault="00907560" w:rsidP="00F952DB">
      <w:pPr>
        <w:rPr>
          <w:b/>
          <w:sz w:val="24"/>
          <w:szCs w:val="24"/>
        </w:rPr>
      </w:pPr>
      <w:r w:rsidRPr="00907560">
        <w:rPr>
          <w:sz w:val="24"/>
          <w:szCs w:val="24"/>
        </w:rPr>
        <w:t>When this collection was first approved</w:t>
      </w:r>
      <w:r w:rsidR="00446DA6">
        <w:rPr>
          <w:sz w:val="24"/>
          <w:szCs w:val="24"/>
        </w:rPr>
        <w:t xml:space="preserve">, it included the implementation of a limited access permit program for Areas 2 and the Outer Cape. </w:t>
      </w:r>
      <w:r w:rsidR="00DB41E7">
        <w:rPr>
          <w:sz w:val="24"/>
          <w:szCs w:val="24"/>
        </w:rPr>
        <w:t xml:space="preserve"> </w:t>
      </w:r>
      <w:r w:rsidR="00446DA6">
        <w:rPr>
          <w:sz w:val="24"/>
          <w:szCs w:val="24"/>
        </w:rPr>
        <w:t>Now that this significant program is complete, and the collection only entails the mai</w:t>
      </w:r>
      <w:r w:rsidR="009E7086">
        <w:rPr>
          <w:sz w:val="24"/>
          <w:szCs w:val="24"/>
        </w:rPr>
        <w:t>ntenance of the annual lobster Trap Transfer P</w:t>
      </w:r>
      <w:r w:rsidR="00446DA6">
        <w:rPr>
          <w:sz w:val="24"/>
          <w:szCs w:val="24"/>
        </w:rPr>
        <w:t>rogram, there is much less of an annual cost burden</w:t>
      </w:r>
      <w:r w:rsidR="00F613B8">
        <w:rPr>
          <w:sz w:val="24"/>
          <w:szCs w:val="24"/>
        </w:rPr>
        <w:t xml:space="preserve">.  </w:t>
      </w:r>
      <w:r w:rsidR="00F613B8" w:rsidRPr="00F613B8">
        <w:rPr>
          <w:b/>
          <w:sz w:val="24"/>
          <w:szCs w:val="24"/>
        </w:rPr>
        <w:t>Initially, annualized cost burden for this collection was $1,398.33, but after the removal of burden costs from the limited access program, and adjustments for the reduced number of estimated transactions, this annual cost burden was reduced by $906.69; bringing the current estimated annual cost burden to $491.64.</w:t>
      </w:r>
    </w:p>
    <w:p w:rsidR="00234D4A" w:rsidRPr="00B95362" w:rsidRDefault="00234D4A" w:rsidP="00F952DB">
      <w:pPr>
        <w:rPr>
          <w:b/>
          <w:szCs w:val="24"/>
        </w:rPr>
      </w:pPr>
    </w:p>
    <w:p w:rsidR="00234D4A" w:rsidRPr="006813F3" w:rsidRDefault="00234D4A" w:rsidP="006813F3">
      <w:pPr>
        <w:spacing w:after="120"/>
        <w:jc w:val="center"/>
        <w:rPr>
          <w:b/>
          <w:sz w:val="22"/>
          <w:szCs w:val="24"/>
        </w:rPr>
      </w:pPr>
      <w:r w:rsidRPr="006813F3">
        <w:rPr>
          <w:b/>
          <w:sz w:val="22"/>
          <w:szCs w:val="24"/>
        </w:rPr>
        <w:t xml:space="preserve">Table 2. </w:t>
      </w:r>
      <w:r w:rsidR="006813F3">
        <w:rPr>
          <w:b/>
          <w:sz w:val="22"/>
          <w:szCs w:val="24"/>
        </w:rPr>
        <w:t xml:space="preserve">Estimate of </w:t>
      </w:r>
      <w:r w:rsidRPr="006813F3">
        <w:rPr>
          <w:b/>
          <w:sz w:val="22"/>
          <w:szCs w:val="24"/>
        </w:rPr>
        <w:t xml:space="preserve">Annual </w:t>
      </w:r>
      <w:r w:rsidR="006813F3">
        <w:rPr>
          <w:b/>
          <w:sz w:val="22"/>
          <w:szCs w:val="24"/>
        </w:rPr>
        <w:t>Cost</w:t>
      </w:r>
      <w:r w:rsidRPr="006813F3">
        <w:rPr>
          <w:b/>
          <w:sz w:val="22"/>
          <w:szCs w:val="24"/>
        </w:rPr>
        <w:t xml:space="preserve"> Burden on Respondents</w:t>
      </w:r>
    </w:p>
    <w:tbl>
      <w:tblPr>
        <w:tblW w:w="957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998"/>
        <w:gridCol w:w="1591"/>
        <w:gridCol w:w="1496"/>
        <w:gridCol w:w="1497"/>
        <w:gridCol w:w="1497"/>
        <w:gridCol w:w="1497"/>
      </w:tblGrid>
      <w:tr w:rsidR="00814026" w:rsidTr="00814026">
        <w:trPr>
          <w:trHeight w:val="510"/>
        </w:trPr>
        <w:tc>
          <w:tcPr>
            <w:tcW w:w="1998" w:type="dxa"/>
            <w:tcBorders>
              <w:top w:val="single" w:sz="12" w:space="0" w:color="000000"/>
              <w:bottom w:val="single" w:sz="12" w:space="0" w:color="000000"/>
              <w:right w:val="single" w:sz="12" w:space="0" w:color="000000"/>
            </w:tcBorders>
            <w:shd w:val="clear" w:color="auto" w:fill="auto"/>
            <w:vAlign w:val="center"/>
          </w:tcPr>
          <w:p w:rsidR="0013320D" w:rsidRPr="00814026" w:rsidRDefault="0013320D" w:rsidP="00814026">
            <w:pPr>
              <w:jc w:val="center"/>
              <w:rPr>
                <w:b/>
                <w:sz w:val="22"/>
                <w:szCs w:val="24"/>
              </w:rPr>
            </w:pPr>
            <w:r w:rsidRPr="00814026">
              <w:rPr>
                <w:b/>
                <w:sz w:val="22"/>
                <w:szCs w:val="24"/>
              </w:rPr>
              <w:t>Collection of Information</w:t>
            </w:r>
          </w:p>
        </w:tc>
        <w:tc>
          <w:tcPr>
            <w:tcW w:w="1591" w:type="dxa"/>
            <w:tcBorders>
              <w:left w:val="single" w:sz="12" w:space="0" w:color="000000"/>
              <w:bottom w:val="single" w:sz="12" w:space="0" w:color="000000"/>
            </w:tcBorders>
            <w:shd w:val="clear" w:color="auto" w:fill="auto"/>
            <w:vAlign w:val="center"/>
          </w:tcPr>
          <w:p w:rsidR="0013320D" w:rsidRPr="00814026" w:rsidRDefault="0013320D" w:rsidP="00814026">
            <w:pPr>
              <w:jc w:val="center"/>
              <w:rPr>
                <w:b/>
                <w:sz w:val="22"/>
                <w:szCs w:val="24"/>
              </w:rPr>
            </w:pPr>
            <w:r w:rsidRPr="00814026">
              <w:rPr>
                <w:b/>
                <w:sz w:val="22"/>
                <w:szCs w:val="24"/>
              </w:rPr>
              <w:t>Estimated Burden per Response ($)</w:t>
            </w:r>
          </w:p>
        </w:tc>
        <w:tc>
          <w:tcPr>
            <w:tcW w:w="1496" w:type="dxa"/>
            <w:tcBorders>
              <w:bottom w:val="single" w:sz="12" w:space="0" w:color="000000"/>
            </w:tcBorders>
            <w:shd w:val="clear" w:color="auto" w:fill="auto"/>
            <w:vAlign w:val="center"/>
          </w:tcPr>
          <w:p w:rsidR="0013320D" w:rsidRPr="00814026" w:rsidRDefault="0013320D" w:rsidP="00814026">
            <w:pPr>
              <w:jc w:val="center"/>
              <w:rPr>
                <w:b/>
                <w:sz w:val="22"/>
                <w:szCs w:val="24"/>
              </w:rPr>
            </w:pPr>
            <w:r w:rsidRPr="00814026">
              <w:rPr>
                <w:b/>
                <w:sz w:val="22"/>
                <w:szCs w:val="24"/>
              </w:rPr>
              <w:t>Number of Respondents</w:t>
            </w:r>
          </w:p>
        </w:tc>
        <w:tc>
          <w:tcPr>
            <w:tcW w:w="1497" w:type="dxa"/>
            <w:tcBorders>
              <w:bottom w:val="single" w:sz="12" w:space="0" w:color="000000"/>
            </w:tcBorders>
            <w:shd w:val="clear" w:color="auto" w:fill="auto"/>
            <w:vAlign w:val="center"/>
          </w:tcPr>
          <w:p w:rsidR="0013320D" w:rsidRPr="00814026" w:rsidRDefault="0013320D" w:rsidP="00814026">
            <w:pPr>
              <w:jc w:val="center"/>
              <w:rPr>
                <w:b/>
                <w:sz w:val="22"/>
                <w:szCs w:val="24"/>
              </w:rPr>
            </w:pPr>
            <w:r w:rsidRPr="00814026">
              <w:rPr>
                <w:b/>
                <w:sz w:val="22"/>
                <w:szCs w:val="24"/>
              </w:rPr>
              <w:t>Number of Transactions</w:t>
            </w:r>
          </w:p>
        </w:tc>
        <w:tc>
          <w:tcPr>
            <w:tcW w:w="1497" w:type="dxa"/>
            <w:tcBorders>
              <w:bottom w:val="single" w:sz="12" w:space="0" w:color="000000"/>
            </w:tcBorders>
            <w:shd w:val="clear" w:color="auto" w:fill="auto"/>
            <w:vAlign w:val="center"/>
          </w:tcPr>
          <w:p w:rsidR="0013320D" w:rsidRPr="00814026" w:rsidRDefault="00D34FB8" w:rsidP="00814026">
            <w:pPr>
              <w:jc w:val="center"/>
              <w:rPr>
                <w:b/>
                <w:sz w:val="22"/>
                <w:szCs w:val="24"/>
              </w:rPr>
            </w:pPr>
            <w:r w:rsidRPr="00814026">
              <w:rPr>
                <w:b/>
                <w:sz w:val="22"/>
                <w:szCs w:val="24"/>
              </w:rPr>
              <w:t>Limited Access Program Burden ($)</w:t>
            </w:r>
          </w:p>
        </w:tc>
        <w:tc>
          <w:tcPr>
            <w:tcW w:w="1497" w:type="dxa"/>
            <w:tcBorders>
              <w:bottom w:val="single" w:sz="12" w:space="0" w:color="000000"/>
            </w:tcBorders>
            <w:shd w:val="clear" w:color="auto" w:fill="auto"/>
            <w:vAlign w:val="center"/>
          </w:tcPr>
          <w:p w:rsidR="0013320D" w:rsidRPr="00814026" w:rsidRDefault="0013320D" w:rsidP="00814026">
            <w:pPr>
              <w:jc w:val="center"/>
              <w:rPr>
                <w:b/>
                <w:sz w:val="22"/>
                <w:szCs w:val="24"/>
              </w:rPr>
            </w:pPr>
            <w:r w:rsidRPr="00814026">
              <w:rPr>
                <w:b/>
                <w:sz w:val="22"/>
                <w:szCs w:val="24"/>
              </w:rPr>
              <w:t>Total Annual Burden ($)</w:t>
            </w:r>
          </w:p>
        </w:tc>
      </w:tr>
      <w:tr w:rsidR="00814026" w:rsidTr="00814026">
        <w:trPr>
          <w:trHeight w:val="240"/>
        </w:trPr>
        <w:tc>
          <w:tcPr>
            <w:tcW w:w="1998" w:type="dxa"/>
            <w:tcBorders>
              <w:right w:val="single" w:sz="12" w:space="0" w:color="000000"/>
            </w:tcBorders>
            <w:shd w:val="clear" w:color="auto" w:fill="auto"/>
            <w:vAlign w:val="center"/>
          </w:tcPr>
          <w:p w:rsidR="0013320D" w:rsidRPr="00814026" w:rsidRDefault="0013320D" w:rsidP="00814026">
            <w:pPr>
              <w:jc w:val="center"/>
              <w:rPr>
                <w:b/>
                <w:sz w:val="22"/>
                <w:szCs w:val="24"/>
              </w:rPr>
            </w:pPr>
            <w:r w:rsidRPr="00814026">
              <w:rPr>
                <w:b/>
                <w:sz w:val="22"/>
                <w:szCs w:val="24"/>
              </w:rPr>
              <w:t>Original</w:t>
            </w:r>
          </w:p>
        </w:tc>
        <w:tc>
          <w:tcPr>
            <w:tcW w:w="1591" w:type="dxa"/>
            <w:tcBorders>
              <w:left w:val="single" w:sz="12" w:space="0" w:color="000000"/>
            </w:tcBorders>
            <w:shd w:val="clear" w:color="auto" w:fill="auto"/>
            <w:vAlign w:val="center"/>
          </w:tcPr>
          <w:p w:rsidR="0013320D" w:rsidRPr="00814026" w:rsidRDefault="00357DCE" w:rsidP="00814026">
            <w:pPr>
              <w:jc w:val="center"/>
              <w:rPr>
                <w:sz w:val="22"/>
                <w:szCs w:val="24"/>
                <w:highlight w:val="yellow"/>
              </w:rPr>
            </w:pPr>
            <w:r w:rsidRPr="00814026">
              <w:rPr>
                <w:sz w:val="22"/>
                <w:szCs w:val="24"/>
              </w:rPr>
              <w:t>5.62</w:t>
            </w:r>
          </w:p>
        </w:tc>
        <w:tc>
          <w:tcPr>
            <w:tcW w:w="1496" w:type="dxa"/>
            <w:shd w:val="clear" w:color="auto" w:fill="auto"/>
            <w:vAlign w:val="center"/>
          </w:tcPr>
          <w:p w:rsidR="0013320D" w:rsidRPr="00814026" w:rsidRDefault="0013320D" w:rsidP="00814026">
            <w:pPr>
              <w:jc w:val="center"/>
              <w:rPr>
                <w:sz w:val="22"/>
                <w:szCs w:val="24"/>
              </w:rPr>
            </w:pPr>
            <w:r w:rsidRPr="00814026">
              <w:rPr>
                <w:sz w:val="22"/>
                <w:szCs w:val="24"/>
              </w:rPr>
              <w:t>432</w:t>
            </w:r>
          </w:p>
        </w:tc>
        <w:tc>
          <w:tcPr>
            <w:tcW w:w="1497" w:type="dxa"/>
            <w:shd w:val="clear" w:color="auto" w:fill="auto"/>
            <w:vAlign w:val="center"/>
          </w:tcPr>
          <w:p w:rsidR="0013320D" w:rsidRPr="00814026" w:rsidRDefault="00357DCE" w:rsidP="00814026">
            <w:pPr>
              <w:jc w:val="center"/>
              <w:rPr>
                <w:sz w:val="22"/>
                <w:szCs w:val="24"/>
              </w:rPr>
            </w:pPr>
            <w:r w:rsidRPr="00814026">
              <w:rPr>
                <w:sz w:val="22"/>
                <w:szCs w:val="24"/>
              </w:rPr>
              <w:t>216</w:t>
            </w:r>
          </w:p>
        </w:tc>
        <w:tc>
          <w:tcPr>
            <w:tcW w:w="1497" w:type="dxa"/>
            <w:shd w:val="clear" w:color="auto" w:fill="auto"/>
            <w:vAlign w:val="center"/>
          </w:tcPr>
          <w:p w:rsidR="0013320D" w:rsidRPr="00814026" w:rsidRDefault="00F5512B" w:rsidP="00814026">
            <w:pPr>
              <w:jc w:val="center"/>
              <w:rPr>
                <w:sz w:val="22"/>
                <w:szCs w:val="24"/>
              </w:rPr>
            </w:pPr>
            <w:r w:rsidRPr="00814026">
              <w:rPr>
                <w:sz w:val="22"/>
                <w:szCs w:val="24"/>
              </w:rPr>
              <w:t>184.41</w:t>
            </w:r>
          </w:p>
        </w:tc>
        <w:tc>
          <w:tcPr>
            <w:tcW w:w="1497" w:type="dxa"/>
            <w:shd w:val="clear" w:color="auto" w:fill="auto"/>
            <w:vAlign w:val="center"/>
          </w:tcPr>
          <w:p w:rsidR="0013320D" w:rsidRPr="00814026" w:rsidRDefault="0013320D" w:rsidP="00814026">
            <w:pPr>
              <w:jc w:val="center"/>
              <w:rPr>
                <w:sz w:val="22"/>
                <w:szCs w:val="24"/>
              </w:rPr>
            </w:pPr>
            <w:r w:rsidRPr="00814026">
              <w:rPr>
                <w:sz w:val="22"/>
                <w:szCs w:val="24"/>
              </w:rPr>
              <w:t>1,398.33</w:t>
            </w:r>
          </w:p>
        </w:tc>
      </w:tr>
      <w:tr w:rsidR="00814026" w:rsidTr="00814026">
        <w:trPr>
          <w:trHeight w:val="255"/>
        </w:trPr>
        <w:tc>
          <w:tcPr>
            <w:tcW w:w="1998" w:type="dxa"/>
            <w:tcBorders>
              <w:right w:val="single" w:sz="12" w:space="0" w:color="000000"/>
            </w:tcBorders>
            <w:shd w:val="clear" w:color="auto" w:fill="auto"/>
            <w:vAlign w:val="center"/>
          </w:tcPr>
          <w:p w:rsidR="0013320D" w:rsidRPr="00814026" w:rsidRDefault="0013320D" w:rsidP="00814026">
            <w:pPr>
              <w:jc w:val="center"/>
              <w:rPr>
                <w:b/>
                <w:sz w:val="22"/>
                <w:szCs w:val="24"/>
              </w:rPr>
            </w:pPr>
            <w:r w:rsidRPr="00814026">
              <w:rPr>
                <w:b/>
                <w:sz w:val="22"/>
                <w:szCs w:val="24"/>
              </w:rPr>
              <w:t>Current</w:t>
            </w:r>
          </w:p>
        </w:tc>
        <w:tc>
          <w:tcPr>
            <w:tcW w:w="1591" w:type="dxa"/>
            <w:tcBorders>
              <w:left w:val="single" w:sz="12" w:space="0" w:color="000000"/>
            </w:tcBorders>
            <w:shd w:val="clear" w:color="auto" w:fill="auto"/>
            <w:vAlign w:val="center"/>
          </w:tcPr>
          <w:p w:rsidR="0013320D" w:rsidRPr="00814026" w:rsidRDefault="0013320D" w:rsidP="00814026">
            <w:pPr>
              <w:jc w:val="center"/>
              <w:rPr>
                <w:b/>
                <w:sz w:val="22"/>
                <w:szCs w:val="24"/>
              </w:rPr>
            </w:pPr>
            <w:r w:rsidRPr="00814026">
              <w:rPr>
                <w:b/>
                <w:sz w:val="22"/>
                <w:szCs w:val="24"/>
              </w:rPr>
              <w:t>4.82</w:t>
            </w:r>
          </w:p>
        </w:tc>
        <w:tc>
          <w:tcPr>
            <w:tcW w:w="1496" w:type="dxa"/>
            <w:shd w:val="clear" w:color="auto" w:fill="auto"/>
            <w:vAlign w:val="center"/>
          </w:tcPr>
          <w:p w:rsidR="0013320D" w:rsidRPr="00814026" w:rsidRDefault="0013320D" w:rsidP="00814026">
            <w:pPr>
              <w:jc w:val="center"/>
              <w:rPr>
                <w:b/>
                <w:sz w:val="22"/>
                <w:szCs w:val="24"/>
              </w:rPr>
            </w:pPr>
            <w:r w:rsidRPr="00814026">
              <w:rPr>
                <w:b/>
                <w:sz w:val="22"/>
                <w:szCs w:val="24"/>
              </w:rPr>
              <w:t>204</w:t>
            </w:r>
          </w:p>
        </w:tc>
        <w:tc>
          <w:tcPr>
            <w:tcW w:w="1497" w:type="dxa"/>
            <w:shd w:val="clear" w:color="auto" w:fill="auto"/>
            <w:vAlign w:val="center"/>
          </w:tcPr>
          <w:p w:rsidR="0013320D" w:rsidRPr="00814026" w:rsidRDefault="0013320D" w:rsidP="00814026">
            <w:pPr>
              <w:jc w:val="center"/>
              <w:rPr>
                <w:b/>
                <w:sz w:val="22"/>
                <w:szCs w:val="24"/>
              </w:rPr>
            </w:pPr>
            <w:r w:rsidRPr="00814026">
              <w:rPr>
                <w:b/>
                <w:sz w:val="22"/>
                <w:szCs w:val="24"/>
              </w:rPr>
              <w:t>102</w:t>
            </w:r>
          </w:p>
        </w:tc>
        <w:tc>
          <w:tcPr>
            <w:tcW w:w="1497" w:type="dxa"/>
            <w:shd w:val="clear" w:color="auto" w:fill="auto"/>
            <w:vAlign w:val="center"/>
          </w:tcPr>
          <w:p w:rsidR="0013320D" w:rsidRPr="00814026" w:rsidRDefault="00F5512B" w:rsidP="00814026">
            <w:pPr>
              <w:jc w:val="center"/>
              <w:rPr>
                <w:b/>
                <w:sz w:val="22"/>
                <w:szCs w:val="24"/>
              </w:rPr>
            </w:pPr>
            <w:r w:rsidRPr="00814026">
              <w:rPr>
                <w:b/>
                <w:sz w:val="22"/>
                <w:szCs w:val="24"/>
              </w:rPr>
              <w:t>0</w:t>
            </w:r>
          </w:p>
        </w:tc>
        <w:tc>
          <w:tcPr>
            <w:tcW w:w="1497" w:type="dxa"/>
            <w:shd w:val="clear" w:color="auto" w:fill="auto"/>
            <w:vAlign w:val="center"/>
          </w:tcPr>
          <w:p w:rsidR="0013320D" w:rsidRPr="00814026" w:rsidRDefault="0013320D" w:rsidP="00814026">
            <w:pPr>
              <w:jc w:val="center"/>
              <w:rPr>
                <w:b/>
                <w:sz w:val="22"/>
                <w:szCs w:val="24"/>
              </w:rPr>
            </w:pPr>
            <w:r w:rsidRPr="00814026">
              <w:rPr>
                <w:b/>
                <w:sz w:val="22"/>
                <w:szCs w:val="24"/>
              </w:rPr>
              <w:t>491.64</w:t>
            </w:r>
          </w:p>
        </w:tc>
      </w:tr>
      <w:tr w:rsidR="00814026" w:rsidTr="00814026">
        <w:trPr>
          <w:trHeight w:val="255"/>
        </w:trPr>
        <w:tc>
          <w:tcPr>
            <w:tcW w:w="1998" w:type="dxa"/>
            <w:tcBorders>
              <w:bottom w:val="single" w:sz="12" w:space="0" w:color="000000"/>
              <w:right w:val="single" w:sz="12" w:space="0" w:color="000000"/>
            </w:tcBorders>
            <w:shd w:val="clear" w:color="auto" w:fill="auto"/>
            <w:vAlign w:val="center"/>
          </w:tcPr>
          <w:p w:rsidR="0013320D" w:rsidRPr="00814026" w:rsidRDefault="0013320D" w:rsidP="00814026">
            <w:pPr>
              <w:jc w:val="center"/>
              <w:rPr>
                <w:b/>
                <w:sz w:val="22"/>
                <w:szCs w:val="24"/>
              </w:rPr>
            </w:pPr>
            <w:r w:rsidRPr="00814026">
              <w:rPr>
                <w:b/>
                <w:sz w:val="22"/>
                <w:szCs w:val="24"/>
              </w:rPr>
              <w:t>Difference/Change</w:t>
            </w:r>
          </w:p>
        </w:tc>
        <w:tc>
          <w:tcPr>
            <w:tcW w:w="1591" w:type="dxa"/>
            <w:tcBorders>
              <w:left w:val="single" w:sz="12" w:space="0" w:color="000000"/>
            </w:tcBorders>
            <w:shd w:val="clear" w:color="auto" w:fill="auto"/>
            <w:vAlign w:val="center"/>
          </w:tcPr>
          <w:p w:rsidR="0013320D" w:rsidRPr="00814026" w:rsidRDefault="00FE558E" w:rsidP="00814026">
            <w:pPr>
              <w:jc w:val="center"/>
              <w:rPr>
                <w:sz w:val="22"/>
                <w:szCs w:val="24"/>
                <w:highlight w:val="yellow"/>
              </w:rPr>
            </w:pPr>
            <w:r w:rsidRPr="00814026">
              <w:rPr>
                <w:sz w:val="22"/>
                <w:szCs w:val="24"/>
              </w:rPr>
              <w:t>-</w:t>
            </w:r>
            <w:r w:rsidR="00300D03" w:rsidRPr="00814026">
              <w:rPr>
                <w:sz w:val="22"/>
                <w:szCs w:val="24"/>
              </w:rPr>
              <w:t>0.80</w:t>
            </w:r>
          </w:p>
        </w:tc>
        <w:tc>
          <w:tcPr>
            <w:tcW w:w="1496" w:type="dxa"/>
            <w:shd w:val="clear" w:color="auto" w:fill="auto"/>
            <w:vAlign w:val="center"/>
          </w:tcPr>
          <w:p w:rsidR="0013320D" w:rsidRPr="00814026" w:rsidRDefault="00FE558E" w:rsidP="00814026">
            <w:pPr>
              <w:jc w:val="center"/>
              <w:rPr>
                <w:sz w:val="22"/>
                <w:szCs w:val="24"/>
                <w:highlight w:val="yellow"/>
              </w:rPr>
            </w:pPr>
            <w:r w:rsidRPr="00814026">
              <w:rPr>
                <w:sz w:val="22"/>
                <w:szCs w:val="24"/>
              </w:rPr>
              <w:t>-</w:t>
            </w:r>
            <w:r w:rsidR="0013320D" w:rsidRPr="00814026">
              <w:rPr>
                <w:sz w:val="22"/>
                <w:szCs w:val="24"/>
              </w:rPr>
              <w:t>228</w:t>
            </w:r>
          </w:p>
        </w:tc>
        <w:tc>
          <w:tcPr>
            <w:tcW w:w="1497" w:type="dxa"/>
            <w:shd w:val="clear" w:color="auto" w:fill="auto"/>
            <w:vAlign w:val="center"/>
          </w:tcPr>
          <w:p w:rsidR="0013320D" w:rsidRPr="00814026" w:rsidRDefault="00FE558E" w:rsidP="00814026">
            <w:pPr>
              <w:jc w:val="center"/>
              <w:rPr>
                <w:sz w:val="22"/>
                <w:szCs w:val="24"/>
                <w:highlight w:val="yellow"/>
              </w:rPr>
            </w:pPr>
            <w:r w:rsidRPr="00814026">
              <w:rPr>
                <w:sz w:val="22"/>
                <w:szCs w:val="24"/>
              </w:rPr>
              <w:t>-</w:t>
            </w:r>
            <w:r w:rsidR="00300D03" w:rsidRPr="00814026">
              <w:rPr>
                <w:sz w:val="22"/>
                <w:szCs w:val="24"/>
              </w:rPr>
              <w:t>114</w:t>
            </w:r>
          </w:p>
        </w:tc>
        <w:tc>
          <w:tcPr>
            <w:tcW w:w="1497" w:type="dxa"/>
            <w:shd w:val="clear" w:color="auto" w:fill="auto"/>
            <w:vAlign w:val="center"/>
          </w:tcPr>
          <w:p w:rsidR="0013320D" w:rsidRPr="00814026" w:rsidRDefault="00FE558E" w:rsidP="00814026">
            <w:pPr>
              <w:jc w:val="center"/>
              <w:rPr>
                <w:sz w:val="22"/>
                <w:szCs w:val="24"/>
              </w:rPr>
            </w:pPr>
            <w:r w:rsidRPr="00814026">
              <w:rPr>
                <w:sz w:val="22"/>
                <w:szCs w:val="24"/>
              </w:rPr>
              <w:t>-</w:t>
            </w:r>
            <w:r w:rsidR="00F5512B" w:rsidRPr="00814026">
              <w:rPr>
                <w:sz w:val="22"/>
                <w:szCs w:val="24"/>
              </w:rPr>
              <w:t>184.41</w:t>
            </w:r>
          </w:p>
        </w:tc>
        <w:tc>
          <w:tcPr>
            <w:tcW w:w="1497" w:type="dxa"/>
            <w:shd w:val="clear" w:color="auto" w:fill="auto"/>
            <w:vAlign w:val="center"/>
          </w:tcPr>
          <w:p w:rsidR="0013320D" w:rsidRPr="00814026" w:rsidRDefault="00FE558E" w:rsidP="00814026">
            <w:pPr>
              <w:jc w:val="center"/>
              <w:rPr>
                <w:sz w:val="22"/>
                <w:szCs w:val="24"/>
              </w:rPr>
            </w:pPr>
            <w:r w:rsidRPr="00814026">
              <w:rPr>
                <w:sz w:val="22"/>
                <w:szCs w:val="24"/>
              </w:rPr>
              <w:t>-</w:t>
            </w:r>
            <w:r w:rsidR="0013320D" w:rsidRPr="00814026">
              <w:rPr>
                <w:sz w:val="22"/>
                <w:szCs w:val="24"/>
              </w:rPr>
              <w:t>906.69</w:t>
            </w:r>
          </w:p>
        </w:tc>
      </w:tr>
    </w:tbl>
    <w:p w:rsidR="006813F3" w:rsidRPr="00234D4A" w:rsidRDefault="006813F3" w:rsidP="00234D4A">
      <w:pPr>
        <w:jc w:val="center"/>
        <w:rPr>
          <w:b/>
          <w:sz w:val="24"/>
          <w:szCs w:val="24"/>
        </w:rPr>
      </w:pPr>
    </w:p>
    <w:p w:rsidR="004F26E9" w:rsidRDefault="004F26E9">
      <w:pPr>
        <w:rPr>
          <w:sz w:val="24"/>
          <w:szCs w:val="24"/>
        </w:rPr>
      </w:pPr>
      <w:r w:rsidRPr="00F613B8">
        <w:rPr>
          <w:b/>
          <w:bCs/>
          <w:sz w:val="24"/>
          <w:szCs w:val="24"/>
        </w:rPr>
        <w:t xml:space="preserve">14.  </w:t>
      </w:r>
      <w:r w:rsidRPr="00F613B8">
        <w:rPr>
          <w:b/>
          <w:bCs/>
          <w:sz w:val="24"/>
          <w:szCs w:val="24"/>
          <w:u w:val="single"/>
        </w:rPr>
        <w:t>Provide estimates of annualized</w:t>
      </w:r>
      <w:r>
        <w:rPr>
          <w:b/>
          <w:bCs/>
          <w:sz w:val="24"/>
          <w:szCs w:val="24"/>
          <w:u w:val="single"/>
        </w:rPr>
        <w:t xml:space="preserve"> cost to the Federal government</w:t>
      </w:r>
      <w:r>
        <w:rPr>
          <w:b/>
          <w:bCs/>
          <w:sz w:val="24"/>
          <w:szCs w:val="24"/>
        </w:rPr>
        <w:t>.</w:t>
      </w:r>
    </w:p>
    <w:p w:rsidR="004F26E9" w:rsidRDefault="004F26E9">
      <w:pPr>
        <w:rPr>
          <w:sz w:val="24"/>
          <w:szCs w:val="24"/>
        </w:rPr>
      </w:pPr>
    </w:p>
    <w:p w:rsidR="00F952DB" w:rsidRPr="00814026" w:rsidRDefault="00021957" w:rsidP="0023033D">
      <w:pPr>
        <w:rPr>
          <w:sz w:val="24"/>
          <w:szCs w:val="24"/>
          <w:highlight w:val="lightGray"/>
        </w:rPr>
      </w:pPr>
      <w:r>
        <w:rPr>
          <w:sz w:val="24"/>
          <w:szCs w:val="24"/>
        </w:rPr>
        <w:t>NMFS</w:t>
      </w:r>
      <w:r w:rsidR="00A45B1B" w:rsidRPr="00A45B1B">
        <w:rPr>
          <w:sz w:val="24"/>
          <w:szCs w:val="24"/>
        </w:rPr>
        <w:t xml:space="preserve"> calculated the total estimated burden on the government from th</w:t>
      </w:r>
      <w:r w:rsidR="009E7086">
        <w:rPr>
          <w:sz w:val="24"/>
          <w:szCs w:val="24"/>
        </w:rPr>
        <w:t>e lobster Trap Transfer P</w:t>
      </w:r>
      <w:r w:rsidR="00A45B1B">
        <w:rPr>
          <w:sz w:val="24"/>
          <w:szCs w:val="24"/>
        </w:rPr>
        <w:t>rogram</w:t>
      </w:r>
      <w:r w:rsidR="00A45B1B" w:rsidRPr="00A45B1B">
        <w:rPr>
          <w:sz w:val="24"/>
          <w:szCs w:val="24"/>
        </w:rPr>
        <w:t xml:space="preserve"> </w:t>
      </w:r>
      <w:r w:rsidR="00A45B1B">
        <w:rPr>
          <w:sz w:val="24"/>
          <w:szCs w:val="24"/>
        </w:rPr>
        <w:t>collection</w:t>
      </w:r>
      <w:r w:rsidR="00A45B1B" w:rsidRPr="00A45B1B">
        <w:rPr>
          <w:sz w:val="24"/>
          <w:szCs w:val="24"/>
        </w:rPr>
        <w:t xml:space="preserve"> based upon the estimated 204 permit holders who may apply to this program each year</w:t>
      </w:r>
      <w:r w:rsidR="00A45B1B">
        <w:rPr>
          <w:sz w:val="24"/>
          <w:szCs w:val="24"/>
        </w:rPr>
        <w:t xml:space="preserve">, </w:t>
      </w:r>
      <w:r w:rsidR="00A45B1B" w:rsidRPr="00A45B1B">
        <w:rPr>
          <w:sz w:val="24"/>
          <w:szCs w:val="24"/>
        </w:rPr>
        <w:t>the 102 annual trap transfer transactions expect</w:t>
      </w:r>
      <w:r>
        <w:rPr>
          <w:sz w:val="24"/>
          <w:szCs w:val="24"/>
        </w:rPr>
        <w:t>ed</w:t>
      </w:r>
      <w:r w:rsidR="00A45B1B" w:rsidRPr="00A45B1B">
        <w:rPr>
          <w:sz w:val="24"/>
          <w:szCs w:val="24"/>
        </w:rPr>
        <w:t xml:space="preserve"> to take place</w:t>
      </w:r>
      <w:r w:rsidR="00A45B1B">
        <w:rPr>
          <w:sz w:val="24"/>
          <w:szCs w:val="24"/>
        </w:rPr>
        <w:t>, and the time and costs associated with the applications’ review and approval</w:t>
      </w:r>
      <w:r w:rsidR="00C81976">
        <w:rPr>
          <w:sz w:val="24"/>
          <w:szCs w:val="24"/>
        </w:rPr>
        <w:t xml:space="preserve">.  </w:t>
      </w:r>
      <w:r w:rsidR="00340B6E">
        <w:rPr>
          <w:sz w:val="24"/>
          <w:szCs w:val="24"/>
        </w:rPr>
        <w:t xml:space="preserve">NMFS </w:t>
      </w:r>
      <w:r w:rsidR="00C81976" w:rsidRPr="00C81976">
        <w:rPr>
          <w:sz w:val="24"/>
          <w:szCs w:val="24"/>
        </w:rPr>
        <w:t>expect</w:t>
      </w:r>
      <w:r w:rsidR="00340B6E">
        <w:rPr>
          <w:sz w:val="24"/>
          <w:szCs w:val="24"/>
        </w:rPr>
        <w:t>s</w:t>
      </w:r>
      <w:r w:rsidR="00C81976" w:rsidRPr="00C81976">
        <w:rPr>
          <w:sz w:val="24"/>
          <w:szCs w:val="24"/>
        </w:rPr>
        <w:t xml:space="preserve"> the number of participants </w:t>
      </w:r>
      <w:r w:rsidR="00C81976" w:rsidRPr="00C81976">
        <w:rPr>
          <w:sz w:val="24"/>
          <w:szCs w:val="24"/>
        </w:rPr>
        <w:lastRenderedPageBreak/>
        <w:t xml:space="preserve">to decrease over time as fishermen stabilize their businesses and available traps become scarce, but this estimate may stand to mark the burden on an annual basis since </w:t>
      </w:r>
      <w:r w:rsidR="00340B6E">
        <w:rPr>
          <w:sz w:val="24"/>
          <w:szCs w:val="24"/>
        </w:rPr>
        <w:t>it is uncertain</w:t>
      </w:r>
      <w:r w:rsidR="00C81976" w:rsidRPr="00C81976">
        <w:rPr>
          <w:sz w:val="24"/>
          <w:szCs w:val="24"/>
        </w:rPr>
        <w:t xml:space="preserve"> how trap availability and market forces may impact the amount of transactions over time</w:t>
      </w:r>
      <w:r w:rsidR="0029492A">
        <w:rPr>
          <w:sz w:val="24"/>
          <w:szCs w:val="24"/>
        </w:rPr>
        <w:t>.</w:t>
      </w:r>
    </w:p>
    <w:p w:rsidR="0023033D" w:rsidRPr="0023033D" w:rsidRDefault="0023033D" w:rsidP="0023033D">
      <w:pPr>
        <w:rPr>
          <w:sz w:val="24"/>
          <w:szCs w:val="24"/>
          <w:highlight w:val="yellow"/>
        </w:rPr>
      </w:pPr>
    </w:p>
    <w:p w:rsidR="003828BF" w:rsidRPr="003828BF" w:rsidRDefault="003828BF" w:rsidP="0023033D">
      <w:pPr>
        <w:rPr>
          <w:sz w:val="24"/>
          <w:szCs w:val="24"/>
          <w:u w:val="single"/>
        </w:rPr>
      </w:pPr>
      <w:r>
        <w:rPr>
          <w:sz w:val="24"/>
          <w:szCs w:val="24"/>
          <w:u w:val="single"/>
        </w:rPr>
        <w:t>Labor Costs</w:t>
      </w:r>
    </w:p>
    <w:p w:rsidR="003828BF" w:rsidRDefault="003828BF" w:rsidP="0023033D">
      <w:pPr>
        <w:rPr>
          <w:sz w:val="24"/>
          <w:szCs w:val="24"/>
        </w:rPr>
      </w:pPr>
    </w:p>
    <w:p w:rsidR="0023033D" w:rsidRPr="0023033D" w:rsidRDefault="0023033D" w:rsidP="0023033D">
      <w:pPr>
        <w:rPr>
          <w:sz w:val="24"/>
          <w:szCs w:val="24"/>
          <w:highlight w:val="yellow"/>
        </w:rPr>
      </w:pPr>
      <w:r w:rsidRPr="00700B82">
        <w:rPr>
          <w:sz w:val="24"/>
          <w:szCs w:val="24"/>
        </w:rPr>
        <w:t xml:space="preserve">Permit holders will submit trap transfer applications either electronically or in hard copy to the </w:t>
      </w:r>
      <w:r w:rsidR="00700B82" w:rsidRPr="00700B82">
        <w:rPr>
          <w:sz w:val="24"/>
          <w:szCs w:val="24"/>
        </w:rPr>
        <w:t>Greater Atlantic Regional</w:t>
      </w:r>
      <w:r w:rsidRPr="00700B82">
        <w:rPr>
          <w:sz w:val="24"/>
          <w:szCs w:val="24"/>
        </w:rPr>
        <w:t xml:space="preserve"> Permit Office</w:t>
      </w:r>
      <w:r w:rsidR="00700B82" w:rsidRPr="00700B82">
        <w:rPr>
          <w:sz w:val="24"/>
          <w:szCs w:val="24"/>
        </w:rPr>
        <w:t>, where they will be</w:t>
      </w:r>
      <w:r w:rsidRPr="00700B82">
        <w:rPr>
          <w:sz w:val="24"/>
          <w:szCs w:val="24"/>
        </w:rPr>
        <w:t xml:space="preserve"> reviewed and processed by a Legal Instruments Examiner (GS-10,</w:t>
      </w:r>
      <w:r w:rsidR="00700B82">
        <w:rPr>
          <w:sz w:val="24"/>
          <w:szCs w:val="24"/>
        </w:rPr>
        <w:t xml:space="preserve"> </w:t>
      </w:r>
      <w:r w:rsidRPr="00700B82">
        <w:rPr>
          <w:sz w:val="24"/>
          <w:szCs w:val="24"/>
        </w:rPr>
        <w:t xml:space="preserve">Step 8, hourly rate </w:t>
      </w:r>
      <w:r w:rsidRPr="007A2CAA">
        <w:rPr>
          <w:sz w:val="24"/>
          <w:szCs w:val="24"/>
        </w:rPr>
        <w:t>of $</w:t>
      </w:r>
      <w:r w:rsidR="007A2CAA" w:rsidRPr="007A2CAA">
        <w:rPr>
          <w:sz w:val="24"/>
          <w:szCs w:val="24"/>
        </w:rPr>
        <w:t>35.01</w:t>
      </w:r>
      <w:r w:rsidRPr="00700B82">
        <w:rPr>
          <w:sz w:val="24"/>
          <w:szCs w:val="24"/>
        </w:rPr>
        <w:t xml:space="preserve">).  For the purposes of this estimate, </w:t>
      </w:r>
      <w:r w:rsidRPr="00022C3B">
        <w:rPr>
          <w:sz w:val="24"/>
          <w:szCs w:val="24"/>
        </w:rPr>
        <w:t>we</w:t>
      </w:r>
      <w:r w:rsidRPr="00700B82">
        <w:rPr>
          <w:sz w:val="24"/>
          <w:szCs w:val="24"/>
        </w:rPr>
        <w:t xml:space="preserve"> will assume that all transactions come in hard copy form, to ensure that the full burden is accounted for.  </w:t>
      </w:r>
      <w:r w:rsidRPr="007A2CAA">
        <w:rPr>
          <w:sz w:val="24"/>
          <w:szCs w:val="24"/>
        </w:rPr>
        <w:t>The examiner will take about 10 minutes ($5.</w:t>
      </w:r>
      <w:r w:rsidR="007A2CAA" w:rsidRPr="007A2CAA">
        <w:rPr>
          <w:sz w:val="24"/>
          <w:szCs w:val="24"/>
        </w:rPr>
        <w:t>8</w:t>
      </w:r>
      <w:r w:rsidRPr="007A2CAA">
        <w:rPr>
          <w:sz w:val="24"/>
          <w:szCs w:val="24"/>
        </w:rPr>
        <w:t xml:space="preserve">3) per application to enact the transfers which includes checking the permits and trap allocations, returning incomplete applications and auditing the information to be sure that the appropriate ending trap allocations are correct in the internal and regional trap transfer databases.  A letter or email will also be sent to the affected permit holders to verify the transaction, or to deny the submission if insufficient traps are available in the seller’s permit.  </w:t>
      </w:r>
      <w:r w:rsidR="007A2CAA" w:rsidRPr="007A2CAA">
        <w:rPr>
          <w:sz w:val="24"/>
          <w:szCs w:val="24"/>
        </w:rPr>
        <w:t xml:space="preserve">A Supervisory Permit Specialist (GS-14 Step 1, $52.52 hourly) will also conduct a summary review of the decisions prior to approval, taking 2 minutes ($1.75) per transaction.  </w:t>
      </w:r>
      <w:r w:rsidRPr="00AA1E91">
        <w:rPr>
          <w:b/>
          <w:sz w:val="24"/>
          <w:szCs w:val="24"/>
        </w:rPr>
        <w:t>Therefore, each transaction is estimated at 12 minutes for a total cost of $7.</w:t>
      </w:r>
      <w:r w:rsidR="007A2CAA" w:rsidRPr="00AA1E91">
        <w:rPr>
          <w:b/>
          <w:sz w:val="24"/>
          <w:szCs w:val="24"/>
        </w:rPr>
        <w:t>58</w:t>
      </w:r>
      <w:r w:rsidRPr="00AA1E91">
        <w:rPr>
          <w:b/>
          <w:sz w:val="24"/>
          <w:szCs w:val="24"/>
        </w:rPr>
        <w:t xml:space="preserve">.  </w:t>
      </w:r>
      <w:r w:rsidR="007A2CAA" w:rsidRPr="00AA1E91">
        <w:rPr>
          <w:b/>
          <w:sz w:val="24"/>
          <w:szCs w:val="24"/>
        </w:rPr>
        <w:t>For</w:t>
      </w:r>
      <w:r w:rsidRPr="00AA1E91">
        <w:rPr>
          <w:b/>
          <w:sz w:val="24"/>
          <w:szCs w:val="24"/>
        </w:rPr>
        <w:t xml:space="preserve"> all </w:t>
      </w:r>
      <w:r w:rsidR="007A2CAA" w:rsidRPr="00AA1E91">
        <w:rPr>
          <w:b/>
          <w:sz w:val="24"/>
          <w:szCs w:val="24"/>
        </w:rPr>
        <w:t>102</w:t>
      </w:r>
      <w:r w:rsidRPr="00AA1E91">
        <w:rPr>
          <w:b/>
          <w:sz w:val="24"/>
          <w:szCs w:val="24"/>
        </w:rPr>
        <w:t xml:space="preserve"> transactions</w:t>
      </w:r>
      <w:r w:rsidR="007A2CAA" w:rsidRPr="00AA1E91">
        <w:rPr>
          <w:b/>
          <w:sz w:val="24"/>
          <w:szCs w:val="24"/>
        </w:rPr>
        <w:t>, this totals to</w:t>
      </w:r>
      <w:r w:rsidRPr="00AA1E91">
        <w:rPr>
          <w:b/>
          <w:sz w:val="24"/>
          <w:szCs w:val="24"/>
        </w:rPr>
        <w:t xml:space="preserve"> </w:t>
      </w:r>
      <w:r w:rsidR="007A2CAA" w:rsidRPr="00AA1E91">
        <w:rPr>
          <w:b/>
          <w:sz w:val="24"/>
          <w:szCs w:val="24"/>
        </w:rPr>
        <w:t>20.4</w:t>
      </w:r>
      <w:r w:rsidRPr="00AA1E91">
        <w:rPr>
          <w:b/>
          <w:sz w:val="24"/>
          <w:szCs w:val="24"/>
        </w:rPr>
        <w:t xml:space="preserve"> hours</w:t>
      </w:r>
      <w:r w:rsidR="007A2CAA" w:rsidRPr="00AA1E91">
        <w:rPr>
          <w:b/>
          <w:sz w:val="24"/>
          <w:szCs w:val="24"/>
        </w:rPr>
        <w:t>,</w:t>
      </w:r>
      <w:r w:rsidRPr="00AA1E91">
        <w:rPr>
          <w:b/>
          <w:sz w:val="24"/>
          <w:szCs w:val="24"/>
        </w:rPr>
        <w:t xml:space="preserve"> at a labor cost of $</w:t>
      </w:r>
      <w:r w:rsidR="007A2CAA" w:rsidRPr="00AA1E91">
        <w:rPr>
          <w:b/>
          <w:sz w:val="24"/>
          <w:szCs w:val="24"/>
        </w:rPr>
        <w:t>773.16</w:t>
      </w:r>
      <w:r w:rsidR="007A2CAA" w:rsidRPr="00AA1E91">
        <w:rPr>
          <w:rStyle w:val="FootnoteReference"/>
          <w:b/>
          <w:sz w:val="24"/>
          <w:szCs w:val="24"/>
        </w:rPr>
        <w:footnoteReference w:id="3"/>
      </w:r>
      <w:r w:rsidRPr="00AA1E91">
        <w:rPr>
          <w:b/>
          <w:sz w:val="24"/>
          <w:szCs w:val="24"/>
        </w:rPr>
        <w:t>.</w:t>
      </w:r>
    </w:p>
    <w:p w:rsidR="0023033D" w:rsidRPr="0023033D" w:rsidRDefault="0023033D" w:rsidP="0023033D">
      <w:pPr>
        <w:rPr>
          <w:sz w:val="24"/>
          <w:szCs w:val="24"/>
          <w:highlight w:val="yellow"/>
        </w:rPr>
      </w:pPr>
    </w:p>
    <w:p w:rsidR="003828BF" w:rsidRDefault="0023033D" w:rsidP="0023033D">
      <w:pPr>
        <w:rPr>
          <w:sz w:val="24"/>
          <w:szCs w:val="24"/>
          <w:u w:val="single"/>
        </w:rPr>
      </w:pPr>
      <w:r w:rsidRPr="003828BF">
        <w:rPr>
          <w:sz w:val="24"/>
          <w:szCs w:val="24"/>
          <w:u w:val="single"/>
        </w:rPr>
        <w:t>Material Costs</w:t>
      </w:r>
    </w:p>
    <w:p w:rsidR="003828BF" w:rsidRDefault="003828BF" w:rsidP="0023033D">
      <w:pPr>
        <w:rPr>
          <w:sz w:val="24"/>
          <w:szCs w:val="24"/>
          <w:u w:val="single"/>
        </w:rPr>
      </w:pPr>
    </w:p>
    <w:p w:rsidR="0052402D" w:rsidRDefault="003828BF" w:rsidP="0023033D">
      <w:pPr>
        <w:rPr>
          <w:sz w:val="24"/>
          <w:szCs w:val="24"/>
        </w:rPr>
      </w:pPr>
      <w:r>
        <w:rPr>
          <w:sz w:val="24"/>
          <w:szCs w:val="24"/>
        </w:rPr>
        <w:t xml:space="preserve">The material (non-labor) costs to the Federal government </w:t>
      </w:r>
      <w:r w:rsidR="008D51D0" w:rsidRPr="008D51D0">
        <w:rPr>
          <w:sz w:val="24"/>
          <w:szCs w:val="24"/>
        </w:rPr>
        <w:t>for soliciting, processing</w:t>
      </w:r>
      <w:r w:rsidR="00C41D2A">
        <w:rPr>
          <w:sz w:val="24"/>
          <w:szCs w:val="24"/>
        </w:rPr>
        <w:t>,</w:t>
      </w:r>
      <w:r w:rsidR="008D51D0" w:rsidRPr="008D51D0">
        <w:rPr>
          <w:sz w:val="24"/>
          <w:szCs w:val="24"/>
        </w:rPr>
        <w:t xml:space="preserve"> and responding to applications are the costs of paper, envelopes</w:t>
      </w:r>
      <w:r w:rsidR="00C41D2A">
        <w:rPr>
          <w:sz w:val="24"/>
          <w:szCs w:val="24"/>
        </w:rPr>
        <w:t>,</w:t>
      </w:r>
      <w:r w:rsidR="008D51D0" w:rsidRPr="008D51D0">
        <w:rPr>
          <w:sz w:val="24"/>
          <w:szCs w:val="24"/>
        </w:rPr>
        <w:t xml:space="preserve"> and postage</w:t>
      </w:r>
      <w:r w:rsidR="008D51D0">
        <w:rPr>
          <w:sz w:val="24"/>
          <w:szCs w:val="24"/>
        </w:rPr>
        <w:t xml:space="preserve"> for any correspondence not conducted electronically.</w:t>
      </w:r>
      <w:r w:rsidR="003E3028">
        <w:rPr>
          <w:sz w:val="24"/>
          <w:szCs w:val="24"/>
        </w:rPr>
        <w:t xml:space="preserve">  Itemized costs of</w:t>
      </w:r>
      <w:r w:rsidR="003C0158">
        <w:rPr>
          <w:sz w:val="24"/>
          <w:szCs w:val="24"/>
        </w:rPr>
        <w:t xml:space="preserve"> those materials needed include</w:t>
      </w:r>
      <w:r w:rsidR="003E3028">
        <w:rPr>
          <w:sz w:val="24"/>
          <w:szCs w:val="24"/>
        </w:rPr>
        <w:t xml:space="preserve"> </w:t>
      </w:r>
      <w:r w:rsidR="003C0158" w:rsidRPr="003C0158">
        <w:rPr>
          <w:sz w:val="24"/>
          <w:szCs w:val="24"/>
        </w:rPr>
        <w:t>envelopes at $0.09 per envelope ($9.00 per box of 100 envelopes)</w:t>
      </w:r>
      <w:r w:rsidR="003C0158">
        <w:rPr>
          <w:sz w:val="24"/>
          <w:szCs w:val="24"/>
        </w:rPr>
        <w:t xml:space="preserve">, and sheets of paper </w:t>
      </w:r>
      <w:r w:rsidR="003C0158" w:rsidRPr="003C0158">
        <w:rPr>
          <w:sz w:val="24"/>
          <w:szCs w:val="24"/>
        </w:rPr>
        <w:t>at $.01 per sheet (500 sheets per one ream at $5.00 per ream)</w:t>
      </w:r>
      <w:r w:rsidR="003C0158">
        <w:rPr>
          <w:sz w:val="24"/>
          <w:szCs w:val="24"/>
        </w:rPr>
        <w:t xml:space="preserve">. </w:t>
      </w:r>
      <w:r w:rsidR="003C0158" w:rsidRPr="003C0158">
        <w:t xml:space="preserve"> </w:t>
      </w:r>
      <w:r w:rsidR="003C0158" w:rsidRPr="003C0158">
        <w:rPr>
          <w:sz w:val="24"/>
          <w:szCs w:val="24"/>
        </w:rPr>
        <w:t>Postage for could be covered with a single letter sized envelope, approximately 1 ounce in weight, for a postal charge of $0.4</w:t>
      </w:r>
      <w:r w:rsidR="00C41D2A">
        <w:rPr>
          <w:sz w:val="24"/>
          <w:szCs w:val="24"/>
        </w:rPr>
        <w:t>9</w:t>
      </w:r>
      <w:r w:rsidR="003C0158" w:rsidRPr="003C0158">
        <w:rPr>
          <w:sz w:val="24"/>
          <w:szCs w:val="24"/>
        </w:rPr>
        <w:t xml:space="preserve"> per response</w:t>
      </w:r>
      <w:r w:rsidR="003C0158">
        <w:rPr>
          <w:sz w:val="24"/>
          <w:szCs w:val="24"/>
        </w:rPr>
        <w:t xml:space="preserve">. </w:t>
      </w:r>
      <w:r w:rsidR="00DB41E7">
        <w:rPr>
          <w:sz w:val="24"/>
          <w:szCs w:val="24"/>
        </w:rPr>
        <w:t xml:space="preserve"> </w:t>
      </w:r>
      <w:r w:rsidR="003C0158">
        <w:rPr>
          <w:sz w:val="24"/>
          <w:szCs w:val="24"/>
        </w:rPr>
        <w:t xml:space="preserve">To get the full burden estimate, </w:t>
      </w:r>
      <w:r w:rsidR="003C0158" w:rsidRPr="00EC4ACB">
        <w:rPr>
          <w:sz w:val="24"/>
          <w:szCs w:val="24"/>
        </w:rPr>
        <w:t>we</w:t>
      </w:r>
      <w:r w:rsidR="003C0158">
        <w:rPr>
          <w:sz w:val="24"/>
          <w:szCs w:val="24"/>
        </w:rPr>
        <w:t xml:space="preserve"> can assume that most correspondence will include two sheets of paper.  </w:t>
      </w:r>
      <w:r w:rsidR="003C0158" w:rsidRPr="003C0158">
        <w:rPr>
          <w:sz w:val="24"/>
          <w:szCs w:val="24"/>
        </w:rPr>
        <w:t>Therefore, the total material costs of mailing a letter to each applicant is approximately</w:t>
      </w:r>
      <w:r w:rsidR="003C0158">
        <w:rPr>
          <w:sz w:val="24"/>
          <w:szCs w:val="24"/>
        </w:rPr>
        <w:t xml:space="preserve"> $0.</w:t>
      </w:r>
      <w:r w:rsidR="00C41D2A">
        <w:rPr>
          <w:sz w:val="24"/>
          <w:szCs w:val="24"/>
        </w:rPr>
        <w:t>60</w:t>
      </w:r>
      <w:r w:rsidR="003C0158">
        <w:rPr>
          <w:sz w:val="24"/>
          <w:szCs w:val="24"/>
        </w:rPr>
        <w:t xml:space="preserve"> ($0.09 + $0.02 + $0.4</w:t>
      </w:r>
      <w:r w:rsidR="00C41D2A">
        <w:rPr>
          <w:sz w:val="24"/>
          <w:szCs w:val="24"/>
        </w:rPr>
        <w:t>9</w:t>
      </w:r>
      <w:r w:rsidR="003C0158">
        <w:rPr>
          <w:sz w:val="24"/>
          <w:szCs w:val="24"/>
        </w:rPr>
        <w:t>).</w:t>
      </w:r>
    </w:p>
    <w:p w:rsidR="0052402D" w:rsidRDefault="0052402D" w:rsidP="0023033D">
      <w:pPr>
        <w:rPr>
          <w:sz w:val="24"/>
          <w:szCs w:val="24"/>
        </w:rPr>
      </w:pPr>
    </w:p>
    <w:p w:rsidR="0023033D" w:rsidRPr="001C6064" w:rsidRDefault="0052402D" w:rsidP="0023033D">
      <w:pPr>
        <w:rPr>
          <w:sz w:val="24"/>
          <w:szCs w:val="24"/>
        </w:rPr>
      </w:pPr>
      <w:r>
        <w:rPr>
          <w:sz w:val="24"/>
          <w:szCs w:val="24"/>
        </w:rPr>
        <w:t>It is estimated that approximately 10</w:t>
      </w:r>
      <w:r w:rsidR="00C06B7D">
        <w:rPr>
          <w:sz w:val="24"/>
          <w:szCs w:val="24"/>
        </w:rPr>
        <w:t xml:space="preserve"> percent</w:t>
      </w:r>
      <w:r>
        <w:rPr>
          <w:sz w:val="24"/>
          <w:szCs w:val="24"/>
        </w:rPr>
        <w:t xml:space="preserve"> of trap transfer applications submitted may be incomplete or have errors, requiring </w:t>
      </w:r>
      <w:r w:rsidRPr="0052402D">
        <w:rPr>
          <w:sz w:val="24"/>
          <w:szCs w:val="24"/>
        </w:rPr>
        <w:t>some sort of interim correspondence</w:t>
      </w:r>
      <w:r>
        <w:rPr>
          <w:sz w:val="24"/>
          <w:szCs w:val="24"/>
        </w:rPr>
        <w:t xml:space="preserve"> </w:t>
      </w:r>
      <w:r w:rsidRPr="004051BE">
        <w:rPr>
          <w:sz w:val="24"/>
          <w:szCs w:val="24"/>
        </w:rPr>
        <w:t>totaling $0.</w:t>
      </w:r>
      <w:r w:rsidR="00CD27D5">
        <w:rPr>
          <w:sz w:val="24"/>
          <w:szCs w:val="24"/>
        </w:rPr>
        <w:t>60</w:t>
      </w:r>
      <w:r w:rsidRPr="004051BE">
        <w:rPr>
          <w:sz w:val="24"/>
          <w:szCs w:val="24"/>
        </w:rPr>
        <w:t xml:space="preserve"> per response</w:t>
      </w:r>
      <w:r w:rsidR="004051BE" w:rsidRPr="004051BE">
        <w:rPr>
          <w:sz w:val="24"/>
          <w:szCs w:val="24"/>
        </w:rPr>
        <w:t>.</w:t>
      </w:r>
      <w:r w:rsidR="003C0158" w:rsidRPr="004051BE">
        <w:rPr>
          <w:sz w:val="24"/>
          <w:szCs w:val="24"/>
        </w:rPr>
        <w:t xml:space="preserve"> </w:t>
      </w:r>
      <w:r w:rsidR="004051BE" w:rsidRPr="004051BE">
        <w:rPr>
          <w:sz w:val="24"/>
          <w:szCs w:val="24"/>
        </w:rPr>
        <w:t xml:space="preserve"> A </w:t>
      </w:r>
      <w:r w:rsidRPr="004051BE">
        <w:rPr>
          <w:sz w:val="24"/>
          <w:szCs w:val="24"/>
        </w:rPr>
        <w:t xml:space="preserve">confirmation </w:t>
      </w:r>
      <w:r w:rsidR="004051BE" w:rsidRPr="004051BE">
        <w:rPr>
          <w:sz w:val="24"/>
          <w:szCs w:val="24"/>
        </w:rPr>
        <w:t xml:space="preserve">letter will also be sent </w:t>
      </w:r>
      <w:r w:rsidRPr="004051BE">
        <w:rPr>
          <w:sz w:val="24"/>
          <w:szCs w:val="24"/>
        </w:rPr>
        <w:t xml:space="preserve">to </w:t>
      </w:r>
      <w:r w:rsidR="004051BE" w:rsidRPr="004051BE">
        <w:rPr>
          <w:sz w:val="24"/>
          <w:szCs w:val="24"/>
        </w:rPr>
        <w:t>all participating</w:t>
      </w:r>
      <w:r w:rsidRPr="004051BE">
        <w:rPr>
          <w:sz w:val="24"/>
          <w:szCs w:val="24"/>
        </w:rPr>
        <w:t xml:space="preserve"> permit holders </w:t>
      </w:r>
      <w:r w:rsidR="004051BE" w:rsidRPr="004051BE">
        <w:rPr>
          <w:sz w:val="24"/>
          <w:szCs w:val="24"/>
        </w:rPr>
        <w:t xml:space="preserve">with a summary of their new allocations after trap transfers are complete, </w:t>
      </w:r>
      <w:r w:rsidRPr="004051BE">
        <w:rPr>
          <w:sz w:val="24"/>
          <w:szCs w:val="24"/>
        </w:rPr>
        <w:t>at the same cost of $0.</w:t>
      </w:r>
      <w:r w:rsidR="00CD27D5">
        <w:rPr>
          <w:sz w:val="24"/>
          <w:szCs w:val="24"/>
        </w:rPr>
        <w:t>60</w:t>
      </w:r>
      <w:r w:rsidRPr="004051BE">
        <w:rPr>
          <w:sz w:val="24"/>
          <w:szCs w:val="24"/>
        </w:rPr>
        <w:t xml:space="preserve"> per response.</w:t>
      </w:r>
      <w:r w:rsidR="001C6064">
        <w:rPr>
          <w:sz w:val="24"/>
          <w:szCs w:val="24"/>
        </w:rPr>
        <w:t xml:space="preserve">  </w:t>
      </w:r>
      <w:r w:rsidR="0083660A" w:rsidRPr="001C6064">
        <w:rPr>
          <w:sz w:val="24"/>
          <w:szCs w:val="24"/>
        </w:rPr>
        <w:t>With</w:t>
      </w:r>
      <w:r w:rsidR="0023033D" w:rsidRPr="001C6064">
        <w:rPr>
          <w:sz w:val="24"/>
          <w:szCs w:val="24"/>
        </w:rPr>
        <w:t xml:space="preserve"> the </w:t>
      </w:r>
      <w:r w:rsidR="0083660A" w:rsidRPr="001C6064">
        <w:rPr>
          <w:sz w:val="24"/>
          <w:szCs w:val="24"/>
        </w:rPr>
        <w:t>204</w:t>
      </w:r>
      <w:r w:rsidR="0023033D" w:rsidRPr="001C6064">
        <w:rPr>
          <w:sz w:val="24"/>
          <w:szCs w:val="24"/>
        </w:rPr>
        <w:t xml:space="preserve"> </w:t>
      </w:r>
      <w:r w:rsidR="0083660A" w:rsidRPr="001C6064">
        <w:rPr>
          <w:sz w:val="24"/>
          <w:szCs w:val="24"/>
        </w:rPr>
        <w:t>confirmation letters,</w:t>
      </w:r>
      <w:r w:rsidR="0023033D" w:rsidRPr="001C6064">
        <w:rPr>
          <w:sz w:val="24"/>
          <w:szCs w:val="24"/>
        </w:rPr>
        <w:t xml:space="preserve"> and additional correspondence to 10</w:t>
      </w:r>
      <w:r w:rsidR="00C06B7D">
        <w:rPr>
          <w:sz w:val="24"/>
          <w:szCs w:val="24"/>
        </w:rPr>
        <w:t xml:space="preserve"> percent</w:t>
      </w:r>
      <w:r w:rsidR="0023033D" w:rsidRPr="001C6064">
        <w:rPr>
          <w:sz w:val="24"/>
          <w:szCs w:val="24"/>
        </w:rPr>
        <w:t xml:space="preserve"> </w:t>
      </w:r>
      <w:r w:rsidR="0083660A" w:rsidRPr="001C6064">
        <w:rPr>
          <w:sz w:val="24"/>
          <w:szCs w:val="24"/>
        </w:rPr>
        <w:t>(20) of those applicants</w:t>
      </w:r>
      <w:r w:rsidR="001C6064" w:rsidRPr="001C6064">
        <w:rPr>
          <w:sz w:val="24"/>
          <w:szCs w:val="24"/>
        </w:rPr>
        <w:t xml:space="preserve">, the total estimated correspondence burden is 224 letters.  </w:t>
      </w:r>
      <w:r w:rsidR="001C6064" w:rsidRPr="001C6064">
        <w:rPr>
          <w:b/>
          <w:sz w:val="24"/>
          <w:szCs w:val="24"/>
        </w:rPr>
        <w:t xml:space="preserve">This brings </w:t>
      </w:r>
      <w:r w:rsidR="0023033D" w:rsidRPr="001C6064">
        <w:rPr>
          <w:b/>
          <w:sz w:val="24"/>
          <w:szCs w:val="24"/>
        </w:rPr>
        <w:t xml:space="preserve">the total material costs to the Federal government per year for </w:t>
      </w:r>
      <w:r w:rsidR="009E7086">
        <w:rPr>
          <w:b/>
          <w:sz w:val="24"/>
          <w:szCs w:val="24"/>
        </w:rPr>
        <w:t>the Trap Transfer P</w:t>
      </w:r>
      <w:r w:rsidR="001C6064" w:rsidRPr="001C6064">
        <w:rPr>
          <w:b/>
          <w:sz w:val="24"/>
          <w:szCs w:val="24"/>
        </w:rPr>
        <w:t>rogram to</w:t>
      </w:r>
      <w:r w:rsidR="0023033D" w:rsidRPr="001C6064">
        <w:rPr>
          <w:b/>
          <w:sz w:val="24"/>
          <w:szCs w:val="24"/>
        </w:rPr>
        <w:t xml:space="preserve"> $</w:t>
      </w:r>
      <w:r w:rsidR="001C6064" w:rsidRPr="001C6064">
        <w:rPr>
          <w:b/>
          <w:sz w:val="24"/>
          <w:szCs w:val="24"/>
        </w:rPr>
        <w:t>1</w:t>
      </w:r>
      <w:r w:rsidR="00CD27D5">
        <w:rPr>
          <w:b/>
          <w:sz w:val="24"/>
          <w:szCs w:val="24"/>
        </w:rPr>
        <w:t>34.40</w:t>
      </w:r>
      <w:r w:rsidR="001C6064" w:rsidRPr="001C6064">
        <w:rPr>
          <w:b/>
          <w:sz w:val="24"/>
          <w:szCs w:val="24"/>
        </w:rPr>
        <w:t xml:space="preserve"> (224 X $0.</w:t>
      </w:r>
      <w:r w:rsidR="00CD27D5">
        <w:rPr>
          <w:b/>
          <w:sz w:val="24"/>
          <w:szCs w:val="24"/>
        </w:rPr>
        <w:t>60</w:t>
      </w:r>
      <w:r w:rsidR="001C6064" w:rsidRPr="001C6064">
        <w:rPr>
          <w:b/>
          <w:sz w:val="24"/>
          <w:szCs w:val="24"/>
        </w:rPr>
        <w:t>)</w:t>
      </w:r>
      <w:r w:rsidR="0023033D" w:rsidRPr="001C6064">
        <w:rPr>
          <w:b/>
          <w:sz w:val="24"/>
          <w:szCs w:val="24"/>
        </w:rPr>
        <w:t>.</w:t>
      </w:r>
    </w:p>
    <w:p w:rsidR="0023033D" w:rsidRPr="0023033D" w:rsidRDefault="0023033D" w:rsidP="0023033D">
      <w:pPr>
        <w:rPr>
          <w:sz w:val="24"/>
          <w:szCs w:val="24"/>
          <w:highlight w:val="yellow"/>
        </w:rPr>
      </w:pPr>
    </w:p>
    <w:p w:rsidR="0023033D" w:rsidRPr="00DA0C0F" w:rsidRDefault="00DA0C0F" w:rsidP="0023033D">
      <w:pPr>
        <w:rPr>
          <w:sz w:val="24"/>
          <w:szCs w:val="24"/>
          <w:u w:val="single"/>
        </w:rPr>
      </w:pPr>
      <w:r w:rsidRPr="00DA0C0F">
        <w:rPr>
          <w:sz w:val="24"/>
          <w:szCs w:val="24"/>
          <w:u w:val="single"/>
        </w:rPr>
        <w:t>Total Labor and Materials Costs</w:t>
      </w:r>
    </w:p>
    <w:p w:rsidR="0023033D" w:rsidRPr="0023033D" w:rsidRDefault="0023033D" w:rsidP="0023033D">
      <w:pPr>
        <w:rPr>
          <w:sz w:val="24"/>
          <w:szCs w:val="24"/>
          <w:highlight w:val="yellow"/>
        </w:rPr>
      </w:pPr>
    </w:p>
    <w:p w:rsidR="004F26E9" w:rsidRDefault="0023033D" w:rsidP="0023033D">
      <w:pPr>
        <w:rPr>
          <w:sz w:val="24"/>
          <w:szCs w:val="24"/>
        </w:rPr>
      </w:pPr>
      <w:r w:rsidRPr="000A3BD2">
        <w:rPr>
          <w:b/>
          <w:sz w:val="24"/>
          <w:szCs w:val="24"/>
        </w:rPr>
        <w:t>T</w:t>
      </w:r>
      <w:r w:rsidR="000A3BD2" w:rsidRPr="000A3BD2">
        <w:rPr>
          <w:b/>
          <w:sz w:val="24"/>
          <w:szCs w:val="24"/>
        </w:rPr>
        <w:t>he t</w:t>
      </w:r>
      <w:r w:rsidRPr="000A3BD2">
        <w:rPr>
          <w:b/>
          <w:sz w:val="24"/>
          <w:szCs w:val="24"/>
        </w:rPr>
        <w:t xml:space="preserve">otal </w:t>
      </w:r>
      <w:r w:rsidR="000A3BD2" w:rsidRPr="000A3BD2">
        <w:rPr>
          <w:b/>
          <w:sz w:val="24"/>
          <w:szCs w:val="24"/>
        </w:rPr>
        <w:t>annual cost</w:t>
      </w:r>
      <w:r w:rsidRPr="000A3BD2">
        <w:rPr>
          <w:b/>
          <w:sz w:val="24"/>
          <w:szCs w:val="24"/>
        </w:rPr>
        <w:t xml:space="preserve"> for labor, paper and envelopes, and postage is $</w:t>
      </w:r>
      <w:r w:rsidR="000A3BD2" w:rsidRPr="000A3BD2">
        <w:rPr>
          <w:b/>
          <w:sz w:val="24"/>
          <w:szCs w:val="24"/>
        </w:rPr>
        <w:t>90</w:t>
      </w:r>
      <w:r w:rsidR="00912CC8">
        <w:rPr>
          <w:b/>
          <w:sz w:val="24"/>
          <w:szCs w:val="24"/>
        </w:rPr>
        <w:t>7</w:t>
      </w:r>
      <w:r w:rsidR="000A3BD2" w:rsidRPr="000A3BD2">
        <w:rPr>
          <w:b/>
          <w:sz w:val="24"/>
          <w:szCs w:val="24"/>
        </w:rPr>
        <w:t>.</w:t>
      </w:r>
      <w:r w:rsidR="00912CC8">
        <w:rPr>
          <w:b/>
          <w:sz w:val="24"/>
          <w:szCs w:val="24"/>
        </w:rPr>
        <w:t>56</w:t>
      </w:r>
      <w:r w:rsidR="000A3BD2" w:rsidRPr="000A3BD2">
        <w:rPr>
          <w:b/>
          <w:sz w:val="24"/>
          <w:szCs w:val="24"/>
        </w:rPr>
        <w:t xml:space="preserve"> ($773.16 + $</w:t>
      </w:r>
      <w:r w:rsidR="00912CC8" w:rsidRPr="00912CC8">
        <w:rPr>
          <w:b/>
          <w:sz w:val="24"/>
          <w:szCs w:val="24"/>
        </w:rPr>
        <w:t>134.40</w:t>
      </w:r>
      <w:r w:rsidR="000A3BD2" w:rsidRPr="000A3BD2">
        <w:rPr>
          <w:b/>
          <w:sz w:val="24"/>
          <w:szCs w:val="24"/>
        </w:rPr>
        <w:t>)</w:t>
      </w:r>
      <w:r w:rsidRPr="000A3BD2">
        <w:rPr>
          <w:b/>
          <w:sz w:val="24"/>
          <w:szCs w:val="24"/>
        </w:rPr>
        <w:t>.</w:t>
      </w:r>
      <w:r w:rsidR="00324BC4">
        <w:rPr>
          <w:b/>
          <w:sz w:val="24"/>
          <w:szCs w:val="24"/>
        </w:rPr>
        <w:t xml:space="preserve"> </w:t>
      </w:r>
      <w:r w:rsidR="000A3BD2">
        <w:rPr>
          <w:b/>
          <w:sz w:val="24"/>
          <w:szCs w:val="24"/>
        </w:rPr>
        <w:t xml:space="preserve"> </w:t>
      </w:r>
      <w:r w:rsidR="00324BC4">
        <w:rPr>
          <w:sz w:val="24"/>
          <w:szCs w:val="24"/>
        </w:rPr>
        <w:t>Originally, when this collection included</w:t>
      </w:r>
      <w:r w:rsidR="00324BC4" w:rsidRPr="00324BC4">
        <w:t xml:space="preserve"> </w:t>
      </w:r>
      <w:r w:rsidR="00324BC4">
        <w:t xml:space="preserve">the </w:t>
      </w:r>
      <w:r w:rsidR="00324BC4" w:rsidRPr="00324BC4">
        <w:rPr>
          <w:sz w:val="24"/>
          <w:szCs w:val="24"/>
        </w:rPr>
        <w:t>implement</w:t>
      </w:r>
      <w:r w:rsidR="00324BC4">
        <w:rPr>
          <w:sz w:val="24"/>
          <w:szCs w:val="24"/>
        </w:rPr>
        <w:t>ation of</w:t>
      </w:r>
      <w:r w:rsidR="00324BC4" w:rsidRPr="00324BC4">
        <w:rPr>
          <w:sz w:val="24"/>
          <w:szCs w:val="24"/>
        </w:rPr>
        <w:t xml:space="preserve"> a limited access permit program</w:t>
      </w:r>
      <w:r w:rsidR="00324BC4">
        <w:rPr>
          <w:sz w:val="24"/>
          <w:szCs w:val="24"/>
        </w:rPr>
        <w:t xml:space="preserve"> for Areas 2 and the Outer Cape, this estimated annualized cost was much higher, at </w:t>
      </w:r>
      <w:r w:rsidR="00324BC4" w:rsidRPr="00324BC4">
        <w:rPr>
          <w:sz w:val="24"/>
          <w:szCs w:val="24"/>
        </w:rPr>
        <w:lastRenderedPageBreak/>
        <w:t>$6,364.85</w:t>
      </w:r>
      <w:r w:rsidR="00324BC4">
        <w:rPr>
          <w:sz w:val="24"/>
          <w:szCs w:val="24"/>
        </w:rPr>
        <w:t xml:space="preserve">. </w:t>
      </w:r>
      <w:r w:rsidR="00DB41E7">
        <w:rPr>
          <w:sz w:val="24"/>
          <w:szCs w:val="24"/>
        </w:rPr>
        <w:t xml:space="preserve"> </w:t>
      </w:r>
      <w:r w:rsidR="00324BC4">
        <w:rPr>
          <w:sz w:val="24"/>
          <w:szCs w:val="24"/>
        </w:rPr>
        <w:t>However, due to the completion and removal of the limited access program, an</w:t>
      </w:r>
      <w:r w:rsidR="009E7086">
        <w:rPr>
          <w:sz w:val="24"/>
          <w:szCs w:val="24"/>
        </w:rPr>
        <w:t>d the adjustment of the annual T</w:t>
      </w:r>
      <w:r w:rsidR="00324BC4">
        <w:rPr>
          <w:sz w:val="24"/>
          <w:szCs w:val="24"/>
        </w:rPr>
        <w:t xml:space="preserve">rap </w:t>
      </w:r>
      <w:r w:rsidR="009E7086">
        <w:rPr>
          <w:sz w:val="24"/>
          <w:szCs w:val="24"/>
        </w:rPr>
        <w:t>T</w:t>
      </w:r>
      <w:r w:rsidR="00324BC4">
        <w:rPr>
          <w:sz w:val="24"/>
          <w:szCs w:val="24"/>
        </w:rPr>
        <w:t xml:space="preserve">ransfer </w:t>
      </w:r>
      <w:r w:rsidR="009E7086">
        <w:rPr>
          <w:sz w:val="24"/>
          <w:szCs w:val="24"/>
        </w:rPr>
        <w:t>P</w:t>
      </w:r>
      <w:r w:rsidR="00324BC4">
        <w:rPr>
          <w:sz w:val="24"/>
          <w:szCs w:val="24"/>
        </w:rPr>
        <w:t>rogram estimates, this number has decreased appropriately by $5,4</w:t>
      </w:r>
      <w:r w:rsidR="00912CC8">
        <w:rPr>
          <w:sz w:val="24"/>
          <w:szCs w:val="24"/>
        </w:rPr>
        <w:t>57</w:t>
      </w:r>
      <w:r w:rsidR="00324BC4">
        <w:rPr>
          <w:sz w:val="24"/>
          <w:szCs w:val="24"/>
        </w:rPr>
        <w:t>.</w:t>
      </w:r>
      <w:r w:rsidR="00912CC8">
        <w:rPr>
          <w:sz w:val="24"/>
          <w:szCs w:val="24"/>
        </w:rPr>
        <w:t>29</w:t>
      </w:r>
      <w:r w:rsidR="00324BC4">
        <w:rPr>
          <w:sz w:val="24"/>
          <w:szCs w:val="24"/>
        </w:rPr>
        <w:t>.</w:t>
      </w:r>
    </w:p>
    <w:p w:rsidR="001816FA" w:rsidRPr="00B95362" w:rsidRDefault="001816FA" w:rsidP="0023033D">
      <w:pPr>
        <w:rPr>
          <w:szCs w:val="24"/>
        </w:rPr>
      </w:pPr>
    </w:p>
    <w:p w:rsidR="001816FA" w:rsidRDefault="001816FA" w:rsidP="001816FA">
      <w:pPr>
        <w:spacing w:after="120"/>
        <w:jc w:val="center"/>
        <w:rPr>
          <w:b/>
          <w:sz w:val="22"/>
          <w:szCs w:val="24"/>
        </w:rPr>
      </w:pPr>
      <w:r w:rsidRPr="006813F3">
        <w:rPr>
          <w:b/>
          <w:sz w:val="22"/>
          <w:szCs w:val="24"/>
        </w:rPr>
        <w:t xml:space="preserve">Table </w:t>
      </w:r>
      <w:r>
        <w:rPr>
          <w:b/>
          <w:sz w:val="22"/>
          <w:szCs w:val="24"/>
        </w:rPr>
        <w:t>3</w:t>
      </w:r>
      <w:r w:rsidRPr="006813F3">
        <w:rPr>
          <w:b/>
          <w:sz w:val="22"/>
          <w:szCs w:val="24"/>
        </w:rPr>
        <w:t xml:space="preserve">. </w:t>
      </w:r>
      <w:r>
        <w:rPr>
          <w:b/>
          <w:sz w:val="22"/>
          <w:szCs w:val="24"/>
        </w:rPr>
        <w:t xml:space="preserve">Estimate of </w:t>
      </w:r>
      <w:r w:rsidRPr="006813F3">
        <w:rPr>
          <w:b/>
          <w:sz w:val="22"/>
          <w:szCs w:val="24"/>
        </w:rPr>
        <w:t xml:space="preserve">Annual </w:t>
      </w:r>
      <w:r>
        <w:rPr>
          <w:b/>
          <w:sz w:val="22"/>
          <w:szCs w:val="24"/>
        </w:rPr>
        <w:t>Cost</w:t>
      </w:r>
      <w:r w:rsidRPr="006813F3">
        <w:rPr>
          <w:b/>
          <w:sz w:val="22"/>
          <w:szCs w:val="24"/>
        </w:rPr>
        <w:t xml:space="preserve"> Burden on </w:t>
      </w:r>
      <w:r>
        <w:rPr>
          <w:b/>
          <w:sz w:val="22"/>
          <w:szCs w:val="24"/>
        </w:rPr>
        <w:t>Federal Government</w:t>
      </w:r>
    </w:p>
    <w:tbl>
      <w:tblPr>
        <w:tblW w:w="93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268"/>
        <w:gridCol w:w="2250"/>
        <w:gridCol w:w="2250"/>
        <w:gridCol w:w="2607"/>
      </w:tblGrid>
      <w:tr w:rsidR="00814026" w:rsidTr="00814026">
        <w:trPr>
          <w:trHeight w:val="532"/>
        </w:trPr>
        <w:tc>
          <w:tcPr>
            <w:tcW w:w="2268" w:type="dxa"/>
            <w:tcBorders>
              <w:top w:val="single" w:sz="12" w:space="0" w:color="000000"/>
              <w:bottom w:val="single" w:sz="12" w:space="0" w:color="000000"/>
              <w:right w:val="single" w:sz="12" w:space="0" w:color="000000"/>
            </w:tcBorders>
            <w:shd w:val="clear" w:color="auto" w:fill="auto"/>
            <w:vAlign w:val="center"/>
          </w:tcPr>
          <w:p w:rsidR="00CC2B05" w:rsidRPr="00814026" w:rsidRDefault="00CC2B05" w:rsidP="00814026">
            <w:pPr>
              <w:jc w:val="center"/>
              <w:rPr>
                <w:b/>
                <w:sz w:val="22"/>
                <w:szCs w:val="24"/>
              </w:rPr>
            </w:pPr>
            <w:r w:rsidRPr="00814026">
              <w:rPr>
                <w:b/>
                <w:sz w:val="22"/>
                <w:szCs w:val="24"/>
              </w:rPr>
              <w:t>Collection of Information</w:t>
            </w:r>
          </w:p>
        </w:tc>
        <w:tc>
          <w:tcPr>
            <w:tcW w:w="2250" w:type="dxa"/>
            <w:tcBorders>
              <w:left w:val="single" w:sz="12" w:space="0" w:color="000000"/>
              <w:bottom w:val="single" w:sz="12" w:space="0" w:color="000000"/>
            </w:tcBorders>
            <w:shd w:val="clear" w:color="auto" w:fill="auto"/>
            <w:vAlign w:val="center"/>
          </w:tcPr>
          <w:p w:rsidR="00CC2B05" w:rsidRPr="00814026" w:rsidRDefault="00CC2B05" w:rsidP="00814026">
            <w:pPr>
              <w:jc w:val="center"/>
              <w:rPr>
                <w:b/>
                <w:sz w:val="22"/>
                <w:szCs w:val="24"/>
              </w:rPr>
            </w:pPr>
            <w:r w:rsidRPr="00814026">
              <w:rPr>
                <w:b/>
                <w:sz w:val="22"/>
                <w:szCs w:val="24"/>
              </w:rPr>
              <w:t>Labor Cost ($)</w:t>
            </w:r>
          </w:p>
        </w:tc>
        <w:tc>
          <w:tcPr>
            <w:tcW w:w="2250" w:type="dxa"/>
            <w:tcBorders>
              <w:bottom w:val="single" w:sz="12" w:space="0" w:color="000000"/>
            </w:tcBorders>
            <w:shd w:val="clear" w:color="auto" w:fill="auto"/>
            <w:vAlign w:val="center"/>
          </w:tcPr>
          <w:p w:rsidR="00CC2B05" w:rsidRPr="00814026" w:rsidRDefault="00CC2B05" w:rsidP="00814026">
            <w:pPr>
              <w:jc w:val="center"/>
              <w:rPr>
                <w:b/>
                <w:sz w:val="22"/>
                <w:szCs w:val="24"/>
              </w:rPr>
            </w:pPr>
            <w:r w:rsidRPr="00814026">
              <w:rPr>
                <w:b/>
                <w:sz w:val="22"/>
                <w:szCs w:val="24"/>
              </w:rPr>
              <w:t>Material Cost ($)</w:t>
            </w:r>
          </w:p>
        </w:tc>
        <w:tc>
          <w:tcPr>
            <w:tcW w:w="2607" w:type="dxa"/>
            <w:tcBorders>
              <w:bottom w:val="single" w:sz="12" w:space="0" w:color="000000"/>
            </w:tcBorders>
            <w:shd w:val="clear" w:color="auto" w:fill="auto"/>
            <w:vAlign w:val="center"/>
          </w:tcPr>
          <w:p w:rsidR="00CC2B05" w:rsidRPr="00814026" w:rsidRDefault="00CC2B05" w:rsidP="00814026">
            <w:pPr>
              <w:jc w:val="center"/>
              <w:rPr>
                <w:b/>
                <w:sz w:val="22"/>
                <w:szCs w:val="24"/>
              </w:rPr>
            </w:pPr>
            <w:r w:rsidRPr="00814026">
              <w:rPr>
                <w:b/>
                <w:sz w:val="22"/>
                <w:szCs w:val="24"/>
              </w:rPr>
              <w:t>Total Annual Burden ($)</w:t>
            </w:r>
          </w:p>
        </w:tc>
      </w:tr>
      <w:tr w:rsidR="00814026" w:rsidTr="00814026">
        <w:trPr>
          <w:trHeight w:val="250"/>
        </w:trPr>
        <w:tc>
          <w:tcPr>
            <w:tcW w:w="2268" w:type="dxa"/>
            <w:tcBorders>
              <w:right w:val="single" w:sz="12" w:space="0" w:color="000000"/>
            </w:tcBorders>
            <w:shd w:val="clear" w:color="auto" w:fill="auto"/>
            <w:vAlign w:val="center"/>
          </w:tcPr>
          <w:p w:rsidR="00CC2B05" w:rsidRPr="00814026" w:rsidRDefault="00CC2B05" w:rsidP="00814026">
            <w:pPr>
              <w:jc w:val="center"/>
              <w:rPr>
                <w:b/>
                <w:sz w:val="22"/>
                <w:szCs w:val="24"/>
              </w:rPr>
            </w:pPr>
            <w:r w:rsidRPr="00814026">
              <w:rPr>
                <w:b/>
                <w:sz w:val="22"/>
                <w:szCs w:val="24"/>
              </w:rPr>
              <w:t>Original</w:t>
            </w:r>
          </w:p>
        </w:tc>
        <w:tc>
          <w:tcPr>
            <w:tcW w:w="2250" w:type="dxa"/>
            <w:tcBorders>
              <w:left w:val="single" w:sz="12" w:space="0" w:color="000000"/>
            </w:tcBorders>
            <w:shd w:val="clear" w:color="auto" w:fill="auto"/>
            <w:vAlign w:val="center"/>
          </w:tcPr>
          <w:p w:rsidR="00CC2B05" w:rsidRPr="00814026" w:rsidRDefault="00461DA8" w:rsidP="00814026">
            <w:pPr>
              <w:jc w:val="center"/>
              <w:rPr>
                <w:sz w:val="22"/>
                <w:szCs w:val="24"/>
                <w:highlight w:val="yellow"/>
              </w:rPr>
            </w:pPr>
            <w:r w:rsidRPr="00814026">
              <w:rPr>
                <w:sz w:val="22"/>
                <w:szCs w:val="24"/>
              </w:rPr>
              <w:t>4,079.60</w:t>
            </w:r>
          </w:p>
        </w:tc>
        <w:tc>
          <w:tcPr>
            <w:tcW w:w="2250" w:type="dxa"/>
            <w:shd w:val="clear" w:color="auto" w:fill="auto"/>
            <w:vAlign w:val="center"/>
          </w:tcPr>
          <w:p w:rsidR="00CC2B05" w:rsidRPr="00814026" w:rsidRDefault="00461DA8" w:rsidP="00814026">
            <w:pPr>
              <w:jc w:val="center"/>
              <w:rPr>
                <w:sz w:val="22"/>
                <w:szCs w:val="24"/>
                <w:highlight w:val="yellow"/>
              </w:rPr>
            </w:pPr>
            <w:r w:rsidRPr="00814026">
              <w:rPr>
                <w:sz w:val="22"/>
                <w:szCs w:val="24"/>
              </w:rPr>
              <w:t>2,285.25</w:t>
            </w:r>
          </w:p>
        </w:tc>
        <w:tc>
          <w:tcPr>
            <w:tcW w:w="2607" w:type="dxa"/>
            <w:shd w:val="clear" w:color="auto" w:fill="auto"/>
            <w:vAlign w:val="center"/>
          </w:tcPr>
          <w:p w:rsidR="00CC2B05" w:rsidRPr="00814026" w:rsidRDefault="00430236" w:rsidP="00814026">
            <w:pPr>
              <w:jc w:val="center"/>
              <w:rPr>
                <w:sz w:val="22"/>
                <w:szCs w:val="24"/>
                <w:highlight w:val="yellow"/>
              </w:rPr>
            </w:pPr>
            <w:r w:rsidRPr="00814026">
              <w:rPr>
                <w:sz w:val="22"/>
                <w:szCs w:val="24"/>
              </w:rPr>
              <w:t>6,364.85</w:t>
            </w:r>
          </w:p>
        </w:tc>
      </w:tr>
      <w:tr w:rsidR="00814026" w:rsidTr="00814026">
        <w:trPr>
          <w:trHeight w:val="267"/>
        </w:trPr>
        <w:tc>
          <w:tcPr>
            <w:tcW w:w="2268" w:type="dxa"/>
            <w:tcBorders>
              <w:right w:val="single" w:sz="12" w:space="0" w:color="000000"/>
            </w:tcBorders>
            <w:shd w:val="clear" w:color="auto" w:fill="auto"/>
            <w:vAlign w:val="center"/>
          </w:tcPr>
          <w:p w:rsidR="00CC2B05" w:rsidRPr="00814026" w:rsidRDefault="00CC2B05" w:rsidP="00814026">
            <w:pPr>
              <w:jc w:val="center"/>
              <w:rPr>
                <w:b/>
                <w:sz w:val="22"/>
                <w:szCs w:val="24"/>
              </w:rPr>
            </w:pPr>
            <w:r w:rsidRPr="00814026">
              <w:rPr>
                <w:b/>
                <w:sz w:val="22"/>
                <w:szCs w:val="24"/>
              </w:rPr>
              <w:t>Current</w:t>
            </w:r>
          </w:p>
        </w:tc>
        <w:tc>
          <w:tcPr>
            <w:tcW w:w="2250" w:type="dxa"/>
            <w:tcBorders>
              <w:left w:val="single" w:sz="12" w:space="0" w:color="000000"/>
            </w:tcBorders>
            <w:shd w:val="clear" w:color="auto" w:fill="auto"/>
            <w:vAlign w:val="center"/>
          </w:tcPr>
          <w:p w:rsidR="00CC2B05" w:rsidRPr="00814026" w:rsidRDefault="00430236" w:rsidP="00814026">
            <w:pPr>
              <w:jc w:val="center"/>
              <w:rPr>
                <w:b/>
                <w:sz w:val="22"/>
                <w:szCs w:val="24"/>
                <w:highlight w:val="yellow"/>
              </w:rPr>
            </w:pPr>
            <w:r w:rsidRPr="00814026">
              <w:rPr>
                <w:b/>
                <w:sz w:val="22"/>
                <w:szCs w:val="24"/>
              </w:rPr>
              <w:t>773.16</w:t>
            </w:r>
          </w:p>
        </w:tc>
        <w:tc>
          <w:tcPr>
            <w:tcW w:w="2250" w:type="dxa"/>
            <w:shd w:val="clear" w:color="auto" w:fill="auto"/>
            <w:vAlign w:val="center"/>
          </w:tcPr>
          <w:p w:rsidR="00CC2B05" w:rsidRPr="00814026" w:rsidRDefault="00912CC8" w:rsidP="00814026">
            <w:pPr>
              <w:jc w:val="center"/>
              <w:rPr>
                <w:b/>
                <w:sz w:val="22"/>
                <w:szCs w:val="24"/>
                <w:highlight w:val="yellow"/>
              </w:rPr>
            </w:pPr>
            <w:r w:rsidRPr="00814026">
              <w:rPr>
                <w:b/>
                <w:sz w:val="22"/>
                <w:szCs w:val="24"/>
              </w:rPr>
              <w:t>134.40</w:t>
            </w:r>
          </w:p>
        </w:tc>
        <w:tc>
          <w:tcPr>
            <w:tcW w:w="2607" w:type="dxa"/>
            <w:shd w:val="clear" w:color="auto" w:fill="auto"/>
            <w:vAlign w:val="center"/>
          </w:tcPr>
          <w:p w:rsidR="00CC2B05" w:rsidRPr="00814026" w:rsidRDefault="00912CC8" w:rsidP="00814026">
            <w:pPr>
              <w:jc w:val="center"/>
              <w:rPr>
                <w:b/>
                <w:sz w:val="22"/>
                <w:szCs w:val="24"/>
                <w:highlight w:val="yellow"/>
              </w:rPr>
            </w:pPr>
            <w:r w:rsidRPr="00814026">
              <w:rPr>
                <w:b/>
                <w:sz w:val="22"/>
                <w:szCs w:val="24"/>
              </w:rPr>
              <w:t>907.56</w:t>
            </w:r>
          </w:p>
        </w:tc>
      </w:tr>
      <w:tr w:rsidR="00814026" w:rsidTr="00814026">
        <w:trPr>
          <w:trHeight w:val="267"/>
        </w:trPr>
        <w:tc>
          <w:tcPr>
            <w:tcW w:w="2268" w:type="dxa"/>
            <w:tcBorders>
              <w:bottom w:val="single" w:sz="12" w:space="0" w:color="000000"/>
              <w:right w:val="single" w:sz="12" w:space="0" w:color="000000"/>
            </w:tcBorders>
            <w:shd w:val="clear" w:color="auto" w:fill="auto"/>
            <w:vAlign w:val="center"/>
          </w:tcPr>
          <w:p w:rsidR="00CC2B05" w:rsidRPr="00814026" w:rsidRDefault="00CC2B05" w:rsidP="00814026">
            <w:pPr>
              <w:jc w:val="center"/>
              <w:rPr>
                <w:b/>
                <w:sz w:val="22"/>
                <w:szCs w:val="24"/>
              </w:rPr>
            </w:pPr>
            <w:r w:rsidRPr="00814026">
              <w:rPr>
                <w:b/>
                <w:sz w:val="22"/>
                <w:szCs w:val="24"/>
              </w:rPr>
              <w:t>Difference/Change</w:t>
            </w:r>
          </w:p>
        </w:tc>
        <w:tc>
          <w:tcPr>
            <w:tcW w:w="2250" w:type="dxa"/>
            <w:tcBorders>
              <w:left w:val="single" w:sz="12" w:space="0" w:color="000000"/>
            </w:tcBorders>
            <w:shd w:val="clear" w:color="auto" w:fill="auto"/>
            <w:vAlign w:val="center"/>
          </w:tcPr>
          <w:p w:rsidR="00CC2B05" w:rsidRPr="00814026" w:rsidRDefault="005C73B0" w:rsidP="00814026">
            <w:pPr>
              <w:jc w:val="center"/>
              <w:rPr>
                <w:sz w:val="22"/>
                <w:szCs w:val="24"/>
                <w:highlight w:val="yellow"/>
              </w:rPr>
            </w:pPr>
            <w:r w:rsidRPr="00814026">
              <w:rPr>
                <w:sz w:val="22"/>
                <w:szCs w:val="24"/>
              </w:rPr>
              <w:t>-</w:t>
            </w:r>
            <w:r w:rsidR="00461DA8" w:rsidRPr="00814026">
              <w:rPr>
                <w:sz w:val="22"/>
                <w:szCs w:val="24"/>
              </w:rPr>
              <w:t>3,306.44</w:t>
            </w:r>
          </w:p>
        </w:tc>
        <w:tc>
          <w:tcPr>
            <w:tcW w:w="2250" w:type="dxa"/>
            <w:shd w:val="clear" w:color="auto" w:fill="auto"/>
            <w:vAlign w:val="center"/>
          </w:tcPr>
          <w:p w:rsidR="00CC2B05" w:rsidRPr="00814026" w:rsidRDefault="005C73B0" w:rsidP="00814026">
            <w:pPr>
              <w:jc w:val="center"/>
              <w:rPr>
                <w:sz w:val="22"/>
                <w:szCs w:val="24"/>
                <w:highlight w:val="yellow"/>
              </w:rPr>
            </w:pPr>
            <w:r w:rsidRPr="00814026">
              <w:rPr>
                <w:sz w:val="22"/>
                <w:szCs w:val="24"/>
              </w:rPr>
              <w:t>-</w:t>
            </w:r>
            <w:r w:rsidR="00912CC8" w:rsidRPr="00814026">
              <w:rPr>
                <w:sz w:val="22"/>
                <w:szCs w:val="24"/>
              </w:rPr>
              <w:t>2</w:t>
            </w:r>
            <w:r w:rsidRPr="00814026">
              <w:rPr>
                <w:sz w:val="22"/>
                <w:szCs w:val="24"/>
              </w:rPr>
              <w:t>,</w:t>
            </w:r>
            <w:r w:rsidR="00912CC8" w:rsidRPr="00814026">
              <w:rPr>
                <w:sz w:val="22"/>
                <w:szCs w:val="24"/>
              </w:rPr>
              <w:t>150.85</w:t>
            </w:r>
          </w:p>
        </w:tc>
        <w:tc>
          <w:tcPr>
            <w:tcW w:w="2607" w:type="dxa"/>
            <w:shd w:val="clear" w:color="auto" w:fill="auto"/>
            <w:vAlign w:val="center"/>
          </w:tcPr>
          <w:p w:rsidR="00CC2B05" w:rsidRPr="00814026" w:rsidRDefault="005C73B0" w:rsidP="00814026">
            <w:pPr>
              <w:jc w:val="center"/>
              <w:rPr>
                <w:sz w:val="22"/>
                <w:szCs w:val="24"/>
                <w:highlight w:val="yellow"/>
              </w:rPr>
            </w:pPr>
            <w:r w:rsidRPr="00814026">
              <w:rPr>
                <w:sz w:val="22"/>
                <w:szCs w:val="24"/>
              </w:rPr>
              <w:t>-</w:t>
            </w:r>
            <w:r w:rsidR="00912CC8" w:rsidRPr="00814026">
              <w:rPr>
                <w:sz w:val="22"/>
                <w:szCs w:val="24"/>
              </w:rPr>
              <w:t>5,457.29</w:t>
            </w:r>
          </w:p>
        </w:tc>
      </w:tr>
    </w:tbl>
    <w:p w:rsidR="004F26E9" w:rsidRDefault="004F26E9">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5C544E" w:rsidRDefault="00233E06">
      <w:pPr>
        <w:rPr>
          <w:sz w:val="24"/>
          <w:szCs w:val="24"/>
        </w:rPr>
      </w:pPr>
      <w:r w:rsidRPr="00233E06">
        <w:rPr>
          <w:sz w:val="24"/>
          <w:szCs w:val="24"/>
        </w:rPr>
        <w:t xml:space="preserve">When this collection was originally approved, it was attached to a rulemaking action that included the implementation of a limited access permit program for Areas 2 and Outer Cape Cod in addition to the </w:t>
      </w:r>
      <w:r w:rsidR="009E7086">
        <w:rPr>
          <w:sz w:val="24"/>
          <w:szCs w:val="24"/>
        </w:rPr>
        <w:t>T</w:t>
      </w:r>
      <w:r w:rsidRPr="00233E06">
        <w:rPr>
          <w:sz w:val="24"/>
          <w:szCs w:val="24"/>
        </w:rPr>
        <w:t xml:space="preserve">rap </w:t>
      </w:r>
      <w:r w:rsidR="009E7086">
        <w:rPr>
          <w:sz w:val="24"/>
          <w:szCs w:val="24"/>
        </w:rPr>
        <w:t>T</w:t>
      </w:r>
      <w:r w:rsidRPr="00233E06">
        <w:rPr>
          <w:sz w:val="24"/>
          <w:szCs w:val="24"/>
        </w:rPr>
        <w:t xml:space="preserve">ransfer </w:t>
      </w:r>
      <w:r w:rsidR="009E7086">
        <w:rPr>
          <w:sz w:val="24"/>
          <w:szCs w:val="24"/>
        </w:rPr>
        <w:t>P</w:t>
      </w:r>
      <w:r w:rsidRPr="00233E06">
        <w:rPr>
          <w:sz w:val="24"/>
          <w:szCs w:val="24"/>
        </w:rPr>
        <w:t>rogram.</w:t>
      </w:r>
      <w:r w:rsidR="00D5447E" w:rsidRPr="00D5447E">
        <w:t xml:space="preserve"> </w:t>
      </w:r>
      <w:r w:rsidR="00D5447E">
        <w:t xml:space="preserve"> </w:t>
      </w:r>
      <w:r w:rsidR="00D5447E" w:rsidRPr="00D5447E">
        <w:rPr>
          <w:sz w:val="24"/>
          <w:szCs w:val="24"/>
        </w:rPr>
        <w:t xml:space="preserve">This limited access </w:t>
      </w:r>
      <w:r w:rsidR="00D5447E">
        <w:rPr>
          <w:sz w:val="24"/>
          <w:szCs w:val="24"/>
        </w:rPr>
        <w:t>program has now been completed, and that portion</w:t>
      </w:r>
      <w:r w:rsidR="00D5447E" w:rsidRPr="00D5447E">
        <w:rPr>
          <w:sz w:val="24"/>
          <w:szCs w:val="24"/>
        </w:rPr>
        <w:t xml:space="preserve"> of the collection is no longer necessary, so </w:t>
      </w:r>
      <w:r w:rsidR="00D5447E">
        <w:rPr>
          <w:sz w:val="24"/>
          <w:szCs w:val="24"/>
        </w:rPr>
        <w:t>it has been</w:t>
      </w:r>
      <w:r w:rsidR="00D5447E" w:rsidRPr="00D5447E">
        <w:rPr>
          <w:sz w:val="24"/>
          <w:szCs w:val="24"/>
        </w:rPr>
        <w:t xml:space="preserve"> remove</w:t>
      </w:r>
      <w:r w:rsidR="00D5447E">
        <w:rPr>
          <w:sz w:val="24"/>
          <w:szCs w:val="24"/>
        </w:rPr>
        <w:t>d</w:t>
      </w:r>
      <w:r w:rsidR="00D5447E" w:rsidRPr="00D5447E">
        <w:rPr>
          <w:sz w:val="24"/>
          <w:szCs w:val="24"/>
        </w:rPr>
        <w:t xml:space="preserve"> from the </w:t>
      </w:r>
      <w:r w:rsidR="00D5447E">
        <w:rPr>
          <w:sz w:val="24"/>
          <w:szCs w:val="24"/>
        </w:rPr>
        <w:t xml:space="preserve">overall cost and burden. </w:t>
      </w:r>
      <w:r w:rsidR="00D5447E" w:rsidRPr="00D5447E">
        <w:t xml:space="preserve"> </w:t>
      </w:r>
      <w:r w:rsidR="00F33A23">
        <w:rPr>
          <w:sz w:val="24"/>
          <w:szCs w:val="24"/>
        </w:rPr>
        <w:t>T</w:t>
      </w:r>
      <w:r w:rsidR="00D5447E" w:rsidRPr="00D5447E">
        <w:rPr>
          <w:sz w:val="24"/>
          <w:szCs w:val="24"/>
        </w:rPr>
        <w:t xml:space="preserve">he </w:t>
      </w:r>
      <w:r w:rsidR="009E7086">
        <w:rPr>
          <w:sz w:val="24"/>
          <w:szCs w:val="24"/>
        </w:rPr>
        <w:t>T</w:t>
      </w:r>
      <w:r w:rsidR="00D5447E" w:rsidRPr="00D5447E">
        <w:rPr>
          <w:sz w:val="24"/>
          <w:szCs w:val="24"/>
        </w:rPr>
        <w:t xml:space="preserve">rap </w:t>
      </w:r>
      <w:r w:rsidR="009E7086">
        <w:rPr>
          <w:sz w:val="24"/>
          <w:szCs w:val="24"/>
        </w:rPr>
        <w:t>T</w:t>
      </w:r>
      <w:r w:rsidR="00D5447E" w:rsidRPr="00D5447E">
        <w:rPr>
          <w:sz w:val="24"/>
          <w:szCs w:val="24"/>
        </w:rPr>
        <w:t xml:space="preserve">ransfer </w:t>
      </w:r>
      <w:r w:rsidR="009E7086">
        <w:rPr>
          <w:sz w:val="24"/>
          <w:szCs w:val="24"/>
        </w:rPr>
        <w:t>P</w:t>
      </w:r>
      <w:r w:rsidR="00D5447E" w:rsidRPr="00D5447E">
        <w:rPr>
          <w:sz w:val="24"/>
          <w:szCs w:val="24"/>
        </w:rPr>
        <w:t xml:space="preserve">rogram </w:t>
      </w:r>
      <w:r w:rsidR="00D5447E">
        <w:rPr>
          <w:sz w:val="24"/>
          <w:szCs w:val="24"/>
        </w:rPr>
        <w:t xml:space="preserve">has been </w:t>
      </w:r>
      <w:r w:rsidR="00F33A23">
        <w:rPr>
          <w:sz w:val="24"/>
          <w:szCs w:val="24"/>
        </w:rPr>
        <w:t xml:space="preserve">underway </w:t>
      </w:r>
      <w:r w:rsidR="00D5447E">
        <w:rPr>
          <w:sz w:val="24"/>
          <w:szCs w:val="24"/>
        </w:rPr>
        <w:t xml:space="preserve">for two years, with </w:t>
      </w:r>
      <w:r w:rsidR="00D5447E" w:rsidRPr="00D5447E">
        <w:rPr>
          <w:sz w:val="24"/>
          <w:szCs w:val="24"/>
        </w:rPr>
        <w:t>preliminary data</w:t>
      </w:r>
      <w:r w:rsidR="00D5447E" w:rsidRPr="00D5447E">
        <w:t xml:space="preserve"> </w:t>
      </w:r>
      <w:r w:rsidR="00D5447E" w:rsidRPr="00D5447E">
        <w:rPr>
          <w:sz w:val="24"/>
          <w:szCs w:val="24"/>
        </w:rPr>
        <w:t xml:space="preserve">from which to adjust </w:t>
      </w:r>
      <w:r w:rsidR="00D5447E">
        <w:rPr>
          <w:sz w:val="24"/>
          <w:szCs w:val="24"/>
        </w:rPr>
        <w:t xml:space="preserve">original </w:t>
      </w:r>
      <w:r w:rsidR="00D5447E" w:rsidRPr="00D5447E">
        <w:rPr>
          <w:sz w:val="24"/>
          <w:szCs w:val="24"/>
        </w:rPr>
        <w:t>burden estimates</w:t>
      </w:r>
      <w:r w:rsidR="00D5447E">
        <w:rPr>
          <w:sz w:val="24"/>
          <w:szCs w:val="24"/>
        </w:rPr>
        <w:t>.</w:t>
      </w:r>
    </w:p>
    <w:p w:rsidR="005C544E" w:rsidRDefault="005C544E">
      <w:pPr>
        <w:rPr>
          <w:sz w:val="24"/>
          <w:szCs w:val="24"/>
        </w:rPr>
      </w:pPr>
    </w:p>
    <w:p w:rsidR="00233E06" w:rsidRDefault="005C544E">
      <w:pPr>
        <w:rPr>
          <w:sz w:val="24"/>
          <w:szCs w:val="24"/>
        </w:rPr>
      </w:pPr>
      <w:r>
        <w:rPr>
          <w:sz w:val="24"/>
          <w:szCs w:val="24"/>
        </w:rPr>
        <w:t>Initially, it was predicted that 50</w:t>
      </w:r>
      <w:r w:rsidR="00C06B7D">
        <w:rPr>
          <w:sz w:val="24"/>
          <w:szCs w:val="24"/>
        </w:rPr>
        <w:t xml:space="preserve"> percent</w:t>
      </w:r>
      <w:r>
        <w:rPr>
          <w:sz w:val="24"/>
          <w:szCs w:val="24"/>
        </w:rPr>
        <w:t xml:space="preserve"> of lobster permit holders qualified for transferable areas (Area 2, Area 3, Outer Cape Cod Area), and 10</w:t>
      </w:r>
      <w:r w:rsidR="00C06B7D">
        <w:rPr>
          <w:sz w:val="24"/>
          <w:szCs w:val="24"/>
        </w:rPr>
        <w:t xml:space="preserve"> percent</w:t>
      </w:r>
      <w:r>
        <w:rPr>
          <w:sz w:val="24"/>
          <w:szCs w:val="24"/>
        </w:rPr>
        <w:t xml:space="preserve"> of the rest of the permit holders who  weren’t qualified would participate in the </w:t>
      </w:r>
      <w:r w:rsidR="009E7086">
        <w:rPr>
          <w:sz w:val="24"/>
          <w:szCs w:val="24"/>
        </w:rPr>
        <w:t>T</w:t>
      </w:r>
      <w:r>
        <w:rPr>
          <w:sz w:val="24"/>
          <w:szCs w:val="24"/>
        </w:rPr>
        <w:t xml:space="preserve">rap </w:t>
      </w:r>
      <w:r w:rsidR="009E7086">
        <w:rPr>
          <w:sz w:val="24"/>
          <w:szCs w:val="24"/>
        </w:rPr>
        <w:t>T</w:t>
      </w:r>
      <w:r>
        <w:rPr>
          <w:sz w:val="24"/>
          <w:szCs w:val="24"/>
        </w:rPr>
        <w:t xml:space="preserve">ransfer </w:t>
      </w:r>
      <w:r w:rsidR="009E7086">
        <w:rPr>
          <w:sz w:val="24"/>
          <w:szCs w:val="24"/>
        </w:rPr>
        <w:t>P</w:t>
      </w:r>
      <w:r>
        <w:rPr>
          <w:sz w:val="24"/>
          <w:szCs w:val="24"/>
        </w:rPr>
        <w:t>rogram; bringing the total participants to roughly 432, and the number of two-party transfer transactions/applications to 216.  However, based on the interest and results of the first two years of the program, these numbers are closer to participation from 25</w:t>
      </w:r>
      <w:r w:rsidR="00C06B7D">
        <w:rPr>
          <w:sz w:val="24"/>
          <w:szCs w:val="24"/>
        </w:rPr>
        <w:t xml:space="preserve"> percent</w:t>
      </w:r>
      <w:r>
        <w:rPr>
          <w:sz w:val="24"/>
          <w:szCs w:val="24"/>
        </w:rPr>
        <w:t xml:space="preserve"> of lobster permit holders qualified in these areas, and 5</w:t>
      </w:r>
      <w:r w:rsidR="00C06B7D">
        <w:rPr>
          <w:sz w:val="24"/>
          <w:szCs w:val="24"/>
        </w:rPr>
        <w:t xml:space="preserve"> percent</w:t>
      </w:r>
      <w:r>
        <w:rPr>
          <w:sz w:val="24"/>
          <w:szCs w:val="24"/>
        </w:rPr>
        <w:t xml:space="preserve"> of the remaining permit holders; for a total of 204 participants an</w:t>
      </w:r>
      <w:r w:rsidR="002A1B5C">
        <w:rPr>
          <w:sz w:val="24"/>
          <w:szCs w:val="24"/>
        </w:rPr>
        <w:t>d 102 transactions/applications.</w:t>
      </w:r>
    </w:p>
    <w:p w:rsidR="005C544E" w:rsidRDefault="005C544E">
      <w:pPr>
        <w:rPr>
          <w:sz w:val="24"/>
          <w:szCs w:val="24"/>
        </w:rPr>
      </w:pPr>
    </w:p>
    <w:p w:rsidR="005C544E" w:rsidRDefault="0000337A">
      <w:pPr>
        <w:rPr>
          <w:sz w:val="24"/>
          <w:szCs w:val="24"/>
        </w:rPr>
      </w:pPr>
      <w:r w:rsidRPr="0000337A">
        <w:rPr>
          <w:sz w:val="24"/>
          <w:szCs w:val="24"/>
        </w:rPr>
        <w:t>When this collection was first approved, the total annualized number of responses was estimated to be around 340</w:t>
      </w:r>
      <w:r>
        <w:rPr>
          <w:sz w:val="24"/>
          <w:szCs w:val="24"/>
        </w:rPr>
        <w:t>; with t</w:t>
      </w:r>
      <w:r w:rsidR="005C544E">
        <w:rPr>
          <w:sz w:val="24"/>
          <w:szCs w:val="24"/>
        </w:rPr>
        <w:t>he original</w:t>
      </w:r>
      <w:r>
        <w:rPr>
          <w:sz w:val="24"/>
          <w:szCs w:val="24"/>
        </w:rPr>
        <w:t>,</w:t>
      </w:r>
      <w:r w:rsidR="005C544E">
        <w:rPr>
          <w:sz w:val="24"/>
          <w:szCs w:val="24"/>
        </w:rPr>
        <w:t xml:space="preserve"> estimated</w:t>
      </w:r>
      <w:r>
        <w:rPr>
          <w:sz w:val="24"/>
          <w:szCs w:val="24"/>
        </w:rPr>
        <w:t>,</w:t>
      </w:r>
      <w:r w:rsidR="005C544E">
        <w:rPr>
          <w:sz w:val="24"/>
          <w:szCs w:val="24"/>
        </w:rPr>
        <w:t xml:space="preserve"> annualized burden for this entire collection </w:t>
      </w:r>
      <w:r>
        <w:rPr>
          <w:sz w:val="24"/>
          <w:szCs w:val="24"/>
        </w:rPr>
        <w:t>totaling</w:t>
      </w:r>
      <w:r w:rsidR="005C544E">
        <w:rPr>
          <w:sz w:val="24"/>
          <w:szCs w:val="24"/>
        </w:rPr>
        <w:t xml:space="preserve"> 60 hours</w:t>
      </w:r>
      <w:r>
        <w:rPr>
          <w:sz w:val="24"/>
          <w:szCs w:val="24"/>
        </w:rPr>
        <w:t xml:space="preserve">. </w:t>
      </w:r>
      <w:r w:rsidR="00DB41E7">
        <w:rPr>
          <w:sz w:val="24"/>
          <w:szCs w:val="24"/>
        </w:rPr>
        <w:t xml:space="preserve"> </w:t>
      </w:r>
      <w:r>
        <w:rPr>
          <w:sz w:val="24"/>
          <w:szCs w:val="24"/>
        </w:rPr>
        <w:t xml:space="preserve">The </w:t>
      </w:r>
      <w:r w:rsidR="009E7086">
        <w:rPr>
          <w:sz w:val="24"/>
          <w:szCs w:val="24"/>
        </w:rPr>
        <w:t>T</w:t>
      </w:r>
      <w:r>
        <w:rPr>
          <w:sz w:val="24"/>
          <w:szCs w:val="24"/>
        </w:rPr>
        <w:t xml:space="preserve">rap </w:t>
      </w:r>
      <w:r w:rsidR="009E7086">
        <w:rPr>
          <w:sz w:val="24"/>
          <w:szCs w:val="24"/>
        </w:rPr>
        <w:t>T</w:t>
      </w:r>
      <w:r>
        <w:rPr>
          <w:sz w:val="24"/>
          <w:szCs w:val="24"/>
        </w:rPr>
        <w:t xml:space="preserve">ransfer </w:t>
      </w:r>
      <w:r w:rsidR="009E7086">
        <w:rPr>
          <w:sz w:val="24"/>
          <w:szCs w:val="24"/>
        </w:rPr>
        <w:t>P</w:t>
      </w:r>
      <w:r>
        <w:rPr>
          <w:sz w:val="24"/>
          <w:szCs w:val="24"/>
        </w:rPr>
        <w:t>rogram was expected to account for 216 responses and 36 of those hours annually, while the limited access program would make up the remaining 124 responses and 24 hours.</w:t>
      </w:r>
      <w:r w:rsidR="002A1B5C">
        <w:rPr>
          <w:sz w:val="24"/>
          <w:szCs w:val="24"/>
        </w:rPr>
        <w:t xml:space="preserve">  The revised estimates for this collection, with only the annual </w:t>
      </w:r>
      <w:r w:rsidR="009E7086">
        <w:rPr>
          <w:sz w:val="24"/>
          <w:szCs w:val="24"/>
        </w:rPr>
        <w:t>T</w:t>
      </w:r>
      <w:r w:rsidR="002A1B5C">
        <w:rPr>
          <w:sz w:val="24"/>
          <w:szCs w:val="24"/>
        </w:rPr>
        <w:t xml:space="preserve">rap </w:t>
      </w:r>
      <w:r w:rsidR="009E7086">
        <w:rPr>
          <w:sz w:val="24"/>
          <w:szCs w:val="24"/>
        </w:rPr>
        <w:t>T</w:t>
      </w:r>
      <w:r w:rsidR="002A1B5C">
        <w:rPr>
          <w:sz w:val="24"/>
          <w:szCs w:val="24"/>
        </w:rPr>
        <w:t xml:space="preserve">ransfer </w:t>
      </w:r>
      <w:r w:rsidR="009E7086">
        <w:rPr>
          <w:sz w:val="24"/>
          <w:szCs w:val="24"/>
        </w:rPr>
        <w:t>P</w:t>
      </w:r>
      <w:r w:rsidR="002A1B5C">
        <w:rPr>
          <w:sz w:val="24"/>
          <w:szCs w:val="24"/>
        </w:rPr>
        <w:t xml:space="preserve">rogram, predict </w:t>
      </w:r>
      <w:r w:rsidR="002A1B5C" w:rsidRPr="002A1B5C">
        <w:rPr>
          <w:sz w:val="24"/>
          <w:szCs w:val="24"/>
        </w:rPr>
        <w:t>approximately 102 two-party transactions from 204 respondents, creating an overall burden of 17 hours annually</w:t>
      </w:r>
      <w:r w:rsidR="002A1B5C">
        <w:rPr>
          <w:sz w:val="24"/>
          <w:szCs w:val="24"/>
        </w:rPr>
        <w:t>; which is a decrease of 238 responses and 43 burden hours each year from original estimates.  This change amounts to a program change (removal of the limited access program) that accounts for the reduction of 124 responses and 24 hours, and an adjustment (revised trap transfer estimates based on observed number of responses) that is responsible for the remaining decline of 114 responses and 19 hours.</w:t>
      </w:r>
    </w:p>
    <w:p w:rsidR="0000337A" w:rsidRDefault="0000337A">
      <w:pPr>
        <w:rPr>
          <w:sz w:val="24"/>
          <w:szCs w:val="24"/>
        </w:rPr>
      </w:pPr>
    </w:p>
    <w:p w:rsidR="0000337A" w:rsidRDefault="0000337A">
      <w:pPr>
        <w:rPr>
          <w:sz w:val="24"/>
          <w:szCs w:val="24"/>
        </w:rPr>
      </w:pPr>
      <w:r>
        <w:rPr>
          <w:sz w:val="24"/>
          <w:szCs w:val="24"/>
        </w:rPr>
        <w:t xml:space="preserve">Originally, the </w:t>
      </w:r>
      <w:r w:rsidRPr="0000337A">
        <w:rPr>
          <w:sz w:val="24"/>
          <w:szCs w:val="24"/>
        </w:rPr>
        <w:t xml:space="preserve">annualized cost burden </w:t>
      </w:r>
      <w:r w:rsidR="0012442F">
        <w:rPr>
          <w:sz w:val="24"/>
          <w:szCs w:val="24"/>
        </w:rPr>
        <w:t xml:space="preserve">to respondents </w:t>
      </w:r>
      <w:r w:rsidRPr="0000337A">
        <w:rPr>
          <w:sz w:val="24"/>
          <w:szCs w:val="24"/>
        </w:rPr>
        <w:t>for this collection was $1,398.33</w:t>
      </w:r>
      <w:r w:rsidR="00003693">
        <w:rPr>
          <w:sz w:val="24"/>
          <w:szCs w:val="24"/>
        </w:rPr>
        <w:t xml:space="preserve">; with the annual cost of the </w:t>
      </w:r>
      <w:r w:rsidR="009E7086">
        <w:rPr>
          <w:sz w:val="24"/>
          <w:szCs w:val="24"/>
        </w:rPr>
        <w:t>T</w:t>
      </w:r>
      <w:r w:rsidR="00003693">
        <w:rPr>
          <w:sz w:val="24"/>
          <w:szCs w:val="24"/>
        </w:rPr>
        <w:t xml:space="preserve">rap </w:t>
      </w:r>
      <w:r w:rsidR="009E7086">
        <w:rPr>
          <w:sz w:val="24"/>
          <w:szCs w:val="24"/>
        </w:rPr>
        <w:t>T</w:t>
      </w:r>
      <w:r w:rsidR="00003693">
        <w:rPr>
          <w:sz w:val="24"/>
          <w:szCs w:val="24"/>
        </w:rPr>
        <w:t xml:space="preserve">ransfer </w:t>
      </w:r>
      <w:r w:rsidR="009E7086">
        <w:rPr>
          <w:sz w:val="24"/>
          <w:szCs w:val="24"/>
        </w:rPr>
        <w:t>P</w:t>
      </w:r>
      <w:r w:rsidR="00003693">
        <w:rPr>
          <w:sz w:val="24"/>
          <w:szCs w:val="24"/>
        </w:rPr>
        <w:t xml:space="preserve">rogram totaling </w:t>
      </w:r>
      <w:r w:rsidR="00003693" w:rsidRPr="00003693">
        <w:rPr>
          <w:sz w:val="24"/>
          <w:szCs w:val="24"/>
        </w:rPr>
        <w:t>$1,213.92</w:t>
      </w:r>
      <w:r w:rsidR="00003693">
        <w:rPr>
          <w:sz w:val="24"/>
          <w:szCs w:val="24"/>
        </w:rPr>
        <w:t>, and the limited access program costing an annual $184.41.</w:t>
      </w:r>
      <w:r w:rsidR="00166D5C">
        <w:rPr>
          <w:sz w:val="24"/>
          <w:szCs w:val="24"/>
        </w:rPr>
        <w:t xml:space="preserve">  The revised estimates for this collection expect an annual cost burden of $491.64 for just the </w:t>
      </w:r>
      <w:r w:rsidR="009E7086">
        <w:rPr>
          <w:sz w:val="24"/>
          <w:szCs w:val="24"/>
        </w:rPr>
        <w:t>T</w:t>
      </w:r>
      <w:r w:rsidR="00166D5C">
        <w:rPr>
          <w:sz w:val="24"/>
          <w:szCs w:val="24"/>
        </w:rPr>
        <w:t xml:space="preserve">rap </w:t>
      </w:r>
      <w:r w:rsidR="009E7086">
        <w:rPr>
          <w:sz w:val="24"/>
          <w:szCs w:val="24"/>
        </w:rPr>
        <w:t>T</w:t>
      </w:r>
      <w:r w:rsidR="00166D5C">
        <w:rPr>
          <w:sz w:val="24"/>
          <w:szCs w:val="24"/>
        </w:rPr>
        <w:t xml:space="preserve">ransfer </w:t>
      </w:r>
      <w:r w:rsidR="009E7086">
        <w:rPr>
          <w:sz w:val="24"/>
          <w:szCs w:val="24"/>
        </w:rPr>
        <w:t>P</w:t>
      </w:r>
      <w:r w:rsidR="00166D5C">
        <w:rPr>
          <w:sz w:val="24"/>
          <w:szCs w:val="24"/>
        </w:rPr>
        <w:t>rogram, a decline of $906.69.</w:t>
      </w:r>
      <w:r w:rsidR="00043B50">
        <w:rPr>
          <w:sz w:val="24"/>
          <w:szCs w:val="24"/>
        </w:rPr>
        <w:t xml:space="preserve">  The program change of removing the limited access program from the collection is responsible for $184.41 of that cost decrease, and the </w:t>
      </w:r>
      <w:r w:rsidR="009E7086">
        <w:rPr>
          <w:sz w:val="24"/>
          <w:szCs w:val="24"/>
        </w:rPr>
        <w:t>T</w:t>
      </w:r>
      <w:r w:rsidR="00043B50">
        <w:rPr>
          <w:sz w:val="24"/>
          <w:szCs w:val="24"/>
        </w:rPr>
        <w:t xml:space="preserve">rap </w:t>
      </w:r>
      <w:r w:rsidR="009E7086">
        <w:rPr>
          <w:sz w:val="24"/>
          <w:szCs w:val="24"/>
        </w:rPr>
        <w:t>T</w:t>
      </w:r>
      <w:r w:rsidR="00043B50">
        <w:rPr>
          <w:sz w:val="24"/>
          <w:szCs w:val="24"/>
        </w:rPr>
        <w:t xml:space="preserve">ransfer </w:t>
      </w:r>
      <w:r w:rsidR="009E7086">
        <w:rPr>
          <w:sz w:val="24"/>
          <w:szCs w:val="24"/>
        </w:rPr>
        <w:t>P</w:t>
      </w:r>
      <w:r w:rsidR="00043B50">
        <w:rPr>
          <w:sz w:val="24"/>
          <w:szCs w:val="24"/>
        </w:rPr>
        <w:t xml:space="preserve">rogram adjustment </w:t>
      </w:r>
      <w:r w:rsidR="00F33A23">
        <w:rPr>
          <w:sz w:val="24"/>
          <w:szCs w:val="24"/>
        </w:rPr>
        <w:t xml:space="preserve">of prospective applicants based on the first two years of data </w:t>
      </w:r>
      <w:r w:rsidR="00043B50">
        <w:rPr>
          <w:sz w:val="24"/>
          <w:szCs w:val="24"/>
        </w:rPr>
        <w:t>accounts for the remaining $722.28 of difference.</w:t>
      </w:r>
    </w:p>
    <w:p w:rsidR="0007413F" w:rsidRDefault="0007413F">
      <w:pPr>
        <w:rPr>
          <w:sz w:val="24"/>
          <w:szCs w:val="24"/>
        </w:rPr>
      </w:pPr>
    </w:p>
    <w:p w:rsidR="0007413F" w:rsidRDefault="0007413F">
      <w:pPr>
        <w:rPr>
          <w:sz w:val="24"/>
          <w:szCs w:val="24"/>
        </w:rPr>
      </w:pPr>
      <w:r>
        <w:rPr>
          <w:sz w:val="24"/>
          <w:szCs w:val="24"/>
        </w:rPr>
        <w:t xml:space="preserve">The initial annualized cost to the Federal government for this collection including labor and materials was estimated to be around </w:t>
      </w:r>
      <w:r w:rsidRPr="0007413F">
        <w:rPr>
          <w:sz w:val="24"/>
          <w:szCs w:val="24"/>
        </w:rPr>
        <w:t>$6,364.85</w:t>
      </w:r>
      <w:r>
        <w:rPr>
          <w:sz w:val="24"/>
          <w:szCs w:val="24"/>
        </w:rPr>
        <w:t xml:space="preserve">; with </w:t>
      </w:r>
      <w:r w:rsidRPr="0007413F">
        <w:rPr>
          <w:sz w:val="24"/>
          <w:szCs w:val="24"/>
        </w:rPr>
        <w:t>$1,861.81</w:t>
      </w:r>
      <w:r>
        <w:rPr>
          <w:sz w:val="24"/>
          <w:szCs w:val="24"/>
        </w:rPr>
        <w:t xml:space="preserve"> for the </w:t>
      </w:r>
      <w:r w:rsidR="00D42B24">
        <w:rPr>
          <w:sz w:val="24"/>
          <w:szCs w:val="24"/>
        </w:rPr>
        <w:t xml:space="preserve">annual </w:t>
      </w:r>
      <w:r w:rsidR="009E7086">
        <w:rPr>
          <w:sz w:val="24"/>
          <w:szCs w:val="24"/>
        </w:rPr>
        <w:t>T</w:t>
      </w:r>
      <w:r>
        <w:rPr>
          <w:sz w:val="24"/>
          <w:szCs w:val="24"/>
        </w:rPr>
        <w:t xml:space="preserve">rap </w:t>
      </w:r>
      <w:r w:rsidR="009E7086">
        <w:rPr>
          <w:sz w:val="24"/>
          <w:szCs w:val="24"/>
        </w:rPr>
        <w:t>T</w:t>
      </w:r>
      <w:r>
        <w:rPr>
          <w:sz w:val="24"/>
          <w:szCs w:val="24"/>
        </w:rPr>
        <w:t xml:space="preserve">ransfer </w:t>
      </w:r>
      <w:r w:rsidR="009E7086">
        <w:rPr>
          <w:sz w:val="24"/>
          <w:szCs w:val="24"/>
        </w:rPr>
        <w:t>P</w:t>
      </w:r>
      <w:r>
        <w:rPr>
          <w:sz w:val="24"/>
          <w:szCs w:val="24"/>
        </w:rPr>
        <w:t>rogram, and $4,503.04</w:t>
      </w:r>
      <w:r w:rsidR="00D42B24">
        <w:rPr>
          <w:sz w:val="24"/>
          <w:szCs w:val="24"/>
        </w:rPr>
        <w:t xml:space="preserve"> coming from the limited access program each year.</w:t>
      </w:r>
      <w:r w:rsidR="00166D5C">
        <w:rPr>
          <w:sz w:val="24"/>
          <w:szCs w:val="24"/>
        </w:rPr>
        <w:t xml:space="preserve"> </w:t>
      </w:r>
      <w:r w:rsidR="00DB41E7">
        <w:rPr>
          <w:sz w:val="24"/>
          <w:szCs w:val="24"/>
        </w:rPr>
        <w:t xml:space="preserve"> </w:t>
      </w:r>
      <w:r w:rsidR="006A41E0">
        <w:rPr>
          <w:sz w:val="24"/>
          <w:szCs w:val="24"/>
        </w:rPr>
        <w:t xml:space="preserve">The current collection of information for the annual </w:t>
      </w:r>
      <w:r w:rsidR="009E7086">
        <w:rPr>
          <w:sz w:val="24"/>
          <w:szCs w:val="24"/>
        </w:rPr>
        <w:t>T</w:t>
      </w:r>
      <w:r w:rsidR="006A41E0">
        <w:rPr>
          <w:sz w:val="24"/>
          <w:szCs w:val="24"/>
        </w:rPr>
        <w:t xml:space="preserve">rap </w:t>
      </w:r>
      <w:r w:rsidR="009E7086">
        <w:rPr>
          <w:sz w:val="24"/>
          <w:szCs w:val="24"/>
        </w:rPr>
        <w:t>T</w:t>
      </w:r>
      <w:r w:rsidR="006A41E0">
        <w:rPr>
          <w:sz w:val="24"/>
          <w:szCs w:val="24"/>
        </w:rPr>
        <w:t xml:space="preserve">ransfer </w:t>
      </w:r>
      <w:r w:rsidR="009E7086">
        <w:rPr>
          <w:sz w:val="24"/>
          <w:szCs w:val="24"/>
        </w:rPr>
        <w:t>P</w:t>
      </w:r>
      <w:r w:rsidR="006A41E0">
        <w:rPr>
          <w:sz w:val="24"/>
          <w:szCs w:val="24"/>
        </w:rPr>
        <w:t>rogram is estimated to cost the Federal government $</w:t>
      </w:r>
      <w:r w:rsidR="00D73A3C" w:rsidRPr="00D73A3C">
        <w:rPr>
          <w:sz w:val="24"/>
          <w:szCs w:val="24"/>
        </w:rPr>
        <w:t>907.56</w:t>
      </w:r>
      <w:r w:rsidR="00D73A3C">
        <w:rPr>
          <w:sz w:val="24"/>
          <w:szCs w:val="24"/>
        </w:rPr>
        <w:t xml:space="preserve"> </w:t>
      </w:r>
      <w:r w:rsidR="006A41E0">
        <w:rPr>
          <w:sz w:val="24"/>
          <w:szCs w:val="24"/>
        </w:rPr>
        <w:t>with current revisions</w:t>
      </w:r>
      <w:r w:rsidR="00FB053E">
        <w:rPr>
          <w:sz w:val="24"/>
          <w:szCs w:val="24"/>
        </w:rPr>
        <w:t>; which is a reduction of $</w:t>
      </w:r>
      <w:r w:rsidR="00D73A3C" w:rsidRPr="00D73A3C">
        <w:rPr>
          <w:sz w:val="24"/>
          <w:szCs w:val="24"/>
        </w:rPr>
        <w:t>5,457.29</w:t>
      </w:r>
      <w:r w:rsidR="00FB053E">
        <w:rPr>
          <w:sz w:val="24"/>
          <w:szCs w:val="24"/>
        </w:rPr>
        <w:t xml:space="preserve"> from previous estimates.  </w:t>
      </w:r>
      <w:r w:rsidR="00F45076">
        <w:rPr>
          <w:sz w:val="24"/>
          <w:szCs w:val="24"/>
        </w:rPr>
        <w:t xml:space="preserve">A total of </w:t>
      </w:r>
      <w:r w:rsidR="00F45076" w:rsidRPr="00F45076">
        <w:rPr>
          <w:sz w:val="24"/>
          <w:szCs w:val="24"/>
        </w:rPr>
        <w:t>$4,503.04</w:t>
      </w:r>
      <w:r w:rsidR="00F45076">
        <w:rPr>
          <w:sz w:val="24"/>
          <w:szCs w:val="24"/>
        </w:rPr>
        <w:t xml:space="preserve"> of the reduction was a result of the program change to remove the limited access program from the collection, and the additional </w:t>
      </w:r>
      <w:r w:rsidR="00F45076" w:rsidRPr="00EA57A0">
        <w:rPr>
          <w:sz w:val="24"/>
          <w:szCs w:val="24"/>
        </w:rPr>
        <w:t>$</w:t>
      </w:r>
      <w:r w:rsidR="00EA57A0" w:rsidRPr="00EA57A0">
        <w:rPr>
          <w:sz w:val="24"/>
          <w:szCs w:val="24"/>
        </w:rPr>
        <w:t>954.25</w:t>
      </w:r>
      <w:r w:rsidR="00F45076">
        <w:rPr>
          <w:sz w:val="24"/>
          <w:szCs w:val="24"/>
        </w:rPr>
        <w:t xml:space="preserve"> came from the adjustment to the </w:t>
      </w:r>
      <w:r w:rsidR="009E7086">
        <w:rPr>
          <w:sz w:val="24"/>
          <w:szCs w:val="24"/>
        </w:rPr>
        <w:t>T</w:t>
      </w:r>
      <w:r w:rsidR="00F45076">
        <w:rPr>
          <w:sz w:val="24"/>
          <w:szCs w:val="24"/>
        </w:rPr>
        <w:t xml:space="preserve">rap </w:t>
      </w:r>
      <w:r w:rsidR="009E7086">
        <w:rPr>
          <w:sz w:val="24"/>
          <w:szCs w:val="24"/>
        </w:rPr>
        <w:t>T</w:t>
      </w:r>
      <w:r w:rsidR="00F45076">
        <w:rPr>
          <w:sz w:val="24"/>
          <w:szCs w:val="24"/>
        </w:rPr>
        <w:t xml:space="preserve">ransfer </w:t>
      </w:r>
      <w:r w:rsidR="009E7086">
        <w:rPr>
          <w:sz w:val="24"/>
          <w:szCs w:val="24"/>
        </w:rPr>
        <w:t>P</w:t>
      </w:r>
      <w:r w:rsidR="00F45076">
        <w:rPr>
          <w:sz w:val="24"/>
          <w:szCs w:val="24"/>
        </w:rPr>
        <w:t>rogram.</w:t>
      </w:r>
    </w:p>
    <w:p w:rsidR="00E77899" w:rsidRPr="00B95362" w:rsidRDefault="00E77899">
      <w:pPr>
        <w:rPr>
          <w:szCs w:val="24"/>
        </w:rPr>
      </w:pPr>
    </w:p>
    <w:p w:rsidR="00E77899" w:rsidRDefault="00E77899" w:rsidP="00E77899">
      <w:pPr>
        <w:spacing w:after="120"/>
        <w:jc w:val="center"/>
        <w:rPr>
          <w:b/>
          <w:sz w:val="22"/>
          <w:szCs w:val="24"/>
        </w:rPr>
      </w:pPr>
      <w:r w:rsidRPr="006813F3">
        <w:rPr>
          <w:b/>
          <w:sz w:val="22"/>
          <w:szCs w:val="24"/>
        </w:rPr>
        <w:t xml:space="preserve">Table </w:t>
      </w:r>
      <w:r>
        <w:rPr>
          <w:b/>
          <w:sz w:val="22"/>
          <w:szCs w:val="24"/>
        </w:rPr>
        <w:t>4</w:t>
      </w:r>
      <w:r w:rsidRPr="006813F3">
        <w:rPr>
          <w:b/>
          <w:sz w:val="22"/>
          <w:szCs w:val="24"/>
        </w:rPr>
        <w:t xml:space="preserve">. </w:t>
      </w:r>
      <w:r>
        <w:rPr>
          <w:b/>
          <w:sz w:val="22"/>
          <w:szCs w:val="24"/>
        </w:rPr>
        <w:t xml:space="preserve">Reasons for Changes to </w:t>
      </w:r>
      <w:r w:rsidRPr="006813F3">
        <w:rPr>
          <w:b/>
          <w:sz w:val="22"/>
          <w:szCs w:val="24"/>
        </w:rPr>
        <w:t xml:space="preserve">Annual Burden </w:t>
      </w:r>
      <w:r>
        <w:rPr>
          <w:b/>
          <w:sz w:val="22"/>
          <w:szCs w:val="24"/>
        </w:rPr>
        <w:t>Estimates</w:t>
      </w:r>
    </w:p>
    <w:tbl>
      <w:tblPr>
        <w:tblW w:w="99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107"/>
        <w:gridCol w:w="1453"/>
        <w:gridCol w:w="1453"/>
        <w:gridCol w:w="1453"/>
        <w:gridCol w:w="1726"/>
        <w:gridCol w:w="1746"/>
      </w:tblGrid>
      <w:tr w:rsidR="00814026" w:rsidTr="00814026">
        <w:trPr>
          <w:trHeight w:val="542"/>
        </w:trPr>
        <w:tc>
          <w:tcPr>
            <w:tcW w:w="2107" w:type="dxa"/>
            <w:tcBorders>
              <w:top w:val="single" w:sz="12" w:space="0" w:color="000000"/>
              <w:bottom w:val="single" w:sz="12" w:space="0" w:color="000000"/>
              <w:right w:val="single" w:sz="12" w:space="0" w:color="000000"/>
            </w:tcBorders>
            <w:shd w:val="clear" w:color="auto" w:fill="auto"/>
            <w:vAlign w:val="center"/>
          </w:tcPr>
          <w:p w:rsidR="00E77899" w:rsidRPr="00814026" w:rsidRDefault="00E77899" w:rsidP="00814026">
            <w:pPr>
              <w:jc w:val="center"/>
              <w:rPr>
                <w:b/>
                <w:sz w:val="22"/>
                <w:szCs w:val="24"/>
              </w:rPr>
            </w:pPr>
          </w:p>
        </w:tc>
        <w:tc>
          <w:tcPr>
            <w:tcW w:w="1453" w:type="dxa"/>
            <w:tcBorders>
              <w:left w:val="single" w:sz="12" w:space="0" w:color="000000"/>
              <w:bottom w:val="single" w:sz="12" w:space="0" w:color="000000"/>
            </w:tcBorders>
            <w:shd w:val="clear" w:color="auto" w:fill="auto"/>
            <w:vAlign w:val="center"/>
          </w:tcPr>
          <w:p w:rsidR="00E77899" w:rsidRPr="00814026" w:rsidRDefault="00EC208C" w:rsidP="00814026">
            <w:pPr>
              <w:jc w:val="center"/>
              <w:rPr>
                <w:b/>
                <w:sz w:val="22"/>
                <w:szCs w:val="24"/>
              </w:rPr>
            </w:pPr>
            <w:r w:rsidRPr="00814026">
              <w:rPr>
                <w:b/>
                <w:sz w:val="22"/>
                <w:szCs w:val="24"/>
              </w:rPr>
              <w:t>Number of Respondents</w:t>
            </w:r>
          </w:p>
        </w:tc>
        <w:tc>
          <w:tcPr>
            <w:tcW w:w="1453" w:type="dxa"/>
            <w:tcBorders>
              <w:bottom w:val="single" w:sz="12" w:space="0" w:color="000000"/>
            </w:tcBorders>
            <w:shd w:val="clear" w:color="auto" w:fill="auto"/>
            <w:vAlign w:val="center"/>
          </w:tcPr>
          <w:p w:rsidR="00E77899" w:rsidRPr="00814026" w:rsidRDefault="00EC208C" w:rsidP="00814026">
            <w:pPr>
              <w:jc w:val="center"/>
              <w:rPr>
                <w:b/>
                <w:sz w:val="22"/>
                <w:szCs w:val="24"/>
              </w:rPr>
            </w:pPr>
            <w:r w:rsidRPr="00814026">
              <w:rPr>
                <w:b/>
                <w:sz w:val="22"/>
                <w:szCs w:val="24"/>
              </w:rPr>
              <w:t>Number of Transactions</w:t>
            </w:r>
          </w:p>
        </w:tc>
        <w:tc>
          <w:tcPr>
            <w:tcW w:w="1453" w:type="dxa"/>
            <w:tcBorders>
              <w:bottom w:val="single" w:sz="12" w:space="0" w:color="000000"/>
            </w:tcBorders>
            <w:shd w:val="clear" w:color="auto" w:fill="auto"/>
            <w:vAlign w:val="center"/>
          </w:tcPr>
          <w:p w:rsidR="00E77899" w:rsidRPr="00814026" w:rsidRDefault="005E3361" w:rsidP="00814026">
            <w:pPr>
              <w:jc w:val="center"/>
              <w:rPr>
                <w:b/>
                <w:sz w:val="22"/>
                <w:szCs w:val="24"/>
              </w:rPr>
            </w:pPr>
            <w:r w:rsidRPr="00814026">
              <w:rPr>
                <w:b/>
                <w:sz w:val="22"/>
                <w:szCs w:val="24"/>
              </w:rPr>
              <w:t xml:space="preserve">Time </w:t>
            </w:r>
            <w:r w:rsidR="00EC208C" w:rsidRPr="00814026">
              <w:rPr>
                <w:b/>
                <w:sz w:val="22"/>
                <w:szCs w:val="24"/>
              </w:rPr>
              <w:t>Burden on Respondents (hours)</w:t>
            </w:r>
          </w:p>
        </w:tc>
        <w:tc>
          <w:tcPr>
            <w:tcW w:w="1726" w:type="dxa"/>
            <w:tcBorders>
              <w:bottom w:val="single" w:sz="12" w:space="0" w:color="000000"/>
            </w:tcBorders>
            <w:shd w:val="clear" w:color="auto" w:fill="auto"/>
            <w:vAlign w:val="center"/>
          </w:tcPr>
          <w:p w:rsidR="00E77899" w:rsidRPr="00814026" w:rsidRDefault="005E3361" w:rsidP="00814026">
            <w:pPr>
              <w:jc w:val="center"/>
              <w:rPr>
                <w:b/>
                <w:sz w:val="22"/>
                <w:szCs w:val="24"/>
              </w:rPr>
            </w:pPr>
            <w:r w:rsidRPr="00814026">
              <w:rPr>
                <w:b/>
                <w:sz w:val="22"/>
                <w:szCs w:val="24"/>
              </w:rPr>
              <w:t xml:space="preserve">Cost </w:t>
            </w:r>
            <w:r w:rsidR="00EC208C" w:rsidRPr="00814026">
              <w:rPr>
                <w:b/>
                <w:sz w:val="22"/>
                <w:szCs w:val="24"/>
              </w:rPr>
              <w:t>Burden on Respondents ($)</w:t>
            </w:r>
          </w:p>
        </w:tc>
        <w:tc>
          <w:tcPr>
            <w:tcW w:w="1746" w:type="dxa"/>
            <w:tcBorders>
              <w:bottom w:val="single" w:sz="12" w:space="0" w:color="000000"/>
            </w:tcBorders>
            <w:shd w:val="clear" w:color="auto" w:fill="auto"/>
            <w:vAlign w:val="center"/>
          </w:tcPr>
          <w:p w:rsidR="00E77899" w:rsidRPr="00814026" w:rsidRDefault="005E3361" w:rsidP="00814026">
            <w:pPr>
              <w:jc w:val="center"/>
              <w:rPr>
                <w:b/>
                <w:sz w:val="22"/>
                <w:szCs w:val="24"/>
              </w:rPr>
            </w:pPr>
            <w:r w:rsidRPr="00814026">
              <w:rPr>
                <w:b/>
                <w:sz w:val="22"/>
                <w:szCs w:val="24"/>
              </w:rPr>
              <w:t>Cost Burden on Federal Government</w:t>
            </w:r>
            <w:r w:rsidR="00E77899" w:rsidRPr="00814026">
              <w:rPr>
                <w:b/>
                <w:sz w:val="22"/>
                <w:szCs w:val="24"/>
              </w:rPr>
              <w:t xml:space="preserve"> ($)</w:t>
            </w:r>
          </w:p>
        </w:tc>
      </w:tr>
      <w:tr w:rsidR="00814026" w:rsidTr="00814026">
        <w:trPr>
          <w:trHeight w:val="255"/>
        </w:trPr>
        <w:tc>
          <w:tcPr>
            <w:tcW w:w="2107" w:type="dxa"/>
            <w:tcBorders>
              <w:top w:val="single" w:sz="12" w:space="0" w:color="000000"/>
              <w:left w:val="single" w:sz="12" w:space="0" w:color="000000"/>
              <w:bottom w:val="single" w:sz="6" w:space="0" w:color="000000"/>
              <w:right w:val="single" w:sz="12" w:space="0" w:color="000000"/>
            </w:tcBorders>
            <w:shd w:val="clear" w:color="auto" w:fill="auto"/>
            <w:vAlign w:val="center"/>
          </w:tcPr>
          <w:p w:rsidR="00365E35" w:rsidRPr="00814026" w:rsidRDefault="00365E35" w:rsidP="00814026">
            <w:pPr>
              <w:jc w:val="center"/>
              <w:rPr>
                <w:b/>
                <w:sz w:val="22"/>
                <w:szCs w:val="24"/>
              </w:rPr>
            </w:pPr>
            <w:r w:rsidRPr="00814026">
              <w:rPr>
                <w:b/>
                <w:sz w:val="22"/>
                <w:szCs w:val="24"/>
              </w:rPr>
              <w:t>Original Collection</w:t>
            </w:r>
          </w:p>
        </w:tc>
        <w:tc>
          <w:tcPr>
            <w:tcW w:w="1453" w:type="dxa"/>
            <w:tcBorders>
              <w:left w:val="single" w:sz="12" w:space="0" w:color="000000"/>
            </w:tcBorders>
            <w:shd w:val="clear" w:color="auto" w:fill="auto"/>
            <w:vAlign w:val="center"/>
          </w:tcPr>
          <w:p w:rsidR="00365E35" w:rsidRPr="00814026" w:rsidRDefault="00365E35" w:rsidP="00814026">
            <w:pPr>
              <w:jc w:val="center"/>
              <w:rPr>
                <w:sz w:val="22"/>
                <w:szCs w:val="24"/>
              </w:rPr>
            </w:pPr>
            <w:r w:rsidRPr="00814026">
              <w:rPr>
                <w:sz w:val="22"/>
                <w:szCs w:val="24"/>
              </w:rPr>
              <w:t>432</w:t>
            </w:r>
          </w:p>
        </w:tc>
        <w:tc>
          <w:tcPr>
            <w:tcW w:w="1453" w:type="dxa"/>
            <w:shd w:val="clear" w:color="auto" w:fill="auto"/>
            <w:vAlign w:val="center"/>
          </w:tcPr>
          <w:p w:rsidR="00365E35" w:rsidRPr="00814026" w:rsidRDefault="00365E35" w:rsidP="00814026">
            <w:pPr>
              <w:jc w:val="center"/>
              <w:rPr>
                <w:sz w:val="22"/>
                <w:szCs w:val="24"/>
              </w:rPr>
            </w:pPr>
            <w:r w:rsidRPr="00814026">
              <w:rPr>
                <w:sz w:val="22"/>
                <w:szCs w:val="24"/>
              </w:rPr>
              <w:t>340</w:t>
            </w:r>
          </w:p>
        </w:tc>
        <w:tc>
          <w:tcPr>
            <w:tcW w:w="1453" w:type="dxa"/>
            <w:shd w:val="clear" w:color="auto" w:fill="auto"/>
          </w:tcPr>
          <w:p w:rsidR="00365E35" w:rsidRPr="00814026" w:rsidRDefault="00365E35" w:rsidP="00814026">
            <w:pPr>
              <w:jc w:val="center"/>
              <w:rPr>
                <w:sz w:val="22"/>
                <w:szCs w:val="24"/>
              </w:rPr>
            </w:pPr>
            <w:r w:rsidRPr="00814026">
              <w:rPr>
                <w:sz w:val="22"/>
                <w:szCs w:val="24"/>
              </w:rPr>
              <w:t>60</w:t>
            </w:r>
          </w:p>
        </w:tc>
        <w:tc>
          <w:tcPr>
            <w:tcW w:w="1726" w:type="dxa"/>
            <w:shd w:val="clear" w:color="auto" w:fill="auto"/>
            <w:vAlign w:val="center"/>
          </w:tcPr>
          <w:p w:rsidR="00365E35" w:rsidRPr="00814026" w:rsidRDefault="00C971C7" w:rsidP="00814026">
            <w:pPr>
              <w:jc w:val="center"/>
              <w:rPr>
                <w:sz w:val="22"/>
                <w:szCs w:val="24"/>
                <w:highlight w:val="yellow"/>
              </w:rPr>
            </w:pPr>
            <w:r w:rsidRPr="00814026">
              <w:rPr>
                <w:sz w:val="22"/>
                <w:szCs w:val="24"/>
              </w:rPr>
              <w:t>1,398.33</w:t>
            </w:r>
          </w:p>
        </w:tc>
        <w:tc>
          <w:tcPr>
            <w:tcW w:w="1746" w:type="dxa"/>
            <w:shd w:val="clear" w:color="auto" w:fill="auto"/>
            <w:vAlign w:val="center"/>
          </w:tcPr>
          <w:p w:rsidR="00365E35" w:rsidRPr="00814026" w:rsidRDefault="00C971C7" w:rsidP="00814026">
            <w:pPr>
              <w:jc w:val="center"/>
              <w:rPr>
                <w:sz w:val="22"/>
                <w:szCs w:val="24"/>
                <w:highlight w:val="yellow"/>
              </w:rPr>
            </w:pPr>
            <w:r w:rsidRPr="00814026">
              <w:rPr>
                <w:sz w:val="22"/>
                <w:szCs w:val="24"/>
              </w:rPr>
              <w:t>6,364.85</w:t>
            </w:r>
          </w:p>
        </w:tc>
      </w:tr>
      <w:tr w:rsidR="00814026" w:rsidTr="00814026">
        <w:trPr>
          <w:trHeight w:val="271"/>
        </w:trPr>
        <w:tc>
          <w:tcPr>
            <w:tcW w:w="2107" w:type="dxa"/>
            <w:tcBorders>
              <w:top w:val="single" w:sz="6" w:space="0" w:color="000000"/>
              <w:left w:val="single" w:sz="12" w:space="0" w:color="000000"/>
              <w:bottom w:val="single" w:sz="6" w:space="0" w:color="000000"/>
              <w:right w:val="single" w:sz="12" w:space="0" w:color="000000"/>
            </w:tcBorders>
            <w:shd w:val="clear" w:color="auto" w:fill="auto"/>
            <w:vAlign w:val="center"/>
          </w:tcPr>
          <w:p w:rsidR="00365E35" w:rsidRPr="00814026" w:rsidRDefault="00365E35" w:rsidP="00814026">
            <w:pPr>
              <w:jc w:val="center"/>
              <w:rPr>
                <w:b/>
                <w:sz w:val="22"/>
                <w:szCs w:val="24"/>
              </w:rPr>
            </w:pPr>
            <w:r w:rsidRPr="00814026">
              <w:rPr>
                <w:b/>
                <w:sz w:val="22"/>
                <w:szCs w:val="24"/>
              </w:rPr>
              <w:t>Program Change</w:t>
            </w:r>
          </w:p>
        </w:tc>
        <w:tc>
          <w:tcPr>
            <w:tcW w:w="1453" w:type="dxa"/>
            <w:tcBorders>
              <w:left w:val="single" w:sz="12" w:space="0" w:color="000000"/>
            </w:tcBorders>
            <w:shd w:val="clear" w:color="auto" w:fill="auto"/>
            <w:vAlign w:val="center"/>
          </w:tcPr>
          <w:p w:rsidR="00365E35" w:rsidRPr="00814026" w:rsidRDefault="00365E35" w:rsidP="00814026">
            <w:pPr>
              <w:jc w:val="center"/>
              <w:rPr>
                <w:sz w:val="22"/>
                <w:szCs w:val="24"/>
              </w:rPr>
            </w:pPr>
            <w:r w:rsidRPr="00814026">
              <w:rPr>
                <w:sz w:val="22"/>
                <w:szCs w:val="24"/>
              </w:rPr>
              <w:t>N/A</w:t>
            </w:r>
            <w:r w:rsidRPr="00814026">
              <w:rPr>
                <w:rStyle w:val="FootnoteReference"/>
                <w:sz w:val="22"/>
                <w:szCs w:val="24"/>
              </w:rPr>
              <w:footnoteReference w:id="4"/>
            </w:r>
          </w:p>
        </w:tc>
        <w:tc>
          <w:tcPr>
            <w:tcW w:w="1453" w:type="dxa"/>
            <w:shd w:val="clear" w:color="auto" w:fill="auto"/>
            <w:vAlign w:val="center"/>
          </w:tcPr>
          <w:p w:rsidR="00365E35" w:rsidRPr="00814026" w:rsidRDefault="00352FC6" w:rsidP="00814026">
            <w:pPr>
              <w:jc w:val="center"/>
              <w:rPr>
                <w:sz w:val="22"/>
                <w:szCs w:val="24"/>
              </w:rPr>
            </w:pPr>
            <w:r w:rsidRPr="00814026">
              <w:rPr>
                <w:sz w:val="22"/>
                <w:szCs w:val="24"/>
              </w:rPr>
              <w:t>-</w:t>
            </w:r>
            <w:r w:rsidR="00365E35" w:rsidRPr="00814026">
              <w:rPr>
                <w:sz w:val="22"/>
                <w:szCs w:val="24"/>
              </w:rPr>
              <w:t>124</w:t>
            </w:r>
          </w:p>
        </w:tc>
        <w:tc>
          <w:tcPr>
            <w:tcW w:w="1453" w:type="dxa"/>
            <w:shd w:val="clear" w:color="auto" w:fill="auto"/>
          </w:tcPr>
          <w:p w:rsidR="00365E35" w:rsidRPr="00814026" w:rsidRDefault="00352FC6" w:rsidP="00814026">
            <w:pPr>
              <w:jc w:val="center"/>
              <w:rPr>
                <w:sz w:val="22"/>
                <w:szCs w:val="24"/>
              </w:rPr>
            </w:pPr>
            <w:r w:rsidRPr="00814026">
              <w:rPr>
                <w:sz w:val="22"/>
                <w:szCs w:val="24"/>
              </w:rPr>
              <w:t>-</w:t>
            </w:r>
            <w:r w:rsidR="00365E35" w:rsidRPr="00814026">
              <w:rPr>
                <w:sz w:val="22"/>
                <w:szCs w:val="24"/>
              </w:rPr>
              <w:t>24</w:t>
            </w:r>
          </w:p>
        </w:tc>
        <w:tc>
          <w:tcPr>
            <w:tcW w:w="1726" w:type="dxa"/>
            <w:shd w:val="clear" w:color="auto" w:fill="auto"/>
            <w:vAlign w:val="center"/>
          </w:tcPr>
          <w:p w:rsidR="00365E35" w:rsidRPr="00814026" w:rsidRDefault="00352FC6" w:rsidP="00814026">
            <w:pPr>
              <w:jc w:val="center"/>
              <w:rPr>
                <w:sz w:val="22"/>
                <w:szCs w:val="24"/>
                <w:highlight w:val="yellow"/>
              </w:rPr>
            </w:pPr>
            <w:r w:rsidRPr="00814026">
              <w:rPr>
                <w:sz w:val="22"/>
                <w:szCs w:val="24"/>
              </w:rPr>
              <w:t>-</w:t>
            </w:r>
            <w:r w:rsidR="00C971C7" w:rsidRPr="00814026">
              <w:rPr>
                <w:sz w:val="22"/>
                <w:szCs w:val="24"/>
              </w:rPr>
              <w:t>184.41</w:t>
            </w:r>
          </w:p>
        </w:tc>
        <w:tc>
          <w:tcPr>
            <w:tcW w:w="1746" w:type="dxa"/>
            <w:shd w:val="clear" w:color="auto" w:fill="auto"/>
            <w:vAlign w:val="center"/>
          </w:tcPr>
          <w:p w:rsidR="00365E35" w:rsidRPr="00814026" w:rsidRDefault="00352FC6" w:rsidP="00814026">
            <w:pPr>
              <w:jc w:val="center"/>
              <w:rPr>
                <w:sz w:val="22"/>
                <w:szCs w:val="24"/>
                <w:highlight w:val="yellow"/>
              </w:rPr>
            </w:pPr>
            <w:r w:rsidRPr="00814026">
              <w:rPr>
                <w:sz w:val="22"/>
                <w:szCs w:val="24"/>
              </w:rPr>
              <w:t>-</w:t>
            </w:r>
            <w:r w:rsidR="00C971C7" w:rsidRPr="00814026">
              <w:rPr>
                <w:sz w:val="22"/>
                <w:szCs w:val="24"/>
              </w:rPr>
              <w:t>4,503.04</w:t>
            </w:r>
          </w:p>
        </w:tc>
      </w:tr>
      <w:tr w:rsidR="00814026" w:rsidTr="00814026">
        <w:trPr>
          <w:trHeight w:val="271"/>
        </w:trPr>
        <w:tc>
          <w:tcPr>
            <w:tcW w:w="2107" w:type="dxa"/>
            <w:tcBorders>
              <w:top w:val="single" w:sz="6" w:space="0" w:color="000000"/>
              <w:left w:val="single" w:sz="12" w:space="0" w:color="000000"/>
              <w:bottom w:val="single" w:sz="6" w:space="0" w:color="000000"/>
              <w:right w:val="single" w:sz="12" w:space="0" w:color="000000"/>
            </w:tcBorders>
            <w:shd w:val="clear" w:color="auto" w:fill="auto"/>
            <w:vAlign w:val="center"/>
          </w:tcPr>
          <w:p w:rsidR="00365E35" w:rsidRPr="00814026" w:rsidRDefault="00365E35" w:rsidP="00814026">
            <w:pPr>
              <w:jc w:val="center"/>
              <w:rPr>
                <w:b/>
                <w:sz w:val="22"/>
                <w:szCs w:val="24"/>
              </w:rPr>
            </w:pPr>
            <w:r w:rsidRPr="00814026">
              <w:rPr>
                <w:b/>
                <w:sz w:val="22"/>
                <w:szCs w:val="24"/>
              </w:rPr>
              <w:t>Adjustment</w:t>
            </w:r>
          </w:p>
        </w:tc>
        <w:tc>
          <w:tcPr>
            <w:tcW w:w="1453" w:type="dxa"/>
            <w:tcBorders>
              <w:left w:val="single" w:sz="12" w:space="0" w:color="000000"/>
            </w:tcBorders>
            <w:shd w:val="clear" w:color="auto" w:fill="auto"/>
            <w:vAlign w:val="center"/>
          </w:tcPr>
          <w:p w:rsidR="00365E35" w:rsidRPr="00814026" w:rsidRDefault="00352FC6" w:rsidP="00814026">
            <w:pPr>
              <w:jc w:val="center"/>
              <w:rPr>
                <w:sz w:val="22"/>
                <w:szCs w:val="24"/>
              </w:rPr>
            </w:pPr>
            <w:r w:rsidRPr="00814026">
              <w:rPr>
                <w:sz w:val="22"/>
                <w:szCs w:val="24"/>
              </w:rPr>
              <w:t>-</w:t>
            </w:r>
            <w:r w:rsidR="00365E35" w:rsidRPr="00814026">
              <w:rPr>
                <w:sz w:val="22"/>
                <w:szCs w:val="24"/>
              </w:rPr>
              <w:t>228</w:t>
            </w:r>
          </w:p>
        </w:tc>
        <w:tc>
          <w:tcPr>
            <w:tcW w:w="1453" w:type="dxa"/>
            <w:shd w:val="clear" w:color="auto" w:fill="auto"/>
            <w:vAlign w:val="center"/>
          </w:tcPr>
          <w:p w:rsidR="00365E35" w:rsidRPr="00814026" w:rsidRDefault="00352FC6" w:rsidP="00814026">
            <w:pPr>
              <w:jc w:val="center"/>
              <w:rPr>
                <w:sz w:val="22"/>
                <w:szCs w:val="24"/>
              </w:rPr>
            </w:pPr>
            <w:r w:rsidRPr="00814026">
              <w:rPr>
                <w:sz w:val="22"/>
                <w:szCs w:val="24"/>
              </w:rPr>
              <w:t>-</w:t>
            </w:r>
            <w:r w:rsidR="00365E35" w:rsidRPr="00814026">
              <w:rPr>
                <w:sz w:val="22"/>
                <w:szCs w:val="24"/>
              </w:rPr>
              <w:t>114</w:t>
            </w:r>
          </w:p>
        </w:tc>
        <w:tc>
          <w:tcPr>
            <w:tcW w:w="1453" w:type="dxa"/>
            <w:shd w:val="clear" w:color="auto" w:fill="auto"/>
          </w:tcPr>
          <w:p w:rsidR="00365E35" w:rsidRPr="00814026" w:rsidRDefault="00352FC6" w:rsidP="00814026">
            <w:pPr>
              <w:jc w:val="center"/>
              <w:rPr>
                <w:sz w:val="22"/>
                <w:szCs w:val="24"/>
              </w:rPr>
            </w:pPr>
            <w:r w:rsidRPr="00814026">
              <w:rPr>
                <w:sz w:val="22"/>
                <w:szCs w:val="24"/>
              </w:rPr>
              <w:t>-</w:t>
            </w:r>
            <w:r w:rsidR="00365E35" w:rsidRPr="00814026">
              <w:rPr>
                <w:sz w:val="22"/>
                <w:szCs w:val="24"/>
              </w:rPr>
              <w:t>19</w:t>
            </w:r>
          </w:p>
        </w:tc>
        <w:tc>
          <w:tcPr>
            <w:tcW w:w="1726" w:type="dxa"/>
            <w:shd w:val="clear" w:color="auto" w:fill="auto"/>
            <w:vAlign w:val="center"/>
          </w:tcPr>
          <w:p w:rsidR="00365E35" w:rsidRPr="00814026" w:rsidRDefault="00352FC6" w:rsidP="00814026">
            <w:pPr>
              <w:jc w:val="center"/>
              <w:rPr>
                <w:sz w:val="22"/>
                <w:szCs w:val="24"/>
                <w:highlight w:val="yellow"/>
              </w:rPr>
            </w:pPr>
            <w:r w:rsidRPr="00814026">
              <w:rPr>
                <w:sz w:val="22"/>
                <w:szCs w:val="24"/>
              </w:rPr>
              <w:t>-</w:t>
            </w:r>
            <w:r w:rsidR="00C971C7" w:rsidRPr="00814026">
              <w:rPr>
                <w:sz w:val="22"/>
                <w:szCs w:val="24"/>
              </w:rPr>
              <w:t>722.28</w:t>
            </w:r>
          </w:p>
        </w:tc>
        <w:tc>
          <w:tcPr>
            <w:tcW w:w="1746" w:type="dxa"/>
            <w:shd w:val="clear" w:color="auto" w:fill="auto"/>
            <w:vAlign w:val="center"/>
          </w:tcPr>
          <w:p w:rsidR="00365E35" w:rsidRPr="00814026" w:rsidRDefault="00352FC6" w:rsidP="00814026">
            <w:pPr>
              <w:jc w:val="center"/>
              <w:rPr>
                <w:sz w:val="22"/>
                <w:szCs w:val="24"/>
                <w:highlight w:val="yellow"/>
              </w:rPr>
            </w:pPr>
            <w:r w:rsidRPr="00814026">
              <w:rPr>
                <w:sz w:val="22"/>
                <w:szCs w:val="24"/>
              </w:rPr>
              <w:t>-</w:t>
            </w:r>
            <w:r w:rsidR="00EA57A0" w:rsidRPr="00814026">
              <w:rPr>
                <w:sz w:val="22"/>
                <w:szCs w:val="24"/>
              </w:rPr>
              <w:t>954.25</w:t>
            </w:r>
          </w:p>
        </w:tc>
      </w:tr>
      <w:tr w:rsidR="00814026" w:rsidTr="00814026">
        <w:trPr>
          <w:trHeight w:val="271"/>
        </w:trPr>
        <w:tc>
          <w:tcPr>
            <w:tcW w:w="2107" w:type="dxa"/>
            <w:tcBorders>
              <w:top w:val="single" w:sz="6" w:space="0" w:color="000000"/>
              <w:left w:val="single" w:sz="12" w:space="0" w:color="000000"/>
              <w:bottom w:val="single" w:sz="12" w:space="0" w:color="000000"/>
              <w:right w:val="single" w:sz="12" w:space="0" w:color="000000"/>
            </w:tcBorders>
            <w:shd w:val="clear" w:color="auto" w:fill="auto"/>
            <w:vAlign w:val="center"/>
          </w:tcPr>
          <w:p w:rsidR="00365E35" w:rsidRPr="00814026" w:rsidRDefault="00365E35" w:rsidP="00814026">
            <w:pPr>
              <w:jc w:val="center"/>
              <w:rPr>
                <w:b/>
                <w:sz w:val="22"/>
                <w:szCs w:val="24"/>
              </w:rPr>
            </w:pPr>
            <w:r w:rsidRPr="00814026">
              <w:rPr>
                <w:b/>
                <w:sz w:val="22"/>
                <w:szCs w:val="24"/>
              </w:rPr>
              <w:t>Current Collection</w:t>
            </w:r>
          </w:p>
        </w:tc>
        <w:tc>
          <w:tcPr>
            <w:tcW w:w="1453" w:type="dxa"/>
            <w:tcBorders>
              <w:left w:val="single" w:sz="12" w:space="0" w:color="000000"/>
            </w:tcBorders>
            <w:shd w:val="clear" w:color="auto" w:fill="auto"/>
            <w:vAlign w:val="center"/>
          </w:tcPr>
          <w:p w:rsidR="00365E35" w:rsidRPr="00814026" w:rsidRDefault="00365E35" w:rsidP="00814026">
            <w:pPr>
              <w:jc w:val="center"/>
              <w:rPr>
                <w:b/>
                <w:sz w:val="22"/>
                <w:szCs w:val="24"/>
              </w:rPr>
            </w:pPr>
            <w:r w:rsidRPr="00814026">
              <w:rPr>
                <w:b/>
                <w:sz w:val="22"/>
                <w:szCs w:val="24"/>
              </w:rPr>
              <w:t>204</w:t>
            </w:r>
          </w:p>
        </w:tc>
        <w:tc>
          <w:tcPr>
            <w:tcW w:w="1453" w:type="dxa"/>
            <w:shd w:val="clear" w:color="auto" w:fill="auto"/>
            <w:vAlign w:val="center"/>
          </w:tcPr>
          <w:p w:rsidR="00365E35" w:rsidRPr="00814026" w:rsidRDefault="00365E35" w:rsidP="00814026">
            <w:pPr>
              <w:jc w:val="center"/>
              <w:rPr>
                <w:b/>
                <w:sz w:val="22"/>
                <w:szCs w:val="24"/>
              </w:rPr>
            </w:pPr>
            <w:r w:rsidRPr="00814026">
              <w:rPr>
                <w:b/>
                <w:sz w:val="22"/>
                <w:szCs w:val="24"/>
              </w:rPr>
              <w:t>102</w:t>
            </w:r>
          </w:p>
        </w:tc>
        <w:tc>
          <w:tcPr>
            <w:tcW w:w="1453" w:type="dxa"/>
            <w:shd w:val="clear" w:color="auto" w:fill="auto"/>
            <w:vAlign w:val="center"/>
          </w:tcPr>
          <w:p w:rsidR="00365E35" w:rsidRPr="00814026" w:rsidRDefault="00365E35" w:rsidP="00814026">
            <w:pPr>
              <w:jc w:val="center"/>
              <w:rPr>
                <w:b/>
                <w:sz w:val="22"/>
                <w:szCs w:val="24"/>
                <w:highlight w:val="yellow"/>
              </w:rPr>
            </w:pPr>
            <w:r w:rsidRPr="00814026">
              <w:rPr>
                <w:b/>
                <w:sz w:val="22"/>
                <w:szCs w:val="24"/>
              </w:rPr>
              <w:t>17</w:t>
            </w:r>
          </w:p>
        </w:tc>
        <w:tc>
          <w:tcPr>
            <w:tcW w:w="1726" w:type="dxa"/>
            <w:shd w:val="clear" w:color="auto" w:fill="auto"/>
            <w:vAlign w:val="center"/>
          </w:tcPr>
          <w:p w:rsidR="00365E35" w:rsidRPr="00814026" w:rsidRDefault="00C971C7" w:rsidP="00814026">
            <w:pPr>
              <w:jc w:val="center"/>
              <w:rPr>
                <w:b/>
                <w:sz w:val="22"/>
                <w:szCs w:val="24"/>
                <w:highlight w:val="yellow"/>
              </w:rPr>
            </w:pPr>
            <w:r w:rsidRPr="00814026">
              <w:rPr>
                <w:b/>
                <w:sz w:val="22"/>
                <w:szCs w:val="24"/>
              </w:rPr>
              <w:t>491.64</w:t>
            </w:r>
          </w:p>
        </w:tc>
        <w:tc>
          <w:tcPr>
            <w:tcW w:w="1746" w:type="dxa"/>
            <w:shd w:val="clear" w:color="auto" w:fill="auto"/>
            <w:vAlign w:val="center"/>
          </w:tcPr>
          <w:p w:rsidR="00365E35" w:rsidRPr="00814026" w:rsidRDefault="00D73A3C" w:rsidP="00814026">
            <w:pPr>
              <w:jc w:val="center"/>
              <w:rPr>
                <w:b/>
                <w:sz w:val="22"/>
                <w:szCs w:val="24"/>
                <w:highlight w:val="yellow"/>
              </w:rPr>
            </w:pPr>
            <w:r w:rsidRPr="00814026">
              <w:rPr>
                <w:b/>
                <w:sz w:val="22"/>
                <w:szCs w:val="24"/>
              </w:rPr>
              <w:t>907.56</w:t>
            </w:r>
          </w:p>
        </w:tc>
      </w:tr>
    </w:tbl>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4F26E9" w:rsidRDefault="00BE7CD4">
      <w:pPr>
        <w:rPr>
          <w:sz w:val="24"/>
          <w:szCs w:val="24"/>
        </w:rPr>
      </w:pPr>
      <w:r w:rsidRPr="001544D9">
        <w:rPr>
          <w:sz w:val="24"/>
          <w:szCs w:val="24"/>
        </w:rPr>
        <w:t xml:space="preserve">There are no plans to use any of the </w:t>
      </w:r>
      <w:r w:rsidR="005F0206">
        <w:rPr>
          <w:sz w:val="24"/>
          <w:szCs w:val="24"/>
        </w:rPr>
        <w:t xml:space="preserve">trap transfer application data </w:t>
      </w:r>
      <w:r w:rsidRPr="001544D9">
        <w:rPr>
          <w:sz w:val="24"/>
          <w:szCs w:val="24"/>
        </w:rPr>
        <w:t xml:space="preserve">provided to the Federal government through this </w:t>
      </w:r>
      <w:r w:rsidR="005F0206">
        <w:rPr>
          <w:sz w:val="24"/>
          <w:szCs w:val="24"/>
        </w:rPr>
        <w:t>information</w:t>
      </w:r>
      <w:r w:rsidRPr="001544D9">
        <w:rPr>
          <w:sz w:val="24"/>
          <w:szCs w:val="24"/>
        </w:rPr>
        <w:t xml:space="preserve"> collection for publication.  </w:t>
      </w:r>
      <w:r w:rsidR="005F0206">
        <w:rPr>
          <w:sz w:val="24"/>
          <w:szCs w:val="24"/>
        </w:rPr>
        <w:t>However, t</w:t>
      </w:r>
      <w:r w:rsidR="001544D9" w:rsidRPr="00F17834">
        <w:rPr>
          <w:sz w:val="24"/>
          <w:szCs w:val="24"/>
        </w:rPr>
        <w:t xml:space="preserve">he information </w:t>
      </w:r>
      <w:r w:rsidR="005F0206">
        <w:rPr>
          <w:sz w:val="24"/>
          <w:szCs w:val="24"/>
        </w:rPr>
        <w:t>is</w:t>
      </w:r>
      <w:r w:rsidRPr="00F17834">
        <w:rPr>
          <w:sz w:val="24"/>
          <w:szCs w:val="24"/>
        </w:rPr>
        <w:t xml:space="preserve"> ma</w:t>
      </w:r>
      <w:r w:rsidR="00F17834">
        <w:rPr>
          <w:sz w:val="24"/>
          <w:szCs w:val="24"/>
        </w:rPr>
        <w:t xml:space="preserve">de available to state agencies </w:t>
      </w:r>
      <w:r w:rsidRPr="00F17834">
        <w:rPr>
          <w:sz w:val="24"/>
          <w:szCs w:val="24"/>
        </w:rPr>
        <w:t>to track and facilitate trap transfers</w:t>
      </w:r>
      <w:r w:rsidR="00F17834">
        <w:rPr>
          <w:sz w:val="24"/>
          <w:szCs w:val="24"/>
        </w:rPr>
        <w:t>,</w:t>
      </w:r>
      <w:r w:rsidRPr="00F17834">
        <w:rPr>
          <w:sz w:val="24"/>
          <w:szCs w:val="24"/>
        </w:rPr>
        <w:t xml:space="preserve"> </w:t>
      </w:r>
      <w:r w:rsidR="00F17834">
        <w:rPr>
          <w:sz w:val="24"/>
          <w:szCs w:val="24"/>
        </w:rPr>
        <w:t xml:space="preserve">and manage state and Federal trap allocations </w:t>
      </w:r>
      <w:r w:rsidR="00F17834" w:rsidRPr="00F17834">
        <w:rPr>
          <w:sz w:val="24"/>
          <w:szCs w:val="24"/>
        </w:rPr>
        <w:t>for eco</w:t>
      </w:r>
      <w:r w:rsidR="00F17834">
        <w:rPr>
          <w:sz w:val="24"/>
          <w:szCs w:val="24"/>
        </w:rPr>
        <w:t xml:space="preserve">nomic and conservation purposes. </w:t>
      </w:r>
      <w:r w:rsidR="00DB41E7">
        <w:rPr>
          <w:sz w:val="24"/>
          <w:szCs w:val="24"/>
        </w:rPr>
        <w:t xml:space="preserve"> </w:t>
      </w:r>
      <w:r w:rsidR="00F17834">
        <w:rPr>
          <w:sz w:val="24"/>
          <w:szCs w:val="24"/>
        </w:rPr>
        <w:t xml:space="preserve">Updated trap allocation data </w:t>
      </w:r>
      <w:r w:rsidR="00F33A23">
        <w:rPr>
          <w:sz w:val="24"/>
          <w:szCs w:val="24"/>
        </w:rPr>
        <w:t>is</w:t>
      </w:r>
      <w:r w:rsidR="00F17834">
        <w:rPr>
          <w:sz w:val="24"/>
          <w:szCs w:val="24"/>
        </w:rPr>
        <w:t xml:space="preserve"> made available annually online to help facilitate the trap transfer process</w:t>
      </w:r>
      <w:r w:rsidR="005F0206">
        <w:rPr>
          <w:sz w:val="24"/>
          <w:szCs w:val="24"/>
        </w:rPr>
        <w:t>, and may be needed in the future to support program enforcement or relevant fishery management actions</w:t>
      </w:r>
      <w:r w:rsidR="00F17834">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0D7172" w:rsidRDefault="000D7172">
      <w:pPr>
        <w:rPr>
          <w:sz w:val="24"/>
          <w:szCs w:val="24"/>
        </w:rPr>
      </w:pPr>
      <w:r w:rsidRPr="000D7172">
        <w:rPr>
          <w:sz w:val="24"/>
          <w:szCs w:val="24"/>
        </w:rPr>
        <w:t>Not Applicable</w:t>
      </w:r>
      <w:r>
        <w:rPr>
          <w:sz w:val="24"/>
          <w:szCs w:val="24"/>
        </w:rPr>
        <w:t>.</w:t>
      </w:r>
    </w:p>
    <w:p w:rsidR="004F26E9" w:rsidRDefault="004F26E9">
      <w:pPr>
        <w:rPr>
          <w:sz w:val="24"/>
          <w:szCs w:val="24"/>
        </w:rPr>
      </w:pPr>
    </w:p>
    <w:p w:rsidR="004F26E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F72BF3" w:rsidRPr="00A52249" w:rsidRDefault="00F72BF3">
      <w:pPr>
        <w:rPr>
          <w:b/>
          <w:bCs/>
          <w:sz w:val="24"/>
          <w:szCs w:val="24"/>
        </w:rPr>
      </w:pPr>
    </w:p>
    <w:p w:rsidR="004F26E9" w:rsidRDefault="00F72BF3">
      <w:pPr>
        <w:rPr>
          <w:sz w:val="24"/>
          <w:szCs w:val="24"/>
        </w:rPr>
      </w:pPr>
      <w:r w:rsidRPr="00F72BF3">
        <w:rPr>
          <w:sz w:val="24"/>
          <w:szCs w:val="24"/>
        </w:rPr>
        <w:t>Not Applicable</w:t>
      </w:r>
      <w:r w:rsidR="000D7172">
        <w:rPr>
          <w:sz w:val="24"/>
          <w:szCs w:val="24"/>
        </w:rPr>
        <w:t>.</w:t>
      </w:r>
    </w:p>
    <w:p w:rsidR="004F26E9" w:rsidRDefault="004F26E9">
      <w:pPr>
        <w:rPr>
          <w:sz w:val="24"/>
          <w:szCs w:val="24"/>
        </w:rPr>
      </w:pPr>
    </w:p>
    <w:p w:rsidR="00CB3C0C" w:rsidRDefault="00CB3C0C">
      <w:pPr>
        <w:rPr>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004F26E9" w:rsidRDefault="00490C2D">
      <w:pPr>
        <w:rPr>
          <w:sz w:val="24"/>
          <w:szCs w:val="24"/>
        </w:rPr>
      </w:pPr>
      <w:r w:rsidRPr="00490C2D">
        <w:rPr>
          <w:sz w:val="24"/>
          <w:szCs w:val="24"/>
        </w:rPr>
        <w:t>No statistical methods will be employed for the purposes of this information collection requirement.</w:t>
      </w:r>
    </w:p>
    <w:sectPr w:rsidR="004F26E9">
      <w:footerReference w:type="default" r:id="rId11"/>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026" w:rsidRDefault="00814026">
      <w:r>
        <w:separator/>
      </w:r>
    </w:p>
  </w:endnote>
  <w:endnote w:type="continuationSeparator" w:id="0">
    <w:p w:rsidR="00814026" w:rsidRDefault="0081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1C1" w:rsidRDefault="00F761C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44579">
      <w:rPr>
        <w:rStyle w:val="PageNumber"/>
        <w:noProof/>
        <w:sz w:val="24"/>
        <w:szCs w:val="24"/>
      </w:rPr>
      <w:t>7</w:t>
    </w:r>
    <w:r>
      <w:rPr>
        <w:rStyle w:val="PageNumber"/>
        <w:sz w:val="24"/>
        <w:szCs w:val="24"/>
      </w:rPr>
      <w:fldChar w:fldCharType="end"/>
    </w:r>
  </w:p>
  <w:p w:rsidR="00F761C1" w:rsidRDefault="00F76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026" w:rsidRDefault="00814026">
      <w:r>
        <w:separator/>
      </w:r>
    </w:p>
  </w:footnote>
  <w:footnote w:type="continuationSeparator" w:id="0">
    <w:p w:rsidR="00814026" w:rsidRDefault="00814026">
      <w:r>
        <w:continuationSeparator/>
      </w:r>
    </w:p>
  </w:footnote>
  <w:footnote w:id="1">
    <w:p w:rsidR="00F761C1" w:rsidRDefault="00F761C1">
      <w:pPr>
        <w:pStyle w:val="FootnoteText"/>
      </w:pPr>
      <w:r>
        <w:rPr>
          <w:rStyle w:val="FootnoteReference"/>
        </w:rPr>
        <w:footnoteRef/>
      </w:r>
      <w:r w:rsidRPr="00563C32">
        <w:t xml:space="preserve">This figure is based on the total number of qualifiers for the three areas:  Area 2 = </w:t>
      </w:r>
      <w:r>
        <w:t>190</w:t>
      </w:r>
      <w:r w:rsidRPr="00563C32">
        <w:t>; Area 3</w:t>
      </w:r>
      <w:r>
        <w:t xml:space="preserve"> </w:t>
      </w:r>
      <w:r w:rsidRPr="00563C32">
        <w:t>=</w:t>
      </w:r>
      <w:r>
        <w:t xml:space="preserve"> 132; </w:t>
      </w:r>
      <w:r w:rsidRPr="00563C32">
        <w:t>Outer Cape</w:t>
      </w:r>
      <w:r>
        <w:t xml:space="preserve"> Area</w:t>
      </w:r>
      <w:r w:rsidRPr="00563C32">
        <w:t xml:space="preserve"> =</w:t>
      </w:r>
      <w:r>
        <w:t xml:space="preserve"> 19</w:t>
      </w:r>
      <w:r w:rsidRPr="00563C32">
        <w:t xml:space="preserve">; </w:t>
      </w:r>
      <w:r w:rsidR="00C32916">
        <w:t xml:space="preserve">190 + 132 + 19 = 341; </w:t>
      </w:r>
      <w:r w:rsidRPr="00C32916">
        <w:rPr>
          <w:b/>
        </w:rPr>
        <w:t>Total = 341 X 0.25= 86</w:t>
      </w:r>
      <w:r>
        <w:t>.</w:t>
      </w:r>
    </w:p>
  </w:footnote>
  <w:footnote w:id="2">
    <w:p w:rsidR="00EE1E2B" w:rsidRDefault="00EE1E2B">
      <w:pPr>
        <w:pStyle w:val="FootnoteText"/>
      </w:pPr>
      <w:r>
        <w:rPr>
          <w:rStyle w:val="FootnoteReference"/>
        </w:rPr>
        <w:footnoteRef/>
      </w:r>
      <w:r>
        <w:t xml:space="preserve"> There has been some evidence of permit holders with CPH </w:t>
      </w:r>
      <w:r w:rsidR="00B570F5">
        <w:t xml:space="preserve">permits </w:t>
      </w:r>
      <w:r w:rsidRPr="00B570F5">
        <w:rPr>
          <w:i/>
        </w:rPr>
        <w:t>selling</w:t>
      </w:r>
      <w:r>
        <w:t xml:space="preserve"> trap</w:t>
      </w:r>
      <w:r w:rsidR="00B570F5">
        <w:t>s</w:t>
      </w:r>
      <w:r>
        <w:t xml:space="preserve"> through the T</w:t>
      </w:r>
      <w:r w:rsidR="00B570F5">
        <w:t>rap Transfer Program, but these are individuals that already have allocation Areas 2, 3, or OC, and would not need to “buy in.”</w:t>
      </w:r>
    </w:p>
  </w:footnote>
  <w:footnote w:id="3">
    <w:p w:rsidR="007A2CAA" w:rsidRDefault="007A2CAA">
      <w:pPr>
        <w:pStyle w:val="FootnoteText"/>
      </w:pPr>
      <w:r>
        <w:rPr>
          <w:rStyle w:val="FootnoteReference"/>
        </w:rPr>
        <w:footnoteRef/>
      </w:r>
      <w:r>
        <w:t xml:space="preserve"> Total cost based on the cost per transaction, rather than burden hours: $7.58 X 102 = $773.16</w:t>
      </w:r>
    </w:p>
  </w:footnote>
  <w:footnote w:id="4">
    <w:p w:rsidR="00365E35" w:rsidRDefault="00365E35">
      <w:pPr>
        <w:pStyle w:val="FootnoteText"/>
      </w:pPr>
      <w:r>
        <w:rPr>
          <w:rStyle w:val="FootnoteReference"/>
        </w:rPr>
        <w:footnoteRef/>
      </w:r>
      <w:r>
        <w:t xml:space="preserve"> Permit holders involved in Limited Access Program overlap with those in Trap Transfer program. For “true” difference you can refer to the “Number of Transactions” or the same respondents affected by the Adjustment.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6E9"/>
    <w:rsid w:val="000011F6"/>
    <w:rsid w:val="0000337A"/>
    <w:rsid w:val="00003693"/>
    <w:rsid w:val="00005586"/>
    <w:rsid w:val="00007ED5"/>
    <w:rsid w:val="00011DE4"/>
    <w:rsid w:val="000157D1"/>
    <w:rsid w:val="000207EC"/>
    <w:rsid w:val="00021957"/>
    <w:rsid w:val="00022C3B"/>
    <w:rsid w:val="00027A31"/>
    <w:rsid w:val="00032A33"/>
    <w:rsid w:val="000428E3"/>
    <w:rsid w:val="00043B50"/>
    <w:rsid w:val="00050138"/>
    <w:rsid w:val="00054285"/>
    <w:rsid w:val="000722D5"/>
    <w:rsid w:val="0007413F"/>
    <w:rsid w:val="00074C99"/>
    <w:rsid w:val="00087E1F"/>
    <w:rsid w:val="000914E5"/>
    <w:rsid w:val="000A24B5"/>
    <w:rsid w:val="000A3BD2"/>
    <w:rsid w:val="000A405F"/>
    <w:rsid w:val="000A6C31"/>
    <w:rsid w:val="000B0233"/>
    <w:rsid w:val="000B2FC8"/>
    <w:rsid w:val="000C12C0"/>
    <w:rsid w:val="000C7BF5"/>
    <w:rsid w:val="000D3F4A"/>
    <w:rsid w:val="000D7172"/>
    <w:rsid w:val="000E272C"/>
    <w:rsid w:val="000E4C63"/>
    <w:rsid w:val="000F013B"/>
    <w:rsid w:val="000F2FEE"/>
    <w:rsid w:val="000F7FF4"/>
    <w:rsid w:val="00104A75"/>
    <w:rsid w:val="0010776A"/>
    <w:rsid w:val="00107F5D"/>
    <w:rsid w:val="001116EE"/>
    <w:rsid w:val="00122D12"/>
    <w:rsid w:val="0012442F"/>
    <w:rsid w:val="00124E89"/>
    <w:rsid w:val="001277E0"/>
    <w:rsid w:val="00127E93"/>
    <w:rsid w:val="00131F85"/>
    <w:rsid w:val="0013320D"/>
    <w:rsid w:val="0014392D"/>
    <w:rsid w:val="00153710"/>
    <w:rsid w:val="001544D9"/>
    <w:rsid w:val="00156F12"/>
    <w:rsid w:val="00161A92"/>
    <w:rsid w:val="001636B8"/>
    <w:rsid w:val="00166D5C"/>
    <w:rsid w:val="00170A3D"/>
    <w:rsid w:val="00171ABF"/>
    <w:rsid w:val="0017530D"/>
    <w:rsid w:val="00175636"/>
    <w:rsid w:val="001816FA"/>
    <w:rsid w:val="00183C26"/>
    <w:rsid w:val="0019280A"/>
    <w:rsid w:val="00193D77"/>
    <w:rsid w:val="001972E5"/>
    <w:rsid w:val="001A68BE"/>
    <w:rsid w:val="001C09BC"/>
    <w:rsid w:val="001C6064"/>
    <w:rsid w:val="001D1344"/>
    <w:rsid w:val="001D509D"/>
    <w:rsid w:val="001D6C77"/>
    <w:rsid w:val="001D7522"/>
    <w:rsid w:val="001E2438"/>
    <w:rsid w:val="001E3547"/>
    <w:rsid w:val="001E682D"/>
    <w:rsid w:val="001E6F72"/>
    <w:rsid w:val="00206B48"/>
    <w:rsid w:val="002075F7"/>
    <w:rsid w:val="002210DF"/>
    <w:rsid w:val="00221BCC"/>
    <w:rsid w:val="0023033D"/>
    <w:rsid w:val="00233E06"/>
    <w:rsid w:val="00234555"/>
    <w:rsid w:val="00234D4A"/>
    <w:rsid w:val="00244F8E"/>
    <w:rsid w:val="00256E59"/>
    <w:rsid w:val="00256F20"/>
    <w:rsid w:val="00257777"/>
    <w:rsid w:val="00260A7E"/>
    <w:rsid w:val="00261082"/>
    <w:rsid w:val="00261F48"/>
    <w:rsid w:val="00265D5A"/>
    <w:rsid w:val="00292454"/>
    <w:rsid w:val="0029492A"/>
    <w:rsid w:val="002A1B5C"/>
    <w:rsid w:val="002B08D6"/>
    <w:rsid w:val="002C09BE"/>
    <w:rsid w:val="002D316B"/>
    <w:rsid w:val="002D5DB8"/>
    <w:rsid w:val="002D6064"/>
    <w:rsid w:val="002E0F39"/>
    <w:rsid w:val="0030092D"/>
    <w:rsid w:val="00300D03"/>
    <w:rsid w:val="00303A94"/>
    <w:rsid w:val="00315A5B"/>
    <w:rsid w:val="00324488"/>
    <w:rsid w:val="00324BC4"/>
    <w:rsid w:val="003272AA"/>
    <w:rsid w:val="003346D5"/>
    <w:rsid w:val="00340B6E"/>
    <w:rsid w:val="003410DD"/>
    <w:rsid w:val="00343DEB"/>
    <w:rsid w:val="003508F1"/>
    <w:rsid w:val="00352FC6"/>
    <w:rsid w:val="00353A2F"/>
    <w:rsid w:val="00357DCE"/>
    <w:rsid w:val="00365E35"/>
    <w:rsid w:val="00366328"/>
    <w:rsid w:val="00366F6B"/>
    <w:rsid w:val="00380287"/>
    <w:rsid w:val="003828BF"/>
    <w:rsid w:val="00382F4B"/>
    <w:rsid w:val="00391C19"/>
    <w:rsid w:val="003933AC"/>
    <w:rsid w:val="00394756"/>
    <w:rsid w:val="003976D4"/>
    <w:rsid w:val="003A399F"/>
    <w:rsid w:val="003A3AD0"/>
    <w:rsid w:val="003B4254"/>
    <w:rsid w:val="003B48FE"/>
    <w:rsid w:val="003B7073"/>
    <w:rsid w:val="003C0158"/>
    <w:rsid w:val="003E3028"/>
    <w:rsid w:val="003F0A41"/>
    <w:rsid w:val="004051BE"/>
    <w:rsid w:val="00415A8D"/>
    <w:rsid w:val="00425B50"/>
    <w:rsid w:val="00430236"/>
    <w:rsid w:val="0043144D"/>
    <w:rsid w:val="004405A7"/>
    <w:rsid w:val="00446DA6"/>
    <w:rsid w:val="0045006F"/>
    <w:rsid w:val="00454171"/>
    <w:rsid w:val="00455D32"/>
    <w:rsid w:val="00461DA8"/>
    <w:rsid w:val="00461F75"/>
    <w:rsid w:val="0046723F"/>
    <w:rsid w:val="00470ECD"/>
    <w:rsid w:val="0047366D"/>
    <w:rsid w:val="004742A3"/>
    <w:rsid w:val="004829B8"/>
    <w:rsid w:val="00490875"/>
    <w:rsid w:val="00490C2D"/>
    <w:rsid w:val="004967B5"/>
    <w:rsid w:val="00497209"/>
    <w:rsid w:val="004A73ED"/>
    <w:rsid w:val="004B3478"/>
    <w:rsid w:val="004B3D6E"/>
    <w:rsid w:val="004B5D7C"/>
    <w:rsid w:val="004C42C6"/>
    <w:rsid w:val="004D0077"/>
    <w:rsid w:val="004D277D"/>
    <w:rsid w:val="004E4323"/>
    <w:rsid w:val="004F01BA"/>
    <w:rsid w:val="004F262F"/>
    <w:rsid w:val="004F26E9"/>
    <w:rsid w:val="004F2CDD"/>
    <w:rsid w:val="00500BCD"/>
    <w:rsid w:val="00507C89"/>
    <w:rsid w:val="00512FC6"/>
    <w:rsid w:val="0052402D"/>
    <w:rsid w:val="00532DD5"/>
    <w:rsid w:val="00535DE2"/>
    <w:rsid w:val="005363DD"/>
    <w:rsid w:val="005404ED"/>
    <w:rsid w:val="005408E5"/>
    <w:rsid w:val="00563C32"/>
    <w:rsid w:val="005658FA"/>
    <w:rsid w:val="00570030"/>
    <w:rsid w:val="005710A5"/>
    <w:rsid w:val="00591DBF"/>
    <w:rsid w:val="005949A5"/>
    <w:rsid w:val="005A121F"/>
    <w:rsid w:val="005A56C6"/>
    <w:rsid w:val="005C544E"/>
    <w:rsid w:val="005C697E"/>
    <w:rsid w:val="005C73B0"/>
    <w:rsid w:val="005E198E"/>
    <w:rsid w:val="005E3361"/>
    <w:rsid w:val="005E7B52"/>
    <w:rsid w:val="005F0206"/>
    <w:rsid w:val="005F0A20"/>
    <w:rsid w:val="005F3491"/>
    <w:rsid w:val="0061399A"/>
    <w:rsid w:val="006206D1"/>
    <w:rsid w:val="00640E71"/>
    <w:rsid w:val="006414A8"/>
    <w:rsid w:val="0064446E"/>
    <w:rsid w:val="00647EC0"/>
    <w:rsid w:val="0065234D"/>
    <w:rsid w:val="006541EF"/>
    <w:rsid w:val="00654824"/>
    <w:rsid w:val="006558E1"/>
    <w:rsid w:val="006559A1"/>
    <w:rsid w:val="00662D18"/>
    <w:rsid w:val="00671A3C"/>
    <w:rsid w:val="006733A2"/>
    <w:rsid w:val="006813F3"/>
    <w:rsid w:val="00687EB7"/>
    <w:rsid w:val="006A41E0"/>
    <w:rsid w:val="006A4610"/>
    <w:rsid w:val="006B1A28"/>
    <w:rsid w:val="006B2FE7"/>
    <w:rsid w:val="006C5FE0"/>
    <w:rsid w:val="006D6099"/>
    <w:rsid w:val="006E22AE"/>
    <w:rsid w:val="006E4E1A"/>
    <w:rsid w:val="006E4F77"/>
    <w:rsid w:val="00700B82"/>
    <w:rsid w:val="0070104F"/>
    <w:rsid w:val="00704861"/>
    <w:rsid w:val="00714ACA"/>
    <w:rsid w:val="00720125"/>
    <w:rsid w:val="00722857"/>
    <w:rsid w:val="00725C5C"/>
    <w:rsid w:val="00732DD5"/>
    <w:rsid w:val="00744966"/>
    <w:rsid w:val="0074572C"/>
    <w:rsid w:val="007577EA"/>
    <w:rsid w:val="00771E34"/>
    <w:rsid w:val="00785B1A"/>
    <w:rsid w:val="00785B58"/>
    <w:rsid w:val="00793F8F"/>
    <w:rsid w:val="007A2CAA"/>
    <w:rsid w:val="007A46FF"/>
    <w:rsid w:val="007A61BB"/>
    <w:rsid w:val="007B36E6"/>
    <w:rsid w:val="007D7953"/>
    <w:rsid w:val="007F5D1B"/>
    <w:rsid w:val="007F7822"/>
    <w:rsid w:val="00812C69"/>
    <w:rsid w:val="00814026"/>
    <w:rsid w:val="00830287"/>
    <w:rsid w:val="0083660A"/>
    <w:rsid w:val="008371B6"/>
    <w:rsid w:val="00845A47"/>
    <w:rsid w:val="0085173E"/>
    <w:rsid w:val="00862682"/>
    <w:rsid w:val="00864D25"/>
    <w:rsid w:val="008854D1"/>
    <w:rsid w:val="008919EB"/>
    <w:rsid w:val="008964F6"/>
    <w:rsid w:val="008A72C0"/>
    <w:rsid w:val="008B0A7B"/>
    <w:rsid w:val="008B17E7"/>
    <w:rsid w:val="008B2500"/>
    <w:rsid w:val="008D417E"/>
    <w:rsid w:val="008D51D0"/>
    <w:rsid w:val="008E32E2"/>
    <w:rsid w:val="008F5255"/>
    <w:rsid w:val="008F593E"/>
    <w:rsid w:val="008F5E56"/>
    <w:rsid w:val="008F7FE5"/>
    <w:rsid w:val="00907560"/>
    <w:rsid w:val="00910052"/>
    <w:rsid w:val="00911FAD"/>
    <w:rsid w:val="00912CC8"/>
    <w:rsid w:val="00916386"/>
    <w:rsid w:val="009208F9"/>
    <w:rsid w:val="0093579B"/>
    <w:rsid w:val="00941FE5"/>
    <w:rsid w:val="00954E0D"/>
    <w:rsid w:val="00956F17"/>
    <w:rsid w:val="00980800"/>
    <w:rsid w:val="00982DF5"/>
    <w:rsid w:val="00990ABB"/>
    <w:rsid w:val="00994C84"/>
    <w:rsid w:val="009C0DB2"/>
    <w:rsid w:val="009C1847"/>
    <w:rsid w:val="009C2ABC"/>
    <w:rsid w:val="009C2C8F"/>
    <w:rsid w:val="009E7086"/>
    <w:rsid w:val="009F6966"/>
    <w:rsid w:val="009F781C"/>
    <w:rsid w:val="00A026BF"/>
    <w:rsid w:val="00A03DDF"/>
    <w:rsid w:val="00A05692"/>
    <w:rsid w:val="00A17526"/>
    <w:rsid w:val="00A32AE2"/>
    <w:rsid w:val="00A41522"/>
    <w:rsid w:val="00A4437D"/>
    <w:rsid w:val="00A45B1B"/>
    <w:rsid w:val="00A52249"/>
    <w:rsid w:val="00A60228"/>
    <w:rsid w:val="00A777E6"/>
    <w:rsid w:val="00A77D0E"/>
    <w:rsid w:val="00A85C93"/>
    <w:rsid w:val="00A86C9B"/>
    <w:rsid w:val="00AA1E91"/>
    <w:rsid w:val="00AC793F"/>
    <w:rsid w:val="00AD38DB"/>
    <w:rsid w:val="00AE1FFF"/>
    <w:rsid w:val="00AE30E3"/>
    <w:rsid w:val="00AE315E"/>
    <w:rsid w:val="00AE7E29"/>
    <w:rsid w:val="00AF2D33"/>
    <w:rsid w:val="00B02EC9"/>
    <w:rsid w:val="00B207AA"/>
    <w:rsid w:val="00B27846"/>
    <w:rsid w:val="00B34300"/>
    <w:rsid w:val="00B3457F"/>
    <w:rsid w:val="00B55592"/>
    <w:rsid w:val="00B570F5"/>
    <w:rsid w:val="00B574C5"/>
    <w:rsid w:val="00B70554"/>
    <w:rsid w:val="00B77716"/>
    <w:rsid w:val="00B8323E"/>
    <w:rsid w:val="00B92C90"/>
    <w:rsid w:val="00B949FF"/>
    <w:rsid w:val="00B95362"/>
    <w:rsid w:val="00B95CC3"/>
    <w:rsid w:val="00BA4DE1"/>
    <w:rsid w:val="00BA6BEE"/>
    <w:rsid w:val="00BA71FF"/>
    <w:rsid w:val="00BB6869"/>
    <w:rsid w:val="00BC29FC"/>
    <w:rsid w:val="00BC7031"/>
    <w:rsid w:val="00BD0BB5"/>
    <w:rsid w:val="00BD1140"/>
    <w:rsid w:val="00BD2637"/>
    <w:rsid w:val="00BD74B8"/>
    <w:rsid w:val="00BE7A89"/>
    <w:rsid w:val="00BE7CD4"/>
    <w:rsid w:val="00BF077E"/>
    <w:rsid w:val="00BF496C"/>
    <w:rsid w:val="00BF748D"/>
    <w:rsid w:val="00C01147"/>
    <w:rsid w:val="00C04DB3"/>
    <w:rsid w:val="00C058DC"/>
    <w:rsid w:val="00C06B7D"/>
    <w:rsid w:val="00C15662"/>
    <w:rsid w:val="00C16C57"/>
    <w:rsid w:val="00C249E0"/>
    <w:rsid w:val="00C26430"/>
    <w:rsid w:val="00C32916"/>
    <w:rsid w:val="00C41D2A"/>
    <w:rsid w:val="00C422BF"/>
    <w:rsid w:val="00C457F5"/>
    <w:rsid w:val="00C540D8"/>
    <w:rsid w:val="00C56DB4"/>
    <w:rsid w:val="00C764F3"/>
    <w:rsid w:val="00C81976"/>
    <w:rsid w:val="00C96D2B"/>
    <w:rsid w:val="00C971C7"/>
    <w:rsid w:val="00CB22F8"/>
    <w:rsid w:val="00CB3C0C"/>
    <w:rsid w:val="00CC17CF"/>
    <w:rsid w:val="00CC2B05"/>
    <w:rsid w:val="00CD22C3"/>
    <w:rsid w:val="00CD27D5"/>
    <w:rsid w:val="00CE1E61"/>
    <w:rsid w:val="00CE44A7"/>
    <w:rsid w:val="00CE5049"/>
    <w:rsid w:val="00CE590A"/>
    <w:rsid w:val="00CF325C"/>
    <w:rsid w:val="00CF6707"/>
    <w:rsid w:val="00D005D5"/>
    <w:rsid w:val="00D160C6"/>
    <w:rsid w:val="00D27FFB"/>
    <w:rsid w:val="00D308AE"/>
    <w:rsid w:val="00D3313C"/>
    <w:rsid w:val="00D347CB"/>
    <w:rsid w:val="00D34FB8"/>
    <w:rsid w:val="00D40764"/>
    <w:rsid w:val="00D428A7"/>
    <w:rsid w:val="00D42B24"/>
    <w:rsid w:val="00D44579"/>
    <w:rsid w:val="00D52EB6"/>
    <w:rsid w:val="00D5447E"/>
    <w:rsid w:val="00D5663A"/>
    <w:rsid w:val="00D60E42"/>
    <w:rsid w:val="00D66AC1"/>
    <w:rsid w:val="00D702AF"/>
    <w:rsid w:val="00D70A4B"/>
    <w:rsid w:val="00D72CA0"/>
    <w:rsid w:val="00D73A3C"/>
    <w:rsid w:val="00D77E49"/>
    <w:rsid w:val="00D80409"/>
    <w:rsid w:val="00D833AC"/>
    <w:rsid w:val="00D91F7B"/>
    <w:rsid w:val="00D9298D"/>
    <w:rsid w:val="00D96826"/>
    <w:rsid w:val="00DA0C0F"/>
    <w:rsid w:val="00DA2700"/>
    <w:rsid w:val="00DB41E7"/>
    <w:rsid w:val="00DC3300"/>
    <w:rsid w:val="00DD0818"/>
    <w:rsid w:val="00DE3B1B"/>
    <w:rsid w:val="00E042D3"/>
    <w:rsid w:val="00E05823"/>
    <w:rsid w:val="00E166E6"/>
    <w:rsid w:val="00E31999"/>
    <w:rsid w:val="00E375F2"/>
    <w:rsid w:val="00E46895"/>
    <w:rsid w:val="00E468AE"/>
    <w:rsid w:val="00E53DA0"/>
    <w:rsid w:val="00E53DFD"/>
    <w:rsid w:val="00E5472C"/>
    <w:rsid w:val="00E55711"/>
    <w:rsid w:val="00E60A5A"/>
    <w:rsid w:val="00E620DA"/>
    <w:rsid w:val="00E63352"/>
    <w:rsid w:val="00E730DE"/>
    <w:rsid w:val="00E752DF"/>
    <w:rsid w:val="00E77899"/>
    <w:rsid w:val="00E805D7"/>
    <w:rsid w:val="00EA3416"/>
    <w:rsid w:val="00EA57A0"/>
    <w:rsid w:val="00EC208C"/>
    <w:rsid w:val="00EC4ACB"/>
    <w:rsid w:val="00ED0D17"/>
    <w:rsid w:val="00EE1E2B"/>
    <w:rsid w:val="00EE2574"/>
    <w:rsid w:val="00EE5E4C"/>
    <w:rsid w:val="00EF39A1"/>
    <w:rsid w:val="00EF43FF"/>
    <w:rsid w:val="00EF6642"/>
    <w:rsid w:val="00F054FD"/>
    <w:rsid w:val="00F14A55"/>
    <w:rsid w:val="00F16BFA"/>
    <w:rsid w:val="00F17834"/>
    <w:rsid w:val="00F227A3"/>
    <w:rsid w:val="00F278F2"/>
    <w:rsid w:val="00F33A23"/>
    <w:rsid w:val="00F35D22"/>
    <w:rsid w:val="00F408AB"/>
    <w:rsid w:val="00F4222F"/>
    <w:rsid w:val="00F44F06"/>
    <w:rsid w:val="00F44F29"/>
    <w:rsid w:val="00F45076"/>
    <w:rsid w:val="00F45E89"/>
    <w:rsid w:val="00F502E5"/>
    <w:rsid w:val="00F5512B"/>
    <w:rsid w:val="00F613B8"/>
    <w:rsid w:val="00F6213F"/>
    <w:rsid w:val="00F62A65"/>
    <w:rsid w:val="00F666D0"/>
    <w:rsid w:val="00F72BF3"/>
    <w:rsid w:val="00F761C1"/>
    <w:rsid w:val="00F779D0"/>
    <w:rsid w:val="00F81712"/>
    <w:rsid w:val="00F82611"/>
    <w:rsid w:val="00F86ED0"/>
    <w:rsid w:val="00F93D3D"/>
    <w:rsid w:val="00F952DB"/>
    <w:rsid w:val="00FA6FA0"/>
    <w:rsid w:val="00FB053E"/>
    <w:rsid w:val="00FB241C"/>
    <w:rsid w:val="00FB4E15"/>
    <w:rsid w:val="00FC57FE"/>
    <w:rsid w:val="00FD45D4"/>
    <w:rsid w:val="00FD7798"/>
    <w:rsid w:val="00FE1D7F"/>
    <w:rsid w:val="00FE510C"/>
    <w:rsid w:val="00FE558E"/>
    <w:rsid w:val="00FF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rsid w:val="00563C32"/>
  </w:style>
  <w:style w:type="character" w:customStyle="1" w:styleId="FootnoteTextChar">
    <w:name w:val="Footnote Text Char"/>
    <w:basedOn w:val="DefaultParagraphFont"/>
    <w:link w:val="FootnoteText"/>
    <w:rsid w:val="00563C32"/>
  </w:style>
  <w:style w:type="character" w:styleId="FootnoteReference">
    <w:name w:val="footnote reference"/>
    <w:rsid w:val="00563C32"/>
    <w:rPr>
      <w:vertAlign w:val="superscript"/>
    </w:rPr>
  </w:style>
  <w:style w:type="character" w:styleId="Hyperlink">
    <w:name w:val="Hyperlink"/>
    <w:rsid w:val="00D40764"/>
    <w:rPr>
      <w:color w:val="0000FF"/>
      <w:u w:val="single"/>
    </w:rPr>
  </w:style>
  <w:style w:type="table" w:styleId="TableGrid">
    <w:name w:val="Table Grid"/>
    <w:basedOn w:val="TableNormal"/>
    <w:rsid w:val="00911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11FA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8">
    <w:name w:val="Table Grid 8"/>
    <w:basedOn w:val="TableNormal"/>
    <w:rsid w:val="00911FAD"/>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15662"/>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link w:val="BalloonTextChar"/>
    <w:semiHidden/>
    <w:unhideWhenUsed/>
    <w:rsid w:val="00CB3C0C"/>
    <w:rPr>
      <w:rFonts w:ascii="Segoe UI" w:hAnsi="Segoe UI" w:cs="Segoe UI"/>
      <w:sz w:val="18"/>
      <w:szCs w:val="18"/>
    </w:rPr>
  </w:style>
  <w:style w:type="character" w:customStyle="1" w:styleId="BalloonTextChar">
    <w:name w:val="Balloon Text Char"/>
    <w:link w:val="BalloonText"/>
    <w:semiHidden/>
    <w:rsid w:val="00CB3C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08776">
      <w:bodyDiv w:val="1"/>
      <w:marLeft w:val="0"/>
      <w:marRight w:val="0"/>
      <w:marTop w:val="0"/>
      <w:marBottom w:val="0"/>
      <w:divBdr>
        <w:top w:val="none" w:sz="0" w:space="0" w:color="auto"/>
        <w:left w:val="none" w:sz="0" w:space="0" w:color="auto"/>
        <w:bottom w:val="none" w:sz="0" w:space="0" w:color="auto"/>
        <w:right w:val="none" w:sz="0" w:space="0" w:color="auto"/>
      </w:divBdr>
    </w:div>
    <w:div w:id="21364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eries.noaa.gov/sfa/laws_policies/msa/documents/msa_amended_2007.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porateservices.noaa.gov/ames/administrative_orders/chapter_216/216-100.html"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C23E0-F625-4DA9-949C-FD2F551A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5477</Words>
  <Characters>31225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5</cp:revision>
  <cp:lastPrinted>2016-12-28T18:01:00Z</cp:lastPrinted>
  <dcterms:created xsi:type="dcterms:W3CDTF">2016-11-18T21:00:00Z</dcterms:created>
  <dcterms:modified xsi:type="dcterms:W3CDTF">2016-12-30T14:35:00Z</dcterms:modified>
</cp:coreProperties>
</file>