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58D" w:rsidRPr="00CE1958" w:rsidRDefault="0044258D" w:rsidP="00631CA8">
      <w:pPr>
        <w:jc w:val="center"/>
        <w:rPr>
          <w:rStyle w:val="SubtleEmphasis"/>
          <w:i w:val="0"/>
        </w:rPr>
      </w:pPr>
    </w:p>
    <w:p w:rsidR="0044258D" w:rsidRDefault="0044258D" w:rsidP="00631CA8">
      <w:pPr>
        <w:jc w:val="center"/>
        <w:rPr>
          <w:rStyle w:val="BookTitle"/>
          <w:sz w:val="28"/>
          <w:szCs w:val="28"/>
        </w:rPr>
      </w:pPr>
    </w:p>
    <w:p w:rsidR="00E94633" w:rsidRDefault="00E94633" w:rsidP="000164AF">
      <w:pPr>
        <w:jc w:val="center"/>
        <w:rPr>
          <w:rStyle w:val="BookTitle"/>
          <w:sz w:val="28"/>
          <w:szCs w:val="28"/>
        </w:rPr>
      </w:pPr>
    </w:p>
    <w:p w:rsidR="0044258D" w:rsidRDefault="0044258D" w:rsidP="00631CA8">
      <w:pPr>
        <w:jc w:val="center"/>
        <w:rPr>
          <w:rStyle w:val="BookTitle"/>
          <w:sz w:val="28"/>
          <w:szCs w:val="28"/>
        </w:rPr>
      </w:pPr>
    </w:p>
    <w:p w:rsidR="00E94633" w:rsidRDefault="00E94633" w:rsidP="00631CA8">
      <w:pPr>
        <w:jc w:val="center"/>
        <w:rPr>
          <w:rStyle w:val="BookTitle"/>
          <w:sz w:val="28"/>
          <w:szCs w:val="28"/>
        </w:rPr>
      </w:pPr>
    </w:p>
    <w:p w:rsidR="007A7D44" w:rsidRPr="009C2FDE" w:rsidRDefault="007A7D44" w:rsidP="008C575B">
      <w:pPr>
        <w:jc w:val="center"/>
        <w:rPr>
          <w:b/>
        </w:rPr>
      </w:pPr>
    </w:p>
    <w:p w:rsidR="00D806CE" w:rsidRPr="009C2FDE" w:rsidRDefault="00E94633" w:rsidP="00E94633">
      <w:pPr>
        <w:jc w:val="center"/>
        <w:rPr>
          <w:b/>
          <w:color w:val="000000" w:themeColor="text1"/>
        </w:rPr>
      </w:pPr>
      <w:r w:rsidRPr="009C2FDE">
        <w:rPr>
          <w:b/>
        </w:rPr>
        <w:t>Monitoring and Reporting System for</w:t>
      </w:r>
      <w:r w:rsidR="00D806CE" w:rsidRPr="009C2FDE">
        <w:rPr>
          <w:b/>
          <w:color w:val="000000" w:themeColor="text1"/>
        </w:rPr>
        <w:t xml:space="preserve"> </w:t>
      </w:r>
      <w:r w:rsidR="00125774" w:rsidRPr="009C2FDE">
        <w:rPr>
          <w:b/>
          <w:color w:val="000000" w:themeColor="text1"/>
        </w:rPr>
        <w:t>the</w:t>
      </w:r>
    </w:p>
    <w:p w:rsidR="00E94633" w:rsidRPr="009C2FDE" w:rsidRDefault="00D806CE" w:rsidP="00E94633">
      <w:pPr>
        <w:jc w:val="center"/>
        <w:rPr>
          <w:b/>
          <w:color w:val="000000" w:themeColor="text1"/>
        </w:rPr>
      </w:pPr>
      <w:r w:rsidRPr="009C2FDE">
        <w:rPr>
          <w:b/>
          <w:color w:val="000000" w:themeColor="text1"/>
        </w:rPr>
        <w:t>Division of Community Health’s Cooperative Agreement Program</w:t>
      </w:r>
      <w:r w:rsidR="00125774" w:rsidRPr="009C2FDE">
        <w:rPr>
          <w:b/>
          <w:color w:val="000000" w:themeColor="text1"/>
        </w:rPr>
        <w:t>s</w:t>
      </w:r>
    </w:p>
    <w:p w:rsidR="00D806CE" w:rsidRPr="009C2FDE" w:rsidRDefault="00D806CE" w:rsidP="00E94633">
      <w:pPr>
        <w:jc w:val="center"/>
        <w:rPr>
          <w:b/>
        </w:rPr>
      </w:pPr>
    </w:p>
    <w:p w:rsidR="00E94633" w:rsidRPr="009C2FDE" w:rsidRDefault="00E94633" w:rsidP="00E94633">
      <w:pPr>
        <w:rPr>
          <w:b/>
        </w:rPr>
      </w:pPr>
    </w:p>
    <w:p w:rsidR="00E94633" w:rsidRPr="009C2FDE" w:rsidRDefault="00E94633" w:rsidP="00E94633">
      <w:pPr>
        <w:jc w:val="center"/>
      </w:pPr>
      <w:r w:rsidRPr="009C2FDE">
        <w:t>New</w:t>
      </w:r>
    </w:p>
    <w:p w:rsidR="00E94633" w:rsidRPr="009C2FDE" w:rsidRDefault="00E94633" w:rsidP="00E94633"/>
    <w:p w:rsidR="00E94633" w:rsidRPr="009C2FDE" w:rsidRDefault="00E94633" w:rsidP="00E94633"/>
    <w:p w:rsidR="00E94633" w:rsidRPr="009C2FDE" w:rsidRDefault="00E94633" w:rsidP="00E94633"/>
    <w:p w:rsidR="00E94633" w:rsidRPr="009C2FDE" w:rsidRDefault="00E94633" w:rsidP="00E94633"/>
    <w:p w:rsidR="00E94633" w:rsidRPr="009C2FDE" w:rsidRDefault="00E94633" w:rsidP="00E94633"/>
    <w:p w:rsidR="00E94633" w:rsidRPr="009C2FDE" w:rsidRDefault="00E94633" w:rsidP="00E94633"/>
    <w:p w:rsidR="00E94633" w:rsidRPr="009C2FDE" w:rsidRDefault="00E94633" w:rsidP="00E94633"/>
    <w:p w:rsidR="00E94633" w:rsidRPr="009C2FDE" w:rsidRDefault="00E94633" w:rsidP="00E94633">
      <w:pPr>
        <w:jc w:val="center"/>
      </w:pPr>
      <w:r w:rsidRPr="009C2FDE">
        <w:t>Supporting Statement</w:t>
      </w:r>
    </w:p>
    <w:p w:rsidR="00E94633" w:rsidRPr="009C2FDE" w:rsidRDefault="00E94633" w:rsidP="00E94633"/>
    <w:p w:rsidR="00E94633" w:rsidRPr="009C2FDE" w:rsidRDefault="00E94633" w:rsidP="00E94633">
      <w:pPr>
        <w:jc w:val="center"/>
      </w:pPr>
      <w:r w:rsidRPr="009C2FDE">
        <w:t xml:space="preserve">Part </w:t>
      </w:r>
      <w:proofErr w:type="gramStart"/>
      <w:r w:rsidRPr="009C2FDE">
        <w:t>A</w:t>
      </w:r>
      <w:proofErr w:type="gramEnd"/>
      <w:r w:rsidR="00D806CE" w:rsidRPr="009C2FDE">
        <w:t xml:space="preserve"> - </w:t>
      </w:r>
      <w:r w:rsidRPr="009C2FDE">
        <w:t>Justification</w:t>
      </w:r>
    </w:p>
    <w:p w:rsidR="007A7D44" w:rsidRPr="009C2FDE" w:rsidRDefault="007A7D44" w:rsidP="00E94633"/>
    <w:p w:rsidR="00E94633" w:rsidRPr="009C2FDE" w:rsidRDefault="00E94633" w:rsidP="00E94633"/>
    <w:p w:rsidR="001A572E" w:rsidRPr="009C2FDE" w:rsidRDefault="001A572E" w:rsidP="008C575B">
      <w:pPr>
        <w:jc w:val="center"/>
      </w:pPr>
    </w:p>
    <w:p w:rsidR="00E94633" w:rsidRPr="009C2FDE" w:rsidRDefault="00E94633" w:rsidP="008C575B">
      <w:pPr>
        <w:jc w:val="center"/>
      </w:pPr>
    </w:p>
    <w:p w:rsidR="00E94633" w:rsidRPr="009C2FDE" w:rsidRDefault="00E94633" w:rsidP="008C575B">
      <w:pPr>
        <w:jc w:val="center"/>
      </w:pPr>
    </w:p>
    <w:p w:rsidR="00E94633" w:rsidRPr="009C2FDE" w:rsidRDefault="00E94633" w:rsidP="008C575B">
      <w:pPr>
        <w:jc w:val="center"/>
      </w:pPr>
    </w:p>
    <w:p w:rsidR="00E94633" w:rsidRPr="009C2FDE" w:rsidRDefault="00346BD5" w:rsidP="008C575B">
      <w:pPr>
        <w:jc w:val="center"/>
      </w:pPr>
      <w:r>
        <w:t xml:space="preserve">March </w:t>
      </w:r>
      <w:r w:rsidR="0076255F">
        <w:t>6</w:t>
      </w:r>
      <w:r w:rsidR="00D15D3F" w:rsidRPr="009C2FDE">
        <w:t>, 201</w:t>
      </w:r>
      <w:r w:rsidR="00AF0910">
        <w:t>5</w:t>
      </w:r>
    </w:p>
    <w:p w:rsidR="00E86E3F" w:rsidRPr="009C2FDE" w:rsidRDefault="00E86E3F" w:rsidP="008C575B">
      <w:pPr>
        <w:jc w:val="center"/>
      </w:pPr>
    </w:p>
    <w:p w:rsidR="00E86E3F" w:rsidRPr="009C2FDE" w:rsidRDefault="00E86E3F" w:rsidP="008C575B">
      <w:pPr>
        <w:jc w:val="center"/>
      </w:pPr>
    </w:p>
    <w:p w:rsidR="003A4279" w:rsidRPr="009C2FDE" w:rsidRDefault="003A4279" w:rsidP="008C575B">
      <w:pPr>
        <w:jc w:val="center"/>
      </w:pPr>
    </w:p>
    <w:p w:rsidR="003A4279" w:rsidRPr="009C2FDE" w:rsidRDefault="003A4279" w:rsidP="008C575B">
      <w:pPr>
        <w:jc w:val="center"/>
      </w:pPr>
    </w:p>
    <w:p w:rsidR="001A572E" w:rsidRPr="009C2FDE" w:rsidRDefault="001A572E" w:rsidP="00E86E3F">
      <w:pPr>
        <w:jc w:val="right"/>
      </w:pPr>
    </w:p>
    <w:p w:rsidR="006C24A5" w:rsidRPr="009C2FDE" w:rsidRDefault="00E86E3F" w:rsidP="00E86E3F">
      <w:pPr>
        <w:jc w:val="right"/>
      </w:pPr>
      <w:r w:rsidRPr="009C2FDE">
        <w:t xml:space="preserve">Contact: </w:t>
      </w:r>
      <w:r w:rsidR="0081022A" w:rsidRPr="009C2FDE">
        <w:t>Kristine Day, MPH</w:t>
      </w:r>
      <w:r w:rsidR="00010E9A" w:rsidRPr="009C2FDE">
        <w:t xml:space="preserve"> </w:t>
      </w:r>
    </w:p>
    <w:p w:rsidR="0081022A" w:rsidRPr="009C2FDE" w:rsidRDefault="00E75192" w:rsidP="00E86E3F">
      <w:pPr>
        <w:jc w:val="right"/>
      </w:pPr>
      <w:r w:rsidRPr="009C2FDE">
        <w:t>Telep</w:t>
      </w:r>
      <w:r w:rsidR="00F60D5C" w:rsidRPr="009C2FDE">
        <w:t xml:space="preserve">hone: </w:t>
      </w:r>
      <w:r w:rsidR="00010E9A" w:rsidRPr="009C2FDE">
        <w:t>770.488.</w:t>
      </w:r>
      <w:r w:rsidR="0081022A" w:rsidRPr="009C2FDE">
        <w:t>5446</w:t>
      </w:r>
      <w:r w:rsidR="0081022A" w:rsidRPr="009C2FDE" w:rsidDel="0081022A">
        <w:t xml:space="preserve"> </w:t>
      </w:r>
    </w:p>
    <w:p w:rsidR="0029036F" w:rsidRPr="009C2FDE" w:rsidRDefault="00F60D5C" w:rsidP="00E86E3F">
      <w:pPr>
        <w:jc w:val="right"/>
        <w:rPr>
          <w:rStyle w:val="Hyperlink"/>
          <w:color w:val="auto"/>
          <w:u w:val="none"/>
        </w:rPr>
      </w:pPr>
      <w:r w:rsidRPr="009C2FDE">
        <w:t xml:space="preserve">E-mail: </w:t>
      </w:r>
      <w:r w:rsidR="0081022A" w:rsidRPr="009C2FDE">
        <w:t>kday@cdc.gov</w:t>
      </w:r>
      <w:r w:rsidR="0081022A" w:rsidRPr="009C2FDE">
        <w:rPr>
          <w:rStyle w:val="Hyperlink"/>
          <w:color w:val="auto"/>
          <w:u w:val="none"/>
        </w:rPr>
        <w:t xml:space="preserve"> </w:t>
      </w:r>
    </w:p>
    <w:p w:rsidR="0029036F" w:rsidRPr="009C2FDE" w:rsidRDefault="0029036F" w:rsidP="00E86E3F">
      <w:pPr>
        <w:jc w:val="right"/>
        <w:rPr>
          <w:rStyle w:val="Hyperlink"/>
          <w:color w:val="auto"/>
          <w:u w:val="none"/>
        </w:rPr>
      </w:pPr>
      <w:r w:rsidRPr="009C2FDE">
        <w:rPr>
          <w:rStyle w:val="Hyperlink"/>
          <w:color w:val="auto"/>
          <w:u w:val="none"/>
        </w:rPr>
        <w:t>Division of Community Health</w:t>
      </w:r>
    </w:p>
    <w:p w:rsidR="00E86E3F" w:rsidRPr="009C2FDE" w:rsidRDefault="003A2BD5" w:rsidP="00E86E3F">
      <w:pPr>
        <w:jc w:val="right"/>
      </w:pPr>
      <w:r w:rsidRPr="009C2FDE">
        <w:t xml:space="preserve">National Center for Chronic Disease </w:t>
      </w:r>
    </w:p>
    <w:p w:rsidR="003A2BD5" w:rsidRPr="009C2FDE" w:rsidRDefault="003A2BD5" w:rsidP="00E86E3F">
      <w:pPr>
        <w:jc w:val="right"/>
      </w:pPr>
      <w:r w:rsidRPr="009C2FDE">
        <w:t>Prevention and Health Promotion</w:t>
      </w:r>
    </w:p>
    <w:p w:rsidR="00E86E3F" w:rsidRPr="009C2FDE" w:rsidRDefault="00E86E3F" w:rsidP="00E86E3F">
      <w:pPr>
        <w:jc w:val="right"/>
      </w:pPr>
      <w:r w:rsidRPr="009C2FDE">
        <w:t>Centers for Disease Prevention and Control</w:t>
      </w:r>
    </w:p>
    <w:p w:rsidR="003A2BD5" w:rsidRPr="009C2FDE" w:rsidRDefault="003A2BD5" w:rsidP="00E86E3F">
      <w:pPr>
        <w:jc w:val="right"/>
      </w:pPr>
      <w:r w:rsidRPr="009C2FDE">
        <w:t>Atlanta, G</w:t>
      </w:r>
      <w:r w:rsidR="00E86E3F" w:rsidRPr="009C2FDE">
        <w:t>eorgia</w:t>
      </w:r>
    </w:p>
    <w:p w:rsidR="000B3692" w:rsidRPr="009C2FDE" w:rsidRDefault="00F87086" w:rsidP="00FF0F14">
      <w:pPr>
        <w:jc w:val="center"/>
        <w:rPr>
          <w:b/>
        </w:rPr>
      </w:pPr>
      <w:r w:rsidRPr="009C2FDE">
        <w:br w:type="page"/>
      </w:r>
      <w:r w:rsidR="00FF0F14" w:rsidRPr="009C2FDE">
        <w:rPr>
          <w:b/>
        </w:rPr>
        <w:lastRenderedPageBreak/>
        <w:t>TABLE OF CONTENTS</w:t>
      </w:r>
    </w:p>
    <w:p w:rsidR="00FF0F14" w:rsidRPr="009C2FDE" w:rsidRDefault="00FF0F14" w:rsidP="00FF0F14">
      <w:pPr>
        <w:jc w:val="center"/>
        <w:rPr>
          <w:b/>
        </w:rPr>
      </w:pPr>
    </w:p>
    <w:p w:rsidR="00E94633" w:rsidRPr="009C2FDE" w:rsidRDefault="00E94633" w:rsidP="00E94633">
      <w:pPr>
        <w:tabs>
          <w:tab w:val="right" w:pos="9360"/>
        </w:tabs>
        <w:spacing w:after="120"/>
        <w:rPr>
          <w:b/>
        </w:rPr>
      </w:pPr>
      <w:r w:rsidRPr="009C2FDE">
        <w:rPr>
          <w:b/>
        </w:rPr>
        <w:t>Section</w:t>
      </w:r>
    </w:p>
    <w:p w:rsidR="00E94633" w:rsidRPr="009C2FDE" w:rsidRDefault="00E94633" w:rsidP="00E94633">
      <w:pPr>
        <w:tabs>
          <w:tab w:val="left" w:pos="540"/>
          <w:tab w:val="left" w:pos="1080"/>
          <w:tab w:val="right" w:leader="dot" w:pos="9360"/>
        </w:tabs>
        <w:ind w:left="540" w:right="720" w:hanging="540"/>
        <w:rPr>
          <w:noProof/>
        </w:rPr>
      </w:pPr>
      <w:r w:rsidRPr="009C2FDE">
        <w:rPr>
          <w:noProof/>
        </w:rPr>
        <w:t>Part A.</w:t>
      </w:r>
      <w:r w:rsidRPr="009C2FDE">
        <w:rPr>
          <w:noProof/>
        </w:rPr>
        <w:tab/>
        <w:t>Justification</w:t>
      </w:r>
    </w:p>
    <w:p w:rsidR="00E94633" w:rsidRPr="009C2FDE" w:rsidRDefault="00E94633" w:rsidP="00E94633">
      <w:pPr>
        <w:tabs>
          <w:tab w:val="left" w:pos="1080"/>
          <w:tab w:val="right" w:leader="dot" w:pos="9360"/>
        </w:tabs>
        <w:autoSpaceDE w:val="0"/>
        <w:autoSpaceDN w:val="0"/>
        <w:adjustRightInd w:val="0"/>
        <w:ind w:left="1080" w:right="720" w:hanging="540"/>
        <w:rPr>
          <w:noProof/>
        </w:rPr>
      </w:pPr>
      <w:r w:rsidRPr="009C2FDE">
        <w:rPr>
          <w:rFonts w:eastAsia="MS Mincho"/>
          <w:noProof/>
        </w:rPr>
        <w:t>A.1</w:t>
      </w:r>
      <w:r w:rsidRPr="009C2FDE">
        <w:rPr>
          <w:noProof/>
        </w:rPr>
        <w:tab/>
      </w:r>
      <w:r w:rsidRPr="009C2FDE">
        <w:rPr>
          <w:rFonts w:eastAsia="MS Mincho"/>
          <w:noProof/>
        </w:rPr>
        <w:t>Circumstances Making the Collection of Information Necessary</w:t>
      </w:r>
    </w:p>
    <w:p w:rsidR="00E94633" w:rsidRPr="009C2FDE" w:rsidRDefault="00E94633" w:rsidP="00E94633">
      <w:pPr>
        <w:tabs>
          <w:tab w:val="left" w:pos="1800"/>
          <w:tab w:val="right" w:leader="dot" w:pos="9360"/>
        </w:tabs>
        <w:autoSpaceDE w:val="0"/>
        <w:autoSpaceDN w:val="0"/>
        <w:adjustRightInd w:val="0"/>
        <w:ind w:left="1800" w:right="720" w:hanging="720"/>
        <w:rPr>
          <w:noProof/>
        </w:rPr>
      </w:pPr>
      <w:r w:rsidRPr="009C2FDE">
        <w:rPr>
          <w:bCs/>
          <w:noProof/>
        </w:rPr>
        <w:t>Privacy Impact Assessment Information</w:t>
      </w:r>
    </w:p>
    <w:p w:rsidR="00E94633" w:rsidRPr="009C2FDE" w:rsidRDefault="00E94633" w:rsidP="00E94633">
      <w:pPr>
        <w:tabs>
          <w:tab w:val="left" w:pos="1800"/>
          <w:tab w:val="right" w:leader="dot" w:pos="9360"/>
        </w:tabs>
        <w:autoSpaceDE w:val="0"/>
        <w:autoSpaceDN w:val="0"/>
        <w:adjustRightInd w:val="0"/>
        <w:ind w:left="1800" w:right="720" w:hanging="720"/>
        <w:rPr>
          <w:noProof/>
        </w:rPr>
      </w:pPr>
      <w:r w:rsidRPr="009C2FDE">
        <w:rPr>
          <w:bCs/>
          <w:noProof/>
        </w:rPr>
        <w:t>Overview of Data Collection System</w:t>
      </w:r>
    </w:p>
    <w:p w:rsidR="00E94633" w:rsidRPr="009C2FDE" w:rsidRDefault="00E94633" w:rsidP="00E94633">
      <w:pPr>
        <w:tabs>
          <w:tab w:val="left" w:pos="1080"/>
          <w:tab w:val="right" w:leader="dot" w:pos="9360"/>
        </w:tabs>
        <w:autoSpaceDE w:val="0"/>
        <w:autoSpaceDN w:val="0"/>
        <w:adjustRightInd w:val="0"/>
        <w:ind w:left="1080" w:right="720" w:hanging="540"/>
        <w:rPr>
          <w:noProof/>
        </w:rPr>
      </w:pPr>
      <w:r w:rsidRPr="009C2FDE">
        <w:rPr>
          <w:rFonts w:eastAsia="MS Mincho"/>
          <w:noProof/>
        </w:rPr>
        <w:t>A.2</w:t>
      </w:r>
      <w:r w:rsidRPr="009C2FDE">
        <w:rPr>
          <w:noProof/>
        </w:rPr>
        <w:tab/>
      </w:r>
      <w:r w:rsidRPr="009C2FDE">
        <w:rPr>
          <w:rFonts w:eastAsia="MS Mincho"/>
          <w:noProof/>
        </w:rPr>
        <w:t>Purposes and Use of the Information Collection</w:t>
      </w:r>
    </w:p>
    <w:p w:rsidR="00E94633" w:rsidRPr="009C2FDE" w:rsidRDefault="00E94633" w:rsidP="00E94633">
      <w:pPr>
        <w:tabs>
          <w:tab w:val="left" w:pos="1080"/>
          <w:tab w:val="right" w:leader="dot" w:pos="9360"/>
        </w:tabs>
        <w:autoSpaceDE w:val="0"/>
        <w:autoSpaceDN w:val="0"/>
        <w:adjustRightInd w:val="0"/>
        <w:ind w:left="1080" w:right="720" w:hanging="540"/>
        <w:rPr>
          <w:noProof/>
        </w:rPr>
      </w:pPr>
      <w:r w:rsidRPr="009C2FDE">
        <w:rPr>
          <w:rFonts w:eastAsia="MS Mincho"/>
          <w:noProof/>
        </w:rPr>
        <w:t>A.3</w:t>
      </w:r>
      <w:r w:rsidRPr="009C2FDE">
        <w:rPr>
          <w:noProof/>
        </w:rPr>
        <w:tab/>
      </w:r>
      <w:r w:rsidRPr="009C2FDE">
        <w:rPr>
          <w:rFonts w:eastAsia="MS Mincho"/>
          <w:noProof/>
        </w:rPr>
        <w:t>Use of Improved Information Technology and Burden Reduction</w:t>
      </w:r>
    </w:p>
    <w:p w:rsidR="00E94633" w:rsidRPr="009C2FDE" w:rsidRDefault="00E94633" w:rsidP="00E94633">
      <w:pPr>
        <w:tabs>
          <w:tab w:val="left" w:pos="1080"/>
          <w:tab w:val="right" w:leader="dot" w:pos="9360"/>
        </w:tabs>
        <w:autoSpaceDE w:val="0"/>
        <w:autoSpaceDN w:val="0"/>
        <w:adjustRightInd w:val="0"/>
        <w:ind w:left="1080" w:right="720" w:hanging="540"/>
        <w:rPr>
          <w:noProof/>
        </w:rPr>
      </w:pPr>
      <w:r w:rsidRPr="009C2FDE">
        <w:rPr>
          <w:rFonts w:eastAsia="MS Mincho"/>
          <w:noProof/>
        </w:rPr>
        <w:t>A.4</w:t>
      </w:r>
      <w:r w:rsidRPr="009C2FDE">
        <w:rPr>
          <w:noProof/>
        </w:rPr>
        <w:tab/>
      </w:r>
      <w:r w:rsidRPr="009C2FDE">
        <w:rPr>
          <w:rFonts w:eastAsia="MS Mincho"/>
          <w:noProof/>
        </w:rPr>
        <w:t>Efforts to Identify Duplication and Use of Similar Information</w:t>
      </w:r>
    </w:p>
    <w:p w:rsidR="00E94633" w:rsidRPr="009C2FDE" w:rsidRDefault="00E94633" w:rsidP="00E94633">
      <w:pPr>
        <w:tabs>
          <w:tab w:val="left" w:pos="1080"/>
          <w:tab w:val="right" w:leader="dot" w:pos="9360"/>
        </w:tabs>
        <w:autoSpaceDE w:val="0"/>
        <w:autoSpaceDN w:val="0"/>
        <w:adjustRightInd w:val="0"/>
        <w:ind w:left="1080" w:right="720" w:hanging="540"/>
        <w:rPr>
          <w:noProof/>
        </w:rPr>
      </w:pPr>
      <w:r w:rsidRPr="009C2FDE">
        <w:rPr>
          <w:rFonts w:eastAsia="MS Mincho"/>
          <w:noProof/>
        </w:rPr>
        <w:t>A.5</w:t>
      </w:r>
      <w:r w:rsidRPr="009C2FDE">
        <w:rPr>
          <w:noProof/>
        </w:rPr>
        <w:tab/>
      </w:r>
      <w:r w:rsidRPr="009C2FDE">
        <w:rPr>
          <w:rFonts w:eastAsia="MS Mincho"/>
          <w:noProof/>
        </w:rPr>
        <w:t>Impact on Small Businesses or Other Small Entities</w:t>
      </w:r>
    </w:p>
    <w:p w:rsidR="00E94633" w:rsidRPr="009C2FDE" w:rsidRDefault="00E94633" w:rsidP="00E94633">
      <w:pPr>
        <w:tabs>
          <w:tab w:val="left" w:pos="1080"/>
          <w:tab w:val="right" w:leader="dot" w:pos="9360"/>
        </w:tabs>
        <w:autoSpaceDE w:val="0"/>
        <w:autoSpaceDN w:val="0"/>
        <w:adjustRightInd w:val="0"/>
        <w:ind w:left="1080" w:right="720" w:hanging="540"/>
        <w:rPr>
          <w:noProof/>
        </w:rPr>
      </w:pPr>
      <w:r w:rsidRPr="009C2FDE">
        <w:rPr>
          <w:rFonts w:eastAsia="MS Mincho"/>
          <w:noProof/>
        </w:rPr>
        <w:t>A.6</w:t>
      </w:r>
      <w:r w:rsidRPr="009C2FDE">
        <w:rPr>
          <w:noProof/>
        </w:rPr>
        <w:tab/>
      </w:r>
      <w:r w:rsidRPr="009C2FDE">
        <w:rPr>
          <w:rFonts w:eastAsia="MS Mincho"/>
          <w:noProof/>
        </w:rPr>
        <w:t>Consequences of Collecting the Information Less Frequently</w:t>
      </w:r>
    </w:p>
    <w:p w:rsidR="00E94633" w:rsidRPr="009C2FDE" w:rsidRDefault="00E94633" w:rsidP="00E94633">
      <w:pPr>
        <w:tabs>
          <w:tab w:val="left" w:pos="1080"/>
          <w:tab w:val="right" w:leader="dot" w:pos="9360"/>
        </w:tabs>
        <w:autoSpaceDE w:val="0"/>
        <w:autoSpaceDN w:val="0"/>
        <w:adjustRightInd w:val="0"/>
        <w:ind w:left="1080" w:right="720" w:hanging="540"/>
        <w:rPr>
          <w:noProof/>
        </w:rPr>
      </w:pPr>
      <w:r w:rsidRPr="009C2FDE">
        <w:rPr>
          <w:rFonts w:eastAsia="MS Mincho"/>
          <w:noProof/>
        </w:rPr>
        <w:t>A.7</w:t>
      </w:r>
      <w:r w:rsidRPr="009C2FDE">
        <w:rPr>
          <w:noProof/>
        </w:rPr>
        <w:tab/>
      </w:r>
      <w:r w:rsidRPr="009C2FDE">
        <w:rPr>
          <w:rFonts w:eastAsia="MS Mincho"/>
          <w:noProof/>
        </w:rPr>
        <w:t>Special Circumstances Relating to the Guidelines of 5 CFR 1320.5</w:t>
      </w:r>
    </w:p>
    <w:p w:rsidR="00E94633" w:rsidRPr="009C2FDE" w:rsidRDefault="00E94633" w:rsidP="00E94633">
      <w:pPr>
        <w:tabs>
          <w:tab w:val="left" w:pos="1080"/>
          <w:tab w:val="right" w:leader="dot" w:pos="9360"/>
        </w:tabs>
        <w:autoSpaceDE w:val="0"/>
        <w:autoSpaceDN w:val="0"/>
        <w:adjustRightInd w:val="0"/>
        <w:ind w:left="1080" w:right="720" w:hanging="540"/>
        <w:rPr>
          <w:noProof/>
        </w:rPr>
      </w:pPr>
      <w:r w:rsidRPr="009C2FDE">
        <w:rPr>
          <w:rFonts w:eastAsia="MS Mincho"/>
          <w:noProof/>
        </w:rPr>
        <w:t>A.8</w:t>
      </w:r>
      <w:r w:rsidRPr="009C2FDE">
        <w:rPr>
          <w:noProof/>
        </w:rPr>
        <w:tab/>
      </w:r>
      <w:r w:rsidRPr="009C2FDE">
        <w:rPr>
          <w:rFonts w:eastAsia="MS Mincho"/>
          <w:noProof/>
        </w:rPr>
        <w:t>Comments in Response to the Federal Register Notice and Effort to Consult Outside the Agency</w:t>
      </w:r>
    </w:p>
    <w:p w:rsidR="00E94633" w:rsidRPr="009C2FDE" w:rsidRDefault="00E94633" w:rsidP="00E94633">
      <w:pPr>
        <w:tabs>
          <w:tab w:val="left" w:pos="1080"/>
          <w:tab w:val="right" w:leader="dot" w:pos="9360"/>
        </w:tabs>
        <w:autoSpaceDE w:val="0"/>
        <w:autoSpaceDN w:val="0"/>
        <w:adjustRightInd w:val="0"/>
        <w:ind w:left="1080" w:right="720" w:hanging="540"/>
        <w:rPr>
          <w:noProof/>
        </w:rPr>
      </w:pPr>
      <w:r w:rsidRPr="009C2FDE">
        <w:rPr>
          <w:rFonts w:eastAsia="MS Mincho"/>
          <w:noProof/>
        </w:rPr>
        <w:t>A.9</w:t>
      </w:r>
      <w:r w:rsidRPr="009C2FDE">
        <w:rPr>
          <w:noProof/>
        </w:rPr>
        <w:tab/>
      </w:r>
      <w:r w:rsidRPr="009C2FDE">
        <w:rPr>
          <w:rFonts w:eastAsia="MS Mincho"/>
          <w:noProof/>
        </w:rPr>
        <w:t>Explanation of Any Payment or Gift to Respondents</w:t>
      </w:r>
    </w:p>
    <w:p w:rsidR="00E94633" w:rsidRPr="009C2FDE" w:rsidRDefault="00E94633" w:rsidP="00E94633">
      <w:pPr>
        <w:tabs>
          <w:tab w:val="left" w:pos="1080"/>
          <w:tab w:val="right" w:leader="dot" w:pos="9360"/>
        </w:tabs>
        <w:autoSpaceDE w:val="0"/>
        <w:autoSpaceDN w:val="0"/>
        <w:adjustRightInd w:val="0"/>
        <w:ind w:left="1080" w:right="720" w:hanging="540"/>
        <w:rPr>
          <w:noProof/>
        </w:rPr>
      </w:pPr>
      <w:r w:rsidRPr="009C2FDE">
        <w:rPr>
          <w:rFonts w:eastAsia="MS Mincho"/>
          <w:noProof/>
        </w:rPr>
        <w:t>A.10</w:t>
      </w:r>
      <w:r w:rsidRPr="009C2FDE">
        <w:rPr>
          <w:noProof/>
        </w:rPr>
        <w:tab/>
      </w:r>
      <w:r w:rsidRPr="009C2FDE">
        <w:rPr>
          <w:rFonts w:eastAsia="MS Mincho"/>
          <w:noProof/>
        </w:rPr>
        <w:t>Assurance of Confidentiality Provided to Respondents</w:t>
      </w:r>
    </w:p>
    <w:p w:rsidR="00E94633" w:rsidRPr="009C2FDE" w:rsidRDefault="00E94633" w:rsidP="00E94633">
      <w:pPr>
        <w:tabs>
          <w:tab w:val="left" w:pos="1080"/>
          <w:tab w:val="right" w:leader="dot" w:pos="9360"/>
        </w:tabs>
        <w:autoSpaceDE w:val="0"/>
        <w:autoSpaceDN w:val="0"/>
        <w:adjustRightInd w:val="0"/>
        <w:ind w:left="1080" w:right="720" w:hanging="540"/>
        <w:rPr>
          <w:noProof/>
        </w:rPr>
      </w:pPr>
      <w:r w:rsidRPr="009C2FDE">
        <w:rPr>
          <w:rFonts w:eastAsia="MS Mincho"/>
          <w:noProof/>
        </w:rPr>
        <w:t>A.11</w:t>
      </w:r>
      <w:r w:rsidRPr="009C2FDE">
        <w:rPr>
          <w:noProof/>
        </w:rPr>
        <w:tab/>
      </w:r>
      <w:r w:rsidRPr="009C2FDE">
        <w:rPr>
          <w:rFonts w:eastAsia="MS Mincho"/>
          <w:noProof/>
        </w:rPr>
        <w:t>Justification for Sensitive Questions</w:t>
      </w:r>
    </w:p>
    <w:p w:rsidR="00E94633" w:rsidRPr="009C2FDE" w:rsidRDefault="00E94633" w:rsidP="00E94633">
      <w:pPr>
        <w:tabs>
          <w:tab w:val="left" w:pos="1080"/>
          <w:tab w:val="right" w:leader="dot" w:pos="9360"/>
        </w:tabs>
        <w:autoSpaceDE w:val="0"/>
        <w:autoSpaceDN w:val="0"/>
        <w:adjustRightInd w:val="0"/>
        <w:ind w:left="1080" w:right="720" w:hanging="540"/>
        <w:rPr>
          <w:noProof/>
        </w:rPr>
      </w:pPr>
      <w:r w:rsidRPr="009C2FDE">
        <w:rPr>
          <w:rFonts w:eastAsia="MS Mincho"/>
          <w:noProof/>
        </w:rPr>
        <w:t>A.12</w:t>
      </w:r>
      <w:r w:rsidRPr="009C2FDE">
        <w:rPr>
          <w:noProof/>
        </w:rPr>
        <w:tab/>
      </w:r>
      <w:r w:rsidRPr="009C2FDE">
        <w:rPr>
          <w:rFonts w:eastAsia="MS Mincho"/>
          <w:noProof/>
        </w:rPr>
        <w:t>Estimated Annualized Burden Hours and Cost to Respondents</w:t>
      </w:r>
    </w:p>
    <w:p w:rsidR="00E94633" w:rsidRPr="009C2FDE" w:rsidRDefault="00E94633" w:rsidP="00E94633">
      <w:pPr>
        <w:tabs>
          <w:tab w:val="left" w:pos="1080"/>
          <w:tab w:val="right" w:leader="dot" w:pos="9360"/>
        </w:tabs>
        <w:autoSpaceDE w:val="0"/>
        <w:autoSpaceDN w:val="0"/>
        <w:adjustRightInd w:val="0"/>
        <w:ind w:left="1080" w:right="720" w:hanging="540"/>
        <w:rPr>
          <w:noProof/>
        </w:rPr>
      </w:pPr>
      <w:r w:rsidRPr="009C2FDE">
        <w:rPr>
          <w:rFonts w:eastAsia="MS Mincho"/>
          <w:noProof/>
        </w:rPr>
        <w:t>A.13</w:t>
      </w:r>
      <w:r w:rsidRPr="009C2FDE">
        <w:rPr>
          <w:noProof/>
        </w:rPr>
        <w:tab/>
      </w:r>
      <w:r w:rsidRPr="009C2FDE">
        <w:rPr>
          <w:rFonts w:eastAsia="MS Mincho"/>
          <w:noProof/>
        </w:rPr>
        <w:t>Estimates of Other Total Annual Cost Burden to Respondents or Record Keepers</w:t>
      </w:r>
    </w:p>
    <w:p w:rsidR="00E94633" w:rsidRPr="009C2FDE" w:rsidRDefault="00E94633" w:rsidP="00E94633">
      <w:pPr>
        <w:tabs>
          <w:tab w:val="left" w:pos="1080"/>
          <w:tab w:val="right" w:leader="dot" w:pos="9360"/>
        </w:tabs>
        <w:autoSpaceDE w:val="0"/>
        <w:autoSpaceDN w:val="0"/>
        <w:adjustRightInd w:val="0"/>
        <w:ind w:left="1080" w:right="720" w:hanging="540"/>
        <w:rPr>
          <w:noProof/>
        </w:rPr>
      </w:pPr>
      <w:r w:rsidRPr="009C2FDE">
        <w:rPr>
          <w:rFonts w:eastAsia="MS Mincho"/>
          <w:noProof/>
        </w:rPr>
        <w:t>A.14</w:t>
      </w:r>
      <w:r w:rsidRPr="009C2FDE">
        <w:rPr>
          <w:noProof/>
        </w:rPr>
        <w:tab/>
      </w:r>
      <w:r w:rsidRPr="009C2FDE">
        <w:rPr>
          <w:rFonts w:eastAsia="MS Mincho"/>
          <w:noProof/>
        </w:rPr>
        <w:t>Annualized Cost to Federal Government</w:t>
      </w:r>
    </w:p>
    <w:p w:rsidR="00E94633" w:rsidRPr="009C2FDE" w:rsidRDefault="00E94633" w:rsidP="00E94633">
      <w:pPr>
        <w:tabs>
          <w:tab w:val="left" w:pos="1080"/>
          <w:tab w:val="right" w:leader="dot" w:pos="9360"/>
        </w:tabs>
        <w:autoSpaceDE w:val="0"/>
        <w:autoSpaceDN w:val="0"/>
        <w:adjustRightInd w:val="0"/>
        <w:ind w:left="1080" w:right="720" w:hanging="540"/>
        <w:rPr>
          <w:noProof/>
        </w:rPr>
      </w:pPr>
      <w:r w:rsidRPr="009C2FDE">
        <w:rPr>
          <w:rFonts w:eastAsia="MS Mincho"/>
          <w:noProof/>
        </w:rPr>
        <w:t>A.15</w:t>
      </w:r>
      <w:r w:rsidRPr="009C2FDE">
        <w:rPr>
          <w:noProof/>
        </w:rPr>
        <w:tab/>
      </w:r>
      <w:r w:rsidRPr="009C2FDE">
        <w:rPr>
          <w:rFonts w:eastAsia="MS Mincho"/>
          <w:noProof/>
        </w:rPr>
        <w:t>Explanation for Program Changes or Adjustments</w:t>
      </w:r>
    </w:p>
    <w:p w:rsidR="00E94633" w:rsidRPr="009C2FDE" w:rsidRDefault="00E94633" w:rsidP="00E94633">
      <w:pPr>
        <w:tabs>
          <w:tab w:val="left" w:pos="1080"/>
          <w:tab w:val="right" w:leader="dot" w:pos="9360"/>
        </w:tabs>
        <w:autoSpaceDE w:val="0"/>
        <w:autoSpaceDN w:val="0"/>
        <w:adjustRightInd w:val="0"/>
        <w:ind w:left="1080" w:right="720" w:hanging="540"/>
        <w:rPr>
          <w:noProof/>
        </w:rPr>
      </w:pPr>
      <w:r w:rsidRPr="009C2FDE">
        <w:rPr>
          <w:rFonts w:eastAsia="MS Mincho"/>
          <w:noProof/>
        </w:rPr>
        <w:t>A.16</w:t>
      </w:r>
      <w:r w:rsidRPr="009C2FDE">
        <w:rPr>
          <w:noProof/>
        </w:rPr>
        <w:tab/>
      </w:r>
      <w:r w:rsidRPr="009C2FDE">
        <w:rPr>
          <w:rFonts w:eastAsia="MS Mincho"/>
          <w:noProof/>
        </w:rPr>
        <w:t>Plans for Tabulation and Publication and Project Time Schedule</w:t>
      </w:r>
    </w:p>
    <w:p w:rsidR="00346BD5" w:rsidRDefault="00E94633" w:rsidP="0050520C">
      <w:pPr>
        <w:tabs>
          <w:tab w:val="left" w:pos="1800"/>
          <w:tab w:val="right" w:leader="dot" w:pos="9360"/>
        </w:tabs>
        <w:autoSpaceDE w:val="0"/>
        <w:autoSpaceDN w:val="0"/>
        <w:adjustRightInd w:val="0"/>
        <w:ind w:left="1800" w:right="720" w:hanging="720"/>
        <w:rPr>
          <w:rFonts w:eastAsia="MS Mincho"/>
          <w:noProof/>
        </w:rPr>
      </w:pPr>
      <w:r w:rsidRPr="009C2FDE">
        <w:rPr>
          <w:noProof/>
        </w:rPr>
        <w:t>Project Timeline</w:t>
      </w:r>
    </w:p>
    <w:p w:rsidR="00E94633" w:rsidRPr="009C2FDE" w:rsidRDefault="00E94633" w:rsidP="00E94633">
      <w:pPr>
        <w:tabs>
          <w:tab w:val="left" w:pos="1080"/>
          <w:tab w:val="right" w:leader="dot" w:pos="9360"/>
        </w:tabs>
        <w:autoSpaceDE w:val="0"/>
        <w:autoSpaceDN w:val="0"/>
        <w:adjustRightInd w:val="0"/>
        <w:ind w:left="1080" w:right="720" w:hanging="540"/>
        <w:rPr>
          <w:noProof/>
        </w:rPr>
      </w:pPr>
      <w:r w:rsidRPr="009C2FDE">
        <w:rPr>
          <w:rFonts w:eastAsia="MS Mincho"/>
          <w:noProof/>
        </w:rPr>
        <w:t>A.17</w:t>
      </w:r>
      <w:r w:rsidRPr="009C2FDE">
        <w:rPr>
          <w:noProof/>
        </w:rPr>
        <w:tab/>
      </w:r>
      <w:r w:rsidRPr="009C2FDE">
        <w:rPr>
          <w:rFonts w:eastAsia="MS Mincho"/>
          <w:noProof/>
        </w:rPr>
        <w:t>Reason(s) Display of OMB Expiration Date Is Inappropriate</w:t>
      </w:r>
    </w:p>
    <w:p w:rsidR="00E94633" w:rsidRPr="009C2FDE" w:rsidRDefault="00E94633" w:rsidP="00E94633">
      <w:pPr>
        <w:tabs>
          <w:tab w:val="left" w:pos="1080"/>
          <w:tab w:val="right" w:leader="dot" w:pos="9360"/>
        </w:tabs>
        <w:autoSpaceDE w:val="0"/>
        <w:autoSpaceDN w:val="0"/>
        <w:adjustRightInd w:val="0"/>
        <w:ind w:left="1080" w:right="720" w:hanging="540"/>
        <w:rPr>
          <w:rFonts w:eastAsia="MS Mincho"/>
          <w:noProof/>
        </w:rPr>
      </w:pPr>
      <w:r w:rsidRPr="009C2FDE">
        <w:rPr>
          <w:rFonts w:eastAsia="MS Mincho"/>
          <w:noProof/>
        </w:rPr>
        <w:t>A.18</w:t>
      </w:r>
      <w:r w:rsidRPr="009C2FDE">
        <w:rPr>
          <w:noProof/>
        </w:rPr>
        <w:tab/>
      </w:r>
      <w:r w:rsidRPr="009C2FDE">
        <w:rPr>
          <w:rFonts w:eastAsia="MS Mincho"/>
          <w:noProof/>
        </w:rPr>
        <w:t>Exceptions to Certification for Paperwork Reduction Act Submission</w:t>
      </w:r>
    </w:p>
    <w:p w:rsidR="008B13E2" w:rsidRPr="009C2FDE" w:rsidRDefault="008B13E2" w:rsidP="00E94633">
      <w:pPr>
        <w:tabs>
          <w:tab w:val="left" w:pos="1080"/>
          <w:tab w:val="right" w:leader="dot" w:pos="9360"/>
        </w:tabs>
        <w:autoSpaceDE w:val="0"/>
        <w:autoSpaceDN w:val="0"/>
        <w:adjustRightInd w:val="0"/>
        <w:ind w:left="1080" w:right="720" w:hanging="540"/>
        <w:rPr>
          <w:rFonts w:eastAsia="MS Mincho"/>
          <w:noProof/>
        </w:rPr>
      </w:pPr>
    </w:p>
    <w:p w:rsidR="008B13E2" w:rsidRPr="009C2FDE" w:rsidRDefault="008B13E2" w:rsidP="00E94633">
      <w:pPr>
        <w:tabs>
          <w:tab w:val="left" w:pos="1080"/>
          <w:tab w:val="right" w:leader="dot" w:pos="9360"/>
        </w:tabs>
        <w:autoSpaceDE w:val="0"/>
        <w:autoSpaceDN w:val="0"/>
        <w:adjustRightInd w:val="0"/>
        <w:ind w:left="1080" w:right="720" w:hanging="540"/>
        <w:rPr>
          <w:rFonts w:eastAsia="MS Mincho"/>
          <w:noProof/>
        </w:rPr>
      </w:pPr>
    </w:p>
    <w:p w:rsidR="008B13E2" w:rsidRPr="009C2FDE" w:rsidRDefault="008B13E2" w:rsidP="00E94633">
      <w:pPr>
        <w:tabs>
          <w:tab w:val="left" w:pos="1080"/>
          <w:tab w:val="right" w:leader="dot" w:pos="9360"/>
        </w:tabs>
        <w:autoSpaceDE w:val="0"/>
        <w:autoSpaceDN w:val="0"/>
        <w:adjustRightInd w:val="0"/>
        <w:ind w:left="1080" w:right="720" w:hanging="540"/>
        <w:rPr>
          <w:rFonts w:eastAsia="MS Mincho"/>
          <w:noProof/>
        </w:rPr>
      </w:pPr>
      <w:r w:rsidRPr="009C2FDE">
        <w:rPr>
          <w:rFonts w:eastAsia="MS Mincho"/>
          <w:noProof/>
        </w:rPr>
        <w:br w:type="page"/>
      </w:r>
    </w:p>
    <w:p w:rsidR="00E94633" w:rsidRPr="009C2FDE" w:rsidRDefault="00E94633" w:rsidP="00E94633">
      <w:pPr>
        <w:keepNext/>
        <w:jc w:val="center"/>
        <w:rPr>
          <w:b/>
          <w:bCs/>
          <w:caps/>
        </w:rPr>
      </w:pPr>
      <w:r w:rsidRPr="009C2FDE">
        <w:rPr>
          <w:b/>
          <w:bCs/>
          <w:caps/>
        </w:rPr>
        <w:lastRenderedPageBreak/>
        <w:t>LIST OF ATTACHMENTS</w:t>
      </w:r>
    </w:p>
    <w:tbl>
      <w:tblPr>
        <w:tblW w:w="0" w:type="auto"/>
        <w:tblCellMar>
          <w:left w:w="0" w:type="dxa"/>
          <w:right w:w="0" w:type="dxa"/>
        </w:tblCellMar>
        <w:tblLook w:val="04A0" w:firstRow="1" w:lastRow="0" w:firstColumn="1" w:lastColumn="0" w:noHBand="0" w:noVBand="1"/>
      </w:tblPr>
      <w:tblGrid>
        <w:gridCol w:w="1336"/>
        <w:gridCol w:w="6782"/>
      </w:tblGrid>
      <w:tr w:rsidR="00E94633" w:rsidRPr="009C2FDE" w:rsidTr="00E94633">
        <w:tc>
          <w:tcPr>
            <w:tcW w:w="1336" w:type="dxa"/>
            <w:tcMar>
              <w:top w:w="0" w:type="dxa"/>
              <w:left w:w="108" w:type="dxa"/>
              <w:bottom w:w="0" w:type="dxa"/>
              <w:right w:w="108" w:type="dxa"/>
            </w:tcMar>
          </w:tcPr>
          <w:p w:rsidR="00E94633" w:rsidRPr="009C2FDE" w:rsidRDefault="00E94633" w:rsidP="00E94633">
            <w:pPr>
              <w:keepNext/>
              <w:shd w:val="clear" w:color="auto" w:fill="FFFFFF"/>
              <w:tabs>
                <w:tab w:val="left" w:pos="270"/>
                <w:tab w:val="left" w:pos="360"/>
                <w:tab w:val="left" w:pos="630"/>
                <w:tab w:val="left" w:pos="1350"/>
                <w:tab w:val="right" w:leader="dot" w:pos="9350"/>
              </w:tabs>
              <w:jc w:val="center"/>
              <w:rPr>
                <w:b/>
                <w:noProof/>
              </w:rPr>
            </w:pPr>
          </w:p>
        </w:tc>
        <w:tc>
          <w:tcPr>
            <w:tcW w:w="6782" w:type="dxa"/>
            <w:tcMar>
              <w:top w:w="0" w:type="dxa"/>
              <w:left w:w="108" w:type="dxa"/>
              <w:bottom w:w="0" w:type="dxa"/>
              <w:right w:w="108" w:type="dxa"/>
            </w:tcMar>
          </w:tcPr>
          <w:p w:rsidR="00E94633" w:rsidRPr="009C2FDE" w:rsidRDefault="00E94633" w:rsidP="00E94633">
            <w:pPr>
              <w:keepNext/>
              <w:shd w:val="clear" w:color="auto" w:fill="FFFFFF"/>
              <w:tabs>
                <w:tab w:val="left" w:pos="270"/>
                <w:tab w:val="left" w:pos="360"/>
                <w:tab w:val="left" w:pos="630"/>
                <w:tab w:val="left" w:pos="1350"/>
                <w:tab w:val="right" w:leader="dot" w:pos="9350"/>
              </w:tabs>
              <w:rPr>
                <w:noProof/>
              </w:rPr>
            </w:pPr>
          </w:p>
        </w:tc>
      </w:tr>
    </w:tbl>
    <w:p w:rsidR="00E94633" w:rsidRPr="009C2FDE" w:rsidRDefault="00E94633" w:rsidP="00701A51">
      <w:pPr>
        <w:tabs>
          <w:tab w:val="left" w:pos="1800"/>
        </w:tabs>
      </w:pPr>
      <w:r w:rsidRPr="009C2FDE">
        <w:t>Attachment 1</w:t>
      </w:r>
      <w:r w:rsidR="00180067" w:rsidRPr="009C2FDE">
        <w:t>a</w:t>
      </w:r>
      <w:r w:rsidR="00125774" w:rsidRPr="009C2FDE">
        <w:tab/>
      </w:r>
      <w:r w:rsidR="00C81A00" w:rsidRPr="009C2FDE">
        <w:t>Public Health Service Act</w:t>
      </w:r>
    </w:p>
    <w:p w:rsidR="00E94633" w:rsidRPr="009C2FDE" w:rsidRDefault="00CB1C59" w:rsidP="00701A51">
      <w:pPr>
        <w:tabs>
          <w:tab w:val="left" w:pos="1800"/>
        </w:tabs>
        <w:ind w:left="1800" w:hanging="1800"/>
      </w:pPr>
      <w:r w:rsidRPr="009C2FDE">
        <w:t>Attachment 1</w:t>
      </w:r>
      <w:r w:rsidR="00180067" w:rsidRPr="009C2FDE">
        <w:t>b</w:t>
      </w:r>
      <w:r w:rsidR="00125774" w:rsidRPr="009C2FDE">
        <w:tab/>
      </w:r>
      <w:r w:rsidR="00C81A00" w:rsidRPr="009C2FDE">
        <w:t>Patient Protection and Affordable Care Act of 2010: Prevention and Public Health Fund</w:t>
      </w:r>
    </w:p>
    <w:p w:rsidR="00E94633" w:rsidRDefault="00CB1C59" w:rsidP="00125774">
      <w:pPr>
        <w:tabs>
          <w:tab w:val="left" w:pos="1800"/>
        </w:tabs>
      </w:pPr>
      <w:r w:rsidRPr="009C2FDE">
        <w:t xml:space="preserve">Attachment </w:t>
      </w:r>
      <w:r w:rsidR="00C81A00" w:rsidRPr="009C2FDE">
        <w:t>2</w:t>
      </w:r>
      <w:r w:rsidR="00125774" w:rsidRPr="009C2FDE">
        <w:tab/>
      </w:r>
      <w:r w:rsidR="00E94633" w:rsidRPr="009C2FDE">
        <w:t>List of Awardees</w:t>
      </w:r>
    </w:p>
    <w:p w:rsidR="00F33207" w:rsidRDefault="00F33207" w:rsidP="00125774">
      <w:pPr>
        <w:tabs>
          <w:tab w:val="left" w:pos="1800"/>
        </w:tabs>
      </w:pPr>
      <w:r>
        <w:t>Attachment 3a</w:t>
      </w:r>
      <w:r>
        <w:tab/>
        <w:t>Screen Shots of the DCH Performance Monitoring Database (DCH-PMD)</w:t>
      </w:r>
    </w:p>
    <w:p w:rsidR="00F33207" w:rsidRDefault="00F33207" w:rsidP="00125774">
      <w:pPr>
        <w:tabs>
          <w:tab w:val="left" w:pos="1800"/>
        </w:tabs>
      </w:pPr>
      <w:r>
        <w:t>Attachment 3b</w:t>
      </w:r>
      <w:r>
        <w:tab/>
        <w:t>DCH-PMD User Guide</w:t>
      </w:r>
    </w:p>
    <w:p w:rsidR="00C81A00" w:rsidRPr="009C2FDE" w:rsidRDefault="00C81A00" w:rsidP="0050520C">
      <w:pPr>
        <w:tabs>
          <w:tab w:val="left" w:pos="1800"/>
        </w:tabs>
        <w:ind w:left="1440" w:hanging="1440"/>
      </w:pPr>
      <w:r w:rsidRPr="009C2FDE">
        <w:t>Attachment 4</w:t>
      </w:r>
      <w:r w:rsidRPr="009C2FDE">
        <w:tab/>
      </w:r>
      <w:r w:rsidR="00F84489">
        <w:tab/>
      </w:r>
      <w:bookmarkStart w:id="0" w:name="_GoBack"/>
      <w:bookmarkEnd w:id="0"/>
      <w:r w:rsidRPr="009C2FDE">
        <w:t>Special Data Request</w:t>
      </w:r>
      <w:r w:rsidR="00A02743" w:rsidRPr="009C2FDE">
        <w:t xml:space="preserve"> (example)</w:t>
      </w:r>
    </w:p>
    <w:p w:rsidR="00180067" w:rsidRPr="009C2FDE" w:rsidRDefault="00180067" w:rsidP="00125774">
      <w:pPr>
        <w:tabs>
          <w:tab w:val="left" w:pos="1800"/>
        </w:tabs>
      </w:pPr>
      <w:r w:rsidRPr="009C2FDE">
        <w:t xml:space="preserve">Attachment </w:t>
      </w:r>
      <w:r w:rsidR="00C81A00" w:rsidRPr="009C2FDE">
        <w:t>5</w:t>
      </w:r>
      <w:r w:rsidR="00125774" w:rsidRPr="009C2FDE">
        <w:tab/>
      </w:r>
      <w:r w:rsidRPr="009C2FDE">
        <w:t xml:space="preserve">Federal Register Notice </w:t>
      </w:r>
    </w:p>
    <w:p w:rsidR="00941428" w:rsidRPr="009C2FDE" w:rsidRDefault="00941428" w:rsidP="00A9732B">
      <w:pPr>
        <w:rPr>
          <w:b/>
        </w:rPr>
      </w:pPr>
    </w:p>
    <w:p w:rsidR="001C4720" w:rsidRPr="009C2FDE" w:rsidRDefault="001C4720" w:rsidP="00A9732B">
      <w:pPr>
        <w:rPr>
          <w:b/>
        </w:rPr>
      </w:pPr>
      <w:r w:rsidRPr="009C2FDE">
        <w:rPr>
          <w:b/>
        </w:rPr>
        <w:br w:type="page"/>
      </w:r>
    </w:p>
    <w:p w:rsidR="00C65E3C" w:rsidRPr="009C2FDE" w:rsidRDefault="00C65E3C" w:rsidP="00A9732B">
      <w:pPr>
        <w:rPr>
          <w:b/>
        </w:rPr>
      </w:pPr>
      <w:r w:rsidRPr="009C2FDE">
        <w:rPr>
          <w:b/>
        </w:rPr>
        <w:lastRenderedPageBreak/>
        <w:t>A. JUSTIFICATION</w:t>
      </w:r>
    </w:p>
    <w:p w:rsidR="00C65E3C" w:rsidRPr="009C2FDE" w:rsidRDefault="00C65E3C" w:rsidP="00A9732B">
      <w:pPr>
        <w:rPr>
          <w:b/>
        </w:rPr>
      </w:pPr>
    </w:p>
    <w:p w:rsidR="00C65E3C" w:rsidRPr="009C2FDE" w:rsidRDefault="00C65E3C" w:rsidP="00A9732B">
      <w:pPr>
        <w:rPr>
          <w:b/>
        </w:rPr>
      </w:pPr>
      <w:r w:rsidRPr="009C2FDE">
        <w:rPr>
          <w:b/>
        </w:rPr>
        <w:t xml:space="preserve">     1. Circumstances </w:t>
      </w:r>
      <w:r w:rsidR="004E4ED3" w:rsidRPr="009C2FDE">
        <w:rPr>
          <w:b/>
        </w:rPr>
        <w:t>Making the Collection of Information Necessary</w:t>
      </w:r>
    </w:p>
    <w:p w:rsidR="002C1A51" w:rsidRPr="009C2FDE" w:rsidRDefault="002C1A51" w:rsidP="00A9732B"/>
    <w:p w:rsidR="007A2B34" w:rsidRPr="009C2FDE" w:rsidRDefault="00CC5D48" w:rsidP="00A9732B">
      <w:r w:rsidRPr="009C2FDE">
        <w:t>CDC request</w:t>
      </w:r>
      <w:r w:rsidR="002A0491" w:rsidRPr="009C2FDE">
        <w:t>s</w:t>
      </w:r>
      <w:r w:rsidRPr="009C2FDE">
        <w:t xml:space="preserve"> OMB approval to collect information needed to monitor cooperative agreement programs authorized by the Public Health Service Act (</w:t>
      </w:r>
      <w:r w:rsidRPr="009C2FDE">
        <w:rPr>
          <w:b/>
        </w:rPr>
        <w:t>Attachment 1a</w:t>
      </w:r>
      <w:r w:rsidRPr="009C2FDE">
        <w:t xml:space="preserve">) and the Prevention and Public Health Fund </w:t>
      </w:r>
      <w:r w:rsidR="002A0491" w:rsidRPr="009C2FDE">
        <w:t xml:space="preserve">of the Affordable Care Act </w:t>
      </w:r>
      <w:r w:rsidRPr="009C2FDE">
        <w:t>(</w:t>
      </w:r>
      <w:r w:rsidRPr="009C2FDE">
        <w:rPr>
          <w:b/>
        </w:rPr>
        <w:t>Attachment 1b</w:t>
      </w:r>
      <w:r w:rsidRPr="009C2FDE">
        <w:t>).</w:t>
      </w:r>
      <w:r w:rsidR="002A0491" w:rsidRPr="009C2FDE">
        <w:t xml:space="preserve">  The programs are administered by the Division of Community Health (DCH), National Center for Chronic Disease Prevention and Health Promotion (NCCDPHP), Centers for Disease Prevention and Control (CDC).</w:t>
      </w:r>
      <w:r w:rsidR="007A2B34" w:rsidRPr="009C2FDE">
        <w:t xml:space="preserve">  </w:t>
      </w:r>
      <w:r w:rsidR="007A2B34" w:rsidRPr="009C2FDE">
        <w:rPr>
          <w:lang w:val="en"/>
        </w:rPr>
        <w:t xml:space="preserve">DCH community-level work is grounded in three core principles: 1) maximizing the public health impact </w:t>
      </w:r>
      <w:r w:rsidR="00C56676" w:rsidRPr="009C2FDE">
        <w:rPr>
          <w:lang w:val="en"/>
        </w:rPr>
        <w:t xml:space="preserve">of community-based programs; 2) achieving health equity by improving opportunities for health, particularly in communities with greater disease burden; and 3) using and expanding the evidence base </w:t>
      </w:r>
      <w:r w:rsidR="00421EDC" w:rsidRPr="009C2FDE">
        <w:t>fo</w:t>
      </w:r>
      <w:r w:rsidR="0045107C" w:rsidRPr="009C2FDE">
        <w:t>r community-based strategies for improving public health.</w:t>
      </w:r>
    </w:p>
    <w:p w:rsidR="00CC5D48" w:rsidRPr="009C2FDE" w:rsidRDefault="00CC5D48" w:rsidP="00A9732B"/>
    <w:p w:rsidR="00E21CD0" w:rsidRPr="009C2FDE" w:rsidRDefault="0038014B" w:rsidP="003841C1">
      <w:r w:rsidRPr="009C2FDE">
        <w:t xml:space="preserve">Chronic diseases—including heart disease, cancer, stroke, diabetes, arthritis, and related risk factors, such as tobacco use, physical inactivity, poor diet, and obesity—are the leading causes of death and disability in the United States, accounting for </w:t>
      </w:r>
      <w:r w:rsidR="008725AF" w:rsidRPr="009C2FDE">
        <w:t>seven</w:t>
      </w:r>
      <w:r w:rsidRPr="009C2FDE">
        <w:t xml:space="preserve"> of every</w:t>
      </w:r>
      <w:r w:rsidR="008725AF" w:rsidRPr="009C2FDE">
        <w:t xml:space="preserve"> ten</w:t>
      </w:r>
      <w:r w:rsidRPr="009C2FDE">
        <w:t xml:space="preserve"> deaths and affecting the quality of life of 90 million Americans</w:t>
      </w:r>
      <w:r w:rsidRPr="009C2FDE">
        <w:rPr>
          <w:b/>
        </w:rPr>
        <w:t xml:space="preserve">. </w:t>
      </w:r>
      <w:r w:rsidRPr="009C2FDE">
        <w:t xml:space="preserve"> Reducing death and disability </w:t>
      </w:r>
      <w:r w:rsidR="00010E9A" w:rsidRPr="009C2FDE">
        <w:t xml:space="preserve">through </w:t>
      </w:r>
      <w:r w:rsidRPr="009C2FDE">
        <w:t xml:space="preserve">the prevention and control of </w:t>
      </w:r>
      <w:r w:rsidR="001A793B" w:rsidRPr="009C2FDE">
        <w:t>chronic</w:t>
      </w:r>
      <w:r w:rsidRPr="009C2FDE">
        <w:t xml:space="preserve"> conditions, and their risk factors, has critical importance for public health.</w:t>
      </w:r>
      <w:r w:rsidR="001A793B" w:rsidRPr="009C2FDE">
        <w:t xml:space="preserve">  </w:t>
      </w:r>
      <w:r w:rsidR="001C4720" w:rsidRPr="009C2FDE">
        <w:t>However, s</w:t>
      </w:r>
      <w:r w:rsidR="00637481" w:rsidRPr="009C2FDE">
        <w:t>olving the nation’s chronic disease problems requires the work of multiple sectors</w:t>
      </w:r>
      <w:r w:rsidR="001C4720" w:rsidRPr="009C2FDE">
        <w:t xml:space="preserve">.  Collaborations </w:t>
      </w:r>
      <w:r w:rsidR="00A720DA">
        <w:t xml:space="preserve">of governmental agencies via </w:t>
      </w:r>
      <w:r w:rsidR="001C4720" w:rsidRPr="009C2FDE">
        <w:t>federal</w:t>
      </w:r>
      <w:r w:rsidR="00A720DA">
        <w:t>,</w:t>
      </w:r>
      <w:r w:rsidR="001C4720" w:rsidRPr="009C2FDE">
        <w:t xml:space="preserve"> state, local and trib</w:t>
      </w:r>
      <w:r w:rsidR="00A720DA">
        <w:t>es,</w:t>
      </w:r>
      <w:r w:rsidR="001C4720" w:rsidRPr="009C2FDE">
        <w:t xml:space="preserve"> and </w:t>
      </w:r>
      <w:r w:rsidR="00525489" w:rsidRPr="009C2FDE">
        <w:t>non-government</w:t>
      </w:r>
      <w:r w:rsidR="00A720DA">
        <w:t>al</w:t>
      </w:r>
      <w:r w:rsidR="00525489" w:rsidRPr="009C2FDE">
        <w:t xml:space="preserve"> </w:t>
      </w:r>
      <w:r w:rsidR="00AF1592">
        <w:t>organizations</w:t>
      </w:r>
      <w:r w:rsidR="00525489" w:rsidRPr="009C2FDE">
        <w:t xml:space="preserve"> </w:t>
      </w:r>
      <w:r w:rsidR="00E21CD0" w:rsidRPr="009C2FDE">
        <w:t>are neede</w:t>
      </w:r>
      <w:r w:rsidR="001A793B" w:rsidRPr="009C2FDE">
        <w:t xml:space="preserve">d </w:t>
      </w:r>
      <w:r w:rsidR="00637481" w:rsidRPr="009C2FDE">
        <w:t xml:space="preserve">to create environments that support health and healthy behaviors </w:t>
      </w:r>
      <w:r w:rsidR="001A793B" w:rsidRPr="009C2FDE">
        <w:t>and reduce health disparities.</w:t>
      </w:r>
      <w:r w:rsidR="00637481" w:rsidRPr="009C2FDE">
        <w:t xml:space="preserve"> </w:t>
      </w:r>
      <w:r w:rsidR="003D7B10" w:rsidRPr="009C2FDE">
        <w:t xml:space="preserve"> </w:t>
      </w:r>
      <w:r w:rsidR="00B6331B" w:rsidRPr="009C2FDE">
        <w:t xml:space="preserve">When all </w:t>
      </w:r>
      <w:r w:rsidR="00AF1592">
        <w:t>sectors</w:t>
      </w:r>
      <w:r w:rsidR="00B6331B" w:rsidRPr="009C2FDE">
        <w:t xml:space="preserve"> work toward common chronic disease prevention priorities, improvements in health can be amplified and accelerated.</w:t>
      </w:r>
      <w:r w:rsidR="00D012A0" w:rsidRPr="009C2FDE">
        <w:t xml:space="preserve"> </w:t>
      </w:r>
    </w:p>
    <w:p w:rsidR="00E21CD0" w:rsidRPr="009C2FDE" w:rsidRDefault="00E21CD0" w:rsidP="003841C1"/>
    <w:p w:rsidR="00A65004" w:rsidRPr="009C2FDE" w:rsidRDefault="009A3539" w:rsidP="00701A51">
      <w:pPr>
        <w:spacing w:after="120"/>
      </w:pPr>
      <w:r w:rsidRPr="009C2FDE">
        <w:t>The Centers for Disease Control and Prevention (CDC) established the Division of Community Health (DCH)</w:t>
      </w:r>
      <w:r w:rsidR="000721E2" w:rsidRPr="009C2FDE">
        <w:t xml:space="preserve"> to support multi-</w:t>
      </w:r>
      <w:r w:rsidR="000D67D7" w:rsidRPr="009C2FDE">
        <w:t>sectorial</w:t>
      </w:r>
      <w:r w:rsidR="000721E2" w:rsidRPr="009C2FDE">
        <w:t>, community-based</w:t>
      </w:r>
      <w:r w:rsidR="00A65004" w:rsidRPr="009C2FDE">
        <w:t xml:space="preserve"> programs designed to promote healthy living in </w:t>
      </w:r>
      <w:r w:rsidR="00D43096" w:rsidRPr="009C2FDE">
        <w:t xml:space="preserve">a variety of </w:t>
      </w:r>
      <w:r w:rsidR="00A65004" w:rsidRPr="009C2FDE">
        <w:t xml:space="preserve">environments where people live, learn, work, and play.  </w:t>
      </w:r>
      <w:r w:rsidR="00976D26" w:rsidRPr="009C2FDE">
        <w:t>In 2014,</w:t>
      </w:r>
      <w:r w:rsidR="009C223E" w:rsidRPr="009C2FDE">
        <w:t xml:space="preserve"> NCCDPHP/DCH announced three</w:t>
      </w:r>
      <w:r w:rsidR="00A65004" w:rsidRPr="009C2FDE">
        <w:t xml:space="preserve"> new </w:t>
      </w:r>
      <w:r w:rsidR="009306D0" w:rsidRPr="009C2FDE">
        <w:t xml:space="preserve">cooperative agreement </w:t>
      </w:r>
      <w:r w:rsidR="00976D26" w:rsidRPr="009C2FDE">
        <w:t>programs</w:t>
      </w:r>
      <w:r w:rsidR="00CC5D48" w:rsidRPr="009C2FDE">
        <w:t xml:space="preserve"> to improve and/or implement sustainable, community-based programs that address the primary causes of chronic diseases</w:t>
      </w:r>
      <w:r w:rsidR="00A65004" w:rsidRPr="009C2FDE">
        <w:t>:</w:t>
      </w:r>
    </w:p>
    <w:p w:rsidR="00A65004" w:rsidRPr="009C2FDE" w:rsidRDefault="00A65004" w:rsidP="00701A51">
      <w:pPr>
        <w:pStyle w:val="ListParagraph"/>
        <w:numPr>
          <w:ilvl w:val="0"/>
          <w:numId w:val="39"/>
        </w:numPr>
        <w:spacing w:after="120"/>
      </w:pPr>
      <w:r w:rsidRPr="009C2FDE">
        <w:t>Partnerships to Improve Community Health (PICH; Funding Opportunity Announcement (FOA)</w:t>
      </w:r>
      <w:r w:rsidR="002A0491" w:rsidRPr="009C2FDE">
        <w:t xml:space="preserve"> DP14-1417</w:t>
      </w:r>
      <w:r w:rsidRPr="009C2FDE">
        <w:t>);</w:t>
      </w:r>
    </w:p>
    <w:p w:rsidR="00A65004" w:rsidRPr="009C2FDE" w:rsidRDefault="00A65004" w:rsidP="00701A51">
      <w:pPr>
        <w:pStyle w:val="ListParagraph"/>
        <w:numPr>
          <w:ilvl w:val="0"/>
          <w:numId w:val="39"/>
        </w:numPr>
        <w:spacing w:after="120"/>
      </w:pPr>
      <w:r w:rsidRPr="009C2FDE">
        <w:t>Racial and Ethnic Approaches to Comm</w:t>
      </w:r>
      <w:r w:rsidR="002A0491" w:rsidRPr="009C2FDE">
        <w:t>unity Health (REACH; FOA DP14-1419PPHF14</w:t>
      </w:r>
      <w:r w:rsidRPr="009C2FDE">
        <w:t>); and</w:t>
      </w:r>
    </w:p>
    <w:p w:rsidR="00A65004" w:rsidRPr="009C2FDE" w:rsidRDefault="00A65004" w:rsidP="00701A51">
      <w:pPr>
        <w:pStyle w:val="ListParagraph"/>
        <w:numPr>
          <w:ilvl w:val="0"/>
          <w:numId w:val="39"/>
        </w:numPr>
        <w:spacing w:after="120"/>
      </w:pPr>
      <w:r w:rsidRPr="009C2FDE">
        <w:t>National Implementation and Dissemination for Chr</w:t>
      </w:r>
      <w:r w:rsidR="002A0491" w:rsidRPr="009C2FDE">
        <w:t>onic Disease Prevention (DP14-1418</w:t>
      </w:r>
      <w:r w:rsidRPr="009C2FDE">
        <w:t>).</w:t>
      </w:r>
    </w:p>
    <w:p w:rsidR="008860F1" w:rsidRPr="009C2FDE" w:rsidRDefault="008860F1" w:rsidP="00D43096">
      <w:pPr>
        <w:rPr>
          <w:color w:val="000000" w:themeColor="text1"/>
        </w:rPr>
      </w:pPr>
    </w:p>
    <w:p w:rsidR="005A16ED" w:rsidRPr="009C2FDE" w:rsidRDefault="003E69A1" w:rsidP="00D43096">
      <w:r w:rsidRPr="009C2FDE">
        <w:t>The</w:t>
      </w:r>
      <w:r w:rsidR="007D4445" w:rsidRPr="009C2FDE">
        <w:t>se</w:t>
      </w:r>
      <w:r w:rsidRPr="009C2FDE">
        <w:t xml:space="preserve"> programs are </w:t>
      </w:r>
      <w:r w:rsidR="00150032" w:rsidRPr="009C2FDE">
        <w:t>specifically designed to facilitate the work of</w:t>
      </w:r>
      <w:r w:rsidRPr="009C2FDE">
        <w:t xml:space="preserve"> </w:t>
      </w:r>
      <w:r w:rsidR="00AF1592">
        <w:t xml:space="preserve">state, </w:t>
      </w:r>
      <w:r w:rsidR="00BE6B58" w:rsidRPr="009C2FDE">
        <w:t>local</w:t>
      </w:r>
      <w:r w:rsidR="00AF1592">
        <w:t>,</w:t>
      </w:r>
      <w:r w:rsidR="006254FC">
        <w:t xml:space="preserve"> </w:t>
      </w:r>
      <w:r w:rsidR="00BE6B58" w:rsidRPr="009C2FDE">
        <w:t xml:space="preserve">and tribal </w:t>
      </w:r>
      <w:r w:rsidR="00EE40E7" w:rsidRPr="009C2FDE">
        <w:t>government</w:t>
      </w:r>
      <w:r w:rsidR="00AF1592">
        <w:t>al</w:t>
      </w:r>
      <w:r w:rsidR="00EE40E7" w:rsidRPr="009C2FDE">
        <w:t xml:space="preserve"> </w:t>
      </w:r>
      <w:r w:rsidR="00AF1592">
        <w:t xml:space="preserve">agencies, </w:t>
      </w:r>
      <w:r w:rsidR="0085485E" w:rsidRPr="009C2FDE">
        <w:t>non-government</w:t>
      </w:r>
      <w:r w:rsidR="00AF1592">
        <w:t>al</w:t>
      </w:r>
      <w:r w:rsidR="0085485E" w:rsidRPr="009C2FDE">
        <w:t xml:space="preserve"> </w:t>
      </w:r>
      <w:r w:rsidR="00AF1592">
        <w:t>organizations</w:t>
      </w:r>
      <w:r w:rsidR="00BE6B58" w:rsidRPr="009C2FDE">
        <w:t>,</w:t>
      </w:r>
      <w:r w:rsidRPr="009C2FDE">
        <w:t xml:space="preserve"> and national organizations </w:t>
      </w:r>
      <w:r w:rsidR="00D012A0" w:rsidRPr="009C2FDE">
        <w:t xml:space="preserve">that </w:t>
      </w:r>
      <w:r w:rsidR="00D84E3A" w:rsidRPr="009C2FDE">
        <w:t>need additional support to implement evidence- and practice-bas</w:t>
      </w:r>
      <w:r w:rsidR="007D4445" w:rsidRPr="009C2FDE">
        <w:t>ed interventions for reducing</w:t>
      </w:r>
      <w:r w:rsidR="00C02407" w:rsidRPr="009C2FDE">
        <w:t xml:space="preserve"> </w:t>
      </w:r>
      <w:r w:rsidR="007D4445" w:rsidRPr="009C2FDE">
        <w:t xml:space="preserve">the prevalence of </w:t>
      </w:r>
      <w:r w:rsidR="00C02407" w:rsidRPr="009C2FDE">
        <w:t>chronic diseases and risk factors for chronic disease</w:t>
      </w:r>
      <w:r w:rsidR="007D4445" w:rsidRPr="009C2FDE">
        <w:t>s</w:t>
      </w:r>
      <w:r w:rsidR="00D84E3A" w:rsidRPr="009C2FDE">
        <w:t>.</w:t>
      </w:r>
      <w:r w:rsidR="007E128F" w:rsidRPr="009C2FDE">
        <w:t xml:space="preserve">  </w:t>
      </w:r>
      <w:r w:rsidR="00AE409A" w:rsidRPr="009C2FDE">
        <w:t xml:space="preserve">The cooperative agreements will build on </w:t>
      </w:r>
      <w:r w:rsidR="003D1B3F" w:rsidRPr="009C2FDE">
        <w:t xml:space="preserve">awardees’ </w:t>
      </w:r>
      <w:r w:rsidR="00AE409A" w:rsidRPr="009C2FDE">
        <w:t>previous efforts to establish coalitions or networks of multi-sector organizations, analyze local health issues, or develop plans to shape systems and environments that promote and sustain health and quality of life.</w:t>
      </w:r>
      <w:r w:rsidR="009A5884" w:rsidRPr="009C2FDE">
        <w:t xml:space="preserve"> </w:t>
      </w:r>
      <w:r w:rsidR="00AE409A" w:rsidRPr="009C2FDE">
        <w:t xml:space="preserve"> </w:t>
      </w:r>
      <w:r w:rsidR="007E128F" w:rsidRPr="009C2FDE">
        <w:t xml:space="preserve">Awardees will implement population-based </w:t>
      </w:r>
      <w:r w:rsidR="007E128F" w:rsidRPr="009C2FDE">
        <w:lastRenderedPageBreak/>
        <w:t xml:space="preserve">interventions that address poor nutrition, low physical activity, tobacco use and exposure, and lack of access to chronic disease prevention or risk reduction opportunities.  </w:t>
      </w:r>
    </w:p>
    <w:p w:rsidR="00E61040" w:rsidRPr="009C2FDE" w:rsidRDefault="00E61040" w:rsidP="00A9732B"/>
    <w:p w:rsidR="00A04E14" w:rsidRPr="009C2FDE" w:rsidRDefault="00AE409A" w:rsidP="004C26C0">
      <w:r w:rsidRPr="009C2FDE">
        <w:t xml:space="preserve">Interventions will be implemented </w:t>
      </w:r>
      <w:r w:rsidR="00577886" w:rsidRPr="009C2FDE">
        <w:t>across various settings (i.e., community, community institution/organization, faith-based, health care, school, work site) to increase access to healthier living for at least 75% of the</w:t>
      </w:r>
      <w:r w:rsidRPr="009C2FDE">
        <w:t xml:space="preserve"> population in </w:t>
      </w:r>
      <w:r w:rsidR="003D1B3F" w:rsidRPr="009C2FDE">
        <w:t>a targeted</w:t>
      </w:r>
      <w:r w:rsidR="00577886" w:rsidRPr="009C2FDE">
        <w:t xml:space="preserve"> jurisdiction. </w:t>
      </w:r>
      <w:r w:rsidR="003D7B10" w:rsidRPr="009C2FDE">
        <w:t xml:space="preserve"> </w:t>
      </w:r>
      <w:r w:rsidR="004C26C0" w:rsidRPr="009C2FDE">
        <w:t>While the FOAs differ with regard to aspects of their approach, all three build on this understanding and propose steps to improve and /or implement sustainable, community-based improvements that address the primary causes of chronic diseases.</w:t>
      </w:r>
    </w:p>
    <w:p w:rsidR="00BB0202" w:rsidRPr="009C2FDE" w:rsidRDefault="00BB0202" w:rsidP="00A9732B"/>
    <w:p w:rsidR="00813C3B" w:rsidRPr="009C2FDE" w:rsidRDefault="00493E0F" w:rsidP="00A9732B">
      <w:r w:rsidRPr="009C2FDE">
        <w:t xml:space="preserve">Each </w:t>
      </w:r>
      <w:r w:rsidR="004D746C" w:rsidRPr="009C2FDE">
        <w:t xml:space="preserve">DCH </w:t>
      </w:r>
      <w:r w:rsidR="00BD0300" w:rsidRPr="009C2FDE">
        <w:t xml:space="preserve">program </w:t>
      </w:r>
      <w:r w:rsidRPr="009C2FDE">
        <w:t xml:space="preserve">awardee </w:t>
      </w:r>
      <w:r w:rsidR="00D55FB6" w:rsidRPr="009C2FDE">
        <w:t>funded under DP14-1417, DP14-1419PPHF14, or DP14-1418</w:t>
      </w:r>
      <w:r w:rsidR="00A01CEA" w:rsidRPr="009C2FDE">
        <w:t xml:space="preserve"> </w:t>
      </w:r>
      <w:r w:rsidRPr="009C2FDE">
        <w:t>is charged with implementing a community-</w:t>
      </w:r>
      <w:r w:rsidR="00C576B2" w:rsidRPr="009C2FDE">
        <w:t xml:space="preserve"> </w:t>
      </w:r>
      <w:r w:rsidR="008C677F" w:rsidRPr="009C2FDE">
        <w:t>or awardee-</w:t>
      </w:r>
      <w:r w:rsidRPr="009C2FDE">
        <w:t xml:space="preserve">specific </w:t>
      </w:r>
      <w:r w:rsidR="00010E9A" w:rsidRPr="009C2FDE">
        <w:t xml:space="preserve">work </w:t>
      </w:r>
      <w:r w:rsidRPr="009C2FDE">
        <w:t>plan</w:t>
      </w:r>
      <w:r w:rsidR="000C45ED" w:rsidRPr="009C2FDE">
        <w:t xml:space="preserve"> </w:t>
      </w:r>
      <w:r w:rsidR="001621BE" w:rsidRPr="009C2FDE">
        <w:t>that will</w:t>
      </w:r>
      <w:r w:rsidR="000C45ED" w:rsidRPr="009C2FDE">
        <w:t xml:space="preserve"> l</w:t>
      </w:r>
      <w:r w:rsidRPr="009C2FDE">
        <w:t xml:space="preserve">ead to </w:t>
      </w:r>
      <w:r w:rsidR="003D7B10" w:rsidRPr="009C2FDE">
        <w:t>explicit</w:t>
      </w:r>
      <w:r w:rsidRPr="009C2FDE">
        <w:t>, measurable health outcomes</w:t>
      </w:r>
      <w:r w:rsidR="00CC4206" w:rsidRPr="009C2FDE">
        <w:t xml:space="preserve"> </w:t>
      </w:r>
      <w:r w:rsidR="003A0CFB" w:rsidRPr="009C2FDE">
        <w:t xml:space="preserve">in its jurisdiction </w:t>
      </w:r>
      <w:r w:rsidR="00990D89" w:rsidRPr="009C2FDE">
        <w:t xml:space="preserve">(or service area) </w:t>
      </w:r>
      <w:r w:rsidR="00CC4206" w:rsidRPr="009C2FDE">
        <w:t>among an entire population or a specific population subgroup</w:t>
      </w:r>
      <w:r w:rsidRPr="009C2FDE">
        <w:t xml:space="preserve">. </w:t>
      </w:r>
      <w:r w:rsidR="003D7B10" w:rsidRPr="009C2FDE">
        <w:t xml:space="preserve"> </w:t>
      </w:r>
      <w:r w:rsidR="001C4311" w:rsidRPr="009C2FDE">
        <w:rPr>
          <w:rFonts w:eastAsia="Calibri"/>
        </w:rPr>
        <w:t>Although t</w:t>
      </w:r>
      <w:r w:rsidR="003A0CFB" w:rsidRPr="009C2FDE">
        <w:rPr>
          <w:rFonts w:eastAsia="Calibri"/>
        </w:rPr>
        <w:t xml:space="preserve">he </w:t>
      </w:r>
      <w:r w:rsidR="00BD0300" w:rsidRPr="009C2FDE">
        <w:rPr>
          <w:rFonts w:eastAsia="Calibri"/>
        </w:rPr>
        <w:t>program</w:t>
      </w:r>
      <w:r w:rsidR="00A01CEA" w:rsidRPr="009C2FDE">
        <w:rPr>
          <w:rFonts w:eastAsia="Calibri"/>
        </w:rPr>
        <w:t>s</w:t>
      </w:r>
      <w:r w:rsidR="003A0CFB" w:rsidRPr="009C2FDE">
        <w:rPr>
          <w:rFonts w:eastAsia="Calibri"/>
        </w:rPr>
        <w:t xml:space="preserve"> </w:t>
      </w:r>
      <w:r w:rsidR="00201653" w:rsidRPr="009C2FDE">
        <w:rPr>
          <w:rFonts w:eastAsia="Calibri"/>
        </w:rPr>
        <w:t>emphasize</w:t>
      </w:r>
      <w:r w:rsidR="003A0CFB" w:rsidRPr="009C2FDE">
        <w:rPr>
          <w:rFonts w:eastAsia="Calibri"/>
        </w:rPr>
        <w:t xml:space="preserve"> po</w:t>
      </w:r>
      <w:r w:rsidR="001C4311" w:rsidRPr="009C2FDE">
        <w:rPr>
          <w:rFonts w:eastAsia="Calibri"/>
        </w:rPr>
        <w:t xml:space="preserve">licy and environmental </w:t>
      </w:r>
      <w:r w:rsidR="004D746C" w:rsidRPr="009C2FDE">
        <w:rPr>
          <w:rFonts w:eastAsia="Calibri"/>
        </w:rPr>
        <w:t>improvements</w:t>
      </w:r>
      <w:r w:rsidR="001C4311" w:rsidRPr="009C2FDE">
        <w:rPr>
          <w:rFonts w:eastAsia="Calibri"/>
        </w:rPr>
        <w:t>,</w:t>
      </w:r>
      <w:r w:rsidR="003A0CFB" w:rsidRPr="009C2FDE">
        <w:rPr>
          <w:rFonts w:eastAsia="Calibri"/>
        </w:rPr>
        <w:t xml:space="preserve"> </w:t>
      </w:r>
      <w:r w:rsidR="0029036F" w:rsidRPr="009C2FDE">
        <w:rPr>
          <w:rFonts w:eastAsia="Calibri"/>
        </w:rPr>
        <w:t>a</w:t>
      </w:r>
      <w:r w:rsidR="003A0CFB" w:rsidRPr="009C2FDE">
        <w:t xml:space="preserve">ctivities that may be supported with </w:t>
      </w:r>
      <w:r w:rsidR="004D746C" w:rsidRPr="009C2FDE">
        <w:t xml:space="preserve">DCH </w:t>
      </w:r>
      <w:r w:rsidR="00BD0300" w:rsidRPr="009C2FDE">
        <w:t xml:space="preserve">program </w:t>
      </w:r>
      <w:r w:rsidR="003A0CFB" w:rsidRPr="009C2FDE">
        <w:t>funding</w:t>
      </w:r>
      <w:r w:rsidR="00DE79A2" w:rsidRPr="009C2FDE">
        <w:t xml:space="preserve"> include</w:t>
      </w:r>
      <w:r w:rsidR="0029036F" w:rsidRPr="009C2FDE">
        <w:t>:</w:t>
      </w:r>
      <w:r w:rsidR="00DE79A2" w:rsidRPr="009C2FDE">
        <w:t xml:space="preserve"> </w:t>
      </w:r>
      <w:r w:rsidR="00416509" w:rsidRPr="009C2FDE">
        <w:t xml:space="preserve">establishing or strengthening </w:t>
      </w:r>
      <w:r w:rsidR="00DE79A2" w:rsidRPr="009C2FDE">
        <w:t>community coalitions</w:t>
      </w:r>
      <w:r w:rsidR="00416509" w:rsidRPr="009C2FDE">
        <w:t xml:space="preserve">; participating in </w:t>
      </w:r>
      <w:r w:rsidR="00DE79A2" w:rsidRPr="009C2FDE">
        <w:t xml:space="preserve">appropriate training; conducting community-specific </w:t>
      </w:r>
      <w:r w:rsidR="00416509" w:rsidRPr="009C2FDE">
        <w:t>needs assessment</w:t>
      </w:r>
      <w:r w:rsidR="00DE79A2" w:rsidRPr="009C2FDE">
        <w:t>s; promot</w:t>
      </w:r>
      <w:r w:rsidR="00416509" w:rsidRPr="009C2FDE">
        <w:t xml:space="preserve">ing community engagement with populations experiencing health disparities; </w:t>
      </w:r>
      <w:r w:rsidR="00996506" w:rsidRPr="009C2FDE">
        <w:t>analyzin</w:t>
      </w:r>
      <w:r w:rsidR="00DE79A2" w:rsidRPr="009C2FDE">
        <w:t>g</w:t>
      </w:r>
      <w:r w:rsidR="00416509" w:rsidRPr="009C2FDE">
        <w:t xml:space="preserve"> gaps in existing policies, systems, and environments</w:t>
      </w:r>
      <w:r w:rsidR="005A5D9C" w:rsidRPr="009C2FDE">
        <w:t>; implementing</w:t>
      </w:r>
      <w:r w:rsidR="00781B4F" w:rsidRPr="009C2FDE">
        <w:t xml:space="preserve"> evidence-based strategies and </w:t>
      </w:r>
      <w:r w:rsidR="005A5D9C" w:rsidRPr="009C2FDE">
        <w:t>evaluating</w:t>
      </w:r>
      <w:r w:rsidR="00781B4F" w:rsidRPr="009C2FDE">
        <w:t xml:space="preserve"> promising interventions; and supporting, disseminating, and amplifying the evidence base of the </w:t>
      </w:r>
      <w:r w:rsidR="00577886" w:rsidRPr="009C2FDE">
        <w:t xml:space="preserve">DCH </w:t>
      </w:r>
      <w:r w:rsidR="00781B4F" w:rsidRPr="009C2FDE">
        <w:t>strategies within national networks</w:t>
      </w:r>
      <w:r w:rsidR="00416509" w:rsidRPr="009C2FDE">
        <w:t>.</w:t>
      </w:r>
    </w:p>
    <w:p w:rsidR="009C7562" w:rsidRPr="009C2FDE" w:rsidRDefault="009C7562" w:rsidP="00A9732B"/>
    <w:p w:rsidR="00F8697F" w:rsidRPr="009C2FDE" w:rsidRDefault="009C7562" w:rsidP="00A02743">
      <w:r w:rsidRPr="009C2FDE">
        <w:t xml:space="preserve">CDC </w:t>
      </w:r>
      <w:r w:rsidR="006472DD" w:rsidRPr="009C2FDE">
        <w:t>awarded</w:t>
      </w:r>
      <w:r w:rsidRPr="009C2FDE">
        <w:t xml:space="preserve"> </w:t>
      </w:r>
      <w:r w:rsidR="006472DD" w:rsidRPr="009C2FDE">
        <w:t>93</w:t>
      </w:r>
      <w:r w:rsidRPr="009C2FDE">
        <w:t xml:space="preserve"> cooperative agreement</w:t>
      </w:r>
      <w:r w:rsidR="006472DD" w:rsidRPr="009C2FDE">
        <w:t>s</w:t>
      </w:r>
      <w:r w:rsidRPr="009C2FDE">
        <w:t xml:space="preserve"> in September 2014 (</w:t>
      </w:r>
      <w:r w:rsidR="006254FC">
        <w:t>41</w:t>
      </w:r>
      <w:r w:rsidRPr="009C2FDE">
        <w:t xml:space="preserve"> awards to </w:t>
      </w:r>
      <w:r w:rsidR="006254FC">
        <w:t xml:space="preserve">state, </w:t>
      </w:r>
      <w:r w:rsidRPr="009C2FDE">
        <w:t>local and tribal go</w:t>
      </w:r>
      <w:r w:rsidR="00824B97" w:rsidRPr="009C2FDE">
        <w:t>vernment</w:t>
      </w:r>
      <w:r w:rsidR="006254FC">
        <w:t>al</w:t>
      </w:r>
      <w:r w:rsidR="00EE40E7" w:rsidRPr="009C2FDE">
        <w:t xml:space="preserve"> </w:t>
      </w:r>
      <w:r w:rsidR="006254FC">
        <w:t xml:space="preserve">agencies </w:t>
      </w:r>
      <w:r w:rsidR="00824B97" w:rsidRPr="009C2FDE">
        <w:t xml:space="preserve">and </w:t>
      </w:r>
      <w:r w:rsidR="006254FC">
        <w:t>52</w:t>
      </w:r>
      <w:r w:rsidR="00824B97" w:rsidRPr="009C2FDE">
        <w:t xml:space="preserve"> awards to </w:t>
      </w:r>
      <w:r w:rsidR="0085485E" w:rsidRPr="009C2FDE">
        <w:t>non-government</w:t>
      </w:r>
      <w:r w:rsidR="006254FC">
        <w:t>al organizations</w:t>
      </w:r>
      <w:r w:rsidR="00A01CEA" w:rsidRPr="009C2FDE">
        <w:t xml:space="preserve">; see </w:t>
      </w:r>
      <w:r w:rsidR="00A01CEA" w:rsidRPr="009C2FDE">
        <w:rPr>
          <w:b/>
        </w:rPr>
        <w:t>Attachment 2</w:t>
      </w:r>
      <w:r w:rsidR="00A01CEA" w:rsidRPr="009C2FDE">
        <w:t xml:space="preserve"> for a List of Awardees</w:t>
      </w:r>
      <w:r w:rsidR="006472DD" w:rsidRPr="009C2FDE">
        <w:t>)</w:t>
      </w:r>
      <w:r w:rsidRPr="009C2FDE">
        <w:t xml:space="preserve">.  </w:t>
      </w:r>
      <w:r w:rsidR="00201653" w:rsidRPr="009C2FDE">
        <w:t xml:space="preserve">Each </w:t>
      </w:r>
      <w:r w:rsidR="004D746C" w:rsidRPr="009C2FDE">
        <w:t xml:space="preserve">DCH </w:t>
      </w:r>
      <w:r w:rsidR="00BD0300" w:rsidRPr="009C2FDE">
        <w:t>program</w:t>
      </w:r>
      <w:r w:rsidR="00201653" w:rsidRPr="009C2FDE">
        <w:t xml:space="preserve"> awardee </w:t>
      </w:r>
      <w:r w:rsidR="00F5266B" w:rsidRPr="009C2FDE">
        <w:t>will be</w:t>
      </w:r>
      <w:r w:rsidR="00201653" w:rsidRPr="009C2FDE">
        <w:t xml:space="preserve"> required to provide</w:t>
      </w:r>
      <w:r w:rsidR="00FE2B16" w:rsidRPr="009C2FDE">
        <w:t xml:space="preserve"> semi-annual reports to CDC describing</w:t>
      </w:r>
      <w:r w:rsidR="00201653" w:rsidRPr="009C2FDE">
        <w:t xml:space="preserve"> its </w:t>
      </w:r>
      <w:r w:rsidR="00FA4AD5" w:rsidRPr="009C2FDE">
        <w:t xml:space="preserve">work </w:t>
      </w:r>
      <w:r w:rsidR="00201653" w:rsidRPr="009C2FDE">
        <w:t xml:space="preserve">plan, activities, and progress toward achieving objectives. </w:t>
      </w:r>
      <w:r w:rsidRPr="009C2FDE">
        <w:t>CDC requests OMB approval to collect this information through a</w:t>
      </w:r>
      <w:r w:rsidR="00E47CDC" w:rsidRPr="009C2FDE">
        <w:t>n electronic</w:t>
      </w:r>
      <w:r w:rsidRPr="009C2FDE">
        <w:t xml:space="preserve"> </w:t>
      </w:r>
      <w:r w:rsidR="00F33207">
        <w:t xml:space="preserve">management information system (MIS).  During </w:t>
      </w:r>
      <w:r w:rsidR="00F850A3">
        <w:t xml:space="preserve">the </w:t>
      </w:r>
      <w:r w:rsidR="00F33207">
        <w:t>development</w:t>
      </w:r>
      <w:r w:rsidR="00F850A3">
        <w:t>al phase</w:t>
      </w:r>
      <w:r w:rsidR="00F33207">
        <w:t xml:space="preserve">, the MIS was called the </w:t>
      </w:r>
      <w:r w:rsidR="00B3693C" w:rsidRPr="009C2FDE">
        <w:t>Policy, Environment, Programmatic, and Infrastructure Database (PEPID)</w:t>
      </w:r>
      <w:r w:rsidRPr="009C2FDE">
        <w:t xml:space="preserve">.  </w:t>
      </w:r>
      <w:r w:rsidR="00F850A3">
        <w:t>The version prepared for release</w:t>
      </w:r>
      <w:r w:rsidR="00F33207">
        <w:t xml:space="preserve"> has been renamed the DCH-Performance Monitoring Database (DCH-PMD; see </w:t>
      </w:r>
      <w:r w:rsidR="00F33207" w:rsidRPr="0050520C">
        <w:rPr>
          <w:b/>
        </w:rPr>
        <w:t>Attachment 3a</w:t>
      </w:r>
      <w:r w:rsidR="00F33207">
        <w:t xml:space="preserve">).  </w:t>
      </w:r>
      <w:r w:rsidR="008C1EF8" w:rsidRPr="009C2FDE">
        <w:t xml:space="preserve">Initial work plans will be entered into the </w:t>
      </w:r>
      <w:r w:rsidR="0076255F">
        <w:t>DCH-PMD</w:t>
      </w:r>
      <w:r w:rsidR="008C1EF8" w:rsidRPr="009C2FDE">
        <w:t xml:space="preserve"> in Fall/Winter 2014, and t</w:t>
      </w:r>
      <w:r w:rsidR="008C677F" w:rsidRPr="009C2FDE">
        <w:t>he first interim report</w:t>
      </w:r>
      <w:r w:rsidR="0089521B" w:rsidRPr="009C2FDE">
        <w:t>s are</w:t>
      </w:r>
      <w:r w:rsidR="008C677F" w:rsidRPr="009C2FDE">
        <w:t xml:space="preserve"> due </w:t>
      </w:r>
      <w:r w:rsidR="00D55FB6" w:rsidRPr="009C2FDE">
        <w:t xml:space="preserve">in </w:t>
      </w:r>
      <w:proofErr w:type="gramStart"/>
      <w:r w:rsidR="00D55FB6" w:rsidRPr="009C2FDE">
        <w:t>Spring</w:t>
      </w:r>
      <w:proofErr w:type="gramEnd"/>
      <w:r w:rsidR="004D746C" w:rsidRPr="009C2FDE">
        <w:t xml:space="preserve"> </w:t>
      </w:r>
      <w:r w:rsidR="002950D8" w:rsidRPr="009C2FDE">
        <w:t>2015</w:t>
      </w:r>
      <w:r w:rsidR="00F8697F" w:rsidRPr="009C2FDE">
        <w:t xml:space="preserve">.  </w:t>
      </w:r>
      <w:r w:rsidR="0076255F">
        <w:t xml:space="preserve">Each awardee will receive an instructional manual </w:t>
      </w:r>
      <w:r w:rsidR="00F850A3">
        <w:t xml:space="preserve">for the MIS </w:t>
      </w:r>
      <w:r w:rsidR="0076255F">
        <w:t xml:space="preserve">(see </w:t>
      </w:r>
      <w:r w:rsidR="0076255F" w:rsidRPr="0050520C">
        <w:rPr>
          <w:b/>
        </w:rPr>
        <w:t>Attachment 3b, DCH-PMD User Guide</w:t>
      </w:r>
      <w:r w:rsidR="0076255F">
        <w:t>) as well as technical a</w:t>
      </w:r>
      <w:r w:rsidR="00477AA5">
        <w:t>ssistance from DCH, as needed.</w:t>
      </w:r>
    </w:p>
    <w:p w:rsidR="00F8697F" w:rsidRPr="009C2FDE" w:rsidRDefault="00F8697F" w:rsidP="00A02743"/>
    <w:p w:rsidR="009469CE" w:rsidRDefault="00F8697F" w:rsidP="00346BD5">
      <w:r w:rsidRPr="009C2FDE">
        <w:t xml:space="preserve">CDC also requests OMB approval to conduct one special-purpose data collection per year </w:t>
      </w:r>
      <w:r w:rsidR="005D4468" w:rsidRPr="009C2FDE">
        <w:t xml:space="preserve">(on average) </w:t>
      </w:r>
      <w:r w:rsidRPr="009C2FDE">
        <w:t>f</w:t>
      </w:r>
      <w:r w:rsidR="00A8354E" w:rsidRPr="009C2FDE">
        <w:t>or awardees funded under DP14-1417</w:t>
      </w:r>
      <w:r w:rsidRPr="009C2FDE">
        <w:t>,</w:t>
      </w:r>
      <w:r w:rsidR="00A8354E" w:rsidRPr="009C2FDE">
        <w:t xml:space="preserve"> DP14-1419PPHF14, or DP14-1418</w:t>
      </w:r>
      <w:r w:rsidRPr="009C2FDE">
        <w:t xml:space="preserve">.  </w:t>
      </w:r>
      <w:r w:rsidR="005D4468" w:rsidRPr="009C2FDE">
        <w:t>CDC anticipates that additional, targeted information may be needed due to</w:t>
      </w:r>
      <w:r w:rsidRPr="009C2FDE">
        <w:t xml:space="preserve"> substantial interest in the new cooperative programs</w:t>
      </w:r>
      <w:r w:rsidR="005D4468" w:rsidRPr="009C2FDE">
        <w:t xml:space="preserve"> from a variety of stakeholders</w:t>
      </w:r>
      <w:r w:rsidRPr="009C2FDE">
        <w:t xml:space="preserve">.  </w:t>
      </w:r>
      <w:r w:rsidR="00137D40">
        <w:t xml:space="preserve">This expectation is based on CDC’s previous experience </w:t>
      </w:r>
      <w:r w:rsidR="004579E4">
        <w:t xml:space="preserve">in </w:t>
      </w:r>
      <w:r w:rsidR="00430FA4">
        <w:t xml:space="preserve">implementing </w:t>
      </w:r>
      <w:r w:rsidR="00137D40">
        <w:t>new</w:t>
      </w:r>
      <w:r w:rsidR="004546B8">
        <w:t xml:space="preserve"> </w:t>
      </w:r>
      <w:r w:rsidR="00346BD5" w:rsidRPr="00346BD5">
        <w:t>cooperative agreement</w:t>
      </w:r>
      <w:r w:rsidR="00430FA4">
        <w:t xml:space="preserve"> programs</w:t>
      </w:r>
      <w:r w:rsidR="00137D40">
        <w:t>.</w:t>
      </w:r>
      <w:r w:rsidR="00346BD5" w:rsidRPr="00346BD5">
        <w:t xml:space="preserve"> </w:t>
      </w:r>
      <w:r w:rsidR="00137D40">
        <w:t xml:space="preserve"> </w:t>
      </w:r>
      <w:r w:rsidR="004B42DD">
        <w:t>In similar circumstances</w:t>
      </w:r>
      <w:r w:rsidR="0070784F">
        <w:t xml:space="preserve">, </w:t>
      </w:r>
      <w:r w:rsidR="00346BD5" w:rsidRPr="00346BD5">
        <w:t xml:space="preserve">CDC has received </w:t>
      </w:r>
      <w:r w:rsidR="00DF5F80">
        <w:t xml:space="preserve">ad hoc </w:t>
      </w:r>
      <w:r w:rsidR="00346BD5" w:rsidRPr="00346BD5">
        <w:t xml:space="preserve">inquiries from various </w:t>
      </w:r>
      <w:r w:rsidR="004546B8">
        <w:t>stakeholders</w:t>
      </w:r>
      <w:r w:rsidR="00346BD5" w:rsidRPr="00346BD5">
        <w:t xml:space="preserve">, such as the National Association of Chronic Disease Directors (NACDD), CDC leadership, the White House, HHS, and Congress. Given that </w:t>
      </w:r>
      <w:r w:rsidR="0070784F">
        <w:t>the</w:t>
      </w:r>
      <w:r w:rsidR="00346BD5" w:rsidRPr="00346BD5">
        <w:t xml:space="preserve"> new </w:t>
      </w:r>
      <w:r w:rsidR="0070784F">
        <w:t xml:space="preserve">DCH </w:t>
      </w:r>
      <w:r w:rsidR="00346BD5" w:rsidRPr="00346BD5">
        <w:t xml:space="preserve">awardees represent many non-traditional organizations (in addition to state and local public health agencies) there is a renewed interest </w:t>
      </w:r>
      <w:r w:rsidR="00DF5F80">
        <w:t>in</w:t>
      </w:r>
      <w:r w:rsidR="00346BD5" w:rsidRPr="00346BD5">
        <w:t xml:space="preserve"> understand</w:t>
      </w:r>
      <w:r w:rsidR="00DF5F80">
        <w:t>ing</w:t>
      </w:r>
      <w:r w:rsidR="00346BD5" w:rsidRPr="00346BD5">
        <w:t xml:space="preserve"> where these organizations are focusing their efforts</w:t>
      </w:r>
      <w:r w:rsidR="004B42DD">
        <w:t>.  For example, CDC could be asked to specify</w:t>
      </w:r>
      <w:r w:rsidR="00D3094C">
        <w:t xml:space="preserve"> how DCH awardees are working in (or with)</w:t>
      </w:r>
      <w:r w:rsidR="00346BD5" w:rsidRPr="00346BD5">
        <w:t xml:space="preserve"> census tracts, cities, rural</w:t>
      </w:r>
      <w:r w:rsidR="003534AB">
        <w:t xml:space="preserve"> areas</w:t>
      </w:r>
      <w:r w:rsidR="00346BD5" w:rsidRPr="00346BD5">
        <w:t xml:space="preserve">, </w:t>
      </w:r>
      <w:r w:rsidR="00346BD5" w:rsidRPr="00346BD5">
        <w:lastRenderedPageBreak/>
        <w:t xml:space="preserve">tribes, or specific diverse populations to achieve their goals.  </w:t>
      </w:r>
      <w:r w:rsidR="00D3094C">
        <w:t>DCH</w:t>
      </w:r>
      <w:r w:rsidR="00346BD5" w:rsidRPr="00346BD5">
        <w:t xml:space="preserve"> cannot fully anticipate the questions that </w:t>
      </w:r>
      <w:r w:rsidR="00D3094C">
        <w:t>may</w:t>
      </w:r>
      <w:r w:rsidR="00346BD5" w:rsidRPr="00346BD5">
        <w:t xml:space="preserve"> be asked</w:t>
      </w:r>
      <w:r w:rsidR="00D3094C">
        <w:t xml:space="preserve">, but proposes a mechanism for </w:t>
      </w:r>
      <w:r w:rsidR="00346BD5" w:rsidRPr="00346BD5">
        <w:t>contact</w:t>
      </w:r>
      <w:r w:rsidR="00D3094C">
        <w:t>ing</w:t>
      </w:r>
      <w:r w:rsidR="00346BD5" w:rsidRPr="00346BD5">
        <w:t xml:space="preserve"> awardees to </w:t>
      </w:r>
      <w:r w:rsidR="00714AE3">
        <w:t>obtain</w:t>
      </w:r>
      <w:r w:rsidR="00CF2AB9">
        <w:t xml:space="preserve"> additional </w:t>
      </w:r>
      <w:r w:rsidR="00F02F2B">
        <w:t xml:space="preserve">or clarifying </w:t>
      </w:r>
      <w:r w:rsidR="00714AE3">
        <w:t>information that may be</w:t>
      </w:r>
      <w:r w:rsidR="00346BD5" w:rsidRPr="00346BD5">
        <w:t xml:space="preserve"> needed to accurately respond to </w:t>
      </w:r>
      <w:r w:rsidR="00714AE3">
        <w:t>ad hoc</w:t>
      </w:r>
      <w:r w:rsidR="00346BD5" w:rsidRPr="00346BD5">
        <w:t xml:space="preserve"> requests.  Moreover, because many DCH awardees are private sector entities, </w:t>
      </w:r>
      <w:r w:rsidR="00CF2AB9">
        <w:t>DCH’s</w:t>
      </w:r>
      <w:r w:rsidR="00346BD5" w:rsidRPr="00346BD5">
        <w:t xml:space="preserve"> ability to fulfill some ad hoc requests through existing generic clearances (such as OSTLTS 0920-0879) is constrained.  We have thus included a provision for targeted</w:t>
      </w:r>
      <w:r w:rsidR="00F850A3">
        <w:t>, supplemental</w:t>
      </w:r>
      <w:r w:rsidR="00346BD5" w:rsidRPr="00346BD5">
        <w:t xml:space="preserve"> information collection in the overall monitoring and reporting plan for DCH awardees.</w:t>
      </w:r>
    </w:p>
    <w:p w:rsidR="009469CE" w:rsidRDefault="009469CE" w:rsidP="00346BD5"/>
    <w:p w:rsidR="00A02743" w:rsidRPr="009C2FDE" w:rsidRDefault="009469CE" w:rsidP="00A02743">
      <w:r>
        <w:t>DCH</w:t>
      </w:r>
      <w:r w:rsidR="00346BD5" w:rsidRPr="00346BD5">
        <w:t xml:space="preserve"> propos</w:t>
      </w:r>
      <w:r>
        <w:t>es</w:t>
      </w:r>
      <w:r w:rsidR="00346BD5" w:rsidRPr="00346BD5">
        <w:t xml:space="preserve"> to use the Change Request mechanism to document the specific</w:t>
      </w:r>
      <w:r>
        <w:t xml:space="preserve"> justification </w:t>
      </w:r>
      <w:r w:rsidR="00F850A3">
        <w:t xml:space="preserve">for </w:t>
      </w:r>
      <w:r>
        <w:t>each</w:t>
      </w:r>
      <w:r w:rsidR="00346BD5" w:rsidRPr="00346BD5">
        <w:t xml:space="preserve"> special data collection</w:t>
      </w:r>
      <w:r w:rsidR="00F850A3">
        <w:t xml:space="preserve">, </w:t>
      </w:r>
      <w:r w:rsidR="005A0416">
        <w:t xml:space="preserve">the proposed </w:t>
      </w:r>
      <w:r w:rsidR="00F850A3">
        <w:t xml:space="preserve">methodology, and </w:t>
      </w:r>
      <w:r w:rsidR="00DF5F80">
        <w:t>mode of information collection</w:t>
      </w:r>
      <w:r w:rsidR="00F850A3">
        <w:t xml:space="preserve"> (</w:t>
      </w:r>
      <w:r w:rsidRPr="009C2FDE">
        <w:t>telephone interview, in-person interview, Web-based survey, or paper-and-pencil survey</w:t>
      </w:r>
      <w:r w:rsidR="00F850A3">
        <w:t>)</w:t>
      </w:r>
      <w:r w:rsidRPr="009C2FDE">
        <w:t>.</w:t>
      </w:r>
    </w:p>
    <w:p w:rsidR="00F850A3" w:rsidRDefault="00F850A3" w:rsidP="00A02743">
      <w:pPr>
        <w:spacing w:after="120"/>
      </w:pPr>
    </w:p>
    <w:p w:rsidR="00413A55" w:rsidRPr="009C2FDE" w:rsidRDefault="00F8697F" w:rsidP="00A02743">
      <w:pPr>
        <w:spacing w:after="120"/>
      </w:pPr>
      <w:r w:rsidRPr="009C2FDE">
        <w:t xml:space="preserve">CDC </w:t>
      </w:r>
      <w:r w:rsidR="00413A55" w:rsidRPr="009C2FDE">
        <w:t>may also use the Change Request mechanism:</w:t>
      </w:r>
    </w:p>
    <w:p w:rsidR="003C044A" w:rsidRPr="009C2FDE" w:rsidRDefault="00413A55" w:rsidP="00701A51">
      <w:pPr>
        <w:pStyle w:val="ListParagraph"/>
        <w:numPr>
          <w:ilvl w:val="0"/>
          <w:numId w:val="40"/>
        </w:numPr>
        <w:spacing w:after="120"/>
      </w:pPr>
      <w:r w:rsidRPr="009C2FDE">
        <w:t>To</w:t>
      </w:r>
      <w:r w:rsidR="00F8697F" w:rsidRPr="009C2FDE">
        <w:t xml:space="preserve"> update the List of Award</w:t>
      </w:r>
      <w:r w:rsidRPr="009C2FDE">
        <w:t xml:space="preserve">ees and the burden estimate associated with this clearance, if the level of funding </w:t>
      </w:r>
      <w:r w:rsidR="00F8697F" w:rsidRPr="009C2FDE">
        <w:t>allows for additional awards under the three FOAs itemized above</w:t>
      </w:r>
      <w:r w:rsidRPr="009C2FDE">
        <w:t>.</w:t>
      </w:r>
    </w:p>
    <w:p w:rsidR="00F8697F" w:rsidRPr="009C2FDE" w:rsidRDefault="00413A55" w:rsidP="00701A51">
      <w:pPr>
        <w:pStyle w:val="ListParagraph"/>
        <w:numPr>
          <w:ilvl w:val="0"/>
          <w:numId w:val="40"/>
        </w:numPr>
        <w:spacing w:after="120"/>
      </w:pPr>
      <w:r w:rsidRPr="009C2FDE">
        <w:t xml:space="preserve">To update the List of Awardees and the burden estimate associated with this clearance, </w:t>
      </w:r>
      <w:r w:rsidR="00F8697F" w:rsidRPr="009C2FDE">
        <w:t>if DCH announces new FOA</w:t>
      </w:r>
      <w:r w:rsidRPr="009C2FDE">
        <w:t xml:space="preserve">s. </w:t>
      </w:r>
      <w:r w:rsidR="00F8697F" w:rsidRPr="009C2FDE">
        <w:t xml:space="preserve">CDC anticipates that </w:t>
      </w:r>
      <w:r w:rsidR="00157AAA" w:rsidRPr="009C2FDE">
        <w:t xml:space="preserve">data collection for </w:t>
      </w:r>
      <w:r w:rsidR="00F8697F" w:rsidRPr="009C2FDE">
        <w:t>all DCH programs will be unified by</w:t>
      </w:r>
      <w:r w:rsidR="00292AC0" w:rsidRPr="009C2FDE">
        <w:t xml:space="preserve"> </w:t>
      </w:r>
      <w:r w:rsidR="00157AAA" w:rsidRPr="009C2FDE">
        <w:t>DCH’s</w:t>
      </w:r>
      <w:r w:rsidR="00292AC0" w:rsidRPr="009C2FDE">
        <w:t xml:space="preserve"> core principles</w:t>
      </w:r>
      <w:r w:rsidR="00F8697F" w:rsidRPr="009C2FDE">
        <w:t xml:space="preserve"> and </w:t>
      </w:r>
      <w:r w:rsidR="00292AC0" w:rsidRPr="009C2FDE">
        <w:t>the</w:t>
      </w:r>
      <w:r w:rsidR="00F8697F" w:rsidRPr="009C2FDE">
        <w:t xml:space="preserve"> performance monitoring strategies (i.e., CDC review of work plans and progress reports)</w:t>
      </w:r>
      <w:r w:rsidRPr="009C2FDE">
        <w:t xml:space="preserve"> outlined in this information collection request.</w:t>
      </w:r>
    </w:p>
    <w:p w:rsidR="00157AAA" w:rsidRPr="009C2FDE" w:rsidRDefault="00157AAA" w:rsidP="00701A51">
      <w:pPr>
        <w:pStyle w:val="ListParagraph"/>
        <w:numPr>
          <w:ilvl w:val="0"/>
          <w:numId w:val="40"/>
        </w:numPr>
        <w:spacing w:after="120"/>
      </w:pPr>
      <w:r w:rsidRPr="009C2FDE">
        <w:t xml:space="preserve">To revise the </w:t>
      </w:r>
      <w:r w:rsidR="0076255F">
        <w:t>DCH-PMD</w:t>
      </w:r>
      <w:r w:rsidRPr="009C2FDE">
        <w:t xml:space="preserve"> data elements </w:t>
      </w:r>
      <w:r w:rsidR="0041387E">
        <w:t xml:space="preserve">and/or the DCH-PMD User Guide </w:t>
      </w:r>
      <w:r w:rsidRPr="009C2FDE">
        <w:t>based on feedback from awardees, DCH’s experience in providing technical assistance to awardees, or needs identified through special purpose data collection requests.</w:t>
      </w:r>
    </w:p>
    <w:p w:rsidR="00AA21CE" w:rsidRPr="009C2FDE" w:rsidRDefault="00AA21CE" w:rsidP="00AA21CE">
      <w:pPr>
        <w:pStyle w:val="ListParagraph"/>
        <w:spacing w:after="120"/>
      </w:pPr>
    </w:p>
    <w:p w:rsidR="001A67DA" w:rsidRPr="009C2FDE" w:rsidRDefault="001A67DA" w:rsidP="001A67DA">
      <w:pPr>
        <w:ind w:left="360"/>
        <w:rPr>
          <w:b/>
        </w:rPr>
      </w:pPr>
      <w:r w:rsidRPr="009C2FDE">
        <w:rPr>
          <w:b/>
        </w:rPr>
        <w:t>2. Purpose and Use of the Information Collection</w:t>
      </w:r>
    </w:p>
    <w:p w:rsidR="001A67DA" w:rsidRPr="009C2FDE" w:rsidRDefault="001A67DA" w:rsidP="001A67DA"/>
    <w:p w:rsidR="001A67DA" w:rsidRPr="009C2FDE" w:rsidRDefault="001A67DA" w:rsidP="001A67DA">
      <w:r w:rsidRPr="009C2FDE">
        <w:t xml:space="preserve">The purpose of the DCH programs is to create healthier communities through </w:t>
      </w:r>
      <w:r w:rsidRPr="009C2FDE">
        <w:rPr>
          <w:bCs/>
        </w:rPr>
        <w:t>implementation of broad, evidence- and practice-based policy and environmental improvements in large and small cities, urban rural areas, tribes, multi-sectorial community coalitions, and racial and ethnic communities experiencing chronic disease disparities.</w:t>
      </w:r>
      <w:r w:rsidRPr="009C2FDE">
        <w:rPr>
          <w:b/>
          <w:bCs/>
        </w:rPr>
        <w:t xml:space="preserve">  </w:t>
      </w:r>
      <w:r w:rsidRPr="009C2FDE">
        <w:rPr>
          <w:bCs/>
        </w:rPr>
        <w:t xml:space="preserve">This program advances the </w:t>
      </w:r>
      <w:hyperlink r:id="rId9" w:history="1">
        <w:r w:rsidRPr="009C2FDE">
          <w:rPr>
            <w:rStyle w:val="Hyperlink"/>
            <w:bCs/>
            <w:i/>
            <w:color w:val="auto"/>
          </w:rPr>
          <w:t>National Prevention Strategy</w:t>
        </w:r>
      </w:hyperlink>
      <w:r w:rsidRPr="009C2FDE">
        <w:rPr>
          <w:bCs/>
          <w:i/>
        </w:rPr>
        <w:t xml:space="preserve"> </w:t>
      </w:r>
      <w:r w:rsidRPr="009C2FDE">
        <w:rPr>
          <w:bCs/>
        </w:rPr>
        <w:t xml:space="preserve">and aligns with its strategic directions and </w:t>
      </w:r>
      <w:r w:rsidRPr="009C2FDE">
        <w:t xml:space="preserve">“Healthy People 2020” focus areas.  </w:t>
      </w:r>
    </w:p>
    <w:p w:rsidR="001A67DA" w:rsidRPr="009C2FDE" w:rsidRDefault="001A67DA" w:rsidP="001A67DA"/>
    <w:p w:rsidR="00346BD5" w:rsidRDefault="00346BD5" w:rsidP="00346BD5">
      <w:r>
        <w:t xml:space="preserve">The information collection and reporting requirements have been carefully designed to align with and support the goals outlined in the DCH cooperative agreements.  The electronic </w:t>
      </w:r>
      <w:r w:rsidR="0076255F">
        <w:t>DCH-PMD</w:t>
      </w:r>
      <w:r>
        <w:t xml:space="preserve"> facilitates collection and reporting of the information in an efficient, standardized, and user-friendly manner.</w:t>
      </w:r>
      <w:r w:rsidR="00E71AA8">
        <w:t xml:space="preserve"> </w:t>
      </w:r>
      <w:r>
        <w:t xml:space="preserve"> It will enable the accurate, reliable, uniform and timely submission to CDC of each awardee’s </w:t>
      </w:r>
      <w:r w:rsidR="00BF32C3">
        <w:t xml:space="preserve">objectives, </w:t>
      </w:r>
      <w:r>
        <w:t>work plans</w:t>
      </w:r>
      <w:r w:rsidR="00BF32C3">
        <w:t>, milestones,</w:t>
      </w:r>
      <w:r>
        <w:t xml:space="preserve"> and progress reports. </w:t>
      </w:r>
      <w:r w:rsidR="00C55878">
        <w:t>The system</w:t>
      </w:r>
      <w:r w:rsidR="00F8450F">
        <w:t xml:space="preserve"> requires awardees to present their Objectives in “SMART” format.  SMART is an acronym for S</w:t>
      </w:r>
      <w:r>
        <w:t xml:space="preserve">pecific, </w:t>
      </w:r>
      <w:r w:rsidR="00F8450F">
        <w:t>M</w:t>
      </w:r>
      <w:r>
        <w:t xml:space="preserve">easurable, </w:t>
      </w:r>
      <w:r w:rsidR="00F8450F">
        <w:t>A</w:t>
      </w:r>
      <w:r>
        <w:t xml:space="preserve">chievable, </w:t>
      </w:r>
      <w:r w:rsidR="00F8450F">
        <w:t>R</w:t>
      </w:r>
      <w:r>
        <w:t xml:space="preserve">elevant and </w:t>
      </w:r>
      <w:r w:rsidR="00F8450F">
        <w:t>T</w:t>
      </w:r>
      <w:r>
        <w:t>ime-framed</w:t>
      </w:r>
      <w:r w:rsidR="00F8450F">
        <w:t xml:space="preserve">.  </w:t>
      </w:r>
      <w:r w:rsidR="00C55878">
        <w:t xml:space="preserve">DCH selected this framework because it </w:t>
      </w:r>
      <w:r w:rsidR="00D71B94">
        <w:t>helps awardees communicate their</w:t>
      </w:r>
      <w:r w:rsidR="00C55878">
        <w:t xml:space="preserve"> objectives in ways that are clear, consistent, and action-oriented</w:t>
      </w:r>
      <w:r>
        <w:t xml:space="preserve">.  Our goal is to systematically educate awardees to re-format their </w:t>
      </w:r>
      <w:r w:rsidR="00937A50">
        <w:t>plans</w:t>
      </w:r>
      <w:r>
        <w:t xml:space="preserve"> into this structure. </w:t>
      </w:r>
    </w:p>
    <w:p w:rsidR="00346BD5" w:rsidRDefault="00346BD5" w:rsidP="00346BD5"/>
    <w:p w:rsidR="00B469E7" w:rsidRDefault="00346BD5" w:rsidP="00B469E7">
      <w:r>
        <w:lastRenderedPageBreak/>
        <w:t xml:space="preserve">The </w:t>
      </w:r>
      <w:r w:rsidR="0076255F">
        <w:t>DCH-PMD</w:t>
      </w:r>
      <w:r>
        <w:t xml:space="preserve"> will </w:t>
      </w:r>
      <w:r w:rsidR="00B469E7">
        <w:t xml:space="preserve">be used to </w:t>
      </w:r>
      <w:r>
        <w:t xml:space="preserve">generate a variety of routine and customizable reports. </w:t>
      </w:r>
      <w:r w:rsidR="00A11EA4">
        <w:t xml:space="preserve">  </w:t>
      </w:r>
      <w:r>
        <w:t xml:space="preserve">Local level reports will allow each awardee to summarize its activities and progress towards meeting work plan objectives.  </w:t>
      </w:r>
      <w:r w:rsidR="00B469E7" w:rsidRPr="009C2FDE">
        <w:t xml:space="preserve">DCH awardees will use the </w:t>
      </w:r>
      <w:r w:rsidR="00B469E7">
        <w:t xml:space="preserve">DCH-PMD </w:t>
      </w:r>
      <w:r w:rsidR="00B469E7" w:rsidRPr="009C2FDE">
        <w:t xml:space="preserve">to manage and coordinate their activities and to improve their efforts to prevent and control chronic diseases.  The </w:t>
      </w:r>
      <w:r w:rsidR="00B469E7">
        <w:t>system</w:t>
      </w:r>
      <w:r w:rsidR="00B469E7" w:rsidRPr="009C2FDE">
        <w:t xml:space="preserve"> will allow awardees to fulfill their semi-annual reporting obligations under the cooperative agreements in an </w:t>
      </w:r>
      <w:r w:rsidR="00B469E7">
        <w:t>efficient manner by employing a</w:t>
      </w:r>
      <w:r w:rsidR="00477AA5">
        <w:t>n integrated platform to organize</w:t>
      </w:r>
      <w:r w:rsidR="00B469E7" w:rsidRPr="009C2FDE">
        <w:t xml:space="preserve"> </w:t>
      </w:r>
      <w:r w:rsidR="00477AA5">
        <w:t xml:space="preserve">the </w:t>
      </w:r>
      <w:r w:rsidR="00B469E7" w:rsidRPr="009C2FDE">
        <w:t xml:space="preserve">information </w:t>
      </w:r>
      <w:r w:rsidR="00B469E7">
        <w:t>needed for producing</w:t>
      </w:r>
      <w:r w:rsidR="00B469E7" w:rsidRPr="009C2FDE">
        <w:t xml:space="preserve"> </w:t>
      </w:r>
      <w:r w:rsidR="00BF32C3">
        <w:t>work plans,</w:t>
      </w:r>
      <w:r w:rsidR="00B469E7" w:rsidRPr="009C2FDE">
        <w:t xml:space="preserve"> progress reports and con</w:t>
      </w:r>
      <w:r w:rsidR="00B469E7">
        <w:t xml:space="preserve">tinuation applications.  The electronic system </w:t>
      </w:r>
      <w:r w:rsidR="00B469E7" w:rsidRPr="009C2FDE">
        <w:t>will</w:t>
      </w:r>
      <w:r w:rsidR="00477AA5">
        <w:t xml:space="preserve"> thus</w:t>
      </w:r>
      <w:r w:rsidR="00B469E7" w:rsidRPr="009C2FDE">
        <w:t xml:space="preserve"> reduce the administrative burden on the yearly continuation application and the progress review process </w:t>
      </w:r>
      <w:r w:rsidR="00B469E7">
        <w:t>by allowing</w:t>
      </w:r>
      <w:r w:rsidR="00B469E7" w:rsidRPr="009C2FDE">
        <w:t xml:space="preserve"> awardees to save pertinent information from o</w:t>
      </w:r>
      <w:r w:rsidR="00B469E7">
        <w:t>ne reporting period to the next</w:t>
      </w:r>
      <w:r w:rsidR="00477AA5">
        <w:t xml:space="preserve">. </w:t>
      </w:r>
      <w:r w:rsidR="00BF32C3">
        <w:t xml:space="preserve"> </w:t>
      </w:r>
      <w:r w:rsidR="00B469E7" w:rsidRPr="009C2FDE">
        <w:t xml:space="preserve">Awardee program staff will be able to review the completeness of </w:t>
      </w:r>
      <w:r w:rsidR="00477AA5">
        <w:t>information</w:t>
      </w:r>
      <w:r w:rsidR="00B469E7" w:rsidRPr="009C2FDE">
        <w:t xml:space="preserve"> necessary to submit required r</w:t>
      </w:r>
      <w:r w:rsidR="00477AA5">
        <w:t>eports, enter basic summary information</w:t>
      </w:r>
      <w:r w:rsidR="00B469E7" w:rsidRPr="009C2FDE">
        <w:t xml:space="preserve"> for reports at least semi-annually, and finalize and save required reports for upload into Grants.gov. </w:t>
      </w:r>
    </w:p>
    <w:p w:rsidR="001A67DA" w:rsidRPr="009C2FDE" w:rsidRDefault="005A0416" w:rsidP="001A67DA">
      <w:r w:rsidRPr="009C2FDE" w:rsidDel="005A0416">
        <w:t xml:space="preserve"> </w:t>
      </w:r>
    </w:p>
    <w:p w:rsidR="00903542" w:rsidRDefault="001A67DA" w:rsidP="001A67DA">
      <w:r w:rsidRPr="009C2FDE">
        <w:t xml:space="preserve">CDC will use the information collected in the </w:t>
      </w:r>
      <w:r w:rsidR="0076255F">
        <w:t>DCH-PMD</w:t>
      </w:r>
      <w:r w:rsidRPr="009C2FDE">
        <w:t xml:space="preserve"> to monitor each awardee’s progress and to identify its strengths and weaknesses.  Monitoring allows CDC to determine whether an awardee is meeting performance goals and to make adjustments in the type and level of technical assistance provided to them, as needed, to support attainment of their objectives.</w:t>
      </w:r>
      <w:r w:rsidR="00903542">
        <w:t xml:space="preserve">  Although each awardee’s progress is assessed principally in terms of its own objectives and work plan, the DCH-PMD will also </w:t>
      </w:r>
      <w:r w:rsidR="00477AA5">
        <w:t xml:space="preserve">provide </w:t>
      </w:r>
      <w:r w:rsidR="00903542">
        <w:t>some capacity to generate reports that monitor progress or describe activities across multiple awardees.</w:t>
      </w:r>
    </w:p>
    <w:p w:rsidR="00903542" w:rsidRDefault="00903542" w:rsidP="001A67DA"/>
    <w:p w:rsidR="001A67DA" w:rsidRPr="009C2FDE" w:rsidRDefault="001A67DA" w:rsidP="001A67DA">
      <w:r w:rsidRPr="009C2FDE">
        <w:t>CDC’s monitoring and evaluation activities also allow CDC to provide oversight of the use of federal funds, and to identify and disseminate information about successful prevention and control strategies implemented by awardees.  These functions are central to the NCCDPHP’s broad mission of reducing the burden of chronic diseases.  Finally, the information collection will allow CDC to monitor the increased emphasis on partnerships and programmatic collaboration, and is expected to reduce duplication of effort, enhance program impact and maximize the use of federal funds.</w:t>
      </w:r>
    </w:p>
    <w:p w:rsidR="001A67DA" w:rsidRPr="009C2FDE" w:rsidRDefault="001A67DA" w:rsidP="001A67DA"/>
    <w:p w:rsidR="00937A50" w:rsidRDefault="0038124B" w:rsidP="001A67DA">
      <w:r w:rsidRPr="009C2FDE">
        <w:t xml:space="preserve">The information collection is designed to address specific objectives outlined in each FOA:  </w:t>
      </w:r>
      <w:r w:rsidRPr="009C2FDE">
        <w:rPr>
          <w:bCs/>
        </w:rPr>
        <w:t xml:space="preserve">DP14-1417, </w:t>
      </w:r>
      <w:r w:rsidRPr="009C2FDE">
        <w:t xml:space="preserve">DP14-1419PPHF14, and </w:t>
      </w:r>
      <w:r w:rsidRPr="009C2FDE">
        <w:rPr>
          <w:rFonts w:eastAsia="Calibri"/>
        </w:rPr>
        <w:t>DP14-1418</w:t>
      </w:r>
      <w:r w:rsidRPr="009C2FDE">
        <w:rPr>
          <w:bCs/>
          <w:color w:val="000000" w:themeColor="text1"/>
        </w:rPr>
        <w:t xml:space="preserve">.  </w:t>
      </w:r>
      <w:r>
        <w:t>I</w:t>
      </w:r>
      <w:r w:rsidR="00937A50">
        <w:t>n addition to routine performance monitoring, CDC wil</w:t>
      </w:r>
      <w:r>
        <w:t>l use the information collected through the DCH-PMD and special data requests</w:t>
      </w:r>
      <w:r w:rsidR="00937A50">
        <w:t xml:space="preserve"> to respond to inquiries from the HHS, the White House, Congress and other stakeholders about DCH program activities and their impact.</w:t>
      </w:r>
      <w:r w:rsidRPr="0038124B">
        <w:t xml:space="preserve"> </w:t>
      </w:r>
      <w:r>
        <w:t xml:space="preserve"> Finally, </w:t>
      </w:r>
      <w:r w:rsidRPr="009C2FDE">
        <w:t xml:space="preserve">CDC will use the results of this information collection to evaluate the </w:t>
      </w:r>
      <w:r>
        <w:t xml:space="preserve">program </w:t>
      </w:r>
      <w:r w:rsidRPr="009C2FDE">
        <w:t>model for future program reporting efforts.</w:t>
      </w:r>
    </w:p>
    <w:p w:rsidR="001A67DA" w:rsidRPr="009C2FDE" w:rsidRDefault="001A67DA" w:rsidP="001A67DA">
      <w:pPr>
        <w:rPr>
          <w:color w:val="000000" w:themeColor="text1"/>
        </w:rPr>
      </w:pPr>
    </w:p>
    <w:p w:rsidR="001A67DA" w:rsidRPr="009C2FDE" w:rsidRDefault="001A67DA" w:rsidP="001A67DA">
      <w:pPr>
        <w:ind w:left="360"/>
      </w:pPr>
    </w:p>
    <w:p w:rsidR="001A67DA" w:rsidRPr="009C2FDE" w:rsidRDefault="001A67DA" w:rsidP="001A67DA">
      <w:pPr>
        <w:tabs>
          <w:tab w:val="left" w:pos="0"/>
        </w:tabs>
        <w:ind w:firstLine="360"/>
        <w:rPr>
          <w:b/>
        </w:rPr>
      </w:pPr>
      <w:r w:rsidRPr="009C2FDE">
        <w:rPr>
          <w:b/>
        </w:rPr>
        <w:t>3. Use of Improved Information Technology and Burden Reduction</w:t>
      </w:r>
    </w:p>
    <w:p w:rsidR="001A67DA" w:rsidRPr="009C2FDE" w:rsidRDefault="001A67DA" w:rsidP="001A67DA">
      <w:pPr>
        <w:tabs>
          <w:tab w:val="num" w:pos="720"/>
        </w:tabs>
      </w:pPr>
    </w:p>
    <w:p w:rsidR="001A67DA" w:rsidRPr="009C2FDE" w:rsidRDefault="001A67DA" w:rsidP="001A67DA">
      <w:pPr>
        <w:spacing w:after="120"/>
      </w:pPr>
      <w:r w:rsidRPr="009C2FDE">
        <w:t xml:space="preserve"> There are significant advantages to collecting information with </w:t>
      </w:r>
      <w:r w:rsidR="00BF32C3">
        <w:t>the</w:t>
      </w:r>
      <w:r w:rsidRPr="009C2FDE">
        <w:t xml:space="preserve"> electronic </w:t>
      </w:r>
      <w:r w:rsidR="0076255F">
        <w:t>DCH-PMD</w:t>
      </w:r>
      <w:r w:rsidRPr="009C2FDE">
        <w:t xml:space="preserve"> system:</w:t>
      </w:r>
    </w:p>
    <w:p w:rsidR="001A67DA" w:rsidRPr="009C2FDE" w:rsidRDefault="001A67DA" w:rsidP="001A67DA">
      <w:pPr>
        <w:pStyle w:val="ListParagraph"/>
        <w:numPr>
          <w:ilvl w:val="0"/>
          <w:numId w:val="30"/>
        </w:numPr>
        <w:spacing w:after="120"/>
        <w:contextualSpacing w:val="0"/>
      </w:pPr>
      <w:r w:rsidRPr="009C2FDE">
        <w:t xml:space="preserve">The use of a standard set of data elements, definitions, and specifications at all levels will help to improve the quality and comparability of performance information that is received by CDC for multiple awardees and multiple award types.  Further, standardization will enhance the consistency of work plans and reports, enable cross-program analysis, and </w:t>
      </w:r>
      <w:r w:rsidRPr="009C2FDE">
        <w:lastRenderedPageBreak/>
        <w:t>will facilitate a higher degree of reliability by ensuring that the same information is collected on all objectives and activities with slightly different areas of emphasis, depending on the awardee type (</w:t>
      </w:r>
      <w:r w:rsidR="007D20F4" w:rsidRPr="009C2FDE">
        <w:t>L</w:t>
      </w:r>
      <w:r w:rsidRPr="009C2FDE">
        <w:t xml:space="preserve">ocal and tribal government </w:t>
      </w:r>
      <w:r w:rsidR="007D20F4" w:rsidRPr="009C2FDE">
        <w:t>entities</w:t>
      </w:r>
      <w:r w:rsidRPr="009C2FDE">
        <w:t xml:space="preserve"> and </w:t>
      </w:r>
      <w:r w:rsidR="007D20F4" w:rsidRPr="009C2FDE">
        <w:t>Non-governmental entities</w:t>
      </w:r>
      <w:r w:rsidRPr="009C2FDE">
        <w:t>).</w:t>
      </w:r>
    </w:p>
    <w:p w:rsidR="001A67DA" w:rsidRPr="009C2FDE" w:rsidRDefault="001A67DA" w:rsidP="001A67DA">
      <w:pPr>
        <w:pStyle w:val="ListParagraph"/>
        <w:numPr>
          <w:ilvl w:val="0"/>
          <w:numId w:val="30"/>
        </w:numPr>
        <w:spacing w:after="120"/>
        <w:contextualSpacing w:val="0"/>
      </w:pPr>
      <w:r w:rsidRPr="009C2FDE">
        <w:t xml:space="preserve">The structure of the </w:t>
      </w:r>
      <w:r w:rsidR="0076255F">
        <w:t>DCH-PMD</w:t>
      </w:r>
      <w:r w:rsidRPr="009C2FDE">
        <w:t xml:space="preserve"> will minimize or eliminate many elements that would otherwise be repeated within stand-alone systems.  Having all of the information collected in the same place in the same manner will reduce the level of burden attributable to redundancy and reduce the workload to enter and maintain the data.  Programs will be able to transfer data from one year to another to minimize data re-entry.</w:t>
      </w:r>
    </w:p>
    <w:p w:rsidR="001A67DA" w:rsidRPr="009C2FDE" w:rsidRDefault="001A67DA" w:rsidP="001A67DA">
      <w:pPr>
        <w:pStyle w:val="ListParagraph"/>
        <w:numPr>
          <w:ilvl w:val="0"/>
          <w:numId w:val="30"/>
        </w:numPr>
        <w:spacing w:after="120"/>
        <w:contextualSpacing w:val="0"/>
      </w:pPr>
      <w:r w:rsidRPr="009C2FDE">
        <w:t xml:space="preserve">The </w:t>
      </w:r>
      <w:r w:rsidR="0076255F">
        <w:t>DCH-PMD</w:t>
      </w:r>
      <w:r w:rsidRPr="009C2FDE">
        <w:t xml:space="preserve"> data structures and business rules will help awardees formulate objectives that are specific, measurable, achievable, relevant and time-framed (SMART).  This formulation is intended to facilitate successful achievement of objectives and is integral to CDC’s evaluation strategy for the DCH programs.</w:t>
      </w:r>
    </w:p>
    <w:p w:rsidR="001A67DA" w:rsidRPr="009C2FDE" w:rsidRDefault="001A67DA" w:rsidP="001A67DA">
      <w:pPr>
        <w:pStyle w:val="ListParagraph"/>
        <w:numPr>
          <w:ilvl w:val="0"/>
          <w:numId w:val="30"/>
        </w:numPr>
        <w:spacing w:after="120"/>
        <w:contextualSpacing w:val="0"/>
      </w:pPr>
      <w:r w:rsidRPr="009C2FDE">
        <w:t xml:space="preserve">The information being collected provides crucial information about each awardee’s work plan, activities, partnerships and progress over the award period.  </w:t>
      </w:r>
    </w:p>
    <w:p w:rsidR="001A67DA" w:rsidRPr="009C2FDE" w:rsidRDefault="001A67DA" w:rsidP="001A67DA">
      <w:pPr>
        <w:pStyle w:val="ListParagraph"/>
        <w:numPr>
          <w:ilvl w:val="0"/>
          <w:numId w:val="30"/>
        </w:numPr>
        <w:spacing w:after="120"/>
        <w:contextualSpacing w:val="0"/>
      </w:pPr>
      <w:r w:rsidRPr="009C2FDE">
        <w:t xml:space="preserve">Awardees will have the capacity to enter updates on an ongoing basis.  This feature of the </w:t>
      </w:r>
      <w:r w:rsidR="0076255F">
        <w:t>DCH-PMD</w:t>
      </w:r>
      <w:r w:rsidRPr="009C2FDE">
        <w:t xml:space="preserve"> is expected to facilitate real time communications with and interim review by CDC, resulting in more timely technical assistance.  The ability to enter updates as activities occur may also result in more complete enumeration of DCH-funded efforts.</w:t>
      </w:r>
    </w:p>
    <w:p w:rsidR="001A67DA" w:rsidRPr="009C2FDE" w:rsidRDefault="001A67DA" w:rsidP="001A67DA">
      <w:pPr>
        <w:pStyle w:val="ListParagraph"/>
        <w:numPr>
          <w:ilvl w:val="0"/>
          <w:numId w:val="30"/>
        </w:numPr>
        <w:spacing w:after="120"/>
        <w:contextualSpacing w:val="0"/>
      </w:pPr>
      <w:r w:rsidRPr="009C2FDE">
        <w:t xml:space="preserve">The report generation capabilities of the electronic </w:t>
      </w:r>
      <w:r w:rsidR="0076255F">
        <w:t>DCH-PMD</w:t>
      </w:r>
      <w:r w:rsidRPr="009C2FDE">
        <w:t xml:space="preserve"> will reduce the respondent burden associated with paper-based reports.  Without the automated </w:t>
      </w:r>
      <w:r w:rsidR="0076255F">
        <w:t>DCH-PMD</w:t>
      </w:r>
      <w:r w:rsidRPr="009C2FDE">
        <w:t xml:space="preserve"> and the integrated approach to information collection and reporting, awardees and CDC would need to continue to use time consuming, labor intensive procedures for information collection and reporting.</w:t>
      </w:r>
    </w:p>
    <w:p w:rsidR="001A67DA" w:rsidRPr="009C2FDE" w:rsidRDefault="001A67DA" w:rsidP="001A67DA">
      <w:pPr>
        <w:pStyle w:val="ListParagraph"/>
        <w:numPr>
          <w:ilvl w:val="0"/>
          <w:numId w:val="30"/>
        </w:numPr>
        <w:spacing w:after="120"/>
        <w:contextualSpacing w:val="0"/>
      </w:pPr>
      <w:r w:rsidRPr="009C2FDE">
        <w:t>Capturing the required information electronically will allow CDC to formulate ad hoc analyses and reports that would be impracticable using paper-based information sources.</w:t>
      </w:r>
      <w:r w:rsidR="00BF32C3">
        <w:t xml:space="preserve">  Prior to adopting an </w:t>
      </w:r>
      <w:r w:rsidR="00F57221">
        <w:t xml:space="preserve">electronic </w:t>
      </w:r>
      <w:r w:rsidR="00BF32C3">
        <w:t>method</w:t>
      </w:r>
      <w:r w:rsidR="00F57221">
        <w:t xml:space="preserve"> of progress reporting, CDC’s ability to respond to ad hoc requests was </w:t>
      </w:r>
      <w:proofErr w:type="gramStart"/>
      <w:r w:rsidR="00F57221">
        <w:t>limited,</w:t>
      </w:r>
      <w:proofErr w:type="gramEnd"/>
      <w:r w:rsidR="00F57221">
        <w:t xml:space="preserve"> and required CDC staff to spend many hours combing through hard copies of reports to organize and summarize information.  Use of the </w:t>
      </w:r>
      <w:r w:rsidR="00BF32C3">
        <w:t xml:space="preserve">keyword-searchable, </w:t>
      </w:r>
      <w:r w:rsidR="00F57221">
        <w:t>electronic DCH-PMD system significantly improves CDC’s ability to identify items of interest</w:t>
      </w:r>
      <w:r w:rsidR="00CD54ED">
        <w:t xml:space="preserve"> in an efficient manner</w:t>
      </w:r>
      <w:r w:rsidR="00F57221">
        <w:t>.</w:t>
      </w:r>
    </w:p>
    <w:p w:rsidR="001A67DA" w:rsidRPr="009C2FDE" w:rsidRDefault="001A67DA" w:rsidP="001A67DA"/>
    <w:p w:rsidR="001A67DA" w:rsidRPr="009C2FDE" w:rsidRDefault="001A67DA" w:rsidP="001A67DA">
      <w:r w:rsidRPr="009C2FDE">
        <w:t xml:space="preserve">DCH has successfully implemented similar </w:t>
      </w:r>
      <w:r w:rsidR="0076255F">
        <w:t>DCH-PMD</w:t>
      </w:r>
      <w:r w:rsidRPr="009C2FDE">
        <w:t>-based awardee monitoring strategies for other programs (see “Monitoring and Reporting System for Community Transformation Grant Awardees,” OMB No. 0920-0946, exp. 8/31/2015).</w:t>
      </w:r>
    </w:p>
    <w:p w:rsidR="001A67DA" w:rsidRPr="009C2FDE" w:rsidRDefault="001A67DA" w:rsidP="001A67DA">
      <w:pPr>
        <w:ind w:left="360"/>
      </w:pPr>
    </w:p>
    <w:p w:rsidR="001A67DA" w:rsidRPr="009C2FDE" w:rsidRDefault="001A67DA" w:rsidP="001A67DA">
      <w:pPr>
        <w:ind w:left="360"/>
        <w:rPr>
          <w:b/>
        </w:rPr>
      </w:pPr>
      <w:r w:rsidRPr="009C2FDE">
        <w:rPr>
          <w:b/>
        </w:rPr>
        <w:t>4. Efforts to Identify Duplication and Use of Similar Information</w:t>
      </w:r>
    </w:p>
    <w:p w:rsidR="001A67DA" w:rsidRPr="009C2FDE" w:rsidRDefault="001A67DA" w:rsidP="001A67DA">
      <w:pPr>
        <w:ind w:left="360"/>
        <w:rPr>
          <w:b/>
        </w:rPr>
      </w:pPr>
    </w:p>
    <w:p w:rsidR="001A67DA" w:rsidRPr="009C2FDE" w:rsidRDefault="001A67DA" w:rsidP="001A67DA">
      <w:r w:rsidRPr="009C2FDE">
        <w:t xml:space="preserve">The collection of this information is part of a federal reporting requirement for funds received by awardees. The </w:t>
      </w:r>
      <w:r w:rsidR="0076255F">
        <w:t>DCH-PMD</w:t>
      </w:r>
      <w:r w:rsidRPr="009C2FDE">
        <w:t xml:space="preserve"> will consolidate information necessary for both continuation applications and progress reports so that information entered once can be used to generate multiple types of reports without having to duplicate efforts.  The information collected from awardees is not available from other sources.  </w:t>
      </w:r>
    </w:p>
    <w:p w:rsidR="001A67DA" w:rsidRPr="009C2FDE" w:rsidRDefault="001A67DA" w:rsidP="001A67DA">
      <w:pPr>
        <w:ind w:left="360"/>
      </w:pPr>
    </w:p>
    <w:p w:rsidR="001A67DA" w:rsidRPr="009C2FDE" w:rsidRDefault="001A67DA" w:rsidP="001A67DA">
      <w:pPr>
        <w:ind w:left="360"/>
        <w:rPr>
          <w:b/>
        </w:rPr>
      </w:pPr>
      <w:r w:rsidRPr="009C2FDE">
        <w:rPr>
          <w:b/>
        </w:rPr>
        <w:t>5. Impact on Small Businesses or Other Small Entities</w:t>
      </w:r>
    </w:p>
    <w:p w:rsidR="001A67DA" w:rsidRPr="009C2FDE" w:rsidRDefault="001A67DA" w:rsidP="001A67DA">
      <w:pPr>
        <w:ind w:left="360"/>
        <w:rPr>
          <w:b/>
        </w:rPr>
      </w:pPr>
    </w:p>
    <w:p w:rsidR="001A67DA" w:rsidRPr="009C2FDE" w:rsidRDefault="001A67DA" w:rsidP="001A67DA">
      <w:r w:rsidRPr="009C2FDE">
        <w:t xml:space="preserve">No small businesses will participate in the </w:t>
      </w:r>
      <w:r w:rsidR="0076255F">
        <w:t>DCH-PMD</w:t>
      </w:r>
      <w:r w:rsidRPr="009C2FDE">
        <w:t xml:space="preserve"> data collection.</w:t>
      </w:r>
    </w:p>
    <w:p w:rsidR="001A67DA" w:rsidRPr="009C2FDE" w:rsidRDefault="001A67DA" w:rsidP="001A67DA">
      <w:pPr>
        <w:ind w:left="360"/>
      </w:pPr>
    </w:p>
    <w:p w:rsidR="001A67DA" w:rsidRPr="009C2FDE" w:rsidRDefault="001A67DA" w:rsidP="001A67DA">
      <w:pPr>
        <w:ind w:left="360"/>
        <w:rPr>
          <w:b/>
        </w:rPr>
      </w:pPr>
      <w:r w:rsidRPr="009C2FDE">
        <w:rPr>
          <w:b/>
        </w:rPr>
        <w:t>6. Consequences of Collecting the Information Less Frequently</w:t>
      </w:r>
    </w:p>
    <w:p w:rsidR="001A67DA" w:rsidRPr="009C2FDE" w:rsidRDefault="001A67DA" w:rsidP="001A67DA">
      <w:pPr>
        <w:ind w:left="360"/>
        <w:rPr>
          <w:b/>
        </w:rPr>
      </w:pPr>
    </w:p>
    <w:p w:rsidR="001A67DA" w:rsidRPr="009C2FDE" w:rsidRDefault="001A67DA" w:rsidP="001A67DA">
      <w:pPr>
        <w:rPr>
          <w:color w:val="000000" w:themeColor="text1"/>
        </w:rPr>
      </w:pPr>
      <w:r w:rsidRPr="009C2FDE">
        <w:rPr>
          <w:color w:val="000000" w:themeColor="text1"/>
        </w:rPr>
        <w:t>Reports will be collected semi-annually. The interim progress report is due no less than 90 days before the end of the budget period and also serves as a non-competing continuation application.  The annual progress report is due no more than 90 days after the end of the budget period. Less frequent reporting would undermine accountability efforts at all levels and negatively impact monitoring awardee progress. The semi-annual reporting schedule ensures that CDC responses to inquiries from HHS, the White House, Congress and other stakeholders are based on timely and up-to-date information. The provision for special-purpose data collections is included to allow CDC to respond in a timely manner to ad hoc requests for information from the White House, Congress, HHS, or other stakeholders; or to obtain additional information needed by CDC for program planning or management.</w:t>
      </w:r>
    </w:p>
    <w:p w:rsidR="001A67DA" w:rsidRPr="009C2FDE" w:rsidRDefault="001A67DA" w:rsidP="001A67DA">
      <w:pPr>
        <w:ind w:left="360"/>
      </w:pPr>
    </w:p>
    <w:p w:rsidR="001A67DA" w:rsidRPr="009C2FDE" w:rsidRDefault="001A67DA" w:rsidP="001A67DA">
      <w:pPr>
        <w:ind w:left="360"/>
        <w:rPr>
          <w:b/>
        </w:rPr>
      </w:pPr>
      <w:r w:rsidRPr="009C2FDE">
        <w:rPr>
          <w:b/>
        </w:rPr>
        <w:t>7. Special Circumstances Relating to the Guidelines of 5 CFR 1320.5</w:t>
      </w:r>
    </w:p>
    <w:p w:rsidR="001A67DA" w:rsidRPr="009C2FDE" w:rsidRDefault="001A67DA" w:rsidP="001A67DA">
      <w:pPr>
        <w:ind w:left="360"/>
        <w:rPr>
          <w:b/>
        </w:rPr>
      </w:pPr>
    </w:p>
    <w:p w:rsidR="001A67DA" w:rsidRPr="009C2FDE" w:rsidRDefault="001A67DA" w:rsidP="001A67DA">
      <w:r w:rsidRPr="009C2FDE">
        <w:t xml:space="preserve">There are no special circumstances related to the </w:t>
      </w:r>
      <w:r w:rsidR="0076255F">
        <w:t>DCH-PMD</w:t>
      </w:r>
      <w:r w:rsidRPr="009C2FDE">
        <w:t>, and the request fully complies with the regulation.</w:t>
      </w:r>
    </w:p>
    <w:p w:rsidR="001A67DA" w:rsidRPr="009C2FDE" w:rsidRDefault="001A67DA" w:rsidP="001A67DA">
      <w:pPr>
        <w:ind w:left="360"/>
      </w:pPr>
    </w:p>
    <w:p w:rsidR="001A67DA" w:rsidRPr="009C2FDE" w:rsidRDefault="001A67DA" w:rsidP="001A67DA">
      <w:pPr>
        <w:ind w:left="360"/>
        <w:rPr>
          <w:b/>
        </w:rPr>
      </w:pPr>
      <w:r w:rsidRPr="009C2FDE">
        <w:rPr>
          <w:b/>
        </w:rPr>
        <w:t xml:space="preserve">8. Comments in Response to the Federal Register Notice and Efforts to Consult Outside Agency: </w:t>
      </w:r>
      <w:r w:rsidRPr="009C2FDE">
        <w:t xml:space="preserve"> </w:t>
      </w:r>
    </w:p>
    <w:p w:rsidR="001A67DA" w:rsidRPr="009C2FDE" w:rsidRDefault="001A67DA" w:rsidP="001A67DA">
      <w:pPr>
        <w:ind w:left="360"/>
        <w:rPr>
          <w:b/>
        </w:rPr>
      </w:pPr>
    </w:p>
    <w:p w:rsidR="001A67DA" w:rsidRPr="009C2FDE" w:rsidRDefault="001A67DA" w:rsidP="001A67DA">
      <w:pPr>
        <w:pStyle w:val="ListParagraph"/>
        <w:numPr>
          <w:ilvl w:val="0"/>
          <w:numId w:val="41"/>
        </w:numPr>
        <w:rPr>
          <w:b/>
        </w:rPr>
      </w:pPr>
      <w:r w:rsidRPr="009C2FDE">
        <w:rPr>
          <w:b/>
        </w:rPr>
        <w:t>Federal Register Notice</w:t>
      </w:r>
    </w:p>
    <w:p w:rsidR="001A67DA" w:rsidRPr="009C2FDE" w:rsidRDefault="001A67DA" w:rsidP="001A67DA">
      <w:pPr>
        <w:pStyle w:val="ListParagraph"/>
      </w:pPr>
    </w:p>
    <w:p w:rsidR="001A67DA" w:rsidRPr="009C2FDE" w:rsidRDefault="001A67DA" w:rsidP="00AA21CE">
      <w:r w:rsidRPr="009C2FDE">
        <w:t xml:space="preserve">A Notice was published in the Federal Register on July 17, 2014, Volume 79, Number 137, pages 41691-41693 (see </w:t>
      </w:r>
      <w:r w:rsidRPr="009C2FDE">
        <w:rPr>
          <w:b/>
        </w:rPr>
        <w:t>Attachment 5)</w:t>
      </w:r>
      <w:r w:rsidRPr="009C2FDE">
        <w:t xml:space="preserve">. No public comments were received.  </w:t>
      </w:r>
    </w:p>
    <w:p w:rsidR="001A67DA" w:rsidRPr="009C2FDE" w:rsidRDefault="001A67DA" w:rsidP="001A67DA">
      <w:pPr>
        <w:ind w:left="360"/>
      </w:pPr>
    </w:p>
    <w:p w:rsidR="001A67DA" w:rsidRPr="009C2FDE" w:rsidRDefault="001A67DA" w:rsidP="001A67DA">
      <w:pPr>
        <w:ind w:left="360"/>
        <w:rPr>
          <w:b/>
        </w:rPr>
      </w:pPr>
      <w:r w:rsidRPr="009C2FDE">
        <w:rPr>
          <w:b/>
        </w:rPr>
        <w:t>B. Other Consultations</w:t>
      </w:r>
    </w:p>
    <w:p w:rsidR="001A67DA" w:rsidRPr="009C2FDE" w:rsidRDefault="001A67DA" w:rsidP="001A67DA">
      <w:pPr>
        <w:ind w:left="360"/>
        <w:rPr>
          <w:b/>
        </w:rPr>
      </w:pPr>
    </w:p>
    <w:p w:rsidR="001A67DA" w:rsidRPr="009C2FDE" w:rsidRDefault="001A67DA" w:rsidP="001A67DA">
      <w:r w:rsidRPr="009C2FDE">
        <w:t xml:space="preserve">The </w:t>
      </w:r>
      <w:r w:rsidR="0076255F">
        <w:t>DCH-PMD</w:t>
      </w:r>
      <w:r w:rsidRPr="009C2FDE">
        <w:t xml:space="preserve"> was designed collaboratively by CDC staff and the data collection contractor.  Consultation will continue throughout the implementation process.</w:t>
      </w:r>
      <w:r w:rsidR="00760582">
        <w:t xml:space="preserve"> There were no other external consultations.</w:t>
      </w:r>
    </w:p>
    <w:p w:rsidR="001A67DA" w:rsidRPr="009C2FDE" w:rsidRDefault="001A67DA" w:rsidP="001A67DA">
      <w:pPr>
        <w:ind w:left="360"/>
        <w:rPr>
          <w:b/>
        </w:rPr>
      </w:pPr>
    </w:p>
    <w:p w:rsidR="001A67DA" w:rsidRPr="009C2FDE" w:rsidRDefault="001A67DA" w:rsidP="001A67DA">
      <w:pPr>
        <w:ind w:left="360"/>
        <w:rPr>
          <w:b/>
        </w:rPr>
      </w:pPr>
      <w:r w:rsidRPr="009C2FDE">
        <w:rPr>
          <w:b/>
        </w:rPr>
        <w:t>9. Explanation of Any Payment or Gift to Respondents</w:t>
      </w:r>
    </w:p>
    <w:p w:rsidR="001A67DA" w:rsidRPr="009C2FDE" w:rsidRDefault="001A67DA" w:rsidP="001A67DA">
      <w:pPr>
        <w:ind w:left="360"/>
        <w:rPr>
          <w:b/>
        </w:rPr>
      </w:pPr>
    </w:p>
    <w:p w:rsidR="001A67DA" w:rsidRPr="009C2FDE" w:rsidRDefault="001A67DA" w:rsidP="001A67DA">
      <w:r w:rsidRPr="009C2FDE">
        <w:t xml:space="preserve">Respondents will not receive payments or gifts for providing information.  </w:t>
      </w:r>
    </w:p>
    <w:p w:rsidR="001A67DA" w:rsidRPr="009C2FDE" w:rsidRDefault="001A67DA" w:rsidP="001A67DA">
      <w:pPr>
        <w:ind w:left="360"/>
      </w:pPr>
    </w:p>
    <w:p w:rsidR="001A67DA" w:rsidRPr="009C2FDE" w:rsidRDefault="001A67DA" w:rsidP="001A67DA">
      <w:pPr>
        <w:ind w:left="360"/>
        <w:rPr>
          <w:b/>
        </w:rPr>
      </w:pPr>
      <w:r w:rsidRPr="009C2FDE">
        <w:rPr>
          <w:b/>
        </w:rPr>
        <w:t>10. Assurance of Confidentiality Provided to Respondents</w:t>
      </w:r>
    </w:p>
    <w:p w:rsidR="001A67DA" w:rsidRPr="009C2FDE" w:rsidRDefault="001A67DA" w:rsidP="001A67DA">
      <w:pPr>
        <w:rPr>
          <w:rFonts w:eastAsia="Calibri"/>
          <w:color w:val="1F497D"/>
        </w:rPr>
      </w:pPr>
    </w:p>
    <w:p w:rsidR="001A67DA" w:rsidRPr="009C2FDE" w:rsidRDefault="001A67DA" w:rsidP="001A67DA">
      <w:pPr>
        <w:tabs>
          <w:tab w:val="left" w:pos="720"/>
        </w:tabs>
      </w:pPr>
    </w:p>
    <w:p w:rsidR="001A67DA" w:rsidRPr="009C2FDE" w:rsidRDefault="001A67DA" w:rsidP="001A67DA">
      <w:pPr>
        <w:pStyle w:val="ListParagraph"/>
        <w:numPr>
          <w:ilvl w:val="1"/>
          <w:numId w:val="42"/>
        </w:numPr>
        <w:tabs>
          <w:tab w:val="left" w:pos="810"/>
        </w:tabs>
        <w:rPr>
          <w:b/>
        </w:rPr>
      </w:pPr>
      <w:r w:rsidRPr="009C2FDE">
        <w:rPr>
          <w:b/>
        </w:rPr>
        <w:t xml:space="preserve">  Privacy Impact Assessment Information</w:t>
      </w:r>
    </w:p>
    <w:p w:rsidR="001A67DA" w:rsidRPr="009C2FDE" w:rsidRDefault="001A67DA" w:rsidP="001A67DA">
      <w:pPr>
        <w:tabs>
          <w:tab w:val="left" w:pos="810"/>
        </w:tabs>
        <w:ind w:left="360"/>
      </w:pPr>
    </w:p>
    <w:p w:rsidR="001A67DA" w:rsidRPr="009C2FDE" w:rsidRDefault="001A67DA" w:rsidP="001A67DA">
      <w:pPr>
        <w:rPr>
          <w:u w:val="single"/>
        </w:rPr>
      </w:pPr>
      <w:r w:rsidRPr="009C2FDE">
        <w:rPr>
          <w:u w:val="single"/>
        </w:rPr>
        <w:lastRenderedPageBreak/>
        <w:t>Overview of data collection</w:t>
      </w:r>
    </w:p>
    <w:p w:rsidR="001A67DA" w:rsidRPr="009C2FDE" w:rsidRDefault="001A67DA" w:rsidP="001A67DA"/>
    <w:p w:rsidR="001A67DA" w:rsidRPr="009C2FDE" w:rsidRDefault="001A67DA" w:rsidP="00A652DC">
      <w:pPr>
        <w:rPr>
          <w:color w:val="000000" w:themeColor="text1"/>
        </w:rPr>
      </w:pPr>
      <w:r w:rsidRPr="009C2FDE">
        <w:rPr>
          <w:color w:val="000000" w:themeColor="text1"/>
        </w:rPr>
        <w:t xml:space="preserve">Information will be collected from DCH awardees through an electronic </w:t>
      </w:r>
      <w:r w:rsidR="0076255F">
        <w:rPr>
          <w:color w:val="000000" w:themeColor="text1"/>
        </w:rPr>
        <w:t>DCH-PMD</w:t>
      </w:r>
      <w:r w:rsidRPr="009C2FDE">
        <w:rPr>
          <w:color w:val="000000" w:themeColor="text1"/>
        </w:rPr>
        <w:t xml:space="preserve">.  </w:t>
      </w:r>
      <w:r w:rsidR="00BF32C3">
        <w:rPr>
          <w:color w:val="000000" w:themeColor="text1"/>
        </w:rPr>
        <w:t>Information</w:t>
      </w:r>
      <w:r w:rsidRPr="009C2FDE">
        <w:rPr>
          <w:color w:val="000000" w:themeColor="text1"/>
        </w:rPr>
        <w:t xml:space="preserve"> placed into the system produces interim and annual reports as PDFs that awardees can use to upload into grants.gov.  This procedure satisfies the routine, semi-annual cooperative agreement reporting requirements.  Progress reports are required twice per year, but data entry can occur on a real-time basis. As a result, the </w:t>
      </w:r>
      <w:r w:rsidR="0076255F">
        <w:rPr>
          <w:color w:val="000000" w:themeColor="text1"/>
        </w:rPr>
        <w:t>DCH-PMD</w:t>
      </w:r>
      <w:r w:rsidRPr="009C2FDE">
        <w:rPr>
          <w:color w:val="000000" w:themeColor="text1"/>
        </w:rPr>
        <w:t xml:space="preserve"> can also be used for ongoing program management, and supports more effective, data-driven technical assistance between NCCDPHP and awardees.</w:t>
      </w:r>
    </w:p>
    <w:p w:rsidR="001A67DA" w:rsidRPr="009C2FDE" w:rsidRDefault="001A67DA" w:rsidP="001A67DA">
      <w:pPr>
        <w:tabs>
          <w:tab w:val="left" w:pos="780"/>
        </w:tabs>
        <w:rPr>
          <w:color w:val="000000" w:themeColor="text1"/>
        </w:rPr>
      </w:pPr>
    </w:p>
    <w:p w:rsidR="001A67DA" w:rsidRPr="009C2FDE" w:rsidRDefault="001A67DA" w:rsidP="001A67DA">
      <w:pPr>
        <w:tabs>
          <w:tab w:val="left" w:pos="780"/>
        </w:tabs>
        <w:rPr>
          <w:color w:val="000000" w:themeColor="text1"/>
        </w:rPr>
      </w:pPr>
      <w:r w:rsidRPr="009C2FDE">
        <w:t xml:space="preserve">The </w:t>
      </w:r>
      <w:r w:rsidR="0076255F">
        <w:t>DCH-PMD</w:t>
      </w:r>
      <w:r w:rsidRPr="009C2FDE">
        <w:t xml:space="preserve"> is a centralized, electronic system that supports the collection and reporting of information that will be used by CDC to help assess the impact </w:t>
      </w:r>
      <w:r w:rsidRPr="009C2FDE">
        <w:rPr>
          <w:color w:val="000000" w:themeColor="text1"/>
        </w:rPr>
        <w:t>of DCH funding</w:t>
      </w:r>
      <w:r w:rsidRPr="009C2FDE">
        <w:t xml:space="preserve">.  The </w:t>
      </w:r>
      <w:r w:rsidR="0076255F">
        <w:t>DCH-PMD</w:t>
      </w:r>
      <w:r w:rsidRPr="009C2FDE">
        <w:t xml:space="preserve"> will be used to describe, evaluate and enhance opportunities for collaborative efforts and partnerships.  Having all this information in a single and secure database will allow CDC Project Officers to search across multiple programs, help ensure consistency in documenting progress and technical assistance, enhance accountability of the use of federal funds, and provide timely reports as frequently requested by HHS, the White House, and Congress.</w:t>
      </w:r>
    </w:p>
    <w:p w:rsidR="001A67DA" w:rsidRPr="009C2FDE" w:rsidRDefault="001A67DA" w:rsidP="001A67DA"/>
    <w:p w:rsidR="001A67DA" w:rsidRPr="009C2FDE" w:rsidRDefault="001A67DA" w:rsidP="001A67DA">
      <w:pPr>
        <w:rPr>
          <w:color w:val="000000" w:themeColor="text1"/>
        </w:rPr>
      </w:pPr>
      <w:r w:rsidRPr="009C2FDE">
        <w:rPr>
          <w:color w:val="000000" w:themeColor="text1"/>
        </w:rPr>
        <w:t>This information collection request includes a provision for special-purpose data collections that may be needed as DCH implements new cooperative agreement funding programs.  The objectives, content, and methods of each request will be described in a Change Request.</w:t>
      </w:r>
    </w:p>
    <w:p w:rsidR="001A67DA" w:rsidRPr="009C2FDE" w:rsidRDefault="001A67DA" w:rsidP="001A67DA"/>
    <w:p w:rsidR="001A67DA" w:rsidRPr="009C2FDE" w:rsidRDefault="001A67DA" w:rsidP="001A67DA"/>
    <w:p w:rsidR="001A67DA" w:rsidRPr="009C2FDE" w:rsidRDefault="001A67DA" w:rsidP="001A67DA">
      <w:pPr>
        <w:rPr>
          <w:u w:val="single"/>
        </w:rPr>
      </w:pPr>
      <w:r w:rsidRPr="009C2FDE">
        <w:rPr>
          <w:u w:val="single"/>
        </w:rPr>
        <w:t xml:space="preserve">Information to be </w:t>
      </w:r>
      <w:r w:rsidR="00AA21CE" w:rsidRPr="009C2FDE">
        <w:rPr>
          <w:u w:val="single"/>
        </w:rPr>
        <w:t>collected</w:t>
      </w:r>
    </w:p>
    <w:p w:rsidR="001A67DA" w:rsidRPr="009C2FDE" w:rsidRDefault="001A67DA" w:rsidP="001A67DA"/>
    <w:p w:rsidR="001A67DA" w:rsidRPr="009C2FDE" w:rsidRDefault="001A67DA" w:rsidP="001A67DA">
      <w:r w:rsidRPr="009C2FDE">
        <w:rPr>
          <w:color w:val="000000" w:themeColor="text1"/>
        </w:rPr>
        <w:t xml:space="preserve">Awardees will store information in the </w:t>
      </w:r>
      <w:r w:rsidR="0076255F">
        <w:rPr>
          <w:color w:val="000000" w:themeColor="text1"/>
        </w:rPr>
        <w:t>DCH-PMD</w:t>
      </w:r>
      <w:r w:rsidRPr="009C2FDE">
        <w:rPr>
          <w:color w:val="000000" w:themeColor="text1"/>
        </w:rPr>
        <w:t xml:space="preserve"> about their personnel, work plan objectives, milestones and activities, resources, and facilitators and barriers to success.  The </w:t>
      </w:r>
      <w:r w:rsidR="0076255F">
        <w:rPr>
          <w:color w:val="000000" w:themeColor="text1"/>
        </w:rPr>
        <w:t>DCH-PMD</w:t>
      </w:r>
      <w:r w:rsidRPr="009C2FDE">
        <w:rPr>
          <w:color w:val="000000" w:themeColor="text1"/>
        </w:rPr>
        <w:t xml:space="preserve"> will also collect information about the staffing resources dedicated by each awardee as well as partnerships with external organizations. The </w:t>
      </w:r>
      <w:r w:rsidR="0076255F">
        <w:rPr>
          <w:color w:val="000000" w:themeColor="text1"/>
        </w:rPr>
        <w:t>DCH-PMD</w:t>
      </w:r>
      <w:r w:rsidRPr="009C2FDE">
        <w:rPr>
          <w:color w:val="000000" w:themeColor="text1"/>
        </w:rPr>
        <w:t xml:space="preserve"> requires DCH</w:t>
      </w:r>
      <w:r w:rsidRPr="009C2FDE">
        <w:t xml:space="preserve"> awardees to define their objectives in action-oriented SMART format (Specific, Measurable, Achievable, Relevant, and Time-Framed).  </w:t>
      </w:r>
    </w:p>
    <w:p w:rsidR="001A67DA" w:rsidRPr="009C2FDE" w:rsidRDefault="001A67DA" w:rsidP="001A67DA">
      <w:pPr>
        <w:rPr>
          <w:color w:val="000000" w:themeColor="text1"/>
        </w:rPr>
      </w:pPr>
    </w:p>
    <w:p w:rsidR="001A67DA" w:rsidRPr="009C2FDE" w:rsidRDefault="001A67DA" w:rsidP="001A67DA">
      <w:pPr>
        <w:rPr>
          <w:color w:val="000000" w:themeColor="text1"/>
        </w:rPr>
      </w:pPr>
      <w:r w:rsidRPr="009C2FDE">
        <w:rPr>
          <w:color w:val="000000" w:themeColor="text1"/>
        </w:rPr>
        <w:t xml:space="preserve">The </w:t>
      </w:r>
      <w:r w:rsidR="0076255F">
        <w:rPr>
          <w:color w:val="000000" w:themeColor="text1"/>
        </w:rPr>
        <w:t>DCH-PMD</w:t>
      </w:r>
      <w:r w:rsidRPr="009C2FDE">
        <w:rPr>
          <w:color w:val="000000" w:themeColor="text1"/>
        </w:rPr>
        <w:t xml:space="preserve"> will collect a limited amount of information in identifiable form (IIF) for key program staff (e.g., Program Director).  Each awardee will provide the names of these individuals as well as their professional contact information</w:t>
      </w:r>
      <w:r w:rsidRPr="009C2FDE">
        <w:t xml:space="preserve">.  </w:t>
      </w:r>
      <w:r w:rsidRPr="009C2FDE">
        <w:rPr>
          <w:rFonts w:eastAsia="Calibri"/>
        </w:rPr>
        <w:t xml:space="preserve">No individually identifiable information will be collected; and, </w:t>
      </w:r>
      <w:r w:rsidRPr="009C2FDE">
        <w:rPr>
          <w:color w:val="000000" w:themeColor="text1"/>
        </w:rPr>
        <w:t>no personal contact information will be collected.</w:t>
      </w:r>
    </w:p>
    <w:p w:rsidR="001A67DA" w:rsidRPr="009C2FDE" w:rsidRDefault="001A67DA" w:rsidP="001A67DA">
      <w:pPr>
        <w:rPr>
          <w:color w:val="000000" w:themeColor="text1"/>
        </w:rPr>
      </w:pPr>
    </w:p>
    <w:p w:rsidR="001A67DA" w:rsidRPr="009C2FDE" w:rsidRDefault="001A67DA" w:rsidP="001A67DA">
      <w:pPr>
        <w:rPr>
          <w:u w:val="single"/>
        </w:rPr>
      </w:pPr>
      <w:r w:rsidRPr="009C2FDE">
        <w:rPr>
          <w:u w:val="single"/>
        </w:rPr>
        <w:t xml:space="preserve">How the information will be shared and for what purpose </w:t>
      </w:r>
    </w:p>
    <w:p w:rsidR="001A67DA" w:rsidRPr="009C2FDE" w:rsidRDefault="001A67DA" w:rsidP="001A67DA"/>
    <w:p w:rsidR="001A67DA" w:rsidRPr="009C2FDE" w:rsidRDefault="001A67DA" w:rsidP="001A67DA">
      <w:r w:rsidRPr="009C2FDE">
        <w:t xml:space="preserve">The </w:t>
      </w:r>
      <w:r w:rsidR="0076255F">
        <w:t>DCH-PMD</w:t>
      </w:r>
      <w:r w:rsidRPr="009C2FDE">
        <w:t xml:space="preserve"> will generate a variety of routine and customizable reports.  Local level reports will allow each awardee to summarize its activities and progress towards meeting work plan objectives.  CDC will also have the capacity to generate reports that describe activities across multiple awardees.  CDC will also use the information collection to respond to inquiries from the HHS, the White House, Congress and other stakeholders about DCH program activities and their impact.  We have learned that in standing up new programs, we often receive inquiries about use of funds and want to provide for that type of circumstance in this request.  Each time a special </w:t>
      </w:r>
      <w:r w:rsidRPr="009C2FDE">
        <w:lastRenderedPageBreak/>
        <w:t>data call occurs, CDC would provide the request for information to OMB for review and approval.</w:t>
      </w:r>
    </w:p>
    <w:p w:rsidR="001A67DA" w:rsidRPr="009C2FDE" w:rsidRDefault="001A67DA" w:rsidP="001A67DA"/>
    <w:p w:rsidR="001A67DA" w:rsidRPr="009C2FDE" w:rsidRDefault="001A67DA" w:rsidP="001A67DA">
      <w:pPr>
        <w:rPr>
          <w:u w:val="single"/>
        </w:rPr>
      </w:pPr>
      <w:r w:rsidRPr="009C2FDE">
        <w:rPr>
          <w:u w:val="single"/>
        </w:rPr>
        <w:t>Impact the proposed collection will have on the respondent’s privacy</w:t>
      </w:r>
    </w:p>
    <w:p w:rsidR="001A67DA" w:rsidRPr="009C2FDE" w:rsidRDefault="001A67DA" w:rsidP="001A67DA">
      <w:pPr>
        <w:rPr>
          <w:u w:val="single"/>
        </w:rPr>
      </w:pPr>
    </w:p>
    <w:p w:rsidR="001A67DA" w:rsidRPr="009C2FDE" w:rsidRDefault="001A67DA" w:rsidP="001A67DA">
      <w:pPr>
        <w:rPr>
          <w:u w:val="single"/>
        </w:rPr>
      </w:pPr>
      <w:r w:rsidRPr="009C2FDE">
        <w:rPr>
          <w:color w:val="000000" w:themeColor="text1"/>
        </w:rPr>
        <w:t xml:space="preserve">Information will be not being collected about individuals; rather the data that is collected from DCH awardees consists of </w:t>
      </w:r>
      <w:r w:rsidRPr="009C2FDE">
        <w:t xml:space="preserve">work plans and progress reports, including objectives and milestones.  </w:t>
      </w:r>
    </w:p>
    <w:p w:rsidR="001A67DA" w:rsidRPr="009C2FDE" w:rsidRDefault="001A67DA" w:rsidP="001A67DA"/>
    <w:p w:rsidR="001A67DA" w:rsidRPr="009C2FDE" w:rsidRDefault="001A67DA" w:rsidP="001A67DA"/>
    <w:p w:rsidR="001A67DA" w:rsidRPr="009C2FDE" w:rsidRDefault="001A67DA" w:rsidP="001A67DA">
      <w:pPr>
        <w:rPr>
          <w:u w:val="single"/>
        </w:rPr>
      </w:pPr>
      <w:r w:rsidRPr="009C2FDE">
        <w:rPr>
          <w:u w:val="single"/>
        </w:rPr>
        <w:t>Whether individuals are informed that providing the information is voluntary or mandatory</w:t>
      </w:r>
    </w:p>
    <w:p w:rsidR="001A67DA" w:rsidRPr="009C2FDE" w:rsidRDefault="001A67DA" w:rsidP="001A67DA">
      <w:pPr>
        <w:tabs>
          <w:tab w:val="left" w:pos="810"/>
        </w:tabs>
        <w:rPr>
          <w:u w:val="single"/>
        </w:rPr>
      </w:pPr>
    </w:p>
    <w:p w:rsidR="001A67DA" w:rsidRPr="009C2FDE" w:rsidRDefault="001A67DA" w:rsidP="001A67DA">
      <w:pPr>
        <w:tabs>
          <w:tab w:val="left" w:pos="810"/>
        </w:tabs>
      </w:pPr>
      <w:r w:rsidRPr="009C2FDE">
        <w:t>Awardees are required to respond as a condition of cooperative agreement funding.</w:t>
      </w:r>
    </w:p>
    <w:p w:rsidR="001A67DA" w:rsidRPr="009C2FDE" w:rsidRDefault="001A67DA" w:rsidP="001A67DA">
      <w:pPr>
        <w:tabs>
          <w:tab w:val="left" w:pos="810"/>
        </w:tabs>
      </w:pPr>
    </w:p>
    <w:p w:rsidR="001A67DA" w:rsidRPr="009C2FDE" w:rsidRDefault="001A67DA" w:rsidP="001A67DA">
      <w:pPr>
        <w:tabs>
          <w:tab w:val="left" w:pos="810"/>
        </w:tabs>
        <w:rPr>
          <w:rFonts w:eastAsia="Calibri"/>
          <w:color w:val="1F497D"/>
        </w:rPr>
      </w:pPr>
    </w:p>
    <w:p w:rsidR="001A67DA" w:rsidRPr="009C2FDE" w:rsidRDefault="001A67DA" w:rsidP="001A67DA">
      <w:pPr>
        <w:tabs>
          <w:tab w:val="left" w:pos="810"/>
        </w:tabs>
        <w:rPr>
          <w:u w:val="single"/>
        </w:rPr>
      </w:pPr>
      <w:r w:rsidRPr="009C2FDE">
        <w:rPr>
          <w:rFonts w:eastAsia="Calibri"/>
          <w:u w:val="single"/>
        </w:rPr>
        <w:t>Opportunities to consent, if any, to sharing and submission of information</w:t>
      </w:r>
    </w:p>
    <w:p w:rsidR="001A67DA" w:rsidRPr="009C2FDE" w:rsidRDefault="001A67DA" w:rsidP="001A67DA"/>
    <w:p w:rsidR="001A67DA" w:rsidRPr="009C2FDE" w:rsidRDefault="001A67DA" w:rsidP="001A67DA">
      <w:r w:rsidRPr="009C2FDE">
        <w:t xml:space="preserve">The </w:t>
      </w:r>
      <w:r w:rsidR="0076255F">
        <w:t>DCH-PMD</w:t>
      </w:r>
      <w:r w:rsidRPr="009C2FDE">
        <w:t xml:space="preserve"> data collection does not involve research with human subject</w:t>
      </w:r>
      <w:r w:rsidR="00A314F5" w:rsidRPr="009C2FDE">
        <w:t>s</w:t>
      </w:r>
      <w:r w:rsidRPr="009C2FDE">
        <w:t>. Awardees are cooperative agreement awardees.  The information collection does not require consent from individuals, or IRB approval.</w:t>
      </w:r>
    </w:p>
    <w:p w:rsidR="001A67DA" w:rsidRPr="009C2FDE" w:rsidRDefault="001A67DA" w:rsidP="001A67DA"/>
    <w:p w:rsidR="001A67DA" w:rsidRPr="009C2FDE" w:rsidRDefault="001A67DA" w:rsidP="001A67DA"/>
    <w:p w:rsidR="001A67DA" w:rsidRPr="009C2FDE" w:rsidRDefault="001A67DA" w:rsidP="001A67DA">
      <w:pPr>
        <w:rPr>
          <w:u w:val="single"/>
        </w:rPr>
      </w:pPr>
      <w:r w:rsidRPr="009C2FDE">
        <w:rPr>
          <w:rFonts w:eastAsia="Calibri"/>
          <w:u w:val="single"/>
        </w:rPr>
        <w:t>How the information will be secured</w:t>
      </w:r>
      <w:r w:rsidRPr="009C2FDE">
        <w:rPr>
          <w:u w:val="single"/>
        </w:rPr>
        <w:t xml:space="preserve"> </w:t>
      </w:r>
    </w:p>
    <w:p w:rsidR="001A67DA" w:rsidRPr="009C2FDE" w:rsidRDefault="001A67DA" w:rsidP="001A67DA"/>
    <w:p w:rsidR="001A67DA" w:rsidRPr="009C2FDE" w:rsidRDefault="001A67DA" w:rsidP="001A67DA">
      <w:pPr>
        <w:tabs>
          <w:tab w:val="left" w:pos="810"/>
        </w:tabs>
      </w:pPr>
      <w:r w:rsidRPr="009C2FDE">
        <w:t xml:space="preserve">Access to the </w:t>
      </w:r>
      <w:r w:rsidR="0076255F">
        <w:t>DCH-PMD</w:t>
      </w:r>
      <w:r w:rsidRPr="009C2FDE">
        <w:t xml:space="preserve"> will be controlled by a password-protected login. Access levels vary from read-only to read-write, based on the user’s role and needs. Each awardee will have access to its own information and decide the level of access for each of its authorized users. The extent to which local partners may access an awardee’s information will be decided by that awardee. CDC staff, and evaluation, and technical assistance and training contractors will have varying levels of access to the system with role-appropriate security training, based on the requirements of their position(s).  Aggregated information will be stored on an internal CDC SQL server subject to CDC’s information security guidelines.  The </w:t>
      </w:r>
      <w:r w:rsidR="0076255F">
        <w:t>DCH-PMD</w:t>
      </w:r>
      <w:r w:rsidRPr="009C2FDE">
        <w:t xml:space="preserve"> will be hosted on NCCDPHP’s Intranet and Internet Application platforms, which undergo security certification and accreditation through CDC’s Office of the Chief Information Security Officer. </w:t>
      </w:r>
    </w:p>
    <w:p w:rsidR="001A67DA" w:rsidRPr="009C2FDE" w:rsidRDefault="001A67DA" w:rsidP="001A67DA"/>
    <w:p w:rsidR="001A67DA" w:rsidRPr="009C2FDE" w:rsidRDefault="00A314F5" w:rsidP="001A67DA">
      <w:pPr>
        <w:rPr>
          <w:u w:val="single"/>
        </w:rPr>
      </w:pPr>
      <w:r w:rsidRPr="009C2FDE">
        <w:rPr>
          <w:u w:val="single"/>
        </w:rPr>
        <w:t>Privacy Act Determination</w:t>
      </w:r>
    </w:p>
    <w:p w:rsidR="00A314F5" w:rsidRPr="009C2FDE" w:rsidRDefault="00A314F5" w:rsidP="001A67DA">
      <w:pPr>
        <w:rPr>
          <w:u w:val="single"/>
        </w:rPr>
      </w:pPr>
    </w:p>
    <w:p w:rsidR="00A314F5" w:rsidRPr="009C2FDE" w:rsidRDefault="008A28FE" w:rsidP="001A67DA">
      <w:r w:rsidRPr="009C2FDE">
        <w:t>Staff in the CDC Information Collection Review Office have reviewed this Information Collection Request and have determined that the Privacy Act is not applicable. The data collection does not involve collection of sensitive or identifiable personal information.  Respondents are state and local governmental agencies, tribes and territories, state or local non-profit organizations, and national networks of community-based organizations.  Although contact information is obtained for each awardee, the contact person provides information about the organization, not personal information.</w:t>
      </w:r>
    </w:p>
    <w:p w:rsidR="001A67DA" w:rsidRPr="009C2FDE" w:rsidRDefault="001A67DA" w:rsidP="001A67DA">
      <w:pPr>
        <w:tabs>
          <w:tab w:val="num" w:pos="360"/>
          <w:tab w:val="left" w:pos="810"/>
        </w:tabs>
        <w:ind w:left="360" w:hanging="360"/>
      </w:pPr>
    </w:p>
    <w:p w:rsidR="00F8697F" w:rsidRPr="009C2FDE" w:rsidRDefault="00F8697F" w:rsidP="005C7FD2"/>
    <w:p w:rsidR="00375EF4" w:rsidRPr="009C2FDE" w:rsidRDefault="00375EF4" w:rsidP="00375EF4">
      <w:pPr>
        <w:ind w:left="360"/>
        <w:rPr>
          <w:b/>
        </w:rPr>
      </w:pPr>
      <w:r w:rsidRPr="009C2FDE">
        <w:rPr>
          <w:b/>
        </w:rPr>
        <w:t>11. Justification for Sensitive Questions</w:t>
      </w:r>
    </w:p>
    <w:p w:rsidR="00375EF4" w:rsidRPr="009C2FDE" w:rsidRDefault="00375EF4" w:rsidP="00375EF4">
      <w:pPr>
        <w:ind w:left="360"/>
      </w:pPr>
    </w:p>
    <w:p w:rsidR="00B848D7" w:rsidRPr="009C2FDE" w:rsidRDefault="00375EF4" w:rsidP="0076452B">
      <w:r w:rsidRPr="009C2FDE">
        <w:t xml:space="preserve">The </w:t>
      </w:r>
      <w:r w:rsidR="0076255F">
        <w:t>DCH-PMD</w:t>
      </w:r>
      <w:r w:rsidRPr="009C2FDE">
        <w:t xml:space="preserve"> instrument does not collect sensitive information. No personal information is requested. The </w:t>
      </w:r>
      <w:r w:rsidR="0076255F">
        <w:t>DCH-PMD</w:t>
      </w:r>
      <w:r w:rsidRPr="009C2FDE">
        <w:t xml:space="preserve"> will collect a limited amount of information in identifiable form (IIF) for key program staff (e.g., Program Director). Each awardee will provide the names of these individuals as well as their professional contact information.  The contact person will only provide information about activities conducted under the collaborative award, not personal information.</w:t>
      </w:r>
    </w:p>
    <w:p w:rsidR="00375EF4" w:rsidRPr="009C2FDE" w:rsidRDefault="00375EF4" w:rsidP="00375EF4">
      <w:pPr>
        <w:ind w:left="360"/>
      </w:pPr>
    </w:p>
    <w:p w:rsidR="00D720BD" w:rsidRPr="009C2FDE" w:rsidRDefault="00D720BD" w:rsidP="00207287">
      <w:pPr>
        <w:ind w:left="360"/>
        <w:rPr>
          <w:b/>
        </w:rPr>
      </w:pPr>
      <w:r w:rsidRPr="009C2FDE">
        <w:rPr>
          <w:b/>
        </w:rPr>
        <w:t>12. Estimates of Annualized Burden Hours and Costs</w:t>
      </w:r>
      <w:r w:rsidR="00AC268F" w:rsidRPr="009C2FDE">
        <w:rPr>
          <w:b/>
        </w:rPr>
        <w:t xml:space="preserve"> to Respondents</w:t>
      </w:r>
    </w:p>
    <w:p w:rsidR="003B6135" w:rsidRPr="009C2FDE" w:rsidRDefault="003B6135" w:rsidP="00207287">
      <w:pPr>
        <w:ind w:left="360"/>
        <w:rPr>
          <w:b/>
        </w:rPr>
      </w:pPr>
    </w:p>
    <w:p w:rsidR="0089686C" w:rsidRPr="009C2FDE" w:rsidRDefault="00D720BD" w:rsidP="0089686C">
      <w:pPr>
        <w:ind w:left="360"/>
        <w:rPr>
          <w:b/>
        </w:rPr>
      </w:pPr>
      <w:r w:rsidRPr="009C2FDE">
        <w:rPr>
          <w:b/>
        </w:rPr>
        <w:t>A. Estimated Annualized Burden Hours</w:t>
      </w:r>
      <w:r w:rsidR="0089686C" w:rsidRPr="009C2FDE">
        <w:t xml:space="preserve"> </w:t>
      </w:r>
    </w:p>
    <w:p w:rsidR="0089686C" w:rsidRPr="009C2FDE" w:rsidRDefault="0089686C" w:rsidP="0089686C">
      <w:pPr>
        <w:ind w:left="360"/>
        <w:rPr>
          <w:b/>
        </w:rPr>
      </w:pPr>
    </w:p>
    <w:p w:rsidR="00AF0910" w:rsidRDefault="00AF0910" w:rsidP="00AF0910"/>
    <w:p w:rsidR="00AF0910" w:rsidRPr="00CB1C59" w:rsidRDefault="00AF0910" w:rsidP="00AF0910">
      <w:r w:rsidRPr="00CB1C59">
        <w:t xml:space="preserve">Awardees will report information to CDC about their objectives and activities </w:t>
      </w:r>
      <w:r w:rsidR="000468CC">
        <w:t xml:space="preserve">through </w:t>
      </w:r>
      <w:r w:rsidR="00680661">
        <w:t xml:space="preserve">the DCH-PMD, </w:t>
      </w:r>
      <w:r w:rsidR="000468CC">
        <w:t xml:space="preserve">an electronic interface </w:t>
      </w:r>
      <w:r w:rsidRPr="00CB1C59">
        <w:t xml:space="preserve">(see </w:t>
      </w:r>
      <w:r w:rsidRPr="00CB1C59">
        <w:rPr>
          <w:b/>
        </w:rPr>
        <w:t xml:space="preserve">Attachment </w:t>
      </w:r>
      <w:r>
        <w:rPr>
          <w:b/>
        </w:rPr>
        <w:t>3</w:t>
      </w:r>
      <w:r w:rsidR="000468CC">
        <w:rPr>
          <w:b/>
        </w:rPr>
        <w:t>a</w:t>
      </w:r>
      <w:r w:rsidRPr="00CB1C59">
        <w:t xml:space="preserve">).  Current respondents are the </w:t>
      </w:r>
      <w:r>
        <w:t>93</w:t>
      </w:r>
      <w:r w:rsidRPr="00CB1C59">
        <w:t xml:space="preserve"> awardees f</w:t>
      </w:r>
      <w:r w:rsidR="00A349D6">
        <w:t>or PICH, REACH, and National Implementation</w:t>
      </w:r>
      <w:r w:rsidRPr="00CB1C59">
        <w:t xml:space="preserve"> FOAs. </w:t>
      </w:r>
      <w:r>
        <w:t>Of these awardees, 41 are from the state, local, and tribal government sector, and 52 awardees are from the private sector.</w:t>
      </w:r>
    </w:p>
    <w:p w:rsidR="00AF0910" w:rsidRPr="00CB1C59" w:rsidRDefault="00AF0910" w:rsidP="00AF0910">
      <w:pPr>
        <w:ind w:left="360"/>
      </w:pPr>
    </w:p>
    <w:p w:rsidR="00AF0910" w:rsidRPr="00CB1C59" w:rsidRDefault="00AF0910" w:rsidP="00AF0910">
      <w:r w:rsidRPr="00CB1C59">
        <w:t xml:space="preserve">CDC anticipates that burden to respondents will vary substantially over the </w:t>
      </w:r>
      <w:r>
        <w:t>three-year clearance</w:t>
      </w:r>
      <w:r w:rsidRPr="00CB1C59">
        <w:t xml:space="preserve"> period.  The time commitments for </w:t>
      </w:r>
      <w:r w:rsidR="0076255F">
        <w:t>DCH-PMD</w:t>
      </w:r>
      <w:r w:rsidR="004821DE">
        <w:t xml:space="preserve"> </w:t>
      </w:r>
      <w:r w:rsidRPr="00CB1C59">
        <w:t>data entry and training are greatest during the initial population of the MIS, typically in the first six months of funding.  Estimated burden for the</w:t>
      </w:r>
      <w:r>
        <w:t xml:space="preserve"> </w:t>
      </w:r>
      <w:r w:rsidRPr="00CB1C59">
        <w:t xml:space="preserve">one-time population of the </w:t>
      </w:r>
      <w:r w:rsidR="0076255F">
        <w:t>DCH-PMD</w:t>
      </w:r>
      <w:r w:rsidRPr="00CB1C59">
        <w:t xml:space="preserve"> is </w:t>
      </w:r>
      <w:r>
        <w:t xml:space="preserve">15 </w:t>
      </w:r>
      <w:r w:rsidRPr="00CB1C59">
        <w:t>hours</w:t>
      </w:r>
      <w:r w:rsidR="00A349D6">
        <w:t xml:space="preserve"> and will be annualized over the 3-year clearance period</w:t>
      </w:r>
      <w:r w:rsidRPr="00CB1C59">
        <w:t>.</w:t>
      </w:r>
      <w:r>
        <w:t xml:space="preserve">  </w:t>
      </w:r>
      <w:r w:rsidR="00680661">
        <w:t>The</w:t>
      </w:r>
      <w:r w:rsidR="00680661" w:rsidRPr="00E71AA8">
        <w:t xml:space="preserve"> initial burden estimate of 15 hours is based on previous experience with a similar </w:t>
      </w:r>
      <w:r w:rsidR="00680661">
        <w:t>MIS</w:t>
      </w:r>
      <w:r w:rsidR="00680661" w:rsidRPr="00E71AA8">
        <w:t xml:space="preserve"> that has been used with other DCH awardees in the past (OMB No</w:t>
      </w:r>
      <w:r w:rsidR="00680661">
        <w:t>. 0920-0946, exp. 8/31/2015).  The estimate</w:t>
      </w:r>
      <w:r w:rsidR="00BF32C3">
        <w:t xml:space="preserve"> of 15 hours</w:t>
      </w:r>
      <w:r w:rsidR="00680661">
        <w:t xml:space="preserve"> provides</w:t>
      </w:r>
      <w:r w:rsidR="00680661" w:rsidRPr="00E71AA8">
        <w:t xml:space="preserve"> sufficient time </w:t>
      </w:r>
      <w:r w:rsidR="00680661">
        <w:t xml:space="preserve">for awardees </w:t>
      </w:r>
      <w:r w:rsidR="00680661" w:rsidRPr="00E71AA8">
        <w:t xml:space="preserve">to learn the </w:t>
      </w:r>
      <w:r w:rsidR="00680661">
        <w:t>DCH-PMD</w:t>
      </w:r>
      <w:r w:rsidR="00680661" w:rsidRPr="00E71AA8">
        <w:t xml:space="preserve"> interface and enter their information into the system, given that </w:t>
      </w:r>
      <w:r w:rsidR="00680661">
        <w:t>their routine operations are likely to be based on</w:t>
      </w:r>
      <w:r w:rsidR="00680661" w:rsidRPr="00E71AA8">
        <w:t xml:space="preserve"> diff</w:t>
      </w:r>
      <w:r w:rsidR="00680661">
        <w:t>erent systems and assumptions</w:t>
      </w:r>
      <w:r w:rsidR="00680661" w:rsidRPr="00E71AA8">
        <w:t xml:space="preserve">.  </w:t>
      </w:r>
      <w:r w:rsidR="00680661">
        <w:t xml:space="preserve">A DCH-PMD User Guide (see </w:t>
      </w:r>
      <w:r w:rsidR="00680661" w:rsidRPr="0050520C">
        <w:rPr>
          <w:b/>
        </w:rPr>
        <w:t>Attachment 3b</w:t>
      </w:r>
      <w:r w:rsidR="00680661">
        <w:t xml:space="preserve">) will be provided to awardees as a reference and </w:t>
      </w:r>
      <w:r w:rsidR="00BF32C3">
        <w:t>guidance tool</w:t>
      </w:r>
      <w:r w:rsidR="00680661">
        <w:t xml:space="preserve">.  </w:t>
      </w:r>
      <w:r>
        <w:t xml:space="preserve">The annualized number of respondents is </w:t>
      </w:r>
      <w:r w:rsidR="004821DE">
        <w:t>14</w:t>
      </w:r>
      <w:r>
        <w:t xml:space="preserve"> respondents in the state, local, and tribal government sector</w:t>
      </w:r>
      <w:r w:rsidR="00201B19">
        <w:t xml:space="preserve"> (41/3</w:t>
      </w:r>
      <w:r w:rsidR="00CD3ADB">
        <w:t>)</w:t>
      </w:r>
      <w:r>
        <w:t>, and 1</w:t>
      </w:r>
      <w:r w:rsidR="00B24C61">
        <w:t>8</w:t>
      </w:r>
      <w:r>
        <w:t xml:space="preserve"> respondents in the private sector</w:t>
      </w:r>
      <w:r w:rsidR="00201B19">
        <w:t xml:space="preserve"> (52/3</w:t>
      </w:r>
      <w:r w:rsidR="00CD3ADB">
        <w:t xml:space="preserve">). </w:t>
      </w:r>
    </w:p>
    <w:p w:rsidR="00AF0910" w:rsidRPr="00CB1C59" w:rsidRDefault="00AF0910" w:rsidP="00AF0910">
      <w:pPr>
        <w:ind w:left="360"/>
      </w:pPr>
    </w:p>
    <w:p w:rsidR="00AF0910" w:rsidRDefault="00AF0910" w:rsidP="00AF0910">
      <w:r w:rsidRPr="00CB1C59">
        <w:t xml:space="preserve">The efficiencies of the electronic </w:t>
      </w:r>
      <w:r w:rsidR="0076255F">
        <w:t>DCH-PMD</w:t>
      </w:r>
      <w:r w:rsidRPr="00CB1C59">
        <w:t xml:space="preserve"> are realized in subsequent reporting periods.  After the initial population of the </w:t>
      </w:r>
      <w:r w:rsidR="0076255F">
        <w:t>DCH-PMD</w:t>
      </w:r>
      <w:r w:rsidRPr="00CB1C59">
        <w:t xml:space="preserve"> has been completed, ongoing maintenance of the system is limited to entering changes, progress information, and new activities.  The estimated burden for routine semi-annual reporting is </w:t>
      </w:r>
      <w:r>
        <w:t xml:space="preserve">3 </w:t>
      </w:r>
      <w:r w:rsidRPr="00CB1C59">
        <w:t>hours per response.</w:t>
      </w:r>
      <w:r w:rsidR="006D07A3">
        <w:t xml:space="preserve">  The annual updates and reports are important for quality assurance and accountability.</w:t>
      </w:r>
    </w:p>
    <w:p w:rsidR="006D07A3" w:rsidRDefault="006D07A3" w:rsidP="00AF0910"/>
    <w:p w:rsidR="006D07A3" w:rsidRPr="00CB1C59" w:rsidRDefault="006D07A3" w:rsidP="006D07A3">
      <w:r w:rsidRPr="00E71AA8">
        <w:t xml:space="preserve">Overall, using </w:t>
      </w:r>
      <w:r>
        <w:t>DCH-PMD permits CDC</w:t>
      </w:r>
      <w:r w:rsidRPr="00E71AA8">
        <w:t xml:space="preserve"> to streamline information gathering and reporting with a common and consistent approach that is most useful for program monitoring; making comparisons; aggregating information; and ke</w:t>
      </w:r>
      <w:r>
        <w:t xml:space="preserve">eping CDC updated on progress. </w:t>
      </w:r>
    </w:p>
    <w:p w:rsidR="00AF0910" w:rsidRDefault="00AF0910" w:rsidP="00AF0910"/>
    <w:p w:rsidR="00AF0910" w:rsidRPr="00CB1C59" w:rsidRDefault="00AF0910" w:rsidP="00AF0910">
      <w:r>
        <w:t>Each awardee may be required to participate in special-purpose data collection requests (on average, one per year).  The estimated burden per response is 6 hours.  Special-purpose data collections may be conducted by in-person interview, telephone interview, paper survey, or Web-based survey.</w:t>
      </w:r>
    </w:p>
    <w:p w:rsidR="00AF0910" w:rsidRPr="00CB1C59" w:rsidRDefault="00AF0910" w:rsidP="00AF0910"/>
    <w:p w:rsidR="00E71AA8" w:rsidRPr="00CB1C59" w:rsidRDefault="00AF0910" w:rsidP="00AF0910">
      <w:r w:rsidRPr="00CB1C59">
        <w:lastRenderedPageBreak/>
        <w:t xml:space="preserve">Over the three-year period of this information collection request, the total estimated annualized burden for the </w:t>
      </w:r>
      <w:r w:rsidR="00B24C61">
        <w:t>93</w:t>
      </w:r>
      <w:r w:rsidRPr="00CB1C59">
        <w:t xml:space="preserve"> current awardees is 1</w:t>
      </w:r>
      <w:r>
        <w:t>,</w:t>
      </w:r>
      <w:r w:rsidR="00B24C61">
        <w:t>596</w:t>
      </w:r>
      <w:r w:rsidRPr="00CB1C59">
        <w:t xml:space="preserve"> hours, as summarized in Table A.12-A.</w:t>
      </w:r>
    </w:p>
    <w:p w:rsidR="00D307C9" w:rsidRPr="009C2FDE" w:rsidRDefault="00D307C9" w:rsidP="00941428">
      <w:pPr>
        <w:rPr>
          <w:b/>
        </w:rPr>
      </w:pPr>
    </w:p>
    <w:p w:rsidR="00D307C9" w:rsidRPr="009C2FDE" w:rsidRDefault="00D307C9" w:rsidP="00941428">
      <w:pPr>
        <w:rPr>
          <w:b/>
        </w:rPr>
      </w:pPr>
    </w:p>
    <w:p w:rsidR="000B1340" w:rsidRPr="009C2FDE" w:rsidRDefault="000B1340" w:rsidP="00941428">
      <w:pPr>
        <w:rPr>
          <w:b/>
        </w:rPr>
      </w:pPr>
      <w:r w:rsidRPr="009C2FDE">
        <w:rPr>
          <w:b/>
        </w:rPr>
        <w:t xml:space="preserve">Table A.12-A.  </w:t>
      </w:r>
    </w:p>
    <w:p w:rsidR="00DC3379" w:rsidRPr="009C2FDE" w:rsidRDefault="00DC3379" w:rsidP="00941428">
      <w:pPr>
        <w:pStyle w:val="ListParagraph"/>
        <w:numPr>
          <w:ilvl w:val="0"/>
          <w:numId w:val="38"/>
        </w:numPr>
      </w:pPr>
      <w:r w:rsidRPr="009C2FDE">
        <w:rPr>
          <w:b/>
        </w:rPr>
        <w:t>Estimated Annualized Burden to Respondents</w:t>
      </w:r>
      <w:r w:rsidRPr="009C2FDE">
        <w:t xml:space="preserve"> </w:t>
      </w:r>
    </w:p>
    <w:p w:rsidR="00A640D8" w:rsidRPr="009C2FDE" w:rsidRDefault="00A640D8" w:rsidP="00A640D8">
      <w:pPr>
        <w:rPr>
          <w:color w:val="1F497D"/>
        </w:rPr>
      </w:pPr>
    </w:p>
    <w:tbl>
      <w:tblPr>
        <w:tblW w:w="0" w:type="auto"/>
        <w:tblInd w:w="-72" w:type="dxa"/>
        <w:tblCellMar>
          <w:left w:w="0" w:type="dxa"/>
          <w:right w:w="0" w:type="dxa"/>
        </w:tblCellMar>
        <w:tblLook w:val="04A0" w:firstRow="1" w:lastRow="0" w:firstColumn="1" w:lastColumn="0" w:noHBand="0" w:noVBand="1"/>
      </w:tblPr>
      <w:tblGrid>
        <w:gridCol w:w="2155"/>
        <w:gridCol w:w="2026"/>
        <w:gridCol w:w="1415"/>
        <w:gridCol w:w="1504"/>
        <w:gridCol w:w="1312"/>
        <w:gridCol w:w="1236"/>
      </w:tblGrid>
      <w:tr w:rsidR="00A640D8" w:rsidRPr="009C2FDE" w:rsidTr="00A640D8">
        <w:tc>
          <w:tcPr>
            <w:tcW w:w="21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40D8" w:rsidRPr="009C2FDE" w:rsidRDefault="00A640D8">
            <w:pPr>
              <w:jc w:val="center"/>
              <w:rPr>
                <w:rFonts w:eastAsiaTheme="minorHAnsi"/>
              </w:rPr>
            </w:pPr>
            <w:r w:rsidRPr="009C2FDE">
              <w:t>Type of respondents</w:t>
            </w:r>
          </w:p>
        </w:tc>
        <w:tc>
          <w:tcPr>
            <w:tcW w:w="20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40D8" w:rsidRPr="009C2FDE" w:rsidRDefault="00A640D8">
            <w:pPr>
              <w:jc w:val="center"/>
              <w:rPr>
                <w:rFonts w:eastAsiaTheme="minorHAnsi"/>
              </w:rPr>
            </w:pPr>
            <w:r w:rsidRPr="009C2FDE">
              <w:t>Form Name</w:t>
            </w:r>
          </w:p>
        </w:tc>
        <w:tc>
          <w:tcPr>
            <w:tcW w:w="14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40D8" w:rsidRPr="009C2FDE" w:rsidRDefault="00A640D8">
            <w:pPr>
              <w:jc w:val="center"/>
              <w:rPr>
                <w:rFonts w:eastAsiaTheme="minorHAnsi"/>
              </w:rPr>
            </w:pPr>
            <w:r w:rsidRPr="009C2FDE">
              <w:t>Number of respondents</w:t>
            </w:r>
          </w:p>
        </w:tc>
        <w:tc>
          <w:tcPr>
            <w:tcW w:w="1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40D8" w:rsidRPr="009C2FDE" w:rsidRDefault="00A640D8">
            <w:pPr>
              <w:jc w:val="center"/>
              <w:rPr>
                <w:rFonts w:eastAsiaTheme="minorHAnsi"/>
              </w:rPr>
            </w:pPr>
            <w:r w:rsidRPr="009C2FDE">
              <w:t>Number of responses per respondent</w:t>
            </w:r>
          </w:p>
        </w:tc>
        <w:tc>
          <w:tcPr>
            <w:tcW w:w="13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40D8" w:rsidRPr="009C2FDE" w:rsidRDefault="00A640D8">
            <w:pPr>
              <w:jc w:val="center"/>
              <w:rPr>
                <w:rFonts w:eastAsiaTheme="minorHAnsi"/>
              </w:rPr>
            </w:pPr>
            <w:r w:rsidRPr="009C2FDE">
              <w:t>Average burden per response (in hours)</w:t>
            </w:r>
          </w:p>
        </w:tc>
        <w:tc>
          <w:tcPr>
            <w:tcW w:w="12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40D8" w:rsidRPr="009C2FDE" w:rsidRDefault="00A640D8">
            <w:pPr>
              <w:jc w:val="center"/>
              <w:rPr>
                <w:rFonts w:eastAsiaTheme="minorHAnsi"/>
              </w:rPr>
            </w:pPr>
            <w:r w:rsidRPr="009C2FDE">
              <w:t>Total burden (in hours)</w:t>
            </w:r>
          </w:p>
        </w:tc>
      </w:tr>
      <w:tr w:rsidR="00A640D8" w:rsidRPr="009C2FDE" w:rsidTr="00A640D8">
        <w:tc>
          <w:tcPr>
            <w:tcW w:w="21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40D8" w:rsidRPr="009C2FDE" w:rsidRDefault="00A640D8" w:rsidP="00407A54">
            <w:pPr>
              <w:jc w:val="center"/>
              <w:rPr>
                <w:rFonts w:eastAsiaTheme="minorHAnsi"/>
                <w:color w:val="000000"/>
              </w:rPr>
            </w:pPr>
            <w:r w:rsidRPr="009C2FDE">
              <w:rPr>
                <w:color w:val="000000"/>
              </w:rPr>
              <w:t>DCH Program Awardees (</w:t>
            </w:r>
            <w:r w:rsidR="00846338">
              <w:rPr>
                <w:color w:val="000000"/>
              </w:rPr>
              <w:t xml:space="preserve">state, </w:t>
            </w:r>
            <w:r w:rsidRPr="009C2FDE">
              <w:rPr>
                <w:color w:val="000000"/>
              </w:rPr>
              <w:t>local</w:t>
            </w:r>
            <w:r w:rsidR="00846338">
              <w:rPr>
                <w:color w:val="000000"/>
              </w:rPr>
              <w:t>,</w:t>
            </w:r>
            <w:r w:rsidRPr="009C2FDE">
              <w:rPr>
                <w:color w:val="000000"/>
              </w:rPr>
              <w:t xml:space="preserve"> and tribal government </w:t>
            </w:r>
            <w:r w:rsidR="00407A54">
              <w:rPr>
                <w:color w:val="000000"/>
              </w:rPr>
              <w:t>entities</w:t>
            </w:r>
            <w:r w:rsidRPr="009C2FDE">
              <w:rPr>
                <w:color w:val="000000"/>
              </w:rPr>
              <w:t>)</w:t>
            </w:r>
          </w:p>
        </w:tc>
        <w:tc>
          <w:tcPr>
            <w:tcW w:w="2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40D8" w:rsidRPr="009C2FDE" w:rsidRDefault="00A640D8" w:rsidP="001C0DC8">
            <w:pPr>
              <w:jc w:val="center"/>
              <w:rPr>
                <w:rFonts w:eastAsiaTheme="minorHAnsi"/>
                <w:color w:val="000000"/>
              </w:rPr>
            </w:pPr>
            <w:r w:rsidRPr="009C2FDE">
              <w:rPr>
                <w:color w:val="000000"/>
              </w:rPr>
              <w:t xml:space="preserve">DCH </w:t>
            </w:r>
            <w:r w:rsidR="0076255F">
              <w:rPr>
                <w:color w:val="000000"/>
              </w:rPr>
              <w:t>DCH-PMD</w:t>
            </w:r>
            <w:r w:rsidRPr="009C2FDE">
              <w:rPr>
                <w:color w:val="000000"/>
              </w:rPr>
              <w:t>: Initial population</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40D8" w:rsidRPr="009C2FDE" w:rsidRDefault="0060153B">
            <w:pPr>
              <w:jc w:val="center"/>
              <w:rPr>
                <w:rFonts w:eastAsiaTheme="minorHAnsi"/>
              </w:rPr>
            </w:pPr>
            <w:r w:rsidRPr="009C2FDE">
              <w:t>14</w:t>
            </w:r>
          </w:p>
        </w:tc>
        <w:tc>
          <w:tcPr>
            <w:tcW w:w="1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40D8" w:rsidRPr="009C2FDE" w:rsidRDefault="00A640D8">
            <w:pPr>
              <w:jc w:val="center"/>
              <w:rPr>
                <w:rFonts w:eastAsiaTheme="minorHAnsi"/>
              </w:rPr>
            </w:pPr>
            <w:r w:rsidRPr="009C2FDE">
              <w:t>1</w:t>
            </w:r>
          </w:p>
        </w:tc>
        <w:tc>
          <w:tcPr>
            <w:tcW w:w="1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40D8" w:rsidRPr="009C2FDE" w:rsidRDefault="00A640D8">
            <w:pPr>
              <w:jc w:val="center"/>
              <w:rPr>
                <w:rFonts w:eastAsiaTheme="minorHAnsi"/>
              </w:rPr>
            </w:pPr>
            <w:r w:rsidRPr="009C2FDE">
              <w:t>15</w:t>
            </w:r>
          </w:p>
        </w:tc>
        <w:tc>
          <w:tcPr>
            <w:tcW w:w="1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40D8" w:rsidRPr="009C2FDE" w:rsidRDefault="0060153B">
            <w:pPr>
              <w:jc w:val="center"/>
              <w:rPr>
                <w:rFonts w:eastAsiaTheme="minorHAnsi"/>
              </w:rPr>
            </w:pPr>
            <w:r w:rsidRPr="009C2FDE">
              <w:t>210</w:t>
            </w:r>
          </w:p>
        </w:tc>
      </w:tr>
      <w:tr w:rsidR="00A640D8" w:rsidRPr="009C2FDE" w:rsidTr="00A640D8">
        <w:tc>
          <w:tcPr>
            <w:tcW w:w="0" w:type="auto"/>
            <w:vMerge/>
            <w:tcBorders>
              <w:top w:val="nil"/>
              <w:left w:val="single" w:sz="8" w:space="0" w:color="auto"/>
              <w:bottom w:val="single" w:sz="8" w:space="0" w:color="auto"/>
              <w:right w:val="single" w:sz="8" w:space="0" w:color="auto"/>
            </w:tcBorders>
            <w:vAlign w:val="center"/>
            <w:hideMark/>
          </w:tcPr>
          <w:p w:rsidR="00A640D8" w:rsidRPr="009C2FDE" w:rsidRDefault="00A640D8">
            <w:pPr>
              <w:rPr>
                <w:rFonts w:eastAsiaTheme="minorHAnsi"/>
                <w:color w:val="000000"/>
              </w:rPr>
            </w:pPr>
          </w:p>
        </w:tc>
        <w:tc>
          <w:tcPr>
            <w:tcW w:w="2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40D8" w:rsidRPr="009C2FDE" w:rsidRDefault="00A640D8" w:rsidP="001C0DC8">
            <w:pPr>
              <w:jc w:val="center"/>
              <w:rPr>
                <w:rFonts w:eastAsiaTheme="minorHAnsi"/>
                <w:color w:val="000000"/>
              </w:rPr>
            </w:pPr>
            <w:r w:rsidRPr="009C2FDE">
              <w:rPr>
                <w:color w:val="000000"/>
              </w:rPr>
              <w:t xml:space="preserve">DCH </w:t>
            </w:r>
            <w:r w:rsidR="0076255F">
              <w:rPr>
                <w:color w:val="000000"/>
              </w:rPr>
              <w:t>DCH-PMD</w:t>
            </w:r>
            <w:r w:rsidRPr="009C2FDE">
              <w:rPr>
                <w:color w:val="000000"/>
              </w:rPr>
              <w:t>: Semi-annual reporting</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40D8" w:rsidRPr="009C2FDE" w:rsidRDefault="0060153B">
            <w:pPr>
              <w:jc w:val="center"/>
              <w:rPr>
                <w:rFonts w:eastAsiaTheme="minorHAnsi"/>
              </w:rPr>
            </w:pPr>
            <w:r w:rsidRPr="009C2FDE">
              <w:t>41</w:t>
            </w:r>
          </w:p>
        </w:tc>
        <w:tc>
          <w:tcPr>
            <w:tcW w:w="1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40D8" w:rsidRPr="009C2FDE" w:rsidRDefault="00A640D8">
            <w:pPr>
              <w:jc w:val="center"/>
              <w:rPr>
                <w:rFonts w:eastAsiaTheme="minorHAnsi"/>
              </w:rPr>
            </w:pPr>
            <w:r w:rsidRPr="009C2FDE">
              <w:t>2</w:t>
            </w:r>
          </w:p>
        </w:tc>
        <w:tc>
          <w:tcPr>
            <w:tcW w:w="1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40D8" w:rsidRPr="009C2FDE" w:rsidRDefault="00A640D8">
            <w:pPr>
              <w:jc w:val="center"/>
              <w:rPr>
                <w:rFonts w:eastAsiaTheme="minorHAnsi"/>
              </w:rPr>
            </w:pPr>
            <w:r w:rsidRPr="009C2FDE">
              <w:t>3</w:t>
            </w:r>
          </w:p>
        </w:tc>
        <w:tc>
          <w:tcPr>
            <w:tcW w:w="1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40D8" w:rsidRPr="009C2FDE" w:rsidRDefault="0060153B">
            <w:pPr>
              <w:jc w:val="center"/>
              <w:rPr>
                <w:rFonts w:eastAsiaTheme="minorHAnsi"/>
              </w:rPr>
            </w:pPr>
            <w:r w:rsidRPr="009C2FDE">
              <w:t>246</w:t>
            </w:r>
          </w:p>
        </w:tc>
      </w:tr>
      <w:tr w:rsidR="00A640D8" w:rsidRPr="009C2FDE" w:rsidTr="00A640D8">
        <w:tc>
          <w:tcPr>
            <w:tcW w:w="0" w:type="auto"/>
            <w:vMerge/>
            <w:tcBorders>
              <w:top w:val="nil"/>
              <w:left w:val="single" w:sz="8" w:space="0" w:color="auto"/>
              <w:bottom w:val="single" w:sz="8" w:space="0" w:color="auto"/>
              <w:right w:val="single" w:sz="8" w:space="0" w:color="auto"/>
            </w:tcBorders>
            <w:vAlign w:val="center"/>
            <w:hideMark/>
          </w:tcPr>
          <w:p w:rsidR="00A640D8" w:rsidRPr="009C2FDE" w:rsidRDefault="00A640D8">
            <w:pPr>
              <w:rPr>
                <w:rFonts w:eastAsiaTheme="minorHAnsi"/>
                <w:color w:val="000000"/>
              </w:rPr>
            </w:pPr>
          </w:p>
        </w:tc>
        <w:tc>
          <w:tcPr>
            <w:tcW w:w="2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40D8" w:rsidRPr="009C2FDE" w:rsidRDefault="00A640D8">
            <w:pPr>
              <w:jc w:val="center"/>
              <w:rPr>
                <w:rFonts w:eastAsiaTheme="minorHAnsi"/>
                <w:color w:val="000000"/>
              </w:rPr>
            </w:pPr>
            <w:r w:rsidRPr="009C2FDE">
              <w:rPr>
                <w:color w:val="000000"/>
              </w:rPr>
              <w:t>Special Data Request</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40D8" w:rsidRPr="009C2FDE" w:rsidRDefault="0060153B">
            <w:pPr>
              <w:jc w:val="center"/>
              <w:rPr>
                <w:rFonts w:eastAsiaTheme="minorHAnsi"/>
              </w:rPr>
            </w:pPr>
            <w:r w:rsidRPr="009C2FDE">
              <w:t>41</w:t>
            </w:r>
          </w:p>
        </w:tc>
        <w:tc>
          <w:tcPr>
            <w:tcW w:w="1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40D8" w:rsidRPr="009C2FDE" w:rsidRDefault="00A640D8">
            <w:pPr>
              <w:jc w:val="center"/>
              <w:rPr>
                <w:rFonts w:eastAsiaTheme="minorHAnsi"/>
              </w:rPr>
            </w:pPr>
            <w:r w:rsidRPr="009C2FDE">
              <w:t>1</w:t>
            </w:r>
          </w:p>
        </w:tc>
        <w:tc>
          <w:tcPr>
            <w:tcW w:w="1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40D8" w:rsidRPr="009C2FDE" w:rsidRDefault="00A640D8">
            <w:pPr>
              <w:jc w:val="center"/>
              <w:rPr>
                <w:rFonts w:eastAsiaTheme="minorHAnsi"/>
              </w:rPr>
            </w:pPr>
            <w:r w:rsidRPr="009C2FDE">
              <w:t>6</w:t>
            </w:r>
          </w:p>
        </w:tc>
        <w:tc>
          <w:tcPr>
            <w:tcW w:w="1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40D8" w:rsidRPr="009C2FDE" w:rsidRDefault="0060153B">
            <w:pPr>
              <w:jc w:val="center"/>
              <w:rPr>
                <w:rFonts w:eastAsiaTheme="minorHAnsi"/>
              </w:rPr>
            </w:pPr>
            <w:r w:rsidRPr="009C2FDE">
              <w:t>246</w:t>
            </w:r>
          </w:p>
        </w:tc>
      </w:tr>
      <w:tr w:rsidR="00A640D8" w:rsidRPr="009C2FDE" w:rsidTr="00A640D8">
        <w:tc>
          <w:tcPr>
            <w:tcW w:w="21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40D8" w:rsidRPr="009C2FDE" w:rsidRDefault="00A640D8" w:rsidP="00DB10FD">
            <w:pPr>
              <w:jc w:val="center"/>
              <w:rPr>
                <w:rFonts w:eastAsiaTheme="minorHAnsi"/>
                <w:color w:val="000000"/>
              </w:rPr>
            </w:pPr>
            <w:r w:rsidRPr="009C2FDE">
              <w:rPr>
                <w:color w:val="000000"/>
              </w:rPr>
              <w:t>DCH Program Awardees (</w:t>
            </w:r>
            <w:r w:rsidR="002D3DF3">
              <w:rPr>
                <w:color w:val="000000"/>
              </w:rPr>
              <w:t>private sector</w:t>
            </w:r>
            <w:r w:rsidR="00B80BBC">
              <w:rPr>
                <w:color w:val="000000"/>
              </w:rPr>
              <w:t xml:space="preserve"> </w:t>
            </w:r>
            <w:r w:rsidR="00DB10FD">
              <w:rPr>
                <w:color w:val="000000"/>
              </w:rPr>
              <w:t>entities</w:t>
            </w:r>
            <w:r w:rsidRPr="009C2FDE">
              <w:rPr>
                <w:color w:val="000000"/>
              </w:rPr>
              <w:t>)</w:t>
            </w:r>
          </w:p>
        </w:tc>
        <w:tc>
          <w:tcPr>
            <w:tcW w:w="2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40D8" w:rsidRPr="009C2FDE" w:rsidRDefault="00A640D8" w:rsidP="001C0DC8">
            <w:pPr>
              <w:jc w:val="center"/>
              <w:rPr>
                <w:rFonts w:eastAsiaTheme="minorHAnsi"/>
                <w:color w:val="000000"/>
              </w:rPr>
            </w:pPr>
            <w:r w:rsidRPr="009C2FDE">
              <w:rPr>
                <w:color w:val="000000"/>
              </w:rPr>
              <w:t xml:space="preserve">DCH </w:t>
            </w:r>
            <w:r w:rsidR="0076255F">
              <w:rPr>
                <w:color w:val="000000"/>
              </w:rPr>
              <w:t>DCH-PMD</w:t>
            </w:r>
            <w:r w:rsidRPr="009C2FDE">
              <w:rPr>
                <w:color w:val="000000"/>
              </w:rPr>
              <w:t>: Initial population</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40D8" w:rsidRPr="009C2FDE" w:rsidRDefault="0060153B">
            <w:pPr>
              <w:jc w:val="center"/>
              <w:rPr>
                <w:rFonts w:eastAsiaTheme="minorHAnsi"/>
              </w:rPr>
            </w:pPr>
            <w:r w:rsidRPr="009C2FDE">
              <w:t>18</w:t>
            </w:r>
          </w:p>
        </w:tc>
        <w:tc>
          <w:tcPr>
            <w:tcW w:w="1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40D8" w:rsidRPr="009C2FDE" w:rsidRDefault="00A640D8">
            <w:pPr>
              <w:jc w:val="center"/>
              <w:rPr>
                <w:rFonts w:eastAsiaTheme="minorHAnsi"/>
              </w:rPr>
            </w:pPr>
            <w:r w:rsidRPr="009C2FDE">
              <w:t>1</w:t>
            </w:r>
          </w:p>
        </w:tc>
        <w:tc>
          <w:tcPr>
            <w:tcW w:w="1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40D8" w:rsidRPr="009C2FDE" w:rsidRDefault="00A640D8">
            <w:pPr>
              <w:jc w:val="center"/>
              <w:rPr>
                <w:rFonts w:eastAsiaTheme="minorHAnsi"/>
              </w:rPr>
            </w:pPr>
            <w:r w:rsidRPr="009C2FDE">
              <w:t>15</w:t>
            </w:r>
          </w:p>
        </w:tc>
        <w:tc>
          <w:tcPr>
            <w:tcW w:w="1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40D8" w:rsidRPr="009C2FDE" w:rsidRDefault="0060153B">
            <w:pPr>
              <w:jc w:val="center"/>
              <w:rPr>
                <w:rFonts w:eastAsiaTheme="minorHAnsi"/>
              </w:rPr>
            </w:pPr>
            <w:r w:rsidRPr="009C2FDE">
              <w:t>270</w:t>
            </w:r>
          </w:p>
        </w:tc>
      </w:tr>
      <w:tr w:rsidR="00A640D8" w:rsidRPr="009C2FDE" w:rsidTr="00A640D8">
        <w:tc>
          <w:tcPr>
            <w:tcW w:w="0" w:type="auto"/>
            <w:vMerge/>
            <w:tcBorders>
              <w:top w:val="nil"/>
              <w:left w:val="single" w:sz="8" w:space="0" w:color="auto"/>
              <w:bottom w:val="single" w:sz="8" w:space="0" w:color="auto"/>
              <w:right w:val="single" w:sz="8" w:space="0" w:color="auto"/>
            </w:tcBorders>
            <w:vAlign w:val="center"/>
            <w:hideMark/>
          </w:tcPr>
          <w:p w:rsidR="00A640D8" w:rsidRPr="009C2FDE" w:rsidRDefault="00A640D8">
            <w:pPr>
              <w:rPr>
                <w:rFonts w:eastAsiaTheme="minorHAnsi"/>
                <w:color w:val="000000"/>
              </w:rPr>
            </w:pPr>
          </w:p>
        </w:tc>
        <w:tc>
          <w:tcPr>
            <w:tcW w:w="2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40D8" w:rsidRPr="009C2FDE" w:rsidRDefault="00A640D8" w:rsidP="001C0DC8">
            <w:pPr>
              <w:jc w:val="center"/>
              <w:rPr>
                <w:rFonts w:eastAsiaTheme="minorHAnsi"/>
                <w:color w:val="000000"/>
              </w:rPr>
            </w:pPr>
            <w:r w:rsidRPr="009C2FDE">
              <w:rPr>
                <w:color w:val="000000"/>
              </w:rPr>
              <w:t xml:space="preserve">DCH </w:t>
            </w:r>
            <w:r w:rsidR="0076255F">
              <w:rPr>
                <w:color w:val="000000"/>
              </w:rPr>
              <w:t>DCH-PMD</w:t>
            </w:r>
            <w:r w:rsidRPr="009C2FDE">
              <w:rPr>
                <w:color w:val="000000"/>
              </w:rPr>
              <w:t>: Semi-annual reporting</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40D8" w:rsidRPr="009C2FDE" w:rsidRDefault="0060153B">
            <w:pPr>
              <w:jc w:val="center"/>
              <w:rPr>
                <w:rFonts w:eastAsiaTheme="minorHAnsi"/>
              </w:rPr>
            </w:pPr>
            <w:r w:rsidRPr="009C2FDE">
              <w:t>52</w:t>
            </w:r>
          </w:p>
        </w:tc>
        <w:tc>
          <w:tcPr>
            <w:tcW w:w="1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40D8" w:rsidRPr="009C2FDE" w:rsidRDefault="00A640D8">
            <w:pPr>
              <w:jc w:val="center"/>
              <w:rPr>
                <w:rFonts w:eastAsiaTheme="minorHAnsi"/>
              </w:rPr>
            </w:pPr>
            <w:r w:rsidRPr="009C2FDE">
              <w:t>2</w:t>
            </w:r>
          </w:p>
        </w:tc>
        <w:tc>
          <w:tcPr>
            <w:tcW w:w="1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40D8" w:rsidRPr="009C2FDE" w:rsidRDefault="00A640D8">
            <w:pPr>
              <w:jc w:val="center"/>
              <w:rPr>
                <w:rFonts w:eastAsiaTheme="minorHAnsi"/>
              </w:rPr>
            </w:pPr>
            <w:r w:rsidRPr="009C2FDE">
              <w:t>3</w:t>
            </w:r>
          </w:p>
        </w:tc>
        <w:tc>
          <w:tcPr>
            <w:tcW w:w="1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40D8" w:rsidRPr="009C2FDE" w:rsidRDefault="0060153B">
            <w:pPr>
              <w:jc w:val="center"/>
              <w:rPr>
                <w:rFonts w:eastAsiaTheme="minorHAnsi"/>
              </w:rPr>
            </w:pPr>
            <w:r w:rsidRPr="009C2FDE">
              <w:t>312</w:t>
            </w:r>
          </w:p>
        </w:tc>
      </w:tr>
      <w:tr w:rsidR="00A640D8" w:rsidRPr="009C2FDE" w:rsidTr="00A640D8">
        <w:tc>
          <w:tcPr>
            <w:tcW w:w="0" w:type="auto"/>
            <w:vMerge/>
            <w:tcBorders>
              <w:top w:val="nil"/>
              <w:left w:val="single" w:sz="8" w:space="0" w:color="auto"/>
              <w:bottom w:val="single" w:sz="8" w:space="0" w:color="auto"/>
              <w:right w:val="single" w:sz="8" w:space="0" w:color="auto"/>
            </w:tcBorders>
            <w:vAlign w:val="center"/>
            <w:hideMark/>
          </w:tcPr>
          <w:p w:rsidR="00A640D8" w:rsidRPr="009C2FDE" w:rsidRDefault="00A640D8">
            <w:pPr>
              <w:rPr>
                <w:rFonts w:eastAsiaTheme="minorHAnsi"/>
                <w:color w:val="000000"/>
              </w:rPr>
            </w:pPr>
          </w:p>
        </w:tc>
        <w:tc>
          <w:tcPr>
            <w:tcW w:w="2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40D8" w:rsidRPr="009C2FDE" w:rsidRDefault="00A640D8">
            <w:pPr>
              <w:jc w:val="center"/>
              <w:rPr>
                <w:rFonts w:eastAsiaTheme="minorHAnsi"/>
                <w:color w:val="000000"/>
              </w:rPr>
            </w:pPr>
            <w:r w:rsidRPr="009C2FDE">
              <w:rPr>
                <w:color w:val="000000"/>
              </w:rPr>
              <w:t>Special Data Request</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40D8" w:rsidRPr="009C2FDE" w:rsidRDefault="0060153B">
            <w:pPr>
              <w:jc w:val="center"/>
              <w:rPr>
                <w:rFonts w:eastAsiaTheme="minorHAnsi"/>
              </w:rPr>
            </w:pPr>
            <w:r w:rsidRPr="009C2FDE">
              <w:t>52</w:t>
            </w:r>
          </w:p>
        </w:tc>
        <w:tc>
          <w:tcPr>
            <w:tcW w:w="1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40D8" w:rsidRPr="009C2FDE" w:rsidRDefault="00A640D8">
            <w:pPr>
              <w:jc w:val="center"/>
              <w:rPr>
                <w:rFonts w:eastAsiaTheme="minorHAnsi"/>
              </w:rPr>
            </w:pPr>
            <w:r w:rsidRPr="009C2FDE">
              <w:t>1</w:t>
            </w:r>
          </w:p>
        </w:tc>
        <w:tc>
          <w:tcPr>
            <w:tcW w:w="1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40D8" w:rsidRPr="009C2FDE" w:rsidRDefault="00A640D8">
            <w:pPr>
              <w:jc w:val="center"/>
              <w:rPr>
                <w:rFonts w:eastAsiaTheme="minorHAnsi"/>
              </w:rPr>
            </w:pPr>
            <w:r w:rsidRPr="009C2FDE">
              <w:t>6</w:t>
            </w:r>
          </w:p>
        </w:tc>
        <w:tc>
          <w:tcPr>
            <w:tcW w:w="1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40D8" w:rsidRPr="009C2FDE" w:rsidRDefault="0060153B">
            <w:pPr>
              <w:jc w:val="center"/>
              <w:rPr>
                <w:rFonts w:eastAsiaTheme="minorHAnsi"/>
              </w:rPr>
            </w:pPr>
            <w:r w:rsidRPr="009C2FDE">
              <w:t>312</w:t>
            </w:r>
          </w:p>
        </w:tc>
      </w:tr>
      <w:tr w:rsidR="00A640D8" w:rsidRPr="009C2FDE" w:rsidTr="00A640D8">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640D8" w:rsidRPr="009C2FDE" w:rsidRDefault="00A640D8">
            <w:pPr>
              <w:jc w:val="center"/>
              <w:rPr>
                <w:rFonts w:eastAsiaTheme="minorHAnsi"/>
                <w:color w:val="000000"/>
              </w:rPr>
            </w:pPr>
          </w:p>
        </w:tc>
        <w:tc>
          <w:tcPr>
            <w:tcW w:w="6257"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A640D8" w:rsidRPr="009C2FDE" w:rsidRDefault="00A640D8">
            <w:pPr>
              <w:jc w:val="center"/>
              <w:rPr>
                <w:rFonts w:eastAsiaTheme="minorHAnsi"/>
              </w:rPr>
            </w:pPr>
            <w:r w:rsidRPr="009C2FDE">
              <w:t>Total</w:t>
            </w:r>
          </w:p>
        </w:tc>
        <w:tc>
          <w:tcPr>
            <w:tcW w:w="1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40D8" w:rsidRPr="009C2FDE" w:rsidRDefault="0060153B">
            <w:pPr>
              <w:jc w:val="center"/>
              <w:rPr>
                <w:rFonts w:eastAsiaTheme="minorHAnsi"/>
              </w:rPr>
            </w:pPr>
            <w:r w:rsidRPr="009C2FDE">
              <w:t>1,596</w:t>
            </w:r>
          </w:p>
        </w:tc>
      </w:tr>
    </w:tbl>
    <w:p w:rsidR="00A640D8" w:rsidRPr="009C2FDE" w:rsidRDefault="00A640D8" w:rsidP="00A640D8"/>
    <w:p w:rsidR="00DC3379" w:rsidRPr="009C2FDE" w:rsidRDefault="00DC3379" w:rsidP="000B1340">
      <w:pPr>
        <w:ind w:left="360"/>
      </w:pPr>
    </w:p>
    <w:p w:rsidR="000B1340" w:rsidRPr="009C2FDE" w:rsidRDefault="000B1340" w:rsidP="000B1340"/>
    <w:p w:rsidR="00D307C9" w:rsidRPr="009C2FDE" w:rsidRDefault="00D307C9" w:rsidP="000B1340">
      <w:pPr>
        <w:ind w:left="360"/>
        <w:rPr>
          <w:b/>
        </w:rPr>
      </w:pPr>
    </w:p>
    <w:p w:rsidR="000B1340" w:rsidRPr="009C2FDE" w:rsidRDefault="000B1340" w:rsidP="000B1340">
      <w:pPr>
        <w:ind w:left="360"/>
        <w:rPr>
          <w:b/>
        </w:rPr>
      </w:pPr>
      <w:r w:rsidRPr="009C2FDE">
        <w:rPr>
          <w:b/>
        </w:rPr>
        <w:t>B.  Estimated Annualized Cost to Respondents</w:t>
      </w:r>
    </w:p>
    <w:p w:rsidR="000B1340" w:rsidRPr="009C2FDE" w:rsidRDefault="000B1340" w:rsidP="000B1340">
      <w:pPr>
        <w:ind w:left="360"/>
      </w:pPr>
    </w:p>
    <w:p w:rsidR="000B1340" w:rsidRPr="009C2FDE" w:rsidRDefault="000B1340" w:rsidP="000B1340">
      <w:pPr>
        <w:tabs>
          <w:tab w:val="left" w:pos="0"/>
        </w:tabs>
      </w:pPr>
      <w:r w:rsidRPr="009C2FDE">
        <w:t>A program manager will prepare the progress report for each area.  The average hourly wage for a program manager is $30.65.  The hourly wage rates for program managers are based on wages for similar mid-to-high level positions in the public sector.  The total estimated annualized cost to respondents is</w:t>
      </w:r>
      <w:r w:rsidR="00A27A13" w:rsidRPr="009C2FDE">
        <w:t xml:space="preserve"> </w:t>
      </w:r>
      <w:r w:rsidR="00AE2908" w:rsidRPr="009C2FDE">
        <w:rPr>
          <w:color w:val="000000"/>
        </w:rPr>
        <w:t>$48,</w:t>
      </w:r>
      <w:r w:rsidR="00D50193" w:rsidRPr="009C2FDE">
        <w:rPr>
          <w:color w:val="000000"/>
        </w:rPr>
        <w:t>919</w:t>
      </w:r>
      <w:r w:rsidRPr="009C2FDE">
        <w:t xml:space="preserve"> as summarized in Table A.12-B. </w:t>
      </w:r>
    </w:p>
    <w:p w:rsidR="000B1340" w:rsidRDefault="000B1340" w:rsidP="000B1340">
      <w:pPr>
        <w:ind w:left="360"/>
      </w:pPr>
    </w:p>
    <w:p w:rsidR="00B45D7A" w:rsidRPr="009C2FDE" w:rsidRDefault="00B45D7A" w:rsidP="000B1340">
      <w:pPr>
        <w:ind w:left="360"/>
      </w:pPr>
    </w:p>
    <w:p w:rsidR="00D307C9" w:rsidRPr="009C2FDE" w:rsidRDefault="00D307C9" w:rsidP="00D307C9">
      <w:pPr>
        <w:rPr>
          <w:b/>
        </w:rPr>
      </w:pPr>
      <w:proofErr w:type="gramStart"/>
      <w:r w:rsidRPr="009C2FDE">
        <w:rPr>
          <w:b/>
        </w:rPr>
        <w:t>Table A.12-B.</w:t>
      </w:r>
      <w:proofErr w:type="gramEnd"/>
      <w:r w:rsidRPr="009C2FDE">
        <w:rPr>
          <w:b/>
        </w:rPr>
        <w:t xml:space="preserve">  Estimated Annualized Cost to Respondents same as above with hourly cost</w:t>
      </w:r>
    </w:p>
    <w:tbl>
      <w:tblPr>
        <w:tblStyle w:val="TableGrid1"/>
        <w:tblW w:w="9720" w:type="dxa"/>
        <w:tblInd w:w="-72" w:type="dxa"/>
        <w:tblLayout w:type="fixed"/>
        <w:tblLook w:val="04A0" w:firstRow="1" w:lastRow="0" w:firstColumn="1" w:lastColumn="0" w:noHBand="0" w:noVBand="1"/>
      </w:tblPr>
      <w:tblGrid>
        <w:gridCol w:w="1620"/>
        <w:gridCol w:w="1800"/>
        <w:gridCol w:w="1440"/>
        <w:gridCol w:w="1350"/>
        <w:gridCol w:w="1080"/>
        <w:gridCol w:w="1080"/>
        <w:gridCol w:w="1350"/>
      </w:tblGrid>
      <w:tr w:rsidR="00D307C9" w:rsidRPr="009C2FDE" w:rsidTr="004F2C1D">
        <w:tc>
          <w:tcPr>
            <w:tcW w:w="1620" w:type="dxa"/>
            <w:vAlign w:val="center"/>
          </w:tcPr>
          <w:p w:rsidR="00D307C9" w:rsidRPr="009C2FDE" w:rsidRDefault="00D307C9" w:rsidP="00D31189">
            <w:pPr>
              <w:jc w:val="center"/>
            </w:pPr>
            <w:r w:rsidRPr="009C2FDE">
              <w:t>Type of respondents</w:t>
            </w:r>
          </w:p>
        </w:tc>
        <w:tc>
          <w:tcPr>
            <w:tcW w:w="1800" w:type="dxa"/>
            <w:vAlign w:val="center"/>
          </w:tcPr>
          <w:p w:rsidR="00D307C9" w:rsidRPr="009C2FDE" w:rsidRDefault="00D307C9" w:rsidP="00D31189">
            <w:pPr>
              <w:jc w:val="center"/>
            </w:pPr>
            <w:r w:rsidRPr="009C2FDE">
              <w:t>Form Name</w:t>
            </w:r>
          </w:p>
        </w:tc>
        <w:tc>
          <w:tcPr>
            <w:tcW w:w="1440" w:type="dxa"/>
            <w:vAlign w:val="center"/>
          </w:tcPr>
          <w:p w:rsidR="00D307C9" w:rsidRPr="009C2FDE" w:rsidRDefault="00D307C9" w:rsidP="00D31189">
            <w:pPr>
              <w:jc w:val="center"/>
            </w:pPr>
            <w:r w:rsidRPr="009C2FDE">
              <w:t>Number of respondents</w:t>
            </w:r>
          </w:p>
        </w:tc>
        <w:tc>
          <w:tcPr>
            <w:tcW w:w="1350" w:type="dxa"/>
            <w:vAlign w:val="center"/>
          </w:tcPr>
          <w:p w:rsidR="00D307C9" w:rsidRPr="009C2FDE" w:rsidRDefault="00D307C9" w:rsidP="00D31189">
            <w:pPr>
              <w:jc w:val="center"/>
            </w:pPr>
            <w:r w:rsidRPr="009C2FDE">
              <w:t>Number of responses per respondent</w:t>
            </w:r>
          </w:p>
        </w:tc>
        <w:tc>
          <w:tcPr>
            <w:tcW w:w="1080" w:type="dxa"/>
            <w:vAlign w:val="center"/>
          </w:tcPr>
          <w:p w:rsidR="00D307C9" w:rsidRPr="009C2FDE" w:rsidRDefault="00D307C9" w:rsidP="00D307C9">
            <w:pPr>
              <w:jc w:val="center"/>
            </w:pPr>
            <w:r w:rsidRPr="009C2FDE">
              <w:t>Average burden per</w:t>
            </w:r>
            <w:r w:rsidR="004F2C1D" w:rsidRPr="009C2FDE">
              <w:t xml:space="preserve"> </w:t>
            </w:r>
            <w:r w:rsidRPr="009C2FDE">
              <w:t>response</w:t>
            </w:r>
          </w:p>
        </w:tc>
        <w:tc>
          <w:tcPr>
            <w:tcW w:w="1080" w:type="dxa"/>
            <w:vAlign w:val="center"/>
          </w:tcPr>
          <w:p w:rsidR="00D307C9" w:rsidRPr="009C2FDE" w:rsidRDefault="00D307C9" w:rsidP="00D31189">
            <w:pPr>
              <w:jc w:val="center"/>
            </w:pPr>
            <w:r w:rsidRPr="009C2FDE">
              <w:t>Average hourly wage</w:t>
            </w:r>
          </w:p>
        </w:tc>
        <w:tc>
          <w:tcPr>
            <w:tcW w:w="1350" w:type="dxa"/>
            <w:vAlign w:val="center"/>
          </w:tcPr>
          <w:p w:rsidR="00D307C9" w:rsidRPr="009C2FDE" w:rsidRDefault="00D307C9" w:rsidP="00D31189">
            <w:pPr>
              <w:jc w:val="center"/>
            </w:pPr>
            <w:r w:rsidRPr="009C2FDE">
              <w:t>Total cost</w:t>
            </w:r>
          </w:p>
        </w:tc>
      </w:tr>
      <w:tr w:rsidR="0060153B" w:rsidRPr="009C2FDE" w:rsidTr="004F2C1D">
        <w:tc>
          <w:tcPr>
            <w:tcW w:w="1620" w:type="dxa"/>
            <w:vMerge w:val="restart"/>
            <w:vAlign w:val="center"/>
          </w:tcPr>
          <w:p w:rsidR="0060153B" w:rsidRPr="009C2FDE" w:rsidRDefault="0060153B" w:rsidP="00846338">
            <w:pPr>
              <w:jc w:val="center"/>
              <w:rPr>
                <w:color w:val="000000"/>
              </w:rPr>
            </w:pPr>
            <w:r w:rsidRPr="009C2FDE">
              <w:rPr>
                <w:color w:val="000000"/>
              </w:rPr>
              <w:t xml:space="preserve">DCH Program Awardees </w:t>
            </w:r>
            <w:r w:rsidRPr="009C2FDE">
              <w:rPr>
                <w:color w:val="000000"/>
              </w:rPr>
              <w:lastRenderedPageBreak/>
              <w:t>(</w:t>
            </w:r>
            <w:r w:rsidR="00846338">
              <w:rPr>
                <w:color w:val="000000"/>
              </w:rPr>
              <w:t xml:space="preserve">state, </w:t>
            </w:r>
            <w:r w:rsidRPr="009C2FDE">
              <w:rPr>
                <w:color w:val="000000"/>
              </w:rPr>
              <w:t>local</w:t>
            </w:r>
            <w:r w:rsidR="00846338">
              <w:rPr>
                <w:color w:val="000000"/>
              </w:rPr>
              <w:t>,</w:t>
            </w:r>
            <w:r w:rsidRPr="009C2FDE">
              <w:rPr>
                <w:color w:val="000000"/>
              </w:rPr>
              <w:t xml:space="preserve"> and tribal government</w:t>
            </w:r>
            <w:r w:rsidR="00846338">
              <w:rPr>
                <w:color w:val="000000"/>
              </w:rPr>
              <w:t>al</w:t>
            </w:r>
            <w:r w:rsidRPr="009C2FDE">
              <w:rPr>
                <w:color w:val="000000"/>
              </w:rPr>
              <w:t xml:space="preserve"> </w:t>
            </w:r>
            <w:r w:rsidR="00846338">
              <w:rPr>
                <w:color w:val="000000"/>
              </w:rPr>
              <w:t>agencies</w:t>
            </w:r>
            <w:r w:rsidRPr="009C2FDE">
              <w:rPr>
                <w:color w:val="000000"/>
              </w:rPr>
              <w:t>)</w:t>
            </w:r>
          </w:p>
        </w:tc>
        <w:tc>
          <w:tcPr>
            <w:tcW w:w="1800" w:type="dxa"/>
            <w:vAlign w:val="center"/>
          </w:tcPr>
          <w:p w:rsidR="0060153B" w:rsidRPr="009C2FDE" w:rsidRDefault="0060153B" w:rsidP="001C0DC8">
            <w:pPr>
              <w:jc w:val="center"/>
              <w:rPr>
                <w:color w:val="000000"/>
              </w:rPr>
            </w:pPr>
            <w:r w:rsidRPr="009C2FDE">
              <w:rPr>
                <w:color w:val="000000"/>
              </w:rPr>
              <w:lastRenderedPageBreak/>
              <w:t xml:space="preserve">DCH </w:t>
            </w:r>
            <w:r w:rsidR="0076255F">
              <w:rPr>
                <w:color w:val="000000"/>
              </w:rPr>
              <w:t>DCH-PMD</w:t>
            </w:r>
            <w:r w:rsidRPr="009C2FDE">
              <w:rPr>
                <w:color w:val="000000"/>
              </w:rPr>
              <w:t xml:space="preserve">: Initial </w:t>
            </w:r>
            <w:r w:rsidRPr="009C2FDE">
              <w:rPr>
                <w:color w:val="000000"/>
              </w:rPr>
              <w:lastRenderedPageBreak/>
              <w:t>population</w:t>
            </w:r>
          </w:p>
        </w:tc>
        <w:tc>
          <w:tcPr>
            <w:tcW w:w="1440" w:type="dxa"/>
            <w:vAlign w:val="center"/>
          </w:tcPr>
          <w:p w:rsidR="0060153B" w:rsidRPr="009C2FDE" w:rsidRDefault="0060153B" w:rsidP="009C2FDE">
            <w:pPr>
              <w:jc w:val="center"/>
              <w:rPr>
                <w:rFonts w:eastAsiaTheme="minorHAnsi"/>
              </w:rPr>
            </w:pPr>
            <w:r w:rsidRPr="009C2FDE">
              <w:lastRenderedPageBreak/>
              <w:t>14</w:t>
            </w:r>
          </w:p>
        </w:tc>
        <w:tc>
          <w:tcPr>
            <w:tcW w:w="1350" w:type="dxa"/>
            <w:vAlign w:val="center"/>
          </w:tcPr>
          <w:p w:rsidR="0060153B" w:rsidRPr="009C2FDE" w:rsidRDefault="0060153B" w:rsidP="00D31189">
            <w:pPr>
              <w:jc w:val="center"/>
              <w:rPr>
                <w:color w:val="000000"/>
              </w:rPr>
            </w:pPr>
            <w:r w:rsidRPr="009C2FDE">
              <w:rPr>
                <w:color w:val="000000"/>
              </w:rPr>
              <w:t>1</w:t>
            </w:r>
          </w:p>
        </w:tc>
        <w:tc>
          <w:tcPr>
            <w:tcW w:w="1080" w:type="dxa"/>
            <w:vAlign w:val="center"/>
          </w:tcPr>
          <w:p w:rsidR="0060153B" w:rsidRPr="009C2FDE" w:rsidRDefault="0060153B" w:rsidP="00D31189">
            <w:pPr>
              <w:jc w:val="center"/>
              <w:rPr>
                <w:color w:val="000000"/>
              </w:rPr>
            </w:pPr>
            <w:r w:rsidRPr="009C2FDE">
              <w:rPr>
                <w:color w:val="000000"/>
              </w:rPr>
              <w:t>15</w:t>
            </w:r>
          </w:p>
        </w:tc>
        <w:tc>
          <w:tcPr>
            <w:tcW w:w="1080" w:type="dxa"/>
            <w:shd w:val="clear" w:color="auto" w:fill="auto"/>
            <w:vAlign w:val="center"/>
          </w:tcPr>
          <w:p w:rsidR="0060153B" w:rsidRPr="009C2FDE" w:rsidRDefault="0060153B" w:rsidP="00D31189">
            <w:pPr>
              <w:jc w:val="center"/>
              <w:rPr>
                <w:color w:val="000000"/>
                <w:highlight w:val="yellow"/>
              </w:rPr>
            </w:pPr>
            <w:r w:rsidRPr="009C2FDE">
              <w:rPr>
                <w:color w:val="000000"/>
              </w:rPr>
              <w:t>$30.65</w:t>
            </w:r>
          </w:p>
        </w:tc>
        <w:tc>
          <w:tcPr>
            <w:tcW w:w="1350" w:type="dxa"/>
            <w:vAlign w:val="center"/>
          </w:tcPr>
          <w:p w:rsidR="0060153B" w:rsidRPr="009C2FDE" w:rsidRDefault="0060153B" w:rsidP="0060153B">
            <w:pPr>
              <w:jc w:val="center"/>
              <w:rPr>
                <w:color w:val="000000"/>
              </w:rPr>
            </w:pPr>
            <w:r w:rsidRPr="009C2FDE">
              <w:rPr>
                <w:color w:val="000000"/>
              </w:rPr>
              <w:t>$6,43</w:t>
            </w:r>
            <w:r w:rsidR="00D50193" w:rsidRPr="009C2FDE">
              <w:rPr>
                <w:color w:val="000000"/>
              </w:rPr>
              <w:t>7</w:t>
            </w:r>
          </w:p>
        </w:tc>
      </w:tr>
      <w:tr w:rsidR="0060153B" w:rsidRPr="009C2FDE" w:rsidTr="004F2C1D">
        <w:tc>
          <w:tcPr>
            <w:tcW w:w="1620" w:type="dxa"/>
            <w:vMerge/>
            <w:vAlign w:val="center"/>
          </w:tcPr>
          <w:p w:rsidR="0060153B" w:rsidRPr="009C2FDE" w:rsidRDefault="0060153B" w:rsidP="00D31189">
            <w:pPr>
              <w:jc w:val="center"/>
              <w:rPr>
                <w:color w:val="000000"/>
              </w:rPr>
            </w:pPr>
          </w:p>
        </w:tc>
        <w:tc>
          <w:tcPr>
            <w:tcW w:w="1800" w:type="dxa"/>
            <w:vAlign w:val="center"/>
          </w:tcPr>
          <w:p w:rsidR="0060153B" w:rsidRPr="009C2FDE" w:rsidRDefault="0060153B" w:rsidP="001C0DC8">
            <w:pPr>
              <w:jc w:val="center"/>
              <w:rPr>
                <w:color w:val="000000"/>
              </w:rPr>
            </w:pPr>
            <w:r w:rsidRPr="009C2FDE">
              <w:rPr>
                <w:color w:val="000000"/>
              </w:rPr>
              <w:t xml:space="preserve">DCH </w:t>
            </w:r>
            <w:r w:rsidR="0076255F">
              <w:rPr>
                <w:color w:val="000000"/>
              </w:rPr>
              <w:t>DCH-PMD</w:t>
            </w:r>
            <w:r w:rsidRPr="009C2FDE">
              <w:rPr>
                <w:color w:val="000000"/>
              </w:rPr>
              <w:t>: Semi-annual reporting</w:t>
            </w:r>
          </w:p>
        </w:tc>
        <w:tc>
          <w:tcPr>
            <w:tcW w:w="1440" w:type="dxa"/>
            <w:vAlign w:val="center"/>
          </w:tcPr>
          <w:p w:rsidR="0060153B" w:rsidRPr="009C2FDE" w:rsidRDefault="0060153B" w:rsidP="009C2FDE">
            <w:pPr>
              <w:jc w:val="center"/>
              <w:rPr>
                <w:rFonts w:eastAsiaTheme="minorHAnsi"/>
              </w:rPr>
            </w:pPr>
            <w:r w:rsidRPr="009C2FDE">
              <w:t>41</w:t>
            </w:r>
          </w:p>
        </w:tc>
        <w:tc>
          <w:tcPr>
            <w:tcW w:w="1350" w:type="dxa"/>
            <w:vAlign w:val="center"/>
          </w:tcPr>
          <w:p w:rsidR="0060153B" w:rsidRPr="009C2FDE" w:rsidRDefault="0060153B" w:rsidP="00D31189">
            <w:pPr>
              <w:jc w:val="center"/>
              <w:rPr>
                <w:color w:val="000000"/>
              </w:rPr>
            </w:pPr>
            <w:r w:rsidRPr="009C2FDE">
              <w:rPr>
                <w:color w:val="000000"/>
              </w:rPr>
              <w:t>2</w:t>
            </w:r>
          </w:p>
        </w:tc>
        <w:tc>
          <w:tcPr>
            <w:tcW w:w="1080" w:type="dxa"/>
            <w:vAlign w:val="center"/>
          </w:tcPr>
          <w:p w:rsidR="0060153B" w:rsidRPr="009C2FDE" w:rsidRDefault="0060153B" w:rsidP="00D31189">
            <w:pPr>
              <w:jc w:val="center"/>
              <w:rPr>
                <w:color w:val="000000"/>
              </w:rPr>
            </w:pPr>
            <w:r w:rsidRPr="009C2FDE">
              <w:rPr>
                <w:color w:val="000000"/>
              </w:rPr>
              <w:t>3</w:t>
            </w:r>
          </w:p>
        </w:tc>
        <w:tc>
          <w:tcPr>
            <w:tcW w:w="1080" w:type="dxa"/>
            <w:vAlign w:val="center"/>
          </w:tcPr>
          <w:p w:rsidR="0060153B" w:rsidRPr="009C2FDE" w:rsidRDefault="0060153B" w:rsidP="00D31189">
            <w:pPr>
              <w:jc w:val="center"/>
              <w:rPr>
                <w:color w:val="000000"/>
              </w:rPr>
            </w:pPr>
            <w:r w:rsidRPr="009C2FDE">
              <w:rPr>
                <w:color w:val="000000"/>
              </w:rPr>
              <w:t>$30.65</w:t>
            </w:r>
          </w:p>
        </w:tc>
        <w:tc>
          <w:tcPr>
            <w:tcW w:w="1350" w:type="dxa"/>
            <w:vAlign w:val="center"/>
          </w:tcPr>
          <w:p w:rsidR="0060153B" w:rsidRPr="009C2FDE" w:rsidRDefault="0060153B" w:rsidP="0060153B">
            <w:pPr>
              <w:jc w:val="center"/>
              <w:rPr>
                <w:color w:val="000000"/>
              </w:rPr>
            </w:pPr>
            <w:r w:rsidRPr="009C2FDE">
              <w:rPr>
                <w:color w:val="000000"/>
              </w:rPr>
              <w:t>$7,5</w:t>
            </w:r>
            <w:r w:rsidR="00D50193" w:rsidRPr="009C2FDE">
              <w:rPr>
                <w:color w:val="000000"/>
              </w:rPr>
              <w:t>40</w:t>
            </w:r>
          </w:p>
        </w:tc>
      </w:tr>
      <w:tr w:rsidR="0060153B" w:rsidRPr="009C2FDE" w:rsidTr="004F2C1D">
        <w:tc>
          <w:tcPr>
            <w:tcW w:w="1620" w:type="dxa"/>
            <w:vMerge/>
            <w:vAlign w:val="center"/>
          </w:tcPr>
          <w:p w:rsidR="0060153B" w:rsidRPr="009C2FDE" w:rsidRDefault="0060153B" w:rsidP="00D31189">
            <w:pPr>
              <w:jc w:val="center"/>
              <w:rPr>
                <w:color w:val="000000"/>
              </w:rPr>
            </w:pPr>
          </w:p>
        </w:tc>
        <w:tc>
          <w:tcPr>
            <w:tcW w:w="1800" w:type="dxa"/>
            <w:vAlign w:val="center"/>
          </w:tcPr>
          <w:p w:rsidR="0060153B" w:rsidRPr="009C2FDE" w:rsidRDefault="0060153B" w:rsidP="00D31189">
            <w:pPr>
              <w:jc w:val="center"/>
              <w:rPr>
                <w:color w:val="000000"/>
              </w:rPr>
            </w:pPr>
            <w:r w:rsidRPr="009C2FDE">
              <w:rPr>
                <w:color w:val="000000"/>
              </w:rPr>
              <w:t>Special Data Request</w:t>
            </w:r>
          </w:p>
        </w:tc>
        <w:tc>
          <w:tcPr>
            <w:tcW w:w="1440" w:type="dxa"/>
            <w:vAlign w:val="center"/>
          </w:tcPr>
          <w:p w:rsidR="0060153B" w:rsidRPr="009C2FDE" w:rsidRDefault="0060153B" w:rsidP="009C2FDE">
            <w:pPr>
              <w:jc w:val="center"/>
              <w:rPr>
                <w:rFonts w:eastAsiaTheme="minorHAnsi"/>
              </w:rPr>
            </w:pPr>
            <w:r w:rsidRPr="009C2FDE">
              <w:t>41</w:t>
            </w:r>
          </w:p>
        </w:tc>
        <w:tc>
          <w:tcPr>
            <w:tcW w:w="1350" w:type="dxa"/>
            <w:vAlign w:val="center"/>
          </w:tcPr>
          <w:p w:rsidR="0060153B" w:rsidRPr="009C2FDE" w:rsidRDefault="0060153B" w:rsidP="00D31189">
            <w:pPr>
              <w:jc w:val="center"/>
              <w:rPr>
                <w:color w:val="000000"/>
              </w:rPr>
            </w:pPr>
            <w:r w:rsidRPr="009C2FDE">
              <w:rPr>
                <w:color w:val="000000"/>
              </w:rPr>
              <w:t>1</w:t>
            </w:r>
          </w:p>
        </w:tc>
        <w:tc>
          <w:tcPr>
            <w:tcW w:w="1080" w:type="dxa"/>
            <w:vAlign w:val="center"/>
          </w:tcPr>
          <w:p w:rsidR="0060153B" w:rsidRPr="009C2FDE" w:rsidRDefault="0060153B" w:rsidP="00D31189">
            <w:pPr>
              <w:jc w:val="center"/>
              <w:rPr>
                <w:color w:val="000000"/>
              </w:rPr>
            </w:pPr>
            <w:r w:rsidRPr="009C2FDE">
              <w:rPr>
                <w:color w:val="000000"/>
              </w:rPr>
              <w:t>6</w:t>
            </w:r>
          </w:p>
        </w:tc>
        <w:tc>
          <w:tcPr>
            <w:tcW w:w="1080" w:type="dxa"/>
            <w:vAlign w:val="center"/>
          </w:tcPr>
          <w:p w:rsidR="0060153B" w:rsidRPr="009C2FDE" w:rsidRDefault="0060153B" w:rsidP="00D31189">
            <w:pPr>
              <w:jc w:val="center"/>
              <w:rPr>
                <w:color w:val="000000"/>
              </w:rPr>
            </w:pPr>
            <w:r w:rsidRPr="009C2FDE">
              <w:rPr>
                <w:color w:val="000000"/>
              </w:rPr>
              <w:t>$30.65</w:t>
            </w:r>
          </w:p>
        </w:tc>
        <w:tc>
          <w:tcPr>
            <w:tcW w:w="1350" w:type="dxa"/>
            <w:vAlign w:val="center"/>
          </w:tcPr>
          <w:p w:rsidR="0060153B" w:rsidRPr="009C2FDE" w:rsidRDefault="0060153B" w:rsidP="008C5802">
            <w:pPr>
              <w:jc w:val="center"/>
              <w:rPr>
                <w:color w:val="000000"/>
              </w:rPr>
            </w:pPr>
            <w:r w:rsidRPr="009C2FDE">
              <w:rPr>
                <w:color w:val="000000"/>
              </w:rPr>
              <w:t>$7,5</w:t>
            </w:r>
            <w:r w:rsidR="00D50193" w:rsidRPr="009C2FDE">
              <w:rPr>
                <w:color w:val="000000"/>
              </w:rPr>
              <w:t>40</w:t>
            </w:r>
          </w:p>
        </w:tc>
      </w:tr>
      <w:tr w:rsidR="0060153B" w:rsidRPr="009C2FDE" w:rsidTr="004F2C1D">
        <w:tc>
          <w:tcPr>
            <w:tcW w:w="1620" w:type="dxa"/>
            <w:vMerge w:val="restart"/>
            <w:vAlign w:val="center"/>
          </w:tcPr>
          <w:p w:rsidR="0060153B" w:rsidRPr="009C2FDE" w:rsidRDefault="0060153B" w:rsidP="002D3DF3">
            <w:pPr>
              <w:jc w:val="center"/>
              <w:rPr>
                <w:color w:val="000000"/>
              </w:rPr>
            </w:pPr>
            <w:r w:rsidRPr="009C2FDE">
              <w:rPr>
                <w:color w:val="000000"/>
              </w:rPr>
              <w:t>DCH Program Awardees (</w:t>
            </w:r>
            <w:r w:rsidR="002D3DF3">
              <w:rPr>
                <w:color w:val="000000"/>
              </w:rPr>
              <w:t>private sector</w:t>
            </w:r>
            <w:r w:rsidRPr="009C2FDE">
              <w:rPr>
                <w:color w:val="000000"/>
              </w:rPr>
              <w:t xml:space="preserve"> </w:t>
            </w:r>
            <w:r w:rsidR="00846338">
              <w:rPr>
                <w:color w:val="000000"/>
              </w:rPr>
              <w:t>organizations)</w:t>
            </w:r>
          </w:p>
        </w:tc>
        <w:tc>
          <w:tcPr>
            <w:tcW w:w="1800" w:type="dxa"/>
            <w:vAlign w:val="center"/>
          </w:tcPr>
          <w:p w:rsidR="0060153B" w:rsidRPr="009C2FDE" w:rsidRDefault="0060153B" w:rsidP="001C0DC8">
            <w:pPr>
              <w:jc w:val="center"/>
              <w:rPr>
                <w:color w:val="000000"/>
              </w:rPr>
            </w:pPr>
            <w:r w:rsidRPr="009C2FDE">
              <w:rPr>
                <w:color w:val="000000"/>
              </w:rPr>
              <w:t xml:space="preserve">DCH </w:t>
            </w:r>
            <w:r w:rsidR="0076255F">
              <w:rPr>
                <w:color w:val="000000"/>
              </w:rPr>
              <w:t>DCH-PMD</w:t>
            </w:r>
            <w:r w:rsidRPr="009C2FDE">
              <w:rPr>
                <w:color w:val="000000"/>
              </w:rPr>
              <w:t>: Initial population</w:t>
            </w:r>
          </w:p>
        </w:tc>
        <w:tc>
          <w:tcPr>
            <w:tcW w:w="1440" w:type="dxa"/>
            <w:vAlign w:val="center"/>
          </w:tcPr>
          <w:p w:rsidR="0060153B" w:rsidRPr="009C2FDE" w:rsidRDefault="0060153B" w:rsidP="009C2FDE">
            <w:pPr>
              <w:jc w:val="center"/>
              <w:rPr>
                <w:rFonts w:eastAsiaTheme="minorHAnsi"/>
              </w:rPr>
            </w:pPr>
            <w:r w:rsidRPr="009C2FDE">
              <w:t>18</w:t>
            </w:r>
          </w:p>
        </w:tc>
        <w:tc>
          <w:tcPr>
            <w:tcW w:w="1350" w:type="dxa"/>
            <w:vAlign w:val="center"/>
          </w:tcPr>
          <w:p w:rsidR="0060153B" w:rsidRPr="009C2FDE" w:rsidRDefault="0060153B" w:rsidP="00D31189">
            <w:pPr>
              <w:jc w:val="center"/>
              <w:rPr>
                <w:color w:val="000000"/>
              </w:rPr>
            </w:pPr>
            <w:r w:rsidRPr="009C2FDE">
              <w:rPr>
                <w:color w:val="000000"/>
              </w:rPr>
              <w:t>1</w:t>
            </w:r>
          </w:p>
        </w:tc>
        <w:tc>
          <w:tcPr>
            <w:tcW w:w="1080" w:type="dxa"/>
            <w:vAlign w:val="center"/>
          </w:tcPr>
          <w:p w:rsidR="0060153B" w:rsidRPr="009C2FDE" w:rsidRDefault="0060153B" w:rsidP="00D31189">
            <w:pPr>
              <w:jc w:val="center"/>
              <w:rPr>
                <w:color w:val="000000"/>
              </w:rPr>
            </w:pPr>
            <w:r w:rsidRPr="009C2FDE">
              <w:rPr>
                <w:color w:val="000000"/>
              </w:rPr>
              <w:t>15</w:t>
            </w:r>
          </w:p>
        </w:tc>
        <w:tc>
          <w:tcPr>
            <w:tcW w:w="1080" w:type="dxa"/>
            <w:vAlign w:val="center"/>
          </w:tcPr>
          <w:p w:rsidR="0060153B" w:rsidRPr="009C2FDE" w:rsidRDefault="0060153B" w:rsidP="00D31189">
            <w:pPr>
              <w:jc w:val="center"/>
              <w:rPr>
                <w:color w:val="000000"/>
              </w:rPr>
            </w:pPr>
            <w:r w:rsidRPr="009C2FDE">
              <w:rPr>
                <w:color w:val="000000"/>
              </w:rPr>
              <w:t>$30.65</w:t>
            </w:r>
          </w:p>
        </w:tc>
        <w:tc>
          <w:tcPr>
            <w:tcW w:w="1350" w:type="dxa"/>
            <w:vAlign w:val="center"/>
          </w:tcPr>
          <w:p w:rsidR="0060153B" w:rsidRPr="009C2FDE" w:rsidRDefault="0060153B" w:rsidP="0060153B">
            <w:pPr>
              <w:jc w:val="center"/>
              <w:rPr>
                <w:color w:val="000000"/>
              </w:rPr>
            </w:pPr>
            <w:r w:rsidRPr="009C2FDE">
              <w:rPr>
                <w:color w:val="000000"/>
              </w:rPr>
              <w:t>$8,27</w:t>
            </w:r>
            <w:r w:rsidR="00D50193" w:rsidRPr="009C2FDE">
              <w:rPr>
                <w:color w:val="000000"/>
              </w:rPr>
              <w:t>6</w:t>
            </w:r>
          </w:p>
        </w:tc>
      </w:tr>
      <w:tr w:rsidR="0060153B" w:rsidRPr="009C2FDE" w:rsidTr="004F2C1D">
        <w:tc>
          <w:tcPr>
            <w:tcW w:w="1620" w:type="dxa"/>
            <w:vMerge/>
            <w:vAlign w:val="center"/>
          </w:tcPr>
          <w:p w:rsidR="0060153B" w:rsidRPr="009C2FDE" w:rsidRDefault="0060153B" w:rsidP="00D31189">
            <w:pPr>
              <w:jc w:val="center"/>
              <w:rPr>
                <w:color w:val="000000"/>
              </w:rPr>
            </w:pPr>
          </w:p>
        </w:tc>
        <w:tc>
          <w:tcPr>
            <w:tcW w:w="1800" w:type="dxa"/>
            <w:vAlign w:val="center"/>
          </w:tcPr>
          <w:p w:rsidR="0060153B" w:rsidRPr="009C2FDE" w:rsidRDefault="0060153B" w:rsidP="001C0DC8">
            <w:pPr>
              <w:jc w:val="center"/>
              <w:rPr>
                <w:color w:val="000000"/>
              </w:rPr>
            </w:pPr>
            <w:r w:rsidRPr="009C2FDE">
              <w:rPr>
                <w:color w:val="000000"/>
              </w:rPr>
              <w:t xml:space="preserve">DCH </w:t>
            </w:r>
            <w:r w:rsidR="0076255F">
              <w:rPr>
                <w:color w:val="000000"/>
              </w:rPr>
              <w:t>DCH-PMD</w:t>
            </w:r>
            <w:r w:rsidRPr="009C2FDE">
              <w:rPr>
                <w:color w:val="000000"/>
              </w:rPr>
              <w:t>: Semi-annual reporting</w:t>
            </w:r>
          </w:p>
        </w:tc>
        <w:tc>
          <w:tcPr>
            <w:tcW w:w="1440" w:type="dxa"/>
            <w:vAlign w:val="center"/>
          </w:tcPr>
          <w:p w:rsidR="0060153B" w:rsidRPr="009C2FDE" w:rsidRDefault="0060153B" w:rsidP="009C2FDE">
            <w:pPr>
              <w:jc w:val="center"/>
              <w:rPr>
                <w:rFonts w:eastAsiaTheme="minorHAnsi"/>
              </w:rPr>
            </w:pPr>
            <w:r w:rsidRPr="009C2FDE">
              <w:t>52</w:t>
            </w:r>
          </w:p>
        </w:tc>
        <w:tc>
          <w:tcPr>
            <w:tcW w:w="1350" w:type="dxa"/>
            <w:vAlign w:val="center"/>
          </w:tcPr>
          <w:p w:rsidR="0060153B" w:rsidRPr="009C2FDE" w:rsidRDefault="0060153B" w:rsidP="00D31189">
            <w:pPr>
              <w:jc w:val="center"/>
              <w:rPr>
                <w:color w:val="000000"/>
              </w:rPr>
            </w:pPr>
            <w:r w:rsidRPr="009C2FDE">
              <w:rPr>
                <w:color w:val="000000"/>
              </w:rPr>
              <w:t>2</w:t>
            </w:r>
          </w:p>
        </w:tc>
        <w:tc>
          <w:tcPr>
            <w:tcW w:w="1080" w:type="dxa"/>
            <w:vAlign w:val="center"/>
          </w:tcPr>
          <w:p w:rsidR="0060153B" w:rsidRPr="009C2FDE" w:rsidRDefault="0060153B" w:rsidP="00D31189">
            <w:pPr>
              <w:jc w:val="center"/>
              <w:rPr>
                <w:color w:val="000000"/>
              </w:rPr>
            </w:pPr>
            <w:r w:rsidRPr="009C2FDE">
              <w:rPr>
                <w:color w:val="000000"/>
              </w:rPr>
              <w:t>3</w:t>
            </w:r>
          </w:p>
        </w:tc>
        <w:tc>
          <w:tcPr>
            <w:tcW w:w="1080" w:type="dxa"/>
            <w:vAlign w:val="center"/>
          </w:tcPr>
          <w:p w:rsidR="0060153B" w:rsidRPr="009C2FDE" w:rsidRDefault="0060153B" w:rsidP="00D31189">
            <w:pPr>
              <w:jc w:val="center"/>
              <w:rPr>
                <w:color w:val="000000"/>
              </w:rPr>
            </w:pPr>
            <w:r w:rsidRPr="009C2FDE">
              <w:rPr>
                <w:color w:val="000000"/>
              </w:rPr>
              <w:t>$30.65</w:t>
            </w:r>
          </w:p>
        </w:tc>
        <w:tc>
          <w:tcPr>
            <w:tcW w:w="1350" w:type="dxa"/>
            <w:vAlign w:val="center"/>
          </w:tcPr>
          <w:p w:rsidR="0060153B" w:rsidRPr="009C2FDE" w:rsidRDefault="0060153B" w:rsidP="00B14205">
            <w:pPr>
              <w:jc w:val="center"/>
              <w:rPr>
                <w:color w:val="000000"/>
              </w:rPr>
            </w:pPr>
            <w:r w:rsidRPr="009C2FDE">
              <w:rPr>
                <w:color w:val="000000"/>
              </w:rPr>
              <w:t>$9,56</w:t>
            </w:r>
            <w:r w:rsidR="00D50193" w:rsidRPr="009C2FDE">
              <w:rPr>
                <w:color w:val="000000"/>
              </w:rPr>
              <w:t>3</w:t>
            </w:r>
          </w:p>
        </w:tc>
      </w:tr>
      <w:tr w:rsidR="0060153B" w:rsidRPr="009C2FDE" w:rsidTr="004F2C1D">
        <w:tc>
          <w:tcPr>
            <w:tcW w:w="1620" w:type="dxa"/>
            <w:vMerge/>
            <w:vAlign w:val="center"/>
          </w:tcPr>
          <w:p w:rsidR="0060153B" w:rsidRPr="009C2FDE" w:rsidRDefault="0060153B" w:rsidP="00D31189">
            <w:pPr>
              <w:jc w:val="center"/>
              <w:rPr>
                <w:color w:val="000000"/>
              </w:rPr>
            </w:pPr>
          </w:p>
        </w:tc>
        <w:tc>
          <w:tcPr>
            <w:tcW w:w="1800" w:type="dxa"/>
            <w:vAlign w:val="center"/>
          </w:tcPr>
          <w:p w:rsidR="0060153B" w:rsidRPr="009C2FDE" w:rsidRDefault="0060153B" w:rsidP="00D31189">
            <w:pPr>
              <w:jc w:val="center"/>
              <w:rPr>
                <w:color w:val="000000"/>
              </w:rPr>
            </w:pPr>
            <w:r w:rsidRPr="009C2FDE">
              <w:rPr>
                <w:color w:val="000000"/>
              </w:rPr>
              <w:t>Special Data Request</w:t>
            </w:r>
          </w:p>
        </w:tc>
        <w:tc>
          <w:tcPr>
            <w:tcW w:w="1440" w:type="dxa"/>
            <w:vAlign w:val="center"/>
          </w:tcPr>
          <w:p w:rsidR="0060153B" w:rsidRPr="009C2FDE" w:rsidRDefault="0060153B" w:rsidP="009C2FDE">
            <w:pPr>
              <w:jc w:val="center"/>
              <w:rPr>
                <w:rFonts w:eastAsiaTheme="minorHAnsi"/>
              </w:rPr>
            </w:pPr>
            <w:r w:rsidRPr="009C2FDE">
              <w:t>52</w:t>
            </w:r>
          </w:p>
        </w:tc>
        <w:tc>
          <w:tcPr>
            <w:tcW w:w="1350" w:type="dxa"/>
            <w:vAlign w:val="center"/>
          </w:tcPr>
          <w:p w:rsidR="0060153B" w:rsidRPr="009C2FDE" w:rsidRDefault="0060153B" w:rsidP="00D31189">
            <w:pPr>
              <w:jc w:val="center"/>
              <w:rPr>
                <w:color w:val="000000"/>
              </w:rPr>
            </w:pPr>
            <w:r w:rsidRPr="009C2FDE">
              <w:rPr>
                <w:color w:val="000000"/>
              </w:rPr>
              <w:t>1</w:t>
            </w:r>
          </w:p>
        </w:tc>
        <w:tc>
          <w:tcPr>
            <w:tcW w:w="1080" w:type="dxa"/>
            <w:vAlign w:val="center"/>
          </w:tcPr>
          <w:p w:rsidR="0060153B" w:rsidRPr="009C2FDE" w:rsidRDefault="0060153B" w:rsidP="00D31189">
            <w:pPr>
              <w:jc w:val="center"/>
              <w:rPr>
                <w:color w:val="000000"/>
              </w:rPr>
            </w:pPr>
            <w:r w:rsidRPr="009C2FDE">
              <w:rPr>
                <w:color w:val="000000"/>
              </w:rPr>
              <w:t>6</w:t>
            </w:r>
          </w:p>
        </w:tc>
        <w:tc>
          <w:tcPr>
            <w:tcW w:w="1080" w:type="dxa"/>
            <w:vAlign w:val="center"/>
          </w:tcPr>
          <w:p w:rsidR="0060153B" w:rsidRPr="009C2FDE" w:rsidRDefault="0060153B" w:rsidP="00D31189">
            <w:pPr>
              <w:jc w:val="center"/>
              <w:rPr>
                <w:color w:val="000000"/>
              </w:rPr>
            </w:pPr>
            <w:r w:rsidRPr="009C2FDE">
              <w:rPr>
                <w:color w:val="000000"/>
              </w:rPr>
              <w:t>$30.65</w:t>
            </w:r>
          </w:p>
        </w:tc>
        <w:tc>
          <w:tcPr>
            <w:tcW w:w="1350" w:type="dxa"/>
            <w:vAlign w:val="center"/>
          </w:tcPr>
          <w:p w:rsidR="0060153B" w:rsidRPr="009C2FDE" w:rsidRDefault="0060153B" w:rsidP="000D449E">
            <w:pPr>
              <w:jc w:val="center"/>
              <w:rPr>
                <w:color w:val="000000"/>
              </w:rPr>
            </w:pPr>
            <w:r w:rsidRPr="009C2FDE">
              <w:rPr>
                <w:color w:val="000000"/>
              </w:rPr>
              <w:t>$9,56</w:t>
            </w:r>
            <w:r w:rsidR="00D50193" w:rsidRPr="009C2FDE">
              <w:rPr>
                <w:color w:val="000000"/>
              </w:rPr>
              <w:t>3</w:t>
            </w:r>
          </w:p>
        </w:tc>
      </w:tr>
      <w:tr w:rsidR="00D307C9" w:rsidRPr="009C2FDE" w:rsidTr="004F2C1D">
        <w:tc>
          <w:tcPr>
            <w:tcW w:w="1620" w:type="dxa"/>
            <w:vAlign w:val="center"/>
          </w:tcPr>
          <w:p w:rsidR="00D307C9" w:rsidRPr="009C2FDE" w:rsidRDefault="00D307C9" w:rsidP="00D31189">
            <w:pPr>
              <w:jc w:val="center"/>
              <w:rPr>
                <w:color w:val="000000"/>
              </w:rPr>
            </w:pPr>
          </w:p>
        </w:tc>
        <w:tc>
          <w:tcPr>
            <w:tcW w:w="6750" w:type="dxa"/>
            <w:gridSpan w:val="5"/>
            <w:vAlign w:val="center"/>
          </w:tcPr>
          <w:p w:rsidR="00D307C9" w:rsidRPr="009C2FDE" w:rsidRDefault="00D307C9" w:rsidP="00D31189">
            <w:pPr>
              <w:jc w:val="right"/>
              <w:rPr>
                <w:color w:val="000000"/>
              </w:rPr>
            </w:pPr>
            <w:r w:rsidRPr="009C2FDE">
              <w:rPr>
                <w:color w:val="000000"/>
              </w:rPr>
              <w:t>Total</w:t>
            </w:r>
          </w:p>
        </w:tc>
        <w:tc>
          <w:tcPr>
            <w:tcW w:w="1350" w:type="dxa"/>
            <w:vAlign w:val="center"/>
          </w:tcPr>
          <w:p w:rsidR="00AE2908" w:rsidRPr="009C2FDE" w:rsidRDefault="00AE2908" w:rsidP="00D50193">
            <w:pPr>
              <w:jc w:val="center"/>
              <w:rPr>
                <w:color w:val="000000"/>
              </w:rPr>
            </w:pPr>
            <w:r w:rsidRPr="009C2FDE">
              <w:rPr>
                <w:color w:val="000000"/>
              </w:rPr>
              <w:t>$48,</w:t>
            </w:r>
            <w:r w:rsidR="00D50193" w:rsidRPr="009C2FDE">
              <w:rPr>
                <w:color w:val="000000"/>
              </w:rPr>
              <w:t>919</w:t>
            </w:r>
          </w:p>
        </w:tc>
      </w:tr>
    </w:tbl>
    <w:p w:rsidR="000B1340" w:rsidRPr="009C2FDE" w:rsidRDefault="00D307C9" w:rsidP="000B1340">
      <w:pPr>
        <w:rPr>
          <w:b/>
        </w:rPr>
      </w:pPr>
      <w:r w:rsidRPr="009C2FDE" w:rsidDel="00D307C9">
        <w:rPr>
          <w:b/>
        </w:rPr>
        <w:t xml:space="preserve"> </w:t>
      </w:r>
    </w:p>
    <w:p w:rsidR="003E57D1" w:rsidRPr="009C2FDE" w:rsidRDefault="003E57D1" w:rsidP="00CA7AD8">
      <w:pPr>
        <w:rPr>
          <w:b/>
        </w:rPr>
      </w:pPr>
    </w:p>
    <w:p w:rsidR="00E67FA7" w:rsidRPr="009C2FDE" w:rsidRDefault="00C218DE" w:rsidP="00C218DE">
      <w:pPr>
        <w:rPr>
          <w:b/>
        </w:rPr>
      </w:pPr>
      <w:r w:rsidRPr="009C2FDE">
        <w:rPr>
          <w:b/>
        </w:rPr>
        <w:t xml:space="preserve">      </w:t>
      </w:r>
      <w:r w:rsidR="00E67FA7" w:rsidRPr="009C2FDE">
        <w:rPr>
          <w:b/>
        </w:rPr>
        <w:t xml:space="preserve">13. Estimates of </w:t>
      </w:r>
      <w:r w:rsidR="004E4ED3" w:rsidRPr="009C2FDE">
        <w:rPr>
          <w:b/>
        </w:rPr>
        <w:t xml:space="preserve">Other Total Annual </w:t>
      </w:r>
      <w:r w:rsidR="00594A0E" w:rsidRPr="009C2FDE">
        <w:rPr>
          <w:b/>
        </w:rPr>
        <w:t>Cost Burden to</w:t>
      </w:r>
      <w:r w:rsidR="00E67FA7" w:rsidRPr="009C2FDE">
        <w:rPr>
          <w:b/>
        </w:rPr>
        <w:t xml:space="preserve"> Respondent</w:t>
      </w:r>
      <w:r w:rsidR="00594A0E" w:rsidRPr="009C2FDE">
        <w:rPr>
          <w:b/>
        </w:rPr>
        <w:t xml:space="preserve">s </w:t>
      </w:r>
      <w:r w:rsidR="00AC268F" w:rsidRPr="009C2FDE">
        <w:rPr>
          <w:b/>
        </w:rPr>
        <w:t>or</w:t>
      </w:r>
      <w:r w:rsidR="00E67FA7" w:rsidRPr="009C2FDE">
        <w:rPr>
          <w:b/>
        </w:rPr>
        <w:t xml:space="preserve"> </w:t>
      </w:r>
      <w:r w:rsidR="00D13DBA" w:rsidRPr="009C2FDE">
        <w:rPr>
          <w:b/>
        </w:rPr>
        <w:t>Record Keepers</w:t>
      </w:r>
    </w:p>
    <w:p w:rsidR="00E67FA7" w:rsidRPr="009C2FDE" w:rsidRDefault="00E67FA7" w:rsidP="00207287">
      <w:pPr>
        <w:ind w:left="360"/>
      </w:pPr>
    </w:p>
    <w:p w:rsidR="00E67FA7" w:rsidRPr="009C2FDE" w:rsidRDefault="00C1533F" w:rsidP="004201B9">
      <w:r w:rsidRPr="009C2FDE">
        <w:t xml:space="preserve">The </w:t>
      </w:r>
      <w:r w:rsidR="0076255F">
        <w:t>DCH-PMD</w:t>
      </w:r>
      <w:r w:rsidRPr="009C2FDE">
        <w:t xml:space="preserve"> </w:t>
      </w:r>
      <w:r w:rsidR="004D6EC7" w:rsidRPr="009C2FDE">
        <w:t>is</w:t>
      </w:r>
      <w:r w:rsidRPr="009C2FDE">
        <w:t xml:space="preserve"> designed to use existing hardware within funded sites, and all respondent</w:t>
      </w:r>
      <w:r w:rsidR="00183515" w:rsidRPr="009C2FDE">
        <w:t>s currently have access to the I</w:t>
      </w:r>
      <w:r w:rsidRPr="009C2FDE">
        <w:t>nternet to use the information system. No capital or maintenance costs are expected. Additionally, there are no start-up, hardware or software costs.</w:t>
      </w:r>
    </w:p>
    <w:p w:rsidR="0073418E" w:rsidRPr="009C2FDE" w:rsidRDefault="0073418E" w:rsidP="00754B25"/>
    <w:p w:rsidR="00E67FA7" w:rsidRPr="009C2FDE" w:rsidRDefault="00E67FA7" w:rsidP="00207287">
      <w:pPr>
        <w:ind w:left="360"/>
        <w:rPr>
          <w:b/>
        </w:rPr>
      </w:pPr>
      <w:r w:rsidRPr="009C2FDE">
        <w:rPr>
          <w:b/>
        </w:rPr>
        <w:t xml:space="preserve">14. Estimates of Annualized Cost to the </w:t>
      </w:r>
      <w:r w:rsidR="00DF6AA4" w:rsidRPr="009C2FDE">
        <w:rPr>
          <w:b/>
        </w:rPr>
        <w:t xml:space="preserve">Federal </w:t>
      </w:r>
      <w:r w:rsidRPr="009C2FDE">
        <w:rPr>
          <w:b/>
        </w:rPr>
        <w:t>Government</w:t>
      </w:r>
    </w:p>
    <w:p w:rsidR="00E67FA7" w:rsidRPr="009C2FDE" w:rsidRDefault="00E67FA7" w:rsidP="00207287">
      <w:pPr>
        <w:ind w:left="360"/>
        <w:rPr>
          <w:b/>
        </w:rPr>
      </w:pPr>
    </w:p>
    <w:p w:rsidR="00263F6A" w:rsidRPr="009C2FDE" w:rsidRDefault="00FB44DA" w:rsidP="00263F6A">
      <w:pPr>
        <w:ind w:left="360"/>
        <w:rPr>
          <w:b/>
        </w:rPr>
      </w:pPr>
      <w:r w:rsidRPr="009C2FDE">
        <w:rPr>
          <w:b/>
        </w:rPr>
        <w:t xml:space="preserve">A. </w:t>
      </w:r>
      <w:r w:rsidR="00E0662F" w:rsidRPr="009C2FDE">
        <w:rPr>
          <w:b/>
        </w:rPr>
        <w:t>Development, Implementation, and Maintenance</w:t>
      </w:r>
    </w:p>
    <w:p w:rsidR="004E7894" w:rsidRPr="009C2FDE" w:rsidRDefault="004E7894" w:rsidP="00263F6A">
      <w:pPr>
        <w:ind w:left="360"/>
      </w:pPr>
    </w:p>
    <w:p w:rsidR="00BF32C3" w:rsidRDefault="00FE4674" w:rsidP="00343E36">
      <w:r w:rsidRPr="009C2FDE">
        <w:t>The average annualized cost to the federal government is $178,</w:t>
      </w:r>
      <w:r w:rsidR="00CA5711" w:rsidRPr="009C2FDE">
        <w:t>864</w:t>
      </w:r>
      <w:r w:rsidRPr="009C2FDE">
        <w:t xml:space="preserve">, as summarized in Table A.14-A.  </w:t>
      </w:r>
      <w:r w:rsidR="00E0662F" w:rsidRPr="009C2FDE">
        <w:t xml:space="preserve">Major cost factors for the </w:t>
      </w:r>
      <w:r w:rsidR="0076255F">
        <w:t>DCH-PMD</w:t>
      </w:r>
      <w:r w:rsidR="00E0662F" w:rsidRPr="009C2FDE">
        <w:t xml:space="preserve"> include application design and development costs and system m</w:t>
      </w:r>
      <w:r w:rsidR="006D6538" w:rsidRPr="009C2FDE">
        <w:t>aintenance</w:t>
      </w:r>
      <w:r w:rsidR="00E0662F" w:rsidRPr="009C2FDE">
        <w:t xml:space="preserve"> costs. </w:t>
      </w:r>
      <w:r w:rsidR="006D6538" w:rsidRPr="009C2FDE">
        <w:t xml:space="preserve"> </w:t>
      </w:r>
      <w:r w:rsidR="00C758EF" w:rsidRPr="009C2FDE">
        <w:t xml:space="preserve">The </w:t>
      </w:r>
      <w:r w:rsidR="0076255F">
        <w:t>DCH-PMD</w:t>
      </w:r>
      <w:r w:rsidR="00C758EF" w:rsidRPr="009C2FDE">
        <w:t xml:space="preserve"> developer and data collection contractor is</w:t>
      </w:r>
      <w:r w:rsidR="00ED5632" w:rsidRPr="009C2FDE">
        <w:t xml:space="preserve"> ICF International.</w:t>
      </w:r>
    </w:p>
    <w:p w:rsidR="00C75027" w:rsidRPr="009C2FDE" w:rsidRDefault="00C75027" w:rsidP="00343E36"/>
    <w:p w:rsidR="00C75027" w:rsidRPr="009C2FDE" w:rsidRDefault="00C75027" w:rsidP="00343E36"/>
    <w:p w:rsidR="00C72C3A" w:rsidRPr="009C2FDE" w:rsidRDefault="00D54D5E" w:rsidP="00343E36">
      <w:r w:rsidRPr="009C2FDE">
        <w:rPr>
          <w:b/>
        </w:rPr>
        <w:t>Table A.14-A. Annualized Cost to the Federal Government</w:t>
      </w:r>
    </w:p>
    <w:tbl>
      <w:tblPr>
        <w:tblStyle w:val="TableGrid"/>
        <w:tblW w:w="0" w:type="auto"/>
        <w:jc w:val="center"/>
        <w:tblLook w:val="04A0" w:firstRow="1" w:lastRow="0" w:firstColumn="1" w:lastColumn="0" w:noHBand="0" w:noVBand="1"/>
      </w:tblPr>
      <w:tblGrid>
        <w:gridCol w:w="6138"/>
        <w:gridCol w:w="1292"/>
      </w:tblGrid>
      <w:tr w:rsidR="00C72C3A" w:rsidRPr="009C2FDE" w:rsidTr="00227082">
        <w:trPr>
          <w:jc w:val="center"/>
        </w:trPr>
        <w:tc>
          <w:tcPr>
            <w:tcW w:w="6138" w:type="dxa"/>
          </w:tcPr>
          <w:p w:rsidR="00C72C3A" w:rsidRPr="009C2FDE" w:rsidRDefault="000C6940" w:rsidP="00343E36">
            <w:r w:rsidRPr="009C2FDE">
              <w:t>Cost Category</w:t>
            </w:r>
          </w:p>
        </w:tc>
        <w:tc>
          <w:tcPr>
            <w:tcW w:w="1292" w:type="dxa"/>
          </w:tcPr>
          <w:p w:rsidR="00C72C3A" w:rsidRPr="009C2FDE" w:rsidRDefault="00C72C3A" w:rsidP="00227082">
            <w:pPr>
              <w:jc w:val="center"/>
              <w:rPr>
                <w:b/>
              </w:rPr>
            </w:pPr>
            <w:r w:rsidRPr="009C2FDE">
              <w:rPr>
                <w:b/>
              </w:rPr>
              <w:t>Total</w:t>
            </w:r>
          </w:p>
        </w:tc>
      </w:tr>
      <w:tr w:rsidR="00C72C3A" w:rsidRPr="009C2FDE" w:rsidTr="00227082">
        <w:trPr>
          <w:trHeight w:val="1432"/>
          <w:jc w:val="center"/>
        </w:trPr>
        <w:tc>
          <w:tcPr>
            <w:tcW w:w="6138" w:type="dxa"/>
          </w:tcPr>
          <w:p w:rsidR="00C72C3A" w:rsidRPr="009C2FDE" w:rsidRDefault="00C72C3A" w:rsidP="00343E36">
            <w:r w:rsidRPr="009C2FDE">
              <w:t>CDC Personnel</w:t>
            </w:r>
          </w:p>
          <w:p w:rsidR="00C72C3A" w:rsidRPr="009C2FDE" w:rsidRDefault="00C72C3A" w:rsidP="00C72C3A">
            <w:pPr>
              <w:pStyle w:val="ListParagraph"/>
              <w:numPr>
                <w:ilvl w:val="0"/>
                <w:numId w:val="33"/>
              </w:numPr>
            </w:pPr>
            <w:r w:rsidRPr="009C2FDE">
              <w:t>100% GS-12</w:t>
            </w:r>
            <w:r w:rsidR="00D54D5E" w:rsidRPr="009C2FDE">
              <w:t xml:space="preserve"> </w:t>
            </w:r>
            <w:r w:rsidRPr="009C2FDE">
              <w:t>@$71,901/year = $71,901</w:t>
            </w:r>
          </w:p>
          <w:p w:rsidR="00C72C3A" w:rsidRPr="009C2FDE" w:rsidRDefault="00C72C3A" w:rsidP="00C72C3A">
            <w:pPr>
              <w:pStyle w:val="ListParagraph"/>
              <w:numPr>
                <w:ilvl w:val="0"/>
                <w:numId w:val="32"/>
              </w:numPr>
            </w:pPr>
            <w:r w:rsidRPr="009C2FDE">
              <w:t>50% GS-13 @ $85,500/year = $42,</w:t>
            </w:r>
            <w:r w:rsidR="007B11FB" w:rsidRPr="009C2FDE">
              <w:t>750</w:t>
            </w:r>
          </w:p>
          <w:p w:rsidR="00C72C3A" w:rsidRPr="009C2FDE" w:rsidRDefault="00C72C3A" w:rsidP="00C72C3A">
            <w:pPr>
              <w:pStyle w:val="ListParagraph"/>
              <w:numPr>
                <w:ilvl w:val="0"/>
                <w:numId w:val="32"/>
              </w:numPr>
            </w:pPr>
            <w:r w:rsidRPr="009C2FDE">
              <w:t>25% GS-14 @ $101,035/year = 25,25</w:t>
            </w:r>
            <w:r w:rsidR="007B11FB" w:rsidRPr="009C2FDE">
              <w:t>9</w:t>
            </w:r>
          </w:p>
          <w:p w:rsidR="00C72C3A" w:rsidRPr="009C2FDE" w:rsidRDefault="00C72C3A" w:rsidP="00C72C3A">
            <w:pPr>
              <w:jc w:val="right"/>
            </w:pPr>
            <w:r w:rsidRPr="009C2FDE">
              <w:t>Subtotal, CDC Personnel</w:t>
            </w:r>
          </w:p>
        </w:tc>
        <w:tc>
          <w:tcPr>
            <w:tcW w:w="1292" w:type="dxa"/>
          </w:tcPr>
          <w:p w:rsidR="00C72C3A" w:rsidRPr="009C2FDE" w:rsidRDefault="00C72C3A" w:rsidP="00C72C3A">
            <w:pPr>
              <w:jc w:val="right"/>
            </w:pPr>
          </w:p>
          <w:p w:rsidR="00C72C3A" w:rsidRPr="009C2FDE" w:rsidRDefault="00C72C3A" w:rsidP="00C72C3A">
            <w:pPr>
              <w:jc w:val="right"/>
            </w:pPr>
          </w:p>
          <w:p w:rsidR="00C72C3A" w:rsidRPr="009C2FDE" w:rsidRDefault="00C72C3A" w:rsidP="00C72C3A">
            <w:pPr>
              <w:jc w:val="right"/>
            </w:pPr>
          </w:p>
          <w:p w:rsidR="00C72C3A" w:rsidRPr="009C2FDE" w:rsidRDefault="00C72C3A" w:rsidP="00C72C3A">
            <w:pPr>
              <w:jc w:val="right"/>
            </w:pPr>
          </w:p>
          <w:p w:rsidR="00C72C3A" w:rsidRPr="009C2FDE" w:rsidRDefault="00C72C3A" w:rsidP="00C72C3A">
            <w:pPr>
              <w:jc w:val="right"/>
            </w:pPr>
            <w:r w:rsidRPr="009C2FDE">
              <w:t xml:space="preserve">$ </w:t>
            </w:r>
            <w:r w:rsidR="004E1872" w:rsidRPr="009C2FDE">
              <w:t>139,</w:t>
            </w:r>
            <w:r w:rsidR="007B11FB" w:rsidRPr="009C2FDE">
              <w:t>910</w:t>
            </w:r>
          </w:p>
        </w:tc>
      </w:tr>
      <w:tr w:rsidR="00C72C3A" w:rsidRPr="009C2FDE" w:rsidTr="00227082">
        <w:trPr>
          <w:jc w:val="center"/>
        </w:trPr>
        <w:tc>
          <w:tcPr>
            <w:tcW w:w="6138" w:type="dxa"/>
          </w:tcPr>
          <w:p w:rsidR="00C72C3A" w:rsidRPr="009C2FDE" w:rsidRDefault="00C72C3A" w:rsidP="00343E36">
            <w:r w:rsidRPr="009C2FDE">
              <w:t>Data Collection Contractor</w:t>
            </w:r>
          </w:p>
        </w:tc>
        <w:tc>
          <w:tcPr>
            <w:tcW w:w="1292" w:type="dxa"/>
          </w:tcPr>
          <w:p w:rsidR="00C72C3A" w:rsidRPr="009C2FDE" w:rsidRDefault="004E1872" w:rsidP="00C72C3A">
            <w:pPr>
              <w:jc w:val="right"/>
            </w:pPr>
            <w:r w:rsidRPr="009C2FDE">
              <w:t>$ 38,</w:t>
            </w:r>
            <w:r w:rsidR="00C72C3A" w:rsidRPr="009C2FDE">
              <w:t>954</w:t>
            </w:r>
          </w:p>
        </w:tc>
      </w:tr>
      <w:tr w:rsidR="00C72C3A" w:rsidRPr="009C2FDE" w:rsidTr="00227082">
        <w:trPr>
          <w:jc w:val="center"/>
        </w:trPr>
        <w:tc>
          <w:tcPr>
            <w:tcW w:w="6138" w:type="dxa"/>
          </w:tcPr>
          <w:p w:rsidR="00C72C3A" w:rsidRPr="009C2FDE" w:rsidRDefault="008B6C04" w:rsidP="008B6C04">
            <w:pPr>
              <w:jc w:val="right"/>
            </w:pPr>
            <w:r w:rsidRPr="009C2FDE">
              <w:t>Total</w:t>
            </w:r>
          </w:p>
        </w:tc>
        <w:tc>
          <w:tcPr>
            <w:tcW w:w="1292" w:type="dxa"/>
          </w:tcPr>
          <w:p w:rsidR="00C72C3A" w:rsidRPr="009C2FDE" w:rsidRDefault="004E1872" w:rsidP="00C72C3A">
            <w:pPr>
              <w:jc w:val="right"/>
            </w:pPr>
            <w:r w:rsidRPr="009C2FDE">
              <w:t>$</w:t>
            </w:r>
            <w:r w:rsidR="00227082" w:rsidRPr="009C2FDE">
              <w:t xml:space="preserve"> </w:t>
            </w:r>
            <w:r w:rsidRPr="009C2FDE">
              <w:t>178,</w:t>
            </w:r>
            <w:r w:rsidR="007B11FB" w:rsidRPr="009C2FDE">
              <w:t>864</w:t>
            </w:r>
          </w:p>
        </w:tc>
      </w:tr>
    </w:tbl>
    <w:p w:rsidR="00C72C3A" w:rsidRPr="009C2FDE" w:rsidRDefault="00C72C3A" w:rsidP="00343E36"/>
    <w:p w:rsidR="0073418E" w:rsidRPr="009C2FDE" w:rsidRDefault="0073418E" w:rsidP="007C62B1">
      <w:pPr>
        <w:rPr>
          <w:b/>
        </w:rPr>
      </w:pPr>
    </w:p>
    <w:p w:rsidR="00263F6A" w:rsidRPr="009C2FDE" w:rsidRDefault="00263F6A" w:rsidP="00263F6A">
      <w:pPr>
        <w:ind w:left="360"/>
      </w:pPr>
      <w:r w:rsidRPr="009C2FDE">
        <w:rPr>
          <w:b/>
        </w:rPr>
        <w:t xml:space="preserve">15. </w:t>
      </w:r>
      <w:r w:rsidR="00594A0E" w:rsidRPr="009C2FDE">
        <w:rPr>
          <w:b/>
        </w:rPr>
        <w:t>Explanation for Program Changes or Adjustments</w:t>
      </w:r>
    </w:p>
    <w:p w:rsidR="00263F6A" w:rsidRPr="009C2FDE" w:rsidRDefault="00263F6A" w:rsidP="00263F6A">
      <w:pPr>
        <w:ind w:left="360"/>
      </w:pPr>
    </w:p>
    <w:p w:rsidR="00263F6A" w:rsidRPr="009C2FDE" w:rsidRDefault="00AA3989" w:rsidP="0073418E">
      <w:pPr>
        <w:tabs>
          <w:tab w:val="left" w:pos="0"/>
        </w:tabs>
        <w:ind w:hanging="90"/>
      </w:pPr>
      <w:r w:rsidRPr="009C2FDE">
        <w:t>T</w:t>
      </w:r>
      <w:r w:rsidR="00263F6A" w:rsidRPr="009C2FDE">
        <w:t>his is a</w:t>
      </w:r>
      <w:r w:rsidR="00B02B40" w:rsidRPr="009C2FDE">
        <w:t xml:space="preserve"> new</w:t>
      </w:r>
      <w:r w:rsidR="0047316F" w:rsidRPr="009C2FDE">
        <w:t xml:space="preserve"> collection.</w:t>
      </w:r>
      <w:r w:rsidR="00B02B40" w:rsidRPr="009C2FDE">
        <w:t xml:space="preserve">  </w:t>
      </w:r>
    </w:p>
    <w:p w:rsidR="0073418E" w:rsidRPr="009C2FDE" w:rsidRDefault="0073418E" w:rsidP="00754B25"/>
    <w:p w:rsidR="00BC3D4D" w:rsidRPr="009C2FDE" w:rsidRDefault="00263F6A" w:rsidP="00754B25">
      <w:pPr>
        <w:spacing w:line="360" w:lineRule="auto"/>
        <w:ind w:left="360"/>
        <w:rPr>
          <w:b/>
        </w:rPr>
      </w:pPr>
      <w:r w:rsidRPr="009C2FDE">
        <w:rPr>
          <w:b/>
        </w:rPr>
        <w:t xml:space="preserve">16. </w:t>
      </w:r>
      <w:r w:rsidR="00594A0E" w:rsidRPr="009C2FDE">
        <w:rPr>
          <w:b/>
        </w:rPr>
        <w:t xml:space="preserve"> </w:t>
      </w:r>
      <w:r w:rsidR="00850F77" w:rsidRPr="009C2FDE">
        <w:rPr>
          <w:b/>
        </w:rPr>
        <w:t>Plans for Tabulation and Publication and Project Time Schedule</w:t>
      </w:r>
    </w:p>
    <w:p w:rsidR="00207287" w:rsidRPr="009C2FDE" w:rsidRDefault="000B2405" w:rsidP="00E13F18">
      <w:pPr>
        <w:ind w:left="360"/>
      </w:pPr>
      <w:r w:rsidRPr="009C2FDE">
        <w:rPr>
          <w:b/>
        </w:rPr>
        <w:t>A. Time schedule for the entire project</w:t>
      </w:r>
    </w:p>
    <w:p w:rsidR="000B2405" w:rsidRPr="009C2FDE" w:rsidRDefault="000B2405" w:rsidP="00E13F18">
      <w:pPr>
        <w:ind w:left="360"/>
      </w:pPr>
    </w:p>
    <w:p w:rsidR="007C62B1" w:rsidRPr="009C2FDE" w:rsidRDefault="00476976" w:rsidP="00EE5425">
      <w:r w:rsidRPr="009C2FDE">
        <w:t>T</w:t>
      </w:r>
      <w:r w:rsidR="00847B28" w:rsidRPr="009C2FDE">
        <w:t xml:space="preserve">he </w:t>
      </w:r>
      <w:r w:rsidR="00537C04" w:rsidRPr="009C2FDE">
        <w:t xml:space="preserve">cooperative agreement cycle is </w:t>
      </w:r>
      <w:r w:rsidR="001E7C9F" w:rsidRPr="009C2FDE">
        <w:t>three</w:t>
      </w:r>
      <w:r w:rsidR="00847B28" w:rsidRPr="009C2FDE">
        <w:t xml:space="preserve"> years</w:t>
      </w:r>
      <w:r w:rsidRPr="009C2FDE">
        <w:t xml:space="preserve">.  </w:t>
      </w:r>
      <w:r w:rsidR="00864BD4" w:rsidRPr="009C2FDE">
        <w:t xml:space="preserve">OMB approval is being requested for three years.  </w:t>
      </w:r>
      <w:r w:rsidR="00925E69" w:rsidRPr="009C2FDE">
        <w:t xml:space="preserve">Reports will be generated by the </w:t>
      </w:r>
      <w:r w:rsidR="002E10E3" w:rsidRPr="009C2FDE">
        <w:t>awardee</w:t>
      </w:r>
      <w:r w:rsidR="00925E69" w:rsidRPr="009C2FDE">
        <w:t xml:space="preserve">s per the FOA requirements twice a year, in April and November.  Data collection </w:t>
      </w:r>
      <w:r w:rsidR="00422B3B" w:rsidRPr="009C2FDE">
        <w:t>will begin</w:t>
      </w:r>
      <w:r w:rsidR="00925E69" w:rsidRPr="009C2FDE">
        <w:t xml:space="preserve"> with the awarding of the </w:t>
      </w:r>
      <w:r w:rsidR="00422B3B" w:rsidRPr="009C2FDE">
        <w:t xml:space="preserve">co-operative agreements </w:t>
      </w:r>
      <w:r w:rsidR="00925E69" w:rsidRPr="009C2FDE">
        <w:t>and will continue</w:t>
      </w:r>
      <w:r w:rsidR="00537C04" w:rsidRPr="009C2FDE">
        <w:t xml:space="preserve"> throughout the funding cycle</w:t>
      </w:r>
      <w:r w:rsidR="00925E69" w:rsidRPr="009C2FDE">
        <w:t xml:space="preserve">. </w:t>
      </w:r>
    </w:p>
    <w:p w:rsidR="000B2405" w:rsidRPr="009C2FDE" w:rsidRDefault="000B2405" w:rsidP="00E13F18">
      <w:pPr>
        <w:ind w:left="360"/>
      </w:pPr>
    </w:p>
    <w:p w:rsidR="000B2405" w:rsidRPr="009C2FDE" w:rsidRDefault="000B2405" w:rsidP="00E13F18">
      <w:pPr>
        <w:ind w:left="360"/>
      </w:pPr>
      <w:r w:rsidRPr="009C2FDE">
        <w:rPr>
          <w:b/>
        </w:rPr>
        <w:t>B. Publication plan</w:t>
      </w:r>
    </w:p>
    <w:p w:rsidR="000B2405" w:rsidRPr="009C2FDE" w:rsidRDefault="000B2405" w:rsidP="00E13F18">
      <w:pPr>
        <w:ind w:left="360"/>
      </w:pPr>
    </w:p>
    <w:p w:rsidR="000B2405" w:rsidRPr="009C2FDE" w:rsidRDefault="000B2405" w:rsidP="00EE5425">
      <w:r w:rsidRPr="009C2FDE">
        <w:t xml:space="preserve">Information collected through the </w:t>
      </w:r>
      <w:r w:rsidR="0076255F">
        <w:t>DCH-PMD</w:t>
      </w:r>
      <w:r w:rsidRPr="009C2FDE">
        <w:t xml:space="preserve"> will be reported in internal CDC documents and shared with </w:t>
      </w:r>
      <w:r w:rsidR="0031436D" w:rsidRPr="009C2FDE">
        <w:t>state</w:t>
      </w:r>
      <w:r w:rsidR="003D5B9A" w:rsidRPr="009C2FDE">
        <w:t>-</w:t>
      </w:r>
      <w:r w:rsidR="0031436D" w:rsidRPr="009C2FDE">
        <w:t>based</w:t>
      </w:r>
      <w:r w:rsidR="0050728C" w:rsidRPr="009C2FDE">
        <w:t xml:space="preserve"> </w:t>
      </w:r>
      <w:r w:rsidR="00422B3B" w:rsidRPr="009C2FDE">
        <w:t xml:space="preserve">and community-based </w:t>
      </w:r>
      <w:r w:rsidR="0050728C" w:rsidRPr="009C2FDE">
        <w:t>programs</w:t>
      </w:r>
      <w:r w:rsidRPr="009C2FDE">
        <w:t>.</w:t>
      </w:r>
    </w:p>
    <w:p w:rsidR="000B2405" w:rsidRPr="009C2FDE" w:rsidRDefault="000B2405" w:rsidP="00E13F18">
      <w:pPr>
        <w:ind w:left="360"/>
      </w:pPr>
    </w:p>
    <w:p w:rsidR="000B2405" w:rsidRPr="009C2FDE" w:rsidRDefault="000B2405" w:rsidP="00E13F18">
      <w:pPr>
        <w:ind w:left="360"/>
        <w:rPr>
          <w:b/>
        </w:rPr>
      </w:pPr>
      <w:r w:rsidRPr="009C2FDE">
        <w:rPr>
          <w:b/>
        </w:rPr>
        <w:t>C. Analysis plan</w:t>
      </w:r>
    </w:p>
    <w:p w:rsidR="000B2405" w:rsidRPr="009C2FDE" w:rsidRDefault="000B2405" w:rsidP="00E13F18">
      <w:pPr>
        <w:ind w:left="360"/>
        <w:rPr>
          <w:b/>
        </w:rPr>
      </w:pPr>
    </w:p>
    <w:p w:rsidR="007A1C2F" w:rsidRPr="009C2FDE" w:rsidRDefault="000B2405" w:rsidP="00B02B40">
      <w:r w:rsidRPr="009C2FDE">
        <w:t xml:space="preserve">CDC will not use complex statistical methods for analyzing information. All information will be aggregated and reported </w:t>
      </w:r>
      <w:r w:rsidR="00523D15" w:rsidRPr="009C2FDE">
        <w:t>with no program identifiers present in external documents</w:t>
      </w:r>
      <w:r w:rsidRPr="009C2FDE">
        <w:t xml:space="preserve">. </w:t>
      </w:r>
      <w:r w:rsidR="00523D15" w:rsidRPr="009C2FDE">
        <w:t>Most s</w:t>
      </w:r>
      <w:r w:rsidRPr="009C2FDE">
        <w:t>tatistical analyses</w:t>
      </w:r>
      <w:r w:rsidR="007A1C2F" w:rsidRPr="009C2FDE">
        <w:t xml:space="preserve"> will be </w:t>
      </w:r>
      <w:r w:rsidR="00523D15" w:rsidRPr="009C2FDE">
        <w:t>descriptive</w:t>
      </w:r>
      <w:r w:rsidR="007A1C2F" w:rsidRPr="009C2FDE">
        <w:t>.</w:t>
      </w:r>
      <w:r w:rsidR="0050728C" w:rsidRPr="009C2FDE">
        <w:t xml:space="preserve"> </w:t>
      </w:r>
      <w:r w:rsidR="00523D15" w:rsidRPr="009C2FDE">
        <w:t>Statistical modeling may be included to examine predictors of specified outcomes.</w:t>
      </w:r>
    </w:p>
    <w:p w:rsidR="00ED686D" w:rsidRPr="009C2FDE" w:rsidRDefault="00ED686D" w:rsidP="00B02B40"/>
    <w:p w:rsidR="00422B3B" w:rsidRPr="009C2FDE" w:rsidRDefault="009C74E7" w:rsidP="00ED686D">
      <w:pPr>
        <w:autoSpaceDE w:val="0"/>
        <w:autoSpaceDN w:val="0"/>
        <w:adjustRightInd w:val="0"/>
        <w:rPr>
          <w:b/>
          <w:bCs/>
        </w:rPr>
      </w:pPr>
      <w:r w:rsidRPr="009C2FDE">
        <w:rPr>
          <w:b/>
          <w:bCs/>
        </w:rPr>
        <w:t>A.16 - 1 Project Time Schedule</w:t>
      </w:r>
    </w:p>
    <w:p w:rsidR="00ED686D" w:rsidRPr="009C2FDE" w:rsidRDefault="00ED686D" w:rsidP="00ED686D">
      <w:pPr>
        <w:autoSpaceDE w:val="0"/>
        <w:autoSpaceDN w:val="0"/>
        <w:adjustRightInd w:val="0"/>
        <w:rPr>
          <w:b/>
          <w:bCs/>
        </w:rPr>
      </w:pPr>
    </w:p>
    <w:tbl>
      <w:tblPr>
        <w:tblStyle w:val="TableGrid"/>
        <w:tblW w:w="0" w:type="auto"/>
        <w:tblInd w:w="360" w:type="dxa"/>
        <w:tblLook w:val="04A0" w:firstRow="1" w:lastRow="0" w:firstColumn="1" w:lastColumn="0" w:noHBand="0" w:noVBand="1"/>
      </w:tblPr>
      <w:tblGrid>
        <w:gridCol w:w="4607"/>
        <w:gridCol w:w="4609"/>
      </w:tblGrid>
      <w:tr w:rsidR="00ED686D" w:rsidRPr="009C2FDE" w:rsidTr="00ED686D">
        <w:tc>
          <w:tcPr>
            <w:tcW w:w="4607" w:type="dxa"/>
          </w:tcPr>
          <w:p w:rsidR="00ED686D" w:rsidRPr="009C2FDE" w:rsidRDefault="009C74E7" w:rsidP="00ED686D">
            <w:pPr>
              <w:autoSpaceDE w:val="0"/>
              <w:autoSpaceDN w:val="0"/>
              <w:adjustRightInd w:val="0"/>
              <w:rPr>
                <w:b/>
                <w:bCs/>
              </w:rPr>
            </w:pPr>
            <w:r w:rsidRPr="009C2FDE">
              <w:rPr>
                <w:b/>
                <w:bCs/>
              </w:rPr>
              <w:t>Activity Time Schedule</w:t>
            </w:r>
          </w:p>
        </w:tc>
        <w:tc>
          <w:tcPr>
            <w:tcW w:w="4609" w:type="dxa"/>
          </w:tcPr>
          <w:p w:rsidR="00ED686D" w:rsidRPr="009C2FDE" w:rsidRDefault="00ED686D" w:rsidP="007A1C2F">
            <w:pPr>
              <w:rPr>
                <w:b/>
              </w:rPr>
            </w:pPr>
          </w:p>
        </w:tc>
      </w:tr>
      <w:tr w:rsidR="00ED686D" w:rsidRPr="009C2FDE" w:rsidTr="00ED686D">
        <w:tc>
          <w:tcPr>
            <w:tcW w:w="4607" w:type="dxa"/>
          </w:tcPr>
          <w:p w:rsidR="00ED686D" w:rsidRPr="009C2FDE" w:rsidRDefault="00ED686D" w:rsidP="007A1C2F">
            <w:r w:rsidRPr="009C2FDE">
              <w:t>Notification of Electronic Tool Availability</w:t>
            </w:r>
          </w:p>
        </w:tc>
        <w:tc>
          <w:tcPr>
            <w:tcW w:w="4609" w:type="dxa"/>
          </w:tcPr>
          <w:p w:rsidR="00ED686D" w:rsidRPr="009C2FDE" w:rsidRDefault="00ED686D" w:rsidP="007A1C2F">
            <w:r w:rsidRPr="009C2FDE">
              <w:t>Immediately upon OMB approval</w:t>
            </w:r>
          </w:p>
        </w:tc>
      </w:tr>
      <w:tr w:rsidR="00ED686D" w:rsidRPr="009C2FDE" w:rsidTr="00ED686D">
        <w:tc>
          <w:tcPr>
            <w:tcW w:w="4607" w:type="dxa"/>
          </w:tcPr>
          <w:p w:rsidR="00ED686D" w:rsidRPr="009C2FDE" w:rsidRDefault="00ED686D" w:rsidP="007A1C2F">
            <w:r w:rsidRPr="009C2FDE">
              <w:t>User Training</w:t>
            </w:r>
          </w:p>
        </w:tc>
        <w:tc>
          <w:tcPr>
            <w:tcW w:w="4609" w:type="dxa"/>
          </w:tcPr>
          <w:p w:rsidR="00ED686D" w:rsidRPr="009C2FDE" w:rsidRDefault="00ED686D" w:rsidP="007A1C2F">
            <w:r w:rsidRPr="009C2FDE">
              <w:t>Immediately upon OMB approval and ongoing through expiration date</w:t>
            </w:r>
          </w:p>
        </w:tc>
      </w:tr>
      <w:tr w:rsidR="00ED686D" w:rsidRPr="009C2FDE" w:rsidTr="00ED686D">
        <w:tc>
          <w:tcPr>
            <w:tcW w:w="4607" w:type="dxa"/>
          </w:tcPr>
          <w:p w:rsidR="00ED686D" w:rsidRPr="009C2FDE" w:rsidRDefault="00ED686D" w:rsidP="007A1C2F">
            <w:r w:rsidRPr="009C2FDE">
              <w:t>Data Collection</w:t>
            </w:r>
          </w:p>
        </w:tc>
        <w:tc>
          <w:tcPr>
            <w:tcW w:w="4609" w:type="dxa"/>
          </w:tcPr>
          <w:p w:rsidR="00ED686D" w:rsidRPr="009C2FDE" w:rsidRDefault="00ED686D" w:rsidP="007A1C2F">
            <w:r w:rsidRPr="009C2FDE">
              <w:t>1-36 months after OMB approval</w:t>
            </w:r>
          </w:p>
        </w:tc>
      </w:tr>
      <w:tr w:rsidR="00ED686D" w:rsidRPr="009C2FDE" w:rsidTr="00ED686D">
        <w:tc>
          <w:tcPr>
            <w:tcW w:w="4607" w:type="dxa"/>
          </w:tcPr>
          <w:p w:rsidR="00ED686D" w:rsidRPr="009C2FDE" w:rsidRDefault="00ED686D" w:rsidP="007A1C2F">
            <w:r w:rsidRPr="009C2FDE">
              <w:t>Data Publication</w:t>
            </w:r>
          </w:p>
        </w:tc>
        <w:tc>
          <w:tcPr>
            <w:tcW w:w="4609" w:type="dxa"/>
          </w:tcPr>
          <w:p w:rsidR="00ED686D" w:rsidRPr="009C2FDE" w:rsidRDefault="00ED686D" w:rsidP="007A1C2F">
            <w:r w:rsidRPr="009C2FDE">
              <w:t xml:space="preserve">Twice annually </w:t>
            </w:r>
          </w:p>
        </w:tc>
      </w:tr>
      <w:tr w:rsidR="00ED686D" w:rsidRPr="009C2FDE" w:rsidTr="00ED686D">
        <w:tc>
          <w:tcPr>
            <w:tcW w:w="4607" w:type="dxa"/>
          </w:tcPr>
          <w:p w:rsidR="00ED686D" w:rsidRPr="009C2FDE" w:rsidRDefault="00ED686D" w:rsidP="007A1C2F">
            <w:r w:rsidRPr="009C2FDE">
              <w:t>Data Analysis</w:t>
            </w:r>
          </w:p>
        </w:tc>
        <w:tc>
          <w:tcPr>
            <w:tcW w:w="4609" w:type="dxa"/>
          </w:tcPr>
          <w:p w:rsidR="00ED686D" w:rsidRPr="009C2FDE" w:rsidRDefault="00ED686D" w:rsidP="007A1C2F">
            <w:r w:rsidRPr="009C2FDE">
              <w:t>1-36 months after OMB approval</w:t>
            </w:r>
          </w:p>
        </w:tc>
      </w:tr>
    </w:tbl>
    <w:p w:rsidR="004309C8" w:rsidRPr="009C2FDE" w:rsidRDefault="004309C8" w:rsidP="007A1C2F">
      <w:pPr>
        <w:ind w:left="360"/>
        <w:rPr>
          <w:b/>
        </w:rPr>
      </w:pPr>
    </w:p>
    <w:p w:rsidR="007C62B1" w:rsidRPr="009C2FDE" w:rsidRDefault="007C62B1" w:rsidP="007A1C2F">
      <w:pPr>
        <w:ind w:left="360"/>
        <w:rPr>
          <w:b/>
        </w:rPr>
      </w:pPr>
    </w:p>
    <w:p w:rsidR="007A1C2F" w:rsidRPr="009C2FDE" w:rsidRDefault="007A1C2F" w:rsidP="007A1C2F">
      <w:pPr>
        <w:ind w:left="360"/>
        <w:rPr>
          <w:b/>
        </w:rPr>
      </w:pPr>
      <w:r w:rsidRPr="009C2FDE">
        <w:rPr>
          <w:b/>
        </w:rPr>
        <w:t xml:space="preserve">17. </w:t>
      </w:r>
      <w:r w:rsidR="00594A0E" w:rsidRPr="009C2FDE">
        <w:rPr>
          <w:b/>
        </w:rPr>
        <w:t>Reason</w:t>
      </w:r>
      <w:r w:rsidR="00DF6AA4" w:rsidRPr="009C2FDE">
        <w:rPr>
          <w:b/>
        </w:rPr>
        <w:t>(s)</w:t>
      </w:r>
      <w:r w:rsidR="00594A0E" w:rsidRPr="009C2FDE">
        <w:rPr>
          <w:b/>
        </w:rPr>
        <w:t xml:space="preserve"> Display of OMB Expiration Date is Inappropriate</w:t>
      </w:r>
    </w:p>
    <w:p w:rsidR="007A1C2F" w:rsidRPr="009C2FDE" w:rsidRDefault="007A1C2F" w:rsidP="007A1C2F">
      <w:pPr>
        <w:ind w:left="360"/>
        <w:rPr>
          <w:b/>
        </w:rPr>
      </w:pPr>
    </w:p>
    <w:p w:rsidR="004309C8" w:rsidRPr="009C2FDE" w:rsidRDefault="007A1C2F" w:rsidP="00754B25">
      <w:r w:rsidRPr="009C2FDE">
        <w:t xml:space="preserve">The </w:t>
      </w:r>
      <w:r w:rsidR="000C774D" w:rsidRPr="009C2FDE">
        <w:t xml:space="preserve">DCH </w:t>
      </w:r>
      <w:r w:rsidR="0076255F">
        <w:t>DCH-PMD</w:t>
      </w:r>
      <w:r w:rsidRPr="009C2FDE">
        <w:t xml:space="preserve"> program will display the expiration date for OMB approval of the information system data collection on its Internet home page.</w:t>
      </w:r>
    </w:p>
    <w:p w:rsidR="007C62B1" w:rsidRPr="009C2FDE" w:rsidRDefault="007C62B1" w:rsidP="007A1C2F">
      <w:pPr>
        <w:ind w:left="360"/>
        <w:rPr>
          <w:b/>
        </w:rPr>
      </w:pPr>
    </w:p>
    <w:p w:rsidR="007A1C2F" w:rsidRPr="009C2FDE" w:rsidRDefault="007A1C2F" w:rsidP="007A1C2F">
      <w:pPr>
        <w:ind w:left="360"/>
        <w:rPr>
          <w:b/>
        </w:rPr>
      </w:pPr>
      <w:r w:rsidRPr="009C2FDE">
        <w:rPr>
          <w:b/>
        </w:rPr>
        <w:t>18. Exceptions to Certification</w:t>
      </w:r>
      <w:r w:rsidR="00594A0E" w:rsidRPr="009C2FDE">
        <w:rPr>
          <w:b/>
        </w:rPr>
        <w:t xml:space="preserve"> for Paperwork Reduction Act Submissions</w:t>
      </w:r>
    </w:p>
    <w:p w:rsidR="007A1C2F" w:rsidRPr="009C2FDE" w:rsidRDefault="007A1C2F" w:rsidP="007A1C2F">
      <w:pPr>
        <w:ind w:left="360"/>
        <w:rPr>
          <w:b/>
        </w:rPr>
      </w:pPr>
    </w:p>
    <w:p w:rsidR="00C96619" w:rsidRPr="009C2FDE" w:rsidRDefault="00585FE6" w:rsidP="007B318D">
      <w:r w:rsidRPr="009C2FDE">
        <w:t>There are n</w:t>
      </w:r>
      <w:r w:rsidR="007A1C2F" w:rsidRPr="009C2FDE">
        <w:t>o exceptions to the certification statement</w:t>
      </w:r>
      <w:r w:rsidR="007B318D" w:rsidRPr="009C2FDE">
        <w:t>.</w:t>
      </w:r>
    </w:p>
    <w:sectPr w:rsidR="00C96619" w:rsidRPr="009C2FDE" w:rsidSect="00F3064C">
      <w:footerReference w:type="even" r:id="rId10"/>
      <w:footerReference w:type="default" r:id="rId11"/>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94C" w:rsidRDefault="00D3094C">
      <w:r>
        <w:separator/>
      </w:r>
    </w:p>
  </w:endnote>
  <w:endnote w:type="continuationSeparator" w:id="0">
    <w:p w:rsidR="00D3094C" w:rsidRDefault="00D30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94C" w:rsidRDefault="00D3094C" w:rsidP="00107D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3094C" w:rsidRDefault="00D309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94C" w:rsidRDefault="00D3094C">
    <w:pPr>
      <w:pStyle w:val="Footer"/>
      <w:rPr>
        <w:rStyle w:val="PageNumber"/>
      </w:rPr>
    </w:pPr>
  </w:p>
  <w:p w:rsidR="00D3094C" w:rsidRDefault="00D3094C" w:rsidP="009111B3">
    <w:pPr>
      <w:pStyle w:val="Footer"/>
      <w:jc w:val="cent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50520C">
      <w:rPr>
        <w:rStyle w:val="PageNumber"/>
        <w:noProof/>
      </w:rPr>
      <w:t>15</w:t>
    </w:r>
    <w:r>
      <w:rPr>
        <w:rStyle w:val="PageNumber"/>
      </w:rPr>
      <w:fldChar w:fldCharType="end"/>
    </w:r>
    <w:r>
      <w:rPr>
        <w:rStyle w:val="PageNumber"/>
      </w:rPr>
      <w:t xml:space="preserve"> -</w:t>
    </w:r>
  </w:p>
  <w:p w:rsidR="00D3094C" w:rsidRDefault="00D3094C" w:rsidP="009111B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94C" w:rsidRDefault="00D3094C">
      <w:r>
        <w:separator/>
      </w:r>
    </w:p>
  </w:footnote>
  <w:footnote w:type="continuationSeparator" w:id="0">
    <w:p w:rsidR="00D3094C" w:rsidRDefault="00D309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5D55"/>
    <w:multiLevelType w:val="hybridMultilevel"/>
    <w:tmpl w:val="65F841C2"/>
    <w:lvl w:ilvl="0" w:tplc="29809004">
      <w:numFmt w:val="bullet"/>
      <w:lvlText w:val=""/>
      <w:lvlJc w:val="left"/>
      <w:pPr>
        <w:tabs>
          <w:tab w:val="num" w:pos="720"/>
        </w:tabs>
        <w:ind w:left="720" w:hanging="360"/>
      </w:pPr>
      <w:rPr>
        <w:rFonts w:ascii="Symbol" w:eastAsia="Times New Roman" w:hAnsi="Symbol"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7824DC"/>
    <w:multiLevelType w:val="hybridMultilevel"/>
    <w:tmpl w:val="A252D1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5054EE4"/>
    <w:multiLevelType w:val="hybridMultilevel"/>
    <w:tmpl w:val="A112C3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7921496"/>
    <w:multiLevelType w:val="hybridMultilevel"/>
    <w:tmpl w:val="D6DEC0C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8502849"/>
    <w:multiLevelType w:val="hybridMultilevel"/>
    <w:tmpl w:val="3FDA0A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9C85C67"/>
    <w:multiLevelType w:val="hybridMultilevel"/>
    <w:tmpl w:val="366E7394"/>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Symbol" w:hAnsi="Symbol"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nsid w:val="09CD275D"/>
    <w:multiLevelType w:val="hybridMultilevel"/>
    <w:tmpl w:val="C3EA96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C0A021C"/>
    <w:multiLevelType w:val="multilevel"/>
    <w:tmpl w:val="D452FAE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nsid w:val="0E5801B9"/>
    <w:multiLevelType w:val="hybridMultilevel"/>
    <w:tmpl w:val="05E0C0CE"/>
    <w:lvl w:ilvl="0" w:tplc="04090001">
      <w:start w:val="1"/>
      <w:numFmt w:val="bullet"/>
      <w:lvlText w:val=""/>
      <w:lvlJc w:val="left"/>
      <w:pPr>
        <w:ind w:left="63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3">
      <w:start w:val="1"/>
      <w:numFmt w:val="bullet"/>
      <w:lvlText w:val="o"/>
      <w:lvlJc w:val="left"/>
      <w:pPr>
        <w:ind w:left="1170" w:hanging="180"/>
      </w:pPr>
      <w:rPr>
        <w:rFonts w:ascii="Courier New" w:hAnsi="Courier New" w:cs="Courier New"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1AB7170E"/>
    <w:multiLevelType w:val="hybridMultilevel"/>
    <w:tmpl w:val="4B2AE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1E6028"/>
    <w:multiLevelType w:val="hybridMultilevel"/>
    <w:tmpl w:val="3AAC443A"/>
    <w:lvl w:ilvl="0" w:tplc="BB06551E">
      <w:start w:val="1"/>
      <w:numFmt w:val="upperLetter"/>
      <w:lvlText w:val="%1."/>
      <w:lvlJc w:val="left"/>
      <w:pPr>
        <w:tabs>
          <w:tab w:val="num" w:pos="540"/>
        </w:tabs>
        <w:ind w:left="540" w:hanging="360"/>
      </w:pPr>
      <w:rPr>
        <w:rFonts w:hint="default"/>
        <w:b/>
      </w:r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1">
    <w:nsid w:val="23A415AB"/>
    <w:multiLevelType w:val="hybridMultilevel"/>
    <w:tmpl w:val="4552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CE7739"/>
    <w:multiLevelType w:val="multilevel"/>
    <w:tmpl w:val="D6DEC0C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3">
    <w:nsid w:val="274E2278"/>
    <w:multiLevelType w:val="hybridMultilevel"/>
    <w:tmpl w:val="C1E620A4"/>
    <w:lvl w:ilvl="0" w:tplc="493276C6">
      <w:start w:val="1"/>
      <w:numFmt w:val="upperRoman"/>
      <w:lvlText w:val="%1."/>
      <w:lvlJc w:val="left"/>
      <w:pPr>
        <w:ind w:left="810" w:hanging="720"/>
      </w:pPr>
      <w:rPr>
        <w:rFonts w:cs="Times New Roman" w:hint="default"/>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2B0A5BDC"/>
    <w:multiLevelType w:val="hybridMultilevel"/>
    <w:tmpl w:val="C844854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nsid w:val="2DE43F19"/>
    <w:multiLevelType w:val="hybridMultilevel"/>
    <w:tmpl w:val="CDE2E5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447983"/>
    <w:multiLevelType w:val="hybridMultilevel"/>
    <w:tmpl w:val="BEB854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1F95839"/>
    <w:multiLevelType w:val="multilevel"/>
    <w:tmpl w:val="D43A53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22335DF"/>
    <w:multiLevelType w:val="hybridMultilevel"/>
    <w:tmpl w:val="B320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D47231"/>
    <w:multiLevelType w:val="hybridMultilevel"/>
    <w:tmpl w:val="A1129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7E68D9"/>
    <w:multiLevelType w:val="hybridMultilevel"/>
    <w:tmpl w:val="2D30DE8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C6B0561"/>
    <w:multiLevelType w:val="hybridMultilevel"/>
    <w:tmpl w:val="99746D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BE09FD"/>
    <w:multiLevelType w:val="hybridMultilevel"/>
    <w:tmpl w:val="D43A5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00E2B6D"/>
    <w:multiLevelType w:val="multilevel"/>
    <w:tmpl w:val="81867798"/>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4560335D"/>
    <w:multiLevelType w:val="hybridMultilevel"/>
    <w:tmpl w:val="919A4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FB7E7A"/>
    <w:multiLevelType w:val="hybridMultilevel"/>
    <w:tmpl w:val="CBA2B7A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952188C"/>
    <w:multiLevelType w:val="hybridMultilevel"/>
    <w:tmpl w:val="662401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F04C6D"/>
    <w:multiLevelType w:val="hybridMultilevel"/>
    <w:tmpl w:val="D12AC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385665"/>
    <w:multiLevelType w:val="hybridMultilevel"/>
    <w:tmpl w:val="3A68F8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4CF764E5"/>
    <w:multiLevelType w:val="hybridMultilevel"/>
    <w:tmpl w:val="231681D4"/>
    <w:lvl w:ilvl="0" w:tplc="0409000F">
      <w:start w:val="1"/>
      <w:numFmt w:val="decimal"/>
      <w:lvlText w:val="%1."/>
      <w:lvlJc w:val="left"/>
      <w:pPr>
        <w:tabs>
          <w:tab w:val="num" w:pos="720"/>
        </w:tabs>
        <w:ind w:left="720" w:hanging="360"/>
      </w:pPr>
    </w:lvl>
    <w:lvl w:ilvl="1" w:tplc="10167590">
      <w:start w:val="1"/>
      <w:numFmt w:val="lowerLetter"/>
      <w:lvlText w:val="%2."/>
      <w:lvlJc w:val="left"/>
      <w:pPr>
        <w:tabs>
          <w:tab w:val="num" w:pos="1350"/>
        </w:tabs>
        <w:ind w:left="135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E7A6F11"/>
    <w:multiLevelType w:val="hybridMultilevel"/>
    <w:tmpl w:val="6A2C97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AED0889"/>
    <w:multiLevelType w:val="hybridMultilevel"/>
    <w:tmpl w:val="9AC6314E"/>
    <w:lvl w:ilvl="0" w:tplc="56E4F4C4">
      <w:start w:val="1"/>
      <w:numFmt w:val="decimal"/>
      <w:lvlText w:val="%1."/>
      <w:lvlJc w:val="left"/>
      <w:pPr>
        <w:ind w:left="1080" w:hanging="360"/>
      </w:pPr>
      <w:rPr>
        <w:rFonts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CED4189"/>
    <w:multiLevelType w:val="multilevel"/>
    <w:tmpl w:val="EA92866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3">
    <w:nsid w:val="648D4176"/>
    <w:multiLevelType w:val="hybridMultilevel"/>
    <w:tmpl w:val="F124A966"/>
    <w:lvl w:ilvl="0" w:tplc="633694A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54B470E"/>
    <w:multiLevelType w:val="hybridMultilevel"/>
    <w:tmpl w:val="3F5ACCC2"/>
    <w:lvl w:ilvl="0" w:tplc="0409000F">
      <w:start w:val="1"/>
      <w:numFmt w:val="decimal"/>
      <w:lvlText w:val="%1."/>
      <w:lvlJc w:val="left"/>
      <w:pPr>
        <w:tabs>
          <w:tab w:val="num" w:pos="720"/>
        </w:tabs>
        <w:ind w:left="720" w:hanging="360"/>
      </w:pPr>
      <w:rPr>
        <w:rFonts w:hint="default"/>
      </w:rPr>
    </w:lvl>
    <w:lvl w:ilvl="1" w:tplc="C4AA5CA0">
      <w:start w:val="1"/>
      <w:numFmt w:val="upperLetter"/>
      <w:lvlText w:val="%2."/>
      <w:lvlJc w:val="left"/>
      <w:pPr>
        <w:tabs>
          <w:tab w:val="num" w:pos="540"/>
        </w:tabs>
        <w:ind w:left="5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6865FC1"/>
    <w:multiLevelType w:val="hybridMultilevel"/>
    <w:tmpl w:val="7A00BA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6A7A0DEB"/>
    <w:multiLevelType w:val="multilevel"/>
    <w:tmpl w:val="D43A53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78952D83"/>
    <w:multiLevelType w:val="hybridMultilevel"/>
    <w:tmpl w:val="4B00CA5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nsid w:val="7A9D3D68"/>
    <w:multiLevelType w:val="multilevel"/>
    <w:tmpl w:val="A112C33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9">
    <w:nsid w:val="7BC32AB6"/>
    <w:multiLevelType w:val="hybridMultilevel"/>
    <w:tmpl w:val="9C1095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E304829"/>
    <w:multiLevelType w:val="hybridMultilevel"/>
    <w:tmpl w:val="032857D4"/>
    <w:lvl w:ilvl="0" w:tplc="04090001">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E8C1310"/>
    <w:multiLevelType w:val="hybridMultilevel"/>
    <w:tmpl w:val="EEFCD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2"/>
  </w:num>
  <w:num w:numId="3">
    <w:abstractNumId w:val="22"/>
  </w:num>
  <w:num w:numId="4">
    <w:abstractNumId w:val="3"/>
  </w:num>
  <w:num w:numId="5">
    <w:abstractNumId w:val="7"/>
  </w:num>
  <w:num w:numId="6">
    <w:abstractNumId w:val="12"/>
  </w:num>
  <w:num w:numId="7">
    <w:abstractNumId w:val="2"/>
  </w:num>
  <w:num w:numId="8">
    <w:abstractNumId w:val="38"/>
  </w:num>
  <w:num w:numId="9">
    <w:abstractNumId w:val="36"/>
  </w:num>
  <w:num w:numId="10">
    <w:abstractNumId w:val="17"/>
  </w:num>
  <w:num w:numId="11">
    <w:abstractNumId w:val="30"/>
  </w:num>
  <w:num w:numId="12">
    <w:abstractNumId w:val="34"/>
  </w:num>
  <w:num w:numId="13">
    <w:abstractNumId w:val="16"/>
  </w:num>
  <w:num w:numId="14">
    <w:abstractNumId w:val="35"/>
  </w:num>
  <w:num w:numId="15">
    <w:abstractNumId w:val="6"/>
  </w:num>
  <w:num w:numId="16">
    <w:abstractNumId w:val="29"/>
  </w:num>
  <w:num w:numId="17">
    <w:abstractNumId w:val="20"/>
  </w:num>
  <w:num w:numId="18">
    <w:abstractNumId w:val="39"/>
  </w:num>
  <w:num w:numId="19">
    <w:abstractNumId w:val="25"/>
  </w:num>
  <w:num w:numId="20">
    <w:abstractNumId w:val="10"/>
  </w:num>
  <w:num w:numId="21">
    <w:abstractNumId w:val="40"/>
  </w:num>
  <w:num w:numId="22">
    <w:abstractNumId w:val="0"/>
  </w:num>
  <w:num w:numId="23">
    <w:abstractNumId w:val="5"/>
  </w:num>
  <w:num w:numId="24">
    <w:abstractNumId w:val="14"/>
  </w:num>
  <w:num w:numId="25">
    <w:abstractNumId w:val="37"/>
  </w:num>
  <w:num w:numId="26">
    <w:abstractNumId w:val="4"/>
  </w:num>
  <w:num w:numId="27">
    <w:abstractNumId w:val="8"/>
  </w:num>
  <w:num w:numId="28">
    <w:abstractNumId w:val="13"/>
  </w:num>
  <w:num w:numId="29">
    <w:abstractNumId w:val="15"/>
  </w:num>
  <w:num w:numId="30">
    <w:abstractNumId w:val="41"/>
  </w:num>
  <w:num w:numId="31">
    <w:abstractNumId w:val="26"/>
  </w:num>
  <w:num w:numId="32">
    <w:abstractNumId w:val="9"/>
  </w:num>
  <w:num w:numId="33">
    <w:abstractNumId w:val="18"/>
  </w:num>
  <w:num w:numId="34">
    <w:abstractNumId w:val="24"/>
  </w:num>
  <w:num w:numId="35">
    <w:abstractNumId w:val="11"/>
  </w:num>
  <w:num w:numId="36">
    <w:abstractNumId w:val="31"/>
  </w:num>
  <w:num w:numId="37">
    <w:abstractNumId w:val="1"/>
  </w:num>
  <w:num w:numId="38">
    <w:abstractNumId w:val="33"/>
  </w:num>
  <w:num w:numId="39">
    <w:abstractNumId w:val="27"/>
  </w:num>
  <w:num w:numId="40">
    <w:abstractNumId w:val="19"/>
  </w:num>
  <w:num w:numId="41">
    <w:abstractNumId w:val="21"/>
  </w:num>
  <w:num w:numId="42">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renstein, Diane (CDC/ONDIEH/NCCDPHP)">
    <w15:presenceInfo w15:providerId="AD" w15:userId="S-1-5-21-1207783550-2075000910-922709458-1994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E3C"/>
    <w:rsid w:val="00001871"/>
    <w:rsid w:val="00001C27"/>
    <w:rsid w:val="000077AA"/>
    <w:rsid w:val="00010E9A"/>
    <w:rsid w:val="000117EC"/>
    <w:rsid w:val="00011BDB"/>
    <w:rsid w:val="000136C2"/>
    <w:rsid w:val="00014C89"/>
    <w:rsid w:val="000164AF"/>
    <w:rsid w:val="00021C45"/>
    <w:rsid w:val="000234F5"/>
    <w:rsid w:val="00025FB6"/>
    <w:rsid w:val="00027202"/>
    <w:rsid w:val="000305FE"/>
    <w:rsid w:val="000326DB"/>
    <w:rsid w:val="0003277F"/>
    <w:rsid w:val="00036143"/>
    <w:rsid w:val="00037365"/>
    <w:rsid w:val="00042159"/>
    <w:rsid w:val="00045071"/>
    <w:rsid w:val="0004540B"/>
    <w:rsid w:val="00045D51"/>
    <w:rsid w:val="000468CC"/>
    <w:rsid w:val="00050348"/>
    <w:rsid w:val="00050F55"/>
    <w:rsid w:val="00051547"/>
    <w:rsid w:val="000527A8"/>
    <w:rsid w:val="000548B6"/>
    <w:rsid w:val="00054962"/>
    <w:rsid w:val="00057063"/>
    <w:rsid w:val="00061AAC"/>
    <w:rsid w:val="00061E8C"/>
    <w:rsid w:val="0006397F"/>
    <w:rsid w:val="00065BEA"/>
    <w:rsid w:val="00066D3B"/>
    <w:rsid w:val="0007175B"/>
    <w:rsid w:val="00071ECA"/>
    <w:rsid w:val="000721E2"/>
    <w:rsid w:val="00072E30"/>
    <w:rsid w:val="000731C9"/>
    <w:rsid w:val="00074103"/>
    <w:rsid w:val="000743F2"/>
    <w:rsid w:val="000760D3"/>
    <w:rsid w:val="00076F8B"/>
    <w:rsid w:val="000777CE"/>
    <w:rsid w:val="0008306D"/>
    <w:rsid w:val="0009270E"/>
    <w:rsid w:val="00092E40"/>
    <w:rsid w:val="00096223"/>
    <w:rsid w:val="00096E21"/>
    <w:rsid w:val="000A0DBD"/>
    <w:rsid w:val="000A10E2"/>
    <w:rsid w:val="000A65F9"/>
    <w:rsid w:val="000B03CC"/>
    <w:rsid w:val="000B06F2"/>
    <w:rsid w:val="000B0782"/>
    <w:rsid w:val="000B1340"/>
    <w:rsid w:val="000B1417"/>
    <w:rsid w:val="000B213D"/>
    <w:rsid w:val="000B2405"/>
    <w:rsid w:val="000B25E2"/>
    <w:rsid w:val="000B3692"/>
    <w:rsid w:val="000B4637"/>
    <w:rsid w:val="000B699C"/>
    <w:rsid w:val="000B6F3F"/>
    <w:rsid w:val="000C45ED"/>
    <w:rsid w:val="000C5BA7"/>
    <w:rsid w:val="000C5CD7"/>
    <w:rsid w:val="000C6940"/>
    <w:rsid w:val="000C6C4C"/>
    <w:rsid w:val="000C774D"/>
    <w:rsid w:val="000D0F50"/>
    <w:rsid w:val="000D19D8"/>
    <w:rsid w:val="000D449E"/>
    <w:rsid w:val="000D489C"/>
    <w:rsid w:val="000D4FBE"/>
    <w:rsid w:val="000D61A5"/>
    <w:rsid w:val="000D61D1"/>
    <w:rsid w:val="000D631F"/>
    <w:rsid w:val="000D67D7"/>
    <w:rsid w:val="000D73AC"/>
    <w:rsid w:val="000E162F"/>
    <w:rsid w:val="000E4A2C"/>
    <w:rsid w:val="000E4B5D"/>
    <w:rsid w:val="000E563D"/>
    <w:rsid w:val="000E5A61"/>
    <w:rsid w:val="000F32AC"/>
    <w:rsid w:val="000F66D5"/>
    <w:rsid w:val="000F7C91"/>
    <w:rsid w:val="00100405"/>
    <w:rsid w:val="0010228C"/>
    <w:rsid w:val="00103679"/>
    <w:rsid w:val="00107D3E"/>
    <w:rsid w:val="00111215"/>
    <w:rsid w:val="001119AA"/>
    <w:rsid w:val="00111BDE"/>
    <w:rsid w:val="001128EC"/>
    <w:rsid w:val="00112FD7"/>
    <w:rsid w:val="00114CCC"/>
    <w:rsid w:val="00117330"/>
    <w:rsid w:val="00117D76"/>
    <w:rsid w:val="001218B9"/>
    <w:rsid w:val="001222AC"/>
    <w:rsid w:val="0012247F"/>
    <w:rsid w:val="00123E8D"/>
    <w:rsid w:val="00124AEE"/>
    <w:rsid w:val="00124E6B"/>
    <w:rsid w:val="001256E1"/>
    <w:rsid w:val="00125774"/>
    <w:rsid w:val="00125BF8"/>
    <w:rsid w:val="0012791F"/>
    <w:rsid w:val="00130BFE"/>
    <w:rsid w:val="00131F3F"/>
    <w:rsid w:val="001328C7"/>
    <w:rsid w:val="00134AA0"/>
    <w:rsid w:val="00137D40"/>
    <w:rsid w:val="00140573"/>
    <w:rsid w:val="00141AD1"/>
    <w:rsid w:val="00147C13"/>
    <w:rsid w:val="00150032"/>
    <w:rsid w:val="00150107"/>
    <w:rsid w:val="0015313F"/>
    <w:rsid w:val="00153FEE"/>
    <w:rsid w:val="00154F2E"/>
    <w:rsid w:val="0015508C"/>
    <w:rsid w:val="00156D67"/>
    <w:rsid w:val="00157AAA"/>
    <w:rsid w:val="00157E98"/>
    <w:rsid w:val="00161468"/>
    <w:rsid w:val="001621BE"/>
    <w:rsid w:val="00165C7E"/>
    <w:rsid w:val="00166469"/>
    <w:rsid w:val="00171D86"/>
    <w:rsid w:val="00171F6F"/>
    <w:rsid w:val="001720D7"/>
    <w:rsid w:val="00172176"/>
    <w:rsid w:val="00173270"/>
    <w:rsid w:val="00173E20"/>
    <w:rsid w:val="00174EA7"/>
    <w:rsid w:val="0017653F"/>
    <w:rsid w:val="00177952"/>
    <w:rsid w:val="00180067"/>
    <w:rsid w:val="0018061B"/>
    <w:rsid w:val="001829E9"/>
    <w:rsid w:val="00183137"/>
    <w:rsid w:val="00183515"/>
    <w:rsid w:val="001847A1"/>
    <w:rsid w:val="00185661"/>
    <w:rsid w:val="00185C40"/>
    <w:rsid w:val="00185C55"/>
    <w:rsid w:val="0018742D"/>
    <w:rsid w:val="001879B2"/>
    <w:rsid w:val="00187FC2"/>
    <w:rsid w:val="0019081D"/>
    <w:rsid w:val="00191E75"/>
    <w:rsid w:val="00192D9E"/>
    <w:rsid w:val="00193987"/>
    <w:rsid w:val="00195682"/>
    <w:rsid w:val="00197A35"/>
    <w:rsid w:val="001A29D8"/>
    <w:rsid w:val="001A2A62"/>
    <w:rsid w:val="001A3F66"/>
    <w:rsid w:val="001A4736"/>
    <w:rsid w:val="001A572E"/>
    <w:rsid w:val="001A67DA"/>
    <w:rsid w:val="001A793B"/>
    <w:rsid w:val="001B06C5"/>
    <w:rsid w:val="001B0892"/>
    <w:rsid w:val="001B583D"/>
    <w:rsid w:val="001B696F"/>
    <w:rsid w:val="001B78D1"/>
    <w:rsid w:val="001C0DC8"/>
    <w:rsid w:val="001C37C1"/>
    <w:rsid w:val="001C4311"/>
    <w:rsid w:val="001C4720"/>
    <w:rsid w:val="001C6720"/>
    <w:rsid w:val="001D1485"/>
    <w:rsid w:val="001D26BD"/>
    <w:rsid w:val="001D2D45"/>
    <w:rsid w:val="001D2DA2"/>
    <w:rsid w:val="001D3A3A"/>
    <w:rsid w:val="001D3AD2"/>
    <w:rsid w:val="001D4A32"/>
    <w:rsid w:val="001D76F8"/>
    <w:rsid w:val="001E0F5B"/>
    <w:rsid w:val="001E1EC6"/>
    <w:rsid w:val="001E4B96"/>
    <w:rsid w:val="001E7C9F"/>
    <w:rsid w:val="001F045F"/>
    <w:rsid w:val="001F301B"/>
    <w:rsid w:val="001F64FD"/>
    <w:rsid w:val="001F76D3"/>
    <w:rsid w:val="00201474"/>
    <w:rsid w:val="00201653"/>
    <w:rsid w:val="00201B19"/>
    <w:rsid w:val="002034C6"/>
    <w:rsid w:val="002044C9"/>
    <w:rsid w:val="00204B97"/>
    <w:rsid w:val="00205817"/>
    <w:rsid w:val="00207287"/>
    <w:rsid w:val="00211067"/>
    <w:rsid w:val="002115EA"/>
    <w:rsid w:val="00211A96"/>
    <w:rsid w:val="00213A6D"/>
    <w:rsid w:val="00213E39"/>
    <w:rsid w:val="002143ED"/>
    <w:rsid w:val="00214A31"/>
    <w:rsid w:val="0022082C"/>
    <w:rsid w:val="00220DA8"/>
    <w:rsid w:val="002246C4"/>
    <w:rsid w:val="00227082"/>
    <w:rsid w:val="00233C9A"/>
    <w:rsid w:val="00233DE3"/>
    <w:rsid w:val="0023402B"/>
    <w:rsid w:val="00234DA8"/>
    <w:rsid w:val="00235D48"/>
    <w:rsid w:val="0023626E"/>
    <w:rsid w:val="00236342"/>
    <w:rsid w:val="0024076E"/>
    <w:rsid w:val="00240AED"/>
    <w:rsid w:val="00240DAD"/>
    <w:rsid w:val="00242C9D"/>
    <w:rsid w:val="00247688"/>
    <w:rsid w:val="00255946"/>
    <w:rsid w:val="0025740F"/>
    <w:rsid w:val="00260C97"/>
    <w:rsid w:val="002627DC"/>
    <w:rsid w:val="002630C1"/>
    <w:rsid w:val="00263B93"/>
    <w:rsid w:val="00263F6A"/>
    <w:rsid w:val="00264BFB"/>
    <w:rsid w:val="00265C18"/>
    <w:rsid w:val="00267E5B"/>
    <w:rsid w:val="002705FC"/>
    <w:rsid w:val="002739EA"/>
    <w:rsid w:val="002769C8"/>
    <w:rsid w:val="00276AB8"/>
    <w:rsid w:val="00277013"/>
    <w:rsid w:val="002773D8"/>
    <w:rsid w:val="0028180A"/>
    <w:rsid w:val="0028401A"/>
    <w:rsid w:val="00290341"/>
    <w:rsid w:val="0029035B"/>
    <w:rsid w:val="0029036F"/>
    <w:rsid w:val="00290E98"/>
    <w:rsid w:val="00292AC0"/>
    <w:rsid w:val="0029439A"/>
    <w:rsid w:val="002950D8"/>
    <w:rsid w:val="00296531"/>
    <w:rsid w:val="002A0133"/>
    <w:rsid w:val="002A0491"/>
    <w:rsid w:val="002A1EAF"/>
    <w:rsid w:val="002A239D"/>
    <w:rsid w:val="002A34F1"/>
    <w:rsid w:val="002A37F2"/>
    <w:rsid w:val="002A61EE"/>
    <w:rsid w:val="002B0B7C"/>
    <w:rsid w:val="002B29AD"/>
    <w:rsid w:val="002B3DC5"/>
    <w:rsid w:val="002B405B"/>
    <w:rsid w:val="002B4742"/>
    <w:rsid w:val="002B4A90"/>
    <w:rsid w:val="002C0BE3"/>
    <w:rsid w:val="002C1349"/>
    <w:rsid w:val="002C1A51"/>
    <w:rsid w:val="002C492D"/>
    <w:rsid w:val="002D3DF3"/>
    <w:rsid w:val="002D4B18"/>
    <w:rsid w:val="002D4EC9"/>
    <w:rsid w:val="002D5889"/>
    <w:rsid w:val="002D68A0"/>
    <w:rsid w:val="002E05BA"/>
    <w:rsid w:val="002E10E3"/>
    <w:rsid w:val="002E5052"/>
    <w:rsid w:val="002E6A28"/>
    <w:rsid w:val="002F04BC"/>
    <w:rsid w:val="0030165D"/>
    <w:rsid w:val="003025E5"/>
    <w:rsid w:val="003040AE"/>
    <w:rsid w:val="003044D1"/>
    <w:rsid w:val="00304FF2"/>
    <w:rsid w:val="00305BEE"/>
    <w:rsid w:val="00306966"/>
    <w:rsid w:val="0031016C"/>
    <w:rsid w:val="00310B3E"/>
    <w:rsid w:val="00312020"/>
    <w:rsid w:val="00314186"/>
    <w:rsid w:val="0031436D"/>
    <w:rsid w:val="00314898"/>
    <w:rsid w:val="00314BC0"/>
    <w:rsid w:val="0031580B"/>
    <w:rsid w:val="003158EE"/>
    <w:rsid w:val="00315A45"/>
    <w:rsid w:val="00317863"/>
    <w:rsid w:val="00321985"/>
    <w:rsid w:val="00326351"/>
    <w:rsid w:val="00326B2C"/>
    <w:rsid w:val="00330818"/>
    <w:rsid w:val="0033083D"/>
    <w:rsid w:val="00334A22"/>
    <w:rsid w:val="00334E23"/>
    <w:rsid w:val="00341B67"/>
    <w:rsid w:val="00343A42"/>
    <w:rsid w:val="00343A50"/>
    <w:rsid w:val="00343E36"/>
    <w:rsid w:val="003440F1"/>
    <w:rsid w:val="00346BD5"/>
    <w:rsid w:val="00346D22"/>
    <w:rsid w:val="00350CA9"/>
    <w:rsid w:val="00351661"/>
    <w:rsid w:val="00352615"/>
    <w:rsid w:val="0035348B"/>
    <w:rsid w:val="003534AB"/>
    <w:rsid w:val="00353A19"/>
    <w:rsid w:val="0035762B"/>
    <w:rsid w:val="00367A9A"/>
    <w:rsid w:val="0037099B"/>
    <w:rsid w:val="00371D76"/>
    <w:rsid w:val="00372768"/>
    <w:rsid w:val="00373D24"/>
    <w:rsid w:val="003758A0"/>
    <w:rsid w:val="00375EF4"/>
    <w:rsid w:val="00377281"/>
    <w:rsid w:val="00377AA9"/>
    <w:rsid w:val="0038014B"/>
    <w:rsid w:val="0038124B"/>
    <w:rsid w:val="0038131A"/>
    <w:rsid w:val="00381B07"/>
    <w:rsid w:val="003841C1"/>
    <w:rsid w:val="00385414"/>
    <w:rsid w:val="00396525"/>
    <w:rsid w:val="003976FF"/>
    <w:rsid w:val="00397A1D"/>
    <w:rsid w:val="003A0CFB"/>
    <w:rsid w:val="003A1762"/>
    <w:rsid w:val="003A19ED"/>
    <w:rsid w:val="003A292B"/>
    <w:rsid w:val="003A2BD5"/>
    <w:rsid w:val="003A38F5"/>
    <w:rsid w:val="003A4279"/>
    <w:rsid w:val="003A47CC"/>
    <w:rsid w:val="003A50DF"/>
    <w:rsid w:val="003B0556"/>
    <w:rsid w:val="003B1463"/>
    <w:rsid w:val="003B19EC"/>
    <w:rsid w:val="003B6135"/>
    <w:rsid w:val="003B651B"/>
    <w:rsid w:val="003C044A"/>
    <w:rsid w:val="003C20B5"/>
    <w:rsid w:val="003C4B54"/>
    <w:rsid w:val="003C6593"/>
    <w:rsid w:val="003D19CE"/>
    <w:rsid w:val="003D1B3F"/>
    <w:rsid w:val="003D4680"/>
    <w:rsid w:val="003D5B9A"/>
    <w:rsid w:val="003D7B10"/>
    <w:rsid w:val="003E08CD"/>
    <w:rsid w:val="003E0E2C"/>
    <w:rsid w:val="003E1BD2"/>
    <w:rsid w:val="003E2CE0"/>
    <w:rsid w:val="003E42C2"/>
    <w:rsid w:val="003E5088"/>
    <w:rsid w:val="003E57D1"/>
    <w:rsid w:val="003E6781"/>
    <w:rsid w:val="003E69A1"/>
    <w:rsid w:val="003F1A18"/>
    <w:rsid w:val="003F4A41"/>
    <w:rsid w:val="003F50F6"/>
    <w:rsid w:val="003F5E43"/>
    <w:rsid w:val="003F73B8"/>
    <w:rsid w:val="0040202E"/>
    <w:rsid w:val="004023B4"/>
    <w:rsid w:val="00402D4F"/>
    <w:rsid w:val="00407A54"/>
    <w:rsid w:val="00412518"/>
    <w:rsid w:val="004132AB"/>
    <w:rsid w:val="0041387E"/>
    <w:rsid w:val="00413A55"/>
    <w:rsid w:val="00414583"/>
    <w:rsid w:val="00414787"/>
    <w:rsid w:val="004151BF"/>
    <w:rsid w:val="00415ADB"/>
    <w:rsid w:val="00415E86"/>
    <w:rsid w:val="00416509"/>
    <w:rsid w:val="004168C0"/>
    <w:rsid w:val="00417E3D"/>
    <w:rsid w:val="004201B9"/>
    <w:rsid w:val="004204B2"/>
    <w:rsid w:val="00420A89"/>
    <w:rsid w:val="00421EDC"/>
    <w:rsid w:val="00422B3B"/>
    <w:rsid w:val="00422E30"/>
    <w:rsid w:val="004309C8"/>
    <w:rsid w:val="00430FA4"/>
    <w:rsid w:val="0043219D"/>
    <w:rsid w:val="00432BF6"/>
    <w:rsid w:val="00433782"/>
    <w:rsid w:val="00436DD4"/>
    <w:rsid w:val="00437610"/>
    <w:rsid w:val="004401DA"/>
    <w:rsid w:val="004407A3"/>
    <w:rsid w:val="0044162B"/>
    <w:rsid w:val="0044258D"/>
    <w:rsid w:val="004433BD"/>
    <w:rsid w:val="0044384C"/>
    <w:rsid w:val="00443AFE"/>
    <w:rsid w:val="0044448C"/>
    <w:rsid w:val="00444A15"/>
    <w:rsid w:val="00447A5D"/>
    <w:rsid w:val="0045033C"/>
    <w:rsid w:val="0045107C"/>
    <w:rsid w:val="00453317"/>
    <w:rsid w:val="00453A5B"/>
    <w:rsid w:val="00453DD5"/>
    <w:rsid w:val="004546B8"/>
    <w:rsid w:val="004579E4"/>
    <w:rsid w:val="004649C4"/>
    <w:rsid w:val="00464F9A"/>
    <w:rsid w:val="00465D4D"/>
    <w:rsid w:val="0047316F"/>
    <w:rsid w:val="00476976"/>
    <w:rsid w:val="00476FB5"/>
    <w:rsid w:val="00477558"/>
    <w:rsid w:val="00477AA5"/>
    <w:rsid w:val="004819E9"/>
    <w:rsid w:val="00481BC9"/>
    <w:rsid w:val="004821DE"/>
    <w:rsid w:val="00486EF1"/>
    <w:rsid w:val="00490D60"/>
    <w:rsid w:val="00491307"/>
    <w:rsid w:val="0049148A"/>
    <w:rsid w:val="00493E0F"/>
    <w:rsid w:val="004959F5"/>
    <w:rsid w:val="00496514"/>
    <w:rsid w:val="00496E26"/>
    <w:rsid w:val="00497997"/>
    <w:rsid w:val="004A1A11"/>
    <w:rsid w:val="004A2CA0"/>
    <w:rsid w:val="004A4DEC"/>
    <w:rsid w:val="004A57E7"/>
    <w:rsid w:val="004A7088"/>
    <w:rsid w:val="004A71B8"/>
    <w:rsid w:val="004A75B4"/>
    <w:rsid w:val="004A787F"/>
    <w:rsid w:val="004B076A"/>
    <w:rsid w:val="004B0AE0"/>
    <w:rsid w:val="004B0BB2"/>
    <w:rsid w:val="004B1EEC"/>
    <w:rsid w:val="004B2833"/>
    <w:rsid w:val="004B42DD"/>
    <w:rsid w:val="004B5A8A"/>
    <w:rsid w:val="004B6E0C"/>
    <w:rsid w:val="004C020E"/>
    <w:rsid w:val="004C04CD"/>
    <w:rsid w:val="004C26C0"/>
    <w:rsid w:val="004C2BF6"/>
    <w:rsid w:val="004C31AC"/>
    <w:rsid w:val="004C46CF"/>
    <w:rsid w:val="004C6E52"/>
    <w:rsid w:val="004C70C5"/>
    <w:rsid w:val="004D208D"/>
    <w:rsid w:val="004D2B27"/>
    <w:rsid w:val="004D44F1"/>
    <w:rsid w:val="004D5886"/>
    <w:rsid w:val="004D6EC7"/>
    <w:rsid w:val="004D746C"/>
    <w:rsid w:val="004D7B78"/>
    <w:rsid w:val="004E0A4B"/>
    <w:rsid w:val="004E0EEF"/>
    <w:rsid w:val="004E1685"/>
    <w:rsid w:val="004E1872"/>
    <w:rsid w:val="004E3075"/>
    <w:rsid w:val="004E4ED3"/>
    <w:rsid w:val="004E4F94"/>
    <w:rsid w:val="004E6C70"/>
    <w:rsid w:val="004E7894"/>
    <w:rsid w:val="004F0564"/>
    <w:rsid w:val="004F10FF"/>
    <w:rsid w:val="004F2597"/>
    <w:rsid w:val="004F2C1D"/>
    <w:rsid w:val="004F2CBB"/>
    <w:rsid w:val="004F42D0"/>
    <w:rsid w:val="004F7899"/>
    <w:rsid w:val="00500FC0"/>
    <w:rsid w:val="00501969"/>
    <w:rsid w:val="00501A11"/>
    <w:rsid w:val="00502AF0"/>
    <w:rsid w:val="00504132"/>
    <w:rsid w:val="0050520C"/>
    <w:rsid w:val="0050728C"/>
    <w:rsid w:val="00510961"/>
    <w:rsid w:val="005116B1"/>
    <w:rsid w:val="00511D65"/>
    <w:rsid w:val="00516E47"/>
    <w:rsid w:val="00517C4C"/>
    <w:rsid w:val="00522FFE"/>
    <w:rsid w:val="00523D15"/>
    <w:rsid w:val="00525489"/>
    <w:rsid w:val="00526699"/>
    <w:rsid w:val="00526A2D"/>
    <w:rsid w:val="00526BE3"/>
    <w:rsid w:val="00527397"/>
    <w:rsid w:val="005277D3"/>
    <w:rsid w:val="00530F0B"/>
    <w:rsid w:val="0053113B"/>
    <w:rsid w:val="00531C2B"/>
    <w:rsid w:val="00531E54"/>
    <w:rsid w:val="005338A6"/>
    <w:rsid w:val="00533F97"/>
    <w:rsid w:val="00534F70"/>
    <w:rsid w:val="0053658F"/>
    <w:rsid w:val="005378DF"/>
    <w:rsid w:val="00537C04"/>
    <w:rsid w:val="005401CA"/>
    <w:rsid w:val="00542438"/>
    <w:rsid w:val="005424FD"/>
    <w:rsid w:val="00542504"/>
    <w:rsid w:val="00546D51"/>
    <w:rsid w:val="0055014A"/>
    <w:rsid w:val="00550D01"/>
    <w:rsid w:val="00552078"/>
    <w:rsid w:val="00553185"/>
    <w:rsid w:val="00556981"/>
    <w:rsid w:val="00560360"/>
    <w:rsid w:val="00560770"/>
    <w:rsid w:val="00563632"/>
    <w:rsid w:val="00564E92"/>
    <w:rsid w:val="00565563"/>
    <w:rsid w:val="00566B95"/>
    <w:rsid w:val="00567740"/>
    <w:rsid w:val="0056784D"/>
    <w:rsid w:val="00571A97"/>
    <w:rsid w:val="00574707"/>
    <w:rsid w:val="00576A34"/>
    <w:rsid w:val="0057703D"/>
    <w:rsid w:val="00577886"/>
    <w:rsid w:val="00584DF0"/>
    <w:rsid w:val="00585653"/>
    <w:rsid w:val="00585D8F"/>
    <w:rsid w:val="00585FE6"/>
    <w:rsid w:val="00591039"/>
    <w:rsid w:val="0059118A"/>
    <w:rsid w:val="005919E3"/>
    <w:rsid w:val="00591BA9"/>
    <w:rsid w:val="00593A0D"/>
    <w:rsid w:val="00594A0E"/>
    <w:rsid w:val="0059598F"/>
    <w:rsid w:val="005963F7"/>
    <w:rsid w:val="005A0416"/>
    <w:rsid w:val="005A0B43"/>
    <w:rsid w:val="005A129E"/>
    <w:rsid w:val="005A12FF"/>
    <w:rsid w:val="005A16ED"/>
    <w:rsid w:val="005A1782"/>
    <w:rsid w:val="005A5D9C"/>
    <w:rsid w:val="005A6459"/>
    <w:rsid w:val="005A6AC0"/>
    <w:rsid w:val="005B37DB"/>
    <w:rsid w:val="005B5FA4"/>
    <w:rsid w:val="005B667D"/>
    <w:rsid w:val="005B6F3D"/>
    <w:rsid w:val="005B77E2"/>
    <w:rsid w:val="005B784D"/>
    <w:rsid w:val="005C03BB"/>
    <w:rsid w:val="005C074A"/>
    <w:rsid w:val="005C2382"/>
    <w:rsid w:val="005C46A7"/>
    <w:rsid w:val="005C4989"/>
    <w:rsid w:val="005C4F1E"/>
    <w:rsid w:val="005C4F31"/>
    <w:rsid w:val="005C523D"/>
    <w:rsid w:val="005C548B"/>
    <w:rsid w:val="005C5D55"/>
    <w:rsid w:val="005C638A"/>
    <w:rsid w:val="005C65DA"/>
    <w:rsid w:val="005C7E3E"/>
    <w:rsid w:val="005C7FD2"/>
    <w:rsid w:val="005D1D2A"/>
    <w:rsid w:val="005D226E"/>
    <w:rsid w:val="005D3CCF"/>
    <w:rsid w:val="005D4468"/>
    <w:rsid w:val="005D48FA"/>
    <w:rsid w:val="005D4CBF"/>
    <w:rsid w:val="005D789A"/>
    <w:rsid w:val="005D7E85"/>
    <w:rsid w:val="005E01ED"/>
    <w:rsid w:val="005E592A"/>
    <w:rsid w:val="005E720B"/>
    <w:rsid w:val="005F0046"/>
    <w:rsid w:val="005F0EC1"/>
    <w:rsid w:val="005F1211"/>
    <w:rsid w:val="005F4297"/>
    <w:rsid w:val="005F4927"/>
    <w:rsid w:val="0060153B"/>
    <w:rsid w:val="00601D44"/>
    <w:rsid w:val="00604CE4"/>
    <w:rsid w:val="00606086"/>
    <w:rsid w:val="006136E5"/>
    <w:rsid w:val="006140E0"/>
    <w:rsid w:val="006162C0"/>
    <w:rsid w:val="0061686A"/>
    <w:rsid w:val="00616B2B"/>
    <w:rsid w:val="00617117"/>
    <w:rsid w:val="006254FC"/>
    <w:rsid w:val="006263DA"/>
    <w:rsid w:val="00630644"/>
    <w:rsid w:val="00631C68"/>
    <w:rsid w:val="00631CA8"/>
    <w:rsid w:val="00633F7E"/>
    <w:rsid w:val="0063509E"/>
    <w:rsid w:val="006359F0"/>
    <w:rsid w:val="006362DF"/>
    <w:rsid w:val="00637481"/>
    <w:rsid w:val="00641886"/>
    <w:rsid w:val="00642BCF"/>
    <w:rsid w:val="00643132"/>
    <w:rsid w:val="00643287"/>
    <w:rsid w:val="00643474"/>
    <w:rsid w:val="00643873"/>
    <w:rsid w:val="0064417F"/>
    <w:rsid w:val="00644C02"/>
    <w:rsid w:val="006453BF"/>
    <w:rsid w:val="006472DD"/>
    <w:rsid w:val="00651A6B"/>
    <w:rsid w:val="00654528"/>
    <w:rsid w:val="006578CE"/>
    <w:rsid w:val="00657A31"/>
    <w:rsid w:val="00657F65"/>
    <w:rsid w:val="006634B2"/>
    <w:rsid w:val="006646FF"/>
    <w:rsid w:val="0066568E"/>
    <w:rsid w:val="00665E82"/>
    <w:rsid w:val="006704BE"/>
    <w:rsid w:val="006712C4"/>
    <w:rsid w:val="00671F8C"/>
    <w:rsid w:val="006764E3"/>
    <w:rsid w:val="006803E0"/>
    <w:rsid w:val="00680661"/>
    <w:rsid w:val="00681AD0"/>
    <w:rsid w:val="00682440"/>
    <w:rsid w:val="00684E4E"/>
    <w:rsid w:val="00684F51"/>
    <w:rsid w:val="00685806"/>
    <w:rsid w:val="0068599A"/>
    <w:rsid w:val="006905F8"/>
    <w:rsid w:val="00690DBF"/>
    <w:rsid w:val="00691613"/>
    <w:rsid w:val="00692882"/>
    <w:rsid w:val="00693CC3"/>
    <w:rsid w:val="006961DC"/>
    <w:rsid w:val="00696652"/>
    <w:rsid w:val="006A2D69"/>
    <w:rsid w:val="006A4C6F"/>
    <w:rsid w:val="006A70B0"/>
    <w:rsid w:val="006A72CD"/>
    <w:rsid w:val="006B0716"/>
    <w:rsid w:val="006B109F"/>
    <w:rsid w:val="006B72EC"/>
    <w:rsid w:val="006B730B"/>
    <w:rsid w:val="006B7677"/>
    <w:rsid w:val="006C21C5"/>
    <w:rsid w:val="006C24A5"/>
    <w:rsid w:val="006C31A8"/>
    <w:rsid w:val="006D07A3"/>
    <w:rsid w:val="006D343E"/>
    <w:rsid w:val="006D3684"/>
    <w:rsid w:val="006D41B8"/>
    <w:rsid w:val="006D6538"/>
    <w:rsid w:val="006D67A5"/>
    <w:rsid w:val="006D6A96"/>
    <w:rsid w:val="006D7525"/>
    <w:rsid w:val="006E09A7"/>
    <w:rsid w:val="006E308A"/>
    <w:rsid w:val="006E5F8E"/>
    <w:rsid w:val="006E7763"/>
    <w:rsid w:val="006F39E0"/>
    <w:rsid w:val="006F4A72"/>
    <w:rsid w:val="00701A51"/>
    <w:rsid w:val="00702EA2"/>
    <w:rsid w:val="00704822"/>
    <w:rsid w:val="00704A3F"/>
    <w:rsid w:val="00705DAB"/>
    <w:rsid w:val="007065B5"/>
    <w:rsid w:val="00706C03"/>
    <w:rsid w:val="0070784F"/>
    <w:rsid w:val="00710336"/>
    <w:rsid w:val="00712E48"/>
    <w:rsid w:val="00714AE3"/>
    <w:rsid w:val="007209A6"/>
    <w:rsid w:val="007216C2"/>
    <w:rsid w:val="00722018"/>
    <w:rsid w:val="007250ED"/>
    <w:rsid w:val="00725B21"/>
    <w:rsid w:val="007263F6"/>
    <w:rsid w:val="007308C1"/>
    <w:rsid w:val="00732879"/>
    <w:rsid w:val="00732CD8"/>
    <w:rsid w:val="0073418E"/>
    <w:rsid w:val="007341C2"/>
    <w:rsid w:val="0073623E"/>
    <w:rsid w:val="00737F5F"/>
    <w:rsid w:val="00737F67"/>
    <w:rsid w:val="007428B2"/>
    <w:rsid w:val="00742FB9"/>
    <w:rsid w:val="007438AA"/>
    <w:rsid w:val="00744286"/>
    <w:rsid w:val="007455E6"/>
    <w:rsid w:val="00745968"/>
    <w:rsid w:val="0074653C"/>
    <w:rsid w:val="0074797D"/>
    <w:rsid w:val="00747D96"/>
    <w:rsid w:val="00750799"/>
    <w:rsid w:val="00751031"/>
    <w:rsid w:val="0075188A"/>
    <w:rsid w:val="00752063"/>
    <w:rsid w:val="00753E20"/>
    <w:rsid w:val="00754B25"/>
    <w:rsid w:val="007556D5"/>
    <w:rsid w:val="0075582D"/>
    <w:rsid w:val="0075721C"/>
    <w:rsid w:val="007573C3"/>
    <w:rsid w:val="00760042"/>
    <w:rsid w:val="0076017B"/>
    <w:rsid w:val="00760582"/>
    <w:rsid w:val="00761988"/>
    <w:rsid w:val="0076255F"/>
    <w:rsid w:val="0076388E"/>
    <w:rsid w:val="0076452B"/>
    <w:rsid w:val="007663E1"/>
    <w:rsid w:val="0076677C"/>
    <w:rsid w:val="007708FF"/>
    <w:rsid w:val="00771706"/>
    <w:rsid w:val="007723F0"/>
    <w:rsid w:val="00772673"/>
    <w:rsid w:val="0077464C"/>
    <w:rsid w:val="00774804"/>
    <w:rsid w:val="007762E2"/>
    <w:rsid w:val="00777CFF"/>
    <w:rsid w:val="00780804"/>
    <w:rsid w:val="00781ADC"/>
    <w:rsid w:val="00781B4F"/>
    <w:rsid w:val="00782880"/>
    <w:rsid w:val="0078422A"/>
    <w:rsid w:val="00785151"/>
    <w:rsid w:val="007867DF"/>
    <w:rsid w:val="00786C09"/>
    <w:rsid w:val="00786EDB"/>
    <w:rsid w:val="00790257"/>
    <w:rsid w:val="00793FBB"/>
    <w:rsid w:val="00794E12"/>
    <w:rsid w:val="007A1C2F"/>
    <w:rsid w:val="007A2B34"/>
    <w:rsid w:val="007A3484"/>
    <w:rsid w:val="007A6350"/>
    <w:rsid w:val="007A73F7"/>
    <w:rsid w:val="007A7853"/>
    <w:rsid w:val="007A7D44"/>
    <w:rsid w:val="007A7F49"/>
    <w:rsid w:val="007B01F8"/>
    <w:rsid w:val="007B11FB"/>
    <w:rsid w:val="007B2B5E"/>
    <w:rsid w:val="007B318D"/>
    <w:rsid w:val="007B41F1"/>
    <w:rsid w:val="007B6CA9"/>
    <w:rsid w:val="007B7FFA"/>
    <w:rsid w:val="007C0071"/>
    <w:rsid w:val="007C230E"/>
    <w:rsid w:val="007C474B"/>
    <w:rsid w:val="007C497A"/>
    <w:rsid w:val="007C5657"/>
    <w:rsid w:val="007C5F75"/>
    <w:rsid w:val="007C62B1"/>
    <w:rsid w:val="007C7FB0"/>
    <w:rsid w:val="007D1625"/>
    <w:rsid w:val="007D20F4"/>
    <w:rsid w:val="007D284F"/>
    <w:rsid w:val="007D3A9D"/>
    <w:rsid w:val="007D4445"/>
    <w:rsid w:val="007D4906"/>
    <w:rsid w:val="007D6C51"/>
    <w:rsid w:val="007D6F17"/>
    <w:rsid w:val="007D7457"/>
    <w:rsid w:val="007D7E73"/>
    <w:rsid w:val="007E01D2"/>
    <w:rsid w:val="007E128F"/>
    <w:rsid w:val="007E2D5F"/>
    <w:rsid w:val="007E48FD"/>
    <w:rsid w:val="007E4A2F"/>
    <w:rsid w:val="007E55CC"/>
    <w:rsid w:val="007E5A4B"/>
    <w:rsid w:val="007F0F72"/>
    <w:rsid w:val="007F107E"/>
    <w:rsid w:val="007F2F8A"/>
    <w:rsid w:val="007F50A6"/>
    <w:rsid w:val="00802800"/>
    <w:rsid w:val="008029F2"/>
    <w:rsid w:val="00803F5C"/>
    <w:rsid w:val="00804525"/>
    <w:rsid w:val="0080549F"/>
    <w:rsid w:val="00806200"/>
    <w:rsid w:val="00807808"/>
    <w:rsid w:val="00810161"/>
    <w:rsid w:val="0081022A"/>
    <w:rsid w:val="008120AF"/>
    <w:rsid w:val="00813C3B"/>
    <w:rsid w:val="00815349"/>
    <w:rsid w:val="00815620"/>
    <w:rsid w:val="00817FA3"/>
    <w:rsid w:val="0082380C"/>
    <w:rsid w:val="00823E14"/>
    <w:rsid w:val="00824B97"/>
    <w:rsid w:val="00824DB9"/>
    <w:rsid w:val="0082676E"/>
    <w:rsid w:val="00831184"/>
    <w:rsid w:val="00834CBD"/>
    <w:rsid w:val="008373FD"/>
    <w:rsid w:val="00840219"/>
    <w:rsid w:val="0084021D"/>
    <w:rsid w:val="00840F9D"/>
    <w:rsid w:val="008418F7"/>
    <w:rsid w:val="00843165"/>
    <w:rsid w:val="0084411F"/>
    <w:rsid w:val="0084425E"/>
    <w:rsid w:val="00844659"/>
    <w:rsid w:val="00845BE4"/>
    <w:rsid w:val="00846338"/>
    <w:rsid w:val="00846E45"/>
    <w:rsid w:val="0084799E"/>
    <w:rsid w:val="00847B28"/>
    <w:rsid w:val="00850F77"/>
    <w:rsid w:val="00852B44"/>
    <w:rsid w:val="0085485E"/>
    <w:rsid w:val="008552DD"/>
    <w:rsid w:val="00856097"/>
    <w:rsid w:val="00856596"/>
    <w:rsid w:val="00856B3B"/>
    <w:rsid w:val="00860A62"/>
    <w:rsid w:val="00860D8C"/>
    <w:rsid w:val="00864BD4"/>
    <w:rsid w:val="008725AF"/>
    <w:rsid w:val="008739BE"/>
    <w:rsid w:val="00874F14"/>
    <w:rsid w:val="00875437"/>
    <w:rsid w:val="00875D40"/>
    <w:rsid w:val="00875F23"/>
    <w:rsid w:val="0087660C"/>
    <w:rsid w:val="00877F38"/>
    <w:rsid w:val="00880B4F"/>
    <w:rsid w:val="008821DD"/>
    <w:rsid w:val="00882248"/>
    <w:rsid w:val="00884DDC"/>
    <w:rsid w:val="008860F1"/>
    <w:rsid w:val="00887B44"/>
    <w:rsid w:val="00890474"/>
    <w:rsid w:val="0089521B"/>
    <w:rsid w:val="008959E8"/>
    <w:rsid w:val="0089686C"/>
    <w:rsid w:val="008970CC"/>
    <w:rsid w:val="00897977"/>
    <w:rsid w:val="008A06ED"/>
    <w:rsid w:val="008A1F69"/>
    <w:rsid w:val="008A28FE"/>
    <w:rsid w:val="008A781C"/>
    <w:rsid w:val="008A7B33"/>
    <w:rsid w:val="008B12F8"/>
    <w:rsid w:val="008B13E2"/>
    <w:rsid w:val="008B1F5F"/>
    <w:rsid w:val="008B2A4E"/>
    <w:rsid w:val="008B33E6"/>
    <w:rsid w:val="008B38A6"/>
    <w:rsid w:val="008B3F91"/>
    <w:rsid w:val="008B5A26"/>
    <w:rsid w:val="008B6C04"/>
    <w:rsid w:val="008B76A8"/>
    <w:rsid w:val="008C0C8C"/>
    <w:rsid w:val="008C1258"/>
    <w:rsid w:val="008C1EF8"/>
    <w:rsid w:val="008C575B"/>
    <w:rsid w:val="008C5802"/>
    <w:rsid w:val="008C677F"/>
    <w:rsid w:val="008C7CE4"/>
    <w:rsid w:val="008D0D6A"/>
    <w:rsid w:val="008D0D7A"/>
    <w:rsid w:val="008E1300"/>
    <w:rsid w:val="008E15A2"/>
    <w:rsid w:val="008E641F"/>
    <w:rsid w:val="008F5276"/>
    <w:rsid w:val="008F5EBA"/>
    <w:rsid w:val="008F6A08"/>
    <w:rsid w:val="008F709C"/>
    <w:rsid w:val="00901CCE"/>
    <w:rsid w:val="00902621"/>
    <w:rsid w:val="00902B7C"/>
    <w:rsid w:val="00902D5C"/>
    <w:rsid w:val="00903542"/>
    <w:rsid w:val="00904212"/>
    <w:rsid w:val="00904217"/>
    <w:rsid w:val="0090620E"/>
    <w:rsid w:val="00907432"/>
    <w:rsid w:val="00907AB6"/>
    <w:rsid w:val="00910723"/>
    <w:rsid w:val="009111B3"/>
    <w:rsid w:val="00915D7F"/>
    <w:rsid w:val="00920785"/>
    <w:rsid w:val="00922ECD"/>
    <w:rsid w:val="00923229"/>
    <w:rsid w:val="00923C40"/>
    <w:rsid w:val="0092404C"/>
    <w:rsid w:val="00924440"/>
    <w:rsid w:val="00925E69"/>
    <w:rsid w:val="009306D0"/>
    <w:rsid w:val="009311B5"/>
    <w:rsid w:val="0093173A"/>
    <w:rsid w:val="0093179E"/>
    <w:rsid w:val="00934574"/>
    <w:rsid w:val="00934651"/>
    <w:rsid w:val="00935D87"/>
    <w:rsid w:val="00937A50"/>
    <w:rsid w:val="0094032D"/>
    <w:rsid w:val="00940724"/>
    <w:rsid w:val="00941428"/>
    <w:rsid w:val="009424AF"/>
    <w:rsid w:val="00942B03"/>
    <w:rsid w:val="00943D28"/>
    <w:rsid w:val="00945838"/>
    <w:rsid w:val="009469CE"/>
    <w:rsid w:val="009474B9"/>
    <w:rsid w:val="00953299"/>
    <w:rsid w:val="00953D4E"/>
    <w:rsid w:val="009570B2"/>
    <w:rsid w:val="00961CC5"/>
    <w:rsid w:val="0096217B"/>
    <w:rsid w:val="0096519E"/>
    <w:rsid w:val="009660C2"/>
    <w:rsid w:val="00966953"/>
    <w:rsid w:val="0096760C"/>
    <w:rsid w:val="00974012"/>
    <w:rsid w:val="009759F7"/>
    <w:rsid w:val="009764BE"/>
    <w:rsid w:val="00976D26"/>
    <w:rsid w:val="00977EE5"/>
    <w:rsid w:val="0098053B"/>
    <w:rsid w:val="009827E4"/>
    <w:rsid w:val="00983B6F"/>
    <w:rsid w:val="00984D57"/>
    <w:rsid w:val="009860D7"/>
    <w:rsid w:val="00986E4C"/>
    <w:rsid w:val="009872B2"/>
    <w:rsid w:val="00990D89"/>
    <w:rsid w:val="00991757"/>
    <w:rsid w:val="00991B93"/>
    <w:rsid w:val="00992F75"/>
    <w:rsid w:val="00993859"/>
    <w:rsid w:val="00993A69"/>
    <w:rsid w:val="00995702"/>
    <w:rsid w:val="00995B77"/>
    <w:rsid w:val="00996506"/>
    <w:rsid w:val="009967FD"/>
    <w:rsid w:val="00997F86"/>
    <w:rsid w:val="009A02C9"/>
    <w:rsid w:val="009A0D4C"/>
    <w:rsid w:val="009A3539"/>
    <w:rsid w:val="009A5884"/>
    <w:rsid w:val="009A5E42"/>
    <w:rsid w:val="009A7DB0"/>
    <w:rsid w:val="009B1331"/>
    <w:rsid w:val="009C223E"/>
    <w:rsid w:val="009C2595"/>
    <w:rsid w:val="009C275D"/>
    <w:rsid w:val="009C2FDE"/>
    <w:rsid w:val="009C384C"/>
    <w:rsid w:val="009C48CA"/>
    <w:rsid w:val="009C4FE1"/>
    <w:rsid w:val="009C50D8"/>
    <w:rsid w:val="009C74E7"/>
    <w:rsid w:val="009C7562"/>
    <w:rsid w:val="009C79BD"/>
    <w:rsid w:val="009D214A"/>
    <w:rsid w:val="009D227B"/>
    <w:rsid w:val="009D360D"/>
    <w:rsid w:val="009D48E3"/>
    <w:rsid w:val="009D53D8"/>
    <w:rsid w:val="009D5EEF"/>
    <w:rsid w:val="009D71CD"/>
    <w:rsid w:val="009D7795"/>
    <w:rsid w:val="009E04B1"/>
    <w:rsid w:val="009E061B"/>
    <w:rsid w:val="009E2C10"/>
    <w:rsid w:val="009E5957"/>
    <w:rsid w:val="009E7DB8"/>
    <w:rsid w:val="009F1FBB"/>
    <w:rsid w:val="009F2EFF"/>
    <w:rsid w:val="009F321F"/>
    <w:rsid w:val="009F4514"/>
    <w:rsid w:val="009F57F6"/>
    <w:rsid w:val="009F72CC"/>
    <w:rsid w:val="009F79A4"/>
    <w:rsid w:val="009F7F35"/>
    <w:rsid w:val="00A00C66"/>
    <w:rsid w:val="00A01CEA"/>
    <w:rsid w:val="00A01F8E"/>
    <w:rsid w:val="00A02743"/>
    <w:rsid w:val="00A0398A"/>
    <w:rsid w:val="00A03AA2"/>
    <w:rsid w:val="00A03F7B"/>
    <w:rsid w:val="00A04E14"/>
    <w:rsid w:val="00A05734"/>
    <w:rsid w:val="00A05820"/>
    <w:rsid w:val="00A067C8"/>
    <w:rsid w:val="00A11321"/>
    <w:rsid w:val="00A11E4C"/>
    <w:rsid w:val="00A11EA4"/>
    <w:rsid w:val="00A13485"/>
    <w:rsid w:val="00A1395B"/>
    <w:rsid w:val="00A14BF3"/>
    <w:rsid w:val="00A14EF1"/>
    <w:rsid w:val="00A219C4"/>
    <w:rsid w:val="00A22A6E"/>
    <w:rsid w:val="00A24C58"/>
    <w:rsid w:val="00A27A13"/>
    <w:rsid w:val="00A27DCF"/>
    <w:rsid w:val="00A314F5"/>
    <w:rsid w:val="00A31BE2"/>
    <w:rsid w:val="00A3468F"/>
    <w:rsid w:val="00A349D6"/>
    <w:rsid w:val="00A35B65"/>
    <w:rsid w:val="00A4211D"/>
    <w:rsid w:val="00A43F13"/>
    <w:rsid w:val="00A44403"/>
    <w:rsid w:val="00A454D5"/>
    <w:rsid w:val="00A456DA"/>
    <w:rsid w:val="00A45CA7"/>
    <w:rsid w:val="00A4788E"/>
    <w:rsid w:val="00A50374"/>
    <w:rsid w:val="00A517E1"/>
    <w:rsid w:val="00A54A71"/>
    <w:rsid w:val="00A559F9"/>
    <w:rsid w:val="00A55A8F"/>
    <w:rsid w:val="00A563E0"/>
    <w:rsid w:val="00A565AD"/>
    <w:rsid w:val="00A56E53"/>
    <w:rsid w:val="00A57A19"/>
    <w:rsid w:val="00A60550"/>
    <w:rsid w:val="00A619CC"/>
    <w:rsid w:val="00A63025"/>
    <w:rsid w:val="00A640D8"/>
    <w:rsid w:val="00A65004"/>
    <w:rsid w:val="00A652DC"/>
    <w:rsid w:val="00A71D9E"/>
    <w:rsid w:val="00A720DA"/>
    <w:rsid w:val="00A7402E"/>
    <w:rsid w:val="00A74AC8"/>
    <w:rsid w:val="00A80165"/>
    <w:rsid w:val="00A808C2"/>
    <w:rsid w:val="00A80A2F"/>
    <w:rsid w:val="00A81BAE"/>
    <w:rsid w:val="00A82310"/>
    <w:rsid w:val="00A8354E"/>
    <w:rsid w:val="00A85E23"/>
    <w:rsid w:val="00A87FDD"/>
    <w:rsid w:val="00A905D4"/>
    <w:rsid w:val="00A90860"/>
    <w:rsid w:val="00A925D1"/>
    <w:rsid w:val="00A9278F"/>
    <w:rsid w:val="00A96996"/>
    <w:rsid w:val="00A9732B"/>
    <w:rsid w:val="00A97D20"/>
    <w:rsid w:val="00AA0594"/>
    <w:rsid w:val="00AA1F99"/>
    <w:rsid w:val="00AA21CE"/>
    <w:rsid w:val="00AA3989"/>
    <w:rsid w:val="00AA3D2F"/>
    <w:rsid w:val="00AA45B2"/>
    <w:rsid w:val="00AA52C2"/>
    <w:rsid w:val="00AA5E0A"/>
    <w:rsid w:val="00AA7032"/>
    <w:rsid w:val="00AB1703"/>
    <w:rsid w:val="00AB224D"/>
    <w:rsid w:val="00AB23DD"/>
    <w:rsid w:val="00AB278D"/>
    <w:rsid w:val="00AB5141"/>
    <w:rsid w:val="00AC1F4D"/>
    <w:rsid w:val="00AC268F"/>
    <w:rsid w:val="00AC2DB6"/>
    <w:rsid w:val="00AC3189"/>
    <w:rsid w:val="00AC5295"/>
    <w:rsid w:val="00AC588F"/>
    <w:rsid w:val="00AC654E"/>
    <w:rsid w:val="00AC6D1E"/>
    <w:rsid w:val="00AD048F"/>
    <w:rsid w:val="00AD08B6"/>
    <w:rsid w:val="00AD1B7E"/>
    <w:rsid w:val="00AD217D"/>
    <w:rsid w:val="00AD338F"/>
    <w:rsid w:val="00AD3546"/>
    <w:rsid w:val="00AD765D"/>
    <w:rsid w:val="00AD7AF4"/>
    <w:rsid w:val="00AE00D9"/>
    <w:rsid w:val="00AE0723"/>
    <w:rsid w:val="00AE2908"/>
    <w:rsid w:val="00AE409A"/>
    <w:rsid w:val="00AE4F3F"/>
    <w:rsid w:val="00AE52C3"/>
    <w:rsid w:val="00AE5551"/>
    <w:rsid w:val="00AE5817"/>
    <w:rsid w:val="00AE59C0"/>
    <w:rsid w:val="00AE5B51"/>
    <w:rsid w:val="00AE6383"/>
    <w:rsid w:val="00AF066F"/>
    <w:rsid w:val="00AF0910"/>
    <w:rsid w:val="00AF1479"/>
    <w:rsid w:val="00AF1592"/>
    <w:rsid w:val="00AF5071"/>
    <w:rsid w:val="00AF6E97"/>
    <w:rsid w:val="00B0046B"/>
    <w:rsid w:val="00B004E0"/>
    <w:rsid w:val="00B02B40"/>
    <w:rsid w:val="00B0311C"/>
    <w:rsid w:val="00B03313"/>
    <w:rsid w:val="00B03B2B"/>
    <w:rsid w:val="00B04AD3"/>
    <w:rsid w:val="00B0549D"/>
    <w:rsid w:val="00B066BC"/>
    <w:rsid w:val="00B10826"/>
    <w:rsid w:val="00B10BC1"/>
    <w:rsid w:val="00B1160D"/>
    <w:rsid w:val="00B119A5"/>
    <w:rsid w:val="00B12648"/>
    <w:rsid w:val="00B14042"/>
    <w:rsid w:val="00B14205"/>
    <w:rsid w:val="00B14564"/>
    <w:rsid w:val="00B14CD8"/>
    <w:rsid w:val="00B15A4B"/>
    <w:rsid w:val="00B221FB"/>
    <w:rsid w:val="00B23496"/>
    <w:rsid w:val="00B2373F"/>
    <w:rsid w:val="00B24C61"/>
    <w:rsid w:val="00B2555E"/>
    <w:rsid w:val="00B261B1"/>
    <w:rsid w:val="00B273A3"/>
    <w:rsid w:val="00B30CF5"/>
    <w:rsid w:val="00B347C9"/>
    <w:rsid w:val="00B351E1"/>
    <w:rsid w:val="00B35216"/>
    <w:rsid w:val="00B3693C"/>
    <w:rsid w:val="00B37058"/>
    <w:rsid w:val="00B4165F"/>
    <w:rsid w:val="00B42FE3"/>
    <w:rsid w:val="00B45D7A"/>
    <w:rsid w:val="00B45F69"/>
    <w:rsid w:val="00B46522"/>
    <w:rsid w:val="00B469E7"/>
    <w:rsid w:val="00B47CB9"/>
    <w:rsid w:val="00B47D43"/>
    <w:rsid w:val="00B51D37"/>
    <w:rsid w:val="00B53F4A"/>
    <w:rsid w:val="00B54A1F"/>
    <w:rsid w:val="00B60497"/>
    <w:rsid w:val="00B612CF"/>
    <w:rsid w:val="00B6331B"/>
    <w:rsid w:val="00B63389"/>
    <w:rsid w:val="00B6387D"/>
    <w:rsid w:val="00B64D9E"/>
    <w:rsid w:val="00B71024"/>
    <w:rsid w:val="00B7106E"/>
    <w:rsid w:val="00B719CA"/>
    <w:rsid w:val="00B76096"/>
    <w:rsid w:val="00B80BBC"/>
    <w:rsid w:val="00B8102D"/>
    <w:rsid w:val="00B81823"/>
    <w:rsid w:val="00B8199C"/>
    <w:rsid w:val="00B81AFC"/>
    <w:rsid w:val="00B81E86"/>
    <w:rsid w:val="00B8315F"/>
    <w:rsid w:val="00B848D7"/>
    <w:rsid w:val="00B85EA4"/>
    <w:rsid w:val="00B87110"/>
    <w:rsid w:val="00B92947"/>
    <w:rsid w:val="00B965DD"/>
    <w:rsid w:val="00B974E0"/>
    <w:rsid w:val="00BA0AD7"/>
    <w:rsid w:val="00BA33C6"/>
    <w:rsid w:val="00BA5E6F"/>
    <w:rsid w:val="00BA5F94"/>
    <w:rsid w:val="00BB0202"/>
    <w:rsid w:val="00BB20D0"/>
    <w:rsid w:val="00BB41AC"/>
    <w:rsid w:val="00BB5FF0"/>
    <w:rsid w:val="00BC0444"/>
    <w:rsid w:val="00BC2612"/>
    <w:rsid w:val="00BC3C1A"/>
    <w:rsid w:val="00BC3D4D"/>
    <w:rsid w:val="00BC559A"/>
    <w:rsid w:val="00BD0300"/>
    <w:rsid w:val="00BD480E"/>
    <w:rsid w:val="00BD49A7"/>
    <w:rsid w:val="00BD75BB"/>
    <w:rsid w:val="00BE026C"/>
    <w:rsid w:val="00BE11F7"/>
    <w:rsid w:val="00BE12D4"/>
    <w:rsid w:val="00BE1D7D"/>
    <w:rsid w:val="00BE2DBA"/>
    <w:rsid w:val="00BE41B4"/>
    <w:rsid w:val="00BE6B58"/>
    <w:rsid w:val="00BE7F37"/>
    <w:rsid w:val="00BF1CA3"/>
    <w:rsid w:val="00BF1DD8"/>
    <w:rsid w:val="00BF21F9"/>
    <w:rsid w:val="00BF32C3"/>
    <w:rsid w:val="00BF4300"/>
    <w:rsid w:val="00BF4442"/>
    <w:rsid w:val="00BF4814"/>
    <w:rsid w:val="00BF78BB"/>
    <w:rsid w:val="00C02157"/>
    <w:rsid w:val="00C02407"/>
    <w:rsid w:val="00C04C49"/>
    <w:rsid w:val="00C04CE7"/>
    <w:rsid w:val="00C10D90"/>
    <w:rsid w:val="00C11598"/>
    <w:rsid w:val="00C11FF4"/>
    <w:rsid w:val="00C1533F"/>
    <w:rsid w:val="00C20118"/>
    <w:rsid w:val="00C20A85"/>
    <w:rsid w:val="00C218DE"/>
    <w:rsid w:val="00C21D44"/>
    <w:rsid w:val="00C222A1"/>
    <w:rsid w:val="00C24B40"/>
    <w:rsid w:val="00C305CD"/>
    <w:rsid w:val="00C31D3A"/>
    <w:rsid w:val="00C32768"/>
    <w:rsid w:val="00C33917"/>
    <w:rsid w:val="00C3574C"/>
    <w:rsid w:val="00C35DFA"/>
    <w:rsid w:val="00C426E1"/>
    <w:rsid w:val="00C42A3F"/>
    <w:rsid w:val="00C44DF5"/>
    <w:rsid w:val="00C452C3"/>
    <w:rsid w:val="00C47F7B"/>
    <w:rsid w:val="00C53953"/>
    <w:rsid w:val="00C54DD0"/>
    <w:rsid w:val="00C55878"/>
    <w:rsid w:val="00C56676"/>
    <w:rsid w:val="00C576B2"/>
    <w:rsid w:val="00C57C85"/>
    <w:rsid w:val="00C6147D"/>
    <w:rsid w:val="00C650B2"/>
    <w:rsid w:val="00C65288"/>
    <w:rsid w:val="00C6557E"/>
    <w:rsid w:val="00C65E3C"/>
    <w:rsid w:val="00C72B9E"/>
    <w:rsid w:val="00C72C3A"/>
    <w:rsid w:val="00C742DF"/>
    <w:rsid w:val="00C75027"/>
    <w:rsid w:val="00C758EF"/>
    <w:rsid w:val="00C75E87"/>
    <w:rsid w:val="00C76698"/>
    <w:rsid w:val="00C814C7"/>
    <w:rsid w:val="00C81A00"/>
    <w:rsid w:val="00C8253A"/>
    <w:rsid w:val="00C85AC0"/>
    <w:rsid w:val="00C946E1"/>
    <w:rsid w:val="00C94AAD"/>
    <w:rsid w:val="00C953B6"/>
    <w:rsid w:val="00C95C73"/>
    <w:rsid w:val="00C96619"/>
    <w:rsid w:val="00C97311"/>
    <w:rsid w:val="00C97792"/>
    <w:rsid w:val="00CA1856"/>
    <w:rsid w:val="00CA23B5"/>
    <w:rsid w:val="00CA5711"/>
    <w:rsid w:val="00CA5BEE"/>
    <w:rsid w:val="00CA615A"/>
    <w:rsid w:val="00CA6DA6"/>
    <w:rsid w:val="00CA7AD8"/>
    <w:rsid w:val="00CA7B52"/>
    <w:rsid w:val="00CB025D"/>
    <w:rsid w:val="00CB114B"/>
    <w:rsid w:val="00CB147D"/>
    <w:rsid w:val="00CB1C59"/>
    <w:rsid w:val="00CB262B"/>
    <w:rsid w:val="00CB27DC"/>
    <w:rsid w:val="00CB3900"/>
    <w:rsid w:val="00CB4243"/>
    <w:rsid w:val="00CC26CA"/>
    <w:rsid w:val="00CC2DB7"/>
    <w:rsid w:val="00CC4206"/>
    <w:rsid w:val="00CC5D48"/>
    <w:rsid w:val="00CC7060"/>
    <w:rsid w:val="00CD1716"/>
    <w:rsid w:val="00CD2145"/>
    <w:rsid w:val="00CD256F"/>
    <w:rsid w:val="00CD3ADB"/>
    <w:rsid w:val="00CD54ED"/>
    <w:rsid w:val="00CD7106"/>
    <w:rsid w:val="00CE03BA"/>
    <w:rsid w:val="00CE14DC"/>
    <w:rsid w:val="00CE1958"/>
    <w:rsid w:val="00CE2A90"/>
    <w:rsid w:val="00CE3FB6"/>
    <w:rsid w:val="00CE4243"/>
    <w:rsid w:val="00CE7A7E"/>
    <w:rsid w:val="00CF12E2"/>
    <w:rsid w:val="00CF2AB9"/>
    <w:rsid w:val="00CF36B9"/>
    <w:rsid w:val="00CF3F27"/>
    <w:rsid w:val="00CF4361"/>
    <w:rsid w:val="00CF5135"/>
    <w:rsid w:val="00CF534D"/>
    <w:rsid w:val="00CF5364"/>
    <w:rsid w:val="00CF6884"/>
    <w:rsid w:val="00D012A0"/>
    <w:rsid w:val="00D01762"/>
    <w:rsid w:val="00D026FD"/>
    <w:rsid w:val="00D03449"/>
    <w:rsid w:val="00D04908"/>
    <w:rsid w:val="00D05DE1"/>
    <w:rsid w:val="00D072C8"/>
    <w:rsid w:val="00D07B51"/>
    <w:rsid w:val="00D11620"/>
    <w:rsid w:val="00D11FA3"/>
    <w:rsid w:val="00D128EC"/>
    <w:rsid w:val="00D139D0"/>
    <w:rsid w:val="00D13DBA"/>
    <w:rsid w:val="00D15D3F"/>
    <w:rsid w:val="00D1789A"/>
    <w:rsid w:val="00D21917"/>
    <w:rsid w:val="00D23484"/>
    <w:rsid w:val="00D24814"/>
    <w:rsid w:val="00D307C9"/>
    <w:rsid w:val="00D3094C"/>
    <w:rsid w:val="00D30B24"/>
    <w:rsid w:val="00D31189"/>
    <w:rsid w:val="00D32BFA"/>
    <w:rsid w:val="00D33113"/>
    <w:rsid w:val="00D35404"/>
    <w:rsid w:val="00D3561E"/>
    <w:rsid w:val="00D37537"/>
    <w:rsid w:val="00D416D7"/>
    <w:rsid w:val="00D41BB9"/>
    <w:rsid w:val="00D42BCE"/>
    <w:rsid w:val="00D43096"/>
    <w:rsid w:val="00D43DD0"/>
    <w:rsid w:val="00D46B87"/>
    <w:rsid w:val="00D50193"/>
    <w:rsid w:val="00D541F7"/>
    <w:rsid w:val="00D54D5E"/>
    <w:rsid w:val="00D5533E"/>
    <w:rsid w:val="00D55FB6"/>
    <w:rsid w:val="00D622C7"/>
    <w:rsid w:val="00D678B5"/>
    <w:rsid w:val="00D70844"/>
    <w:rsid w:val="00D71B94"/>
    <w:rsid w:val="00D720BD"/>
    <w:rsid w:val="00D738B8"/>
    <w:rsid w:val="00D73CD3"/>
    <w:rsid w:val="00D76EB1"/>
    <w:rsid w:val="00D80405"/>
    <w:rsid w:val="00D806CE"/>
    <w:rsid w:val="00D81E3C"/>
    <w:rsid w:val="00D849C0"/>
    <w:rsid w:val="00D84E3A"/>
    <w:rsid w:val="00D84FE9"/>
    <w:rsid w:val="00D850B0"/>
    <w:rsid w:val="00D8586E"/>
    <w:rsid w:val="00D858AB"/>
    <w:rsid w:val="00D85BCE"/>
    <w:rsid w:val="00D86F39"/>
    <w:rsid w:val="00D91C60"/>
    <w:rsid w:val="00D92ACE"/>
    <w:rsid w:val="00D92CA7"/>
    <w:rsid w:val="00D95471"/>
    <w:rsid w:val="00D97B14"/>
    <w:rsid w:val="00DA19D6"/>
    <w:rsid w:val="00DA19DC"/>
    <w:rsid w:val="00DA270C"/>
    <w:rsid w:val="00DA35FA"/>
    <w:rsid w:val="00DA462A"/>
    <w:rsid w:val="00DA7C10"/>
    <w:rsid w:val="00DB08D9"/>
    <w:rsid w:val="00DB10FD"/>
    <w:rsid w:val="00DB1633"/>
    <w:rsid w:val="00DB26D8"/>
    <w:rsid w:val="00DB5D9A"/>
    <w:rsid w:val="00DB5FA2"/>
    <w:rsid w:val="00DB6335"/>
    <w:rsid w:val="00DB757F"/>
    <w:rsid w:val="00DC03B7"/>
    <w:rsid w:val="00DC042A"/>
    <w:rsid w:val="00DC1174"/>
    <w:rsid w:val="00DC3379"/>
    <w:rsid w:val="00DC3413"/>
    <w:rsid w:val="00DC5A46"/>
    <w:rsid w:val="00DC73E4"/>
    <w:rsid w:val="00DC79B2"/>
    <w:rsid w:val="00DD1A7F"/>
    <w:rsid w:val="00DD67BE"/>
    <w:rsid w:val="00DD7973"/>
    <w:rsid w:val="00DE0163"/>
    <w:rsid w:val="00DE0E4A"/>
    <w:rsid w:val="00DE35FA"/>
    <w:rsid w:val="00DE78E8"/>
    <w:rsid w:val="00DE79A2"/>
    <w:rsid w:val="00DF0118"/>
    <w:rsid w:val="00DF0357"/>
    <w:rsid w:val="00DF4C1D"/>
    <w:rsid w:val="00DF5CE5"/>
    <w:rsid w:val="00DF5F80"/>
    <w:rsid w:val="00DF6202"/>
    <w:rsid w:val="00DF6342"/>
    <w:rsid w:val="00DF64CF"/>
    <w:rsid w:val="00DF6AA4"/>
    <w:rsid w:val="00E002D5"/>
    <w:rsid w:val="00E0160A"/>
    <w:rsid w:val="00E01D8F"/>
    <w:rsid w:val="00E0256C"/>
    <w:rsid w:val="00E02DC9"/>
    <w:rsid w:val="00E045DF"/>
    <w:rsid w:val="00E0662F"/>
    <w:rsid w:val="00E10E0E"/>
    <w:rsid w:val="00E123F2"/>
    <w:rsid w:val="00E1323F"/>
    <w:rsid w:val="00E1338F"/>
    <w:rsid w:val="00E13F18"/>
    <w:rsid w:val="00E14E83"/>
    <w:rsid w:val="00E169B4"/>
    <w:rsid w:val="00E17D6A"/>
    <w:rsid w:val="00E209C0"/>
    <w:rsid w:val="00E21237"/>
    <w:rsid w:val="00E21643"/>
    <w:rsid w:val="00E21CD0"/>
    <w:rsid w:val="00E2210D"/>
    <w:rsid w:val="00E23162"/>
    <w:rsid w:val="00E241C7"/>
    <w:rsid w:val="00E26986"/>
    <w:rsid w:val="00E26F4C"/>
    <w:rsid w:val="00E3106B"/>
    <w:rsid w:val="00E318C1"/>
    <w:rsid w:val="00E327B2"/>
    <w:rsid w:val="00E32AA4"/>
    <w:rsid w:val="00E35137"/>
    <w:rsid w:val="00E35E38"/>
    <w:rsid w:val="00E45666"/>
    <w:rsid w:val="00E458CD"/>
    <w:rsid w:val="00E45B56"/>
    <w:rsid w:val="00E47B11"/>
    <w:rsid w:val="00E47CDC"/>
    <w:rsid w:val="00E47E27"/>
    <w:rsid w:val="00E548E9"/>
    <w:rsid w:val="00E5540E"/>
    <w:rsid w:val="00E575EE"/>
    <w:rsid w:val="00E61040"/>
    <w:rsid w:val="00E6280D"/>
    <w:rsid w:val="00E62F1B"/>
    <w:rsid w:val="00E64745"/>
    <w:rsid w:val="00E65157"/>
    <w:rsid w:val="00E65521"/>
    <w:rsid w:val="00E67FA7"/>
    <w:rsid w:val="00E71AA8"/>
    <w:rsid w:val="00E72990"/>
    <w:rsid w:val="00E74E8D"/>
    <w:rsid w:val="00E74F45"/>
    <w:rsid w:val="00E75192"/>
    <w:rsid w:val="00E7670D"/>
    <w:rsid w:val="00E86E3F"/>
    <w:rsid w:val="00E86E76"/>
    <w:rsid w:val="00E91C0F"/>
    <w:rsid w:val="00E92121"/>
    <w:rsid w:val="00E940F2"/>
    <w:rsid w:val="00E94633"/>
    <w:rsid w:val="00E95CFC"/>
    <w:rsid w:val="00E97A9F"/>
    <w:rsid w:val="00EA087F"/>
    <w:rsid w:val="00EA2555"/>
    <w:rsid w:val="00EA2BF8"/>
    <w:rsid w:val="00EA31CB"/>
    <w:rsid w:val="00EA3426"/>
    <w:rsid w:val="00EA4E83"/>
    <w:rsid w:val="00EA5941"/>
    <w:rsid w:val="00EA6304"/>
    <w:rsid w:val="00EB0A4A"/>
    <w:rsid w:val="00EB221C"/>
    <w:rsid w:val="00EB410E"/>
    <w:rsid w:val="00EC1A6F"/>
    <w:rsid w:val="00EC3AE7"/>
    <w:rsid w:val="00EC4931"/>
    <w:rsid w:val="00EC7F8C"/>
    <w:rsid w:val="00ED00D1"/>
    <w:rsid w:val="00ED045D"/>
    <w:rsid w:val="00ED4396"/>
    <w:rsid w:val="00ED5255"/>
    <w:rsid w:val="00ED52D0"/>
    <w:rsid w:val="00ED5632"/>
    <w:rsid w:val="00ED686D"/>
    <w:rsid w:val="00EE0BBD"/>
    <w:rsid w:val="00EE1876"/>
    <w:rsid w:val="00EE24B8"/>
    <w:rsid w:val="00EE3AAB"/>
    <w:rsid w:val="00EE40E7"/>
    <w:rsid w:val="00EE523C"/>
    <w:rsid w:val="00EE5425"/>
    <w:rsid w:val="00EE6367"/>
    <w:rsid w:val="00EE733D"/>
    <w:rsid w:val="00EF0721"/>
    <w:rsid w:val="00EF0DF6"/>
    <w:rsid w:val="00EF0E37"/>
    <w:rsid w:val="00EF1105"/>
    <w:rsid w:val="00EF181A"/>
    <w:rsid w:val="00EF1F79"/>
    <w:rsid w:val="00EF3434"/>
    <w:rsid w:val="00EF3B1A"/>
    <w:rsid w:val="00EF4038"/>
    <w:rsid w:val="00EF6EE3"/>
    <w:rsid w:val="00EF779B"/>
    <w:rsid w:val="00F01DC0"/>
    <w:rsid w:val="00F02CF8"/>
    <w:rsid w:val="00F02E45"/>
    <w:rsid w:val="00F02F2B"/>
    <w:rsid w:val="00F039F8"/>
    <w:rsid w:val="00F10378"/>
    <w:rsid w:val="00F12B79"/>
    <w:rsid w:val="00F147F2"/>
    <w:rsid w:val="00F15F6C"/>
    <w:rsid w:val="00F23521"/>
    <w:rsid w:val="00F265A4"/>
    <w:rsid w:val="00F2798D"/>
    <w:rsid w:val="00F3064C"/>
    <w:rsid w:val="00F32BCC"/>
    <w:rsid w:val="00F33207"/>
    <w:rsid w:val="00F36003"/>
    <w:rsid w:val="00F367E4"/>
    <w:rsid w:val="00F40635"/>
    <w:rsid w:val="00F44CBC"/>
    <w:rsid w:val="00F44D72"/>
    <w:rsid w:val="00F45426"/>
    <w:rsid w:val="00F46593"/>
    <w:rsid w:val="00F46C70"/>
    <w:rsid w:val="00F520FE"/>
    <w:rsid w:val="00F5266B"/>
    <w:rsid w:val="00F54AC1"/>
    <w:rsid w:val="00F57221"/>
    <w:rsid w:val="00F572EE"/>
    <w:rsid w:val="00F577F8"/>
    <w:rsid w:val="00F60D5C"/>
    <w:rsid w:val="00F6732F"/>
    <w:rsid w:val="00F70FD7"/>
    <w:rsid w:val="00F71928"/>
    <w:rsid w:val="00F73DD0"/>
    <w:rsid w:val="00F802FC"/>
    <w:rsid w:val="00F80E75"/>
    <w:rsid w:val="00F81E03"/>
    <w:rsid w:val="00F825E4"/>
    <w:rsid w:val="00F84489"/>
    <w:rsid w:val="00F8450F"/>
    <w:rsid w:val="00F84D4C"/>
    <w:rsid w:val="00F850A3"/>
    <w:rsid w:val="00F862BA"/>
    <w:rsid w:val="00F8697F"/>
    <w:rsid w:val="00F87086"/>
    <w:rsid w:val="00F93D18"/>
    <w:rsid w:val="00F965A4"/>
    <w:rsid w:val="00FA25F1"/>
    <w:rsid w:val="00FA4AD5"/>
    <w:rsid w:val="00FA6305"/>
    <w:rsid w:val="00FB0A46"/>
    <w:rsid w:val="00FB0DF3"/>
    <w:rsid w:val="00FB10EB"/>
    <w:rsid w:val="00FB3322"/>
    <w:rsid w:val="00FB44DA"/>
    <w:rsid w:val="00FC2016"/>
    <w:rsid w:val="00FC6778"/>
    <w:rsid w:val="00FC77E4"/>
    <w:rsid w:val="00FC7B93"/>
    <w:rsid w:val="00FD07F9"/>
    <w:rsid w:val="00FD41EF"/>
    <w:rsid w:val="00FD6634"/>
    <w:rsid w:val="00FD6973"/>
    <w:rsid w:val="00FE1590"/>
    <w:rsid w:val="00FE2B16"/>
    <w:rsid w:val="00FE3A26"/>
    <w:rsid w:val="00FE4674"/>
    <w:rsid w:val="00FE46D0"/>
    <w:rsid w:val="00FE5688"/>
    <w:rsid w:val="00FF0F14"/>
    <w:rsid w:val="00FF29E1"/>
    <w:rsid w:val="00FF4E20"/>
    <w:rsid w:val="00FF5F47"/>
    <w:rsid w:val="00FF652C"/>
    <w:rsid w:val="00FF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9E8"/>
    <w:rPr>
      <w:sz w:val="24"/>
      <w:szCs w:val="24"/>
    </w:rPr>
  </w:style>
  <w:style w:type="paragraph" w:styleId="Heading4">
    <w:name w:val="heading 4"/>
    <w:basedOn w:val="Normal"/>
    <w:next w:val="Normal"/>
    <w:link w:val="Heading4Char"/>
    <w:qFormat/>
    <w:rsid w:val="00DB26D8"/>
    <w:pPr>
      <w:keepNext/>
      <w:spacing w:line="480" w:lineRule="auto"/>
      <w:ind w:left="72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4433BD"/>
    <w:pPr>
      <w:autoSpaceDE w:val="0"/>
      <w:autoSpaceDN w:val="0"/>
      <w:adjustRightInd w:val="0"/>
      <w:ind w:left="720"/>
    </w:pPr>
    <w:rPr>
      <w:sz w:val="24"/>
      <w:szCs w:val="24"/>
    </w:rPr>
  </w:style>
  <w:style w:type="table" w:styleId="TableGrid">
    <w:name w:val="Table Grid"/>
    <w:basedOn w:val="TableNormal"/>
    <w:uiPriority w:val="59"/>
    <w:rsid w:val="00497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4">
    <w:name w:val="Table Columns 4"/>
    <w:basedOn w:val="TableNormal"/>
    <w:rsid w:val="009860D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character" w:styleId="Hyperlink">
    <w:name w:val="Hyperlink"/>
    <w:basedOn w:val="DefaultParagraphFont"/>
    <w:rsid w:val="008959E8"/>
    <w:rPr>
      <w:color w:val="0000FF"/>
      <w:u w:val="single"/>
    </w:rPr>
  </w:style>
  <w:style w:type="paragraph" w:styleId="Footer">
    <w:name w:val="footer"/>
    <w:basedOn w:val="Normal"/>
    <w:rsid w:val="007A73F7"/>
    <w:pPr>
      <w:tabs>
        <w:tab w:val="center" w:pos="4320"/>
        <w:tab w:val="right" w:pos="8640"/>
      </w:tabs>
    </w:pPr>
  </w:style>
  <w:style w:type="character" w:styleId="PageNumber">
    <w:name w:val="page number"/>
    <w:basedOn w:val="DefaultParagraphFont"/>
    <w:rsid w:val="007A73F7"/>
  </w:style>
  <w:style w:type="paragraph" w:styleId="Header">
    <w:name w:val="header"/>
    <w:basedOn w:val="Normal"/>
    <w:rsid w:val="00E97A9F"/>
    <w:pPr>
      <w:tabs>
        <w:tab w:val="center" w:pos="4320"/>
        <w:tab w:val="right" w:pos="8640"/>
      </w:tabs>
    </w:pPr>
  </w:style>
  <w:style w:type="paragraph" w:styleId="BalloonText">
    <w:name w:val="Balloon Text"/>
    <w:basedOn w:val="Normal"/>
    <w:semiHidden/>
    <w:rsid w:val="00F87086"/>
    <w:rPr>
      <w:rFonts w:ascii="Tahoma" w:hAnsi="Tahoma" w:cs="Tahoma"/>
      <w:sz w:val="16"/>
      <w:szCs w:val="16"/>
    </w:rPr>
  </w:style>
  <w:style w:type="character" w:styleId="CommentReference">
    <w:name w:val="annotation reference"/>
    <w:basedOn w:val="DefaultParagraphFont"/>
    <w:semiHidden/>
    <w:rsid w:val="00902D5C"/>
    <w:rPr>
      <w:sz w:val="16"/>
      <w:szCs w:val="16"/>
    </w:rPr>
  </w:style>
  <w:style w:type="paragraph" w:styleId="CommentText">
    <w:name w:val="annotation text"/>
    <w:basedOn w:val="Normal"/>
    <w:link w:val="CommentTextChar"/>
    <w:uiPriority w:val="99"/>
    <w:semiHidden/>
    <w:rsid w:val="00902D5C"/>
    <w:rPr>
      <w:sz w:val="20"/>
      <w:szCs w:val="20"/>
    </w:rPr>
  </w:style>
  <w:style w:type="paragraph" w:styleId="CommentSubject">
    <w:name w:val="annotation subject"/>
    <w:basedOn w:val="CommentText"/>
    <w:next w:val="CommentText"/>
    <w:semiHidden/>
    <w:rsid w:val="00902D5C"/>
    <w:rPr>
      <w:b/>
      <w:bCs/>
    </w:rPr>
  </w:style>
  <w:style w:type="character" w:customStyle="1" w:styleId="Heading4Char">
    <w:name w:val="Heading 4 Char"/>
    <w:basedOn w:val="DefaultParagraphFont"/>
    <w:link w:val="Heading4"/>
    <w:rsid w:val="00DB26D8"/>
    <w:rPr>
      <w:sz w:val="24"/>
      <w:szCs w:val="24"/>
      <w:u w:val="single"/>
    </w:rPr>
  </w:style>
  <w:style w:type="character" w:styleId="BookTitle">
    <w:name w:val="Book Title"/>
    <w:basedOn w:val="DefaultParagraphFont"/>
    <w:uiPriority w:val="33"/>
    <w:qFormat/>
    <w:rsid w:val="007C0071"/>
    <w:rPr>
      <w:b/>
      <w:bCs/>
      <w:smallCaps/>
      <w:spacing w:val="5"/>
    </w:rPr>
  </w:style>
  <w:style w:type="character" w:styleId="Strong">
    <w:name w:val="Strong"/>
    <w:basedOn w:val="DefaultParagraphFont"/>
    <w:uiPriority w:val="22"/>
    <w:qFormat/>
    <w:rsid w:val="0044258D"/>
    <w:rPr>
      <w:b/>
      <w:bCs/>
    </w:rPr>
  </w:style>
  <w:style w:type="paragraph" w:styleId="ListParagraph">
    <w:name w:val="List Paragraph"/>
    <w:basedOn w:val="Normal"/>
    <w:uiPriority w:val="34"/>
    <w:qFormat/>
    <w:rsid w:val="001328C7"/>
    <w:pPr>
      <w:ind w:left="720"/>
      <w:contextualSpacing/>
    </w:pPr>
  </w:style>
  <w:style w:type="character" w:customStyle="1" w:styleId="CommentTextChar">
    <w:name w:val="Comment Text Char"/>
    <w:basedOn w:val="DefaultParagraphFont"/>
    <w:link w:val="CommentText"/>
    <w:uiPriority w:val="99"/>
    <w:semiHidden/>
    <w:rsid w:val="00464F9A"/>
  </w:style>
  <w:style w:type="paragraph" w:customStyle="1" w:styleId="level10">
    <w:name w:val="level1"/>
    <w:basedOn w:val="Normal"/>
    <w:uiPriority w:val="99"/>
    <w:rsid w:val="00464F9A"/>
    <w:pPr>
      <w:autoSpaceDE w:val="0"/>
      <w:autoSpaceDN w:val="0"/>
      <w:ind w:left="720"/>
    </w:pPr>
  </w:style>
  <w:style w:type="character" w:styleId="SubtleEmphasis">
    <w:name w:val="Subtle Emphasis"/>
    <w:basedOn w:val="DefaultParagraphFont"/>
    <w:uiPriority w:val="19"/>
    <w:qFormat/>
    <w:rsid w:val="00DD7973"/>
    <w:rPr>
      <w:i/>
      <w:iCs/>
      <w:color w:val="808080" w:themeColor="text1" w:themeTint="7F"/>
    </w:rPr>
  </w:style>
  <w:style w:type="paragraph" w:styleId="NormalWeb">
    <w:name w:val="Normal (Web)"/>
    <w:basedOn w:val="Normal"/>
    <w:uiPriority w:val="99"/>
    <w:unhideWhenUsed/>
    <w:rsid w:val="007A2B34"/>
    <w:pPr>
      <w:spacing w:before="100" w:beforeAutospacing="1" w:after="100" w:afterAutospacing="1"/>
    </w:pPr>
  </w:style>
  <w:style w:type="character" w:customStyle="1" w:styleId="style11">
    <w:name w:val="style11"/>
    <w:basedOn w:val="DefaultParagraphFont"/>
    <w:rsid w:val="007A2B34"/>
    <w:rPr>
      <w:color w:val="8A8D09"/>
    </w:rPr>
  </w:style>
  <w:style w:type="table" w:customStyle="1" w:styleId="TableGrid1">
    <w:name w:val="Table Grid1"/>
    <w:basedOn w:val="TableNormal"/>
    <w:next w:val="TableGrid"/>
    <w:uiPriority w:val="59"/>
    <w:rsid w:val="00D30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9E8"/>
    <w:rPr>
      <w:sz w:val="24"/>
      <w:szCs w:val="24"/>
    </w:rPr>
  </w:style>
  <w:style w:type="paragraph" w:styleId="Heading4">
    <w:name w:val="heading 4"/>
    <w:basedOn w:val="Normal"/>
    <w:next w:val="Normal"/>
    <w:link w:val="Heading4Char"/>
    <w:qFormat/>
    <w:rsid w:val="00DB26D8"/>
    <w:pPr>
      <w:keepNext/>
      <w:spacing w:line="480" w:lineRule="auto"/>
      <w:ind w:left="72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4433BD"/>
    <w:pPr>
      <w:autoSpaceDE w:val="0"/>
      <w:autoSpaceDN w:val="0"/>
      <w:adjustRightInd w:val="0"/>
      <w:ind w:left="720"/>
    </w:pPr>
    <w:rPr>
      <w:sz w:val="24"/>
      <w:szCs w:val="24"/>
    </w:rPr>
  </w:style>
  <w:style w:type="table" w:styleId="TableGrid">
    <w:name w:val="Table Grid"/>
    <w:basedOn w:val="TableNormal"/>
    <w:uiPriority w:val="59"/>
    <w:rsid w:val="00497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4">
    <w:name w:val="Table Columns 4"/>
    <w:basedOn w:val="TableNormal"/>
    <w:rsid w:val="009860D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character" w:styleId="Hyperlink">
    <w:name w:val="Hyperlink"/>
    <w:basedOn w:val="DefaultParagraphFont"/>
    <w:rsid w:val="008959E8"/>
    <w:rPr>
      <w:color w:val="0000FF"/>
      <w:u w:val="single"/>
    </w:rPr>
  </w:style>
  <w:style w:type="paragraph" w:styleId="Footer">
    <w:name w:val="footer"/>
    <w:basedOn w:val="Normal"/>
    <w:rsid w:val="007A73F7"/>
    <w:pPr>
      <w:tabs>
        <w:tab w:val="center" w:pos="4320"/>
        <w:tab w:val="right" w:pos="8640"/>
      </w:tabs>
    </w:pPr>
  </w:style>
  <w:style w:type="character" w:styleId="PageNumber">
    <w:name w:val="page number"/>
    <w:basedOn w:val="DefaultParagraphFont"/>
    <w:rsid w:val="007A73F7"/>
  </w:style>
  <w:style w:type="paragraph" w:styleId="Header">
    <w:name w:val="header"/>
    <w:basedOn w:val="Normal"/>
    <w:rsid w:val="00E97A9F"/>
    <w:pPr>
      <w:tabs>
        <w:tab w:val="center" w:pos="4320"/>
        <w:tab w:val="right" w:pos="8640"/>
      </w:tabs>
    </w:pPr>
  </w:style>
  <w:style w:type="paragraph" w:styleId="BalloonText">
    <w:name w:val="Balloon Text"/>
    <w:basedOn w:val="Normal"/>
    <w:semiHidden/>
    <w:rsid w:val="00F87086"/>
    <w:rPr>
      <w:rFonts w:ascii="Tahoma" w:hAnsi="Tahoma" w:cs="Tahoma"/>
      <w:sz w:val="16"/>
      <w:szCs w:val="16"/>
    </w:rPr>
  </w:style>
  <w:style w:type="character" w:styleId="CommentReference">
    <w:name w:val="annotation reference"/>
    <w:basedOn w:val="DefaultParagraphFont"/>
    <w:semiHidden/>
    <w:rsid w:val="00902D5C"/>
    <w:rPr>
      <w:sz w:val="16"/>
      <w:szCs w:val="16"/>
    </w:rPr>
  </w:style>
  <w:style w:type="paragraph" w:styleId="CommentText">
    <w:name w:val="annotation text"/>
    <w:basedOn w:val="Normal"/>
    <w:link w:val="CommentTextChar"/>
    <w:uiPriority w:val="99"/>
    <w:semiHidden/>
    <w:rsid w:val="00902D5C"/>
    <w:rPr>
      <w:sz w:val="20"/>
      <w:szCs w:val="20"/>
    </w:rPr>
  </w:style>
  <w:style w:type="paragraph" w:styleId="CommentSubject">
    <w:name w:val="annotation subject"/>
    <w:basedOn w:val="CommentText"/>
    <w:next w:val="CommentText"/>
    <w:semiHidden/>
    <w:rsid w:val="00902D5C"/>
    <w:rPr>
      <w:b/>
      <w:bCs/>
    </w:rPr>
  </w:style>
  <w:style w:type="character" w:customStyle="1" w:styleId="Heading4Char">
    <w:name w:val="Heading 4 Char"/>
    <w:basedOn w:val="DefaultParagraphFont"/>
    <w:link w:val="Heading4"/>
    <w:rsid w:val="00DB26D8"/>
    <w:rPr>
      <w:sz w:val="24"/>
      <w:szCs w:val="24"/>
      <w:u w:val="single"/>
    </w:rPr>
  </w:style>
  <w:style w:type="character" w:styleId="BookTitle">
    <w:name w:val="Book Title"/>
    <w:basedOn w:val="DefaultParagraphFont"/>
    <w:uiPriority w:val="33"/>
    <w:qFormat/>
    <w:rsid w:val="007C0071"/>
    <w:rPr>
      <w:b/>
      <w:bCs/>
      <w:smallCaps/>
      <w:spacing w:val="5"/>
    </w:rPr>
  </w:style>
  <w:style w:type="character" w:styleId="Strong">
    <w:name w:val="Strong"/>
    <w:basedOn w:val="DefaultParagraphFont"/>
    <w:uiPriority w:val="22"/>
    <w:qFormat/>
    <w:rsid w:val="0044258D"/>
    <w:rPr>
      <w:b/>
      <w:bCs/>
    </w:rPr>
  </w:style>
  <w:style w:type="paragraph" w:styleId="ListParagraph">
    <w:name w:val="List Paragraph"/>
    <w:basedOn w:val="Normal"/>
    <w:uiPriority w:val="34"/>
    <w:qFormat/>
    <w:rsid w:val="001328C7"/>
    <w:pPr>
      <w:ind w:left="720"/>
      <w:contextualSpacing/>
    </w:pPr>
  </w:style>
  <w:style w:type="character" w:customStyle="1" w:styleId="CommentTextChar">
    <w:name w:val="Comment Text Char"/>
    <w:basedOn w:val="DefaultParagraphFont"/>
    <w:link w:val="CommentText"/>
    <w:uiPriority w:val="99"/>
    <w:semiHidden/>
    <w:rsid w:val="00464F9A"/>
  </w:style>
  <w:style w:type="paragraph" w:customStyle="1" w:styleId="level10">
    <w:name w:val="level1"/>
    <w:basedOn w:val="Normal"/>
    <w:uiPriority w:val="99"/>
    <w:rsid w:val="00464F9A"/>
    <w:pPr>
      <w:autoSpaceDE w:val="0"/>
      <w:autoSpaceDN w:val="0"/>
      <w:ind w:left="720"/>
    </w:pPr>
  </w:style>
  <w:style w:type="character" w:styleId="SubtleEmphasis">
    <w:name w:val="Subtle Emphasis"/>
    <w:basedOn w:val="DefaultParagraphFont"/>
    <w:uiPriority w:val="19"/>
    <w:qFormat/>
    <w:rsid w:val="00DD7973"/>
    <w:rPr>
      <w:i/>
      <w:iCs/>
      <w:color w:val="808080" w:themeColor="text1" w:themeTint="7F"/>
    </w:rPr>
  </w:style>
  <w:style w:type="paragraph" w:styleId="NormalWeb">
    <w:name w:val="Normal (Web)"/>
    <w:basedOn w:val="Normal"/>
    <w:uiPriority w:val="99"/>
    <w:unhideWhenUsed/>
    <w:rsid w:val="007A2B34"/>
    <w:pPr>
      <w:spacing w:before="100" w:beforeAutospacing="1" w:after="100" w:afterAutospacing="1"/>
    </w:pPr>
  </w:style>
  <w:style w:type="character" w:customStyle="1" w:styleId="style11">
    <w:name w:val="style11"/>
    <w:basedOn w:val="DefaultParagraphFont"/>
    <w:rsid w:val="007A2B34"/>
    <w:rPr>
      <w:color w:val="8A8D09"/>
    </w:rPr>
  </w:style>
  <w:style w:type="table" w:customStyle="1" w:styleId="TableGrid1">
    <w:name w:val="Table Grid1"/>
    <w:basedOn w:val="TableNormal"/>
    <w:next w:val="TableGrid"/>
    <w:uiPriority w:val="59"/>
    <w:rsid w:val="00D30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171">
      <w:bodyDiv w:val="1"/>
      <w:marLeft w:val="0"/>
      <w:marRight w:val="0"/>
      <w:marTop w:val="0"/>
      <w:marBottom w:val="0"/>
      <w:divBdr>
        <w:top w:val="none" w:sz="0" w:space="0" w:color="auto"/>
        <w:left w:val="none" w:sz="0" w:space="0" w:color="auto"/>
        <w:bottom w:val="none" w:sz="0" w:space="0" w:color="auto"/>
        <w:right w:val="none" w:sz="0" w:space="0" w:color="auto"/>
      </w:divBdr>
    </w:div>
    <w:div w:id="29426759">
      <w:bodyDiv w:val="1"/>
      <w:marLeft w:val="0"/>
      <w:marRight w:val="0"/>
      <w:marTop w:val="0"/>
      <w:marBottom w:val="0"/>
      <w:divBdr>
        <w:top w:val="none" w:sz="0" w:space="0" w:color="auto"/>
        <w:left w:val="none" w:sz="0" w:space="0" w:color="auto"/>
        <w:bottom w:val="none" w:sz="0" w:space="0" w:color="auto"/>
        <w:right w:val="none" w:sz="0" w:space="0" w:color="auto"/>
      </w:divBdr>
    </w:div>
    <w:div w:id="232936084">
      <w:bodyDiv w:val="1"/>
      <w:marLeft w:val="0"/>
      <w:marRight w:val="0"/>
      <w:marTop w:val="0"/>
      <w:marBottom w:val="0"/>
      <w:divBdr>
        <w:top w:val="none" w:sz="0" w:space="0" w:color="auto"/>
        <w:left w:val="none" w:sz="0" w:space="0" w:color="auto"/>
        <w:bottom w:val="none" w:sz="0" w:space="0" w:color="auto"/>
        <w:right w:val="none" w:sz="0" w:space="0" w:color="auto"/>
      </w:divBdr>
    </w:div>
    <w:div w:id="724183479">
      <w:bodyDiv w:val="1"/>
      <w:marLeft w:val="0"/>
      <w:marRight w:val="0"/>
      <w:marTop w:val="0"/>
      <w:marBottom w:val="0"/>
      <w:divBdr>
        <w:top w:val="none" w:sz="0" w:space="0" w:color="auto"/>
        <w:left w:val="none" w:sz="0" w:space="0" w:color="auto"/>
        <w:bottom w:val="none" w:sz="0" w:space="0" w:color="auto"/>
        <w:right w:val="none" w:sz="0" w:space="0" w:color="auto"/>
      </w:divBdr>
    </w:div>
    <w:div w:id="1248881184">
      <w:bodyDiv w:val="1"/>
      <w:marLeft w:val="0"/>
      <w:marRight w:val="0"/>
      <w:marTop w:val="0"/>
      <w:marBottom w:val="0"/>
      <w:divBdr>
        <w:top w:val="none" w:sz="0" w:space="0" w:color="auto"/>
        <w:left w:val="none" w:sz="0" w:space="0" w:color="auto"/>
        <w:bottom w:val="none" w:sz="0" w:space="0" w:color="auto"/>
        <w:right w:val="none" w:sz="0" w:space="0" w:color="auto"/>
      </w:divBdr>
    </w:div>
    <w:div w:id="1249927590">
      <w:bodyDiv w:val="1"/>
      <w:marLeft w:val="0"/>
      <w:marRight w:val="0"/>
      <w:marTop w:val="0"/>
      <w:marBottom w:val="0"/>
      <w:divBdr>
        <w:top w:val="none" w:sz="0" w:space="0" w:color="auto"/>
        <w:left w:val="none" w:sz="0" w:space="0" w:color="auto"/>
        <w:bottom w:val="none" w:sz="0" w:space="0" w:color="auto"/>
        <w:right w:val="none" w:sz="0" w:space="0" w:color="auto"/>
      </w:divBdr>
    </w:div>
    <w:div w:id="1714959344">
      <w:bodyDiv w:val="1"/>
      <w:marLeft w:val="0"/>
      <w:marRight w:val="0"/>
      <w:marTop w:val="0"/>
      <w:marBottom w:val="0"/>
      <w:divBdr>
        <w:top w:val="none" w:sz="0" w:space="0" w:color="auto"/>
        <w:left w:val="none" w:sz="0" w:space="0" w:color="auto"/>
        <w:bottom w:val="none" w:sz="0" w:space="0" w:color="auto"/>
        <w:right w:val="none" w:sz="0" w:space="0" w:color="auto"/>
      </w:divBdr>
    </w:div>
    <w:div w:id="1729036724">
      <w:bodyDiv w:val="1"/>
      <w:marLeft w:val="0"/>
      <w:marRight w:val="0"/>
      <w:marTop w:val="0"/>
      <w:marBottom w:val="0"/>
      <w:divBdr>
        <w:top w:val="none" w:sz="0" w:space="0" w:color="auto"/>
        <w:left w:val="none" w:sz="0" w:space="0" w:color="auto"/>
        <w:bottom w:val="none" w:sz="0" w:space="0" w:color="auto"/>
        <w:right w:val="none" w:sz="0" w:space="0" w:color="auto"/>
      </w:divBdr>
    </w:div>
    <w:div w:id="1869873505">
      <w:bodyDiv w:val="1"/>
      <w:marLeft w:val="0"/>
      <w:marRight w:val="0"/>
      <w:marTop w:val="0"/>
      <w:marBottom w:val="0"/>
      <w:divBdr>
        <w:top w:val="none" w:sz="0" w:space="0" w:color="auto"/>
        <w:left w:val="none" w:sz="0" w:space="0" w:color="auto"/>
        <w:bottom w:val="none" w:sz="0" w:space="0" w:color="auto"/>
        <w:right w:val="none" w:sz="0" w:space="0" w:color="auto"/>
      </w:divBdr>
    </w:div>
    <w:div w:id="2132744491">
      <w:bodyDiv w:val="1"/>
      <w:marLeft w:val="0"/>
      <w:marRight w:val="0"/>
      <w:marTop w:val="0"/>
      <w:marBottom w:val="0"/>
      <w:divBdr>
        <w:top w:val="none" w:sz="0" w:space="0" w:color="auto"/>
        <w:left w:val="none" w:sz="0" w:space="0" w:color="auto"/>
        <w:bottom w:val="none" w:sz="0" w:space="0" w:color="auto"/>
        <w:right w:val="none" w:sz="0" w:space="0" w:color="auto"/>
      </w:divBdr>
      <w:divsChild>
        <w:div w:id="208957925">
          <w:marLeft w:val="0"/>
          <w:marRight w:val="0"/>
          <w:marTop w:val="0"/>
          <w:marBottom w:val="0"/>
          <w:divBdr>
            <w:top w:val="none" w:sz="0" w:space="0" w:color="auto"/>
            <w:left w:val="none" w:sz="0" w:space="0" w:color="auto"/>
            <w:bottom w:val="none" w:sz="0" w:space="0" w:color="auto"/>
            <w:right w:val="none" w:sz="0" w:space="0" w:color="auto"/>
          </w:divBdr>
          <w:divsChild>
            <w:div w:id="1928230924">
              <w:marLeft w:val="0"/>
              <w:marRight w:val="0"/>
              <w:marTop w:val="0"/>
              <w:marBottom w:val="0"/>
              <w:divBdr>
                <w:top w:val="none" w:sz="0" w:space="0" w:color="auto"/>
                <w:left w:val="none" w:sz="0" w:space="0" w:color="auto"/>
                <w:bottom w:val="none" w:sz="0" w:space="0" w:color="auto"/>
                <w:right w:val="none" w:sz="0" w:space="0" w:color="auto"/>
              </w:divBdr>
              <w:divsChild>
                <w:div w:id="447041715">
                  <w:marLeft w:val="0"/>
                  <w:marRight w:val="0"/>
                  <w:marTop w:val="0"/>
                  <w:marBottom w:val="0"/>
                  <w:divBdr>
                    <w:top w:val="none" w:sz="0" w:space="0" w:color="auto"/>
                    <w:left w:val="none" w:sz="0" w:space="0" w:color="auto"/>
                    <w:bottom w:val="none" w:sz="0" w:space="0" w:color="auto"/>
                    <w:right w:val="none" w:sz="0" w:space="0" w:color="auto"/>
                  </w:divBdr>
                  <w:divsChild>
                    <w:div w:id="1149440872">
                      <w:marLeft w:val="0"/>
                      <w:marRight w:val="0"/>
                      <w:marTop w:val="0"/>
                      <w:marBottom w:val="0"/>
                      <w:divBdr>
                        <w:top w:val="none" w:sz="0" w:space="0" w:color="auto"/>
                        <w:left w:val="none" w:sz="0" w:space="0" w:color="auto"/>
                        <w:bottom w:val="none" w:sz="0" w:space="0" w:color="auto"/>
                        <w:right w:val="none" w:sz="0" w:space="0" w:color="auto"/>
                      </w:divBdr>
                      <w:divsChild>
                        <w:div w:id="943656993">
                          <w:marLeft w:val="0"/>
                          <w:marRight w:val="0"/>
                          <w:marTop w:val="0"/>
                          <w:marBottom w:val="0"/>
                          <w:divBdr>
                            <w:top w:val="none" w:sz="0" w:space="0" w:color="auto"/>
                            <w:left w:val="none" w:sz="0" w:space="0" w:color="auto"/>
                            <w:bottom w:val="none" w:sz="0" w:space="0" w:color="auto"/>
                            <w:right w:val="none" w:sz="0" w:space="0" w:color="auto"/>
                          </w:divBdr>
                          <w:divsChild>
                            <w:div w:id="1299922996">
                              <w:marLeft w:val="0"/>
                              <w:marRight w:val="0"/>
                              <w:marTop w:val="0"/>
                              <w:marBottom w:val="0"/>
                              <w:divBdr>
                                <w:top w:val="none" w:sz="0" w:space="0" w:color="auto"/>
                                <w:left w:val="none" w:sz="0" w:space="0" w:color="auto"/>
                                <w:bottom w:val="none" w:sz="0" w:space="0" w:color="auto"/>
                                <w:right w:val="none" w:sz="0" w:space="0" w:color="auto"/>
                              </w:divBdr>
                              <w:divsChild>
                                <w:div w:id="425466417">
                                  <w:marLeft w:val="0"/>
                                  <w:marRight w:val="0"/>
                                  <w:marTop w:val="0"/>
                                  <w:marBottom w:val="0"/>
                                  <w:divBdr>
                                    <w:top w:val="none" w:sz="0" w:space="0" w:color="auto"/>
                                    <w:left w:val="none" w:sz="0" w:space="0" w:color="auto"/>
                                    <w:bottom w:val="none" w:sz="0" w:space="0" w:color="auto"/>
                                    <w:right w:val="none" w:sz="0" w:space="0" w:color="auto"/>
                                  </w:divBdr>
                                  <w:divsChild>
                                    <w:div w:id="901331856">
                                      <w:marLeft w:val="0"/>
                                      <w:marRight w:val="0"/>
                                      <w:marTop w:val="0"/>
                                      <w:marBottom w:val="0"/>
                                      <w:divBdr>
                                        <w:top w:val="none" w:sz="0" w:space="0" w:color="auto"/>
                                        <w:left w:val="none" w:sz="0" w:space="0" w:color="auto"/>
                                        <w:bottom w:val="none" w:sz="0" w:space="0" w:color="auto"/>
                                        <w:right w:val="none" w:sz="0" w:space="0" w:color="auto"/>
                                      </w:divBdr>
                                      <w:divsChild>
                                        <w:div w:id="1449859782">
                                          <w:marLeft w:val="0"/>
                                          <w:marRight w:val="0"/>
                                          <w:marTop w:val="0"/>
                                          <w:marBottom w:val="0"/>
                                          <w:divBdr>
                                            <w:top w:val="none" w:sz="0" w:space="0" w:color="auto"/>
                                            <w:left w:val="none" w:sz="0" w:space="0" w:color="auto"/>
                                            <w:bottom w:val="none" w:sz="0" w:space="0" w:color="auto"/>
                                            <w:right w:val="none" w:sz="0" w:space="0" w:color="auto"/>
                                          </w:divBdr>
                                          <w:divsChild>
                                            <w:div w:id="93332001">
                                              <w:marLeft w:val="0"/>
                                              <w:marRight w:val="0"/>
                                              <w:marTop w:val="0"/>
                                              <w:marBottom w:val="0"/>
                                              <w:divBdr>
                                                <w:top w:val="none" w:sz="0" w:space="0" w:color="auto"/>
                                                <w:left w:val="none" w:sz="0" w:space="0" w:color="auto"/>
                                                <w:bottom w:val="none" w:sz="0" w:space="0" w:color="auto"/>
                                                <w:right w:val="none" w:sz="0" w:space="0" w:color="auto"/>
                                              </w:divBdr>
                                              <w:divsChild>
                                                <w:div w:id="1811094260">
                                                  <w:marLeft w:val="0"/>
                                                  <w:marRight w:val="0"/>
                                                  <w:marTop w:val="0"/>
                                                  <w:marBottom w:val="0"/>
                                                  <w:divBdr>
                                                    <w:top w:val="none" w:sz="0" w:space="0" w:color="auto"/>
                                                    <w:left w:val="none" w:sz="0" w:space="0" w:color="auto"/>
                                                    <w:bottom w:val="none" w:sz="0" w:space="0" w:color="auto"/>
                                                    <w:right w:val="none" w:sz="0" w:space="0" w:color="auto"/>
                                                  </w:divBdr>
                                                  <w:divsChild>
                                                    <w:div w:id="47286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healthcare.gov/center/councils/nphpphc/draftframework_.pdf"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41743-5878-447E-8DB9-E8005F857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4820</Words>
  <Characters>28933</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OFFICE OF MANAGEMENT AND BUDGET</vt:lpstr>
    </vt:vector>
  </TitlesOfParts>
  <Company>CDC</Company>
  <LinksUpToDate>false</LinksUpToDate>
  <CharactersWithSpaces>33686</CharactersWithSpaces>
  <SharedDoc>false</SharedDoc>
  <HLinks>
    <vt:vector size="12" baseType="variant">
      <vt:variant>
        <vt:i4>3604526</vt:i4>
      </vt:variant>
      <vt:variant>
        <vt:i4>3</vt:i4>
      </vt:variant>
      <vt:variant>
        <vt:i4>0</vt:i4>
      </vt:variant>
      <vt:variant>
        <vt:i4>5</vt:i4>
      </vt:variant>
      <vt:variant>
        <vt:lpwstr>http://www.grants.gov/</vt:lpwstr>
      </vt:variant>
      <vt:variant>
        <vt:lpwstr/>
      </vt:variant>
      <vt:variant>
        <vt:i4>458797</vt:i4>
      </vt:variant>
      <vt:variant>
        <vt:i4>0</vt:i4>
      </vt:variant>
      <vt:variant>
        <vt:i4>0</vt:i4>
      </vt:variant>
      <vt:variant>
        <vt:i4>5</vt:i4>
      </vt:variant>
      <vt:variant>
        <vt:lpwstr>mailto:@cdc.gov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MANAGEMENT AND BUDGET</dc:title>
  <dc:creator>rst8</dc:creator>
  <cp:lastModifiedBy>CDC User</cp:lastModifiedBy>
  <cp:revision>3</cp:revision>
  <cp:lastPrinted>2011-11-22T21:43:00Z</cp:lastPrinted>
  <dcterms:created xsi:type="dcterms:W3CDTF">2015-03-06T18:15:00Z</dcterms:created>
  <dcterms:modified xsi:type="dcterms:W3CDTF">2015-03-06T18:16:00Z</dcterms:modified>
</cp:coreProperties>
</file>