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84F7E" w14:textId="77777777" w:rsidR="00C9064B" w:rsidRPr="005B5CB3" w:rsidRDefault="00C9064B" w:rsidP="000E23CB">
      <w:pPr>
        <w:spacing w:line="360" w:lineRule="auto"/>
        <w:rPr>
          <w:rFonts w:asciiTheme="minorHAnsi" w:hAnsiTheme="minorHAnsi"/>
          <w:b/>
          <w:sz w:val="40"/>
          <w:szCs w:val="40"/>
        </w:rPr>
      </w:pPr>
    </w:p>
    <w:p w14:paraId="1D7E7CC7" w14:textId="77777777" w:rsidR="006572EE" w:rsidRPr="005B5CB3" w:rsidRDefault="006572EE" w:rsidP="000E23CB">
      <w:pPr>
        <w:spacing w:line="360" w:lineRule="auto"/>
        <w:jc w:val="center"/>
        <w:rPr>
          <w:rFonts w:asciiTheme="minorHAnsi" w:hAnsiTheme="minorHAnsi"/>
          <w:b/>
          <w:sz w:val="40"/>
          <w:szCs w:val="40"/>
        </w:rPr>
      </w:pPr>
      <w:r w:rsidRPr="005B5CB3">
        <w:rPr>
          <w:rFonts w:asciiTheme="minorHAnsi" w:hAnsiTheme="minorHAnsi"/>
          <w:b/>
          <w:color w:val="000000"/>
          <w:sz w:val="40"/>
          <w:szCs w:val="40"/>
        </w:rPr>
        <w:t>National Notifiable Disease</w:t>
      </w:r>
      <w:r w:rsidR="00CB082E" w:rsidRPr="005B5CB3">
        <w:rPr>
          <w:rFonts w:asciiTheme="minorHAnsi" w:hAnsiTheme="minorHAnsi"/>
          <w:b/>
          <w:color w:val="000000"/>
          <w:sz w:val="40"/>
          <w:szCs w:val="40"/>
        </w:rPr>
        <w:t>s</w:t>
      </w:r>
      <w:r w:rsidRPr="005B5CB3">
        <w:rPr>
          <w:rFonts w:asciiTheme="minorHAnsi" w:hAnsiTheme="minorHAnsi"/>
          <w:b/>
          <w:color w:val="000000"/>
          <w:sz w:val="40"/>
          <w:szCs w:val="40"/>
        </w:rPr>
        <w:t xml:space="preserve"> Surveillance System </w:t>
      </w:r>
    </w:p>
    <w:p w14:paraId="18859644" w14:textId="77777777" w:rsidR="006572EE" w:rsidRPr="005B5CB3" w:rsidRDefault="006572EE" w:rsidP="000E23CB">
      <w:pPr>
        <w:spacing w:line="360" w:lineRule="auto"/>
        <w:jc w:val="center"/>
        <w:rPr>
          <w:rFonts w:asciiTheme="minorHAnsi" w:eastAsia="Calibri" w:hAnsiTheme="minorHAnsi"/>
          <w:b/>
          <w:sz w:val="40"/>
          <w:szCs w:val="40"/>
        </w:rPr>
      </w:pPr>
      <w:r w:rsidRPr="005B5CB3">
        <w:rPr>
          <w:rFonts w:asciiTheme="minorHAnsi" w:eastAsia="Calibri" w:hAnsiTheme="minorHAnsi"/>
          <w:b/>
          <w:sz w:val="40"/>
          <w:szCs w:val="40"/>
        </w:rPr>
        <w:t>Supporting Statement Section A</w:t>
      </w:r>
    </w:p>
    <w:p w14:paraId="57E27C7A" w14:textId="77777777" w:rsidR="006572EE" w:rsidRPr="005B5CB3" w:rsidRDefault="006572EE" w:rsidP="000E23CB">
      <w:pPr>
        <w:spacing w:line="360" w:lineRule="auto"/>
        <w:jc w:val="center"/>
        <w:rPr>
          <w:rFonts w:asciiTheme="minorHAnsi" w:eastAsia="Calibri" w:hAnsiTheme="minorHAnsi"/>
          <w:b/>
          <w:sz w:val="40"/>
          <w:szCs w:val="40"/>
        </w:rPr>
      </w:pPr>
      <w:r w:rsidRPr="005B5CB3">
        <w:rPr>
          <w:rFonts w:asciiTheme="minorHAnsi" w:eastAsia="Calibri" w:hAnsiTheme="minorHAnsi"/>
          <w:b/>
          <w:sz w:val="40"/>
          <w:szCs w:val="40"/>
        </w:rPr>
        <w:t>OMB Control Number 0920-0728</w:t>
      </w:r>
    </w:p>
    <w:p w14:paraId="26CE42FE" w14:textId="77777777" w:rsidR="00EE5AE1" w:rsidRPr="005B5CB3" w:rsidRDefault="00EE5AE1" w:rsidP="001C3B73">
      <w:pPr>
        <w:rPr>
          <w:rFonts w:eastAsia="Calibri"/>
          <w:sz w:val="40"/>
          <w:szCs w:val="40"/>
        </w:rPr>
      </w:pPr>
    </w:p>
    <w:p w14:paraId="51ECC89D" w14:textId="051E215F" w:rsidR="005976C9" w:rsidRPr="005B5CB3" w:rsidRDefault="003E2333" w:rsidP="005976C9">
      <w:pPr>
        <w:jc w:val="center"/>
        <w:rPr>
          <w:rFonts w:asciiTheme="minorHAnsi" w:eastAsiaTheme="minorHAnsi" w:hAnsiTheme="minorHAnsi" w:cstheme="minorBidi"/>
          <w:b/>
          <w:sz w:val="40"/>
          <w:szCs w:val="40"/>
        </w:rPr>
      </w:pPr>
      <w:r>
        <w:rPr>
          <w:rFonts w:asciiTheme="minorHAnsi" w:eastAsiaTheme="minorHAnsi" w:hAnsiTheme="minorHAnsi" w:cstheme="minorBidi"/>
          <w:b/>
          <w:sz w:val="40"/>
          <w:szCs w:val="40"/>
        </w:rPr>
        <w:t>January 21</w:t>
      </w:r>
      <w:r w:rsidR="005976C9" w:rsidRPr="005B5CB3">
        <w:rPr>
          <w:rFonts w:asciiTheme="minorHAnsi" w:eastAsiaTheme="minorHAnsi" w:hAnsiTheme="minorHAnsi" w:cstheme="minorBidi"/>
          <w:b/>
          <w:sz w:val="40"/>
          <w:szCs w:val="40"/>
        </w:rPr>
        <w:t>, 201</w:t>
      </w:r>
      <w:r>
        <w:rPr>
          <w:rFonts w:asciiTheme="minorHAnsi" w:eastAsiaTheme="minorHAnsi" w:hAnsiTheme="minorHAnsi" w:cstheme="minorBidi"/>
          <w:b/>
          <w:sz w:val="40"/>
          <w:szCs w:val="40"/>
        </w:rPr>
        <w:t>6</w:t>
      </w:r>
    </w:p>
    <w:p w14:paraId="03D90DAC" w14:textId="77777777" w:rsidR="005976C9" w:rsidRPr="005976C9" w:rsidRDefault="005976C9" w:rsidP="005976C9">
      <w:pPr>
        <w:jc w:val="center"/>
        <w:rPr>
          <w:rFonts w:asciiTheme="minorHAnsi" w:eastAsiaTheme="minorHAnsi" w:hAnsiTheme="minorHAnsi" w:cstheme="minorBidi"/>
          <w:b/>
          <w:sz w:val="16"/>
          <w:szCs w:val="16"/>
        </w:rPr>
      </w:pPr>
      <w:r w:rsidRPr="005976C9">
        <w:rPr>
          <w:rFonts w:asciiTheme="minorHAnsi" w:eastAsiaTheme="minorHAnsi" w:hAnsiTheme="minorHAnsi" w:cstheme="minorBidi"/>
          <w:b/>
          <w:sz w:val="28"/>
          <w:szCs w:val="28"/>
        </w:rPr>
        <w:t>Program Contact</w:t>
      </w:r>
    </w:p>
    <w:p w14:paraId="38EE42C5" w14:textId="77777777" w:rsidR="005976C9" w:rsidRPr="005976C9" w:rsidRDefault="005976C9" w:rsidP="005976C9">
      <w:pPr>
        <w:jc w:val="center"/>
        <w:rPr>
          <w:rFonts w:asciiTheme="minorHAnsi" w:eastAsiaTheme="minorHAnsi" w:hAnsiTheme="minorHAnsi" w:cstheme="minorBidi"/>
          <w:b/>
          <w:sz w:val="28"/>
          <w:szCs w:val="28"/>
        </w:rPr>
      </w:pPr>
      <w:r w:rsidRPr="005976C9">
        <w:rPr>
          <w:rFonts w:asciiTheme="minorHAnsi" w:eastAsiaTheme="minorHAnsi" w:hAnsiTheme="minorHAnsi" w:cstheme="minorBidi"/>
          <w:b/>
          <w:sz w:val="28"/>
          <w:szCs w:val="28"/>
        </w:rPr>
        <w:t>Umed Ajani</w:t>
      </w:r>
    </w:p>
    <w:p w14:paraId="27845DC1" w14:textId="77777777" w:rsidR="005976C9" w:rsidRPr="005976C9" w:rsidRDefault="005976C9" w:rsidP="005976C9">
      <w:pPr>
        <w:jc w:val="center"/>
        <w:rPr>
          <w:rFonts w:asciiTheme="minorHAnsi" w:eastAsiaTheme="minorHAnsi" w:hAnsiTheme="minorHAnsi" w:cstheme="minorBidi"/>
          <w:b/>
          <w:sz w:val="36"/>
          <w:szCs w:val="28"/>
        </w:rPr>
      </w:pPr>
    </w:p>
    <w:p w14:paraId="1C0D74F4" w14:textId="77777777" w:rsidR="005976C9" w:rsidRPr="005976C9" w:rsidRDefault="004864C8" w:rsidP="005976C9">
      <w:pPr>
        <w:spacing w:after="200" w:line="276" w:lineRule="auto"/>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A</w:t>
      </w:r>
      <w:r w:rsidR="005976C9" w:rsidRPr="005976C9">
        <w:rPr>
          <w:rFonts w:asciiTheme="minorHAnsi" w:eastAsiaTheme="minorHAnsi" w:hAnsiTheme="minorHAnsi" w:cstheme="minorBidi"/>
          <w:sz w:val="22"/>
          <w:szCs w:val="22"/>
        </w:rPr>
        <w:t>ssociate Director for Surveillance, Division of Health Informatics and Surveillance</w:t>
      </w:r>
    </w:p>
    <w:p w14:paraId="4B4C8530" w14:textId="77777777"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Center for Surveillance, Epidemiology and Laboratory Services</w:t>
      </w:r>
    </w:p>
    <w:p w14:paraId="519E6664" w14:textId="77777777"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Centers for Disease Control and Prevention</w:t>
      </w:r>
    </w:p>
    <w:p w14:paraId="44CAF001" w14:textId="77777777"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Phone:  404-498-0258</w:t>
      </w:r>
    </w:p>
    <w:p w14:paraId="386642DC" w14:textId="77777777"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E-mail:  UAjani@cdc.gov</w:t>
      </w:r>
    </w:p>
    <w:p w14:paraId="461FCC5C" w14:textId="77777777" w:rsidR="00406D63" w:rsidRDefault="00406D63" w:rsidP="00E67965">
      <w:pPr>
        <w:rPr>
          <w:rFonts w:eastAsia="Calibri"/>
        </w:rPr>
      </w:pPr>
    </w:p>
    <w:p w14:paraId="4CEFC87A" w14:textId="77777777" w:rsidR="005B5CB3" w:rsidRDefault="006D2DA6" w:rsidP="005B5CB3">
      <w:pPr>
        <w:jc w:val="center"/>
        <w:rPr>
          <w:rFonts w:asciiTheme="minorHAnsi" w:eastAsia="Calibri" w:hAnsiTheme="minorHAnsi"/>
          <w:b/>
          <w:color w:val="000000"/>
        </w:rPr>
      </w:pPr>
      <w:r w:rsidRPr="00124FF2">
        <w:rPr>
          <w:rFonts w:eastAsia="Calibri"/>
        </w:rPr>
        <w:br w:type="page"/>
      </w:r>
      <w:r w:rsidR="005B5CB3" w:rsidRPr="005B5CB3">
        <w:rPr>
          <w:rFonts w:asciiTheme="minorHAnsi" w:eastAsia="Calibri" w:hAnsiTheme="minorHAnsi"/>
          <w:b/>
          <w:color w:val="000000"/>
        </w:rPr>
        <w:lastRenderedPageBreak/>
        <w:t>National Notifiable Diseases Surveillance System</w:t>
      </w:r>
      <w:r w:rsidR="006572EE" w:rsidRPr="005B5CB3">
        <w:rPr>
          <w:rFonts w:asciiTheme="minorHAnsi" w:eastAsia="Calibri" w:hAnsiTheme="minorHAnsi"/>
          <w:b/>
          <w:color w:val="000000"/>
        </w:rPr>
        <w:t xml:space="preserve"> - Request for Revision</w:t>
      </w:r>
    </w:p>
    <w:p w14:paraId="25EACF1B" w14:textId="77777777" w:rsidR="005B5CB3" w:rsidRDefault="005B5CB3" w:rsidP="005B5CB3">
      <w:pPr>
        <w:jc w:val="center"/>
        <w:rPr>
          <w:rFonts w:asciiTheme="minorHAnsi" w:eastAsia="Calibri" w:hAnsiTheme="minorHAnsi"/>
          <w:b/>
          <w:color w:val="000000"/>
        </w:rPr>
      </w:pPr>
    </w:p>
    <w:p w14:paraId="3C181008" w14:textId="77777777" w:rsidR="006572EE" w:rsidRPr="005B5CB3" w:rsidRDefault="006572EE" w:rsidP="005B5CB3">
      <w:pPr>
        <w:jc w:val="center"/>
        <w:rPr>
          <w:rFonts w:asciiTheme="minorHAnsi" w:eastAsia="Calibri" w:hAnsiTheme="minorHAnsi"/>
          <w:b/>
        </w:rPr>
      </w:pPr>
      <w:r w:rsidRPr="005B5CB3">
        <w:rPr>
          <w:rFonts w:asciiTheme="minorHAnsi" w:eastAsia="Calibri" w:hAnsiTheme="minorHAnsi"/>
          <w:b/>
        </w:rPr>
        <w:t>Table of Contents</w:t>
      </w:r>
    </w:p>
    <w:p w14:paraId="022BD8DA" w14:textId="77777777" w:rsidR="005B5CB3" w:rsidRPr="00124FF2" w:rsidRDefault="005B5CB3" w:rsidP="005B5CB3">
      <w:pPr>
        <w:jc w:val="center"/>
        <w:rPr>
          <w:rFonts w:eastAsia="Calibri"/>
          <w:b/>
        </w:rPr>
      </w:pPr>
    </w:p>
    <w:p w14:paraId="672AE3C8" w14:textId="77777777" w:rsidR="005B5CB3" w:rsidRPr="005B5CB3" w:rsidRDefault="005B5CB3" w:rsidP="005B5CB3">
      <w:pPr>
        <w:rPr>
          <w:rFonts w:asciiTheme="minorHAnsi" w:eastAsiaTheme="minorHAnsi" w:hAnsiTheme="minorHAnsi" w:cstheme="minorBidi"/>
          <w:b/>
          <w:sz w:val="22"/>
          <w:szCs w:val="22"/>
        </w:rPr>
      </w:pPr>
      <w:r w:rsidRPr="005B5CB3">
        <w:rPr>
          <w:rFonts w:asciiTheme="minorHAnsi" w:eastAsiaTheme="minorHAnsi" w:hAnsiTheme="minorHAnsi" w:cstheme="minorBidi"/>
          <w:b/>
          <w:sz w:val="22"/>
          <w:szCs w:val="22"/>
        </w:rPr>
        <w:t>Section</w:t>
      </w:r>
      <w:r w:rsidRPr="005B5CB3">
        <w:rPr>
          <w:rFonts w:asciiTheme="minorHAnsi" w:eastAsiaTheme="minorHAnsi" w:hAnsiTheme="minorHAnsi" w:cstheme="minorBidi"/>
          <w:b/>
          <w:sz w:val="22"/>
          <w:szCs w:val="22"/>
        </w:rPr>
        <w:tab/>
      </w:r>
    </w:p>
    <w:p w14:paraId="73715F86" w14:textId="77777777" w:rsidR="005B5CB3" w:rsidRPr="005B5CB3" w:rsidRDefault="005B5CB3" w:rsidP="005B5CB3">
      <w:pPr>
        <w:rPr>
          <w:rFonts w:asciiTheme="minorHAnsi" w:eastAsiaTheme="minorHAnsi" w:hAnsiTheme="minorHAnsi" w:cstheme="minorBidi"/>
          <w:b/>
          <w:sz w:val="22"/>
          <w:szCs w:val="22"/>
        </w:rPr>
      </w:pPr>
      <w:r w:rsidRPr="005B5CB3">
        <w:rPr>
          <w:rFonts w:asciiTheme="minorHAnsi" w:eastAsiaTheme="minorHAnsi" w:hAnsiTheme="minorHAnsi" w:cstheme="minorBidi"/>
          <w:b/>
          <w:sz w:val="22"/>
          <w:szCs w:val="22"/>
        </w:rPr>
        <w:t>A.</w:t>
      </w:r>
      <w:r w:rsidRPr="005B5CB3">
        <w:rPr>
          <w:rFonts w:asciiTheme="minorHAnsi" w:eastAsiaTheme="minorHAnsi" w:hAnsiTheme="minorHAnsi" w:cstheme="minorBidi"/>
          <w:b/>
          <w:sz w:val="22"/>
          <w:szCs w:val="22"/>
        </w:rPr>
        <w:tab/>
        <w:t>Justification</w:t>
      </w:r>
    </w:p>
    <w:p w14:paraId="5F6A8FCA" w14:textId="77777777" w:rsid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Circumstances Making the Collection of Information Necessary</w:t>
      </w:r>
    </w:p>
    <w:p w14:paraId="161B18D2" w14:textId="262C3728"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Purpose and Use of </w:t>
      </w:r>
      <w:r w:rsidR="005666B9">
        <w:rPr>
          <w:rFonts w:asciiTheme="minorHAnsi" w:eastAsiaTheme="minorHAnsi" w:hAnsiTheme="minorHAnsi" w:cstheme="minorBidi"/>
          <w:sz w:val="22"/>
          <w:szCs w:val="22"/>
        </w:rPr>
        <w:t xml:space="preserve">the </w:t>
      </w:r>
      <w:r w:rsidRPr="005B5CB3">
        <w:rPr>
          <w:rFonts w:asciiTheme="minorHAnsi" w:eastAsiaTheme="minorHAnsi" w:hAnsiTheme="minorHAnsi" w:cstheme="minorBidi"/>
          <w:sz w:val="22"/>
          <w:szCs w:val="22"/>
        </w:rPr>
        <w:t xml:space="preserve">Information Collection </w:t>
      </w:r>
    </w:p>
    <w:p w14:paraId="2893DB00"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Use of Improved Information Technology and Burden Reduction</w:t>
      </w:r>
    </w:p>
    <w:p w14:paraId="4B455701"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Efforts to Identify Duplication and Use of Similar Information </w:t>
      </w:r>
    </w:p>
    <w:p w14:paraId="3E27B08F"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Impact on Small Businesses or Other Small Entities</w:t>
      </w:r>
    </w:p>
    <w:p w14:paraId="13AD26B5"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Consequences of Collecting the Information Less frequently </w:t>
      </w:r>
    </w:p>
    <w:p w14:paraId="74B2AF8A"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Special Circumstances Relating to the Guidelines of 5 CFR 1320.5 </w:t>
      </w:r>
    </w:p>
    <w:p w14:paraId="06052D68"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Comments in Response to the Federal Register Notice and Efforts to Consult Outside the Agency </w:t>
      </w:r>
    </w:p>
    <w:p w14:paraId="0FABB465"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Explanation of Any Payment or Gift to Respondents </w:t>
      </w:r>
    </w:p>
    <w:p w14:paraId="4934305A" w14:textId="1AB1D90D" w:rsidR="005B5CB3" w:rsidRPr="005B5CB3" w:rsidRDefault="00CE0A8E" w:rsidP="005B5CB3">
      <w:pPr>
        <w:numPr>
          <w:ilvl w:val="0"/>
          <w:numId w:val="18"/>
        </w:numPr>
        <w:ind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Protection of the Privacy and </w:t>
      </w:r>
      <w:r w:rsidR="005B5CB3" w:rsidRPr="005B5CB3">
        <w:rPr>
          <w:rFonts w:asciiTheme="minorHAnsi" w:eastAsiaTheme="minorHAnsi" w:hAnsiTheme="minorHAnsi" w:cstheme="minorBidi"/>
          <w:sz w:val="22"/>
          <w:szCs w:val="22"/>
        </w:rPr>
        <w:t xml:space="preserve">Confidentiality </w:t>
      </w:r>
      <w:r>
        <w:rPr>
          <w:rFonts w:asciiTheme="minorHAnsi" w:eastAsiaTheme="minorHAnsi" w:hAnsiTheme="minorHAnsi" w:cstheme="minorBidi"/>
          <w:sz w:val="22"/>
          <w:szCs w:val="22"/>
        </w:rPr>
        <w:t xml:space="preserve">of Information </w:t>
      </w:r>
      <w:r w:rsidR="005B5CB3" w:rsidRPr="005B5CB3">
        <w:rPr>
          <w:rFonts w:asciiTheme="minorHAnsi" w:eastAsiaTheme="minorHAnsi" w:hAnsiTheme="minorHAnsi" w:cstheme="minorBidi"/>
          <w:sz w:val="22"/>
          <w:szCs w:val="22"/>
        </w:rPr>
        <w:t xml:space="preserve">Provided </w:t>
      </w:r>
      <w:r>
        <w:rPr>
          <w:rFonts w:asciiTheme="minorHAnsi" w:eastAsiaTheme="minorHAnsi" w:hAnsiTheme="minorHAnsi" w:cstheme="minorBidi"/>
          <w:sz w:val="22"/>
          <w:szCs w:val="22"/>
        </w:rPr>
        <w:t>by</w:t>
      </w:r>
      <w:r w:rsidR="005B5CB3" w:rsidRPr="005B5CB3">
        <w:rPr>
          <w:rFonts w:asciiTheme="minorHAnsi" w:eastAsiaTheme="minorHAnsi" w:hAnsiTheme="minorHAnsi" w:cstheme="minorBidi"/>
          <w:sz w:val="22"/>
          <w:szCs w:val="22"/>
        </w:rPr>
        <w:t xml:space="preserve"> Respondents</w:t>
      </w:r>
    </w:p>
    <w:p w14:paraId="722FC63B" w14:textId="4630C1B5"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w:t>
      </w:r>
      <w:r w:rsidR="00CE0A8E">
        <w:rPr>
          <w:rFonts w:asciiTheme="minorHAnsi" w:eastAsiaTheme="minorHAnsi" w:hAnsiTheme="minorHAnsi" w:cstheme="minorBidi"/>
          <w:sz w:val="22"/>
          <w:szCs w:val="22"/>
        </w:rPr>
        <w:t xml:space="preserve">Institutional Review Board (IRB) and </w:t>
      </w:r>
      <w:r w:rsidRPr="005B5CB3">
        <w:rPr>
          <w:rFonts w:asciiTheme="minorHAnsi" w:eastAsiaTheme="minorHAnsi" w:hAnsiTheme="minorHAnsi" w:cstheme="minorBidi"/>
          <w:sz w:val="22"/>
          <w:szCs w:val="22"/>
        </w:rPr>
        <w:t xml:space="preserve">Justification for Sensitive Questions </w:t>
      </w:r>
    </w:p>
    <w:p w14:paraId="2DD4C7F6" w14:textId="77777777"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Estimates of Annualized Burden Hours and Costs </w:t>
      </w:r>
    </w:p>
    <w:p w14:paraId="5707EC07"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Estimates of Other Total Annual Cost Burden to Respondents or Record Keepers </w:t>
      </w:r>
    </w:p>
    <w:p w14:paraId="65F6A334" w14:textId="58CCC8C7"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Annualized Cost to the </w:t>
      </w:r>
      <w:r w:rsidR="00F233BF">
        <w:rPr>
          <w:rFonts w:asciiTheme="minorHAnsi" w:eastAsiaTheme="minorHAnsi" w:hAnsiTheme="minorHAnsi" w:cstheme="minorBidi"/>
          <w:sz w:val="22"/>
          <w:szCs w:val="22"/>
        </w:rPr>
        <w:t xml:space="preserve">Federal </w:t>
      </w:r>
      <w:r w:rsidRPr="005B5CB3">
        <w:rPr>
          <w:rFonts w:asciiTheme="minorHAnsi" w:eastAsiaTheme="minorHAnsi" w:hAnsiTheme="minorHAnsi" w:cstheme="minorBidi"/>
          <w:sz w:val="22"/>
          <w:szCs w:val="22"/>
        </w:rPr>
        <w:t xml:space="preserve">Government </w:t>
      </w:r>
    </w:p>
    <w:p w14:paraId="41DFF9DA" w14:textId="77777777"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Explanation for Program Changes or Adjustments </w:t>
      </w:r>
    </w:p>
    <w:p w14:paraId="4880F29E"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Plans for Tabulation and Publication and Project Time Schedule </w:t>
      </w:r>
    </w:p>
    <w:p w14:paraId="15E869BF" w14:textId="77777777"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Reason(s) Display of OMB Expiration Date is Inappropriate</w:t>
      </w:r>
    </w:p>
    <w:p w14:paraId="102D8FC5" w14:textId="77777777" w:rsidR="005B5CB3" w:rsidRPr="005B5CB3" w:rsidRDefault="005B5CB3" w:rsidP="005B5CB3">
      <w:pPr>
        <w:numPr>
          <w:ilvl w:val="0"/>
          <w:numId w:val="18"/>
        </w:numPr>
        <w:ind w:hanging="720"/>
        <w:rPr>
          <w:rFonts w:asciiTheme="minorHAnsi" w:eastAsiaTheme="minorHAnsi" w:hAnsiTheme="minorHAnsi" w:cstheme="minorBidi"/>
          <w:bCs/>
          <w:sz w:val="22"/>
          <w:szCs w:val="22"/>
        </w:rPr>
      </w:pPr>
      <w:r w:rsidRPr="005B5CB3">
        <w:rPr>
          <w:rFonts w:asciiTheme="minorHAnsi" w:eastAsiaTheme="minorHAnsi" w:hAnsiTheme="minorHAnsi" w:cstheme="minorBidi"/>
          <w:sz w:val="22"/>
          <w:szCs w:val="22"/>
        </w:rPr>
        <w:t xml:space="preserve">Exceptions to Certification for Paperwork Reduction Act Submissions </w:t>
      </w:r>
    </w:p>
    <w:p w14:paraId="3EF121B4" w14:textId="77777777" w:rsidR="00A94DE8" w:rsidRDefault="00A94DE8" w:rsidP="005B5CB3">
      <w:pPr>
        <w:spacing w:line="360" w:lineRule="auto"/>
        <w:rPr>
          <w:rFonts w:asciiTheme="minorHAnsi" w:eastAsiaTheme="minorHAnsi" w:hAnsiTheme="minorHAnsi" w:cstheme="minorBidi"/>
          <w:b/>
          <w:sz w:val="22"/>
          <w:szCs w:val="22"/>
        </w:rPr>
      </w:pPr>
    </w:p>
    <w:p w14:paraId="43A6C584" w14:textId="77777777" w:rsidR="005B5CB3" w:rsidRPr="005B5CB3" w:rsidRDefault="005B5CB3" w:rsidP="005B5CB3">
      <w:pPr>
        <w:spacing w:line="360"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E</w:t>
      </w:r>
      <w:r w:rsidRPr="005B5CB3">
        <w:rPr>
          <w:rFonts w:asciiTheme="minorHAnsi" w:eastAsiaTheme="minorHAnsi" w:hAnsiTheme="minorHAnsi" w:cstheme="minorBidi"/>
          <w:b/>
          <w:sz w:val="22"/>
          <w:szCs w:val="22"/>
        </w:rPr>
        <w:t>xhibits</w:t>
      </w:r>
    </w:p>
    <w:p w14:paraId="6FF42B99" w14:textId="77777777" w:rsidR="005B5CB3" w:rsidRPr="005B5CB3" w:rsidRDefault="005B5CB3" w:rsidP="005B5CB3">
      <w:pPr>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Exhibit 12-</w:t>
      </w:r>
      <w:proofErr w:type="gramStart"/>
      <w:r w:rsidRPr="005B5CB3">
        <w:rPr>
          <w:rFonts w:asciiTheme="minorHAnsi" w:eastAsiaTheme="minorHAnsi" w:hAnsiTheme="minorHAnsi" w:cstheme="minorBidi"/>
          <w:sz w:val="22"/>
          <w:szCs w:val="22"/>
        </w:rPr>
        <w:t>A</w:t>
      </w:r>
      <w:proofErr w:type="gramEnd"/>
      <w:r w:rsidRPr="005B5CB3">
        <w:rPr>
          <w:rFonts w:asciiTheme="minorHAnsi" w:eastAsiaTheme="minorHAnsi" w:hAnsiTheme="minorHAnsi" w:cstheme="minorBidi"/>
          <w:sz w:val="22"/>
          <w:szCs w:val="22"/>
        </w:rPr>
        <w:tab/>
        <w:t>Estimates of Annualized Burden Hours</w:t>
      </w:r>
    </w:p>
    <w:p w14:paraId="053973D6" w14:textId="77777777" w:rsidR="005B5CB3" w:rsidRPr="005B5CB3" w:rsidRDefault="005B5CB3" w:rsidP="005B5CB3">
      <w:pPr>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Exhibit 12-B</w:t>
      </w:r>
      <w:r w:rsidRPr="005B5CB3">
        <w:rPr>
          <w:rFonts w:asciiTheme="minorHAnsi" w:eastAsiaTheme="minorHAnsi" w:hAnsiTheme="minorHAnsi" w:cstheme="minorBidi"/>
          <w:sz w:val="22"/>
          <w:szCs w:val="22"/>
        </w:rPr>
        <w:tab/>
        <w:t>Estimates of Annualized Burden Costs</w:t>
      </w:r>
    </w:p>
    <w:p w14:paraId="081D97E9" w14:textId="77777777" w:rsidR="005B5CB3" w:rsidRPr="005B5CB3" w:rsidRDefault="005B5CB3" w:rsidP="005B5CB3">
      <w:pPr>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Exhibit 14-</w:t>
      </w:r>
      <w:proofErr w:type="gramStart"/>
      <w:r w:rsidRPr="005B5CB3">
        <w:rPr>
          <w:rFonts w:asciiTheme="minorHAnsi" w:eastAsiaTheme="minorHAnsi" w:hAnsiTheme="minorHAnsi" w:cstheme="minorBidi"/>
          <w:sz w:val="22"/>
          <w:szCs w:val="22"/>
        </w:rPr>
        <w:t>A</w:t>
      </w:r>
      <w:proofErr w:type="gramEnd"/>
      <w:r w:rsidRPr="005B5CB3">
        <w:rPr>
          <w:rFonts w:asciiTheme="minorHAnsi" w:eastAsiaTheme="minorHAnsi" w:hAnsiTheme="minorHAnsi" w:cstheme="minorBidi"/>
          <w:sz w:val="22"/>
          <w:szCs w:val="22"/>
        </w:rPr>
        <w:tab/>
        <w:t xml:space="preserve">Estimated Annualized Cost to the Government </w:t>
      </w:r>
    </w:p>
    <w:p w14:paraId="72597DD7" w14:textId="77777777" w:rsidR="005B5CB3" w:rsidRPr="005B5CB3" w:rsidRDefault="005B5CB3" w:rsidP="005B5CB3">
      <w:pPr>
        <w:spacing w:line="276" w:lineRule="auto"/>
        <w:rPr>
          <w:rFonts w:asciiTheme="minorHAnsi" w:eastAsiaTheme="minorHAnsi" w:hAnsiTheme="minorHAnsi" w:cstheme="minorBidi"/>
          <w:sz w:val="22"/>
          <w:szCs w:val="22"/>
        </w:rPr>
      </w:pPr>
    </w:p>
    <w:p w14:paraId="6E3D83C9" w14:textId="77777777" w:rsidR="005B5CB3" w:rsidRPr="005B5CB3" w:rsidRDefault="005B5CB3" w:rsidP="005B5CB3">
      <w:pPr>
        <w:spacing w:line="276" w:lineRule="auto"/>
        <w:rPr>
          <w:rFonts w:asciiTheme="minorHAnsi" w:eastAsiaTheme="minorHAnsi" w:hAnsiTheme="minorHAnsi" w:cstheme="minorBidi"/>
          <w:b/>
          <w:sz w:val="22"/>
          <w:szCs w:val="22"/>
        </w:rPr>
      </w:pPr>
      <w:r w:rsidRPr="005B5CB3">
        <w:rPr>
          <w:rFonts w:asciiTheme="minorHAnsi" w:eastAsiaTheme="minorHAnsi" w:hAnsiTheme="minorHAnsi" w:cstheme="minorBidi"/>
          <w:b/>
          <w:sz w:val="22"/>
          <w:szCs w:val="22"/>
        </w:rPr>
        <w:t xml:space="preserve">Attachments </w:t>
      </w:r>
    </w:p>
    <w:p w14:paraId="48F59866" w14:textId="77777777" w:rsidR="00FB4CEB"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Pr>
          <w:rFonts w:asciiTheme="minorHAnsi" w:eastAsiaTheme="minorHAnsi" w:hAnsiTheme="minorHAnsi" w:cstheme="minorBidi"/>
          <w:sz w:val="22"/>
          <w:szCs w:val="22"/>
        </w:rPr>
        <w:tab/>
      </w:r>
      <w:r w:rsidR="005B5CB3" w:rsidRPr="00FB4CEB">
        <w:rPr>
          <w:rFonts w:asciiTheme="minorHAnsi" w:eastAsiaTheme="minorHAnsi" w:hAnsiTheme="minorHAnsi" w:cstheme="minorBidi"/>
          <w:sz w:val="22"/>
          <w:szCs w:val="22"/>
        </w:rPr>
        <w:t>Authorizing Legislation</w:t>
      </w:r>
    </w:p>
    <w:p w14:paraId="10E46DEE" w14:textId="77777777" w:rsidR="005B5CB3" w:rsidRPr="00FB4CEB"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2a. </w:t>
      </w:r>
      <w:r>
        <w:rPr>
          <w:rFonts w:asciiTheme="minorHAnsi" w:eastAsiaTheme="minorHAnsi" w:hAnsiTheme="minorHAnsi" w:cstheme="minorBidi"/>
          <w:sz w:val="22"/>
          <w:szCs w:val="22"/>
        </w:rPr>
        <w:tab/>
        <w:t>6</w:t>
      </w:r>
      <w:r w:rsidR="005B5CB3" w:rsidRPr="00FB4CEB">
        <w:rPr>
          <w:rFonts w:asciiTheme="minorHAnsi" w:eastAsiaTheme="minorHAnsi" w:hAnsiTheme="minorHAnsi" w:cstheme="minorBidi"/>
          <w:sz w:val="22"/>
          <w:szCs w:val="22"/>
        </w:rPr>
        <w:t>0-day Federal Register Notice (FRN)</w:t>
      </w:r>
    </w:p>
    <w:p w14:paraId="2659F404" w14:textId="77777777" w:rsidR="00ED10F7" w:rsidRDefault="00397D87" w:rsidP="00ED10F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2b.</w:t>
      </w:r>
      <w:r>
        <w:rPr>
          <w:rFonts w:asciiTheme="minorHAnsi" w:eastAsiaTheme="minorHAnsi" w:hAnsiTheme="minorHAnsi" w:cstheme="minorBidi"/>
          <w:sz w:val="22"/>
          <w:szCs w:val="22"/>
        </w:rPr>
        <w:tab/>
        <w:t>Public Comment</w:t>
      </w:r>
    </w:p>
    <w:p w14:paraId="63F30BE7" w14:textId="77777777" w:rsidR="00FB4CEB"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3.</w:t>
      </w:r>
      <w:r>
        <w:rPr>
          <w:rFonts w:asciiTheme="minorHAnsi" w:eastAsiaTheme="minorHAnsi" w:hAnsiTheme="minorHAnsi" w:cstheme="minorBidi"/>
          <w:sz w:val="22"/>
          <w:szCs w:val="22"/>
        </w:rPr>
        <w:tab/>
      </w:r>
      <w:r w:rsidR="00FB4CEB" w:rsidRPr="00FB4CEB">
        <w:rPr>
          <w:rFonts w:asciiTheme="minorHAnsi" w:eastAsiaTheme="minorHAnsi" w:hAnsiTheme="minorHAnsi" w:cstheme="minorBidi"/>
          <w:sz w:val="22"/>
          <w:szCs w:val="22"/>
        </w:rPr>
        <w:t xml:space="preserve">List of Nationally Notifiable </w:t>
      </w:r>
      <w:r w:rsidR="003541CF">
        <w:rPr>
          <w:rFonts w:asciiTheme="minorHAnsi" w:eastAsiaTheme="minorHAnsi" w:hAnsiTheme="minorHAnsi" w:cstheme="minorBidi"/>
          <w:sz w:val="22"/>
          <w:szCs w:val="22"/>
        </w:rPr>
        <w:t>Conditions</w:t>
      </w:r>
    </w:p>
    <w:p w14:paraId="7E1C7D92" w14:textId="77777777" w:rsidR="005B5CB3" w:rsidRPr="005B5CB3"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4.</w:t>
      </w:r>
      <w:r>
        <w:rPr>
          <w:rFonts w:asciiTheme="minorHAnsi" w:eastAsiaTheme="minorHAnsi" w:hAnsiTheme="minorHAnsi" w:cstheme="minorBidi"/>
          <w:sz w:val="22"/>
          <w:szCs w:val="22"/>
        </w:rPr>
        <w:tab/>
      </w:r>
      <w:r w:rsidR="00F727DB">
        <w:rPr>
          <w:rFonts w:asciiTheme="minorHAnsi" w:eastAsiaTheme="minorHAnsi" w:hAnsiTheme="minorHAnsi" w:cstheme="minorBidi"/>
          <w:sz w:val="22"/>
          <w:szCs w:val="22"/>
        </w:rPr>
        <w:t>Core Data</w:t>
      </w:r>
    </w:p>
    <w:p w14:paraId="260A5662" w14:textId="77777777" w:rsidR="0010528B" w:rsidRDefault="00397D87"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5.</w:t>
      </w:r>
      <w:r>
        <w:rPr>
          <w:rFonts w:asciiTheme="minorHAnsi" w:eastAsiaTheme="minorHAnsi" w:hAnsiTheme="minorHAnsi" w:cstheme="minorBidi"/>
          <w:sz w:val="22"/>
          <w:szCs w:val="22"/>
        </w:rPr>
        <w:tab/>
      </w:r>
      <w:r w:rsidR="00F727DB">
        <w:rPr>
          <w:rFonts w:asciiTheme="minorHAnsi" w:eastAsiaTheme="minorHAnsi" w:hAnsiTheme="minorHAnsi" w:cstheme="minorBidi"/>
          <w:sz w:val="22"/>
          <w:szCs w:val="22"/>
        </w:rPr>
        <w:t>Laboratory Data</w:t>
      </w:r>
    </w:p>
    <w:p w14:paraId="75A0A951" w14:textId="77777777"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6.</w:t>
      </w:r>
      <w:r>
        <w:rPr>
          <w:rFonts w:asciiTheme="minorHAnsi" w:eastAsiaTheme="minorHAnsi" w:hAnsiTheme="minorHAnsi" w:cstheme="minorBidi"/>
          <w:sz w:val="22"/>
          <w:szCs w:val="22"/>
        </w:rPr>
        <w:tab/>
      </w:r>
      <w:r w:rsidR="00F727DB" w:rsidRPr="0010528B">
        <w:rPr>
          <w:rFonts w:asciiTheme="minorHAnsi" w:eastAsiaTheme="minorHAnsi" w:hAnsiTheme="minorHAnsi" w:cstheme="minorBidi"/>
          <w:sz w:val="22"/>
          <w:szCs w:val="22"/>
        </w:rPr>
        <w:t>Vaccine Data</w:t>
      </w:r>
    </w:p>
    <w:p w14:paraId="2F8C7FB7" w14:textId="77777777"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7.</w:t>
      </w:r>
      <w:r>
        <w:rPr>
          <w:rFonts w:asciiTheme="minorHAnsi" w:eastAsiaTheme="minorHAnsi" w:hAnsiTheme="minorHAnsi" w:cstheme="minorBidi"/>
          <w:sz w:val="22"/>
          <w:szCs w:val="22"/>
        </w:rPr>
        <w:tab/>
      </w:r>
      <w:r w:rsidR="00047B69">
        <w:rPr>
          <w:rFonts w:asciiTheme="minorHAnsi" w:eastAsiaTheme="minorHAnsi" w:hAnsiTheme="minorHAnsi" w:cstheme="minorBidi"/>
          <w:sz w:val="22"/>
          <w:szCs w:val="22"/>
        </w:rPr>
        <w:t>Disease-Specific Data</w:t>
      </w:r>
    </w:p>
    <w:p w14:paraId="3C0C498D" w14:textId="77777777"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8.</w:t>
      </w:r>
      <w:r>
        <w:rPr>
          <w:rFonts w:asciiTheme="minorHAnsi" w:eastAsiaTheme="minorHAnsi" w:hAnsiTheme="minorHAnsi" w:cstheme="minorBidi"/>
          <w:sz w:val="22"/>
          <w:szCs w:val="22"/>
        </w:rPr>
        <w:tab/>
      </w:r>
      <w:r w:rsidR="00936002">
        <w:rPr>
          <w:rFonts w:asciiTheme="minorHAnsi" w:eastAsiaTheme="minorHAnsi" w:hAnsiTheme="minorHAnsi" w:cstheme="minorBidi"/>
          <w:sz w:val="22"/>
          <w:szCs w:val="22"/>
        </w:rPr>
        <w:t xml:space="preserve">DHIS </w:t>
      </w:r>
      <w:r w:rsidR="001F4B8D" w:rsidRPr="001F4B8D">
        <w:rPr>
          <w:rFonts w:asciiTheme="minorHAnsi" w:eastAsiaTheme="minorHAnsi" w:hAnsiTheme="minorHAnsi" w:cstheme="minorBidi"/>
          <w:sz w:val="22"/>
          <w:szCs w:val="22"/>
        </w:rPr>
        <w:t>Data Processing and Security Procedures for N</w:t>
      </w:r>
      <w:r w:rsidR="00936002">
        <w:rPr>
          <w:rFonts w:asciiTheme="minorHAnsi" w:eastAsiaTheme="minorHAnsi" w:hAnsiTheme="minorHAnsi" w:cstheme="minorBidi"/>
          <w:sz w:val="22"/>
          <w:szCs w:val="22"/>
        </w:rPr>
        <w:t>ND</w:t>
      </w:r>
      <w:r w:rsidR="001F4B8D" w:rsidRPr="001F4B8D">
        <w:rPr>
          <w:rFonts w:asciiTheme="minorHAnsi" w:eastAsiaTheme="minorHAnsi" w:hAnsiTheme="minorHAnsi" w:cstheme="minorBidi"/>
          <w:sz w:val="22"/>
          <w:szCs w:val="22"/>
        </w:rPr>
        <w:t xml:space="preserve"> Data</w:t>
      </w:r>
    </w:p>
    <w:p w14:paraId="3E6E774C" w14:textId="77777777"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9.</w:t>
      </w:r>
      <w:r>
        <w:rPr>
          <w:rFonts w:asciiTheme="minorHAnsi" w:eastAsiaTheme="minorHAnsi" w:hAnsiTheme="minorHAnsi" w:cstheme="minorBidi"/>
          <w:sz w:val="22"/>
          <w:szCs w:val="22"/>
        </w:rPr>
        <w:tab/>
      </w:r>
      <w:r w:rsidR="006A63AA">
        <w:rPr>
          <w:rFonts w:asciiTheme="minorHAnsi" w:eastAsiaTheme="minorHAnsi" w:hAnsiTheme="minorHAnsi" w:cstheme="minorBidi"/>
          <w:sz w:val="22"/>
          <w:szCs w:val="22"/>
        </w:rPr>
        <w:t>Consultants List</w:t>
      </w:r>
    </w:p>
    <w:p w14:paraId="2DB19431" w14:textId="0D1F4C0F"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00D2037C">
        <w:rPr>
          <w:rFonts w:asciiTheme="minorHAnsi" w:eastAsiaTheme="minorHAnsi" w:hAnsiTheme="minorHAnsi" w:cstheme="minorBidi"/>
          <w:sz w:val="22"/>
          <w:szCs w:val="22"/>
        </w:rPr>
        <w:t>0</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r w:rsidR="00A25697">
        <w:rPr>
          <w:rFonts w:asciiTheme="minorHAnsi" w:eastAsiaTheme="minorHAnsi" w:hAnsiTheme="minorHAnsi" w:cstheme="minorBidi"/>
          <w:sz w:val="22"/>
          <w:szCs w:val="22"/>
        </w:rPr>
        <w:t>DW PIA</w:t>
      </w:r>
    </w:p>
    <w:p w14:paraId="108EDD97" w14:textId="444FEABC"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00D2037C">
        <w:rPr>
          <w:rFonts w:asciiTheme="minorHAnsi" w:eastAsiaTheme="minorHAnsi" w:hAnsiTheme="minorHAnsi" w:cstheme="minorBidi"/>
          <w:sz w:val="22"/>
          <w:szCs w:val="22"/>
        </w:rPr>
        <w:t>1</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r w:rsidR="000550A3">
        <w:rPr>
          <w:rFonts w:asciiTheme="minorHAnsi" w:eastAsiaTheme="minorHAnsi" w:hAnsiTheme="minorHAnsi" w:cstheme="minorBidi"/>
          <w:sz w:val="22"/>
          <w:szCs w:val="22"/>
        </w:rPr>
        <w:t>MVPS</w:t>
      </w:r>
      <w:r w:rsidR="00A25697">
        <w:rPr>
          <w:rFonts w:asciiTheme="minorHAnsi" w:eastAsiaTheme="minorHAnsi" w:hAnsiTheme="minorHAnsi" w:cstheme="minorBidi"/>
          <w:sz w:val="22"/>
          <w:szCs w:val="22"/>
        </w:rPr>
        <w:t xml:space="preserve"> PIA</w:t>
      </w:r>
    </w:p>
    <w:p w14:paraId="53D7AFC3" w14:textId="491BAFDA" w:rsidR="0010528B" w:rsidRDefault="0010528B" w:rsidP="0010528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00D2037C">
        <w:rPr>
          <w:rFonts w:asciiTheme="minorHAnsi" w:eastAsiaTheme="minorHAnsi" w:hAnsiTheme="minorHAnsi" w:cstheme="minorBidi"/>
          <w:sz w:val="22"/>
          <w:szCs w:val="22"/>
        </w:rPr>
        <w:t>2</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r w:rsidR="00A25697">
        <w:rPr>
          <w:rFonts w:asciiTheme="minorHAnsi" w:eastAsiaTheme="minorHAnsi" w:hAnsiTheme="minorHAnsi" w:cstheme="minorBidi"/>
          <w:sz w:val="22"/>
          <w:szCs w:val="22"/>
        </w:rPr>
        <w:t>BOT PIA</w:t>
      </w:r>
    </w:p>
    <w:p w14:paraId="147EB7BD" w14:textId="23AF69AB" w:rsidR="00077CDB" w:rsidRDefault="0010528B" w:rsidP="00077CD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1</w:t>
      </w:r>
      <w:r w:rsidR="00D2037C">
        <w:rPr>
          <w:rFonts w:asciiTheme="minorHAnsi" w:eastAsiaTheme="minorHAnsi" w:hAnsiTheme="minorHAnsi" w:cstheme="minorBidi"/>
          <w:sz w:val="22"/>
          <w:szCs w:val="22"/>
        </w:rPr>
        <w:t>3</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r w:rsidR="00A25697">
        <w:rPr>
          <w:rFonts w:asciiTheme="minorHAnsi" w:eastAsiaTheme="minorHAnsi" w:hAnsiTheme="minorHAnsi" w:cstheme="minorBidi"/>
          <w:sz w:val="22"/>
          <w:szCs w:val="22"/>
        </w:rPr>
        <w:t>LEDS PIA</w:t>
      </w:r>
    </w:p>
    <w:p w14:paraId="5C5B96B7" w14:textId="07ED713C" w:rsidR="00077CDB" w:rsidRDefault="00077CDB" w:rsidP="00077CD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00D2037C">
        <w:rPr>
          <w:rFonts w:asciiTheme="minorHAnsi" w:eastAsiaTheme="minorHAnsi" w:hAnsiTheme="minorHAnsi" w:cstheme="minorBidi"/>
          <w:sz w:val="22"/>
          <w:szCs w:val="22"/>
        </w:rPr>
        <w:t>4</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proofErr w:type="spellStart"/>
      <w:r w:rsidR="00A25697">
        <w:rPr>
          <w:rFonts w:asciiTheme="minorHAnsi" w:eastAsiaTheme="minorHAnsi" w:hAnsiTheme="minorHAnsi" w:cstheme="minorBidi"/>
          <w:sz w:val="22"/>
          <w:szCs w:val="22"/>
        </w:rPr>
        <w:t>ArboNET</w:t>
      </w:r>
      <w:proofErr w:type="spellEnd"/>
      <w:r w:rsidR="00A25697">
        <w:rPr>
          <w:rFonts w:asciiTheme="minorHAnsi" w:eastAsiaTheme="minorHAnsi" w:hAnsiTheme="minorHAnsi" w:cstheme="minorBidi"/>
          <w:sz w:val="22"/>
          <w:szCs w:val="22"/>
        </w:rPr>
        <w:t xml:space="preserve"> PIA</w:t>
      </w:r>
    </w:p>
    <w:p w14:paraId="40B1C824" w14:textId="016F3A35" w:rsidR="00077CDB" w:rsidRDefault="00077CDB" w:rsidP="00077CD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00D2037C">
        <w:rPr>
          <w:rFonts w:asciiTheme="minorHAnsi" w:eastAsiaTheme="minorHAnsi" w:hAnsiTheme="minorHAnsi" w:cstheme="minorBidi"/>
          <w:sz w:val="22"/>
          <w:szCs w:val="22"/>
        </w:rPr>
        <w:t>5</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r w:rsidR="00A25697">
        <w:rPr>
          <w:rFonts w:asciiTheme="minorHAnsi" w:eastAsiaTheme="minorHAnsi" w:hAnsiTheme="minorHAnsi" w:cstheme="minorBidi"/>
          <w:sz w:val="22"/>
          <w:szCs w:val="22"/>
        </w:rPr>
        <w:t>COVIS PIA</w:t>
      </w:r>
    </w:p>
    <w:p w14:paraId="7F57E8DD" w14:textId="041BCD26" w:rsidR="00A25697" w:rsidRDefault="00077CDB" w:rsidP="00077CD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00D2037C">
        <w:rPr>
          <w:rFonts w:asciiTheme="minorHAnsi" w:eastAsiaTheme="minorHAnsi" w:hAnsiTheme="minorHAnsi" w:cstheme="minorBidi"/>
          <w:sz w:val="22"/>
          <w:szCs w:val="22"/>
        </w:rPr>
        <w:t>6</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r>
      <w:proofErr w:type="spellStart"/>
      <w:r w:rsidR="00A25697">
        <w:rPr>
          <w:rFonts w:asciiTheme="minorHAnsi" w:eastAsiaTheme="minorHAnsi" w:hAnsiTheme="minorHAnsi" w:cstheme="minorBidi"/>
          <w:sz w:val="22"/>
          <w:szCs w:val="22"/>
        </w:rPr>
        <w:t>STDNet</w:t>
      </w:r>
      <w:proofErr w:type="spellEnd"/>
      <w:r w:rsidR="00A25697">
        <w:rPr>
          <w:rFonts w:asciiTheme="minorHAnsi" w:eastAsiaTheme="minorHAnsi" w:hAnsiTheme="minorHAnsi" w:cstheme="minorBidi"/>
          <w:sz w:val="22"/>
          <w:szCs w:val="22"/>
        </w:rPr>
        <w:t xml:space="preserve"> PIA</w:t>
      </w:r>
    </w:p>
    <w:p w14:paraId="62692297" w14:textId="7E5BE4D9" w:rsidR="00D2037C" w:rsidRDefault="00D2037C" w:rsidP="00077CD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17.</w:t>
      </w:r>
      <w:r>
        <w:rPr>
          <w:rFonts w:asciiTheme="minorHAnsi" w:eastAsiaTheme="minorHAnsi" w:hAnsiTheme="minorHAnsi" w:cstheme="minorBidi"/>
          <w:sz w:val="22"/>
          <w:szCs w:val="22"/>
        </w:rPr>
        <w:tab/>
        <w:t>NNDSS Research Determination</w:t>
      </w:r>
    </w:p>
    <w:p w14:paraId="7660E5C6" w14:textId="266745DB" w:rsidR="00D2037C" w:rsidRPr="005B5CB3" w:rsidRDefault="00D2037C" w:rsidP="00077CDB">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18.</w:t>
      </w:r>
      <w:r>
        <w:rPr>
          <w:rFonts w:asciiTheme="minorHAnsi" w:eastAsiaTheme="minorHAnsi" w:hAnsiTheme="minorHAnsi" w:cstheme="minorBidi"/>
          <w:sz w:val="22"/>
          <w:szCs w:val="22"/>
        </w:rPr>
        <w:tab/>
        <w:t>OID Research Determinations</w:t>
      </w:r>
    </w:p>
    <w:p w14:paraId="6A8D53AE" w14:textId="71158A57" w:rsidR="006663E8" w:rsidRDefault="006663E8">
      <w:pPr>
        <w:rPr>
          <w:rFonts w:eastAsia="Calibri"/>
          <w:b/>
        </w:rPr>
      </w:pPr>
      <w:r>
        <w:rPr>
          <w:rFonts w:eastAsia="Calibri"/>
          <w:b/>
        </w:rPr>
        <w:br w:type="page"/>
      </w:r>
    </w:p>
    <w:p w14:paraId="4AD01B8B" w14:textId="77777777" w:rsidR="009135CB" w:rsidRPr="00FF55BF" w:rsidRDefault="009135CB" w:rsidP="000E23CB">
      <w:pPr>
        <w:autoSpaceDE w:val="0"/>
        <w:autoSpaceDN w:val="0"/>
        <w:adjustRightInd w:val="0"/>
        <w:spacing w:line="360" w:lineRule="auto"/>
        <w:rPr>
          <w:rFonts w:asciiTheme="minorHAnsi" w:hAnsiTheme="minorHAnsi"/>
          <w:color w:val="000000"/>
          <w:sz w:val="22"/>
          <w:szCs w:val="22"/>
        </w:rPr>
      </w:pPr>
      <w:r w:rsidRPr="00FF55BF">
        <w:rPr>
          <w:rFonts w:asciiTheme="minorHAnsi" w:hAnsiTheme="minorHAnsi"/>
          <w:b/>
          <w:color w:val="000000"/>
          <w:sz w:val="22"/>
          <w:szCs w:val="22"/>
        </w:rPr>
        <w:lastRenderedPageBreak/>
        <w:t xml:space="preserve">A. </w:t>
      </w:r>
      <w:r w:rsidRPr="0067651A">
        <w:rPr>
          <w:rFonts w:asciiTheme="minorHAnsi" w:hAnsiTheme="minorHAnsi"/>
          <w:b/>
          <w:color w:val="000000"/>
          <w:sz w:val="22"/>
          <w:szCs w:val="22"/>
          <w:u w:val="single"/>
        </w:rPr>
        <w:t>J</w:t>
      </w:r>
      <w:r w:rsidR="0067651A" w:rsidRPr="0067651A">
        <w:rPr>
          <w:rFonts w:asciiTheme="minorHAnsi" w:hAnsiTheme="minorHAnsi"/>
          <w:b/>
          <w:color w:val="000000"/>
          <w:sz w:val="22"/>
          <w:szCs w:val="22"/>
          <w:u w:val="single"/>
        </w:rPr>
        <w:t>ustification</w:t>
      </w:r>
    </w:p>
    <w:tbl>
      <w:tblPr>
        <w:tblStyle w:val="TableGrid"/>
        <w:tblW w:w="0" w:type="auto"/>
        <w:tblLook w:val="04A0" w:firstRow="1" w:lastRow="0" w:firstColumn="1" w:lastColumn="0" w:noHBand="0" w:noVBand="1"/>
      </w:tblPr>
      <w:tblGrid>
        <w:gridCol w:w="9350"/>
      </w:tblGrid>
      <w:tr w:rsidR="0067651A" w:rsidRPr="0067651A" w14:paraId="7C364125" w14:textId="77777777" w:rsidTr="0067651A">
        <w:tc>
          <w:tcPr>
            <w:tcW w:w="9576" w:type="dxa"/>
          </w:tcPr>
          <w:p w14:paraId="2AA7D79A" w14:textId="1ABBC40C" w:rsidR="009E48D3" w:rsidRDefault="00867747" w:rsidP="009E48D3">
            <w:pPr>
              <w:pStyle w:val="ListParagraph"/>
              <w:numPr>
                <w:ilvl w:val="0"/>
                <w:numId w:val="22"/>
              </w:numPr>
              <w:rPr>
                <w:b/>
                <w:sz w:val="22"/>
                <w:szCs w:val="28"/>
              </w:rPr>
            </w:pPr>
            <w:r w:rsidRPr="009E48D3">
              <w:rPr>
                <w:b/>
                <w:sz w:val="22"/>
                <w:szCs w:val="28"/>
              </w:rPr>
              <w:t xml:space="preserve">The National Notifiable Diseases Surveillance </w:t>
            </w:r>
            <w:r w:rsidR="00136D3A">
              <w:rPr>
                <w:b/>
                <w:sz w:val="22"/>
                <w:szCs w:val="28"/>
              </w:rPr>
              <w:t>S</w:t>
            </w:r>
            <w:r w:rsidRPr="009E48D3">
              <w:rPr>
                <w:b/>
                <w:sz w:val="22"/>
                <w:szCs w:val="28"/>
              </w:rPr>
              <w:t xml:space="preserve">ystem (NNDSS) is the nation’s public health surveillance system </w:t>
            </w:r>
            <w:r w:rsidR="001111D1" w:rsidRPr="009E48D3">
              <w:rPr>
                <w:b/>
                <w:sz w:val="22"/>
                <w:szCs w:val="28"/>
              </w:rPr>
              <w:t>used</w:t>
            </w:r>
            <w:r w:rsidRPr="009E48D3">
              <w:rPr>
                <w:b/>
                <w:sz w:val="22"/>
                <w:szCs w:val="28"/>
              </w:rPr>
              <w:t xml:space="preserve"> to monitor the occurrence and spread of nationally notifiable conditions</w:t>
            </w:r>
            <w:r w:rsidR="001111D1" w:rsidRPr="009E48D3">
              <w:rPr>
                <w:b/>
                <w:sz w:val="22"/>
                <w:szCs w:val="28"/>
              </w:rPr>
              <w:t xml:space="preserve">. NNDSS provides the official source of statistics in the United States for nationally notifiable conditions and CDC is the sole repository for these national, population-based data.  </w:t>
            </w:r>
          </w:p>
          <w:p w14:paraId="1884EB43" w14:textId="77777777" w:rsidR="009E48D3" w:rsidRDefault="00632C35" w:rsidP="009E48D3">
            <w:pPr>
              <w:pStyle w:val="ListParagraph"/>
              <w:numPr>
                <w:ilvl w:val="0"/>
                <w:numId w:val="22"/>
              </w:numPr>
              <w:rPr>
                <w:b/>
                <w:sz w:val="22"/>
                <w:szCs w:val="28"/>
              </w:rPr>
            </w:pPr>
            <w:r w:rsidRPr="009E48D3">
              <w:rPr>
                <w:b/>
                <w:sz w:val="22"/>
                <w:szCs w:val="28"/>
              </w:rPr>
              <w:t>Data are used by CDC subject matter experts to monitor the occurrence of the conditions, identify populations or geographic areas at high risk, plan prevention and control programs and policies, allocate resources appropriately, and evaluate the effectiveness of programs and policies. The data are also used by CDC to trace cases and their contacts</w:t>
            </w:r>
            <w:r w:rsidR="002D1222" w:rsidRPr="009E48D3">
              <w:rPr>
                <w:b/>
                <w:sz w:val="22"/>
                <w:szCs w:val="28"/>
              </w:rPr>
              <w:t xml:space="preserve">, </w:t>
            </w:r>
            <w:r w:rsidRPr="009E48D3">
              <w:rPr>
                <w:b/>
                <w:sz w:val="22"/>
                <w:szCs w:val="28"/>
              </w:rPr>
              <w:t>obtain travel histories and other information to describe and manage outbreaks</w:t>
            </w:r>
            <w:r w:rsidR="002D1222" w:rsidRPr="009E48D3">
              <w:rPr>
                <w:b/>
                <w:sz w:val="22"/>
                <w:szCs w:val="28"/>
              </w:rPr>
              <w:t>, and</w:t>
            </w:r>
            <w:r w:rsidRPr="009E48D3">
              <w:rPr>
                <w:b/>
                <w:sz w:val="22"/>
                <w:szCs w:val="28"/>
              </w:rPr>
              <w:t xml:space="preserve"> conduct public health follow-up to minimize the spread of disease. </w:t>
            </w:r>
          </w:p>
          <w:p w14:paraId="46F18DB2" w14:textId="77777777" w:rsidR="007C5958" w:rsidRDefault="007C5958" w:rsidP="007C5958">
            <w:pPr>
              <w:pStyle w:val="ListParagraph"/>
              <w:numPr>
                <w:ilvl w:val="0"/>
                <w:numId w:val="22"/>
              </w:numPr>
              <w:rPr>
                <w:b/>
                <w:sz w:val="22"/>
                <w:szCs w:val="28"/>
              </w:rPr>
            </w:pPr>
            <w:r w:rsidRPr="007C5958">
              <w:rPr>
                <w:b/>
                <w:sz w:val="22"/>
                <w:szCs w:val="28"/>
              </w:rPr>
              <w:t xml:space="preserve">Public health departments at the state, territorial and local levels review, process and analyze reportable conditions data and voluntarily submit case notification data on nationally notifiable conditions to CDC. </w:t>
            </w:r>
          </w:p>
          <w:p w14:paraId="0FED22E3" w14:textId="10C4C540" w:rsidR="007C5958" w:rsidRDefault="007C5958" w:rsidP="007C5958">
            <w:pPr>
              <w:pStyle w:val="ListParagraph"/>
              <w:numPr>
                <w:ilvl w:val="0"/>
                <w:numId w:val="22"/>
              </w:numPr>
              <w:rPr>
                <w:b/>
                <w:sz w:val="22"/>
                <w:szCs w:val="28"/>
              </w:rPr>
            </w:pPr>
            <w:r w:rsidRPr="007C5958">
              <w:rPr>
                <w:b/>
                <w:sz w:val="22"/>
                <w:szCs w:val="28"/>
              </w:rPr>
              <w:t xml:space="preserve">The respondent </w:t>
            </w:r>
            <w:r>
              <w:rPr>
                <w:b/>
                <w:sz w:val="22"/>
                <w:szCs w:val="28"/>
              </w:rPr>
              <w:t>population</w:t>
            </w:r>
            <w:r w:rsidRPr="007C5958">
              <w:rPr>
                <w:b/>
                <w:sz w:val="22"/>
                <w:szCs w:val="28"/>
              </w:rPr>
              <w:t xml:space="preserve"> consists of 57 jurisdictions: health departments in every U.S. state, New York City, Washington DC, and 5 U.S. territories (American Samoa, the Commonwealth of Northern Mariana Islands, Guam, Puerto Rico, and the U.S. Virgin Islands).</w:t>
            </w:r>
          </w:p>
          <w:p w14:paraId="2CBD7B77" w14:textId="7A93B66F" w:rsidR="0067651A" w:rsidRPr="009E48D3" w:rsidRDefault="00286FFD" w:rsidP="00286FFD">
            <w:pPr>
              <w:pStyle w:val="ListParagraph"/>
              <w:numPr>
                <w:ilvl w:val="0"/>
                <w:numId w:val="22"/>
              </w:numPr>
              <w:rPr>
                <w:b/>
                <w:sz w:val="22"/>
                <w:szCs w:val="28"/>
              </w:rPr>
            </w:pPr>
            <w:r>
              <w:rPr>
                <w:b/>
                <w:sz w:val="22"/>
                <w:szCs w:val="28"/>
              </w:rPr>
              <w:t xml:space="preserve">CDC publishes numbers of cases and incidence rates of nationally notifiable conditions based on NNDDS data </w:t>
            </w:r>
            <w:r w:rsidR="001111D1" w:rsidRPr="009E48D3">
              <w:rPr>
                <w:b/>
                <w:sz w:val="22"/>
                <w:szCs w:val="28"/>
              </w:rPr>
              <w:t>in the Morbidity and Mortality Weekly Report (</w:t>
            </w:r>
            <w:r w:rsidR="001111D1" w:rsidRPr="009E48D3">
              <w:rPr>
                <w:b/>
                <w:i/>
                <w:sz w:val="22"/>
                <w:szCs w:val="28"/>
              </w:rPr>
              <w:t>MMWR</w:t>
            </w:r>
            <w:r w:rsidR="001111D1" w:rsidRPr="009E48D3">
              <w:rPr>
                <w:b/>
                <w:sz w:val="22"/>
                <w:szCs w:val="28"/>
              </w:rPr>
              <w:t xml:space="preserve">) </w:t>
            </w:r>
            <w:r w:rsidR="00632C35" w:rsidRPr="009E48D3">
              <w:rPr>
                <w:b/>
                <w:sz w:val="22"/>
                <w:szCs w:val="28"/>
              </w:rPr>
              <w:t>and other scientific journals</w:t>
            </w:r>
            <w:r w:rsidR="001111D1" w:rsidRPr="009E48D3">
              <w:rPr>
                <w:b/>
                <w:sz w:val="22"/>
                <w:szCs w:val="28"/>
              </w:rPr>
              <w:t xml:space="preserve">. </w:t>
            </w:r>
          </w:p>
        </w:tc>
      </w:tr>
    </w:tbl>
    <w:p w14:paraId="486E1C21" w14:textId="77777777" w:rsidR="0067651A" w:rsidRPr="00FF55BF" w:rsidRDefault="0067651A" w:rsidP="000E23CB">
      <w:pPr>
        <w:spacing w:line="360" w:lineRule="auto"/>
        <w:rPr>
          <w:rFonts w:asciiTheme="minorHAnsi" w:hAnsiTheme="minorHAnsi"/>
          <w:color w:val="000000"/>
          <w:sz w:val="22"/>
          <w:szCs w:val="22"/>
        </w:rPr>
      </w:pPr>
    </w:p>
    <w:p w14:paraId="433A0936" w14:textId="77777777" w:rsidR="009135CB" w:rsidRPr="0067651A" w:rsidRDefault="006663E8" w:rsidP="006663E8">
      <w:pPr>
        <w:spacing w:line="360" w:lineRule="auto"/>
        <w:rPr>
          <w:rFonts w:asciiTheme="minorHAnsi" w:hAnsiTheme="minorHAnsi"/>
          <w:color w:val="000000"/>
          <w:sz w:val="22"/>
          <w:szCs w:val="22"/>
        </w:rPr>
      </w:pPr>
      <w:r>
        <w:rPr>
          <w:rFonts w:asciiTheme="minorHAnsi" w:hAnsiTheme="minorHAnsi"/>
          <w:b/>
          <w:color w:val="000000"/>
          <w:sz w:val="22"/>
          <w:szCs w:val="22"/>
        </w:rPr>
        <w:t>A</w:t>
      </w:r>
      <w:r w:rsidR="0042357A" w:rsidRPr="0067651A">
        <w:rPr>
          <w:rFonts w:asciiTheme="minorHAnsi" w:hAnsiTheme="minorHAnsi"/>
          <w:b/>
          <w:color w:val="000000"/>
          <w:sz w:val="22"/>
          <w:szCs w:val="22"/>
        </w:rPr>
        <w:t>1</w:t>
      </w:r>
      <w:r w:rsidR="0067651A" w:rsidRPr="0067651A">
        <w:rPr>
          <w:rFonts w:asciiTheme="minorHAnsi" w:hAnsiTheme="minorHAnsi"/>
          <w:b/>
          <w:color w:val="000000"/>
          <w:sz w:val="22"/>
          <w:szCs w:val="22"/>
        </w:rPr>
        <w:t>.</w:t>
      </w:r>
      <w:r w:rsidR="009135CB" w:rsidRPr="0067651A">
        <w:rPr>
          <w:rFonts w:asciiTheme="minorHAnsi" w:hAnsiTheme="minorHAnsi"/>
          <w:b/>
          <w:color w:val="000000"/>
          <w:sz w:val="22"/>
          <w:szCs w:val="22"/>
        </w:rPr>
        <w:t xml:space="preserve"> </w:t>
      </w:r>
      <w:r w:rsidR="009135CB" w:rsidRPr="006663E8">
        <w:rPr>
          <w:rFonts w:asciiTheme="minorHAnsi" w:hAnsiTheme="minorHAnsi"/>
          <w:b/>
          <w:color w:val="000000"/>
          <w:sz w:val="22"/>
          <w:szCs w:val="22"/>
          <w:u w:val="single"/>
        </w:rPr>
        <w:t>C</w:t>
      </w:r>
      <w:r w:rsidR="003C278E" w:rsidRPr="006663E8">
        <w:rPr>
          <w:rFonts w:asciiTheme="minorHAnsi" w:hAnsiTheme="minorHAnsi"/>
          <w:b/>
          <w:color w:val="000000"/>
          <w:sz w:val="22"/>
          <w:szCs w:val="22"/>
          <w:u w:val="single"/>
        </w:rPr>
        <w:t xml:space="preserve">ircumstances Making </w:t>
      </w:r>
      <w:r w:rsidR="000223F7" w:rsidRPr="006663E8">
        <w:rPr>
          <w:rFonts w:asciiTheme="minorHAnsi" w:hAnsiTheme="minorHAnsi"/>
          <w:b/>
          <w:color w:val="000000"/>
          <w:sz w:val="22"/>
          <w:szCs w:val="22"/>
          <w:u w:val="single"/>
        </w:rPr>
        <w:t xml:space="preserve">the Collection of Information </w:t>
      </w:r>
      <w:r w:rsidR="003C278E" w:rsidRPr="006663E8">
        <w:rPr>
          <w:rFonts w:asciiTheme="minorHAnsi" w:hAnsiTheme="minorHAnsi"/>
          <w:b/>
          <w:color w:val="000000"/>
          <w:sz w:val="22"/>
          <w:szCs w:val="22"/>
          <w:u w:val="single"/>
        </w:rPr>
        <w:t>Necessary</w:t>
      </w:r>
    </w:p>
    <w:p w14:paraId="248033B0" w14:textId="77777777" w:rsidR="00F66847" w:rsidRDefault="00AA5F25" w:rsidP="006663E8">
      <w:pPr>
        <w:spacing w:line="360" w:lineRule="auto"/>
        <w:rPr>
          <w:rFonts w:asciiTheme="minorHAnsi" w:hAnsiTheme="minorHAnsi"/>
          <w:sz w:val="22"/>
          <w:szCs w:val="22"/>
        </w:rPr>
      </w:pPr>
      <w:r w:rsidRPr="00FF55BF">
        <w:rPr>
          <w:rFonts w:asciiTheme="minorHAnsi" w:hAnsiTheme="minorHAnsi"/>
          <w:sz w:val="22"/>
          <w:szCs w:val="22"/>
        </w:rPr>
        <w:t xml:space="preserve">CDC requests a three year approval for a Revision for the National Notifiable Diseases Surveillance System (NNDSS), OMB Control No. </w:t>
      </w:r>
      <w:r w:rsidRPr="00925656">
        <w:rPr>
          <w:rFonts w:asciiTheme="minorHAnsi" w:hAnsiTheme="minorHAnsi"/>
          <w:sz w:val="22"/>
          <w:szCs w:val="22"/>
        </w:rPr>
        <w:t>0920-0728</w:t>
      </w:r>
      <w:r w:rsidRPr="00FF55BF">
        <w:rPr>
          <w:rFonts w:asciiTheme="minorHAnsi" w:hAnsiTheme="minorHAnsi"/>
          <w:sz w:val="22"/>
          <w:szCs w:val="22"/>
        </w:rPr>
        <w:t xml:space="preserve">, </w:t>
      </w:r>
      <w:proofErr w:type="gramStart"/>
      <w:r w:rsidRPr="00FF55BF">
        <w:rPr>
          <w:rFonts w:asciiTheme="minorHAnsi" w:hAnsiTheme="minorHAnsi"/>
          <w:sz w:val="22"/>
          <w:szCs w:val="22"/>
        </w:rPr>
        <w:t>Expiration</w:t>
      </w:r>
      <w:proofErr w:type="gramEnd"/>
      <w:r w:rsidRPr="00FF55BF">
        <w:rPr>
          <w:rFonts w:asciiTheme="minorHAnsi" w:hAnsiTheme="minorHAnsi"/>
          <w:sz w:val="22"/>
          <w:szCs w:val="22"/>
        </w:rPr>
        <w:t xml:space="preserve"> </w:t>
      </w:r>
      <w:r w:rsidRPr="00C201F8">
        <w:rPr>
          <w:rFonts w:asciiTheme="minorHAnsi" w:hAnsiTheme="minorHAnsi"/>
          <w:sz w:val="22"/>
          <w:szCs w:val="22"/>
        </w:rPr>
        <w:t xml:space="preserve">Date </w:t>
      </w:r>
      <w:r w:rsidR="00B807C7">
        <w:rPr>
          <w:rFonts w:asciiTheme="minorHAnsi" w:hAnsiTheme="minorHAnsi"/>
          <w:sz w:val="22"/>
          <w:szCs w:val="22"/>
        </w:rPr>
        <w:t>January 31, 2</w:t>
      </w:r>
      <w:r w:rsidR="00C201F8" w:rsidRPr="00C201F8">
        <w:rPr>
          <w:rFonts w:asciiTheme="minorHAnsi" w:hAnsiTheme="minorHAnsi"/>
          <w:sz w:val="22"/>
          <w:szCs w:val="22"/>
        </w:rPr>
        <w:t>017</w:t>
      </w:r>
      <w:r w:rsidRPr="00FF55BF">
        <w:rPr>
          <w:rFonts w:asciiTheme="minorHAnsi" w:hAnsiTheme="minorHAnsi"/>
          <w:sz w:val="22"/>
          <w:szCs w:val="22"/>
        </w:rPr>
        <w:t xml:space="preserve">. </w:t>
      </w:r>
      <w:r w:rsidR="00C44756">
        <w:rPr>
          <w:rFonts w:asciiTheme="minorHAnsi" w:hAnsiTheme="minorHAnsi"/>
          <w:sz w:val="22"/>
          <w:szCs w:val="22"/>
        </w:rPr>
        <w:t xml:space="preserve"> </w:t>
      </w:r>
      <w:r w:rsidR="00F66847">
        <w:rPr>
          <w:rFonts w:asciiTheme="minorHAnsi" w:hAnsiTheme="minorHAnsi"/>
          <w:sz w:val="22"/>
          <w:szCs w:val="22"/>
        </w:rPr>
        <w:t>Th</w:t>
      </w:r>
      <w:r w:rsidR="00925656">
        <w:rPr>
          <w:rFonts w:asciiTheme="minorHAnsi" w:hAnsiTheme="minorHAnsi"/>
          <w:sz w:val="22"/>
          <w:szCs w:val="22"/>
        </w:rPr>
        <w:t xml:space="preserve">is </w:t>
      </w:r>
      <w:r w:rsidR="002A7449">
        <w:rPr>
          <w:rFonts w:asciiTheme="minorHAnsi" w:hAnsiTheme="minorHAnsi"/>
          <w:sz w:val="22"/>
          <w:szCs w:val="22"/>
        </w:rPr>
        <w:t xml:space="preserve">application is a </w:t>
      </w:r>
      <w:r w:rsidR="00925656">
        <w:rPr>
          <w:rFonts w:asciiTheme="minorHAnsi" w:hAnsiTheme="minorHAnsi"/>
          <w:sz w:val="22"/>
          <w:szCs w:val="22"/>
        </w:rPr>
        <w:t>revision</w:t>
      </w:r>
      <w:r w:rsidR="00F66847">
        <w:rPr>
          <w:rFonts w:asciiTheme="minorHAnsi" w:hAnsiTheme="minorHAnsi"/>
          <w:sz w:val="22"/>
          <w:szCs w:val="22"/>
        </w:rPr>
        <w:t xml:space="preserve"> </w:t>
      </w:r>
      <w:r w:rsidR="002A7449">
        <w:rPr>
          <w:rFonts w:asciiTheme="minorHAnsi" w:hAnsiTheme="minorHAnsi"/>
          <w:sz w:val="22"/>
          <w:szCs w:val="22"/>
        </w:rPr>
        <w:t xml:space="preserve">to </w:t>
      </w:r>
      <w:r w:rsidR="00931D81">
        <w:rPr>
          <w:rFonts w:asciiTheme="minorHAnsi" w:hAnsiTheme="minorHAnsi"/>
          <w:sz w:val="22"/>
          <w:szCs w:val="22"/>
        </w:rPr>
        <w:t xml:space="preserve">the previous application for </w:t>
      </w:r>
      <w:r w:rsidR="0035328C">
        <w:rPr>
          <w:rFonts w:asciiTheme="minorHAnsi" w:hAnsiTheme="minorHAnsi"/>
          <w:sz w:val="22"/>
          <w:szCs w:val="22"/>
        </w:rPr>
        <w:t>0920-0728</w:t>
      </w:r>
      <w:r w:rsidR="00A76BF6">
        <w:rPr>
          <w:rFonts w:asciiTheme="minorHAnsi" w:hAnsiTheme="minorHAnsi"/>
          <w:sz w:val="22"/>
          <w:szCs w:val="22"/>
        </w:rPr>
        <w:t xml:space="preserve"> (approved by OMB </w:t>
      </w:r>
      <w:r w:rsidR="008A2A79">
        <w:rPr>
          <w:rFonts w:asciiTheme="minorHAnsi" w:hAnsiTheme="minorHAnsi"/>
          <w:sz w:val="22"/>
          <w:szCs w:val="22"/>
        </w:rPr>
        <w:t xml:space="preserve">on </w:t>
      </w:r>
      <w:r w:rsidR="00A76BF6">
        <w:rPr>
          <w:rFonts w:asciiTheme="minorHAnsi" w:hAnsiTheme="minorHAnsi"/>
          <w:sz w:val="22"/>
          <w:szCs w:val="22"/>
        </w:rPr>
        <w:t>January 15, 2014)</w:t>
      </w:r>
      <w:r w:rsidR="0035328C">
        <w:rPr>
          <w:rFonts w:asciiTheme="minorHAnsi" w:hAnsiTheme="minorHAnsi"/>
          <w:sz w:val="22"/>
          <w:szCs w:val="22"/>
        </w:rPr>
        <w:t xml:space="preserve"> which </w:t>
      </w:r>
      <w:r w:rsidR="004C65A0">
        <w:rPr>
          <w:rFonts w:asciiTheme="minorHAnsi" w:hAnsiTheme="minorHAnsi"/>
          <w:sz w:val="22"/>
          <w:szCs w:val="22"/>
        </w:rPr>
        <w:t>consolidated</w:t>
      </w:r>
      <w:r w:rsidR="0035328C">
        <w:rPr>
          <w:rFonts w:asciiTheme="minorHAnsi" w:hAnsiTheme="minorHAnsi"/>
          <w:sz w:val="22"/>
          <w:szCs w:val="22"/>
        </w:rPr>
        <w:t xml:space="preserve"> </w:t>
      </w:r>
      <w:r w:rsidR="00F66847">
        <w:rPr>
          <w:rFonts w:asciiTheme="minorHAnsi" w:hAnsiTheme="minorHAnsi"/>
          <w:sz w:val="22"/>
          <w:szCs w:val="22"/>
        </w:rPr>
        <w:t xml:space="preserve"> </w:t>
      </w:r>
      <w:r w:rsidR="00F66847" w:rsidRPr="00F66847">
        <w:rPr>
          <w:rFonts w:asciiTheme="minorHAnsi" w:hAnsiTheme="minorHAnsi"/>
          <w:sz w:val="22"/>
          <w:szCs w:val="22"/>
        </w:rPr>
        <w:t>four other CDC applications to OMB for nationally notifiable diseases case notification: Control Nos. 0920-0128, (Congenital Syphilis Surveillance),</w:t>
      </w:r>
      <w:r w:rsidR="00A82438">
        <w:rPr>
          <w:rFonts w:asciiTheme="minorHAnsi" w:hAnsiTheme="minorHAnsi"/>
          <w:sz w:val="22"/>
          <w:szCs w:val="22"/>
        </w:rPr>
        <w:t xml:space="preserve"> </w:t>
      </w:r>
      <w:r w:rsidR="0086064B">
        <w:rPr>
          <w:rFonts w:asciiTheme="minorHAnsi" w:hAnsiTheme="minorHAnsi"/>
          <w:sz w:val="22"/>
          <w:szCs w:val="22"/>
        </w:rPr>
        <w:t xml:space="preserve">parts of </w:t>
      </w:r>
      <w:r w:rsidR="00F66847" w:rsidRPr="00F66847">
        <w:rPr>
          <w:rFonts w:asciiTheme="minorHAnsi" w:hAnsiTheme="minorHAnsi"/>
          <w:sz w:val="22"/>
          <w:szCs w:val="22"/>
        </w:rPr>
        <w:t xml:space="preserve">0920-0819 (Nationally Notifiable Sexually Transmitted Disease (STD) Morbidity Surveillance), </w:t>
      </w:r>
      <w:r w:rsidR="0086064B">
        <w:rPr>
          <w:rFonts w:asciiTheme="minorHAnsi" w:hAnsiTheme="minorHAnsi"/>
          <w:sz w:val="22"/>
          <w:szCs w:val="22"/>
        </w:rPr>
        <w:t xml:space="preserve">parts of </w:t>
      </w:r>
      <w:r w:rsidR="00F66847" w:rsidRPr="00F66847">
        <w:rPr>
          <w:rFonts w:asciiTheme="minorHAnsi" w:hAnsiTheme="minorHAnsi"/>
          <w:sz w:val="22"/>
          <w:szCs w:val="22"/>
        </w:rPr>
        <w:t xml:space="preserve">0920-0009 (National Disease Surveillance Program - I. Case Reports) and </w:t>
      </w:r>
      <w:r w:rsidR="0086064B">
        <w:rPr>
          <w:rFonts w:asciiTheme="minorHAnsi" w:hAnsiTheme="minorHAnsi"/>
          <w:sz w:val="22"/>
          <w:szCs w:val="22"/>
        </w:rPr>
        <w:t xml:space="preserve">parts of </w:t>
      </w:r>
      <w:r w:rsidR="00F66847" w:rsidRPr="00F66847">
        <w:rPr>
          <w:rFonts w:asciiTheme="minorHAnsi" w:hAnsiTheme="minorHAnsi"/>
          <w:sz w:val="22"/>
          <w:szCs w:val="22"/>
        </w:rPr>
        <w:t>0920-0004 (National Disease Surveillance Program - II. Disease Summaries)</w:t>
      </w:r>
      <w:r w:rsidR="00A76BF6">
        <w:rPr>
          <w:rFonts w:asciiTheme="minorHAnsi" w:hAnsiTheme="minorHAnsi"/>
          <w:sz w:val="22"/>
          <w:szCs w:val="22"/>
        </w:rPr>
        <w:t>.</w:t>
      </w:r>
    </w:p>
    <w:p w14:paraId="654B9CF5" w14:textId="77777777" w:rsidR="00C44756" w:rsidRPr="00C44756" w:rsidRDefault="00C44756" w:rsidP="00925656">
      <w:pPr>
        <w:spacing w:after="200" w:line="360" w:lineRule="auto"/>
        <w:rPr>
          <w:rFonts w:asciiTheme="minorHAnsi" w:eastAsiaTheme="minorHAnsi" w:hAnsiTheme="minorHAnsi" w:cstheme="minorHAnsi"/>
          <w:sz w:val="22"/>
          <w:szCs w:val="22"/>
        </w:rPr>
      </w:pPr>
      <w:r w:rsidRPr="00C44756">
        <w:rPr>
          <w:rFonts w:asciiTheme="minorHAnsi" w:eastAsiaTheme="minorHAnsi" w:hAnsiTheme="minorHAnsi" w:cstheme="minorHAnsi"/>
          <w:sz w:val="22"/>
          <w:szCs w:val="22"/>
        </w:rPr>
        <w:t>Key changes in this Revision include</w:t>
      </w:r>
      <w:r w:rsidR="0060579C">
        <w:rPr>
          <w:rFonts w:asciiTheme="minorHAnsi" w:eastAsiaTheme="minorHAnsi" w:hAnsiTheme="minorHAnsi" w:cstheme="minorHAnsi"/>
          <w:sz w:val="22"/>
          <w:szCs w:val="22"/>
        </w:rPr>
        <w:t xml:space="preserve"> requests for approval to</w:t>
      </w:r>
      <w:r w:rsidRPr="00C44756">
        <w:rPr>
          <w:rFonts w:asciiTheme="minorHAnsi" w:eastAsiaTheme="minorHAnsi" w:hAnsiTheme="minorHAnsi" w:cstheme="minorHAnsi"/>
          <w:sz w:val="22"/>
          <w:szCs w:val="22"/>
        </w:rPr>
        <w:t>:</w:t>
      </w:r>
    </w:p>
    <w:p w14:paraId="20D161C9" w14:textId="77777777" w:rsidR="00EF4398" w:rsidRDefault="00EF4398" w:rsidP="00EF4398">
      <w:pPr>
        <w:numPr>
          <w:ilvl w:val="0"/>
          <w:numId w:val="19"/>
        </w:numPr>
        <w:spacing w:after="200" w:line="360"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Replace </w:t>
      </w:r>
      <w:r w:rsidRPr="00EF4398">
        <w:rPr>
          <w:rFonts w:asciiTheme="minorHAnsi" w:eastAsiaTheme="minorHAnsi" w:hAnsiTheme="minorHAnsi" w:cstheme="minorHAnsi"/>
          <w:sz w:val="22"/>
          <w:szCs w:val="22"/>
        </w:rPr>
        <w:t>“Hepatitis C virus, past or present” and “Hepatitis C, acute” with “Hepatitis C”</w:t>
      </w:r>
      <w:r w:rsidRPr="00EF4398">
        <w:t xml:space="preserve"> </w:t>
      </w:r>
      <w:r w:rsidRPr="00EF4398">
        <w:rPr>
          <w:rFonts w:asciiTheme="minorHAnsi" w:eastAsiaTheme="minorHAnsi" w:hAnsiTheme="minorHAnsi" w:cstheme="minorHAnsi"/>
          <w:sz w:val="22"/>
          <w:szCs w:val="22"/>
        </w:rPr>
        <w:t xml:space="preserve">on the </w:t>
      </w:r>
      <w:r>
        <w:rPr>
          <w:rFonts w:asciiTheme="minorHAnsi" w:eastAsiaTheme="minorHAnsi" w:hAnsiTheme="minorHAnsi" w:cstheme="minorHAnsi"/>
          <w:sz w:val="22"/>
          <w:szCs w:val="22"/>
        </w:rPr>
        <w:t>L</w:t>
      </w:r>
      <w:r w:rsidRPr="00EF4398">
        <w:rPr>
          <w:rFonts w:asciiTheme="minorHAnsi" w:eastAsiaTheme="minorHAnsi" w:hAnsiTheme="minorHAnsi" w:cstheme="minorHAnsi"/>
          <w:sz w:val="22"/>
          <w:szCs w:val="22"/>
        </w:rPr>
        <w:t xml:space="preserve">ist of </w:t>
      </w:r>
      <w:r>
        <w:rPr>
          <w:rFonts w:asciiTheme="minorHAnsi" w:eastAsiaTheme="minorHAnsi" w:hAnsiTheme="minorHAnsi" w:cstheme="minorHAnsi"/>
          <w:sz w:val="22"/>
          <w:szCs w:val="22"/>
        </w:rPr>
        <w:t>N</w:t>
      </w:r>
      <w:r w:rsidRPr="00EF4398">
        <w:rPr>
          <w:rFonts w:asciiTheme="minorHAnsi" w:eastAsiaTheme="minorHAnsi" w:hAnsiTheme="minorHAnsi" w:cstheme="minorHAnsi"/>
          <w:sz w:val="22"/>
          <w:szCs w:val="22"/>
        </w:rPr>
        <w:t xml:space="preserve">ationally </w:t>
      </w:r>
      <w:r>
        <w:rPr>
          <w:rFonts w:asciiTheme="minorHAnsi" w:eastAsiaTheme="minorHAnsi" w:hAnsiTheme="minorHAnsi" w:cstheme="minorHAnsi"/>
          <w:sz w:val="22"/>
          <w:szCs w:val="22"/>
        </w:rPr>
        <w:t>N</w:t>
      </w:r>
      <w:r w:rsidRPr="00EF4398">
        <w:rPr>
          <w:rFonts w:asciiTheme="minorHAnsi" w:eastAsiaTheme="minorHAnsi" w:hAnsiTheme="minorHAnsi" w:cstheme="minorHAnsi"/>
          <w:sz w:val="22"/>
          <w:szCs w:val="22"/>
        </w:rPr>
        <w:t>otifiable Conditions</w:t>
      </w:r>
      <w:r>
        <w:rPr>
          <w:rFonts w:asciiTheme="minorHAnsi" w:eastAsiaTheme="minorHAnsi" w:hAnsiTheme="minorHAnsi" w:cstheme="minorHAnsi"/>
          <w:sz w:val="22"/>
          <w:szCs w:val="22"/>
        </w:rPr>
        <w:t xml:space="preserve"> </w:t>
      </w:r>
    </w:p>
    <w:p w14:paraId="1BA11C63" w14:textId="77777777" w:rsidR="007F009C" w:rsidRDefault="00E90C7E" w:rsidP="007F009C">
      <w:pPr>
        <w:numPr>
          <w:ilvl w:val="0"/>
          <w:numId w:val="19"/>
        </w:numPr>
        <w:spacing w:after="200" w:line="360" w:lineRule="auto"/>
        <w:contextualSpacing/>
        <w:rPr>
          <w:rFonts w:asciiTheme="minorHAnsi" w:eastAsiaTheme="minorHAnsi" w:hAnsiTheme="minorHAnsi" w:cstheme="minorHAnsi"/>
          <w:sz w:val="22"/>
          <w:szCs w:val="22"/>
        </w:rPr>
      </w:pPr>
      <w:r w:rsidRPr="007F009C">
        <w:rPr>
          <w:rFonts w:asciiTheme="minorHAnsi" w:eastAsiaTheme="minorHAnsi" w:hAnsiTheme="minorHAnsi" w:cstheme="minorHAnsi"/>
          <w:sz w:val="22"/>
          <w:szCs w:val="22"/>
        </w:rPr>
        <w:t>Re</w:t>
      </w:r>
      <w:r w:rsidR="00EF4398" w:rsidRPr="007F009C">
        <w:rPr>
          <w:rFonts w:asciiTheme="minorHAnsi" w:eastAsiaTheme="minorHAnsi" w:hAnsiTheme="minorHAnsi" w:cstheme="minorHAnsi"/>
          <w:sz w:val="22"/>
          <w:szCs w:val="22"/>
        </w:rPr>
        <w:t xml:space="preserve">place </w:t>
      </w:r>
      <w:r w:rsidR="00C00EEF" w:rsidRPr="007F009C">
        <w:rPr>
          <w:rFonts w:asciiTheme="minorHAnsi" w:eastAsiaTheme="minorHAnsi" w:hAnsiTheme="minorHAnsi" w:cstheme="minorHAnsi"/>
          <w:sz w:val="22"/>
          <w:szCs w:val="22"/>
        </w:rPr>
        <w:t>all listed</w:t>
      </w:r>
      <w:r w:rsidR="00EF4398" w:rsidRPr="007F009C">
        <w:rPr>
          <w:rFonts w:asciiTheme="minorHAnsi" w:eastAsiaTheme="minorHAnsi" w:hAnsiTheme="minorHAnsi" w:cstheme="minorHAnsi"/>
          <w:sz w:val="22"/>
          <w:szCs w:val="22"/>
        </w:rPr>
        <w:t xml:space="preserve"> </w:t>
      </w:r>
      <w:proofErr w:type="spellStart"/>
      <w:r w:rsidR="00EF4398" w:rsidRPr="007F009C">
        <w:rPr>
          <w:rFonts w:asciiTheme="minorHAnsi" w:eastAsiaTheme="minorHAnsi" w:hAnsiTheme="minorHAnsi" w:cstheme="minorHAnsi"/>
          <w:sz w:val="22"/>
          <w:szCs w:val="22"/>
        </w:rPr>
        <w:t>Arboviral</w:t>
      </w:r>
      <w:proofErr w:type="spellEnd"/>
      <w:r w:rsidR="00EF4398" w:rsidRPr="007F009C">
        <w:rPr>
          <w:rFonts w:asciiTheme="minorHAnsi" w:eastAsiaTheme="minorHAnsi" w:hAnsiTheme="minorHAnsi" w:cstheme="minorHAnsi"/>
          <w:sz w:val="22"/>
          <w:szCs w:val="22"/>
        </w:rPr>
        <w:t xml:space="preserve"> conditions with an inclusive category, “</w:t>
      </w:r>
      <w:proofErr w:type="spellStart"/>
      <w:r w:rsidR="00EF4398" w:rsidRPr="007F009C">
        <w:rPr>
          <w:rFonts w:asciiTheme="minorHAnsi" w:eastAsiaTheme="minorHAnsi" w:hAnsiTheme="minorHAnsi" w:cstheme="minorHAnsi"/>
          <w:sz w:val="22"/>
          <w:szCs w:val="22"/>
        </w:rPr>
        <w:t>Arboviral</w:t>
      </w:r>
      <w:proofErr w:type="spellEnd"/>
      <w:r w:rsidR="00EF4398" w:rsidRPr="007F009C">
        <w:rPr>
          <w:rFonts w:asciiTheme="minorHAnsi" w:eastAsiaTheme="minorHAnsi" w:hAnsiTheme="minorHAnsi" w:cstheme="minorHAnsi"/>
          <w:sz w:val="22"/>
          <w:szCs w:val="22"/>
        </w:rPr>
        <w:t xml:space="preserve"> Diseases”</w:t>
      </w:r>
      <w:r w:rsidR="00EF4398" w:rsidRPr="007F009C" w:rsidDel="00EF4398">
        <w:rPr>
          <w:rFonts w:asciiTheme="minorHAnsi" w:eastAsiaTheme="minorHAnsi" w:hAnsiTheme="minorHAnsi" w:cstheme="minorHAnsi"/>
          <w:sz w:val="22"/>
          <w:szCs w:val="22"/>
        </w:rPr>
        <w:t xml:space="preserve"> </w:t>
      </w:r>
      <w:r w:rsidR="00EF4398" w:rsidRPr="007F009C">
        <w:rPr>
          <w:rFonts w:asciiTheme="minorHAnsi" w:eastAsiaTheme="minorHAnsi" w:hAnsiTheme="minorHAnsi" w:cstheme="minorHAnsi"/>
          <w:sz w:val="22"/>
          <w:szCs w:val="22"/>
        </w:rPr>
        <w:t>on the List of Nationally Notifiable Conditions</w:t>
      </w:r>
      <w:r w:rsidR="00EF4398" w:rsidRPr="007F009C" w:rsidDel="00EF4398">
        <w:rPr>
          <w:rFonts w:asciiTheme="minorHAnsi" w:eastAsiaTheme="minorHAnsi" w:hAnsiTheme="minorHAnsi" w:cstheme="minorHAnsi"/>
          <w:sz w:val="22"/>
          <w:szCs w:val="22"/>
        </w:rPr>
        <w:t xml:space="preserve"> </w:t>
      </w:r>
    </w:p>
    <w:p w14:paraId="0ECAB691" w14:textId="77777777" w:rsidR="00C00EEF" w:rsidRPr="007F009C" w:rsidRDefault="00C00EEF" w:rsidP="007F009C">
      <w:pPr>
        <w:numPr>
          <w:ilvl w:val="0"/>
          <w:numId w:val="19"/>
        </w:numPr>
        <w:spacing w:after="200" w:line="360" w:lineRule="auto"/>
        <w:contextualSpacing/>
        <w:rPr>
          <w:rFonts w:asciiTheme="minorHAnsi" w:eastAsiaTheme="minorHAnsi" w:hAnsiTheme="minorHAnsi" w:cstheme="minorHAnsi"/>
          <w:sz w:val="22"/>
          <w:szCs w:val="22"/>
        </w:rPr>
      </w:pPr>
      <w:r w:rsidRPr="007F009C">
        <w:rPr>
          <w:rFonts w:asciiTheme="minorHAnsi" w:eastAsiaTheme="minorHAnsi" w:hAnsiTheme="minorHAnsi" w:cstheme="minorHAnsi"/>
          <w:sz w:val="22"/>
          <w:szCs w:val="22"/>
        </w:rPr>
        <w:t>Receive case notification data for Hantavirus infection, non-Hantavirus Pulmonary Syndrome</w:t>
      </w:r>
    </w:p>
    <w:p w14:paraId="11CA9FC9" w14:textId="77777777" w:rsidR="00834BC6" w:rsidRDefault="00901701" w:rsidP="00901701">
      <w:pPr>
        <w:numPr>
          <w:ilvl w:val="0"/>
          <w:numId w:val="19"/>
        </w:numPr>
        <w:spacing w:after="200" w:line="360"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Receive case notification</w:t>
      </w:r>
      <w:r w:rsidR="00FA5ACA">
        <w:rPr>
          <w:rFonts w:asciiTheme="minorHAnsi" w:eastAsiaTheme="minorHAnsi" w:hAnsiTheme="minorHAnsi" w:cstheme="minorHAnsi"/>
          <w:sz w:val="22"/>
          <w:szCs w:val="22"/>
        </w:rPr>
        <w:t xml:space="preserve"> data</w:t>
      </w:r>
      <w:r>
        <w:rPr>
          <w:rFonts w:asciiTheme="minorHAnsi" w:eastAsiaTheme="minorHAnsi" w:hAnsiTheme="minorHAnsi" w:cstheme="minorHAnsi"/>
          <w:sz w:val="22"/>
          <w:szCs w:val="22"/>
        </w:rPr>
        <w:t xml:space="preserve"> for Acute </w:t>
      </w:r>
      <w:r w:rsidRPr="00901701">
        <w:rPr>
          <w:rFonts w:asciiTheme="minorHAnsi" w:eastAsiaTheme="minorHAnsi" w:hAnsiTheme="minorHAnsi" w:cstheme="minorHAnsi"/>
          <w:sz w:val="22"/>
          <w:szCs w:val="22"/>
        </w:rPr>
        <w:t>Flaccid Myelitis</w:t>
      </w:r>
      <w:r>
        <w:rPr>
          <w:rFonts w:asciiTheme="minorHAnsi" w:eastAsiaTheme="minorHAnsi" w:hAnsiTheme="minorHAnsi" w:cstheme="minorHAnsi"/>
          <w:sz w:val="22"/>
          <w:szCs w:val="22"/>
        </w:rPr>
        <w:t xml:space="preserve"> should </w:t>
      </w:r>
      <w:r w:rsidR="008718EE">
        <w:rPr>
          <w:rFonts w:asciiTheme="minorHAnsi" w:eastAsiaTheme="minorHAnsi" w:hAnsiTheme="minorHAnsi" w:cstheme="minorHAnsi"/>
          <w:sz w:val="22"/>
          <w:szCs w:val="22"/>
        </w:rPr>
        <w:t>it</w:t>
      </w:r>
      <w:r>
        <w:rPr>
          <w:rFonts w:asciiTheme="minorHAnsi" w:eastAsiaTheme="minorHAnsi" w:hAnsiTheme="minorHAnsi" w:cstheme="minorHAnsi"/>
          <w:sz w:val="22"/>
          <w:szCs w:val="22"/>
        </w:rPr>
        <w:t xml:space="preserve"> become nationally notifiable</w:t>
      </w:r>
    </w:p>
    <w:p w14:paraId="2560A3F5" w14:textId="77777777" w:rsidR="00735D9C" w:rsidRPr="00C44756" w:rsidRDefault="00735D9C" w:rsidP="00324C86">
      <w:pPr>
        <w:numPr>
          <w:ilvl w:val="0"/>
          <w:numId w:val="19"/>
        </w:numPr>
        <w:spacing w:after="200" w:line="360"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Receive case notification data for </w:t>
      </w:r>
      <w:r w:rsidR="00324C86">
        <w:rPr>
          <w:rFonts w:asciiTheme="minorHAnsi" w:eastAsiaTheme="minorHAnsi" w:hAnsiTheme="minorHAnsi" w:cstheme="minorHAnsi"/>
          <w:sz w:val="22"/>
          <w:szCs w:val="22"/>
        </w:rPr>
        <w:t>A</w:t>
      </w:r>
      <w:r w:rsidR="00324C86" w:rsidRPr="00324C86">
        <w:rPr>
          <w:rFonts w:asciiTheme="minorHAnsi" w:eastAsiaTheme="minorHAnsi" w:hAnsiTheme="minorHAnsi" w:cstheme="minorHAnsi"/>
          <w:sz w:val="22"/>
          <w:szCs w:val="22"/>
        </w:rPr>
        <w:t xml:space="preserve">mebic </w:t>
      </w:r>
      <w:r w:rsidR="00324C86">
        <w:rPr>
          <w:rFonts w:asciiTheme="minorHAnsi" w:eastAsiaTheme="minorHAnsi" w:hAnsiTheme="minorHAnsi" w:cstheme="minorHAnsi"/>
          <w:sz w:val="22"/>
          <w:szCs w:val="22"/>
        </w:rPr>
        <w:t>E</w:t>
      </w:r>
      <w:r w:rsidR="00324C86" w:rsidRPr="00324C86">
        <w:rPr>
          <w:rFonts w:asciiTheme="minorHAnsi" w:eastAsiaTheme="minorHAnsi" w:hAnsiTheme="minorHAnsi" w:cstheme="minorHAnsi"/>
          <w:sz w:val="22"/>
          <w:szCs w:val="22"/>
        </w:rPr>
        <w:t xml:space="preserve">ncephalitis </w:t>
      </w:r>
      <w:r w:rsidR="00DE5FB2">
        <w:rPr>
          <w:rFonts w:asciiTheme="minorHAnsi" w:eastAsiaTheme="minorHAnsi" w:hAnsiTheme="minorHAnsi" w:cstheme="minorHAnsi"/>
          <w:sz w:val="22"/>
          <w:szCs w:val="22"/>
        </w:rPr>
        <w:t>should it become nationally notifiable</w:t>
      </w:r>
    </w:p>
    <w:p w14:paraId="077EC1DA" w14:textId="77777777" w:rsidR="00A20D62" w:rsidRDefault="0060579C" w:rsidP="00925656">
      <w:pPr>
        <w:numPr>
          <w:ilvl w:val="0"/>
          <w:numId w:val="19"/>
        </w:numPr>
        <w:spacing w:after="200" w:line="360"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Recei</w:t>
      </w:r>
      <w:r w:rsidR="00A20D62">
        <w:rPr>
          <w:rFonts w:asciiTheme="minorHAnsi" w:eastAsiaTheme="minorHAnsi" w:hAnsiTheme="minorHAnsi" w:cstheme="minorHAnsi"/>
          <w:sz w:val="22"/>
          <w:szCs w:val="22"/>
        </w:rPr>
        <w:t xml:space="preserve">ve </w:t>
      </w:r>
      <w:r w:rsidR="00A20D62" w:rsidRPr="00A20D62">
        <w:rPr>
          <w:rFonts w:asciiTheme="minorHAnsi" w:eastAsiaTheme="minorHAnsi" w:hAnsiTheme="minorHAnsi" w:cstheme="minorHAnsi"/>
          <w:sz w:val="22"/>
          <w:szCs w:val="22"/>
        </w:rPr>
        <w:t xml:space="preserve">new laboratory </w:t>
      </w:r>
      <w:r w:rsidR="0086064B">
        <w:rPr>
          <w:rFonts w:asciiTheme="minorHAnsi" w:eastAsiaTheme="minorHAnsi" w:hAnsiTheme="minorHAnsi" w:cstheme="minorHAnsi"/>
          <w:sz w:val="22"/>
          <w:szCs w:val="22"/>
        </w:rPr>
        <w:t xml:space="preserve">and </w:t>
      </w:r>
      <w:r w:rsidR="00A20D62" w:rsidRPr="00A20D62">
        <w:rPr>
          <w:rFonts w:asciiTheme="minorHAnsi" w:eastAsiaTheme="minorHAnsi" w:hAnsiTheme="minorHAnsi" w:cstheme="minorHAnsi"/>
          <w:sz w:val="22"/>
          <w:szCs w:val="22"/>
        </w:rPr>
        <w:t>vaccine</w:t>
      </w:r>
      <w:r w:rsidR="00A20D62">
        <w:rPr>
          <w:rFonts w:asciiTheme="minorHAnsi" w:eastAsiaTheme="minorHAnsi" w:hAnsiTheme="minorHAnsi" w:cstheme="minorHAnsi"/>
          <w:sz w:val="22"/>
          <w:szCs w:val="22"/>
        </w:rPr>
        <w:t xml:space="preserve"> data elements</w:t>
      </w:r>
      <w:r w:rsidR="00734BD4">
        <w:rPr>
          <w:rFonts w:asciiTheme="minorHAnsi" w:eastAsiaTheme="minorHAnsi" w:hAnsiTheme="minorHAnsi" w:cstheme="minorHAnsi"/>
          <w:sz w:val="22"/>
          <w:szCs w:val="22"/>
        </w:rPr>
        <w:t xml:space="preserve"> for all conditions</w:t>
      </w:r>
    </w:p>
    <w:p w14:paraId="24DF857D" w14:textId="77777777" w:rsidR="007F009C" w:rsidRDefault="0060579C" w:rsidP="007F009C">
      <w:pPr>
        <w:numPr>
          <w:ilvl w:val="0"/>
          <w:numId w:val="19"/>
        </w:numPr>
        <w:spacing w:after="200" w:line="360" w:lineRule="auto"/>
        <w:contextualSpacing/>
        <w:rPr>
          <w:rFonts w:asciiTheme="minorHAnsi" w:eastAsiaTheme="minorHAnsi" w:hAnsiTheme="minorHAnsi" w:cstheme="minorHAnsi"/>
          <w:sz w:val="22"/>
          <w:szCs w:val="22"/>
        </w:rPr>
      </w:pPr>
      <w:r w:rsidRPr="007F009C">
        <w:rPr>
          <w:rFonts w:asciiTheme="minorHAnsi" w:eastAsiaTheme="minorHAnsi" w:hAnsiTheme="minorHAnsi" w:cstheme="minorHAnsi"/>
          <w:sz w:val="22"/>
          <w:szCs w:val="22"/>
        </w:rPr>
        <w:t>R</w:t>
      </w:r>
      <w:r w:rsidR="00A20D62" w:rsidRPr="007F009C">
        <w:rPr>
          <w:rFonts w:asciiTheme="minorHAnsi" w:eastAsiaTheme="minorHAnsi" w:hAnsiTheme="minorHAnsi" w:cstheme="minorHAnsi"/>
          <w:sz w:val="22"/>
          <w:szCs w:val="22"/>
        </w:rPr>
        <w:t>eceive new disease</w:t>
      </w:r>
      <w:r w:rsidR="00D70AA9" w:rsidRPr="007F009C">
        <w:rPr>
          <w:rFonts w:asciiTheme="minorHAnsi" w:eastAsiaTheme="minorHAnsi" w:hAnsiTheme="minorHAnsi" w:cstheme="minorHAnsi"/>
          <w:sz w:val="22"/>
          <w:szCs w:val="22"/>
        </w:rPr>
        <w:t>-</w:t>
      </w:r>
      <w:r w:rsidR="00A20D62" w:rsidRPr="007F009C">
        <w:rPr>
          <w:rFonts w:asciiTheme="minorHAnsi" w:eastAsiaTheme="minorHAnsi" w:hAnsiTheme="minorHAnsi" w:cstheme="minorHAnsi"/>
          <w:sz w:val="22"/>
          <w:szCs w:val="22"/>
        </w:rPr>
        <w:t xml:space="preserve">specific data elements for Mumps, Pertussis, </w:t>
      </w:r>
      <w:r w:rsidR="0056541F" w:rsidRPr="007F009C">
        <w:rPr>
          <w:rFonts w:asciiTheme="minorHAnsi" w:eastAsiaTheme="minorHAnsi" w:hAnsiTheme="minorHAnsi" w:cstheme="minorHAnsi"/>
          <w:sz w:val="22"/>
          <w:szCs w:val="22"/>
        </w:rPr>
        <w:t xml:space="preserve">Varicella, </w:t>
      </w:r>
      <w:proofErr w:type="spellStart"/>
      <w:r w:rsidR="000550A3" w:rsidRPr="007F009C">
        <w:rPr>
          <w:rFonts w:asciiTheme="minorHAnsi" w:eastAsiaTheme="minorHAnsi" w:hAnsiTheme="minorHAnsi" w:cstheme="minorHAnsi"/>
          <w:sz w:val="22"/>
          <w:szCs w:val="22"/>
        </w:rPr>
        <w:t>Arboviral</w:t>
      </w:r>
      <w:proofErr w:type="spellEnd"/>
      <w:r w:rsidR="000550A3" w:rsidRPr="007F009C">
        <w:rPr>
          <w:rFonts w:asciiTheme="minorHAnsi" w:eastAsiaTheme="minorHAnsi" w:hAnsiTheme="minorHAnsi" w:cstheme="minorHAnsi"/>
          <w:sz w:val="22"/>
          <w:szCs w:val="22"/>
        </w:rPr>
        <w:t xml:space="preserve"> Diseases, </w:t>
      </w:r>
      <w:r w:rsidR="00A20D62" w:rsidRPr="007F009C">
        <w:rPr>
          <w:rFonts w:asciiTheme="minorHAnsi" w:eastAsiaTheme="minorHAnsi" w:hAnsiTheme="minorHAnsi" w:cstheme="minorHAnsi"/>
          <w:sz w:val="22"/>
          <w:szCs w:val="22"/>
        </w:rPr>
        <w:t xml:space="preserve">and </w:t>
      </w:r>
      <w:r w:rsidR="00026C77" w:rsidRPr="007F009C">
        <w:rPr>
          <w:rFonts w:asciiTheme="minorHAnsi" w:eastAsiaTheme="minorHAnsi" w:hAnsiTheme="minorHAnsi" w:cstheme="minorHAnsi"/>
          <w:sz w:val="22"/>
          <w:szCs w:val="22"/>
        </w:rPr>
        <w:t>Sexually Transmitted Diseases (</w:t>
      </w:r>
      <w:r w:rsidR="00A20D62" w:rsidRPr="007F009C">
        <w:rPr>
          <w:rFonts w:asciiTheme="minorHAnsi" w:eastAsiaTheme="minorHAnsi" w:hAnsiTheme="minorHAnsi" w:cstheme="minorHAnsi"/>
          <w:sz w:val="22"/>
          <w:szCs w:val="22"/>
        </w:rPr>
        <w:t>STD</w:t>
      </w:r>
      <w:r w:rsidR="00026C77" w:rsidRPr="007F009C">
        <w:rPr>
          <w:rFonts w:asciiTheme="minorHAnsi" w:eastAsiaTheme="minorHAnsi" w:hAnsiTheme="minorHAnsi" w:cstheme="minorHAnsi"/>
          <w:sz w:val="22"/>
          <w:szCs w:val="22"/>
        </w:rPr>
        <w:t>)</w:t>
      </w:r>
    </w:p>
    <w:p w14:paraId="56F6D299" w14:textId="77777777" w:rsidR="007F009C" w:rsidRDefault="007F009C" w:rsidP="00925656">
      <w:pPr>
        <w:spacing w:line="360" w:lineRule="auto"/>
        <w:rPr>
          <w:rFonts w:asciiTheme="minorHAnsi" w:hAnsiTheme="minorHAnsi"/>
          <w:sz w:val="22"/>
          <w:szCs w:val="22"/>
        </w:rPr>
      </w:pPr>
    </w:p>
    <w:p w14:paraId="55FA1085" w14:textId="77777777" w:rsidR="00C44756" w:rsidRPr="00D1642D" w:rsidRDefault="002B0001" w:rsidP="00925656">
      <w:pPr>
        <w:spacing w:line="360" w:lineRule="auto"/>
        <w:rPr>
          <w:rFonts w:asciiTheme="minorHAnsi" w:hAnsiTheme="minorHAnsi"/>
          <w:sz w:val="22"/>
          <w:szCs w:val="22"/>
        </w:rPr>
      </w:pPr>
      <w:r w:rsidRPr="00D1642D">
        <w:rPr>
          <w:rFonts w:asciiTheme="minorHAnsi" w:hAnsiTheme="minorHAnsi"/>
          <w:sz w:val="22"/>
          <w:szCs w:val="22"/>
        </w:rPr>
        <w:t>Background</w:t>
      </w:r>
    </w:p>
    <w:p w14:paraId="7558AF75" w14:textId="77777777" w:rsidR="00CC0ABB" w:rsidRDefault="00A76198" w:rsidP="00925656">
      <w:pPr>
        <w:spacing w:line="360" w:lineRule="auto"/>
        <w:rPr>
          <w:rFonts w:asciiTheme="minorHAnsi" w:hAnsiTheme="minorHAnsi"/>
          <w:sz w:val="22"/>
          <w:szCs w:val="22"/>
        </w:rPr>
      </w:pPr>
      <w:r w:rsidRPr="00FF55BF">
        <w:rPr>
          <w:rFonts w:asciiTheme="minorHAnsi" w:hAnsiTheme="minorHAnsi"/>
          <w:sz w:val="22"/>
          <w:szCs w:val="22"/>
        </w:rPr>
        <w:t>The NNDSS</w:t>
      </w:r>
      <w:r w:rsidR="001B7DED" w:rsidRPr="00FF55BF">
        <w:rPr>
          <w:rFonts w:asciiTheme="minorHAnsi" w:hAnsiTheme="minorHAnsi"/>
          <w:sz w:val="22"/>
          <w:szCs w:val="22"/>
        </w:rPr>
        <w:t xml:space="preserve"> </w:t>
      </w:r>
      <w:r w:rsidRPr="00FF55BF">
        <w:rPr>
          <w:rFonts w:asciiTheme="minorHAnsi" w:hAnsiTheme="minorHAnsi"/>
          <w:sz w:val="22"/>
          <w:szCs w:val="22"/>
        </w:rPr>
        <w:t xml:space="preserve">is </w:t>
      </w:r>
      <w:r w:rsidR="008F3581" w:rsidRPr="00FF55BF">
        <w:rPr>
          <w:rFonts w:asciiTheme="minorHAnsi" w:hAnsiTheme="minorHAnsi"/>
          <w:sz w:val="22"/>
          <w:szCs w:val="22"/>
        </w:rPr>
        <w:t>the nation’s</w:t>
      </w:r>
      <w:r w:rsidRPr="00FF55BF">
        <w:rPr>
          <w:rFonts w:asciiTheme="minorHAnsi" w:hAnsiTheme="minorHAnsi"/>
          <w:sz w:val="22"/>
          <w:szCs w:val="22"/>
        </w:rPr>
        <w:t xml:space="preserve"> </w:t>
      </w:r>
      <w:r w:rsidR="000D0C0A" w:rsidRPr="00FF55BF">
        <w:rPr>
          <w:rFonts w:asciiTheme="minorHAnsi" w:hAnsiTheme="minorHAnsi"/>
          <w:sz w:val="22"/>
          <w:szCs w:val="22"/>
        </w:rPr>
        <w:t xml:space="preserve">public health </w:t>
      </w:r>
      <w:r w:rsidRPr="00FF55BF">
        <w:rPr>
          <w:rFonts w:asciiTheme="minorHAnsi" w:hAnsiTheme="minorHAnsi"/>
          <w:sz w:val="22"/>
          <w:szCs w:val="22"/>
        </w:rPr>
        <w:t xml:space="preserve">surveillance system that enables all levels of public health (local, state, territorial, federal and international) to monitor the occurrence and spread of </w:t>
      </w:r>
      <w:r w:rsidR="00B71596" w:rsidRPr="00FF55BF">
        <w:rPr>
          <w:rFonts w:asciiTheme="minorHAnsi" w:hAnsiTheme="minorHAnsi"/>
          <w:sz w:val="22"/>
          <w:szCs w:val="22"/>
        </w:rPr>
        <w:t xml:space="preserve">the </w:t>
      </w:r>
      <w:r w:rsidR="00FC7AA7" w:rsidRPr="00FF55BF">
        <w:rPr>
          <w:rFonts w:asciiTheme="minorHAnsi" w:hAnsiTheme="minorHAnsi"/>
          <w:sz w:val="22"/>
          <w:szCs w:val="22"/>
        </w:rPr>
        <w:t>d</w:t>
      </w:r>
      <w:r w:rsidRPr="00FF55BF">
        <w:rPr>
          <w:rFonts w:asciiTheme="minorHAnsi" w:hAnsiTheme="minorHAnsi"/>
          <w:sz w:val="22"/>
          <w:szCs w:val="22"/>
        </w:rPr>
        <w:t>iseases</w:t>
      </w:r>
      <w:r w:rsidR="00FC7AA7" w:rsidRPr="00FF55BF">
        <w:rPr>
          <w:rFonts w:asciiTheme="minorHAnsi" w:hAnsiTheme="minorHAnsi"/>
          <w:sz w:val="22"/>
          <w:szCs w:val="22"/>
        </w:rPr>
        <w:t xml:space="preserve"> and conditions</w:t>
      </w:r>
      <w:r w:rsidRPr="00FF55BF">
        <w:rPr>
          <w:rFonts w:asciiTheme="minorHAnsi" w:hAnsiTheme="minorHAnsi"/>
          <w:sz w:val="22"/>
          <w:szCs w:val="22"/>
        </w:rPr>
        <w:t xml:space="preserve"> </w:t>
      </w:r>
      <w:r w:rsidR="000D0C0A" w:rsidRPr="00FF55BF">
        <w:rPr>
          <w:rFonts w:asciiTheme="minorHAnsi" w:hAnsiTheme="minorHAnsi"/>
          <w:sz w:val="22"/>
          <w:szCs w:val="22"/>
        </w:rPr>
        <w:t xml:space="preserve">that </w:t>
      </w:r>
      <w:r w:rsidR="003C22D0">
        <w:rPr>
          <w:rFonts w:asciiTheme="minorHAnsi" w:hAnsiTheme="minorHAnsi"/>
          <w:sz w:val="22"/>
          <w:szCs w:val="22"/>
        </w:rPr>
        <w:t xml:space="preserve">the </w:t>
      </w:r>
      <w:r w:rsidR="003C22D0" w:rsidRPr="003C22D0">
        <w:rPr>
          <w:rFonts w:asciiTheme="minorHAnsi" w:hAnsiTheme="minorHAnsi"/>
          <w:sz w:val="22"/>
          <w:szCs w:val="22"/>
        </w:rPr>
        <w:t xml:space="preserve">Council of State and Territorial Epidemiologists </w:t>
      </w:r>
      <w:r w:rsidR="003C22D0">
        <w:rPr>
          <w:rFonts w:asciiTheme="minorHAnsi" w:hAnsiTheme="minorHAnsi"/>
          <w:sz w:val="22"/>
          <w:szCs w:val="22"/>
        </w:rPr>
        <w:t>(</w:t>
      </w:r>
      <w:r w:rsidR="00F57A0D" w:rsidRPr="00FF55BF">
        <w:rPr>
          <w:rFonts w:asciiTheme="minorHAnsi" w:hAnsiTheme="minorHAnsi"/>
          <w:sz w:val="22"/>
          <w:szCs w:val="22"/>
        </w:rPr>
        <w:t>CSTE</w:t>
      </w:r>
      <w:r w:rsidR="003C22D0">
        <w:rPr>
          <w:rFonts w:asciiTheme="minorHAnsi" w:hAnsiTheme="minorHAnsi"/>
          <w:sz w:val="22"/>
          <w:szCs w:val="22"/>
        </w:rPr>
        <w:t>)</w:t>
      </w:r>
      <w:r w:rsidR="00F57A0D" w:rsidRPr="00FF55BF">
        <w:rPr>
          <w:rFonts w:asciiTheme="minorHAnsi" w:hAnsiTheme="minorHAnsi"/>
          <w:sz w:val="22"/>
          <w:szCs w:val="22"/>
        </w:rPr>
        <w:t xml:space="preserve"> </w:t>
      </w:r>
      <w:r w:rsidR="000D0C0A" w:rsidRPr="00FF55BF">
        <w:rPr>
          <w:rFonts w:asciiTheme="minorHAnsi" w:hAnsiTheme="minorHAnsi"/>
          <w:sz w:val="22"/>
          <w:szCs w:val="22"/>
        </w:rPr>
        <w:t>officially designated</w:t>
      </w:r>
      <w:r w:rsidR="007552EE">
        <w:rPr>
          <w:rFonts w:asciiTheme="minorHAnsi" w:hAnsiTheme="minorHAnsi"/>
          <w:sz w:val="22"/>
          <w:szCs w:val="22"/>
        </w:rPr>
        <w:t xml:space="preserve"> </w:t>
      </w:r>
      <w:r w:rsidRPr="00FF55BF">
        <w:rPr>
          <w:rFonts w:asciiTheme="minorHAnsi" w:hAnsiTheme="minorHAnsi"/>
          <w:sz w:val="22"/>
          <w:szCs w:val="22"/>
        </w:rPr>
        <w:t>as</w:t>
      </w:r>
      <w:r w:rsidR="000D0C0A" w:rsidRPr="00FF55BF">
        <w:rPr>
          <w:rFonts w:asciiTheme="minorHAnsi" w:hAnsiTheme="minorHAnsi"/>
          <w:sz w:val="22"/>
          <w:szCs w:val="22"/>
        </w:rPr>
        <w:t xml:space="preserve"> </w:t>
      </w:r>
      <w:r w:rsidRPr="00FF55BF">
        <w:rPr>
          <w:rFonts w:asciiTheme="minorHAnsi" w:hAnsiTheme="minorHAnsi"/>
          <w:sz w:val="22"/>
          <w:szCs w:val="22"/>
        </w:rPr>
        <w:t xml:space="preserve">“nationally notifiable” </w:t>
      </w:r>
      <w:r w:rsidR="000D0C0A" w:rsidRPr="00FF55BF">
        <w:rPr>
          <w:rFonts w:asciiTheme="minorHAnsi" w:hAnsiTheme="minorHAnsi"/>
          <w:sz w:val="22"/>
          <w:szCs w:val="22"/>
        </w:rPr>
        <w:t xml:space="preserve">(referred to in this application as nationally notifiable conditions). </w:t>
      </w:r>
      <w:r w:rsidR="00331073" w:rsidRPr="00FF55BF">
        <w:rPr>
          <w:rFonts w:asciiTheme="minorHAnsi" w:hAnsiTheme="minorHAnsi"/>
          <w:color w:val="000000"/>
          <w:sz w:val="22"/>
          <w:szCs w:val="22"/>
        </w:rPr>
        <w:t xml:space="preserve">CSTE is an organization of member states and territories representing public health epidemiologists. </w:t>
      </w:r>
      <w:r w:rsidRPr="00FF55BF">
        <w:rPr>
          <w:rFonts w:asciiTheme="minorHAnsi" w:hAnsiTheme="minorHAnsi"/>
          <w:sz w:val="22"/>
          <w:szCs w:val="22"/>
        </w:rPr>
        <w:t xml:space="preserve">The NNDSS facilitates the </w:t>
      </w:r>
      <w:r w:rsidR="00A553B2" w:rsidRPr="00FF55BF">
        <w:rPr>
          <w:rFonts w:asciiTheme="minorHAnsi" w:hAnsiTheme="minorHAnsi"/>
          <w:sz w:val="22"/>
          <w:szCs w:val="22"/>
        </w:rPr>
        <w:t>submission</w:t>
      </w:r>
      <w:r w:rsidRPr="00FF55BF">
        <w:rPr>
          <w:rFonts w:asciiTheme="minorHAnsi" w:hAnsiTheme="minorHAnsi"/>
          <w:sz w:val="22"/>
          <w:szCs w:val="22"/>
        </w:rPr>
        <w:t xml:space="preserve"> and aggregation of </w:t>
      </w:r>
      <w:r w:rsidR="00BE228D" w:rsidRPr="00FF55BF">
        <w:rPr>
          <w:rFonts w:asciiTheme="minorHAnsi" w:hAnsiTheme="minorHAnsi"/>
          <w:sz w:val="22"/>
          <w:szCs w:val="22"/>
        </w:rPr>
        <w:t xml:space="preserve">case notification </w:t>
      </w:r>
      <w:r w:rsidRPr="00FF55BF">
        <w:rPr>
          <w:rFonts w:asciiTheme="minorHAnsi" w:hAnsiTheme="minorHAnsi"/>
          <w:sz w:val="22"/>
          <w:szCs w:val="22"/>
        </w:rPr>
        <w:t xml:space="preserve">data voluntarily </w:t>
      </w:r>
      <w:r w:rsidR="008F1944" w:rsidRPr="00FF55BF">
        <w:rPr>
          <w:rFonts w:asciiTheme="minorHAnsi" w:hAnsiTheme="minorHAnsi"/>
          <w:sz w:val="22"/>
          <w:szCs w:val="22"/>
        </w:rPr>
        <w:t xml:space="preserve">submitted </w:t>
      </w:r>
      <w:r w:rsidRPr="00FF55BF">
        <w:rPr>
          <w:rFonts w:asciiTheme="minorHAnsi" w:hAnsiTheme="minorHAnsi"/>
          <w:sz w:val="22"/>
          <w:szCs w:val="22"/>
        </w:rPr>
        <w:t>to CDC from 57 jurisdictions</w:t>
      </w:r>
      <w:r w:rsidR="009172E7" w:rsidRPr="00FF55BF">
        <w:rPr>
          <w:rFonts w:asciiTheme="minorHAnsi" w:hAnsiTheme="minorHAnsi"/>
          <w:sz w:val="22"/>
          <w:szCs w:val="22"/>
        </w:rPr>
        <w:t xml:space="preserve">: </w:t>
      </w:r>
      <w:r w:rsidRPr="00FF55BF">
        <w:rPr>
          <w:rFonts w:asciiTheme="minorHAnsi" w:hAnsiTheme="minorHAnsi"/>
          <w:sz w:val="22"/>
          <w:szCs w:val="22"/>
        </w:rPr>
        <w:t>health departments in every U.S. state, New York City, Washington DC, and 5 U.S. territories</w:t>
      </w:r>
      <w:r w:rsidR="009172E7" w:rsidRPr="00FF55BF">
        <w:rPr>
          <w:rFonts w:asciiTheme="minorHAnsi" w:hAnsiTheme="minorHAnsi"/>
          <w:sz w:val="22"/>
          <w:szCs w:val="22"/>
        </w:rPr>
        <w:t xml:space="preserve"> (American Samoa, the Commonwealth of Nort</w:t>
      </w:r>
      <w:r w:rsidR="00BB45AE" w:rsidRPr="00FF55BF">
        <w:rPr>
          <w:rFonts w:asciiTheme="minorHAnsi" w:hAnsiTheme="minorHAnsi"/>
          <w:sz w:val="22"/>
          <w:szCs w:val="22"/>
        </w:rPr>
        <w:t>h</w:t>
      </w:r>
      <w:r w:rsidR="009172E7" w:rsidRPr="00FF55BF">
        <w:rPr>
          <w:rFonts w:asciiTheme="minorHAnsi" w:hAnsiTheme="minorHAnsi"/>
          <w:sz w:val="22"/>
          <w:szCs w:val="22"/>
        </w:rPr>
        <w:t>ern Mariana Islands, Guam, Puerto Rico, and the U.S. Virgin Islands</w:t>
      </w:r>
      <w:r w:rsidR="00E67C96" w:rsidRPr="00FF55BF">
        <w:rPr>
          <w:rFonts w:asciiTheme="minorHAnsi" w:hAnsiTheme="minorHAnsi"/>
          <w:sz w:val="22"/>
          <w:szCs w:val="22"/>
        </w:rPr>
        <w:t>)</w:t>
      </w:r>
      <w:r w:rsidR="009172E7" w:rsidRPr="00FF55BF">
        <w:rPr>
          <w:rFonts w:asciiTheme="minorHAnsi" w:hAnsiTheme="minorHAnsi"/>
          <w:sz w:val="22"/>
          <w:szCs w:val="22"/>
        </w:rPr>
        <w:t>. NNDS</w:t>
      </w:r>
      <w:r w:rsidR="000B082C" w:rsidRPr="00FF55BF">
        <w:rPr>
          <w:rFonts w:asciiTheme="minorHAnsi" w:hAnsiTheme="minorHAnsi"/>
          <w:sz w:val="22"/>
          <w:szCs w:val="22"/>
        </w:rPr>
        <w:t>S</w:t>
      </w:r>
      <w:r w:rsidR="009172E7" w:rsidRPr="00FF55BF">
        <w:rPr>
          <w:rFonts w:asciiTheme="minorHAnsi" w:hAnsiTheme="minorHAnsi"/>
          <w:sz w:val="22"/>
          <w:szCs w:val="22"/>
        </w:rPr>
        <w:t xml:space="preserve"> also facilitates </w:t>
      </w:r>
      <w:r w:rsidRPr="00FF55BF">
        <w:rPr>
          <w:rFonts w:asciiTheme="minorHAnsi" w:hAnsiTheme="minorHAnsi"/>
          <w:sz w:val="22"/>
          <w:szCs w:val="22"/>
        </w:rPr>
        <w:t>relevant data management, analysis, interpretation and dissemination</w:t>
      </w:r>
      <w:r w:rsidR="009172E7" w:rsidRPr="00FF55BF">
        <w:rPr>
          <w:rFonts w:asciiTheme="minorHAnsi" w:hAnsiTheme="minorHAnsi"/>
          <w:sz w:val="22"/>
          <w:szCs w:val="22"/>
        </w:rPr>
        <w:t xml:space="preserve"> of the information</w:t>
      </w:r>
      <w:r w:rsidRPr="00FF55BF">
        <w:rPr>
          <w:rFonts w:asciiTheme="minorHAnsi" w:hAnsiTheme="minorHAnsi"/>
          <w:sz w:val="22"/>
          <w:szCs w:val="22"/>
        </w:rPr>
        <w:t xml:space="preserve">. The data are used to monitor </w:t>
      </w:r>
      <w:r w:rsidR="00AE31E6">
        <w:rPr>
          <w:rFonts w:asciiTheme="minorHAnsi" w:hAnsiTheme="minorHAnsi"/>
          <w:sz w:val="22"/>
          <w:szCs w:val="22"/>
        </w:rPr>
        <w:t>the</w:t>
      </w:r>
      <w:r w:rsidR="00AE31E6" w:rsidRPr="00FF55BF">
        <w:rPr>
          <w:rFonts w:asciiTheme="minorHAnsi" w:hAnsiTheme="minorHAnsi"/>
          <w:sz w:val="22"/>
          <w:szCs w:val="22"/>
        </w:rPr>
        <w:t xml:space="preserve"> </w:t>
      </w:r>
      <w:r w:rsidR="00FF4974" w:rsidRPr="00FF55BF">
        <w:rPr>
          <w:rFonts w:asciiTheme="minorHAnsi" w:hAnsiTheme="minorHAnsi"/>
          <w:sz w:val="22"/>
          <w:szCs w:val="22"/>
        </w:rPr>
        <w:t>occurrence</w:t>
      </w:r>
      <w:r w:rsidRPr="00FF55BF">
        <w:rPr>
          <w:rFonts w:asciiTheme="minorHAnsi" w:hAnsiTheme="minorHAnsi"/>
          <w:sz w:val="22"/>
          <w:szCs w:val="22"/>
        </w:rPr>
        <w:t xml:space="preserve"> of notifiable conditions</w:t>
      </w:r>
      <w:r w:rsidR="00E67C96" w:rsidRPr="00FF55BF">
        <w:rPr>
          <w:rFonts w:asciiTheme="minorHAnsi" w:hAnsiTheme="minorHAnsi"/>
          <w:sz w:val="22"/>
          <w:szCs w:val="22"/>
        </w:rPr>
        <w:t xml:space="preserve"> </w:t>
      </w:r>
      <w:r w:rsidR="007F3BD1" w:rsidRPr="00FF55BF">
        <w:rPr>
          <w:rFonts w:asciiTheme="minorHAnsi" w:hAnsiTheme="minorHAnsi"/>
          <w:sz w:val="22"/>
          <w:szCs w:val="22"/>
        </w:rPr>
        <w:t>and to plan and conduct prevention and control programs</w:t>
      </w:r>
      <w:r w:rsidR="00BB45AE" w:rsidRPr="00FF55BF">
        <w:rPr>
          <w:rFonts w:asciiTheme="minorHAnsi" w:hAnsiTheme="minorHAnsi"/>
          <w:sz w:val="22"/>
          <w:szCs w:val="22"/>
        </w:rPr>
        <w:t xml:space="preserve"> at the state, territorial, local and national levels.</w:t>
      </w:r>
      <w:r w:rsidR="008F3581" w:rsidRPr="00FF55BF">
        <w:rPr>
          <w:rFonts w:asciiTheme="minorHAnsi" w:hAnsiTheme="minorHAnsi"/>
          <w:sz w:val="22"/>
          <w:szCs w:val="22"/>
        </w:rPr>
        <w:t xml:space="preserve"> </w:t>
      </w:r>
    </w:p>
    <w:p w14:paraId="664FFFFB" w14:textId="77777777" w:rsidR="00CC0ABB" w:rsidRPr="00FF55BF" w:rsidRDefault="00CC0ABB" w:rsidP="00925656">
      <w:pPr>
        <w:spacing w:line="360" w:lineRule="auto"/>
        <w:rPr>
          <w:rFonts w:asciiTheme="minorHAnsi" w:hAnsiTheme="minorHAnsi"/>
          <w:sz w:val="22"/>
          <w:szCs w:val="22"/>
        </w:rPr>
      </w:pPr>
    </w:p>
    <w:p w14:paraId="261C305A" w14:textId="77777777" w:rsidR="00B30AD7" w:rsidRPr="00FF55BF" w:rsidRDefault="00B30AD7" w:rsidP="00925656">
      <w:pPr>
        <w:spacing w:line="360" w:lineRule="auto"/>
        <w:rPr>
          <w:rFonts w:asciiTheme="minorHAnsi" w:hAnsiTheme="minorHAnsi"/>
          <w:sz w:val="22"/>
          <w:szCs w:val="22"/>
        </w:rPr>
      </w:pPr>
      <w:r w:rsidRPr="00FF55BF">
        <w:rPr>
          <w:rFonts w:asciiTheme="minorHAnsi" w:hAnsiTheme="minorHAnsi"/>
          <w:sz w:val="22"/>
          <w:szCs w:val="22"/>
        </w:rPr>
        <w:t xml:space="preserve">CDC is responsible for the reporting and dissemination of nationally notifiable </w:t>
      </w:r>
      <w:r w:rsidR="003C22D0">
        <w:rPr>
          <w:rFonts w:asciiTheme="minorHAnsi" w:hAnsiTheme="minorHAnsi"/>
          <w:sz w:val="22"/>
          <w:szCs w:val="22"/>
        </w:rPr>
        <w:t>conditions</w:t>
      </w:r>
      <w:r w:rsidR="003C22D0" w:rsidRPr="00FF55BF">
        <w:rPr>
          <w:rFonts w:asciiTheme="minorHAnsi" w:hAnsiTheme="minorHAnsi"/>
          <w:sz w:val="22"/>
          <w:szCs w:val="22"/>
        </w:rPr>
        <w:t xml:space="preserve">’ </w:t>
      </w:r>
      <w:r w:rsidRPr="00FF55BF">
        <w:rPr>
          <w:rFonts w:asciiTheme="minorHAnsi" w:hAnsiTheme="minorHAnsi"/>
          <w:sz w:val="22"/>
          <w:szCs w:val="22"/>
        </w:rPr>
        <w:t xml:space="preserve">information, as authorized by the Public Health Service Act (42 USC 241) of January 4, 2012 </w:t>
      </w:r>
      <w:r w:rsidRPr="00FF55BF">
        <w:rPr>
          <w:rFonts w:asciiTheme="minorHAnsi" w:hAnsiTheme="minorHAnsi"/>
          <w:b/>
          <w:sz w:val="22"/>
          <w:szCs w:val="22"/>
        </w:rPr>
        <w:t>[</w:t>
      </w:r>
      <w:r w:rsidR="00C67147" w:rsidRPr="00FF55BF">
        <w:rPr>
          <w:rFonts w:asciiTheme="minorHAnsi" w:hAnsiTheme="minorHAnsi"/>
          <w:b/>
          <w:sz w:val="22"/>
          <w:szCs w:val="22"/>
        </w:rPr>
        <w:t>Attachment 1. Authorizing Legislation]</w:t>
      </w:r>
      <w:r w:rsidRPr="00FF55BF">
        <w:rPr>
          <w:rFonts w:asciiTheme="minorHAnsi" w:hAnsiTheme="minorHAnsi"/>
          <w:sz w:val="22"/>
          <w:szCs w:val="22"/>
        </w:rPr>
        <w:t>.</w:t>
      </w:r>
    </w:p>
    <w:p w14:paraId="2277C351" w14:textId="77777777" w:rsidR="00B30AD7" w:rsidRPr="00FF55BF" w:rsidRDefault="00B30AD7" w:rsidP="00925656">
      <w:pPr>
        <w:spacing w:line="360" w:lineRule="auto"/>
        <w:rPr>
          <w:rFonts w:asciiTheme="minorHAnsi" w:hAnsiTheme="minorHAnsi"/>
          <w:sz w:val="22"/>
          <w:szCs w:val="22"/>
        </w:rPr>
      </w:pPr>
    </w:p>
    <w:p w14:paraId="678CAD00" w14:textId="77777777" w:rsidR="00A76198" w:rsidRPr="00FF55BF" w:rsidRDefault="008F3581" w:rsidP="00925656">
      <w:pPr>
        <w:spacing w:line="360" w:lineRule="auto"/>
        <w:rPr>
          <w:rFonts w:asciiTheme="minorHAnsi" w:hAnsiTheme="minorHAnsi"/>
          <w:sz w:val="22"/>
          <w:szCs w:val="22"/>
        </w:rPr>
      </w:pPr>
      <w:r w:rsidRPr="00FF55BF">
        <w:rPr>
          <w:rFonts w:asciiTheme="minorHAnsi" w:hAnsiTheme="minorHAnsi"/>
          <w:sz w:val="22"/>
          <w:szCs w:val="22"/>
        </w:rPr>
        <w:t>The collection of data for NNDSS which is included in this application is supported and administered by several programs at CDC</w:t>
      </w:r>
      <w:r w:rsidR="00566048" w:rsidRPr="00FF55BF">
        <w:rPr>
          <w:rFonts w:asciiTheme="minorHAnsi" w:hAnsiTheme="minorHAnsi"/>
          <w:sz w:val="22"/>
          <w:szCs w:val="22"/>
        </w:rPr>
        <w:t xml:space="preserve"> in </w:t>
      </w:r>
      <w:r w:rsidRPr="00FF55BF">
        <w:rPr>
          <w:rFonts w:asciiTheme="minorHAnsi" w:hAnsiTheme="minorHAnsi"/>
          <w:sz w:val="22"/>
          <w:szCs w:val="22"/>
        </w:rPr>
        <w:t xml:space="preserve">the </w:t>
      </w:r>
      <w:r w:rsidR="00EF4436">
        <w:rPr>
          <w:rFonts w:asciiTheme="minorHAnsi" w:hAnsiTheme="minorHAnsi"/>
          <w:sz w:val="22"/>
          <w:szCs w:val="22"/>
        </w:rPr>
        <w:t xml:space="preserve">1) </w:t>
      </w:r>
      <w:r w:rsidR="00074EB5" w:rsidRPr="00FF55BF">
        <w:rPr>
          <w:rFonts w:asciiTheme="minorHAnsi" w:hAnsiTheme="minorHAnsi"/>
          <w:sz w:val="22"/>
          <w:szCs w:val="22"/>
        </w:rPr>
        <w:t xml:space="preserve">Center for </w:t>
      </w:r>
      <w:r w:rsidRPr="00FF55BF">
        <w:rPr>
          <w:rFonts w:asciiTheme="minorHAnsi" w:hAnsiTheme="minorHAnsi"/>
          <w:sz w:val="22"/>
          <w:szCs w:val="22"/>
        </w:rPr>
        <w:t>Surveillance, Epidemio</w:t>
      </w:r>
      <w:r w:rsidR="00074EB5" w:rsidRPr="00FF55BF">
        <w:rPr>
          <w:rFonts w:asciiTheme="minorHAnsi" w:hAnsiTheme="minorHAnsi"/>
          <w:sz w:val="22"/>
          <w:szCs w:val="22"/>
        </w:rPr>
        <w:t>logy, and Laboratory Services (C</w:t>
      </w:r>
      <w:r w:rsidRPr="00FF55BF">
        <w:rPr>
          <w:rFonts w:asciiTheme="minorHAnsi" w:hAnsiTheme="minorHAnsi"/>
          <w:sz w:val="22"/>
          <w:szCs w:val="22"/>
        </w:rPr>
        <w:t>SELS)</w:t>
      </w:r>
      <w:r w:rsidR="00EF4436">
        <w:rPr>
          <w:rFonts w:asciiTheme="minorHAnsi" w:hAnsiTheme="minorHAnsi"/>
          <w:sz w:val="22"/>
          <w:szCs w:val="22"/>
        </w:rPr>
        <w:t>, Division for Health Informatics and Surveillance</w:t>
      </w:r>
      <w:r w:rsidR="00EF2979">
        <w:rPr>
          <w:rFonts w:asciiTheme="minorHAnsi" w:hAnsiTheme="minorHAnsi"/>
          <w:sz w:val="22"/>
          <w:szCs w:val="22"/>
        </w:rPr>
        <w:t xml:space="preserve"> (DHIS)</w:t>
      </w:r>
      <w:r w:rsidR="00EF4436">
        <w:rPr>
          <w:rFonts w:asciiTheme="minorHAnsi" w:hAnsiTheme="minorHAnsi"/>
          <w:sz w:val="22"/>
          <w:szCs w:val="22"/>
        </w:rPr>
        <w:t>;</w:t>
      </w:r>
      <w:r w:rsidRPr="00FF55BF">
        <w:rPr>
          <w:rFonts w:asciiTheme="minorHAnsi" w:hAnsiTheme="minorHAnsi"/>
          <w:sz w:val="22"/>
          <w:szCs w:val="22"/>
        </w:rPr>
        <w:t xml:space="preserve"> </w:t>
      </w:r>
      <w:r w:rsidR="00EF4436">
        <w:rPr>
          <w:rFonts w:asciiTheme="minorHAnsi" w:hAnsiTheme="minorHAnsi"/>
          <w:sz w:val="22"/>
          <w:szCs w:val="22"/>
        </w:rPr>
        <w:t xml:space="preserve">2) </w:t>
      </w:r>
      <w:r w:rsidR="005752CE" w:rsidRPr="00FF55BF">
        <w:rPr>
          <w:rFonts w:asciiTheme="minorHAnsi" w:hAnsiTheme="minorHAnsi"/>
          <w:sz w:val="22"/>
          <w:szCs w:val="22"/>
        </w:rPr>
        <w:t xml:space="preserve">Centers within </w:t>
      </w:r>
      <w:r w:rsidRPr="00FF55BF">
        <w:rPr>
          <w:rFonts w:asciiTheme="minorHAnsi" w:hAnsiTheme="minorHAnsi"/>
          <w:sz w:val="22"/>
          <w:szCs w:val="22"/>
        </w:rPr>
        <w:t xml:space="preserve">the Office </w:t>
      </w:r>
      <w:r w:rsidR="00EC4C4A" w:rsidRPr="00FF55BF">
        <w:rPr>
          <w:rFonts w:asciiTheme="minorHAnsi" w:hAnsiTheme="minorHAnsi"/>
          <w:sz w:val="22"/>
          <w:szCs w:val="22"/>
        </w:rPr>
        <w:t>of Infectious</w:t>
      </w:r>
      <w:r w:rsidRPr="00FF55BF">
        <w:rPr>
          <w:rFonts w:asciiTheme="minorHAnsi" w:hAnsiTheme="minorHAnsi"/>
          <w:sz w:val="22"/>
          <w:szCs w:val="22"/>
        </w:rPr>
        <w:t xml:space="preserve"> Diseases (OID)</w:t>
      </w:r>
      <w:r w:rsidR="00EF4436">
        <w:rPr>
          <w:rFonts w:asciiTheme="minorHAnsi" w:hAnsiTheme="minorHAnsi"/>
          <w:sz w:val="22"/>
          <w:szCs w:val="22"/>
        </w:rPr>
        <w:t>;</w:t>
      </w:r>
      <w:r w:rsidRPr="00FF55BF">
        <w:rPr>
          <w:rFonts w:asciiTheme="minorHAnsi" w:hAnsiTheme="minorHAnsi"/>
          <w:sz w:val="22"/>
          <w:szCs w:val="22"/>
        </w:rPr>
        <w:t xml:space="preserve"> and the </w:t>
      </w:r>
      <w:r w:rsidR="00EF4436">
        <w:rPr>
          <w:rFonts w:asciiTheme="minorHAnsi" w:hAnsiTheme="minorHAnsi"/>
          <w:sz w:val="22"/>
          <w:szCs w:val="22"/>
        </w:rPr>
        <w:t xml:space="preserve">3) </w:t>
      </w:r>
      <w:r w:rsidRPr="00FF55BF">
        <w:rPr>
          <w:rFonts w:asciiTheme="minorHAnsi" w:hAnsiTheme="minorHAnsi"/>
          <w:sz w:val="22"/>
          <w:szCs w:val="22"/>
        </w:rPr>
        <w:t>Center for Global Health (CGH).</w:t>
      </w:r>
    </w:p>
    <w:p w14:paraId="1AD5CA25" w14:textId="77777777" w:rsidR="0091413F" w:rsidRPr="00FF55BF" w:rsidRDefault="0091413F" w:rsidP="00925656">
      <w:pPr>
        <w:spacing w:line="360" w:lineRule="auto"/>
        <w:rPr>
          <w:rFonts w:asciiTheme="minorHAnsi" w:hAnsiTheme="minorHAnsi"/>
          <w:sz w:val="22"/>
          <w:szCs w:val="22"/>
        </w:rPr>
      </w:pPr>
    </w:p>
    <w:p w14:paraId="16B8AB8F" w14:textId="77777777" w:rsidR="00E078A5" w:rsidRDefault="000A005A" w:rsidP="00C07D68">
      <w:pPr>
        <w:spacing w:line="360" w:lineRule="auto"/>
        <w:rPr>
          <w:rFonts w:asciiTheme="minorHAnsi" w:eastAsia="Calibri" w:hAnsiTheme="minorHAnsi"/>
          <w:sz w:val="22"/>
          <w:szCs w:val="22"/>
        </w:rPr>
      </w:pPr>
      <w:r w:rsidRPr="00FF55BF">
        <w:rPr>
          <w:rFonts w:asciiTheme="minorHAnsi" w:hAnsiTheme="minorHAnsi"/>
          <w:color w:val="000000"/>
          <w:sz w:val="22"/>
          <w:szCs w:val="22"/>
        </w:rPr>
        <w:t xml:space="preserve">The </w:t>
      </w:r>
      <w:r w:rsidR="00A76198" w:rsidRPr="00FF55BF">
        <w:rPr>
          <w:rFonts w:asciiTheme="minorHAnsi" w:hAnsiTheme="minorHAnsi"/>
          <w:color w:val="000000"/>
          <w:sz w:val="22"/>
          <w:szCs w:val="22"/>
        </w:rPr>
        <w:t xml:space="preserve">NNDSS </w:t>
      </w:r>
      <w:r w:rsidR="00F57A0D" w:rsidRPr="00FF55BF">
        <w:rPr>
          <w:rFonts w:asciiTheme="minorHAnsi" w:hAnsiTheme="minorHAnsi"/>
          <w:color w:val="000000"/>
          <w:sz w:val="22"/>
          <w:szCs w:val="22"/>
        </w:rPr>
        <w:t>is</w:t>
      </w:r>
      <w:r w:rsidR="00A76198" w:rsidRPr="00FF55BF">
        <w:rPr>
          <w:rFonts w:asciiTheme="minorHAnsi" w:hAnsiTheme="minorHAnsi"/>
          <w:color w:val="000000"/>
          <w:sz w:val="22"/>
          <w:szCs w:val="22"/>
        </w:rPr>
        <w:t xml:space="preserve"> based on data collected </w:t>
      </w:r>
      <w:r w:rsidR="00F57A0D" w:rsidRPr="00FF55BF">
        <w:rPr>
          <w:rFonts w:asciiTheme="minorHAnsi" w:hAnsiTheme="minorHAnsi"/>
          <w:color w:val="000000"/>
          <w:sz w:val="22"/>
          <w:szCs w:val="22"/>
        </w:rPr>
        <w:t xml:space="preserve">at the state, territorial and local levels </w:t>
      </w:r>
      <w:r w:rsidR="00A76198" w:rsidRPr="00FF55BF">
        <w:rPr>
          <w:rFonts w:asciiTheme="minorHAnsi" w:hAnsiTheme="minorHAnsi"/>
          <w:color w:val="000000"/>
          <w:sz w:val="22"/>
          <w:szCs w:val="22"/>
        </w:rPr>
        <w:t xml:space="preserve">as a result of legislation and regulations </w:t>
      </w:r>
      <w:r w:rsidR="00F57A0D" w:rsidRPr="00FF55BF">
        <w:rPr>
          <w:rFonts w:asciiTheme="minorHAnsi" w:hAnsiTheme="minorHAnsi"/>
          <w:color w:val="000000"/>
          <w:sz w:val="22"/>
          <w:szCs w:val="22"/>
        </w:rPr>
        <w:t xml:space="preserve">in those jurisdictions </w:t>
      </w:r>
      <w:r w:rsidR="00A76198" w:rsidRPr="00FF55BF">
        <w:rPr>
          <w:rFonts w:asciiTheme="minorHAnsi" w:hAnsiTheme="minorHAnsi"/>
          <w:color w:val="000000"/>
          <w:sz w:val="22"/>
          <w:szCs w:val="22"/>
        </w:rPr>
        <w:t xml:space="preserve">that require health care </w:t>
      </w:r>
      <w:r w:rsidR="000A24D3" w:rsidRPr="00FF55BF">
        <w:rPr>
          <w:rFonts w:asciiTheme="minorHAnsi" w:hAnsiTheme="minorHAnsi"/>
          <w:color w:val="000000"/>
          <w:sz w:val="22"/>
          <w:szCs w:val="22"/>
        </w:rPr>
        <w:t>providers, medical laboratories</w:t>
      </w:r>
      <w:r w:rsidR="00A76198" w:rsidRPr="00FF55BF">
        <w:rPr>
          <w:rFonts w:asciiTheme="minorHAnsi" w:hAnsiTheme="minorHAnsi"/>
          <w:color w:val="000000"/>
          <w:sz w:val="22"/>
          <w:szCs w:val="22"/>
        </w:rPr>
        <w:t xml:space="preserve"> and other entities to submit health-related data on reportable conditions to public health </w:t>
      </w:r>
      <w:r w:rsidR="00F57A0D" w:rsidRPr="00FF55BF">
        <w:rPr>
          <w:rFonts w:asciiTheme="minorHAnsi" w:hAnsiTheme="minorHAnsi"/>
          <w:color w:val="000000"/>
          <w:sz w:val="22"/>
          <w:szCs w:val="22"/>
        </w:rPr>
        <w:t>departments</w:t>
      </w:r>
      <w:r w:rsidR="00A76198" w:rsidRPr="00FF55BF">
        <w:rPr>
          <w:rFonts w:asciiTheme="minorHAnsi" w:hAnsiTheme="minorHAnsi"/>
          <w:color w:val="000000"/>
          <w:sz w:val="22"/>
          <w:szCs w:val="22"/>
        </w:rPr>
        <w:t>.</w:t>
      </w:r>
      <w:r w:rsidR="00166D81" w:rsidRPr="00FF55BF">
        <w:rPr>
          <w:rFonts w:asciiTheme="minorHAnsi" w:hAnsiTheme="minorHAnsi"/>
          <w:color w:val="000000"/>
          <w:sz w:val="22"/>
          <w:szCs w:val="22"/>
        </w:rPr>
        <w:t xml:space="preserve"> </w:t>
      </w:r>
      <w:r w:rsidR="00A76198" w:rsidRPr="00FF55BF">
        <w:rPr>
          <w:rFonts w:asciiTheme="minorHAnsi" w:hAnsiTheme="minorHAnsi"/>
          <w:color w:val="000000"/>
          <w:sz w:val="22"/>
          <w:szCs w:val="22"/>
        </w:rPr>
        <w:t xml:space="preserve">These </w:t>
      </w:r>
      <w:r w:rsidR="00A76198" w:rsidRPr="00FF55BF">
        <w:rPr>
          <w:rFonts w:asciiTheme="minorHAnsi" w:hAnsiTheme="minorHAnsi"/>
          <w:color w:val="000000"/>
          <w:sz w:val="22"/>
          <w:szCs w:val="22"/>
          <w:u w:val="single"/>
        </w:rPr>
        <w:lastRenderedPageBreak/>
        <w:t>reportable conditions</w:t>
      </w:r>
      <w:r w:rsidR="00A76198" w:rsidRPr="00FF55BF">
        <w:rPr>
          <w:rFonts w:asciiTheme="minorHAnsi" w:hAnsiTheme="minorHAnsi"/>
          <w:color w:val="000000"/>
          <w:sz w:val="22"/>
          <w:szCs w:val="22"/>
        </w:rPr>
        <w:t xml:space="preserve">, which include infectious </w:t>
      </w:r>
      <w:r w:rsidR="00951C78" w:rsidRPr="00FF55BF">
        <w:rPr>
          <w:rFonts w:asciiTheme="minorHAnsi" w:hAnsiTheme="minorHAnsi"/>
          <w:color w:val="000000"/>
          <w:sz w:val="22"/>
          <w:szCs w:val="22"/>
        </w:rPr>
        <w:t xml:space="preserve">and non-infectious </w:t>
      </w:r>
      <w:r w:rsidR="00A76198" w:rsidRPr="00FF55BF">
        <w:rPr>
          <w:rFonts w:asciiTheme="minorHAnsi" w:hAnsiTheme="minorHAnsi"/>
          <w:color w:val="000000"/>
          <w:sz w:val="22"/>
          <w:szCs w:val="22"/>
        </w:rPr>
        <w:t>diseases</w:t>
      </w:r>
      <w:r w:rsidR="00951C78" w:rsidRPr="00FF55BF">
        <w:rPr>
          <w:rFonts w:asciiTheme="minorHAnsi" w:hAnsiTheme="minorHAnsi"/>
          <w:color w:val="000000"/>
          <w:sz w:val="22"/>
          <w:szCs w:val="22"/>
        </w:rPr>
        <w:t>,</w:t>
      </w:r>
      <w:r w:rsidR="00A76198" w:rsidRPr="00FF55BF">
        <w:rPr>
          <w:rFonts w:asciiTheme="minorHAnsi" w:hAnsiTheme="minorHAnsi"/>
          <w:color w:val="000000"/>
          <w:sz w:val="22"/>
          <w:szCs w:val="22"/>
        </w:rPr>
        <w:t xml:space="preserve"> vary by jurisdiction depe</w:t>
      </w:r>
      <w:r w:rsidR="00EB2BC3" w:rsidRPr="00FF55BF">
        <w:rPr>
          <w:rFonts w:asciiTheme="minorHAnsi" w:hAnsiTheme="minorHAnsi"/>
          <w:color w:val="000000"/>
          <w:sz w:val="22"/>
          <w:szCs w:val="22"/>
        </w:rPr>
        <w:t xml:space="preserve">nding upon each jurisdiction’s </w:t>
      </w:r>
      <w:r w:rsidR="00A76198" w:rsidRPr="00FF55BF">
        <w:rPr>
          <w:rFonts w:asciiTheme="minorHAnsi" w:hAnsiTheme="minorHAnsi"/>
          <w:color w:val="000000"/>
          <w:sz w:val="22"/>
          <w:szCs w:val="22"/>
        </w:rPr>
        <w:t>health priorities and needs. T</w:t>
      </w:r>
      <w:r w:rsidR="00A76198" w:rsidRPr="00FF55BF">
        <w:rPr>
          <w:rFonts w:asciiTheme="minorHAnsi" w:hAnsiTheme="minorHAnsi"/>
          <w:sz w:val="22"/>
          <w:szCs w:val="22"/>
        </w:rPr>
        <w:t xml:space="preserve">hese data at the state, territorial, and local levels are used to identify </w:t>
      </w:r>
      <w:r w:rsidR="00DA34E5" w:rsidRPr="00FF55BF">
        <w:rPr>
          <w:rFonts w:asciiTheme="minorHAnsi" w:hAnsiTheme="minorHAnsi"/>
          <w:sz w:val="22"/>
          <w:szCs w:val="22"/>
        </w:rPr>
        <w:t xml:space="preserve">and </w:t>
      </w:r>
      <w:r w:rsidR="00A76198" w:rsidRPr="00FF55BF">
        <w:rPr>
          <w:rFonts w:asciiTheme="minorHAnsi" w:hAnsiTheme="minorHAnsi"/>
          <w:sz w:val="22"/>
          <w:szCs w:val="22"/>
        </w:rPr>
        <w:t xml:space="preserve">monitor health impact of the reportable conditions in those communities, measure trends, identify populations or geographic areas at high risk, plan prevention and control programs and policies, allocate resources appropriately, and evaluate the effectiveness of programs and policies. </w:t>
      </w:r>
      <w:r w:rsidR="00C07D68" w:rsidRPr="00C07D68">
        <w:rPr>
          <w:rFonts w:asciiTheme="minorHAnsi" w:eastAsia="Calibri" w:hAnsiTheme="minorHAnsi"/>
          <w:sz w:val="22"/>
          <w:szCs w:val="22"/>
        </w:rPr>
        <w:t xml:space="preserve">Infectious disease agents and environmental hazards often cross geographical boundaries. </w:t>
      </w:r>
    </w:p>
    <w:p w14:paraId="459A56AE" w14:textId="77777777" w:rsidR="00E078A5" w:rsidRDefault="00E078A5" w:rsidP="00C07D68">
      <w:pPr>
        <w:spacing w:line="360" w:lineRule="auto"/>
        <w:rPr>
          <w:rFonts w:asciiTheme="minorHAnsi" w:eastAsia="Calibri" w:hAnsiTheme="minorHAnsi"/>
          <w:sz w:val="22"/>
          <w:szCs w:val="22"/>
        </w:rPr>
      </w:pPr>
    </w:p>
    <w:p w14:paraId="4CFC20DC" w14:textId="77777777" w:rsidR="00C07D68" w:rsidRDefault="00C07D68" w:rsidP="00C07D68">
      <w:pPr>
        <w:spacing w:line="360" w:lineRule="auto"/>
        <w:rPr>
          <w:rFonts w:asciiTheme="minorHAnsi" w:eastAsia="Calibri" w:hAnsiTheme="minorHAnsi"/>
          <w:sz w:val="22"/>
          <w:szCs w:val="22"/>
        </w:rPr>
      </w:pPr>
      <w:r w:rsidRPr="00C07D68">
        <w:rPr>
          <w:rFonts w:asciiTheme="minorHAnsi" w:eastAsia="Calibri" w:hAnsiTheme="minorHAnsi"/>
          <w:sz w:val="22"/>
          <w:szCs w:val="22"/>
        </w:rPr>
        <w:t xml:space="preserve">Each year, CSTE, supported by CDC, determines which reportable conditions should be designated </w:t>
      </w:r>
      <w:r w:rsidRPr="00E078A5">
        <w:rPr>
          <w:rFonts w:asciiTheme="minorHAnsi" w:eastAsia="Calibri" w:hAnsiTheme="minorHAnsi"/>
          <w:sz w:val="22"/>
          <w:szCs w:val="22"/>
          <w:u w:val="single"/>
        </w:rPr>
        <w:t>nationally notifiable</w:t>
      </w:r>
      <w:r w:rsidRPr="00C07D68">
        <w:rPr>
          <w:rFonts w:asciiTheme="minorHAnsi" w:eastAsia="Calibri" w:hAnsiTheme="minorHAnsi"/>
          <w:sz w:val="22"/>
          <w:szCs w:val="22"/>
        </w:rPr>
        <w:t xml:space="preserve"> and voluntarily submitted to CDC so that information can be shared across jurisdictional boundaries and both surveillance and prevention and control activities can be coordinated at regional and national levels.</w:t>
      </w:r>
    </w:p>
    <w:p w14:paraId="7F8574FB" w14:textId="77777777" w:rsidR="00C07D68" w:rsidRDefault="00C07D68" w:rsidP="00925656">
      <w:pPr>
        <w:tabs>
          <w:tab w:val="left" w:pos="1"/>
          <w:tab w:val="left" w:pos="1584"/>
          <w:tab w:val="left" w:pos="3888"/>
          <w:tab w:val="left" w:pos="5472"/>
          <w:tab w:val="left" w:pos="7200"/>
        </w:tabs>
        <w:spacing w:line="360" w:lineRule="auto"/>
        <w:rPr>
          <w:rFonts w:asciiTheme="minorHAnsi" w:eastAsia="Calibri" w:hAnsiTheme="minorHAnsi"/>
          <w:sz w:val="22"/>
          <w:szCs w:val="22"/>
        </w:rPr>
      </w:pPr>
    </w:p>
    <w:p w14:paraId="3DE5B1F3" w14:textId="77777777" w:rsidR="00AF7AB6" w:rsidRPr="00D1642D" w:rsidRDefault="00AF7AB6" w:rsidP="00925656">
      <w:pPr>
        <w:tabs>
          <w:tab w:val="left" w:pos="1"/>
          <w:tab w:val="left" w:pos="1584"/>
          <w:tab w:val="left" w:pos="3888"/>
          <w:tab w:val="left" w:pos="5472"/>
          <w:tab w:val="left" w:pos="7200"/>
        </w:tabs>
        <w:spacing w:line="360" w:lineRule="auto"/>
        <w:rPr>
          <w:rFonts w:asciiTheme="minorHAnsi" w:eastAsia="Calibri" w:hAnsiTheme="minorHAnsi"/>
          <w:sz w:val="22"/>
          <w:szCs w:val="22"/>
        </w:rPr>
      </w:pPr>
      <w:r w:rsidRPr="00D1642D">
        <w:rPr>
          <w:rFonts w:asciiTheme="minorHAnsi" w:eastAsia="Calibri" w:hAnsiTheme="minorHAnsi"/>
          <w:sz w:val="22"/>
          <w:szCs w:val="22"/>
        </w:rPr>
        <w:t xml:space="preserve">Description of Data </w:t>
      </w:r>
      <w:r w:rsidR="00A55E54" w:rsidRPr="00D1642D">
        <w:rPr>
          <w:rFonts w:asciiTheme="minorHAnsi" w:eastAsia="Calibri" w:hAnsiTheme="minorHAnsi"/>
          <w:sz w:val="22"/>
          <w:szCs w:val="22"/>
        </w:rPr>
        <w:t xml:space="preserve">Elements </w:t>
      </w:r>
      <w:r w:rsidRPr="00D1642D">
        <w:rPr>
          <w:rFonts w:asciiTheme="minorHAnsi" w:eastAsia="Calibri" w:hAnsiTheme="minorHAnsi"/>
          <w:sz w:val="22"/>
          <w:szCs w:val="22"/>
        </w:rPr>
        <w:t>Received</w:t>
      </w:r>
    </w:p>
    <w:p w14:paraId="2FE89F5B" w14:textId="77777777" w:rsidR="002357DA" w:rsidRDefault="004D5DFD" w:rsidP="00925656">
      <w:pPr>
        <w:spacing w:line="360" w:lineRule="auto"/>
        <w:rPr>
          <w:rFonts w:asciiTheme="minorHAnsi" w:hAnsiTheme="minorHAnsi"/>
          <w:color w:val="000000"/>
          <w:sz w:val="22"/>
          <w:szCs w:val="22"/>
        </w:rPr>
      </w:pPr>
      <w:r>
        <w:rPr>
          <w:rFonts w:asciiTheme="minorHAnsi" w:hAnsiTheme="minorHAnsi"/>
          <w:color w:val="000000"/>
          <w:sz w:val="22"/>
          <w:szCs w:val="22"/>
        </w:rPr>
        <w:t xml:space="preserve">The </w:t>
      </w:r>
      <w:r w:rsidR="00D555BA" w:rsidRPr="00D70AA9">
        <w:rPr>
          <w:rFonts w:asciiTheme="minorHAnsi" w:hAnsiTheme="minorHAnsi"/>
          <w:color w:val="000000"/>
          <w:sz w:val="22"/>
          <w:szCs w:val="22"/>
        </w:rPr>
        <w:t>nationally</w:t>
      </w:r>
      <w:r w:rsidR="00D555BA" w:rsidRPr="00FF55BF">
        <w:rPr>
          <w:rFonts w:asciiTheme="minorHAnsi" w:hAnsiTheme="minorHAnsi"/>
          <w:color w:val="000000"/>
          <w:sz w:val="22"/>
          <w:szCs w:val="22"/>
        </w:rPr>
        <w:t xml:space="preserve"> notifiable c</w:t>
      </w:r>
      <w:r w:rsidR="00C84BF5" w:rsidRPr="00FF55BF">
        <w:rPr>
          <w:rFonts w:asciiTheme="minorHAnsi" w:hAnsiTheme="minorHAnsi"/>
          <w:color w:val="000000"/>
          <w:sz w:val="22"/>
          <w:szCs w:val="22"/>
        </w:rPr>
        <w:t xml:space="preserve">onditions </w:t>
      </w:r>
      <w:r w:rsidR="00524384">
        <w:rPr>
          <w:rFonts w:asciiTheme="minorHAnsi" w:hAnsiTheme="minorHAnsi"/>
          <w:color w:val="000000"/>
          <w:sz w:val="22"/>
          <w:szCs w:val="22"/>
        </w:rPr>
        <w:t xml:space="preserve">received by CDC through NNDSS </w:t>
      </w:r>
      <w:r w:rsidR="00C84BF5" w:rsidRPr="00FF55BF">
        <w:rPr>
          <w:rFonts w:asciiTheme="minorHAnsi" w:hAnsiTheme="minorHAnsi"/>
          <w:color w:val="000000"/>
          <w:sz w:val="22"/>
          <w:szCs w:val="22"/>
        </w:rPr>
        <w:t>are listed in an attachment</w:t>
      </w:r>
      <w:r w:rsidR="007C3321" w:rsidRPr="00FF55BF">
        <w:rPr>
          <w:rFonts w:asciiTheme="minorHAnsi" w:hAnsiTheme="minorHAnsi"/>
          <w:color w:val="000000"/>
          <w:sz w:val="22"/>
          <w:szCs w:val="22"/>
        </w:rPr>
        <w:t xml:space="preserve"> </w:t>
      </w:r>
      <w:r w:rsidR="00B340F2" w:rsidRPr="00FF55BF">
        <w:rPr>
          <w:rFonts w:asciiTheme="minorHAnsi" w:hAnsiTheme="minorHAnsi"/>
          <w:b/>
          <w:color w:val="000000"/>
          <w:sz w:val="22"/>
          <w:szCs w:val="22"/>
        </w:rPr>
        <w:t>[</w:t>
      </w:r>
      <w:r w:rsidR="007C3321" w:rsidRPr="00FF55BF">
        <w:rPr>
          <w:rFonts w:asciiTheme="minorHAnsi" w:hAnsiTheme="minorHAnsi"/>
          <w:b/>
          <w:color w:val="000000"/>
          <w:sz w:val="22"/>
          <w:szCs w:val="22"/>
        </w:rPr>
        <w:t>Attachment</w:t>
      </w:r>
      <w:r w:rsidR="00F3721D" w:rsidRPr="00FF55BF">
        <w:rPr>
          <w:rFonts w:asciiTheme="minorHAnsi" w:hAnsiTheme="minorHAnsi"/>
          <w:b/>
          <w:color w:val="000000"/>
          <w:sz w:val="22"/>
          <w:szCs w:val="22"/>
        </w:rPr>
        <w:t xml:space="preserve"> </w:t>
      </w:r>
      <w:r w:rsidR="001B7D83">
        <w:rPr>
          <w:rFonts w:asciiTheme="minorHAnsi" w:hAnsiTheme="minorHAnsi"/>
          <w:b/>
          <w:color w:val="000000"/>
          <w:sz w:val="22"/>
          <w:szCs w:val="22"/>
        </w:rPr>
        <w:t>3</w:t>
      </w:r>
      <w:r w:rsidR="00B77237" w:rsidRPr="00FF55BF">
        <w:rPr>
          <w:rFonts w:asciiTheme="minorHAnsi" w:hAnsiTheme="minorHAnsi"/>
          <w:b/>
          <w:color w:val="000000"/>
          <w:sz w:val="22"/>
          <w:szCs w:val="22"/>
        </w:rPr>
        <w:t xml:space="preserve">. </w:t>
      </w:r>
      <w:r w:rsidR="00F3721D" w:rsidRPr="00FF55BF">
        <w:rPr>
          <w:rFonts w:asciiTheme="minorHAnsi" w:hAnsiTheme="minorHAnsi"/>
          <w:b/>
          <w:color w:val="000000"/>
          <w:sz w:val="22"/>
          <w:szCs w:val="22"/>
        </w:rPr>
        <w:t>List of N</w:t>
      </w:r>
      <w:r w:rsidR="00FB4CEB">
        <w:rPr>
          <w:rFonts w:asciiTheme="minorHAnsi" w:hAnsiTheme="minorHAnsi"/>
          <w:b/>
          <w:color w:val="000000"/>
          <w:sz w:val="22"/>
          <w:szCs w:val="22"/>
        </w:rPr>
        <w:t xml:space="preserve">ationally </w:t>
      </w:r>
      <w:r w:rsidR="00F3721D" w:rsidRPr="00FF55BF">
        <w:rPr>
          <w:rFonts w:asciiTheme="minorHAnsi" w:hAnsiTheme="minorHAnsi"/>
          <w:b/>
          <w:color w:val="000000"/>
          <w:sz w:val="22"/>
          <w:szCs w:val="22"/>
        </w:rPr>
        <w:t>N</w:t>
      </w:r>
      <w:r w:rsidR="00FB4CEB">
        <w:rPr>
          <w:rFonts w:asciiTheme="minorHAnsi" w:hAnsiTheme="minorHAnsi"/>
          <w:b/>
          <w:color w:val="000000"/>
          <w:sz w:val="22"/>
          <w:szCs w:val="22"/>
        </w:rPr>
        <w:t xml:space="preserve">otifiable </w:t>
      </w:r>
      <w:r>
        <w:rPr>
          <w:rFonts w:asciiTheme="minorHAnsi" w:hAnsiTheme="minorHAnsi"/>
          <w:b/>
          <w:color w:val="000000"/>
          <w:sz w:val="22"/>
          <w:szCs w:val="22"/>
        </w:rPr>
        <w:t>Condit</w:t>
      </w:r>
      <w:r w:rsidR="00FA5ACA">
        <w:rPr>
          <w:rFonts w:asciiTheme="minorHAnsi" w:hAnsiTheme="minorHAnsi"/>
          <w:b/>
          <w:color w:val="000000"/>
          <w:sz w:val="22"/>
          <w:szCs w:val="22"/>
        </w:rPr>
        <w:t>i</w:t>
      </w:r>
      <w:r>
        <w:rPr>
          <w:rFonts w:asciiTheme="minorHAnsi" w:hAnsiTheme="minorHAnsi"/>
          <w:b/>
          <w:color w:val="000000"/>
          <w:sz w:val="22"/>
          <w:szCs w:val="22"/>
        </w:rPr>
        <w:t>ons</w:t>
      </w:r>
      <w:r w:rsidR="00B340F2" w:rsidRPr="00FF55BF">
        <w:rPr>
          <w:rFonts w:asciiTheme="minorHAnsi" w:hAnsiTheme="minorHAnsi"/>
          <w:b/>
          <w:color w:val="000000"/>
          <w:sz w:val="22"/>
          <w:szCs w:val="22"/>
        </w:rPr>
        <w:t>]</w:t>
      </w:r>
      <w:r w:rsidR="007C3321" w:rsidRPr="00FF55BF">
        <w:rPr>
          <w:rFonts w:asciiTheme="minorHAnsi" w:hAnsiTheme="minorHAnsi"/>
          <w:b/>
          <w:color w:val="000000"/>
          <w:sz w:val="22"/>
          <w:szCs w:val="22"/>
        </w:rPr>
        <w:t>.</w:t>
      </w:r>
      <w:r w:rsidR="007C3321" w:rsidRPr="00FF55BF">
        <w:rPr>
          <w:rFonts w:asciiTheme="minorHAnsi" w:hAnsiTheme="minorHAnsi"/>
          <w:color w:val="000000"/>
          <w:sz w:val="22"/>
          <w:szCs w:val="22"/>
        </w:rPr>
        <w:t xml:space="preserve">  </w:t>
      </w:r>
      <w:r w:rsidR="000B1440">
        <w:rPr>
          <w:rFonts w:asciiTheme="minorHAnsi" w:hAnsiTheme="minorHAnsi"/>
          <w:color w:val="000000"/>
          <w:sz w:val="22"/>
          <w:szCs w:val="22"/>
        </w:rPr>
        <w:t xml:space="preserve">There are a few changes to </w:t>
      </w:r>
      <w:r w:rsidR="00FB772E">
        <w:rPr>
          <w:rFonts w:asciiTheme="minorHAnsi" w:hAnsiTheme="minorHAnsi"/>
          <w:color w:val="000000"/>
          <w:sz w:val="22"/>
          <w:szCs w:val="22"/>
        </w:rPr>
        <w:t>the List of Nationally Notifiable Conditions</w:t>
      </w:r>
      <w:r w:rsidR="000B1440">
        <w:rPr>
          <w:rFonts w:asciiTheme="minorHAnsi" w:hAnsiTheme="minorHAnsi"/>
          <w:color w:val="000000"/>
          <w:sz w:val="22"/>
          <w:szCs w:val="22"/>
        </w:rPr>
        <w:t xml:space="preserve"> that were not included in the </w:t>
      </w:r>
      <w:r w:rsidR="00AE31E6">
        <w:rPr>
          <w:rFonts w:asciiTheme="minorHAnsi" w:hAnsiTheme="minorHAnsi"/>
          <w:color w:val="000000"/>
          <w:sz w:val="22"/>
          <w:szCs w:val="22"/>
        </w:rPr>
        <w:t>previously approved</w:t>
      </w:r>
      <w:r w:rsidR="000B1440">
        <w:rPr>
          <w:rFonts w:asciiTheme="minorHAnsi" w:hAnsiTheme="minorHAnsi"/>
          <w:color w:val="000000"/>
          <w:sz w:val="22"/>
          <w:szCs w:val="22"/>
        </w:rPr>
        <w:t xml:space="preserve"> Information Collection Request (ICR). </w:t>
      </w:r>
      <w:r w:rsidR="00FB772E">
        <w:rPr>
          <w:rFonts w:asciiTheme="minorHAnsi" w:hAnsiTheme="minorHAnsi"/>
          <w:color w:val="000000"/>
          <w:sz w:val="22"/>
          <w:szCs w:val="22"/>
        </w:rPr>
        <w:t xml:space="preserve">CSTE issued a position statement in 2015 that replaced “Hepatitis C virus, past or present” and “Hepatitis C, acute” with “Hepatitis C” </w:t>
      </w:r>
      <w:r w:rsidR="00D041D9">
        <w:rPr>
          <w:rFonts w:asciiTheme="minorHAnsi" w:hAnsiTheme="minorHAnsi"/>
          <w:color w:val="000000"/>
          <w:sz w:val="22"/>
          <w:szCs w:val="22"/>
        </w:rPr>
        <w:t>(</w:t>
      </w:r>
      <w:hyperlink r:id="rId12" w:history="1">
        <w:r w:rsidR="00904DF8" w:rsidRPr="00402669">
          <w:rPr>
            <w:rStyle w:val="Hyperlink"/>
            <w:rFonts w:asciiTheme="minorHAnsi" w:hAnsiTheme="minorHAnsi"/>
            <w:sz w:val="22"/>
            <w:szCs w:val="22"/>
          </w:rPr>
          <w:t>http://c.ymcdn.com/sites/www.cste.org/resource/resmgr/2015PS/2015PSFinal/15-ID-03.pdf</w:t>
        </w:r>
      </w:hyperlink>
      <w:r w:rsidR="00E91399">
        <w:rPr>
          <w:rFonts w:asciiTheme="minorHAnsi" w:hAnsiTheme="minorHAnsi"/>
          <w:color w:val="000000"/>
          <w:sz w:val="22"/>
          <w:szCs w:val="22"/>
        </w:rPr>
        <w:t>)</w:t>
      </w:r>
      <w:r w:rsidR="002719CE">
        <w:rPr>
          <w:rFonts w:asciiTheme="minorHAnsi" w:hAnsiTheme="minorHAnsi"/>
          <w:color w:val="000000"/>
          <w:sz w:val="22"/>
          <w:szCs w:val="22"/>
        </w:rPr>
        <w:t xml:space="preserve">. </w:t>
      </w:r>
      <w:r w:rsidR="00FB772E">
        <w:rPr>
          <w:rFonts w:asciiTheme="minorHAnsi" w:hAnsiTheme="minorHAnsi"/>
          <w:color w:val="000000"/>
          <w:sz w:val="22"/>
          <w:szCs w:val="22"/>
        </w:rPr>
        <w:t xml:space="preserve">This change is now reflected in </w:t>
      </w:r>
      <w:r w:rsidR="0055281F">
        <w:rPr>
          <w:rFonts w:asciiTheme="minorHAnsi" w:hAnsiTheme="minorHAnsi"/>
          <w:color w:val="000000"/>
          <w:sz w:val="22"/>
          <w:szCs w:val="22"/>
        </w:rPr>
        <w:t>bold</w:t>
      </w:r>
      <w:r w:rsidR="00FB772E">
        <w:rPr>
          <w:rFonts w:asciiTheme="minorHAnsi" w:hAnsiTheme="minorHAnsi"/>
          <w:color w:val="000000"/>
          <w:sz w:val="22"/>
          <w:szCs w:val="22"/>
        </w:rPr>
        <w:t>.</w:t>
      </w:r>
      <w:r w:rsidR="000B1440">
        <w:rPr>
          <w:rFonts w:asciiTheme="minorHAnsi" w:hAnsiTheme="minorHAnsi"/>
          <w:color w:val="000000"/>
          <w:sz w:val="22"/>
          <w:szCs w:val="22"/>
        </w:rPr>
        <w:t xml:space="preserve"> </w:t>
      </w:r>
      <w:r w:rsidR="00307609">
        <w:rPr>
          <w:rFonts w:asciiTheme="minorHAnsi" w:hAnsiTheme="minorHAnsi"/>
          <w:color w:val="000000"/>
          <w:sz w:val="22"/>
          <w:szCs w:val="22"/>
        </w:rPr>
        <w:t>A</w:t>
      </w:r>
      <w:r w:rsidR="00D26BBE">
        <w:rPr>
          <w:rFonts w:asciiTheme="minorHAnsi" w:hAnsiTheme="minorHAnsi"/>
          <w:color w:val="000000"/>
          <w:sz w:val="22"/>
          <w:szCs w:val="22"/>
        </w:rPr>
        <w:t xml:space="preserve">ll specific </w:t>
      </w:r>
      <w:proofErr w:type="spellStart"/>
      <w:r w:rsidR="00D26BBE">
        <w:rPr>
          <w:rFonts w:asciiTheme="minorHAnsi" w:hAnsiTheme="minorHAnsi"/>
          <w:color w:val="000000"/>
          <w:sz w:val="22"/>
          <w:szCs w:val="22"/>
        </w:rPr>
        <w:t>Arboviral</w:t>
      </w:r>
      <w:proofErr w:type="spellEnd"/>
      <w:r w:rsidR="00D26BBE">
        <w:rPr>
          <w:rFonts w:asciiTheme="minorHAnsi" w:hAnsiTheme="minorHAnsi"/>
          <w:color w:val="000000"/>
          <w:sz w:val="22"/>
          <w:szCs w:val="22"/>
        </w:rPr>
        <w:t xml:space="preserve"> </w:t>
      </w:r>
      <w:r w:rsidR="002357DA">
        <w:rPr>
          <w:rFonts w:asciiTheme="minorHAnsi" w:hAnsiTheme="minorHAnsi"/>
          <w:color w:val="000000"/>
          <w:sz w:val="22"/>
          <w:szCs w:val="22"/>
        </w:rPr>
        <w:t>conditions</w:t>
      </w:r>
      <w:r w:rsidR="00D26BBE">
        <w:rPr>
          <w:rFonts w:asciiTheme="minorHAnsi" w:hAnsiTheme="minorHAnsi"/>
          <w:color w:val="000000"/>
          <w:sz w:val="22"/>
          <w:szCs w:val="22"/>
        </w:rPr>
        <w:t xml:space="preserve"> </w:t>
      </w:r>
      <w:r w:rsidR="00307609">
        <w:rPr>
          <w:rFonts w:asciiTheme="minorHAnsi" w:hAnsiTheme="minorHAnsi"/>
          <w:color w:val="000000"/>
          <w:sz w:val="22"/>
          <w:szCs w:val="22"/>
        </w:rPr>
        <w:t xml:space="preserve">were deleted </w:t>
      </w:r>
      <w:r w:rsidR="00D26BBE">
        <w:rPr>
          <w:rFonts w:asciiTheme="minorHAnsi" w:hAnsiTheme="minorHAnsi"/>
          <w:color w:val="000000"/>
          <w:sz w:val="22"/>
          <w:szCs w:val="22"/>
        </w:rPr>
        <w:t xml:space="preserve">and replaced </w:t>
      </w:r>
      <w:r w:rsidR="00307609">
        <w:rPr>
          <w:rFonts w:asciiTheme="minorHAnsi" w:hAnsiTheme="minorHAnsi"/>
          <w:color w:val="000000"/>
          <w:sz w:val="22"/>
          <w:szCs w:val="22"/>
        </w:rPr>
        <w:t>w</w:t>
      </w:r>
      <w:r w:rsidR="00D26BBE">
        <w:rPr>
          <w:rFonts w:asciiTheme="minorHAnsi" w:hAnsiTheme="minorHAnsi"/>
          <w:color w:val="000000"/>
          <w:sz w:val="22"/>
          <w:szCs w:val="22"/>
        </w:rPr>
        <w:t>ith an inclusive category, “</w:t>
      </w:r>
      <w:proofErr w:type="spellStart"/>
      <w:r w:rsidR="00D26BBE">
        <w:rPr>
          <w:rFonts w:asciiTheme="minorHAnsi" w:hAnsiTheme="minorHAnsi"/>
          <w:color w:val="000000"/>
          <w:sz w:val="22"/>
          <w:szCs w:val="22"/>
        </w:rPr>
        <w:t>Arboviral</w:t>
      </w:r>
      <w:proofErr w:type="spellEnd"/>
      <w:r w:rsidR="00D26BBE">
        <w:rPr>
          <w:rFonts w:asciiTheme="minorHAnsi" w:hAnsiTheme="minorHAnsi"/>
          <w:color w:val="000000"/>
          <w:sz w:val="22"/>
          <w:szCs w:val="22"/>
        </w:rPr>
        <w:t xml:space="preserve"> Diseases” which was not included in the previously approved ICR and is listed in bold. After discussions with CDC and local, state, and territorial health departments, CSTE issued a position statement </w:t>
      </w:r>
      <w:r w:rsidR="00DE086C">
        <w:rPr>
          <w:rFonts w:asciiTheme="minorHAnsi" w:hAnsiTheme="minorHAnsi"/>
          <w:color w:val="000000"/>
          <w:sz w:val="22"/>
          <w:szCs w:val="22"/>
        </w:rPr>
        <w:t>in 2004</w:t>
      </w:r>
      <w:r w:rsidR="00D26BBE">
        <w:rPr>
          <w:rFonts w:asciiTheme="minorHAnsi" w:hAnsiTheme="minorHAnsi"/>
          <w:color w:val="000000"/>
          <w:sz w:val="22"/>
          <w:szCs w:val="22"/>
        </w:rPr>
        <w:t xml:space="preserve"> that rendered all </w:t>
      </w:r>
      <w:proofErr w:type="spellStart"/>
      <w:r w:rsidR="00D26BBE">
        <w:rPr>
          <w:rFonts w:asciiTheme="minorHAnsi" w:hAnsiTheme="minorHAnsi"/>
          <w:color w:val="000000"/>
          <w:sz w:val="22"/>
          <w:szCs w:val="22"/>
        </w:rPr>
        <w:t>Arboviral</w:t>
      </w:r>
      <w:proofErr w:type="spellEnd"/>
      <w:r w:rsidR="00D26BBE">
        <w:rPr>
          <w:rFonts w:asciiTheme="minorHAnsi" w:hAnsiTheme="minorHAnsi"/>
          <w:color w:val="000000"/>
          <w:sz w:val="22"/>
          <w:szCs w:val="22"/>
        </w:rPr>
        <w:t xml:space="preserve"> Diseases nationally notifiable (</w:t>
      </w:r>
      <w:r w:rsidR="00DE086C" w:rsidRPr="00DE086C">
        <w:rPr>
          <w:rStyle w:val="Hyperlink"/>
          <w:rFonts w:asciiTheme="minorHAnsi" w:hAnsiTheme="minorHAnsi"/>
          <w:sz w:val="22"/>
          <w:szCs w:val="22"/>
        </w:rPr>
        <w:t>http://c.ymcdn.com/sites/www.cste.org/resource/resmgr/PS/04-ID-01-FINAL.pdf</w:t>
      </w:r>
      <w:r w:rsidR="00D26BBE">
        <w:rPr>
          <w:rFonts w:asciiTheme="minorHAnsi" w:hAnsiTheme="minorHAnsi"/>
          <w:color w:val="000000"/>
          <w:sz w:val="22"/>
          <w:szCs w:val="22"/>
        </w:rPr>
        <w:t>).</w:t>
      </w:r>
      <w:r w:rsidR="003642E6">
        <w:rPr>
          <w:rFonts w:asciiTheme="minorHAnsi" w:hAnsiTheme="minorHAnsi"/>
          <w:color w:val="000000"/>
          <w:sz w:val="22"/>
          <w:szCs w:val="22"/>
        </w:rPr>
        <w:t xml:space="preserve"> </w:t>
      </w:r>
      <w:r w:rsidR="000E78EE">
        <w:rPr>
          <w:rFonts w:asciiTheme="minorHAnsi" w:hAnsiTheme="minorHAnsi"/>
          <w:color w:val="000000"/>
          <w:sz w:val="22"/>
          <w:szCs w:val="22"/>
        </w:rPr>
        <w:t xml:space="preserve">The following </w:t>
      </w:r>
      <w:proofErr w:type="spellStart"/>
      <w:r w:rsidR="000E78EE">
        <w:rPr>
          <w:rFonts w:asciiTheme="minorHAnsi" w:hAnsiTheme="minorHAnsi"/>
          <w:color w:val="000000"/>
          <w:sz w:val="22"/>
          <w:szCs w:val="22"/>
        </w:rPr>
        <w:t>Arboviral</w:t>
      </w:r>
      <w:proofErr w:type="spellEnd"/>
      <w:r w:rsidR="000E78EE">
        <w:rPr>
          <w:rFonts w:asciiTheme="minorHAnsi" w:hAnsiTheme="minorHAnsi"/>
          <w:color w:val="000000"/>
          <w:sz w:val="22"/>
          <w:szCs w:val="22"/>
        </w:rPr>
        <w:t xml:space="preserve"> conditions were </w:t>
      </w:r>
      <w:r w:rsidR="002357DA">
        <w:rPr>
          <w:rFonts w:asciiTheme="minorHAnsi" w:hAnsiTheme="minorHAnsi"/>
          <w:color w:val="000000"/>
          <w:sz w:val="22"/>
          <w:szCs w:val="22"/>
        </w:rPr>
        <w:t>deleted from Attachment 3:</w:t>
      </w:r>
    </w:p>
    <w:p w14:paraId="0A362501" w14:textId="77777777" w:rsidR="002E2289" w:rsidRDefault="002E2289" w:rsidP="002E2289">
      <w:pPr>
        <w:pStyle w:val="ListParagraph"/>
        <w:numPr>
          <w:ilvl w:val="0"/>
          <w:numId w:val="21"/>
        </w:numPr>
        <w:spacing w:line="360" w:lineRule="auto"/>
        <w:rPr>
          <w:rFonts w:asciiTheme="minorHAnsi" w:hAnsiTheme="minorHAnsi"/>
          <w:color w:val="000000"/>
          <w:sz w:val="22"/>
          <w:szCs w:val="22"/>
        </w:rPr>
      </w:pPr>
      <w:r w:rsidRPr="002E2289">
        <w:rPr>
          <w:rFonts w:asciiTheme="minorHAnsi" w:hAnsiTheme="minorHAnsi"/>
          <w:color w:val="000000"/>
          <w:sz w:val="22"/>
          <w:szCs w:val="22"/>
        </w:rPr>
        <w:t xml:space="preserve">California serogroup virus </w:t>
      </w:r>
      <w:proofErr w:type="spellStart"/>
      <w:r w:rsidRPr="002E2289">
        <w:rPr>
          <w:rFonts w:asciiTheme="minorHAnsi" w:hAnsiTheme="minorHAnsi"/>
          <w:color w:val="000000"/>
          <w:sz w:val="22"/>
          <w:szCs w:val="22"/>
        </w:rPr>
        <w:t>neuroinvasive</w:t>
      </w:r>
      <w:proofErr w:type="spellEnd"/>
      <w:r w:rsidRPr="002E2289">
        <w:rPr>
          <w:rFonts w:asciiTheme="minorHAnsi" w:hAnsiTheme="minorHAnsi"/>
          <w:color w:val="000000"/>
          <w:sz w:val="22"/>
          <w:szCs w:val="22"/>
        </w:rPr>
        <w:t xml:space="preserve"> and non-</w:t>
      </w:r>
      <w:proofErr w:type="spellStart"/>
      <w:r w:rsidRPr="002E2289">
        <w:rPr>
          <w:rFonts w:asciiTheme="minorHAnsi" w:hAnsiTheme="minorHAnsi"/>
          <w:color w:val="000000"/>
          <w:sz w:val="22"/>
          <w:szCs w:val="22"/>
        </w:rPr>
        <w:t>neuroinvasive</w:t>
      </w:r>
      <w:proofErr w:type="spellEnd"/>
      <w:r w:rsidRPr="002E2289">
        <w:rPr>
          <w:rFonts w:asciiTheme="minorHAnsi" w:hAnsiTheme="minorHAnsi"/>
          <w:color w:val="000000"/>
          <w:sz w:val="22"/>
          <w:szCs w:val="22"/>
        </w:rPr>
        <w:t xml:space="preserve"> disease</w:t>
      </w:r>
    </w:p>
    <w:p w14:paraId="5A363AA7" w14:textId="77777777" w:rsidR="00077894" w:rsidRDefault="00077894" w:rsidP="00077894">
      <w:pPr>
        <w:pStyle w:val="ListParagraph"/>
        <w:numPr>
          <w:ilvl w:val="0"/>
          <w:numId w:val="21"/>
        </w:numPr>
        <w:spacing w:line="360" w:lineRule="auto"/>
        <w:rPr>
          <w:rFonts w:asciiTheme="minorHAnsi" w:hAnsiTheme="minorHAnsi"/>
          <w:color w:val="000000"/>
          <w:sz w:val="22"/>
          <w:szCs w:val="22"/>
        </w:rPr>
      </w:pPr>
      <w:r w:rsidRPr="00077894">
        <w:rPr>
          <w:rFonts w:asciiTheme="minorHAnsi" w:hAnsiTheme="minorHAnsi"/>
          <w:color w:val="000000"/>
          <w:sz w:val="22"/>
          <w:szCs w:val="22"/>
        </w:rPr>
        <w:t>Dengue fever (DF), Dengue hemorrhagic fever (DHF), Dengue shock syndrome (DSS)</w:t>
      </w:r>
    </w:p>
    <w:p w14:paraId="6D7507B6" w14:textId="77777777" w:rsidR="002E2289" w:rsidRDefault="004444BB" w:rsidP="004444BB">
      <w:pPr>
        <w:pStyle w:val="ListParagraph"/>
        <w:numPr>
          <w:ilvl w:val="0"/>
          <w:numId w:val="21"/>
        </w:numPr>
        <w:spacing w:line="360" w:lineRule="auto"/>
        <w:rPr>
          <w:rFonts w:asciiTheme="minorHAnsi" w:hAnsiTheme="minorHAnsi"/>
          <w:color w:val="000000"/>
          <w:sz w:val="22"/>
          <w:szCs w:val="22"/>
        </w:rPr>
      </w:pPr>
      <w:r w:rsidRPr="004444BB">
        <w:rPr>
          <w:rFonts w:asciiTheme="minorHAnsi" w:hAnsiTheme="minorHAnsi"/>
          <w:color w:val="000000"/>
          <w:sz w:val="22"/>
          <w:szCs w:val="22"/>
        </w:rPr>
        <w:t xml:space="preserve">Eastern equine encephalitis virus </w:t>
      </w:r>
      <w:proofErr w:type="spellStart"/>
      <w:r w:rsidRPr="004444BB">
        <w:rPr>
          <w:rFonts w:asciiTheme="minorHAnsi" w:hAnsiTheme="minorHAnsi"/>
          <w:color w:val="000000"/>
          <w:sz w:val="22"/>
          <w:szCs w:val="22"/>
        </w:rPr>
        <w:t>neuroinvasive</w:t>
      </w:r>
      <w:proofErr w:type="spellEnd"/>
      <w:r w:rsidRPr="004444BB">
        <w:rPr>
          <w:rFonts w:asciiTheme="minorHAnsi" w:hAnsiTheme="minorHAnsi"/>
          <w:color w:val="000000"/>
          <w:sz w:val="22"/>
          <w:szCs w:val="22"/>
        </w:rPr>
        <w:t xml:space="preserve"> and non-</w:t>
      </w:r>
      <w:proofErr w:type="spellStart"/>
      <w:r w:rsidRPr="004444BB">
        <w:rPr>
          <w:rFonts w:asciiTheme="minorHAnsi" w:hAnsiTheme="minorHAnsi"/>
          <w:color w:val="000000"/>
          <w:sz w:val="22"/>
          <w:szCs w:val="22"/>
        </w:rPr>
        <w:t>neuroinvasive</w:t>
      </w:r>
      <w:proofErr w:type="spellEnd"/>
      <w:r w:rsidRPr="004444BB">
        <w:rPr>
          <w:rFonts w:asciiTheme="minorHAnsi" w:hAnsiTheme="minorHAnsi"/>
          <w:color w:val="000000"/>
          <w:sz w:val="22"/>
          <w:szCs w:val="22"/>
        </w:rPr>
        <w:t xml:space="preserve"> disease</w:t>
      </w:r>
    </w:p>
    <w:p w14:paraId="3DB5B24D" w14:textId="77777777" w:rsidR="004444BB" w:rsidRDefault="004444BB" w:rsidP="004444BB">
      <w:pPr>
        <w:pStyle w:val="ListParagraph"/>
        <w:numPr>
          <w:ilvl w:val="0"/>
          <w:numId w:val="21"/>
        </w:numPr>
        <w:spacing w:line="360" w:lineRule="auto"/>
        <w:rPr>
          <w:rFonts w:asciiTheme="minorHAnsi" w:hAnsiTheme="minorHAnsi"/>
          <w:color w:val="000000"/>
          <w:sz w:val="22"/>
          <w:szCs w:val="22"/>
        </w:rPr>
      </w:pPr>
      <w:r w:rsidRPr="004444BB">
        <w:rPr>
          <w:rFonts w:asciiTheme="minorHAnsi" w:hAnsiTheme="minorHAnsi"/>
          <w:color w:val="000000"/>
          <w:sz w:val="22"/>
          <w:szCs w:val="22"/>
        </w:rPr>
        <w:t xml:space="preserve">Jamestown Canyon virus, </w:t>
      </w:r>
      <w:proofErr w:type="spellStart"/>
      <w:r w:rsidRPr="004444BB">
        <w:rPr>
          <w:rFonts w:asciiTheme="minorHAnsi" w:hAnsiTheme="minorHAnsi"/>
          <w:color w:val="000000"/>
          <w:sz w:val="22"/>
          <w:szCs w:val="22"/>
        </w:rPr>
        <w:t>neuroinvasive</w:t>
      </w:r>
      <w:proofErr w:type="spellEnd"/>
      <w:r w:rsidRPr="004444BB">
        <w:rPr>
          <w:rFonts w:asciiTheme="minorHAnsi" w:hAnsiTheme="minorHAnsi"/>
          <w:color w:val="000000"/>
          <w:sz w:val="22"/>
          <w:szCs w:val="22"/>
        </w:rPr>
        <w:t xml:space="preserve"> and non-</w:t>
      </w:r>
      <w:proofErr w:type="spellStart"/>
      <w:r w:rsidRPr="004444BB">
        <w:rPr>
          <w:rFonts w:asciiTheme="minorHAnsi" w:hAnsiTheme="minorHAnsi"/>
          <w:color w:val="000000"/>
          <w:sz w:val="22"/>
          <w:szCs w:val="22"/>
        </w:rPr>
        <w:t>neuroinvasive</w:t>
      </w:r>
      <w:proofErr w:type="spellEnd"/>
      <w:r w:rsidRPr="004444BB">
        <w:rPr>
          <w:rFonts w:asciiTheme="minorHAnsi" w:hAnsiTheme="minorHAnsi"/>
          <w:color w:val="000000"/>
          <w:sz w:val="22"/>
          <w:szCs w:val="22"/>
        </w:rPr>
        <w:t xml:space="preserve"> disease</w:t>
      </w:r>
    </w:p>
    <w:p w14:paraId="7E85FE13" w14:textId="77777777" w:rsidR="004444BB" w:rsidRDefault="008D49F6" w:rsidP="008D49F6">
      <w:pPr>
        <w:pStyle w:val="ListParagraph"/>
        <w:numPr>
          <w:ilvl w:val="0"/>
          <w:numId w:val="21"/>
        </w:numPr>
        <w:spacing w:line="360" w:lineRule="auto"/>
        <w:rPr>
          <w:rFonts w:asciiTheme="minorHAnsi" w:hAnsiTheme="minorHAnsi"/>
          <w:color w:val="000000"/>
          <w:sz w:val="22"/>
          <w:szCs w:val="22"/>
        </w:rPr>
      </w:pPr>
      <w:r w:rsidRPr="008D49F6">
        <w:rPr>
          <w:rFonts w:asciiTheme="minorHAnsi" w:hAnsiTheme="minorHAnsi"/>
          <w:color w:val="000000"/>
          <w:sz w:val="22"/>
          <w:szCs w:val="22"/>
        </w:rPr>
        <w:t xml:space="preserve">Powassan virus </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and non-</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disease</w:t>
      </w:r>
    </w:p>
    <w:p w14:paraId="75711164" w14:textId="77777777" w:rsidR="008D49F6" w:rsidRDefault="008D49F6" w:rsidP="008D49F6">
      <w:pPr>
        <w:pStyle w:val="ListParagraph"/>
        <w:numPr>
          <w:ilvl w:val="0"/>
          <w:numId w:val="21"/>
        </w:numPr>
        <w:spacing w:line="360" w:lineRule="auto"/>
        <w:rPr>
          <w:rFonts w:asciiTheme="minorHAnsi" w:hAnsiTheme="minorHAnsi"/>
          <w:color w:val="000000"/>
          <w:sz w:val="22"/>
          <w:szCs w:val="22"/>
        </w:rPr>
      </w:pPr>
      <w:r w:rsidRPr="008D49F6">
        <w:rPr>
          <w:rFonts w:asciiTheme="minorHAnsi" w:hAnsiTheme="minorHAnsi"/>
          <w:color w:val="000000"/>
          <w:sz w:val="22"/>
          <w:szCs w:val="22"/>
        </w:rPr>
        <w:t xml:space="preserve">St. Louis encephalitis virus </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and non-</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disease</w:t>
      </w:r>
    </w:p>
    <w:p w14:paraId="0DB51827" w14:textId="77777777" w:rsidR="008D49F6" w:rsidRDefault="008D49F6" w:rsidP="008D49F6">
      <w:pPr>
        <w:pStyle w:val="ListParagraph"/>
        <w:numPr>
          <w:ilvl w:val="0"/>
          <w:numId w:val="21"/>
        </w:numPr>
        <w:spacing w:line="360" w:lineRule="auto"/>
        <w:rPr>
          <w:rFonts w:asciiTheme="minorHAnsi" w:hAnsiTheme="minorHAnsi"/>
          <w:color w:val="000000"/>
          <w:sz w:val="22"/>
          <w:szCs w:val="22"/>
        </w:rPr>
      </w:pPr>
      <w:r w:rsidRPr="008D49F6">
        <w:rPr>
          <w:rFonts w:asciiTheme="minorHAnsi" w:hAnsiTheme="minorHAnsi"/>
          <w:color w:val="000000"/>
          <w:sz w:val="22"/>
          <w:szCs w:val="22"/>
        </w:rPr>
        <w:lastRenderedPageBreak/>
        <w:t xml:space="preserve">West Nile virus </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and non-</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disease</w:t>
      </w:r>
    </w:p>
    <w:p w14:paraId="776C3627" w14:textId="77777777" w:rsidR="008D49F6" w:rsidRDefault="008D49F6" w:rsidP="008D49F6">
      <w:pPr>
        <w:pStyle w:val="ListParagraph"/>
        <w:numPr>
          <w:ilvl w:val="0"/>
          <w:numId w:val="21"/>
        </w:numPr>
        <w:spacing w:line="360" w:lineRule="auto"/>
        <w:rPr>
          <w:rFonts w:asciiTheme="minorHAnsi" w:hAnsiTheme="minorHAnsi"/>
          <w:color w:val="000000"/>
          <w:sz w:val="22"/>
          <w:szCs w:val="22"/>
        </w:rPr>
      </w:pPr>
      <w:r w:rsidRPr="008D49F6">
        <w:rPr>
          <w:rFonts w:asciiTheme="minorHAnsi" w:hAnsiTheme="minorHAnsi"/>
          <w:color w:val="000000"/>
          <w:sz w:val="22"/>
          <w:szCs w:val="22"/>
        </w:rPr>
        <w:t xml:space="preserve">Western equine encephalitis virus </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and non-</w:t>
      </w:r>
      <w:proofErr w:type="spellStart"/>
      <w:r w:rsidRPr="008D49F6">
        <w:rPr>
          <w:rFonts w:asciiTheme="minorHAnsi" w:hAnsiTheme="minorHAnsi"/>
          <w:color w:val="000000"/>
          <w:sz w:val="22"/>
          <w:szCs w:val="22"/>
        </w:rPr>
        <w:t>neuroinvasive</w:t>
      </w:r>
      <w:proofErr w:type="spellEnd"/>
      <w:r w:rsidRPr="008D49F6">
        <w:rPr>
          <w:rFonts w:asciiTheme="minorHAnsi" w:hAnsiTheme="minorHAnsi"/>
          <w:color w:val="000000"/>
          <w:sz w:val="22"/>
          <w:szCs w:val="22"/>
        </w:rPr>
        <w:t xml:space="preserve"> disease</w:t>
      </w:r>
    </w:p>
    <w:p w14:paraId="0D6679E5" w14:textId="77777777" w:rsidR="008D49F6" w:rsidRPr="002E2289" w:rsidRDefault="008D49F6" w:rsidP="008D49F6">
      <w:pPr>
        <w:pStyle w:val="ListParagraph"/>
        <w:numPr>
          <w:ilvl w:val="0"/>
          <w:numId w:val="21"/>
        </w:numPr>
        <w:spacing w:line="360" w:lineRule="auto"/>
        <w:rPr>
          <w:rFonts w:asciiTheme="minorHAnsi" w:hAnsiTheme="minorHAnsi"/>
          <w:color w:val="000000"/>
          <w:sz w:val="22"/>
          <w:szCs w:val="22"/>
        </w:rPr>
      </w:pPr>
      <w:r w:rsidRPr="008D49F6">
        <w:rPr>
          <w:rFonts w:asciiTheme="minorHAnsi" w:hAnsiTheme="minorHAnsi"/>
          <w:color w:val="000000"/>
          <w:sz w:val="22"/>
          <w:szCs w:val="22"/>
        </w:rPr>
        <w:t>Yellow fever</w:t>
      </w:r>
    </w:p>
    <w:p w14:paraId="2F5F0642" w14:textId="77777777" w:rsidR="00116C70" w:rsidRDefault="00840771" w:rsidP="00925656">
      <w:pPr>
        <w:spacing w:line="360" w:lineRule="auto"/>
        <w:rPr>
          <w:rFonts w:asciiTheme="minorHAnsi" w:hAnsiTheme="minorHAnsi"/>
          <w:color w:val="000000"/>
          <w:sz w:val="22"/>
          <w:szCs w:val="22"/>
        </w:rPr>
      </w:pPr>
      <w:r w:rsidRPr="00840771">
        <w:rPr>
          <w:rFonts w:asciiTheme="minorHAnsi" w:hAnsiTheme="minorHAnsi"/>
          <w:color w:val="000000"/>
          <w:sz w:val="22"/>
          <w:szCs w:val="22"/>
        </w:rPr>
        <w:t>Hantavirus infection</w:t>
      </w:r>
      <w:r w:rsidR="001F482A">
        <w:rPr>
          <w:rFonts w:asciiTheme="minorHAnsi" w:hAnsiTheme="minorHAnsi"/>
          <w:color w:val="000000"/>
          <w:sz w:val="22"/>
          <w:szCs w:val="22"/>
        </w:rPr>
        <w:t>,</w:t>
      </w:r>
      <w:r w:rsidRPr="00840771">
        <w:rPr>
          <w:rFonts w:asciiTheme="minorHAnsi" w:hAnsiTheme="minorHAnsi"/>
          <w:color w:val="000000"/>
          <w:sz w:val="22"/>
          <w:szCs w:val="22"/>
        </w:rPr>
        <w:t xml:space="preserve"> non-Hantavirus Pulmonary Syndrome</w:t>
      </w:r>
      <w:r w:rsidR="00A0310C">
        <w:rPr>
          <w:rFonts w:asciiTheme="minorHAnsi" w:hAnsiTheme="minorHAnsi"/>
          <w:color w:val="000000"/>
          <w:sz w:val="22"/>
          <w:szCs w:val="22"/>
        </w:rPr>
        <w:t xml:space="preserve"> </w:t>
      </w:r>
      <w:r w:rsidR="00AC7E1A">
        <w:rPr>
          <w:rFonts w:asciiTheme="minorHAnsi" w:hAnsiTheme="minorHAnsi"/>
          <w:color w:val="000000"/>
          <w:sz w:val="22"/>
          <w:szCs w:val="22"/>
        </w:rPr>
        <w:t>which w</w:t>
      </w:r>
      <w:r w:rsidR="001F482A">
        <w:rPr>
          <w:rFonts w:asciiTheme="minorHAnsi" w:hAnsiTheme="minorHAnsi"/>
          <w:color w:val="000000"/>
          <w:sz w:val="22"/>
          <w:szCs w:val="22"/>
        </w:rPr>
        <w:t>as</w:t>
      </w:r>
      <w:r w:rsidR="00AC7E1A">
        <w:rPr>
          <w:rFonts w:asciiTheme="minorHAnsi" w:hAnsiTheme="minorHAnsi"/>
          <w:color w:val="000000"/>
          <w:sz w:val="22"/>
          <w:szCs w:val="22"/>
        </w:rPr>
        <w:t xml:space="preserve"> not included in the previously approved ICR, </w:t>
      </w:r>
      <w:r w:rsidR="001F482A">
        <w:rPr>
          <w:rFonts w:asciiTheme="minorHAnsi" w:hAnsiTheme="minorHAnsi"/>
          <w:color w:val="000000"/>
          <w:sz w:val="22"/>
          <w:szCs w:val="22"/>
        </w:rPr>
        <w:t>is</w:t>
      </w:r>
      <w:r w:rsidR="006F2027">
        <w:rPr>
          <w:rFonts w:asciiTheme="minorHAnsi" w:hAnsiTheme="minorHAnsi"/>
          <w:color w:val="000000"/>
          <w:sz w:val="22"/>
          <w:szCs w:val="22"/>
        </w:rPr>
        <w:t xml:space="preserve"> now</w:t>
      </w:r>
      <w:r w:rsidR="00A06CA9">
        <w:rPr>
          <w:rFonts w:asciiTheme="minorHAnsi" w:hAnsiTheme="minorHAnsi"/>
          <w:color w:val="000000"/>
          <w:sz w:val="22"/>
          <w:szCs w:val="22"/>
        </w:rPr>
        <w:t xml:space="preserve"> nationally notifiable</w:t>
      </w:r>
      <w:r w:rsidR="00524384">
        <w:rPr>
          <w:rFonts w:asciiTheme="minorHAnsi" w:hAnsiTheme="minorHAnsi"/>
          <w:color w:val="000000"/>
          <w:sz w:val="22"/>
          <w:szCs w:val="22"/>
        </w:rPr>
        <w:t xml:space="preserve"> </w:t>
      </w:r>
      <w:r w:rsidR="003C22D0">
        <w:rPr>
          <w:rFonts w:asciiTheme="minorHAnsi" w:hAnsiTheme="minorHAnsi"/>
          <w:color w:val="000000"/>
          <w:sz w:val="22"/>
          <w:szCs w:val="22"/>
        </w:rPr>
        <w:t>and</w:t>
      </w:r>
      <w:r w:rsidR="00A06CA9">
        <w:rPr>
          <w:rFonts w:asciiTheme="minorHAnsi" w:hAnsiTheme="minorHAnsi"/>
          <w:color w:val="000000"/>
          <w:sz w:val="22"/>
          <w:szCs w:val="22"/>
        </w:rPr>
        <w:t xml:space="preserve"> </w:t>
      </w:r>
      <w:r w:rsidR="004040DB">
        <w:rPr>
          <w:rFonts w:asciiTheme="minorHAnsi" w:hAnsiTheme="minorHAnsi"/>
          <w:color w:val="000000"/>
          <w:sz w:val="22"/>
          <w:szCs w:val="22"/>
        </w:rPr>
        <w:t xml:space="preserve">is </w:t>
      </w:r>
      <w:r w:rsidR="00524384">
        <w:rPr>
          <w:rFonts w:asciiTheme="minorHAnsi" w:hAnsiTheme="minorHAnsi"/>
          <w:color w:val="000000"/>
          <w:sz w:val="22"/>
          <w:szCs w:val="22"/>
        </w:rPr>
        <w:t xml:space="preserve">also </w:t>
      </w:r>
      <w:r w:rsidR="00A06CA9">
        <w:rPr>
          <w:rFonts w:asciiTheme="minorHAnsi" w:hAnsiTheme="minorHAnsi"/>
          <w:color w:val="000000"/>
          <w:sz w:val="22"/>
          <w:szCs w:val="22"/>
        </w:rPr>
        <w:t>listed</w:t>
      </w:r>
      <w:r w:rsidR="008D45A7">
        <w:rPr>
          <w:rFonts w:asciiTheme="minorHAnsi" w:hAnsiTheme="minorHAnsi"/>
          <w:color w:val="000000"/>
          <w:sz w:val="22"/>
          <w:szCs w:val="22"/>
        </w:rPr>
        <w:t xml:space="preserve"> in bold</w:t>
      </w:r>
      <w:r w:rsidR="00A06CA9">
        <w:rPr>
          <w:rFonts w:asciiTheme="minorHAnsi" w:hAnsiTheme="minorHAnsi"/>
          <w:color w:val="000000"/>
          <w:sz w:val="22"/>
          <w:szCs w:val="22"/>
        </w:rPr>
        <w:t xml:space="preserve"> </w:t>
      </w:r>
      <w:r w:rsidR="00524384">
        <w:rPr>
          <w:rFonts w:asciiTheme="minorHAnsi" w:hAnsiTheme="minorHAnsi"/>
          <w:color w:val="000000"/>
          <w:sz w:val="22"/>
          <w:szCs w:val="22"/>
        </w:rPr>
        <w:t xml:space="preserve">in Attachment </w:t>
      </w:r>
      <w:r w:rsidR="001B7D83">
        <w:rPr>
          <w:rFonts w:asciiTheme="minorHAnsi" w:hAnsiTheme="minorHAnsi"/>
          <w:color w:val="000000"/>
          <w:sz w:val="22"/>
          <w:szCs w:val="22"/>
        </w:rPr>
        <w:t>3</w:t>
      </w:r>
      <w:r w:rsidR="00A06CA9">
        <w:rPr>
          <w:rFonts w:asciiTheme="minorHAnsi" w:hAnsiTheme="minorHAnsi"/>
          <w:color w:val="000000"/>
          <w:sz w:val="22"/>
          <w:szCs w:val="22"/>
        </w:rPr>
        <w:t>.</w:t>
      </w:r>
      <w:r w:rsidR="00AC7E1A">
        <w:rPr>
          <w:rFonts w:asciiTheme="minorHAnsi" w:hAnsiTheme="minorHAnsi"/>
          <w:color w:val="000000"/>
          <w:sz w:val="22"/>
          <w:szCs w:val="22"/>
        </w:rPr>
        <w:t xml:space="preserve"> </w:t>
      </w:r>
    </w:p>
    <w:p w14:paraId="6B7FD110" w14:textId="77777777" w:rsidR="00116C70" w:rsidRDefault="00116C70" w:rsidP="00925656">
      <w:pPr>
        <w:spacing w:line="360" w:lineRule="auto"/>
        <w:rPr>
          <w:rFonts w:asciiTheme="minorHAnsi" w:hAnsiTheme="minorHAnsi"/>
          <w:color w:val="000000"/>
          <w:sz w:val="22"/>
          <w:szCs w:val="22"/>
        </w:rPr>
      </w:pPr>
    </w:p>
    <w:p w14:paraId="218450C5" w14:textId="4074A8E9" w:rsidR="002719CE" w:rsidRPr="00FF55BF" w:rsidRDefault="002E2289" w:rsidP="00925656">
      <w:pPr>
        <w:spacing w:line="360" w:lineRule="auto"/>
        <w:rPr>
          <w:rFonts w:asciiTheme="minorHAnsi" w:hAnsiTheme="minorHAnsi"/>
          <w:color w:val="FF0000"/>
          <w:sz w:val="22"/>
          <w:szCs w:val="22"/>
        </w:rPr>
      </w:pPr>
      <w:r>
        <w:rPr>
          <w:rFonts w:asciiTheme="minorHAnsi" w:hAnsiTheme="minorHAnsi"/>
          <w:color w:val="000000"/>
          <w:sz w:val="22"/>
          <w:szCs w:val="22"/>
        </w:rPr>
        <w:t xml:space="preserve">Additionally, </w:t>
      </w:r>
      <w:r w:rsidR="00116C70">
        <w:rPr>
          <w:rFonts w:asciiTheme="minorHAnsi" w:hAnsiTheme="minorHAnsi"/>
          <w:color w:val="000000"/>
          <w:sz w:val="22"/>
          <w:szCs w:val="22"/>
        </w:rPr>
        <w:t xml:space="preserve">there are two conditions, Acute Flaccid </w:t>
      </w:r>
      <w:r w:rsidR="003E588E">
        <w:rPr>
          <w:rFonts w:asciiTheme="minorHAnsi" w:hAnsiTheme="minorHAnsi"/>
          <w:color w:val="000000"/>
          <w:sz w:val="22"/>
          <w:szCs w:val="22"/>
        </w:rPr>
        <w:t>Myelitis</w:t>
      </w:r>
      <w:r w:rsidR="00116C70">
        <w:rPr>
          <w:rFonts w:asciiTheme="minorHAnsi" w:hAnsiTheme="minorHAnsi"/>
          <w:color w:val="000000"/>
          <w:sz w:val="22"/>
          <w:szCs w:val="22"/>
        </w:rPr>
        <w:t xml:space="preserve"> and </w:t>
      </w:r>
      <w:r w:rsidR="00B310A8" w:rsidRPr="00B310A8">
        <w:rPr>
          <w:rFonts w:asciiTheme="minorHAnsi" w:hAnsiTheme="minorHAnsi"/>
          <w:color w:val="000000"/>
          <w:sz w:val="22"/>
          <w:szCs w:val="22"/>
        </w:rPr>
        <w:t xml:space="preserve">Amebic </w:t>
      </w:r>
      <w:proofErr w:type="gramStart"/>
      <w:r w:rsidR="00B310A8" w:rsidRPr="00B310A8">
        <w:rPr>
          <w:rFonts w:asciiTheme="minorHAnsi" w:hAnsiTheme="minorHAnsi"/>
          <w:color w:val="000000"/>
          <w:sz w:val="22"/>
          <w:szCs w:val="22"/>
        </w:rPr>
        <w:t>Encephalitis</w:t>
      </w:r>
      <w:r w:rsidR="00116C70">
        <w:rPr>
          <w:rFonts w:asciiTheme="minorHAnsi" w:hAnsiTheme="minorHAnsi"/>
          <w:color w:val="000000"/>
          <w:sz w:val="22"/>
          <w:szCs w:val="22"/>
        </w:rPr>
        <w:t>, that</w:t>
      </w:r>
      <w:proofErr w:type="gramEnd"/>
      <w:r w:rsidR="00AB3C40">
        <w:rPr>
          <w:rFonts w:asciiTheme="minorHAnsi" w:hAnsiTheme="minorHAnsi"/>
          <w:color w:val="000000"/>
          <w:sz w:val="22"/>
          <w:szCs w:val="22"/>
        </w:rPr>
        <w:t xml:space="preserve"> were not included in the previously approved ICR.  </w:t>
      </w:r>
      <w:r w:rsidR="001F6B16">
        <w:rPr>
          <w:rFonts w:asciiTheme="minorHAnsi" w:hAnsiTheme="minorHAnsi"/>
          <w:color w:val="000000"/>
          <w:sz w:val="22"/>
          <w:szCs w:val="22"/>
        </w:rPr>
        <w:t>A</w:t>
      </w:r>
      <w:r w:rsidR="00B92029" w:rsidRPr="00B92029">
        <w:rPr>
          <w:rFonts w:asciiTheme="minorHAnsi" w:hAnsiTheme="minorHAnsi"/>
          <w:color w:val="000000"/>
          <w:sz w:val="22"/>
          <w:szCs w:val="22"/>
        </w:rPr>
        <w:t xml:space="preserve"> position statement was submitted at the CSTE Annua</w:t>
      </w:r>
      <w:r w:rsidR="00B92029">
        <w:rPr>
          <w:rFonts w:asciiTheme="minorHAnsi" w:hAnsiTheme="minorHAnsi"/>
          <w:color w:val="000000"/>
          <w:sz w:val="22"/>
          <w:szCs w:val="22"/>
        </w:rPr>
        <w:t xml:space="preserve">l Meeting in June of this year </w:t>
      </w:r>
      <w:r w:rsidR="00B92029" w:rsidRPr="00B92029">
        <w:rPr>
          <w:rFonts w:asciiTheme="minorHAnsi" w:hAnsiTheme="minorHAnsi"/>
          <w:color w:val="000000"/>
          <w:sz w:val="22"/>
          <w:szCs w:val="22"/>
        </w:rPr>
        <w:t>specifying a standardized case definition for Acute Flaccid Myelitis (</w:t>
      </w:r>
      <w:hyperlink r:id="rId13" w:history="1">
        <w:r w:rsidR="001F482A" w:rsidRPr="00D03824">
          <w:rPr>
            <w:rStyle w:val="Hyperlink"/>
            <w:rFonts w:asciiTheme="minorHAnsi" w:hAnsiTheme="minorHAnsi"/>
            <w:sz w:val="22"/>
            <w:szCs w:val="22"/>
          </w:rPr>
          <w:t>https://docs.google.com/document/d/1FecEviYjN_OSO-2KFg0kxMAVM-2vTI2x1EII_6lkN5s/edit</w:t>
        </w:r>
      </w:hyperlink>
      <w:r w:rsidR="00B92029" w:rsidRPr="00B92029">
        <w:rPr>
          <w:rFonts w:asciiTheme="minorHAnsi" w:hAnsiTheme="minorHAnsi"/>
          <w:color w:val="000000"/>
          <w:sz w:val="22"/>
          <w:szCs w:val="22"/>
        </w:rPr>
        <w:t xml:space="preserve">). </w:t>
      </w:r>
      <w:r w:rsidR="00BB67F5">
        <w:rPr>
          <w:rFonts w:asciiTheme="minorHAnsi" w:hAnsiTheme="minorHAnsi"/>
          <w:color w:val="000000"/>
          <w:sz w:val="22"/>
          <w:szCs w:val="22"/>
        </w:rPr>
        <w:t>In 2012, CSTE approved a position statement establishing standardized case definitions for free-living amebae infections (</w:t>
      </w:r>
      <w:hyperlink r:id="rId14" w:history="1">
        <w:r w:rsidR="00D42904" w:rsidRPr="004C3101">
          <w:rPr>
            <w:rStyle w:val="Hyperlink"/>
            <w:rFonts w:asciiTheme="minorHAnsi" w:hAnsiTheme="minorHAnsi"/>
            <w:sz w:val="22"/>
            <w:szCs w:val="22"/>
          </w:rPr>
          <w:t>http://wwwn.cdc.gov/nndss/conditions/free-living-amebae-infections/case-definition/2012/</w:t>
        </w:r>
      </w:hyperlink>
      <w:r w:rsidR="00BB67F5">
        <w:rPr>
          <w:rFonts w:asciiTheme="minorHAnsi" w:hAnsiTheme="minorHAnsi"/>
          <w:color w:val="000000"/>
          <w:sz w:val="22"/>
          <w:szCs w:val="22"/>
        </w:rPr>
        <w:t xml:space="preserve">).  </w:t>
      </w:r>
      <w:r w:rsidR="001F6B16" w:rsidRPr="001F6B16">
        <w:rPr>
          <w:rFonts w:asciiTheme="minorHAnsi" w:hAnsiTheme="minorHAnsi"/>
          <w:color w:val="000000"/>
          <w:sz w:val="22"/>
          <w:szCs w:val="22"/>
        </w:rPr>
        <w:t xml:space="preserve">CSTE has not yet issued a position statement </w:t>
      </w:r>
      <w:r w:rsidR="001F6B16">
        <w:rPr>
          <w:rFonts w:asciiTheme="minorHAnsi" w:hAnsiTheme="minorHAnsi"/>
          <w:color w:val="000000"/>
          <w:sz w:val="22"/>
          <w:szCs w:val="22"/>
        </w:rPr>
        <w:t xml:space="preserve">for </w:t>
      </w:r>
      <w:r w:rsidR="00002D47" w:rsidRPr="00002D47">
        <w:rPr>
          <w:rFonts w:asciiTheme="minorHAnsi" w:hAnsiTheme="minorHAnsi"/>
          <w:color w:val="000000"/>
          <w:sz w:val="22"/>
          <w:szCs w:val="22"/>
        </w:rPr>
        <w:t>Amebic Encephalitis</w:t>
      </w:r>
      <w:r w:rsidR="00BB67F5">
        <w:rPr>
          <w:rFonts w:asciiTheme="minorHAnsi" w:hAnsiTheme="minorHAnsi"/>
          <w:color w:val="000000"/>
          <w:sz w:val="22"/>
          <w:szCs w:val="22"/>
        </w:rPr>
        <w:t>, a subset of free-living amebae infections,</w:t>
      </w:r>
      <w:r w:rsidR="00002D47" w:rsidRPr="00002D47">
        <w:rPr>
          <w:rFonts w:asciiTheme="minorHAnsi" w:hAnsiTheme="minorHAnsi"/>
          <w:color w:val="000000"/>
          <w:sz w:val="22"/>
          <w:szCs w:val="22"/>
        </w:rPr>
        <w:t xml:space="preserve"> </w:t>
      </w:r>
      <w:r w:rsidR="001F6B16">
        <w:rPr>
          <w:rFonts w:asciiTheme="minorHAnsi" w:hAnsiTheme="minorHAnsi"/>
          <w:color w:val="000000"/>
          <w:sz w:val="22"/>
          <w:szCs w:val="22"/>
        </w:rPr>
        <w:t>but</w:t>
      </w:r>
      <w:r w:rsidR="001F6B16" w:rsidRPr="001F6B16">
        <w:t xml:space="preserve"> </w:t>
      </w:r>
      <w:r w:rsidR="00F3752D">
        <w:rPr>
          <w:rFonts w:asciiTheme="minorHAnsi" w:hAnsiTheme="minorHAnsi"/>
          <w:color w:val="000000"/>
          <w:sz w:val="22"/>
          <w:szCs w:val="22"/>
        </w:rPr>
        <w:t xml:space="preserve">a </w:t>
      </w:r>
      <w:r w:rsidR="001F6B16" w:rsidRPr="001F6B16">
        <w:rPr>
          <w:rFonts w:asciiTheme="minorHAnsi" w:hAnsiTheme="minorHAnsi"/>
          <w:color w:val="000000"/>
          <w:sz w:val="22"/>
          <w:szCs w:val="22"/>
        </w:rPr>
        <w:t xml:space="preserve">petition was started to make </w:t>
      </w:r>
      <w:r w:rsidR="00F46F4F" w:rsidRPr="00F46F4F">
        <w:rPr>
          <w:rFonts w:asciiTheme="minorHAnsi" w:hAnsiTheme="minorHAnsi"/>
          <w:color w:val="000000"/>
          <w:sz w:val="22"/>
          <w:szCs w:val="22"/>
        </w:rPr>
        <w:t xml:space="preserve">Primary Amoebic Meningoencephalitis </w:t>
      </w:r>
      <w:r w:rsidR="00F46F4F">
        <w:rPr>
          <w:rFonts w:asciiTheme="minorHAnsi" w:hAnsiTheme="minorHAnsi"/>
          <w:color w:val="000000"/>
          <w:sz w:val="22"/>
          <w:szCs w:val="22"/>
        </w:rPr>
        <w:t xml:space="preserve">(a specific </w:t>
      </w:r>
      <w:r w:rsidR="00324C86" w:rsidRPr="00324C86">
        <w:rPr>
          <w:rFonts w:asciiTheme="minorHAnsi" w:hAnsiTheme="minorHAnsi"/>
          <w:color w:val="000000"/>
          <w:sz w:val="22"/>
          <w:szCs w:val="22"/>
        </w:rPr>
        <w:t xml:space="preserve">Amebic Encephalitis </w:t>
      </w:r>
      <w:r w:rsidR="00F46F4F">
        <w:rPr>
          <w:rFonts w:asciiTheme="minorHAnsi" w:hAnsiTheme="minorHAnsi"/>
          <w:color w:val="000000"/>
          <w:sz w:val="22"/>
          <w:szCs w:val="22"/>
        </w:rPr>
        <w:t>caused by</w:t>
      </w:r>
      <w:r w:rsidR="005E6019">
        <w:rPr>
          <w:rFonts w:asciiTheme="minorHAnsi" w:hAnsiTheme="minorHAnsi"/>
          <w:color w:val="000000"/>
          <w:sz w:val="22"/>
          <w:szCs w:val="22"/>
        </w:rPr>
        <w:t xml:space="preserve"> </w:t>
      </w:r>
      <w:proofErr w:type="spellStart"/>
      <w:r w:rsidR="003E588E">
        <w:rPr>
          <w:rFonts w:asciiTheme="minorHAnsi" w:hAnsiTheme="minorHAnsi"/>
          <w:i/>
          <w:color w:val="000000"/>
          <w:sz w:val="22"/>
          <w:szCs w:val="22"/>
        </w:rPr>
        <w:t>N</w:t>
      </w:r>
      <w:r w:rsidR="005E6019" w:rsidRPr="005E6019">
        <w:rPr>
          <w:rFonts w:asciiTheme="minorHAnsi" w:hAnsiTheme="minorHAnsi"/>
          <w:i/>
          <w:color w:val="000000"/>
          <w:sz w:val="22"/>
          <w:szCs w:val="22"/>
        </w:rPr>
        <w:t>aegleria</w:t>
      </w:r>
      <w:proofErr w:type="spellEnd"/>
      <w:r w:rsidR="005E6019" w:rsidRPr="005E6019">
        <w:rPr>
          <w:rFonts w:asciiTheme="minorHAnsi" w:hAnsiTheme="minorHAnsi"/>
          <w:i/>
          <w:color w:val="000000"/>
          <w:sz w:val="22"/>
          <w:szCs w:val="22"/>
        </w:rPr>
        <w:t xml:space="preserve"> </w:t>
      </w:r>
      <w:proofErr w:type="spellStart"/>
      <w:r w:rsidR="005E6019" w:rsidRPr="005E6019">
        <w:rPr>
          <w:rFonts w:asciiTheme="minorHAnsi" w:hAnsiTheme="minorHAnsi"/>
          <w:i/>
          <w:color w:val="000000"/>
          <w:sz w:val="22"/>
          <w:szCs w:val="22"/>
        </w:rPr>
        <w:t>fowleri</w:t>
      </w:r>
      <w:proofErr w:type="spellEnd"/>
      <w:r w:rsidR="00F46F4F">
        <w:rPr>
          <w:rFonts w:asciiTheme="minorHAnsi" w:hAnsiTheme="minorHAnsi"/>
          <w:color w:val="000000"/>
          <w:sz w:val="22"/>
          <w:szCs w:val="22"/>
        </w:rPr>
        <w:t xml:space="preserve">) </w:t>
      </w:r>
      <w:r w:rsidR="001F6B16" w:rsidRPr="001F6B16">
        <w:rPr>
          <w:rFonts w:asciiTheme="minorHAnsi" w:hAnsiTheme="minorHAnsi"/>
          <w:color w:val="000000"/>
          <w:sz w:val="22"/>
          <w:szCs w:val="22"/>
        </w:rPr>
        <w:t>nationally notifiable (</w:t>
      </w:r>
      <w:hyperlink r:id="rId15" w:history="1">
        <w:r w:rsidR="002C1BFD" w:rsidRPr="008D7747">
          <w:rPr>
            <w:rStyle w:val="Hyperlink"/>
            <w:rFonts w:asciiTheme="minorHAnsi" w:hAnsiTheme="minorHAnsi"/>
            <w:sz w:val="22"/>
            <w:szCs w:val="22"/>
          </w:rPr>
          <w:t>http://outbreaknewstoday.com/naegleria-fowleri-petition-calls-for-mandatory-reporting-of-pam-at-the-national-level-22962/</w:t>
        </w:r>
      </w:hyperlink>
      <w:r w:rsidR="001F6B16" w:rsidRPr="001F6B16">
        <w:rPr>
          <w:rFonts w:asciiTheme="minorHAnsi" w:hAnsiTheme="minorHAnsi"/>
          <w:color w:val="000000"/>
          <w:sz w:val="22"/>
          <w:szCs w:val="22"/>
        </w:rPr>
        <w:t>).</w:t>
      </w:r>
      <w:r w:rsidR="001F6B16">
        <w:rPr>
          <w:rFonts w:asciiTheme="minorHAnsi" w:hAnsiTheme="minorHAnsi"/>
          <w:color w:val="000000"/>
          <w:sz w:val="22"/>
          <w:szCs w:val="22"/>
        </w:rPr>
        <w:t xml:space="preserve">  </w:t>
      </w:r>
      <w:r w:rsidR="004D275D">
        <w:rPr>
          <w:rFonts w:asciiTheme="minorHAnsi" w:hAnsiTheme="minorHAnsi"/>
          <w:color w:val="000000"/>
          <w:sz w:val="22"/>
          <w:szCs w:val="22"/>
        </w:rPr>
        <w:t xml:space="preserve">Acute </w:t>
      </w:r>
      <w:r w:rsidR="004D275D" w:rsidRPr="004D275D">
        <w:rPr>
          <w:rFonts w:asciiTheme="minorHAnsi" w:hAnsiTheme="minorHAnsi"/>
          <w:color w:val="000000"/>
          <w:sz w:val="22"/>
          <w:szCs w:val="22"/>
        </w:rPr>
        <w:t>Flaccid Myelitis</w:t>
      </w:r>
      <w:r w:rsidR="006A53B1">
        <w:rPr>
          <w:rFonts w:asciiTheme="minorHAnsi" w:hAnsiTheme="minorHAnsi"/>
          <w:color w:val="000000"/>
          <w:sz w:val="22"/>
          <w:szCs w:val="22"/>
        </w:rPr>
        <w:t xml:space="preserve"> and </w:t>
      </w:r>
      <w:r w:rsidR="003651ED" w:rsidRPr="003651ED">
        <w:rPr>
          <w:rFonts w:asciiTheme="minorHAnsi" w:hAnsiTheme="minorHAnsi"/>
          <w:color w:val="000000"/>
          <w:sz w:val="22"/>
          <w:szCs w:val="22"/>
        </w:rPr>
        <w:t>Amebic Encephalitis</w:t>
      </w:r>
      <w:r w:rsidR="007A3BEE">
        <w:rPr>
          <w:rFonts w:asciiTheme="minorHAnsi" w:hAnsiTheme="minorHAnsi"/>
          <w:color w:val="000000"/>
          <w:sz w:val="22"/>
          <w:szCs w:val="22"/>
        </w:rPr>
        <w:t xml:space="preserve"> </w:t>
      </w:r>
      <w:r w:rsidR="006A53B1" w:rsidRPr="006A53B1">
        <w:rPr>
          <w:rFonts w:asciiTheme="minorHAnsi" w:hAnsiTheme="minorHAnsi"/>
          <w:color w:val="000000"/>
          <w:sz w:val="22"/>
          <w:szCs w:val="22"/>
        </w:rPr>
        <w:t xml:space="preserve">are not yet nationally notifiable but permission is being requested to receive case notification data should they become nationally notifiable in the near future. </w:t>
      </w:r>
    </w:p>
    <w:p w14:paraId="6C1B5614" w14:textId="77777777" w:rsidR="007A3BEE" w:rsidRDefault="007A3BEE" w:rsidP="00925656">
      <w:pPr>
        <w:spacing w:line="360" w:lineRule="auto"/>
        <w:rPr>
          <w:rFonts w:asciiTheme="minorHAnsi" w:hAnsiTheme="minorHAnsi"/>
          <w:color w:val="000000"/>
          <w:sz w:val="22"/>
          <w:szCs w:val="22"/>
        </w:rPr>
      </w:pPr>
    </w:p>
    <w:p w14:paraId="6FC2262A" w14:textId="77777777" w:rsidR="00283CFA" w:rsidRPr="00AC7E1A" w:rsidRDefault="007C3321"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A common</w:t>
      </w:r>
      <w:r w:rsidR="006135EE" w:rsidRPr="00FF55BF">
        <w:rPr>
          <w:rFonts w:asciiTheme="minorHAnsi" w:hAnsiTheme="minorHAnsi"/>
          <w:color w:val="000000"/>
          <w:sz w:val="22"/>
          <w:szCs w:val="22"/>
        </w:rPr>
        <w:t>, core</w:t>
      </w:r>
      <w:r w:rsidRPr="00FF55BF">
        <w:rPr>
          <w:rFonts w:asciiTheme="minorHAnsi" w:hAnsiTheme="minorHAnsi"/>
          <w:color w:val="000000"/>
          <w:sz w:val="22"/>
          <w:szCs w:val="22"/>
        </w:rPr>
        <w:t xml:space="preserve"> set of data elements is submitted </w:t>
      </w:r>
      <w:r w:rsidR="006135EE" w:rsidRPr="00FF55BF">
        <w:rPr>
          <w:rFonts w:asciiTheme="minorHAnsi" w:hAnsiTheme="minorHAnsi"/>
          <w:color w:val="000000"/>
          <w:sz w:val="22"/>
          <w:szCs w:val="22"/>
        </w:rPr>
        <w:t xml:space="preserve">by public health departments </w:t>
      </w:r>
      <w:r w:rsidRPr="00FF55BF">
        <w:rPr>
          <w:rFonts w:asciiTheme="minorHAnsi" w:hAnsiTheme="minorHAnsi"/>
          <w:color w:val="000000"/>
          <w:sz w:val="22"/>
          <w:szCs w:val="22"/>
        </w:rPr>
        <w:t xml:space="preserve">for </w:t>
      </w:r>
      <w:r w:rsidR="00283CFA" w:rsidRPr="00FF55BF">
        <w:rPr>
          <w:rFonts w:asciiTheme="minorHAnsi" w:hAnsiTheme="minorHAnsi"/>
          <w:color w:val="000000"/>
          <w:sz w:val="22"/>
          <w:szCs w:val="22"/>
        </w:rPr>
        <w:t xml:space="preserve">all of </w:t>
      </w:r>
      <w:r w:rsidR="00C84BF5" w:rsidRPr="00FF55BF">
        <w:rPr>
          <w:rFonts w:asciiTheme="minorHAnsi" w:hAnsiTheme="minorHAnsi"/>
          <w:color w:val="000000"/>
          <w:sz w:val="22"/>
          <w:szCs w:val="22"/>
        </w:rPr>
        <w:t>the</w:t>
      </w:r>
      <w:r w:rsidRPr="00FF55BF">
        <w:rPr>
          <w:rFonts w:asciiTheme="minorHAnsi" w:hAnsiTheme="minorHAnsi"/>
          <w:color w:val="000000"/>
          <w:sz w:val="22"/>
          <w:szCs w:val="22"/>
        </w:rPr>
        <w:t xml:space="preserve"> nationally notifiable conditions</w:t>
      </w:r>
      <w:r w:rsidR="00F44173" w:rsidRPr="00FF55BF">
        <w:rPr>
          <w:rFonts w:asciiTheme="minorHAnsi" w:hAnsiTheme="minorHAnsi"/>
          <w:color w:val="000000"/>
          <w:sz w:val="22"/>
          <w:szCs w:val="22"/>
        </w:rPr>
        <w:t xml:space="preserve"> included in this </w:t>
      </w:r>
      <w:r w:rsidR="00A00172">
        <w:rPr>
          <w:rFonts w:asciiTheme="minorHAnsi" w:hAnsiTheme="minorHAnsi"/>
          <w:color w:val="000000"/>
          <w:sz w:val="22"/>
          <w:szCs w:val="22"/>
        </w:rPr>
        <w:t>ICR</w:t>
      </w:r>
      <w:r w:rsidR="006135EE" w:rsidRPr="00FF55BF">
        <w:rPr>
          <w:rFonts w:asciiTheme="minorHAnsi" w:hAnsiTheme="minorHAnsi"/>
          <w:color w:val="000000"/>
          <w:sz w:val="22"/>
          <w:szCs w:val="22"/>
        </w:rPr>
        <w:t xml:space="preserve">. </w:t>
      </w:r>
      <w:r w:rsidRPr="00FF55BF">
        <w:rPr>
          <w:rFonts w:asciiTheme="minorHAnsi" w:hAnsiTheme="minorHAnsi"/>
          <w:color w:val="000000"/>
          <w:sz w:val="22"/>
          <w:szCs w:val="22"/>
        </w:rPr>
        <w:t>The co</w:t>
      </w:r>
      <w:r w:rsidR="00BE1900">
        <w:rPr>
          <w:rFonts w:asciiTheme="minorHAnsi" w:hAnsiTheme="minorHAnsi"/>
          <w:color w:val="000000"/>
          <w:sz w:val="22"/>
          <w:szCs w:val="22"/>
        </w:rPr>
        <w:t>re</w:t>
      </w:r>
      <w:r w:rsidRPr="00FF55BF">
        <w:rPr>
          <w:rFonts w:asciiTheme="minorHAnsi" w:hAnsiTheme="minorHAnsi"/>
          <w:color w:val="000000"/>
          <w:sz w:val="22"/>
          <w:szCs w:val="22"/>
        </w:rPr>
        <w:t xml:space="preserve"> data elements include the name of the </w:t>
      </w:r>
      <w:r w:rsidR="000B082C" w:rsidRPr="00FF55BF">
        <w:rPr>
          <w:rFonts w:asciiTheme="minorHAnsi" w:hAnsiTheme="minorHAnsi"/>
          <w:color w:val="000000"/>
          <w:sz w:val="22"/>
          <w:szCs w:val="22"/>
        </w:rPr>
        <w:t>condition</w:t>
      </w:r>
      <w:r w:rsidR="00D1642D">
        <w:rPr>
          <w:rFonts w:asciiTheme="minorHAnsi" w:hAnsiTheme="minorHAnsi"/>
          <w:color w:val="000000"/>
          <w:sz w:val="22"/>
          <w:szCs w:val="22"/>
        </w:rPr>
        <w:t>,</w:t>
      </w:r>
      <w:r w:rsidR="00647589">
        <w:rPr>
          <w:rFonts w:asciiTheme="minorHAnsi" w:hAnsiTheme="minorHAnsi"/>
          <w:color w:val="000000"/>
          <w:sz w:val="22"/>
          <w:szCs w:val="22"/>
        </w:rPr>
        <w:t xml:space="preserve">  </w:t>
      </w:r>
      <w:r w:rsidRPr="00FF55BF">
        <w:rPr>
          <w:rFonts w:asciiTheme="minorHAnsi" w:hAnsiTheme="minorHAnsi"/>
          <w:color w:val="000000"/>
          <w:sz w:val="22"/>
          <w:szCs w:val="22"/>
        </w:rPr>
        <w:t xml:space="preserve"> demographic data</w:t>
      </w:r>
      <w:r w:rsidR="006135EE" w:rsidRPr="00FF55BF">
        <w:rPr>
          <w:rFonts w:asciiTheme="minorHAnsi" w:hAnsiTheme="minorHAnsi"/>
          <w:color w:val="000000"/>
          <w:sz w:val="22"/>
          <w:szCs w:val="22"/>
        </w:rPr>
        <w:t xml:space="preserve"> for the person with the condition</w:t>
      </w:r>
      <w:r w:rsidR="00BE1900">
        <w:rPr>
          <w:rFonts w:asciiTheme="minorHAnsi" w:hAnsiTheme="minorHAnsi"/>
          <w:color w:val="000000"/>
          <w:sz w:val="22"/>
          <w:szCs w:val="22"/>
        </w:rPr>
        <w:t xml:space="preserve">, </w:t>
      </w:r>
      <w:r w:rsidR="00FE78EE">
        <w:rPr>
          <w:rFonts w:asciiTheme="minorHAnsi" w:hAnsiTheme="minorHAnsi"/>
          <w:color w:val="000000"/>
          <w:sz w:val="22"/>
          <w:szCs w:val="22"/>
        </w:rPr>
        <w:t xml:space="preserve">epidemiologic data, and </w:t>
      </w:r>
      <w:r w:rsidR="00BE1900">
        <w:rPr>
          <w:rFonts w:asciiTheme="minorHAnsi" w:hAnsiTheme="minorHAnsi"/>
          <w:color w:val="000000"/>
          <w:sz w:val="22"/>
          <w:szCs w:val="22"/>
        </w:rPr>
        <w:t>administrative</w:t>
      </w:r>
      <w:r w:rsidR="00FE78EE">
        <w:rPr>
          <w:rFonts w:asciiTheme="minorHAnsi" w:hAnsiTheme="minorHAnsi"/>
          <w:color w:val="000000"/>
          <w:sz w:val="22"/>
          <w:szCs w:val="22"/>
        </w:rPr>
        <w:t xml:space="preserve"> data</w:t>
      </w:r>
      <w:r w:rsidR="00BE1900">
        <w:rPr>
          <w:rFonts w:asciiTheme="minorHAnsi" w:hAnsiTheme="minorHAnsi"/>
          <w:color w:val="000000"/>
          <w:sz w:val="22"/>
          <w:szCs w:val="22"/>
        </w:rPr>
        <w:t>.</w:t>
      </w:r>
      <w:r w:rsidRPr="00FF55BF">
        <w:rPr>
          <w:rFonts w:asciiTheme="minorHAnsi" w:hAnsiTheme="minorHAnsi"/>
          <w:color w:val="000000"/>
          <w:sz w:val="22"/>
          <w:szCs w:val="22"/>
        </w:rPr>
        <w:t xml:space="preserve"> </w:t>
      </w:r>
      <w:r w:rsidR="00867BCF">
        <w:rPr>
          <w:rFonts w:asciiTheme="minorHAnsi" w:hAnsiTheme="minorHAnsi"/>
          <w:color w:val="000000"/>
          <w:sz w:val="22"/>
          <w:szCs w:val="22"/>
        </w:rPr>
        <w:t>Names, d</w:t>
      </w:r>
      <w:r w:rsidR="00960861" w:rsidRPr="00FF55BF">
        <w:rPr>
          <w:rFonts w:asciiTheme="minorHAnsi" w:hAnsiTheme="minorHAnsi"/>
          <w:color w:val="000000"/>
          <w:sz w:val="22"/>
          <w:szCs w:val="22"/>
        </w:rPr>
        <w:t xml:space="preserve">escriptions and value sets for the data elements are identified in </w:t>
      </w:r>
      <w:r w:rsidR="00241E29" w:rsidRPr="00FF55BF">
        <w:rPr>
          <w:rFonts w:asciiTheme="minorHAnsi" w:hAnsiTheme="minorHAnsi"/>
          <w:color w:val="000000"/>
          <w:sz w:val="22"/>
          <w:szCs w:val="22"/>
        </w:rPr>
        <w:t>an</w:t>
      </w:r>
      <w:r w:rsidR="00960861" w:rsidRPr="00FF55BF">
        <w:rPr>
          <w:rFonts w:asciiTheme="minorHAnsi" w:hAnsiTheme="minorHAnsi"/>
          <w:color w:val="000000"/>
          <w:sz w:val="22"/>
          <w:szCs w:val="22"/>
        </w:rPr>
        <w:t xml:space="preserve"> attachment</w:t>
      </w:r>
      <w:r w:rsidR="00241E29" w:rsidRPr="00FF55BF">
        <w:rPr>
          <w:rFonts w:asciiTheme="minorHAnsi" w:hAnsiTheme="minorHAnsi"/>
          <w:color w:val="000000"/>
          <w:sz w:val="22"/>
          <w:szCs w:val="22"/>
        </w:rPr>
        <w:t xml:space="preserve"> </w:t>
      </w:r>
      <w:r w:rsidR="0053115D" w:rsidRPr="00FF55BF">
        <w:rPr>
          <w:rFonts w:asciiTheme="minorHAnsi" w:hAnsiTheme="minorHAnsi"/>
          <w:b/>
          <w:color w:val="000000"/>
          <w:sz w:val="22"/>
          <w:szCs w:val="22"/>
        </w:rPr>
        <w:t>[At</w:t>
      </w:r>
      <w:r w:rsidR="00960861" w:rsidRPr="00FF55BF">
        <w:rPr>
          <w:rFonts w:asciiTheme="minorHAnsi" w:hAnsiTheme="minorHAnsi"/>
          <w:b/>
          <w:color w:val="000000"/>
          <w:sz w:val="22"/>
          <w:szCs w:val="22"/>
        </w:rPr>
        <w:t>tachment</w:t>
      </w:r>
      <w:r w:rsidR="0053115D" w:rsidRPr="00FF55BF">
        <w:rPr>
          <w:rFonts w:asciiTheme="minorHAnsi" w:hAnsiTheme="minorHAnsi"/>
          <w:b/>
          <w:color w:val="000000"/>
          <w:sz w:val="22"/>
          <w:szCs w:val="22"/>
        </w:rPr>
        <w:t xml:space="preserve"> </w:t>
      </w:r>
      <w:r w:rsidR="0044681D">
        <w:rPr>
          <w:rFonts w:asciiTheme="minorHAnsi" w:hAnsiTheme="minorHAnsi"/>
          <w:b/>
          <w:color w:val="000000"/>
          <w:sz w:val="22"/>
          <w:szCs w:val="22"/>
        </w:rPr>
        <w:t>4</w:t>
      </w:r>
      <w:r w:rsidR="0053115D" w:rsidRPr="00FF55BF">
        <w:rPr>
          <w:rFonts w:asciiTheme="minorHAnsi" w:hAnsiTheme="minorHAnsi"/>
          <w:b/>
          <w:color w:val="000000"/>
          <w:sz w:val="22"/>
          <w:szCs w:val="22"/>
        </w:rPr>
        <w:t xml:space="preserve">. </w:t>
      </w:r>
      <w:r w:rsidR="00960861" w:rsidRPr="00FF55BF">
        <w:rPr>
          <w:rFonts w:asciiTheme="minorHAnsi" w:hAnsiTheme="minorHAnsi"/>
          <w:b/>
          <w:color w:val="000000"/>
          <w:sz w:val="22"/>
          <w:szCs w:val="22"/>
        </w:rPr>
        <w:t>Core Data].</w:t>
      </w:r>
      <w:r w:rsidR="00AC7E1A">
        <w:rPr>
          <w:rFonts w:asciiTheme="minorHAnsi" w:hAnsiTheme="minorHAnsi"/>
          <w:b/>
          <w:color w:val="000000"/>
          <w:sz w:val="22"/>
          <w:szCs w:val="22"/>
        </w:rPr>
        <w:t xml:space="preserve"> </w:t>
      </w:r>
      <w:r w:rsidR="00A00172" w:rsidRPr="00A00172">
        <w:rPr>
          <w:rFonts w:asciiTheme="minorHAnsi" w:hAnsiTheme="minorHAnsi"/>
          <w:color w:val="000000"/>
          <w:sz w:val="22"/>
          <w:szCs w:val="22"/>
        </w:rPr>
        <w:t>All of t</w:t>
      </w:r>
      <w:r w:rsidR="00AC7E1A" w:rsidRPr="00A00172">
        <w:rPr>
          <w:rFonts w:asciiTheme="minorHAnsi" w:hAnsiTheme="minorHAnsi"/>
          <w:color w:val="000000"/>
          <w:sz w:val="22"/>
          <w:szCs w:val="22"/>
        </w:rPr>
        <w:t>hese</w:t>
      </w:r>
      <w:r w:rsidR="00AC7E1A">
        <w:rPr>
          <w:rFonts w:asciiTheme="minorHAnsi" w:hAnsiTheme="minorHAnsi"/>
          <w:color w:val="000000"/>
          <w:sz w:val="22"/>
          <w:szCs w:val="22"/>
        </w:rPr>
        <w:t xml:space="preserve"> core data elements were </w:t>
      </w:r>
      <w:r w:rsidR="005C52E0">
        <w:rPr>
          <w:rFonts w:asciiTheme="minorHAnsi" w:hAnsiTheme="minorHAnsi"/>
          <w:color w:val="000000"/>
          <w:sz w:val="22"/>
          <w:szCs w:val="22"/>
        </w:rPr>
        <w:t>included in the previously approved ICR.</w:t>
      </w:r>
    </w:p>
    <w:p w14:paraId="063EFE7D" w14:textId="77777777" w:rsidR="00283CFA" w:rsidRDefault="00283CFA" w:rsidP="00925656">
      <w:pPr>
        <w:spacing w:line="360" w:lineRule="auto"/>
        <w:rPr>
          <w:rFonts w:asciiTheme="minorHAnsi" w:hAnsiTheme="minorHAnsi"/>
          <w:color w:val="000000"/>
          <w:sz w:val="22"/>
          <w:szCs w:val="22"/>
        </w:rPr>
      </w:pPr>
    </w:p>
    <w:p w14:paraId="39B5C42C" w14:textId="77777777" w:rsidR="00F71629" w:rsidRDefault="00EB78A7" w:rsidP="00925656">
      <w:pPr>
        <w:spacing w:line="360" w:lineRule="auto"/>
        <w:rPr>
          <w:rFonts w:asciiTheme="minorHAnsi" w:hAnsiTheme="minorHAnsi"/>
          <w:color w:val="000000"/>
          <w:sz w:val="22"/>
          <w:szCs w:val="22"/>
        </w:rPr>
      </w:pPr>
      <w:r>
        <w:rPr>
          <w:rFonts w:asciiTheme="minorHAnsi" w:hAnsiTheme="minorHAnsi"/>
          <w:color w:val="000000"/>
          <w:sz w:val="22"/>
          <w:szCs w:val="22"/>
        </w:rPr>
        <w:t>A c</w:t>
      </w:r>
      <w:r w:rsidR="00F71629">
        <w:rPr>
          <w:rFonts w:asciiTheme="minorHAnsi" w:hAnsiTheme="minorHAnsi"/>
          <w:color w:val="000000"/>
          <w:sz w:val="22"/>
          <w:szCs w:val="22"/>
        </w:rPr>
        <w:t xml:space="preserve">ommon </w:t>
      </w:r>
      <w:r w:rsidR="00BE1900">
        <w:rPr>
          <w:rFonts w:asciiTheme="minorHAnsi" w:hAnsiTheme="minorHAnsi"/>
          <w:color w:val="000000"/>
          <w:sz w:val="22"/>
          <w:szCs w:val="22"/>
        </w:rPr>
        <w:t xml:space="preserve">set of </w:t>
      </w:r>
      <w:r w:rsidR="00F71629">
        <w:rPr>
          <w:rFonts w:asciiTheme="minorHAnsi" w:hAnsiTheme="minorHAnsi"/>
          <w:color w:val="000000"/>
          <w:sz w:val="22"/>
          <w:szCs w:val="22"/>
        </w:rPr>
        <w:t xml:space="preserve">laboratory and vaccine data elements </w:t>
      </w:r>
      <w:r w:rsidR="00AF7AB6" w:rsidRPr="00AF7AB6">
        <w:rPr>
          <w:rFonts w:asciiTheme="minorHAnsi" w:hAnsiTheme="minorHAnsi"/>
          <w:color w:val="000000"/>
          <w:sz w:val="22"/>
          <w:szCs w:val="22"/>
        </w:rPr>
        <w:t xml:space="preserve">submitted by public health departments </w:t>
      </w:r>
      <w:r w:rsidR="00F71629">
        <w:rPr>
          <w:rFonts w:asciiTheme="minorHAnsi" w:hAnsiTheme="minorHAnsi"/>
          <w:color w:val="000000"/>
          <w:sz w:val="22"/>
          <w:szCs w:val="22"/>
        </w:rPr>
        <w:t xml:space="preserve">not included in the </w:t>
      </w:r>
      <w:r w:rsidR="005C52E0">
        <w:rPr>
          <w:rFonts w:asciiTheme="minorHAnsi" w:hAnsiTheme="minorHAnsi"/>
          <w:color w:val="000000"/>
          <w:sz w:val="22"/>
          <w:szCs w:val="22"/>
        </w:rPr>
        <w:t>previously approved ICR</w:t>
      </w:r>
      <w:r w:rsidR="00F71629">
        <w:rPr>
          <w:rFonts w:asciiTheme="minorHAnsi" w:hAnsiTheme="minorHAnsi"/>
          <w:color w:val="000000"/>
          <w:sz w:val="22"/>
          <w:szCs w:val="22"/>
        </w:rPr>
        <w:t xml:space="preserve"> </w:t>
      </w:r>
      <w:r w:rsidR="00B65263">
        <w:rPr>
          <w:rFonts w:asciiTheme="minorHAnsi" w:hAnsiTheme="minorHAnsi"/>
          <w:color w:val="000000"/>
          <w:sz w:val="22"/>
          <w:szCs w:val="22"/>
        </w:rPr>
        <w:t>are</w:t>
      </w:r>
      <w:r w:rsidR="00F71629">
        <w:rPr>
          <w:rFonts w:asciiTheme="minorHAnsi" w:hAnsiTheme="minorHAnsi"/>
          <w:color w:val="000000"/>
          <w:sz w:val="22"/>
          <w:szCs w:val="22"/>
        </w:rPr>
        <w:t xml:space="preserve"> </w:t>
      </w:r>
      <w:r w:rsidR="00FE398C">
        <w:rPr>
          <w:rFonts w:asciiTheme="minorHAnsi" w:hAnsiTheme="minorHAnsi"/>
          <w:color w:val="000000"/>
          <w:sz w:val="22"/>
          <w:szCs w:val="22"/>
        </w:rPr>
        <w:t>included in this application</w:t>
      </w:r>
      <w:r w:rsidR="00867BCF">
        <w:rPr>
          <w:rFonts w:asciiTheme="minorHAnsi" w:hAnsiTheme="minorHAnsi"/>
          <w:color w:val="000000"/>
          <w:sz w:val="22"/>
          <w:szCs w:val="22"/>
        </w:rPr>
        <w:t>.</w:t>
      </w:r>
      <w:r w:rsidR="00C94B91">
        <w:rPr>
          <w:rFonts w:asciiTheme="minorHAnsi" w:hAnsiTheme="minorHAnsi"/>
          <w:color w:val="000000"/>
          <w:sz w:val="22"/>
          <w:szCs w:val="22"/>
        </w:rPr>
        <w:t xml:space="preserve"> These data elements </w:t>
      </w:r>
      <w:r w:rsidR="004D5010">
        <w:rPr>
          <w:rFonts w:asciiTheme="minorHAnsi" w:hAnsiTheme="minorHAnsi"/>
          <w:color w:val="000000"/>
          <w:sz w:val="22"/>
          <w:szCs w:val="22"/>
        </w:rPr>
        <w:t>were added since they</w:t>
      </w:r>
      <w:r w:rsidR="000125C2">
        <w:rPr>
          <w:rFonts w:asciiTheme="minorHAnsi" w:hAnsiTheme="minorHAnsi"/>
          <w:color w:val="000000"/>
          <w:sz w:val="22"/>
          <w:szCs w:val="22"/>
        </w:rPr>
        <w:t xml:space="preserve"> are necessary for routine surveillance and </w:t>
      </w:r>
      <w:r w:rsidR="00C94B91">
        <w:rPr>
          <w:rFonts w:asciiTheme="minorHAnsi" w:hAnsiTheme="minorHAnsi"/>
          <w:color w:val="000000"/>
          <w:sz w:val="22"/>
          <w:szCs w:val="22"/>
        </w:rPr>
        <w:t xml:space="preserve">apply to a number of </w:t>
      </w:r>
      <w:r w:rsidR="006F5986">
        <w:rPr>
          <w:rFonts w:asciiTheme="minorHAnsi" w:hAnsiTheme="minorHAnsi"/>
          <w:color w:val="000000"/>
          <w:sz w:val="22"/>
          <w:szCs w:val="22"/>
        </w:rPr>
        <w:t>nationally notifiable conditions</w:t>
      </w:r>
      <w:r w:rsidR="00C94B91">
        <w:rPr>
          <w:rFonts w:asciiTheme="minorHAnsi" w:hAnsiTheme="minorHAnsi"/>
          <w:color w:val="000000"/>
          <w:sz w:val="22"/>
          <w:szCs w:val="22"/>
        </w:rPr>
        <w:t xml:space="preserve"> and can be </w:t>
      </w:r>
      <w:r w:rsidR="006F5986">
        <w:rPr>
          <w:rFonts w:asciiTheme="minorHAnsi" w:hAnsiTheme="minorHAnsi"/>
          <w:color w:val="000000"/>
          <w:sz w:val="22"/>
          <w:szCs w:val="22"/>
        </w:rPr>
        <w:t>standardized across these conditions for efficiency.</w:t>
      </w:r>
      <w:r w:rsidR="00C94B91">
        <w:rPr>
          <w:rFonts w:asciiTheme="minorHAnsi" w:hAnsiTheme="minorHAnsi"/>
          <w:color w:val="000000"/>
          <w:sz w:val="22"/>
          <w:szCs w:val="22"/>
        </w:rPr>
        <w:t xml:space="preserve"> </w:t>
      </w:r>
      <w:r w:rsidR="00867BCF">
        <w:rPr>
          <w:rFonts w:asciiTheme="minorHAnsi" w:hAnsiTheme="minorHAnsi"/>
          <w:color w:val="000000"/>
          <w:sz w:val="22"/>
          <w:szCs w:val="22"/>
        </w:rPr>
        <w:t>Names, d</w:t>
      </w:r>
      <w:r w:rsidR="00221F25" w:rsidRPr="00221F25">
        <w:rPr>
          <w:rFonts w:asciiTheme="minorHAnsi" w:hAnsiTheme="minorHAnsi"/>
          <w:color w:val="000000"/>
          <w:sz w:val="22"/>
          <w:szCs w:val="22"/>
        </w:rPr>
        <w:t xml:space="preserve">escriptions and value sets for the data elements are identified in </w:t>
      </w:r>
      <w:r w:rsidR="00DE10AD">
        <w:rPr>
          <w:rFonts w:asciiTheme="minorHAnsi" w:hAnsiTheme="minorHAnsi"/>
          <w:color w:val="000000"/>
          <w:sz w:val="22"/>
          <w:szCs w:val="22"/>
        </w:rPr>
        <w:t xml:space="preserve">two </w:t>
      </w:r>
      <w:r w:rsidR="00221F25" w:rsidRPr="00221F25">
        <w:rPr>
          <w:rFonts w:asciiTheme="minorHAnsi" w:hAnsiTheme="minorHAnsi"/>
          <w:color w:val="000000"/>
          <w:sz w:val="22"/>
          <w:szCs w:val="22"/>
        </w:rPr>
        <w:t>attachment</w:t>
      </w:r>
      <w:r w:rsidR="00DE10AD">
        <w:rPr>
          <w:rFonts w:asciiTheme="minorHAnsi" w:hAnsiTheme="minorHAnsi"/>
          <w:color w:val="000000"/>
          <w:sz w:val="22"/>
          <w:szCs w:val="22"/>
        </w:rPr>
        <w:t>s</w:t>
      </w:r>
      <w:r w:rsidR="00221F25" w:rsidRPr="00221F25">
        <w:rPr>
          <w:rFonts w:asciiTheme="minorHAnsi" w:hAnsiTheme="minorHAnsi"/>
          <w:color w:val="000000"/>
          <w:sz w:val="22"/>
          <w:szCs w:val="22"/>
        </w:rPr>
        <w:t xml:space="preserve"> </w:t>
      </w:r>
      <w:r w:rsidR="00221F25" w:rsidRPr="00D55209">
        <w:rPr>
          <w:rFonts w:asciiTheme="minorHAnsi" w:hAnsiTheme="minorHAnsi"/>
          <w:b/>
          <w:color w:val="000000"/>
          <w:sz w:val="22"/>
          <w:szCs w:val="22"/>
        </w:rPr>
        <w:t xml:space="preserve">[Attachment </w:t>
      </w:r>
      <w:r w:rsidR="00610801">
        <w:rPr>
          <w:rFonts w:asciiTheme="minorHAnsi" w:hAnsiTheme="minorHAnsi"/>
          <w:b/>
          <w:color w:val="000000"/>
          <w:sz w:val="22"/>
          <w:szCs w:val="22"/>
        </w:rPr>
        <w:t>5</w:t>
      </w:r>
      <w:r w:rsidR="00221F25" w:rsidRPr="00D55209">
        <w:rPr>
          <w:rFonts w:asciiTheme="minorHAnsi" w:hAnsiTheme="minorHAnsi"/>
          <w:b/>
          <w:color w:val="000000"/>
          <w:sz w:val="22"/>
          <w:szCs w:val="22"/>
        </w:rPr>
        <w:t xml:space="preserve">. Laboratory Data and Attachment </w:t>
      </w:r>
      <w:r w:rsidR="00610801">
        <w:rPr>
          <w:rFonts w:asciiTheme="minorHAnsi" w:hAnsiTheme="minorHAnsi"/>
          <w:b/>
          <w:color w:val="000000"/>
          <w:sz w:val="22"/>
          <w:szCs w:val="22"/>
        </w:rPr>
        <w:t>6</w:t>
      </w:r>
      <w:r w:rsidR="00221F25" w:rsidRPr="00D55209">
        <w:rPr>
          <w:rFonts w:asciiTheme="minorHAnsi" w:hAnsiTheme="minorHAnsi"/>
          <w:b/>
          <w:color w:val="000000"/>
          <w:sz w:val="22"/>
          <w:szCs w:val="22"/>
        </w:rPr>
        <w:t>. Vaccine Data]</w:t>
      </w:r>
      <w:r w:rsidR="00221F25" w:rsidRPr="00D55209">
        <w:rPr>
          <w:rFonts w:asciiTheme="minorHAnsi" w:hAnsiTheme="minorHAnsi"/>
          <w:color w:val="000000"/>
          <w:sz w:val="22"/>
          <w:szCs w:val="22"/>
        </w:rPr>
        <w:t>.</w:t>
      </w:r>
    </w:p>
    <w:p w14:paraId="0D339FC2" w14:textId="77777777" w:rsidR="00221F25" w:rsidRPr="00026C77" w:rsidRDefault="00221F25" w:rsidP="00925656">
      <w:pPr>
        <w:spacing w:line="360" w:lineRule="auto"/>
        <w:rPr>
          <w:rFonts w:asciiTheme="minorHAnsi" w:hAnsiTheme="minorHAnsi"/>
          <w:color w:val="FF0000"/>
          <w:sz w:val="22"/>
          <w:szCs w:val="22"/>
        </w:rPr>
      </w:pPr>
    </w:p>
    <w:p w14:paraId="10848BCE" w14:textId="77777777" w:rsidR="007C3321" w:rsidRPr="00FF55BF" w:rsidRDefault="00466BE6"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For many conditions submitted to CDC, participating public health departments also submit data elements which are specific to </w:t>
      </w:r>
      <w:r w:rsidR="005204E8" w:rsidRPr="00FF55BF">
        <w:rPr>
          <w:rFonts w:asciiTheme="minorHAnsi" w:hAnsiTheme="minorHAnsi"/>
          <w:color w:val="000000"/>
          <w:sz w:val="22"/>
          <w:szCs w:val="22"/>
        </w:rPr>
        <w:t>each</w:t>
      </w:r>
      <w:r w:rsidRPr="00FF55BF">
        <w:rPr>
          <w:rFonts w:asciiTheme="minorHAnsi" w:hAnsiTheme="minorHAnsi"/>
          <w:color w:val="000000"/>
          <w:sz w:val="22"/>
          <w:szCs w:val="22"/>
        </w:rPr>
        <w:t xml:space="preserve"> condition. With the </w:t>
      </w:r>
      <w:r w:rsidR="00017559" w:rsidRPr="00FF55BF">
        <w:rPr>
          <w:rFonts w:asciiTheme="minorHAnsi" w:hAnsiTheme="minorHAnsi"/>
          <w:color w:val="000000"/>
          <w:sz w:val="22"/>
          <w:szCs w:val="22"/>
        </w:rPr>
        <w:t xml:space="preserve">coordination with other CDC programs conducting surveillance on </w:t>
      </w:r>
      <w:r w:rsidR="00DE10AD">
        <w:rPr>
          <w:rFonts w:asciiTheme="minorHAnsi" w:hAnsiTheme="minorHAnsi"/>
          <w:color w:val="000000"/>
          <w:sz w:val="22"/>
          <w:szCs w:val="22"/>
        </w:rPr>
        <w:t xml:space="preserve">nationally </w:t>
      </w:r>
      <w:r w:rsidR="00017559" w:rsidRPr="00FF55BF">
        <w:rPr>
          <w:rFonts w:asciiTheme="minorHAnsi" w:hAnsiTheme="minorHAnsi"/>
          <w:color w:val="000000"/>
          <w:sz w:val="22"/>
          <w:szCs w:val="22"/>
        </w:rPr>
        <w:t>notifiable conditions</w:t>
      </w:r>
      <w:r w:rsidRPr="00FF55BF">
        <w:rPr>
          <w:rFonts w:asciiTheme="minorHAnsi" w:hAnsiTheme="minorHAnsi"/>
          <w:color w:val="000000"/>
          <w:sz w:val="22"/>
          <w:szCs w:val="22"/>
        </w:rPr>
        <w:t>, as noted above, t</w:t>
      </w:r>
      <w:r w:rsidR="00DD4E30" w:rsidRPr="00FF55BF">
        <w:rPr>
          <w:rFonts w:asciiTheme="minorHAnsi" w:hAnsiTheme="minorHAnsi"/>
          <w:color w:val="000000"/>
          <w:sz w:val="22"/>
          <w:szCs w:val="22"/>
        </w:rPr>
        <w:t xml:space="preserve">his application includes disease-specific tables </w:t>
      </w:r>
      <w:r w:rsidR="00D859F6" w:rsidRPr="00026C77">
        <w:rPr>
          <w:rFonts w:asciiTheme="minorHAnsi" w:hAnsiTheme="minorHAnsi"/>
          <w:color w:val="000000"/>
          <w:sz w:val="22"/>
          <w:szCs w:val="22"/>
        </w:rPr>
        <w:t xml:space="preserve">for </w:t>
      </w:r>
      <w:r w:rsidR="00B34895" w:rsidRPr="00026C77">
        <w:rPr>
          <w:rFonts w:asciiTheme="minorHAnsi" w:hAnsiTheme="minorHAnsi"/>
          <w:color w:val="000000"/>
          <w:sz w:val="22"/>
          <w:szCs w:val="22"/>
        </w:rPr>
        <w:t>68</w:t>
      </w:r>
      <w:r w:rsidR="00D859F6" w:rsidRPr="00FF55BF">
        <w:rPr>
          <w:rFonts w:asciiTheme="minorHAnsi" w:hAnsiTheme="minorHAnsi"/>
          <w:color w:val="000000"/>
          <w:sz w:val="22"/>
          <w:szCs w:val="22"/>
        </w:rPr>
        <w:t xml:space="preserve"> diseases</w:t>
      </w:r>
      <w:r w:rsidR="00911346">
        <w:rPr>
          <w:rFonts w:asciiTheme="minorHAnsi" w:hAnsiTheme="minorHAnsi"/>
          <w:b/>
          <w:color w:val="000000"/>
          <w:sz w:val="22"/>
          <w:szCs w:val="22"/>
        </w:rPr>
        <w:t xml:space="preserve">. </w:t>
      </w:r>
      <w:r w:rsidR="00F52051" w:rsidRPr="00F52051">
        <w:rPr>
          <w:rFonts w:asciiTheme="minorHAnsi" w:hAnsiTheme="minorHAnsi"/>
          <w:color w:val="000000"/>
          <w:sz w:val="22"/>
          <w:szCs w:val="22"/>
        </w:rPr>
        <w:t>Most of these data elements were included in the previously approved ICR.</w:t>
      </w:r>
      <w:r w:rsidR="00F52051">
        <w:rPr>
          <w:rFonts w:asciiTheme="minorHAnsi" w:hAnsiTheme="minorHAnsi"/>
          <w:b/>
          <w:color w:val="000000"/>
          <w:sz w:val="22"/>
          <w:szCs w:val="22"/>
        </w:rPr>
        <w:t xml:space="preserve"> </w:t>
      </w:r>
      <w:r w:rsidR="00911346" w:rsidRPr="00911346">
        <w:rPr>
          <w:rFonts w:asciiTheme="minorHAnsi" w:hAnsiTheme="minorHAnsi"/>
          <w:color w:val="000000"/>
          <w:sz w:val="22"/>
          <w:szCs w:val="22"/>
        </w:rPr>
        <w:t xml:space="preserve">Several </w:t>
      </w:r>
      <w:r w:rsidR="00911346">
        <w:rPr>
          <w:rFonts w:asciiTheme="minorHAnsi" w:hAnsiTheme="minorHAnsi"/>
          <w:color w:val="000000"/>
          <w:sz w:val="22"/>
          <w:szCs w:val="22"/>
        </w:rPr>
        <w:t>disease-specific</w:t>
      </w:r>
      <w:r w:rsidR="00F71629">
        <w:rPr>
          <w:rFonts w:asciiTheme="minorHAnsi" w:hAnsiTheme="minorHAnsi"/>
          <w:color w:val="000000"/>
          <w:sz w:val="22"/>
          <w:szCs w:val="22"/>
        </w:rPr>
        <w:t xml:space="preserve"> </w:t>
      </w:r>
      <w:r w:rsidR="00911346" w:rsidRPr="00911346">
        <w:rPr>
          <w:rFonts w:asciiTheme="minorHAnsi" w:hAnsiTheme="minorHAnsi"/>
          <w:color w:val="000000"/>
          <w:sz w:val="22"/>
          <w:szCs w:val="22"/>
        </w:rPr>
        <w:t xml:space="preserve">data elements not included in the </w:t>
      </w:r>
      <w:r w:rsidR="00F52051">
        <w:rPr>
          <w:rFonts w:asciiTheme="minorHAnsi" w:hAnsiTheme="minorHAnsi"/>
          <w:color w:val="000000"/>
          <w:sz w:val="22"/>
          <w:szCs w:val="22"/>
        </w:rPr>
        <w:t>previously approved ICR</w:t>
      </w:r>
      <w:r w:rsidR="00911346" w:rsidRPr="00911346">
        <w:rPr>
          <w:rFonts w:asciiTheme="minorHAnsi" w:hAnsiTheme="minorHAnsi"/>
          <w:color w:val="000000"/>
          <w:sz w:val="22"/>
          <w:szCs w:val="22"/>
        </w:rPr>
        <w:t xml:space="preserve"> have been added to the </w:t>
      </w:r>
      <w:r w:rsidR="00911346">
        <w:rPr>
          <w:rFonts w:asciiTheme="minorHAnsi" w:hAnsiTheme="minorHAnsi"/>
          <w:color w:val="000000"/>
          <w:sz w:val="22"/>
          <w:szCs w:val="22"/>
        </w:rPr>
        <w:t>disease-specific</w:t>
      </w:r>
      <w:r w:rsidR="00911346" w:rsidRPr="00911346">
        <w:rPr>
          <w:rFonts w:asciiTheme="minorHAnsi" w:hAnsiTheme="minorHAnsi"/>
          <w:color w:val="000000"/>
          <w:sz w:val="22"/>
          <w:szCs w:val="22"/>
        </w:rPr>
        <w:t xml:space="preserve"> data elements </w:t>
      </w:r>
      <w:r w:rsidR="007D0DCA">
        <w:rPr>
          <w:rFonts w:asciiTheme="minorHAnsi" w:hAnsiTheme="minorHAnsi"/>
          <w:color w:val="000000"/>
          <w:sz w:val="22"/>
          <w:szCs w:val="22"/>
        </w:rPr>
        <w:t xml:space="preserve">(since they are necessary for routine surveillance) </w:t>
      </w:r>
      <w:r w:rsidR="00911346">
        <w:rPr>
          <w:rFonts w:asciiTheme="minorHAnsi" w:hAnsiTheme="minorHAnsi"/>
          <w:color w:val="000000"/>
          <w:sz w:val="22"/>
          <w:szCs w:val="22"/>
        </w:rPr>
        <w:t>for the following conditions</w:t>
      </w:r>
      <w:r w:rsidR="00911346" w:rsidRPr="00911346">
        <w:rPr>
          <w:rFonts w:asciiTheme="minorHAnsi" w:hAnsiTheme="minorHAnsi"/>
          <w:color w:val="000000"/>
          <w:sz w:val="22"/>
          <w:szCs w:val="22"/>
        </w:rPr>
        <w:t xml:space="preserve">: </w:t>
      </w:r>
      <w:r w:rsidR="00026C77" w:rsidRPr="00026C77">
        <w:rPr>
          <w:rFonts w:asciiTheme="minorHAnsi" w:hAnsiTheme="minorHAnsi"/>
          <w:color w:val="000000"/>
          <w:sz w:val="22"/>
          <w:szCs w:val="22"/>
        </w:rPr>
        <w:t xml:space="preserve">Mumps, Pertussis, </w:t>
      </w:r>
      <w:r w:rsidR="00550446" w:rsidRPr="00550446">
        <w:rPr>
          <w:rFonts w:asciiTheme="minorHAnsi" w:hAnsiTheme="minorHAnsi"/>
          <w:color w:val="000000"/>
          <w:sz w:val="22"/>
          <w:szCs w:val="22"/>
        </w:rPr>
        <w:t xml:space="preserve">Varicella, </w:t>
      </w:r>
      <w:proofErr w:type="spellStart"/>
      <w:r w:rsidR="00550446" w:rsidRPr="00550446">
        <w:rPr>
          <w:rFonts w:asciiTheme="minorHAnsi" w:hAnsiTheme="minorHAnsi"/>
          <w:color w:val="000000"/>
          <w:sz w:val="22"/>
          <w:szCs w:val="22"/>
        </w:rPr>
        <w:t>Arboviral</w:t>
      </w:r>
      <w:proofErr w:type="spellEnd"/>
      <w:r w:rsidR="00550446" w:rsidRPr="00550446">
        <w:rPr>
          <w:rFonts w:asciiTheme="minorHAnsi" w:hAnsiTheme="minorHAnsi"/>
          <w:color w:val="000000"/>
          <w:sz w:val="22"/>
          <w:szCs w:val="22"/>
        </w:rPr>
        <w:t xml:space="preserve"> Diseases</w:t>
      </w:r>
      <w:r w:rsidR="00550446">
        <w:rPr>
          <w:rFonts w:asciiTheme="minorHAnsi" w:hAnsiTheme="minorHAnsi"/>
          <w:color w:val="000000"/>
          <w:sz w:val="22"/>
          <w:szCs w:val="22"/>
        </w:rPr>
        <w:t>,</w:t>
      </w:r>
      <w:r w:rsidR="00550446" w:rsidRPr="00550446">
        <w:rPr>
          <w:rFonts w:asciiTheme="minorHAnsi" w:hAnsiTheme="minorHAnsi"/>
          <w:color w:val="000000"/>
          <w:sz w:val="22"/>
          <w:szCs w:val="22"/>
        </w:rPr>
        <w:t xml:space="preserve"> </w:t>
      </w:r>
      <w:r w:rsidR="00026C77" w:rsidRPr="00026C77">
        <w:rPr>
          <w:rFonts w:asciiTheme="minorHAnsi" w:hAnsiTheme="minorHAnsi"/>
          <w:color w:val="000000"/>
          <w:sz w:val="22"/>
          <w:szCs w:val="22"/>
        </w:rPr>
        <w:t>and STD</w:t>
      </w:r>
      <w:r w:rsidR="00911346" w:rsidRPr="00911346">
        <w:rPr>
          <w:rFonts w:asciiTheme="minorHAnsi" w:hAnsiTheme="minorHAnsi"/>
          <w:color w:val="000000"/>
          <w:sz w:val="22"/>
          <w:szCs w:val="22"/>
        </w:rPr>
        <w:t xml:space="preserve">. </w:t>
      </w:r>
      <w:r w:rsidR="00867BCF">
        <w:rPr>
          <w:rFonts w:asciiTheme="minorHAnsi" w:hAnsiTheme="minorHAnsi"/>
          <w:color w:val="000000"/>
          <w:sz w:val="22"/>
          <w:szCs w:val="22"/>
        </w:rPr>
        <w:t>Names, d</w:t>
      </w:r>
      <w:r w:rsidR="00911346" w:rsidRPr="00911346">
        <w:rPr>
          <w:rFonts w:asciiTheme="minorHAnsi" w:hAnsiTheme="minorHAnsi"/>
          <w:color w:val="000000"/>
          <w:sz w:val="22"/>
          <w:szCs w:val="22"/>
        </w:rPr>
        <w:t xml:space="preserve">escriptions and value sets for the data elements are identified </w:t>
      </w:r>
      <w:r w:rsidR="008D45A7">
        <w:rPr>
          <w:rFonts w:asciiTheme="minorHAnsi" w:hAnsiTheme="minorHAnsi"/>
          <w:color w:val="000000"/>
          <w:sz w:val="22"/>
          <w:szCs w:val="22"/>
        </w:rPr>
        <w:t xml:space="preserve">in bold </w:t>
      </w:r>
      <w:r w:rsidR="00911346" w:rsidRPr="00911346">
        <w:rPr>
          <w:rFonts w:asciiTheme="minorHAnsi" w:hAnsiTheme="minorHAnsi"/>
          <w:color w:val="000000"/>
          <w:sz w:val="22"/>
          <w:szCs w:val="22"/>
        </w:rPr>
        <w:t xml:space="preserve">in an attachment </w:t>
      </w:r>
      <w:r w:rsidR="00911346" w:rsidRPr="00FF55BF">
        <w:rPr>
          <w:rFonts w:asciiTheme="minorHAnsi" w:hAnsiTheme="minorHAnsi"/>
          <w:b/>
          <w:color w:val="000000"/>
          <w:sz w:val="22"/>
          <w:szCs w:val="22"/>
        </w:rPr>
        <w:t xml:space="preserve">[Attachment </w:t>
      </w:r>
      <w:r w:rsidR="00610801">
        <w:rPr>
          <w:rFonts w:asciiTheme="minorHAnsi" w:hAnsiTheme="minorHAnsi"/>
          <w:b/>
          <w:color w:val="000000"/>
          <w:sz w:val="22"/>
          <w:szCs w:val="22"/>
        </w:rPr>
        <w:t>7</w:t>
      </w:r>
      <w:r w:rsidR="00911346" w:rsidRPr="00FF55BF">
        <w:rPr>
          <w:rFonts w:asciiTheme="minorHAnsi" w:hAnsiTheme="minorHAnsi"/>
          <w:b/>
          <w:color w:val="000000"/>
          <w:sz w:val="22"/>
          <w:szCs w:val="22"/>
        </w:rPr>
        <w:t>. Disease-Specific Data].</w:t>
      </w:r>
    </w:p>
    <w:p w14:paraId="47F40566" w14:textId="77777777" w:rsidR="00DE4FF7" w:rsidRDefault="00DE4FF7" w:rsidP="00925656">
      <w:pPr>
        <w:spacing w:line="360" w:lineRule="auto"/>
        <w:rPr>
          <w:rFonts w:asciiTheme="minorHAnsi" w:hAnsiTheme="minorHAnsi"/>
          <w:color w:val="000000"/>
          <w:sz w:val="22"/>
          <w:szCs w:val="22"/>
        </w:rPr>
      </w:pPr>
    </w:p>
    <w:p w14:paraId="64024212" w14:textId="3F4F44A9"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A.2. </w:t>
      </w:r>
      <w:r w:rsidRPr="00FF55BF">
        <w:rPr>
          <w:rFonts w:asciiTheme="minorHAnsi" w:hAnsiTheme="minorHAnsi"/>
          <w:b/>
          <w:color w:val="000000"/>
          <w:sz w:val="22"/>
          <w:szCs w:val="22"/>
          <w:u w:val="single"/>
        </w:rPr>
        <w:t xml:space="preserve">Purpose and Use of </w:t>
      </w:r>
      <w:r w:rsidR="00A824BA">
        <w:rPr>
          <w:rFonts w:asciiTheme="minorHAnsi" w:hAnsiTheme="minorHAnsi"/>
          <w:b/>
          <w:color w:val="000000"/>
          <w:sz w:val="22"/>
          <w:szCs w:val="22"/>
          <w:u w:val="single"/>
        </w:rPr>
        <w:t xml:space="preserve">the </w:t>
      </w:r>
      <w:r w:rsidRPr="00FF55BF">
        <w:rPr>
          <w:rFonts w:asciiTheme="minorHAnsi" w:hAnsiTheme="minorHAnsi"/>
          <w:b/>
          <w:color w:val="000000"/>
          <w:sz w:val="22"/>
          <w:szCs w:val="22"/>
          <w:u w:val="single"/>
        </w:rPr>
        <w:t>Information</w:t>
      </w:r>
      <w:r w:rsidR="008C76E9" w:rsidRPr="00FF55BF">
        <w:rPr>
          <w:rFonts w:asciiTheme="minorHAnsi" w:hAnsiTheme="minorHAnsi"/>
          <w:b/>
          <w:color w:val="000000"/>
          <w:sz w:val="22"/>
          <w:szCs w:val="22"/>
          <w:u w:val="single"/>
        </w:rPr>
        <w:t xml:space="preserve"> Collection</w:t>
      </w:r>
    </w:p>
    <w:p w14:paraId="45AD9D15" w14:textId="77777777" w:rsidR="001E484B" w:rsidRPr="00FF55BF" w:rsidRDefault="00BB45AE" w:rsidP="00925656">
      <w:pPr>
        <w:spacing w:line="360" w:lineRule="auto"/>
        <w:rPr>
          <w:rFonts w:asciiTheme="minorHAnsi" w:hAnsiTheme="minorHAnsi"/>
          <w:color w:val="C00000"/>
          <w:sz w:val="22"/>
          <w:szCs w:val="22"/>
        </w:rPr>
      </w:pPr>
      <w:r w:rsidRPr="00FF55BF">
        <w:rPr>
          <w:rFonts w:asciiTheme="minorHAnsi" w:eastAsia="Calibri" w:hAnsiTheme="minorHAnsi"/>
          <w:sz w:val="22"/>
          <w:szCs w:val="22"/>
        </w:rPr>
        <w:t xml:space="preserve">Once </w:t>
      </w:r>
      <w:r w:rsidR="00B8383F" w:rsidRPr="00FF55BF">
        <w:rPr>
          <w:rFonts w:asciiTheme="minorHAnsi" w:eastAsia="Calibri" w:hAnsiTheme="minorHAnsi"/>
          <w:sz w:val="22"/>
          <w:szCs w:val="22"/>
        </w:rPr>
        <w:t xml:space="preserve">case </w:t>
      </w:r>
      <w:r w:rsidR="00340948" w:rsidRPr="00FF55BF">
        <w:rPr>
          <w:rFonts w:asciiTheme="minorHAnsi" w:eastAsia="Calibri" w:hAnsiTheme="minorHAnsi"/>
          <w:sz w:val="22"/>
          <w:szCs w:val="22"/>
        </w:rPr>
        <w:t>notification</w:t>
      </w:r>
      <w:r w:rsidR="00B8383F" w:rsidRPr="00FF55BF">
        <w:rPr>
          <w:rFonts w:asciiTheme="minorHAnsi" w:eastAsia="Calibri" w:hAnsiTheme="minorHAnsi"/>
          <w:sz w:val="22"/>
          <w:szCs w:val="22"/>
        </w:rPr>
        <w:t xml:space="preserve"> </w:t>
      </w:r>
      <w:r w:rsidRPr="00FF55BF">
        <w:rPr>
          <w:rFonts w:asciiTheme="minorHAnsi" w:eastAsia="Calibri" w:hAnsiTheme="minorHAnsi"/>
          <w:sz w:val="22"/>
          <w:szCs w:val="22"/>
        </w:rPr>
        <w:t xml:space="preserve">data </w:t>
      </w:r>
      <w:r w:rsidR="00B8383F" w:rsidRPr="00FF55BF">
        <w:rPr>
          <w:rFonts w:asciiTheme="minorHAnsi" w:eastAsia="Calibri" w:hAnsiTheme="minorHAnsi"/>
          <w:sz w:val="22"/>
          <w:szCs w:val="22"/>
        </w:rPr>
        <w:t>a</w:t>
      </w:r>
      <w:r w:rsidRPr="00FF55BF">
        <w:rPr>
          <w:rFonts w:asciiTheme="minorHAnsi" w:eastAsia="Calibri" w:hAnsiTheme="minorHAnsi"/>
          <w:sz w:val="22"/>
          <w:szCs w:val="22"/>
        </w:rPr>
        <w:t xml:space="preserve">re </w:t>
      </w:r>
      <w:r w:rsidR="00B8383F" w:rsidRPr="00FF55BF">
        <w:rPr>
          <w:rFonts w:asciiTheme="minorHAnsi" w:eastAsia="Calibri" w:hAnsiTheme="minorHAnsi"/>
          <w:sz w:val="22"/>
          <w:szCs w:val="22"/>
        </w:rPr>
        <w:t xml:space="preserve">received by </w:t>
      </w:r>
      <w:r w:rsidR="00C81A93" w:rsidRPr="00FF55BF">
        <w:rPr>
          <w:rFonts w:asciiTheme="minorHAnsi" w:eastAsia="Calibri" w:hAnsiTheme="minorHAnsi"/>
          <w:sz w:val="22"/>
          <w:szCs w:val="22"/>
        </w:rPr>
        <w:t>NNDSS</w:t>
      </w:r>
      <w:r w:rsidRPr="00FF55BF">
        <w:rPr>
          <w:rFonts w:asciiTheme="minorHAnsi" w:eastAsia="Calibri" w:hAnsiTheme="minorHAnsi"/>
          <w:sz w:val="22"/>
          <w:szCs w:val="22"/>
        </w:rPr>
        <w:t xml:space="preserve">, </w:t>
      </w:r>
      <w:r w:rsidR="00C81A93" w:rsidRPr="00FF55BF">
        <w:rPr>
          <w:rFonts w:asciiTheme="minorHAnsi" w:eastAsia="Calibri" w:hAnsiTheme="minorHAnsi"/>
          <w:sz w:val="22"/>
          <w:szCs w:val="22"/>
        </w:rPr>
        <w:t xml:space="preserve">CDC </w:t>
      </w:r>
      <w:r w:rsidRPr="00FF55BF">
        <w:rPr>
          <w:rFonts w:asciiTheme="minorHAnsi" w:eastAsia="Calibri" w:hAnsiTheme="minorHAnsi"/>
          <w:sz w:val="22"/>
          <w:szCs w:val="22"/>
        </w:rPr>
        <w:t>data analysts conduct quality control assessments</w:t>
      </w:r>
      <w:r w:rsidR="00CE7E48" w:rsidRPr="00FF55BF">
        <w:rPr>
          <w:rFonts w:asciiTheme="minorHAnsi" w:eastAsia="Calibri" w:hAnsiTheme="minorHAnsi"/>
          <w:sz w:val="22"/>
          <w:szCs w:val="22"/>
        </w:rPr>
        <w:t>, including evaluating the information submitted against an established case definition. Analysts</w:t>
      </w:r>
      <w:r w:rsidRPr="00FF55BF">
        <w:rPr>
          <w:rFonts w:asciiTheme="minorHAnsi" w:eastAsia="Calibri" w:hAnsiTheme="minorHAnsi"/>
          <w:sz w:val="22"/>
          <w:szCs w:val="22"/>
        </w:rPr>
        <w:t xml:space="preserve"> standardize the data and then share the data with CDC subject matter experts who have responsibility for prevention and control of those diseases. </w:t>
      </w:r>
      <w:r w:rsidR="007F3BD1" w:rsidRPr="00FF55BF">
        <w:rPr>
          <w:rFonts w:asciiTheme="minorHAnsi" w:hAnsiTheme="minorHAnsi"/>
          <w:sz w:val="22"/>
          <w:szCs w:val="22"/>
        </w:rPr>
        <w:t>Data are used by CDC subject matter experts to</w:t>
      </w:r>
      <w:r w:rsidR="0099090A" w:rsidRPr="00FF55BF">
        <w:rPr>
          <w:rFonts w:asciiTheme="minorHAnsi" w:hAnsiTheme="minorHAnsi"/>
          <w:sz w:val="22"/>
          <w:szCs w:val="22"/>
        </w:rPr>
        <w:t xml:space="preserve"> monitor the occurrence of the conditions</w:t>
      </w:r>
      <w:r w:rsidR="005204E8" w:rsidRPr="00FF55BF">
        <w:rPr>
          <w:rFonts w:asciiTheme="minorHAnsi" w:hAnsiTheme="minorHAnsi"/>
          <w:sz w:val="22"/>
          <w:szCs w:val="22"/>
        </w:rPr>
        <w:t>,</w:t>
      </w:r>
      <w:r w:rsidR="007F3BD1" w:rsidRPr="00FF55BF">
        <w:rPr>
          <w:rFonts w:asciiTheme="minorHAnsi" w:hAnsiTheme="minorHAnsi"/>
          <w:sz w:val="22"/>
          <w:szCs w:val="22"/>
        </w:rPr>
        <w:t xml:space="preserve"> identify populations or geographic areas at high risk, plan prevention and control programs and policies, allocate resources appropriately, and evaluate the effectiveness of programs and policies.</w:t>
      </w:r>
      <w:r w:rsidR="00C30217" w:rsidRPr="00FF55BF">
        <w:rPr>
          <w:rFonts w:asciiTheme="minorHAnsi" w:hAnsiTheme="minorHAnsi"/>
          <w:sz w:val="22"/>
          <w:szCs w:val="22"/>
        </w:rPr>
        <w:t xml:space="preserve"> </w:t>
      </w:r>
      <w:r w:rsidR="001E484B" w:rsidRPr="00FF55BF">
        <w:rPr>
          <w:rFonts w:asciiTheme="minorHAnsi" w:hAnsiTheme="minorHAnsi"/>
          <w:sz w:val="22"/>
          <w:szCs w:val="22"/>
        </w:rPr>
        <w:t xml:space="preserve">In addition, information is collected that allows </w:t>
      </w:r>
      <w:r w:rsidR="00BB6E08">
        <w:rPr>
          <w:rFonts w:asciiTheme="minorHAnsi" w:hAnsiTheme="minorHAnsi"/>
          <w:sz w:val="22"/>
          <w:szCs w:val="22"/>
        </w:rPr>
        <w:t>CDC</w:t>
      </w:r>
      <w:r w:rsidR="003A311B" w:rsidRPr="00FF55BF">
        <w:rPr>
          <w:rFonts w:asciiTheme="minorHAnsi" w:hAnsiTheme="minorHAnsi"/>
          <w:sz w:val="22"/>
          <w:szCs w:val="22"/>
        </w:rPr>
        <w:t xml:space="preserve"> to </w:t>
      </w:r>
      <w:r w:rsidR="001E484B" w:rsidRPr="00FF55BF">
        <w:rPr>
          <w:rFonts w:asciiTheme="minorHAnsi" w:hAnsiTheme="minorHAnsi"/>
          <w:sz w:val="22"/>
          <w:szCs w:val="22"/>
        </w:rPr>
        <w:t>trac</w:t>
      </w:r>
      <w:r w:rsidR="003A311B" w:rsidRPr="00FF55BF">
        <w:rPr>
          <w:rFonts w:asciiTheme="minorHAnsi" w:hAnsiTheme="minorHAnsi"/>
          <w:sz w:val="22"/>
          <w:szCs w:val="22"/>
        </w:rPr>
        <w:t>e</w:t>
      </w:r>
      <w:r w:rsidR="001E484B" w:rsidRPr="00FF55BF">
        <w:rPr>
          <w:rFonts w:asciiTheme="minorHAnsi" w:hAnsiTheme="minorHAnsi"/>
          <w:sz w:val="22"/>
          <w:szCs w:val="22"/>
        </w:rPr>
        <w:t xml:space="preserve"> cases</w:t>
      </w:r>
      <w:r w:rsidR="00375FA2" w:rsidRPr="00FF55BF">
        <w:rPr>
          <w:rFonts w:asciiTheme="minorHAnsi" w:hAnsiTheme="minorHAnsi"/>
          <w:sz w:val="22"/>
          <w:szCs w:val="22"/>
        </w:rPr>
        <w:t xml:space="preserve"> and their </w:t>
      </w:r>
      <w:r w:rsidR="001E484B" w:rsidRPr="00FF55BF">
        <w:rPr>
          <w:rFonts w:asciiTheme="minorHAnsi" w:hAnsiTheme="minorHAnsi"/>
          <w:sz w:val="22"/>
          <w:szCs w:val="22"/>
        </w:rPr>
        <w:t>contacts</w:t>
      </w:r>
      <w:r w:rsidR="00375FA2" w:rsidRPr="00FF55BF">
        <w:rPr>
          <w:rFonts w:asciiTheme="minorHAnsi" w:hAnsiTheme="minorHAnsi"/>
          <w:sz w:val="22"/>
          <w:szCs w:val="22"/>
        </w:rPr>
        <w:t xml:space="preserve"> and their </w:t>
      </w:r>
      <w:r w:rsidR="001E484B" w:rsidRPr="00FF55BF">
        <w:rPr>
          <w:rFonts w:asciiTheme="minorHAnsi" w:hAnsiTheme="minorHAnsi"/>
          <w:sz w:val="22"/>
          <w:szCs w:val="22"/>
        </w:rPr>
        <w:t>travel</w:t>
      </w:r>
      <w:r w:rsidR="00375FA2" w:rsidRPr="00FF55BF">
        <w:rPr>
          <w:rFonts w:asciiTheme="minorHAnsi" w:hAnsiTheme="minorHAnsi"/>
          <w:sz w:val="22"/>
          <w:szCs w:val="22"/>
        </w:rPr>
        <w:t xml:space="preserve"> histories</w:t>
      </w:r>
      <w:r w:rsidR="001E484B" w:rsidRPr="00FF55BF">
        <w:rPr>
          <w:rFonts w:asciiTheme="minorHAnsi" w:hAnsiTheme="minorHAnsi"/>
          <w:sz w:val="22"/>
          <w:szCs w:val="22"/>
        </w:rPr>
        <w:t xml:space="preserve">, or other linkages necessary to </w:t>
      </w:r>
      <w:r w:rsidR="00E15800" w:rsidRPr="00FF55BF">
        <w:rPr>
          <w:rFonts w:asciiTheme="minorHAnsi" w:hAnsiTheme="minorHAnsi"/>
          <w:sz w:val="22"/>
          <w:szCs w:val="22"/>
        </w:rPr>
        <w:t>describe and</w:t>
      </w:r>
      <w:r w:rsidR="00375FA2" w:rsidRPr="00FF55BF">
        <w:rPr>
          <w:rFonts w:asciiTheme="minorHAnsi" w:hAnsiTheme="minorHAnsi"/>
          <w:sz w:val="22"/>
          <w:szCs w:val="22"/>
        </w:rPr>
        <w:t xml:space="preserve"> manage</w:t>
      </w:r>
      <w:r w:rsidR="001E484B" w:rsidRPr="00FF55BF">
        <w:rPr>
          <w:rFonts w:asciiTheme="minorHAnsi" w:hAnsiTheme="minorHAnsi"/>
          <w:sz w:val="22"/>
          <w:szCs w:val="22"/>
        </w:rPr>
        <w:t xml:space="preserve"> outbreak</w:t>
      </w:r>
      <w:r w:rsidR="00375FA2" w:rsidRPr="00FF55BF">
        <w:rPr>
          <w:rFonts w:asciiTheme="minorHAnsi" w:hAnsiTheme="minorHAnsi"/>
          <w:sz w:val="22"/>
          <w:szCs w:val="22"/>
        </w:rPr>
        <w:t>s or conduct public health follow-up to minimize the spread of disease</w:t>
      </w:r>
      <w:r w:rsidR="001E484B" w:rsidRPr="00FF55BF">
        <w:rPr>
          <w:rFonts w:asciiTheme="minorHAnsi" w:hAnsiTheme="minorHAnsi"/>
          <w:sz w:val="22"/>
          <w:szCs w:val="22"/>
        </w:rPr>
        <w:t xml:space="preserve">. </w:t>
      </w:r>
    </w:p>
    <w:p w14:paraId="307018BB" w14:textId="77777777" w:rsidR="001E484B" w:rsidRPr="00FF55BF" w:rsidRDefault="001E484B" w:rsidP="00925656">
      <w:pPr>
        <w:spacing w:line="360" w:lineRule="auto"/>
        <w:rPr>
          <w:rFonts w:asciiTheme="minorHAnsi" w:hAnsiTheme="minorHAnsi"/>
          <w:sz w:val="22"/>
          <w:szCs w:val="22"/>
        </w:rPr>
      </w:pPr>
    </w:p>
    <w:p w14:paraId="57717933" w14:textId="77777777" w:rsidR="00124FF2" w:rsidRPr="00FF55BF" w:rsidRDefault="007E0969" w:rsidP="00925656">
      <w:pPr>
        <w:spacing w:line="360" w:lineRule="auto"/>
        <w:contextualSpacing/>
        <w:rPr>
          <w:rFonts w:asciiTheme="minorHAnsi" w:hAnsiTheme="minorHAnsi"/>
          <w:sz w:val="22"/>
          <w:szCs w:val="22"/>
        </w:rPr>
      </w:pPr>
      <w:r w:rsidRPr="00FF55BF">
        <w:rPr>
          <w:rFonts w:asciiTheme="minorHAnsi" w:hAnsiTheme="minorHAnsi"/>
          <w:color w:val="000000"/>
          <w:sz w:val="22"/>
          <w:szCs w:val="22"/>
        </w:rPr>
        <w:t xml:space="preserve">CDC uses </w:t>
      </w:r>
      <w:r w:rsidR="005D31A5" w:rsidRPr="00FF55BF">
        <w:rPr>
          <w:rFonts w:asciiTheme="minorHAnsi" w:hAnsiTheme="minorHAnsi"/>
          <w:color w:val="000000"/>
          <w:sz w:val="22"/>
          <w:szCs w:val="22"/>
        </w:rPr>
        <w:t xml:space="preserve">NNDSS </w:t>
      </w:r>
      <w:r w:rsidR="00BF31A0" w:rsidRPr="00FF55BF">
        <w:rPr>
          <w:rFonts w:asciiTheme="minorHAnsi" w:hAnsiTheme="minorHAnsi"/>
          <w:color w:val="000000"/>
          <w:sz w:val="22"/>
          <w:szCs w:val="22"/>
        </w:rPr>
        <w:t xml:space="preserve">data </w:t>
      </w:r>
      <w:r w:rsidR="005D31A5" w:rsidRPr="00FF55BF">
        <w:rPr>
          <w:rFonts w:asciiTheme="minorHAnsi" w:hAnsiTheme="minorHAnsi"/>
          <w:color w:val="000000"/>
          <w:sz w:val="22"/>
          <w:szCs w:val="22"/>
        </w:rPr>
        <w:t xml:space="preserve">also </w:t>
      </w:r>
      <w:r w:rsidR="0097715D" w:rsidRPr="00FF55BF">
        <w:rPr>
          <w:rFonts w:asciiTheme="minorHAnsi" w:hAnsiTheme="minorHAnsi"/>
          <w:color w:val="000000"/>
          <w:sz w:val="22"/>
          <w:szCs w:val="22"/>
        </w:rPr>
        <w:t xml:space="preserve">for weekly publication in the </w:t>
      </w:r>
      <w:r w:rsidR="0097715D" w:rsidRPr="00FF55BF">
        <w:rPr>
          <w:rFonts w:asciiTheme="minorHAnsi" w:hAnsiTheme="minorHAnsi"/>
          <w:i/>
          <w:color w:val="000000"/>
          <w:sz w:val="22"/>
          <w:szCs w:val="22"/>
        </w:rPr>
        <w:t>Morbidity and Mortality Weekly Report (MMWR)</w:t>
      </w:r>
      <w:r w:rsidR="000D0FBA">
        <w:rPr>
          <w:rFonts w:asciiTheme="minorHAnsi" w:hAnsiTheme="minorHAnsi"/>
          <w:color w:val="000000"/>
          <w:sz w:val="22"/>
          <w:szCs w:val="22"/>
        </w:rPr>
        <w:t xml:space="preserve"> and for the </w:t>
      </w:r>
      <w:r w:rsidR="007107A7" w:rsidRPr="00FF55BF">
        <w:rPr>
          <w:rFonts w:asciiTheme="minorHAnsi" w:hAnsiTheme="minorHAnsi"/>
          <w:color w:val="000000"/>
          <w:sz w:val="22"/>
          <w:szCs w:val="22"/>
        </w:rPr>
        <w:t xml:space="preserve">annual summary presenting </w:t>
      </w:r>
      <w:r w:rsidR="00432CEE" w:rsidRPr="00FF55BF">
        <w:rPr>
          <w:rFonts w:asciiTheme="minorHAnsi" w:hAnsiTheme="minorHAnsi"/>
          <w:color w:val="000000"/>
          <w:sz w:val="22"/>
          <w:szCs w:val="22"/>
        </w:rPr>
        <w:t xml:space="preserve">finalized official </w:t>
      </w:r>
      <w:r w:rsidR="007107A7" w:rsidRPr="00FF55BF">
        <w:rPr>
          <w:rFonts w:asciiTheme="minorHAnsi" w:hAnsiTheme="minorHAnsi"/>
          <w:color w:val="000000"/>
          <w:sz w:val="22"/>
          <w:szCs w:val="22"/>
        </w:rPr>
        <w:t>incidence data for these diseases</w:t>
      </w:r>
      <w:r w:rsidR="00432CEE" w:rsidRPr="00FF55BF">
        <w:rPr>
          <w:rFonts w:asciiTheme="minorHAnsi" w:hAnsiTheme="minorHAnsi"/>
          <w:color w:val="000000"/>
          <w:sz w:val="22"/>
          <w:szCs w:val="22"/>
        </w:rPr>
        <w:t xml:space="preserve"> in </w:t>
      </w:r>
      <w:r w:rsidR="007107A7" w:rsidRPr="00FF55BF">
        <w:rPr>
          <w:rFonts w:asciiTheme="minorHAnsi" w:hAnsiTheme="minorHAnsi"/>
          <w:color w:val="000000"/>
          <w:sz w:val="22"/>
          <w:szCs w:val="22"/>
        </w:rPr>
        <w:t xml:space="preserve">the </w:t>
      </w:r>
      <w:r w:rsidR="007107A7" w:rsidRPr="00FF55BF">
        <w:rPr>
          <w:rFonts w:asciiTheme="minorHAnsi" w:hAnsiTheme="minorHAnsi"/>
          <w:i/>
          <w:color w:val="000000"/>
          <w:sz w:val="22"/>
          <w:szCs w:val="22"/>
        </w:rPr>
        <w:t>MMWR</w:t>
      </w:r>
      <w:r w:rsidR="007107A7" w:rsidRPr="00FF55BF">
        <w:rPr>
          <w:rFonts w:asciiTheme="minorHAnsi" w:hAnsiTheme="minorHAnsi"/>
          <w:color w:val="000000"/>
          <w:sz w:val="22"/>
          <w:szCs w:val="22"/>
        </w:rPr>
        <w:t xml:space="preserve"> </w:t>
      </w:r>
      <w:r w:rsidR="00432CEE" w:rsidRPr="00FF55BF">
        <w:rPr>
          <w:rFonts w:asciiTheme="minorHAnsi" w:hAnsiTheme="minorHAnsi"/>
          <w:color w:val="000000"/>
          <w:sz w:val="22"/>
          <w:szCs w:val="22"/>
        </w:rPr>
        <w:t xml:space="preserve">series </w:t>
      </w:r>
      <w:r w:rsidR="007107A7" w:rsidRPr="00FF55BF">
        <w:rPr>
          <w:rFonts w:asciiTheme="minorHAnsi" w:hAnsiTheme="minorHAnsi"/>
          <w:color w:val="000000"/>
          <w:sz w:val="22"/>
          <w:szCs w:val="22"/>
        </w:rPr>
        <w:t xml:space="preserve">entitled </w:t>
      </w:r>
      <w:r w:rsidR="007107A7" w:rsidRPr="00FF55BF">
        <w:rPr>
          <w:rFonts w:asciiTheme="minorHAnsi" w:hAnsiTheme="minorHAnsi"/>
          <w:i/>
          <w:color w:val="000000"/>
          <w:sz w:val="22"/>
          <w:szCs w:val="22"/>
        </w:rPr>
        <w:t>Summary of Notifiable Diseases, United States.</w:t>
      </w:r>
      <w:r w:rsidR="00432CEE" w:rsidRPr="00FF55BF">
        <w:rPr>
          <w:rFonts w:asciiTheme="minorHAnsi" w:hAnsiTheme="minorHAnsi"/>
          <w:color w:val="000000"/>
          <w:sz w:val="22"/>
          <w:szCs w:val="22"/>
        </w:rPr>
        <w:t xml:space="preserve"> </w:t>
      </w:r>
      <w:r w:rsidR="005825BD" w:rsidRPr="00FF55BF">
        <w:rPr>
          <w:rFonts w:asciiTheme="minorHAnsi" w:hAnsiTheme="minorHAnsi"/>
          <w:sz w:val="22"/>
          <w:szCs w:val="22"/>
        </w:rPr>
        <w:t xml:space="preserve">NNDSS provides the official source of statistics in the United States for nationally notifiable conditions and </w:t>
      </w:r>
      <w:r w:rsidR="009135CB" w:rsidRPr="00FF55BF">
        <w:rPr>
          <w:rFonts w:asciiTheme="minorHAnsi" w:hAnsiTheme="minorHAnsi"/>
          <w:sz w:val="22"/>
          <w:szCs w:val="22"/>
        </w:rPr>
        <w:t>CDC is the sole repository for these national, population-based data.</w:t>
      </w:r>
      <w:r w:rsidR="004121B2" w:rsidRPr="00FF55BF">
        <w:rPr>
          <w:rFonts w:asciiTheme="minorHAnsi" w:hAnsiTheme="minorHAnsi"/>
          <w:sz w:val="22"/>
          <w:szCs w:val="22"/>
        </w:rPr>
        <w:t xml:space="preserve">  </w:t>
      </w:r>
      <w:r w:rsidR="00124FF2" w:rsidRPr="00FF55BF">
        <w:rPr>
          <w:rFonts w:asciiTheme="minorHAnsi" w:hAnsiTheme="minorHAnsi"/>
          <w:sz w:val="22"/>
          <w:szCs w:val="22"/>
        </w:rPr>
        <w:t xml:space="preserve">CDC also </w:t>
      </w:r>
      <w:r w:rsidR="00C30217" w:rsidRPr="00FF55BF">
        <w:rPr>
          <w:rFonts w:asciiTheme="minorHAnsi" w:hAnsiTheme="minorHAnsi"/>
          <w:sz w:val="22"/>
          <w:szCs w:val="22"/>
        </w:rPr>
        <w:t xml:space="preserve">uses the notifiable </w:t>
      </w:r>
      <w:r w:rsidR="00DE10AD">
        <w:rPr>
          <w:rFonts w:asciiTheme="minorHAnsi" w:hAnsiTheme="minorHAnsi"/>
          <w:sz w:val="22"/>
          <w:szCs w:val="22"/>
        </w:rPr>
        <w:t>condition</w:t>
      </w:r>
      <w:r w:rsidR="00C30217" w:rsidRPr="00FF55BF">
        <w:rPr>
          <w:rFonts w:asciiTheme="minorHAnsi" w:hAnsiTheme="minorHAnsi"/>
          <w:sz w:val="22"/>
          <w:szCs w:val="22"/>
        </w:rPr>
        <w:t xml:space="preserve"> data to </w:t>
      </w:r>
      <w:r w:rsidR="00124FF2" w:rsidRPr="00FF55BF">
        <w:rPr>
          <w:rFonts w:asciiTheme="minorHAnsi" w:hAnsiTheme="minorHAnsi"/>
          <w:sz w:val="22"/>
          <w:szCs w:val="22"/>
        </w:rPr>
        <w:t>publish</w:t>
      </w:r>
      <w:r w:rsidR="00C30217" w:rsidRPr="00FF55BF">
        <w:rPr>
          <w:rFonts w:asciiTheme="minorHAnsi" w:hAnsiTheme="minorHAnsi"/>
          <w:sz w:val="22"/>
          <w:szCs w:val="22"/>
        </w:rPr>
        <w:t xml:space="preserve"> </w:t>
      </w:r>
      <w:r w:rsidR="00124FF2" w:rsidRPr="00FF55BF">
        <w:rPr>
          <w:rFonts w:asciiTheme="minorHAnsi" w:hAnsiTheme="minorHAnsi"/>
          <w:sz w:val="22"/>
          <w:szCs w:val="22"/>
        </w:rPr>
        <w:t xml:space="preserve">surveillance summaries and other reports in </w:t>
      </w:r>
      <w:r w:rsidR="00124FF2" w:rsidRPr="00FF55BF">
        <w:rPr>
          <w:rFonts w:asciiTheme="minorHAnsi" w:hAnsiTheme="minorHAnsi"/>
          <w:i/>
          <w:sz w:val="22"/>
          <w:szCs w:val="22"/>
        </w:rPr>
        <w:t>MMWR</w:t>
      </w:r>
      <w:r w:rsidR="00124FF2" w:rsidRPr="00FF55BF">
        <w:rPr>
          <w:rFonts w:asciiTheme="minorHAnsi" w:hAnsiTheme="minorHAnsi"/>
          <w:sz w:val="22"/>
          <w:szCs w:val="22"/>
        </w:rPr>
        <w:t xml:space="preserve"> and in scientific, public health and medical journals.</w:t>
      </w:r>
    </w:p>
    <w:p w14:paraId="37438D5E" w14:textId="77777777" w:rsidR="00AA27C3" w:rsidRPr="00FF55BF" w:rsidRDefault="00AA27C3" w:rsidP="00925656">
      <w:pPr>
        <w:spacing w:line="360" w:lineRule="auto"/>
        <w:rPr>
          <w:rFonts w:asciiTheme="minorHAnsi" w:hAnsiTheme="minorHAnsi"/>
          <w:color w:val="000000"/>
          <w:sz w:val="22"/>
          <w:szCs w:val="22"/>
        </w:rPr>
      </w:pPr>
    </w:p>
    <w:p w14:paraId="359321F2" w14:textId="77777777" w:rsidR="00640A8B" w:rsidRDefault="00C30217" w:rsidP="00925656">
      <w:pPr>
        <w:spacing w:line="360" w:lineRule="auto"/>
        <w:rPr>
          <w:rFonts w:asciiTheme="minorHAnsi" w:hAnsiTheme="minorHAnsi"/>
          <w:sz w:val="22"/>
          <w:szCs w:val="22"/>
        </w:rPr>
      </w:pPr>
      <w:r w:rsidRPr="00FF55BF">
        <w:rPr>
          <w:rFonts w:asciiTheme="minorHAnsi" w:hAnsiTheme="minorHAnsi"/>
          <w:color w:val="000000"/>
          <w:sz w:val="22"/>
          <w:szCs w:val="22"/>
        </w:rPr>
        <w:t xml:space="preserve">Data are also shared with </w:t>
      </w:r>
      <w:r w:rsidR="007E0755">
        <w:rPr>
          <w:rFonts w:asciiTheme="minorHAnsi" w:hAnsiTheme="minorHAnsi"/>
          <w:color w:val="000000"/>
          <w:sz w:val="22"/>
          <w:szCs w:val="22"/>
        </w:rPr>
        <w:t>jurisdictions a</w:t>
      </w:r>
      <w:r w:rsidRPr="00FF55BF">
        <w:rPr>
          <w:rFonts w:asciiTheme="minorHAnsi" w:hAnsiTheme="minorHAnsi"/>
          <w:color w:val="000000"/>
          <w:sz w:val="22"/>
          <w:szCs w:val="22"/>
        </w:rPr>
        <w:t>nd with the public</w:t>
      </w:r>
      <w:r w:rsidR="00407DF5" w:rsidRPr="00FF55BF">
        <w:rPr>
          <w:rFonts w:asciiTheme="minorHAnsi" w:hAnsiTheme="minorHAnsi"/>
          <w:color w:val="000000"/>
          <w:sz w:val="22"/>
          <w:szCs w:val="22"/>
        </w:rPr>
        <w:t xml:space="preserve">. </w:t>
      </w:r>
      <w:r w:rsidR="00BE228D" w:rsidRPr="00FF55BF">
        <w:rPr>
          <w:rFonts w:asciiTheme="minorHAnsi" w:hAnsiTheme="minorHAnsi"/>
          <w:sz w:val="22"/>
          <w:szCs w:val="22"/>
        </w:rPr>
        <w:t xml:space="preserve">For certain nationally notifiable conditions, </w:t>
      </w:r>
      <w:r w:rsidR="00B3389D" w:rsidRPr="00FF55BF">
        <w:rPr>
          <w:rFonts w:asciiTheme="minorHAnsi" w:hAnsiTheme="minorHAnsi"/>
          <w:sz w:val="22"/>
          <w:szCs w:val="22"/>
        </w:rPr>
        <w:t xml:space="preserve">CDC releases national data to the public through CDC’s web-based </w:t>
      </w:r>
      <w:r w:rsidR="0004678C" w:rsidRPr="00FF55BF">
        <w:rPr>
          <w:rFonts w:asciiTheme="minorHAnsi" w:hAnsiTheme="minorHAnsi"/>
          <w:sz w:val="22"/>
          <w:szCs w:val="22"/>
        </w:rPr>
        <w:t xml:space="preserve">query system known as </w:t>
      </w:r>
      <w:r w:rsidR="00B3389D" w:rsidRPr="00FF55BF">
        <w:rPr>
          <w:rFonts w:asciiTheme="minorHAnsi" w:hAnsiTheme="minorHAnsi"/>
          <w:sz w:val="22"/>
          <w:szCs w:val="22"/>
        </w:rPr>
        <w:t>WONDER</w:t>
      </w:r>
      <w:r w:rsidR="00BE228D" w:rsidRPr="00FF55BF">
        <w:rPr>
          <w:rFonts w:asciiTheme="minorHAnsi" w:hAnsiTheme="minorHAnsi"/>
          <w:sz w:val="22"/>
          <w:szCs w:val="22"/>
        </w:rPr>
        <w:t xml:space="preserve"> </w:t>
      </w:r>
      <w:r w:rsidR="0072204F" w:rsidRPr="00FF55BF">
        <w:rPr>
          <w:rFonts w:asciiTheme="minorHAnsi" w:hAnsiTheme="minorHAnsi"/>
          <w:sz w:val="22"/>
          <w:szCs w:val="22"/>
        </w:rPr>
        <w:t>(</w:t>
      </w:r>
      <w:hyperlink r:id="rId16" w:history="1">
        <w:r w:rsidR="00CE4187" w:rsidRPr="00FF55BF">
          <w:rPr>
            <w:rStyle w:val="Hyperlink"/>
            <w:rFonts w:asciiTheme="minorHAnsi" w:hAnsiTheme="minorHAnsi"/>
            <w:sz w:val="22"/>
            <w:szCs w:val="22"/>
          </w:rPr>
          <w:t>http://wonder.cdc.gov/</w:t>
        </w:r>
      </w:hyperlink>
      <w:r w:rsidR="00BE228D" w:rsidRPr="00FF55BF">
        <w:rPr>
          <w:rFonts w:asciiTheme="minorHAnsi" w:hAnsiTheme="minorHAnsi"/>
          <w:sz w:val="22"/>
          <w:szCs w:val="22"/>
        </w:rPr>
        <w:t>)</w:t>
      </w:r>
      <w:r w:rsidR="000318C7">
        <w:rPr>
          <w:rFonts w:asciiTheme="minorHAnsi" w:hAnsiTheme="minorHAnsi"/>
          <w:sz w:val="22"/>
          <w:szCs w:val="22"/>
        </w:rPr>
        <w:t xml:space="preserve"> and through </w:t>
      </w:r>
      <w:r w:rsidR="00FC5A29">
        <w:rPr>
          <w:rFonts w:asciiTheme="minorHAnsi" w:hAnsiTheme="minorHAnsi"/>
          <w:sz w:val="22"/>
          <w:szCs w:val="22"/>
        </w:rPr>
        <w:t>Data.Gov (</w:t>
      </w:r>
      <w:hyperlink r:id="rId17" w:history="1">
        <w:r w:rsidR="00FC5A29" w:rsidRPr="00B91354">
          <w:rPr>
            <w:rStyle w:val="Hyperlink"/>
            <w:rFonts w:asciiTheme="minorHAnsi" w:hAnsiTheme="minorHAnsi"/>
            <w:sz w:val="22"/>
            <w:szCs w:val="22"/>
          </w:rPr>
          <w:t>www.data.cdc.gov/</w:t>
        </w:r>
      </w:hyperlink>
      <w:r w:rsidR="00FC5A29">
        <w:rPr>
          <w:rFonts w:asciiTheme="minorHAnsi" w:hAnsiTheme="minorHAnsi"/>
          <w:sz w:val="22"/>
          <w:szCs w:val="22"/>
        </w:rPr>
        <w:t>)</w:t>
      </w:r>
      <w:r w:rsidR="00BE228D" w:rsidRPr="00FF55BF">
        <w:rPr>
          <w:rFonts w:asciiTheme="minorHAnsi" w:hAnsiTheme="minorHAnsi"/>
          <w:sz w:val="22"/>
          <w:szCs w:val="22"/>
        </w:rPr>
        <w:t xml:space="preserve">. </w:t>
      </w:r>
      <w:r w:rsidR="00176F5D" w:rsidRPr="00FF55BF">
        <w:rPr>
          <w:rFonts w:asciiTheme="minorHAnsi" w:hAnsiTheme="minorHAnsi"/>
          <w:sz w:val="22"/>
          <w:szCs w:val="22"/>
        </w:rPr>
        <w:t xml:space="preserve"> Shared data are summary </w:t>
      </w:r>
      <w:r w:rsidR="00176F5D" w:rsidRPr="00FF55BF">
        <w:rPr>
          <w:rFonts w:asciiTheme="minorHAnsi" w:hAnsiTheme="minorHAnsi"/>
          <w:sz w:val="22"/>
          <w:szCs w:val="22"/>
        </w:rPr>
        <w:lastRenderedPageBreak/>
        <w:t>statistics of aggregate data produced after personal identifiers have been removed (Section A.1</w:t>
      </w:r>
      <w:r w:rsidR="004D2578">
        <w:rPr>
          <w:rFonts w:asciiTheme="minorHAnsi" w:hAnsiTheme="minorHAnsi"/>
          <w:sz w:val="22"/>
          <w:szCs w:val="22"/>
        </w:rPr>
        <w:t>6</w:t>
      </w:r>
      <w:r w:rsidR="00176F5D" w:rsidRPr="00FF55BF">
        <w:rPr>
          <w:rFonts w:asciiTheme="minorHAnsi" w:hAnsiTheme="minorHAnsi"/>
          <w:sz w:val="22"/>
          <w:szCs w:val="22"/>
        </w:rPr>
        <w:t>, below).</w:t>
      </w:r>
      <w:r w:rsidR="00CE2F48">
        <w:rPr>
          <w:rFonts w:asciiTheme="minorHAnsi" w:hAnsiTheme="minorHAnsi"/>
          <w:sz w:val="22"/>
          <w:szCs w:val="22"/>
        </w:rPr>
        <w:t xml:space="preserve"> </w:t>
      </w:r>
      <w:r w:rsidR="00CE2F48" w:rsidRPr="00CE2F48">
        <w:rPr>
          <w:rFonts w:asciiTheme="minorHAnsi" w:hAnsiTheme="minorHAnsi"/>
          <w:sz w:val="22"/>
          <w:szCs w:val="22"/>
        </w:rPr>
        <w:t xml:space="preserve">Surveillance programs in </w:t>
      </w:r>
      <w:r w:rsidR="00BB6E08">
        <w:rPr>
          <w:rFonts w:asciiTheme="minorHAnsi" w:hAnsiTheme="minorHAnsi"/>
          <w:sz w:val="22"/>
          <w:szCs w:val="22"/>
        </w:rPr>
        <w:t>OID</w:t>
      </w:r>
      <w:r w:rsidR="00CE2F48" w:rsidRPr="00CE2F48">
        <w:rPr>
          <w:rFonts w:asciiTheme="minorHAnsi" w:hAnsiTheme="minorHAnsi"/>
          <w:sz w:val="22"/>
          <w:szCs w:val="22"/>
        </w:rPr>
        <w:t xml:space="preserve"> and CGH</w:t>
      </w:r>
      <w:r w:rsidR="00CE2F48">
        <w:rPr>
          <w:rFonts w:asciiTheme="minorHAnsi" w:hAnsiTheme="minorHAnsi"/>
          <w:sz w:val="22"/>
          <w:szCs w:val="22"/>
        </w:rPr>
        <w:t xml:space="preserve"> </w:t>
      </w:r>
      <w:r w:rsidR="00CE2F48" w:rsidRPr="00CE2F48">
        <w:rPr>
          <w:rFonts w:asciiTheme="minorHAnsi" w:hAnsiTheme="minorHAnsi"/>
          <w:sz w:val="22"/>
          <w:szCs w:val="22"/>
        </w:rPr>
        <w:t xml:space="preserve">receive nationally notifiable </w:t>
      </w:r>
      <w:r w:rsidR="00610801">
        <w:rPr>
          <w:rFonts w:asciiTheme="minorHAnsi" w:hAnsiTheme="minorHAnsi"/>
          <w:sz w:val="22"/>
          <w:szCs w:val="22"/>
        </w:rPr>
        <w:t xml:space="preserve">condition data for </w:t>
      </w:r>
      <w:r w:rsidR="00CE2F48" w:rsidRPr="00CE2F48">
        <w:rPr>
          <w:rFonts w:asciiTheme="minorHAnsi" w:hAnsiTheme="minorHAnsi"/>
          <w:sz w:val="22"/>
          <w:szCs w:val="22"/>
        </w:rPr>
        <w:t>infectious disease</w:t>
      </w:r>
      <w:r w:rsidR="00610801">
        <w:rPr>
          <w:rFonts w:asciiTheme="minorHAnsi" w:hAnsiTheme="minorHAnsi"/>
          <w:sz w:val="22"/>
          <w:szCs w:val="22"/>
        </w:rPr>
        <w:t>s</w:t>
      </w:r>
      <w:r w:rsidR="00CE2F48" w:rsidRPr="00CE2F48">
        <w:rPr>
          <w:rFonts w:asciiTheme="minorHAnsi" w:hAnsiTheme="minorHAnsi"/>
          <w:sz w:val="22"/>
          <w:szCs w:val="22"/>
        </w:rPr>
        <w:t xml:space="preserve"> from DHIS and use, release and/or share their programs’ data according to guidance established by CDC, their Centers and programs.</w:t>
      </w:r>
      <w:r w:rsidR="001F4B8D" w:rsidRPr="001F4B8D">
        <w:rPr>
          <w:rFonts w:asciiTheme="minorHAnsi" w:hAnsiTheme="minorHAnsi"/>
          <w:sz w:val="22"/>
          <w:szCs w:val="22"/>
        </w:rPr>
        <w:t xml:space="preserve"> </w:t>
      </w:r>
    </w:p>
    <w:p w14:paraId="688A0FBD" w14:textId="77777777" w:rsidR="00640A8B" w:rsidRDefault="00640A8B" w:rsidP="00925656">
      <w:pPr>
        <w:spacing w:line="360" w:lineRule="auto"/>
        <w:rPr>
          <w:rFonts w:asciiTheme="minorHAnsi" w:hAnsiTheme="minorHAnsi"/>
          <w:sz w:val="22"/>
          <w:szCs w:val="22"/>
        </w:rPr>
      </w:pPr>
    </w:p>
    <w:p w14:paraId="138AA2CD" w14:textId="77777777" w:rsidR="00687B43" w:rsidRPr="00FF55BF" w:rsidRDefault="00F3471E" w:rsidP="00925656">
      <w:pPr>
        <w:spacing w:line="360" w:lineRule="auto"/>
        <w:rPr>
          <w:rFonts w:asciiTheme="minorHAnsi" w:hAnsiTheme="minorHAnsi"/>
          <w:sz w:val="22"/>
          <w:szCs w:val="22"/>
        </w:rPr>
      </w:pPr>
      <w:r>
        <w:rPr>
          <w:rFonts w:asciiTheme="minorHAnsi" w:hAnsiTheme="minorHAnsi"/>
          <w:sz w:val="22"/>
          <w:szCs w:val="22"/>
        </w:rPr>
        <w:t>P</w:t>
      </w:r>
      <w:r w:rsidR="001F4B8D" w:rsidRPr="001F4B8D">
        <w:rPr>
          <w:rFonts w:asciiTheme="minorHAnsi" w:hAnsiTheme="minorHAnsi"/>
          <w:sz w:val="22"/>
          <w:szCs w:val="22"/>
        </w:rPr>
        <w:t xml:space="preserve">rocedures for receiving, securing, provisioning, publishing, and releasing nationally notifiable infectious diseases data received at CDC by information systems administered by </w:t>
      </w:r>
      <w:r w:rsidR="00EF4436">
        <w:rPr>
          <w:rFonts w:asciiTheme="minorHAnsi" w:hAnsiTheme="minorHAnsi"/>
          <w:sz w:val="22"/>
          <w:szCs w:val="22"/>
        </w:rPr>
        <w:t>DHIS</w:t>
      </w:r>
      <w:r w:rsidR="002A1076">
        <w:rPr>
          <w:rFonts w:asciiTheme="minorHAnsi" w:hAnsiTheme="minorHAnsi"/>
          <w:sz w:val="22"/>
          <w:szCs w:val="22"/>
        </w:rPr>
        <w:t xml:space="preserve"> are described in an attachment</w:t>
      </w:r>
      <w:r w:rsidR="00EF4436">
        <w:rPr>
          <w:rFonts w:asciiTheme="minorHAnsi" w:hAnsiTheme="minorHAnsi"/>
          <w:sz w:val="22"/>
          <w:szCs w:val="22"/>
        </w:rPr>
        <w:t xml:space="preserve"> </w:t>
      </w:r>
      <w:r w:rsidR="00EF4436" w:rsidRPr="00EF4436">
        <w:rPr>
          <w:rFonts w:asciiTheme="minorHAnsi" w:hAnsiTheme="minorHAnsi"/>
          <w:b/>
          <w:sz w:val="22"/>
          <w:szCs w:val="22"/>
        </w:rPr>
        <w:t xml:space="preserve">[Attachment </w:t>
      </w:r>
      <w:r w:rsidR="00610801">
        <w:rPr>
          <w:rFonts w:asciiTheme="minorHAnsi" w:hAnsiTheme="minorHAnsi"/>
          <w:b/>
          <w:sz w:val="22"/>
          <w:szCs w:val="22"/>
        </w:rPr>
        <w:t>8</w:t>
      </w:r>
      <w:r w:rsidR="00EF4436" w:rsidRPr="00EF4436">
        <w:rPr>
          <w:rFonts w:asciiTheme="minorHAnsi" w:hAnsiTheme="minorHAnsi"/>
          <w:b/>
          <w:sz w:val="22"/>
          <w:szCs w:val="22"/>
        </w:rPr>
        <w:t>. DHIS Data Processing and Security Procedures for NND Data]</w:t>
      </w:r>
      <w:r w:rsidR="001F4B8D" w:rsidRPr="001F4B8D">
        <w:rPr>
          <w:rFonts w:asciiTheme="minorHAnsi" w:hAnsiTheme="minorHAnsi"/>
          <w:sz w:val="22"/>
          <w:szCs w:val="22"/>
        </w:rPr>
        <w:t xml:space="preserve">. </w:t>
      </w:r>
      <w:r w:rsidR="0013688B">
        <w:rPr>
          <w:rFonts w:asciiTheme="minorHAnsi" w:hAnsiTheme="minorHAnsi"/>
          <w:sz w:val="22"/>
          <w:szCs w:val="22"/>
        </w:rPr>
        <w:t xml:space="preserve">These procedures were developed in 2014 and recently revised in January 2015. </w:t>
      </w:r>
      <w:r w:rsidR="001F4B8D" w:rsidRPr="001F4B8D">
        <w:rPr>
          <w:rFonts w:asciiTheme="minorHAnsi" w:hAnsiTheme="minorHAnsi"/>
          <w:sz w:val="22"/>
          <w:szCs w:val="22"/>
        </w:rPr>
        <w:t xml:space="preserve">Surveillance programs in </w:t>
      </w:r>
      <w:r w:rsidR="001F4B8D">
        <w:rPr>
          <w:rFonts w:asciiTheme="minorHAnsi" w:hAnsiTheme="minorHAnsi"/>
          <w:sz w:val="22"/>
          <w:szCs w:val="22"/>
        </w:rPr>
        <w:t>OID</w:t>
      </w:r>
      <w:r w:rsidR="001F4B8D" w:rsidRPr="001F4B8D">
        <w:rPr>
          <w:rFonts w:asciiTheme="minorHAnsi" w:hAnsiTheme="minorHAnsi"/>
          <w:sz w:val="22"/>
          <w:szCs w:val="22"/>
        </w:rPr>
        <w:t xml:space="preserve"> and CGH have primary responsibility at CDC for surveillance of the infectious diseases and conditions covered by </w:t>
      </w:r>
      <w:r w:rsidR="001F4B8D">
        <w:rPr>
          <w:rFonts w:asciiTheme="minorHAnsi" w:hAnsiTheme="minorHAnsi"/>
          <w:sz w:val="22"/>
          <w:szCs w:val="22"/>
        </w:rPr>
        <w:t>their</w:t>
      </w:r>
      <w:r w:rsidR="001F4B8D" w:rsidRPr="001F4B8D">
        <w:rPr>
          <w:rFonts w:asciiTheme="minorHAnsi" w:hAnsiTheme="minorHAnsi"/>
          <w:sz w:val="22"/>
          <w:szCs w:val="22"/>
        </w:rPr>
        <w:t xml:space="preserve"> Center</w:t>
      </w:r>
      <w:r w:rsidR="001F4B8D">
        <w:rPr>
          <w:rFonts w:asciiTheme="minorHAnsi" w:hAnsiTheme="minorHAnsi"/>
          <w:sz w:val="22"/>
          <w:szCs w:val="22"/>
        </w:rPr>
        <w:t>s</w:t>
      </w:r>
      <w:r w:rsidR="001F4B8D" w:rsidRPr="001F4B8D">
        <w:rPr>
          <w:rFonts w:asciiTheme="minorHAnsi" w:hAnsiTheme="minorHAnsi"/>
          <w:sz w:val="22"/>
          <w:szCs w:val="22"/>
        </w:rPr>
        <w:t>.  Programs within the</w:t>
      </w:r>
      <w:r w:rsidR="001F4B8D">
        <w:rPr>
          <w:rFonts w:asciiTheme="minorHAnsi" w:hAnsiTheme="minorHAnsi"/>
          <w:sz w:val="22"/>
          <w:szCs w:val="22"/>
        </w:rPr>
        <w:t>se</w:t>
      </w:r>
      <w:r w:rsidR="001F4B8D" w:rsidRPr="001F4B8D">
        <w:rPr>
          <w:rFonts w:asciiTheme="minorHAnsi" w:hAnsiTheme="minorHAnsi"/>
          <w:sz w:val="22"/>
          <w:szCs w:val="22"/>
        </w:rPr>
        <w:t xml:space="preserve"> Centers receive nationally notifiable infectious disease data from </w:t>
      </w:r>
      <w:r w:rsidR="00FF1035">
        <w:rPr>
          <w:rFonts w:asciiTheme="minorHAnsi" w:hAnsiTheme="minorHAnsi"/>
          <w:sz w:val="22"/>
          <w:szCs w:val="22"/>
        </w:rPr>
        <w:t>DHIS</w:t>
      </w:r>
      <w:r w:rsidR="001F4B8D" w:rsidRPr="001F4B8D">
        <w:rPr>
          <w:rFonts w:asciiTheme="minorHAnsi" w:hAnsiTheme="minorHAnsi"/>
          <w:sz w:val="22"/>
          <w:szCs w:val="22"/>
        </w:rPr>
        <w:t xml:space="preserve"> and use, release and/or share their programs’ data according to guidance established by </w:t>
      </w:r>
      <w:r w:rsidR="00EF4436">
        <w:rPr>
          <w:rFonts w:asciiTheme="minorHAnsi" w:hAnsiTheme="minorHAnsi"/>
          <w:sz w:val="22"/>
          <w:szCs w:val="22"/>
        </w:rPr>
        <w:t>CDC, their Centers and programs.</w:t>
      </w:r>
    </w:p>
    <w:p w14:paraId="48943D7B" w14:textId="77777777" w:rsidR="001F482A" w:rsidRPr="00FF55BF" w:rsidRDefault="001F482A" w:rsidP="00925656">
      <w:pPr>
        <w:spacing w:line="360" w:lineRule="auto"/>
        <w:rPr>
          <w:rFonts w:asciiTheme="minorHAnsi" w:hAnsiTheme="minorHAnsi"/>
          <w:sz w:val="22"/>
          <w:szCs w:val="22"/>
        </w:rPr>
      </w:pPr>
    </w:p>
    <w:p w14:paraId="7A077B8F" w14:textId="5F09E7E7" w:rsidR="00C03048" w:rsidRPr="00FF55BF" w:rsidRDefault="00C03048" w:rsidP="00925656">
      <w:pPr>
        <w:spacing w:line="360" w:lineRule="auto"/>
        <w:rPr>
          <w:rFonts w:asciiTheme="minorHAnsi" w:hAnsiTheme="minorHAnsi"/>
          <w:b/>
          <w:color w:val="000000"/>
          <w:sz w:val="22"/>
          <w:szCs w:val="22"/>
          <w:u w:val="single"/>
        </w:rPr>
      </w:pPr>
      <w:r w:rsidRPr="00FF55BF">
        <w:rPr>
          <w:rFonts w:asciiTheme="minorHAnsi" w:hAnsiTheme="minorHAnsi"/>
          <w:b/>
          <w:color w:val="000000"/>
          <w:sz w:val="22"/>
          <w:szCs w:val="22"/>
        </w:rPr>
        <w:t xml:space="preserve">A.3. </w:t>
      </w:r>
      <w:r w:rsidRPr="00FF55BF">
        <w:rPr>
          <w:rFonts w:asciiTheme="minorHAnsi" w:hAnsiTheme="minorHAnsi"/>
          <w:b/>
          <w:color w:val="000000"/>
          <w:sz w:val="22"/>
          <w:szCs w:val="22"/>
          <w:u w:val="single"/>
        </w:rPr>
        <w:t>Use of Improved Information Technology</w:t>
      </w:r>
      <w:r w:rsidR="00A824BA">
        <w:rPr>
          <w:rFonts w:asciiTheme="minorHAnsi" w:hAnsiTheme="minorHAnsi"/>
          <w:b/>
          <w:color w:val="000000"/>
          <w:sz w:val="22"/>
          <w:szCs w:val="22"/>
          <w:u w:val="single"/>
        </w:rPr>
        <w:t xml:space="preserve"> and Burden Reduction</w:t>
      </w:r>
      <w:r w:rsidRPr="00FF55BF">
        <w:rPr>
          <w:rFonts w:asciiTheme="minorHAnsi" w:hAnsiTheme="minorHAnsi"/>
          <w:b/>
          <w:color w:val="000000"/>
          <w:sz w:val="22"/>
          <w:szCs w:val="22"/>
          <w:u w:val="single"/>
        </w:rPr>
        <w:t xml:space="preserve">   </w:t>
      </w:r>
    </w:p>
    <w:p w14:paraId="0C1C2206" w14:textId="77777777" w:rsidR="00BC0CB7" w:rsidRPr="00FF55BF" w:rsidRDefault="00BC0CB7" w:rsidP="00925656">
      <w:pPr>
        <w:spacing w:line="360" w:lineRule="auto"/>
        <w:rPr>
          <w:rFonts w:asciiTheme="minorHAnsi" w:hAnsiTheme="minorHAnsi"/>
          <w:sz w:val="22"/>
          <w:szCs w:val="22"/>
        </w:rPr>
      </w:pPr>
      <w:r w:rsidRPr="00BC0CB7">
        <w:rPr>
          <w:rFonts w:asciiTheme="minorHAnsi" w:hAnsiTheme="minorHAnsi"/>
          <w:sz w:val="22"/>
          <w:szCs w:val="22"/>
        </w:rPr>
        <w:t xml:space="preserve">A </w:t>
      </w:r>
      <w:r w:rsidR="00CE3782">
        <w:rPr>
          <w:rFonts w:asciiTheme="minorHAnsi" w:hAnsiTheme="minorHAnsi"/>
          <w:sz w:val="22"/>
          <w:szCs w:val="22"/>
        </w:rPr>
        <w:t>new</w:t>
      </w:r>
      <w:r w:rsidRPr="00BC0CB7">
        <w:rPr>
          <w:rFonts w:asciiTheme="minorHAnsi" w:hAnsiTheme="minorHAnsi"/>
          <w:sz w:val="22"/>
          <w:szCs w:val="22"/>
        </w:rPr>
        <w:t xml:space="preserve"> NNDSS </w:t>
      </w:r>
      <w:r w:rsidR="00FF1035">
        <w:rPr>
          <w:rFonts w:asciiTheme="minorHAnsi" w:hAnsiTheme="minorHAnsi"/>
          <w:sz w:val="22"/>
          <w:szCs w:val="22"/>
        </w:rPr>
        <w:t>initiative</w:t>
      </w:r>
      <w:r w:rsidRPr="00BC0CB7">
        <w:rPr>
          <w:rFonts w:asciiTheme="minorHAnsi" w:hAnsiTheme="minorHAnsi"/>
          <w:sz w:val="22"/>
          <w:szCs w:val="22"/>
        </w:rPr>
        <w:t xml:space="preserve"> </w:t>
      </w:r>
      <w:r w:rsidR="00770CA9">
        <w:rPr>
          <w:rFonts w:asciiTheme="minorHAnsi" w:hAnsiTheme="minorHAnsi"/>
          <w:sz w:val="22"/>
          <w:szCs w:val="22"/>
        </w:rPr>
        <w:t xml:space="preserve">that focuses, in part, on using improved information technology </w:t>
      </w:r>
      <w:r w:rsidRPr="00BC0CB7">
        <w:rPr>
          <w:rFonts w:asciiTheme="minorHAnsi" w:hAnsiTheme="minorHAnsi"/>
          <w:sz w:val="22"/>
          <w:szCs w:val="22"/>
        </w:rPr>
        <w:t>is the NNDSS Modernization Initiative (NMI)</w:t>
      </w:r>
      <w:r w:rsidR="00770CA9">
        <w:rPr>
          <w:rFonts w:asciiTheme="minorHAnsi" w:hAnsiTheme="minorHAnsi"/>
          <w:sz w:val="22"/>
          <w:szCs w:val="22"/>
        </w:rPr>
        <w:t xml:space="preserve">. NMI </w:t>
      </w:r>
      <w:r w:rsidR="00FF1035">
        <w:rPr>
          <w:rFonts w:asciiTheme="minorHAnsi" w:hAnsiTheme="minorHAnsi"/>
          <w:sz w:val="22"/>
          <w:szCs w:val="22"/>
        </w:rPr>
        <w:t xml:space="preserve">is part of the CDC Surveillance Strategy </w:t>
      </w:r>
      <w:r w:rsidR="00CE3782">
        <w:rPr>
          <w:rFonts w:asciiTheme="minorHAnsi" w:hAnsiTheme="minorHAnsi"/>
          <w:sz w:val="22"/>
          <w:szCs w:val="22"/>
        </w:rPr>
        <w:t>(</w:t>
      </w:r>
      <w:hyperlink r:id="rId18" w:history="1">
        <w:r w:rsidR="00CE3782" w:rsidRPr="005562AA">
          <w:rPr>
            <w:rStyle w:val="Hyperlink"/>
            <w:rFonts w:asciiTheme="minorHAnsi" w:hAnsiTheme="minorHAnsi"/>
            <w:sz w:val="22"/>
            <w:szCs w:val="22"/>
          </w:rPr>
          <w:t>http://www.cdc.gov/ophss/docs/cdc-surveillance-strategy-final.pdf</w:t>
        </w:r>
      </w:hyperlink>
      <w:r w:rsidR="00CE3782">
        <w:rPr>
          <w:rFonts w:asciiTheme="minorHAnsi" w:hAnsiTheme="minorHAnsi"/>
          <w:sz w:val="22"/>
          <w:szCs w:val="22"/>
        </w:rPr>
        <w:t xml:space="preserve">) released in February 2014. The </w:t>
      </w:r>
      <w:r w:rsidR="00CB237A">
        <w:rPr>
          <w:rFonts w:asciiTheme="minorHAnsi" w:hAnsiTheme="minorHAnsi"/>
          <w:sz w:val="22"/>
          <w:szCs w:val="22"/>
        </w:rPr>
        <w:t>NMI</w:t>
      </w:r>
      <w:r w:rsidR="00CE3782">
        <w:rPr>
          <w:rFonts w:asciiTheme="minorHAnsi" w:hAnsiTheme="minorHAnsi"/>
          <w:sz w:val="22"/>
          <w:szCs w:val="22"/>
        </w:rPr>
        <w:t xml:space="preserve"> i</w:t>
      </w:r>
      <w:r w:rsidR="00770CA9">
        <w:rPr>
          <w:rFonts w:asciiTheme="minorHAnsi" w:hAnsiTheme="minorHAnsi"/>
          <w:sz w:val="22"/>
          <w:szCs w:val="22"/>
        </w:rPr>
        <w:t xml:space="preserve">s an effort to </w:t>
      </w:r>
      <w:r w:rsidRPr="00BC0CB7">
        <w:rPr>
          <w:rFonts w:asciiTheme="minorHAnsi" w:hAnsiTheme="minorHAnsi"/>
          <w:sz w:val="22"/>
          <w:szCs w:val="22"/>
        </w:rPr>
        <w:t xml:space="preserve">enhance the surveillance capabilities </w:t>
      </w:r>
      <w:r w:rsidR="00874206">
        <w:rPr>
          <w:rFonts w:asciiTheme="minorHAnsi" w:hAnsiTheme="minorHAnsi"/>
          <w:sz w:val="22"/>
          <w:szCs w:val="22"/>
        </w:rPr>
        <w:t xml:space="preserve">of NNDSS </w:t>
      </w:r>
      <w:r w:rsidRPr="00BC0CB7">
        <w:rPr>
          <w:rFonts w:asciiTheme="minorHAnsi" w:hAnsiTheme="minorHAnsi"/>
          <w:sz w:val="22"/>
          <w:szCs w:val="22"/>
        </w:rPr>
        <w:t xml:space="preserve">to provide more comprehensive, timely, and higher quality data for public health decision making. Key NMI </w:t>
      </w:r>
      <w:r w:rsidR="0029412A">
        <w:rPr>
          <w:rFonts w:asciiTheme="minorHAnsi" w:hAnsiTheme="minorHAnsi"/>
          <w:sz w:val="22"/>
          <w:szCs w:val="22"/>
        </w:rPr>
        <w:t xml:space="preserve">activities </w:t>
      </w:r>
      <w:r w:rsidRPr="00BC0CB7">
        <w:rPr>
          <w:rFonts w:asciiTheme="minorHAnsi" w:hAnsiTheme="minorHAnsi"/>
          <w:sz w:val="22"/>
          <w:szCs w:val="22"/>
        </w:rPr>
        <w:t xml:space="preserve">include </w:t>
      </w:r>
      <w:r w:rsidR="0052180E">
        <w:rPr>
          <w:rFonts w:asciiTheme="minorHAnsi" w:hAnsiTheme="minorHAnsi"/>
          <w:sz w:val="22"/>
          <w:szCs w:val="22"/>
        </w:rPr>
        <w:t>standardizing</w:t>
      </w:r>
      <w:r w:rsidR="007C3052">
        <w:rPr>
          <w:rFonts w:asciiTheme="minorHAnsi" w:hAnsiTheme="minorHAnsi"/>
          <w:sz w:val="22"/>
          <w:szCs w:val="22"/>
        </w:rPr>
        <w:t xml:space="preserve"> </w:t>
      </w:r>
      <w:r w:rsidR="0052180E">
        <w:rPr>
          <w:rFonts w:asciiTheme="minorHAnsi" w:hAnsiTheme="minorHAnsi"/>
          <w:sz w:val="22"/>
          <w:szCs w:val="22"/>
        </w:rPr>
        <w:t xml:space="preserve">message </w:t>
      </w:r>
      <w:r w:rsidR="007C3052">
        <w:rPr>
          <w:rFonts w:asciiTheme="minorHAnsi" w:hAnsiTheme="minorHAnsi"/>
          <w:sz w:val="22"/>
          <w:szCs w:val="22"/>
        </w:rPr>
        <w:t xml:space="preserve">content and </w:t>
      </w:r>
      <w:r w:rsidR="0052180E">
        <w:rPr>
          <w:rFonts w:asciiTheme="minorHAnsi" w:hAnsiTheme="minorHAnsi"/>
          <w:sz w:val="22"/>
          <w:szCs w:val="22"/>
        </w:rPr>
        <w:t>format</w:t>
      </w:r>
      <w:r w:rsidR="007C3052">
        <w:rPr>
          <w:rFonts w:asciiTheme="minorHAnsi" w:hAnsiTheme="minorHAnsi"/>
          <w:sz w:val="22"/>
          <w:szCs w:val="22"/>
        </w:rPr>
        <w:t xml:space="preserve"> for NND</w:t>
      </w:r>
      <w:r w:rsidR="0052180E">
        <w:rPr>
          <w:rFonts w:asciiTheme="minorHAnsi" w:hAnsiTheme="minorHAnsi"/>
          <w:sz w:val="22"/>
          <w:szCs w:val="22"/>
        </w:rPr>
        <w:t>SS</w:t>
      </w:r>
      <w:r w:rsidR="007C3052">
        <w:rPr>
          <w:rFonts w:asciiTheme="minorHAnsi" w:hAnsiTheme="minorHAnsi"/>
          <w:sz w:val="22"/>
          <w:szCs w:val="22"/>
        </w:rPr>
        <w:t xml:space="preserve"> data </w:t>
      </w:r>
      <w:r w:rsidR="0052180E">
        <w:rPr>
          <w:rFonts w:asciiTheme="minorHAnsi" w:hAnsiTheme="minorHAnsi"/>
          <w:sz w:val="22"/>
          <w:szCs w:val="22"/>
        </w:rPr>
        <w:t>received by CDC from health departments and developing</w:t>
      </w:r>
      <w:r w:rsidR="007C3052">
        <w:rPr>
          <w:rFonts w:asciiTheme="minorHAnsi" w:hAnsiTheme="minorHAnsi"/>
          <w:sz w:val="22"/>
          <w:szCs w:val="22"/>
        </w:rPr>
        <w:t xml:space="preserve"> a </w:t>
      </w:r>
      <w:r w:rsidR="008158BD">
        <w:rPr>
          <w:rFonts w:asciiTheme="minorHAnsi" w:hAnsiTheme="minorHAnsi"/>
          <w:sz w:val="22"/>
          <w:szCs w:val="22"/>
        </w:rPr>
        <w:t xml:space="preserve">new system </w:t>
      </w:r>
      <w:r w:rsidRPr="00BC0CB7">
        <w:rPr>
          <w:rFonts w:asciiTheme="minorHAnsi" w:hAnsiTheme="minorHAnsi"/>
          <w:sz w:val="22"/>
          <w:szCs w:val="22"/>
        </w:rPr>
        <w:t>to validate</w:t>
      </w:r>
      <w:r w:rsidR="0052180E">
        <w:rPr>
          <w:rFonts w:asciiTheme="minorHAnsi" w:hAnsiTheme="minorHAnsi"/>
          <w:sz w:val="22"/>
          <w:szCs w:val="22"/>
        </w:rPr>
        <w:t>,</w:t>
      </w:r>
      <w:r w:rsidRPr="00BC0CB7">
        <w:rPr>
          <w:rFonts w:asciiTheme="minorHAnsi" w:hAnsiTheme="minorHAnsi"/>
          <w:sz w:val="22"/>
          <w:szCs w:val="22"/>
        </w:rPr>
        <w:t xml:space="preserve"> process</w:t>
      </w:r>
      <w:r w:rsidR="0052180E">
        <w:rPr>
          <w:rFonts w:asciiTheme="minorHAnsi" w:hAnsiTheme="minorHAnsi"/>
          <w:sz w:val="22"/>
          <w:szCs w:val="22"/>
        </w:rPr>
        <w:t>, and provision that data to CDC programs</w:t>
      </w:r>
      <w:r w:rsidR="007C3052">
        <w:rPr>
          <w:rFonts w:asciiTheme="minorHAnsi" w:hAnsiTheme="minorHAnsi"/>
          <w:sz w:val="22"/>
          <w:szCs w:val="22"/>
        </w:rPr>
        <w:t>.</w:t>
      </w:r>
      <w:r w:rsidR="00770CA9">
        <w:rPr>
          <w:rFonts w:asciiTheme="minorHAnsi" w:hAnsiTheme="minorHAnsi"/>
          <w:sz w:val="22"/>
          <w:szCs w:val="22"/>
        </w:rPr>
        <w:t xml:space="preserve"> </w:t>
      </w:r>
      <w:r w:rsidR="00DF1BBD">
        <w:rPr>
          <w:rFonts w:asciiTheme="minorHAnsi" w:hAnsiTheme="minorHAnsi"/>
          <w:sz w:val="22"/>
          <w:szCs w:val="22"/>
        </w:rPr>
        <w:t>Through NMI, subject matter experts</w:t>
      </w:r>
      <w:r w:rsidR="007552EE">
        <w:rPr>
          <w:rFonts w:asciiTheme="minorHAnsi" w:hAnsiTheme="minorHAnsi"/>
          <w:sz w:val="22"/>
          <w:szCs w:val="22"/>
        </w:rPr>
        <w:t xml:space="preserve"> </w:t>
      </w:r>
      <w:r w:rsidR="00874206">
        <w:rPr>
          <w:rFonts w:asciiTheme="minorHAnsi" w:hAnsiTheme="minorHAnsi"/>
          <w:sz w:val="22"/>
          <w:szCs w:val="22"/>
        </w:rPr>
        <w:t>provide guidance to</w:t>
      </w:r>
      <w:r w:rsidR="00DF1BBD">
        <w:rPr>
          <w:rFonts w:asciiTheme="minorHAnsi" w:hAnsiTheme="minorHAnsi"/>
          <w:sz w:val="22"/>
          <w:szCs w:val="22"/>
        </w:rPr>
        <w:t xml:space="preserve"> </w:t>
      </w:r>
      <w:r w:rsidR="007552EE">
        <w:rPr>
          <w:rFonts w:asciiTheme="minorHAnsi" w:hAnsiTheme="minorHAnsi"/>
          <w:sz w:val="22"/>
          <w:szCs w:val="22"/>
        </w:rPr>
        <w:t xml:space="preserve">the </w:t>
      </w:r>
      <w:r w:rsidR="000840B4">
        <w:rPr>
          <w:rFonts w:asciiTheme="minorHAnsi" w:hAnsiTheme="minorHAnsi"/>
          <w:sz w:val="22"/>
          <w:szCs w:val="22"/>
        </w:rPr>
        <w:t>r</w:t>
      </w:r>
      <w:r w:rsidR="007552EE" w:rsidRPr="007552EE">
        <w:rPr>
          <w:rFonts w:asciiTheme="minorHAnsi" w:hAnsiTheme="minorHAnsi"/>
          <w:sz w:val="22"/>
          <w:szCs w:val="22"/>
        </w:rPr>
        <w:t xml:space="preserve">eporting jurisdictions </w:t>
      </w:r>
      <w:r w:rsidR="0029412A">
        <w:rPr>
          <w:rFonts w:asciiTheme="minorHAnsi" w:hAnsiTheme="minorHAnsi"/>
          <w:sz w:val="22"/>
          <w:szCs w:val="22"/>
        </w:rPr>
        <w:t>for</w:t>
      </w:r>
      <w:r w:rsidR="007552EE">
        <w:rPr>
          <w:rFonts w:asciiTheme="minorHAnsi" w:hAnsiTheme="minorHAnsi"/>
          <w:sz w:val="22"/>
          <w:szCs w:val="22"/>
        </w:rPr>
        <w:t xml:space="preserve"> </w:t>
      </w:r>
      <w:r w:rsidR="007552EE" w:rsidRPr="007552EE">
        <w:rPr>
          <w:rFonts w:asciiTheme="minorHAnsi" w:hAnsiTheme="minorHAnsi"/>
          <w:sz w:val="22"/>
          <w:szCs w:val="22"/>
        </w:rPr>
        <w:t>submit</w:t>
      </w:r>
      <w:r w:rsidR="007552EE">
        <w:rPr>
          <w:rFonts w:asciiTheme="minorHAnsi" w:hAnsiTheme="minorHAnsi"/>
          <w:sz w:val="22"/>
          <w:szCs w:val="22"/>
        </w:rPr>
        <w:t>ting</w:t>
      </w:r>
      <w:r w:rsidR="007552EE" w:rsidRPr="007552EE">
        <w:rPr>
          <w:rFonts w:asciiTheme="minorHAnsi" w:hAnsiTheme="minorHAnsi"/>
          <w:sz w:val="22"/>
          <w:szCs w:val="22"/>
        </w:rPr>
        <w:t xml:space="preserve"> their data using interoperable, standardized data and exchange mechanisms</w:t>
      </w:r>
      <w:r w:rsidR="007552EE">
        <w:rPr>
          <w:rFonts w:asciiTheme="minorHAnsi" w:hAnsiTheme="minorHAnsi"/>
          <w:sz w:val="22"/>
          <w:szCs w:val="22"/>
        </w:rPr>
        <w:t xml:space="preserve"> in a consistent format</w:t>
      </w:r>
      <w:r w:rsidR="007552EE" w:rsidRPr="007552EE">
        <w:rPr>
          <w:rFonts w:asciiTheme="minorHAnsi" w:hAnsiTheme="minorHAnsi"/>
          <w:sz w:val="22"/>
          <w:szCs w:val="22"/>
        </w:rPr>
        <w:t>.  The</w:t>
      </w:r>
      <w:r w:rsidR="000840B4">
        <w:rPr>
          <w:rFonts w:asciiTheme="minorHAnsi" w:hAnsiTheme="minorHAnsi"/>
          <w:sz w:val="22"/>
          <w:szCs w:val="22"/>
        </w:rPr>
        <w:t xml:space="preserve">se improvements will </w:t>
      </w:r>
      <w:r w:rsidR="007552EE" w:rsidRPr="007552EE">
        <w:rPr>
          <w:rFonts w:asciiTheme="minorHAnsi" w:hAnsiTheme="minorHAnsi"/>
          <w:sz w:val="22"/>
          <w:szCs w:val="22"/>
        </w:rPr>
        <w:t xml:space="preserve">allow more of the information requested by CDC programs to be sent in the NNDSS message, reducing the need for supplemental data submissions through non-automated routes.  Introduction of the </w:t>
      </w:r>
      <w:r w:rsidR="000840B4">
        <w:rPr>
          <w:rFonts w:asciiTheme="minorHAnsi" w:hAnsiTheme="minorHAnsi"/>
          <w:sz w:val="22"/>
          <w:szCs w:val="22"/>
        </w:rPr>
        <w:t xml:space="preserve">templates for </w:t>
      </w:r>
      <w:r w:rsidR="007552EE" w:rsidRPr="007552EE">
        <w:rPr>
          <w:rFonts w:asciiTheme="minorHAnsi" w:hAnsiTheme="minorHAnsi"/>
          <w:sz w:val="22"/>
          <w:szCs w:val="22"/>
        </w:rPr>
        <w:t>lab</w:t>
      </w:r>
      <w:r w:rsidR="000840B4">
        <w:rPr>
          <w:rFonts w:asciiTheme="minorHAnsi" w:hAnsiTheme="minorHAnsi"/>
          <w:sz w:val="22"/>
          <w:szCs w:val="22"/>
        </w:rPr>
        <w:t xml:space="preserve">oratory and vaccine data elements </w:t>
      </w:r>
      <w:r w:rsidR="002E5815">
        <w:rPr>
          <w:rFonts w:asciiTheme="minorHAnsi" w:hAnsiTheme="minorHAnsi"/>
          <w:sz w:val="22"/>
          <w:szCs w:val="22"/>
        </w:rPr>
        <w:t>described in section A</w:t>
      </w:r>
      <w:r w:rsidR="006D1BF1">
        <w:rPr>
          <w:rFonts w:asciiTheme="minorHAnsi" w:hAnsiTheme="minorHAnsi"/>
          <w:sz w:val="22"/>
          <w:szCs w:val="22"/>
        </w:rPr>
        <w:t>.</w:t>
      </w:r>
      <w:r w:rsidR="002E5815">
        <w:rPr>
          <w:rFonts w:asciiTheme="minorHAnsi" w:hAnsiTheme="minorHAnsi"/>
          <w:sz w:val="22"/>
          <w:szCs w:val="22"/>
        </w:rPr>
        <w:t xml:space="preserve">1 above </w:t>
      </w:r>
      <w:r w:rsidR="007552EE" w:rsidRPr="007552EE">
        <w:rPr>
          <w:rFonts w:asciiTheme="minorHAnsi" w:hAnsiTheme="minorHAnsi"/>
          <w:sz w:val="22"/>
          <w:szCs w:val="22"/>
        </w:rPr>
        <w:t xml:space="preserve">are important steps toward harmonizing frequently requested data, making implementation more efficient for submitters.  Use of standardized </w:t>
      </w:r>
      <w:r w:rsidR="00D1251E">
        <w:rPr>
          <w:rFonts w:asciiTheme="minorHAnsi" w:hAnsiTheme="minorHAnsi"/>
          <w:sz w:val="22"/>
          <w:szCs w:val="22"/>
        </w:rPr>
        <w:t>data elements and values</w:t>
      </w:r>
      <w:r w:rsidR="007552EE" w:rsidRPr="007552EE">
        <w:rPr>
          <w:rFonts w:asciiTheme="minorHAnsi" w:hAnsiTheme="minorHAnsi"/>
          <w:sz w:val="22"/>
          <w:szCs w:val="22"/>
        </w:rPr>
        <w:t xml:space="preserve"> ensures that public health data collection is </w:t>
      </w:r>
      <w:r w:rsidR="0029412A">
        <w:rPr>
          <w:rFonts w:asciiTheme="minorHAnsi" w:hAnsiTheme="minorHAnsi"/>
          <w:sz w:val="22"/>
          <w:szCs w:val="22"/>
        </w:rPr>
        <w:t>in agreement</w:t>
      </w:r>
      <w:r w:rsidR="007552EE" w:rsidRPr="007552EE">
        <w:rPr>
          <w:rFonts w:asciiTheme="minorHAnsi" w:hAnsiTheme="minorHAnsi"/>
          <w:sz w:val="22"/>
          <w:szCs w:val="22"/>
        </w:rPr>
        <w:t xml:space="preserve"> with the information collected in the health care sector, reducing the need for data transformation by the public health agencies </w:t>
      </w:r>
      <w:r w:rsidR="00DF1BBD">
        <w:rPr>
          <w:rFonts w:asciiTheme="minorHAnsi" w:hAnsiTheme="minorHAnsi"/>
          <w:sz w:val="22"/>
          <w:szCs w:val="22"/>
        </w:rPr>
        <w:t xml:space="preserve">that </w:t>
      </w:r>
      <w:r w:rsidR="007552EE" w:rsidRPr="007552EE">
        <w:rPr>
          <w:rFonts w:asciiTheme="minorHAnsi" w:hAnsiTheme="minorHAnsi"/>
          <w:sz w:val="22"/>
          <w:szCs w:val="22"/>
        </w:rPr>
        <w:t>submit the NNDSS data.</w:t>
      </w:r>
      <w:r w:rsidR="007552EE">
        <w:rPr>
          <w:rFonts w:asciiTheme="minorHAnsi" w:hAnsiTheme="minorHAnsi"/>
          <w:sz w:val="22"/>
          <w:szCs w:val="22"/>
        </w:rPr>
        <w:t xml:space="preserve"> </w:t>
      </w:r>
      <w:r w:rsidR="007D311D">
        <w:rPr>
          <w:rFonts w:asciiTheme="minorHAnsi" w:hAnsiTheme="minorHAnsi"/>
          <w:sz w:val="22"/>
          <w:szCs w:val="22"/>
        </w:rPr>
        <w:t xml:space="preserve">These improvements </w:t>
      </w:r>
      <w:r w:rsidR="008158BD">
        <w:rPr>
          <w:rFonts w:asciiTheme="minorHAnsi" w:hAnsiTheme="minorHAnsi"/>
          <w:sz w:val="22"/>
          <w:szCs w:val="22"/>
        </w:rPr>
        <w:t xml:space="preserve">in </w:t>
      </w:r>
      <w:r w:rsidR="008158BD">
        <w:rPr>
          <w:rFonts w:asciiTheme="minorHAnsi" w:hAnsiTheme="minorHAnsi"/>
          <w:sz w:val="22"/>
          <w:szCs w:val="22"/>
        </w:rPr>
        <w:lastRenderedPageBreak/>
        <w:t xml:space="preserve">information technology </w:t>
      </w:r>
      <w:r w:rsidR="007D311D">
        <w:rPr>
          <w:rFonts w:asciiTheme="minorHAnsi" w:hAnsiTheme="minorHAnsi"/>
          <w:sz w:val="22"/>
          <w:szCs w:val="22"/>
        </w:rPr>
        <w:t xml:space="preserve">will </w:t>
      </w:r>
      <w:r w:rsidR="0052180E">
        <w:rPr>
          <w:rFonts w:asciiTheme="minorHAnsi" w:hAnsiTheme="minorHAnsi"/>
          <w:sz w:val="22"/>
          <w:szCs w:val="22"/>
        </w:rPr>
        <w:t xml:space="preserve">eventually </w:t>
      </w:r>
      <w:r w:rsidR="007D311D">
        <w:rPr>
          <w:rFonts w:asciiTheme="minorHAnsi" w:hAnsiTheme="minorHAnsi"/>
          <w:sz w:val="22"/>
          <w:szCs w:val="22"/>
        </w:rPr>
        <w:t>decr</w:t>
      </w:r>
      <w:r w:rsidR="0052180E">
        <w:rPr>
          <w:rFonts w:asciiTheme="minorHAnsi" w:hAnsiTheme="minorHAnsi"/>
          <w:sz w:val="22"/>
          <w:szCs w:val="22"/>
        </w:rPr>
        <w:t xml:space="preserve">ease </w:t>
      </w:r>
      <w:r w:rsidR="007D311D">
        <w:rPr>
          <w:rFonts w:asciiTheme="minorHAnsi" w:hAnsiTheme="minorHAnsi"/>
          <w:sz w:val="22"/>
          <w:szCs w:val="22"/>
        </w:rPr>
        <w:t>the b</w:t>
      </w:r>
      <w:r w:rsidR="00770CA9">
        <w:rPr>
          <w:rFonts w:asciiTheme="minorHAnsi" w:hAnsiTheme="minorHAnsi"/>
          <w:sz w:val="22"/>
          <w:szCs w:val="22"/>
        </w:rPr>
        <w:t xml:space="preserve">urden </w:t>
      </w:r>
      <w:r w:rsidR="008158BD">
        <w:rPr>
          <w:rFonts w:asciiTheme="minorHAnsi" w:hAnsiTheme="minorHAnsi"/>
          <w:sz w:val="22"/>
          <w:szCs w:val="22"/>
        </w:rPr>
        <w:t>on the health departments that submit NNDSS data</w:t>
      </w:r>
      <w:r w:rsidRPr="00BC0CB7">
        <w:rPr>
          <w:rFonts w:asciiTheme="minorHAnsi" w:hAnsiTheme="minorHAnsi"/>
          <w:sz w:val="22"/>
          <w:szCs w:val="22"/>
        </w:rPr>
        <w:t>.</w:t>
      </w:r>
    </w:p>
    <w:p w14:paraId="2E520A6F" w14:textId="77777777" w:rsidR="00C03048" w:rsidRPr="00FF55BF" w:rsidRDefault="00C03048" w:rsidP="00925656">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14:paraId="1C671E64"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A.4. </w:t>
      </w:r>
      <w:r w:rsidR="00CF4B0F" w:rsidRPr="00FF55BF">
        <w:rPr>
          <w:rFonts w:asciiTheme="minorHAnsi" w:hAnsiTheme="minorHAnsi"/>
          <w:b/>
          <w:sz w:val="22"/>
          <w:szCs w:val="22"/>
          <w:u w:val="single"/>
        </w:rPr>
        <w:t>Efforts to Identify Duplication and Use of Similar Information</w:t>
      </w:r>
      <w:r w:rsidR="00CF4B0F" w:rsidRPr="00FF55BF">
        <w:rPr>
          <w:rFonts w:asciiTheme="minorHAnsi" w:hAnsiTheme="minorHAnsi"/>
          <w:sz w:val="22"/>
          <w:szCs w:val="22"/>
        </w:rPr>
        <w:t xml:space="preserve">  </w:t>
      </w:r>
    </w:p>
    <w:p w14:paraId="3B05A28B" w14:textId="77777777" w:rsidR="00F815DB" w:rsidRPr="00FF55BF" w:rsidRDefault="006B6060" w:rsidP="00925656">
      <w:pPr>
        <w:tabs>
          <w:tab w:val="left" w:pos="3240"/>
        </w:tabs>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No other Federal agency funds or conducts this type of surveillance, based on </w:t>
      </w:r>
      <w:r w:rsidR="001F78A6" w:rsidRPr="00FF55BF">
        <w:rPr>
          <w:rFonts w:asciiTheme="minorHAnsi" w:hAnsiTheme="minorHAnsi"/>
          <w:color w:val="000000"/>
          <w:sz w:val="22"/>
          <w:szCs w:val="22"/>
        </w:rPr>
        <w:t xml:space="preserve">information on reportable conditions </w:t>
      </w:r>
      <w:r w:rsidRPr="00FF55BF">
        <w:rPr>
          <w:rFonts w:asciiTheme="minorHAnsi" w:hAnsiTheme="minorHAnsi"/>
          <w:color w:val="000000"/>
          <w:sz w:val="22"/>
          <w:szCs w:val="22"/>
        </w:rPr>
        <w:t xml:space="preserve">received by state, territorial, and local public health </w:t>
      </w:r>
      <w:r w:rsidR="00F57A0D" w:rsidRPr="00FF55BF">
        <w:rPr>
          <w:rFonts w:asciiTheme="minorHAnsi" w:hAnsiTheme="minorHAnsi"/>
          <w:color w:val="000000"/>
          <w:sz w:val="22"/>
          <w:szCs w:val="22"/>
        </w:rPr>
        <w:t>departments</w:t>
      </w:r>
      <w:r w:rsidR="00621B17" w:rsidRPr="00FF55BF">
        <w:rPr>
          <w:rFonts w:asciiTheme="minorHAnsi" w:hAnsiTheme="minorHAnsi"/>
          <w:color w:val="000000"/>
          <w:sz w:val="22"/>
          <w:szCs w:val="22"/>
        </w:rPr>
        <w:t xml:space="preserve"> and notifications submitted by public health </w:t>
      </w:r>
      <w:r w:rsidR="00F57A0D" w:rsidRPr="00FF55BF">
        <w:rPr>
          <w:rFonts w:asciiTheme="minorHAnsi" w:hAnsiTheme="minorHAnsi"/>
          <w:color w:val="000000"/>
          <w:sz w:val="22"/>
          <w:szCs w:val="22"/>
        </w:rPr>
        <w:t>departments</w:t>
      </w:r>
      <w:r w:rsidR="00621B17" w:rsidRPr="00FF55BF">
        <w:rPr>
          <w:rFonts w:asciiTheme="minorHAnsi" w:hAnsiTheme="minorHAnsi"/>
          <w:color w:val="000000"/>
          <w:sz w:val="22"/>
          <w:szCs w:val="22"/>
        </w:rPr>
        <w:t xml:space="preserve"> to CDC</w:t>
      </w:r>
      <w:r w:rsidRPr="00FF55BF">
        <w:rPr>
          <w:rFonts w:asciiTheme="minorHAnsi" w:hAnsiTheme="minorHAnsi"/>
          <w:color w:val="000000"/>
          <w:sz w:val="22"/>
          <w:szCs w:val="22"/>
        </w:rPr>
        <w:t xml:space="preserve">. </w:t>
      </w:r>
      <w:r w:rsidR="009135CB" w:rsidRPr="00FF55BF">
        <w:rPr>
          <w:rFonts w:asciiTheme="minorHAnsi" w:hAnsiTheme="minorHAnsi"/>
          <w:color w:val="000000"/>
          <w:sz w:val="22"/>
          <w:szCs w:val="22"/>
        </w:rPr>
        <w:t xml:space="preserve">Information </w:t>
      </w:r>
      <w:r w:rsidRPr="00FF55BF">
        <w:rPr>
          <w:rFonts w:asciiTheme="minorHAnsi" w:hAnsiTheme="minorHAnsi"/>
          <w:color w:val="000000"/>
          <w:sz w:val="22"/>
          <w:szCs w:val="22"/>
        </w:rPr>
        <w:t xml:space="preserve">obtained and </w:t>
      </w:r>
      <w:r w:rsidR="009135CB" w:rsidRPr="00FF55BF">
        <w:rPr>
          <w:rFonts w:asciiTheme="minorHAnsi" w:hAnsiTheme="minorHAnsi"/>
          <w:color w:val="000000"/>
          <w:sz w:val="22"/>
          <w:szCs w:val="22"/>
        </w:rPr>
        <w:t xml:space="preserve">maintained in NNDSS serves as a </w:t>
      </w:r>
      <w:r w:rsidR="00D640B7" w:rsidRPr="00FF55BF">
        <w:rPr>
          <w:rFonts w:asciiTheme="minorHAnsi" w:hAnsiTheme="minorHAnsi"/>
          <w:color w:val="000000"/>
          <w:sz w:val="22"/>
          <w:szCs w:val="22"/>
        </w:rPr>
        <w:t xml:space="preserve">unique, </w:t>
      </w:r>
      <w:r w:rsidR="009135CB" w:rsidRPr="00FF55BF">
        <w:rPr>
          <w:rFonts w:asciiTheme="minorHAnsi" w:hAnsiTheme="minorHAnsi"/>
          <w:color w:val="000000"/>
          <w:sz w:val="22"/>
          <w:szCs w:val="22"/>
        </w:rPr>
        <w:t xml:space="preserve">centralized, integrated source of </w:t>
      </w:r>
      <w:r w:rsidR="00F44173" w:rsidRPr="00FF55BF">
        <w:rPr>
          <w:rFonts w:asciiTheme="minorHAnsi" w:hAnsiTheme="minorHAnsi"/>
          <w:color w:val="000000"/>
          <w:sz w:val="22"/>
          <w:szCs w:val="22"/>
        </w:rPr>
        <w:t>information ab</w:t>
      </w:r>
      <w:r w:rsidR="00587C37" w:rsidRPr="00FF55BF">
        <w:rPr>
          <w:rFonts w:asciiTheme="minorHAnsi" w:hAnsiTheme="minorHAnsi"/>
          <w:color w:val="000000"/>
          <w:sz w:val="22"/>
          <w:szCs w:val="22"/>
        </w:rPr>
        <w:t xml:space="preserve">out nationally </w:t>
      </w:r>
      <w:r w:rsidR="009A6469" w:rsidRPr="00FF55BF">
        <w:rPr>
          <w:rFonts w:asciiTheme="minorHAnsi" w:hAnsiTheme="minorHAnsi"/>
          <w:sz w:val="22"/>
          <w:szCs w:val="22"/>
        </w:rPr>
        <w:t>notifiable</w:t>
      </w:r>
      <w:r w:rsidR="00621B17" w:rsidRPr="00FF55BF">
        <w:rPr>
          <w:rFonts w:asciiTheme="minorHAnsi" w:hAnsiTheme="minorHAnsi"/>
          <w:sz w:val="22"/>
          <w:szCs w:val="22"/>
        </w:rPr>
        <w:t xml:space="preserve"> </w:t>
      </w:r>
      <w:r w:rsidR="000B082C" w:rsidRPr="00FF55BF">
        <w:rPr>
          <w:rFonts w:asciiTheme="minorHAnsi" w:hAnsiTheme="minorHAnsi"/>
          <w:color w:val="000000"/>
          <w:sz w:val="22"/>
          <w:szCs w:val="22"/>
        </w:rPr>
        <w:t>condition</w:t>
      </w:r>
      <w:r w:rsidR="00F44173" w:rsidRPr="00FF55BF">
        <w:rPr>
          <w:rFonts w:asciiTheme="minorHAnsi" w:hAnsiTheme="minorHAnsi"/>
          <w:color w:val="000000"/>
          <w:sz w:val="22"/>
          <w:szCs w:val="22"/>
        </w:rPr>
        <w:t>s</w:t>
      </w:r>
      <w:r w:rsidR="009135CB" w:rsidRPr="00FF55BF">
        <w:rPr>
          <w:rFonts w:asciiTheme="minorHAnsi" w:hAnsiTheme="minorHAnsi"/>
          <w:color w:val="000000"/>
          <w:sz w:val="22"/>
          <w:szCs w:val="22"/>
        </w:rPr>
        <w:t xml:space="preserve"> in the U</w:t>
      </w:r>
      <w:r w:rsidR="00F44173" w:rsidRPr="00FF55BF">
        <w:rPr>
          <w:rFonts w:asciiTheme="minorHAnsi" w:hAnsiTheme="minorHAnsi"/>
          <w:color w:val="000000"/>
          <w:sz w:val="22"/>
          <w:szCs w:val="22"/>
        </w:rPr>
        <w:t>.S.</w:t>
      </w:r>
      <w:r w:rsidR="009135CB" w:rsidRPr="00FF55BF">
        <w:rPr>
          <w:rFonts w:asciiTheme="minorHAnsi" w:hAnsiTheme="minorHAnsi"/>
          <w:color w:val="000000"/>
          <w:sz w:val="22"/>
          <w:szCs w:val="22"/>
        </w:rPr>
        <w:t xml:space="preserve"> and </w:t>
      </w:r>
      <w:r w:rsidR="00F44173" w:rsidRPr="00FF55BF">
        <w:rPr>
          <w:rFonts w:asciiTheme="minorHAnsi" w:hAnsiTheme="minorHAnsi"/>
          <w:color w:val="000000"/>
          <w:sz w:val="22"/>
          <w:szCs w:val="22"/>
        </w:rPr>
        <w:t>the information</w:t>
      </w:r>
      <w:r w:rsidR="009135CB" w:rsidRPr="00FF55BF">
        <w:rPr>
          <w:rFonts w:asciiTheme="minorHAnsi" w:hAnsiTheme="minorHAnsi"/>
          <w:color w:val="000000"/>
          <w:sz w:val="22"/>
          <w:szCs w:val="22"/>
        </w:rPr>
        <w:t xml:space="preserve"> is not available from any other source.</w:t>
      </w:r>
      <w:r w:rsidR="007021F9">
        <w:rPr>
          <w:rFonts w:asciiTheme="minorHAnsi" w:hAnsiTheme="minorHAnsi"/>
          <w:color w:val="000000"/>
          <w:sz w:val="22"/>
          <w:szCs w:val="22"/>
        </w:rPr>
        <w:t xml:space="preserve"> As</w:t>
      </w:r>
      <w:r w:rsidR="00A17442" w:rsidRPr="00FF55BF">
        <w:rPr>
          <w:rFonts w:asciiTheme="minorHAnsi" w:hAnsiTheme="minorHAnsi"/>
          <w:color w:val="000000"/>
          <w:sz w:val="22"/>
          <w:szCs w:val="22"/>
        </w:rPr>
        <w:t xml:space="preserve"> the </w:t>
      </w:r>
      <w:r w:rsidR="007C6159">
        <w:rPr>
          <w:rFonts w:asciiTheme="minorHAnsi" w:hAnsiTheme="minorHAnsi"/>
          <w:color w:val="000000"/>
          <w:sz w:val="22"/>
          <w:szCs w:val="22"/>
        </w:rPr>
        <w:t>DHIS</w:t>
      </w:r>
      <w:r w:rsidR="00A17442" w:rsidRPr="00FF55BF">
        <w:rPr>
          <w:rFonts w:asciiTheme="minorHAnsi" w:hAnsiTheme="minorHAnsi"/>
          <w:color w:val="000000"/>
          <w:sz w:val="22"/>
          <w:szCs w:val="22"/>
        </w:rPr>
        <w:t xml:space="preserve"> NNDSS electronic systems are developed</w:t>
      </w:r>
      <w:r w:rsidR="007021F9">
        <w:rPr>
          <w:rFonts w:asciiTheme="minorHAnsi" w:hAnsiTheme="minorHAnsi"/>
          <w:color w:val="000000"/>
          <w:sz w:val="22"/>
          <w:szCs w:val="22"/>
        </w:rPr>
        <w:t xml:space="preserve"> through NMI</w:t>
      </w:r>
      <w:r w:rsidR="00BB798F" w:rsidRPr="00FF55BF">
        <w:rPr>
          <w:rFonts w:asciiTheme="minorHAnsi" w:hAnsiTheme="minorHAnsi"/>
          <w:color w:val="000000"/>
          <w:sz w:val="22"/>
          <w:szCs w:val="22"/>
        </w:rPr>
        <w:t xml:space="preserve"> to allow state and local health departments to submit more </w:t>
      </w:r>
      <w:r w:rsidR="00BB444B" w:rsidRPr="00FF55BF">
        <w:rPr>
          <w:rFonts w:asciiTheme="minorHAnsi" w:hAnsiTheme="minorHAnsi"/>
          <w:color w:val="000000"/>
          <w:sz w:val="22"/>
          <w:szCs w:val="22"/>
        </w:rPr>
        <w:t xml:space="preserve">nationally notifiable disease </w:t>
      </w:r>
      <w:r w:rsidR="00BB798F" w:rsidRPr="00FF55BF">
        <w:rPr>
          <w:rFonts w:asciiTheme="minorHAnsi" w:hAnsiTheme="minorHAnsi"/>
          <w:color w:val="000000"/>
          <w:sz w:val="22"/>
          <w:szCs w:val="22"/>
        </w:rPr>
        <w:t xml:space="preserve">data to CDC, </w:t>
      </w:r>
      <w:r w:rsidR="00D65131" w:rsidRPr="00FF55BF">
        <w:rPr>
          <w:rFonts w:asciiTheme="minorHAnsi" w:hAnsiTheme="minorHAnsi"/>
          <w:color w:val="000000"/>
          <w:sz w:val="22"/>
          <w:szCs w:val="22"/>
        </w:rPr>
        <w:t xml:space="preserve">both the </w:t>
      </w:r>
      <w:r w:rsidR="0007197E" w:rsidRPr="00FF55BF">
        <w:rPr>
          <w:rFonts w:asciiTheme="minorHAnsi" w:hAnsiTheme="minorHAnsi"/>
          <w:color w:val="000000"/>
          <w:sz w:val="22"/>
          <w:szCs w:val="22"/>
        </w:rPr>
        <w:t>duplication of reportin</w:t>
      </w:r>
      <w:r w:rsidR="00791B79" w:rsidRPr="00FF55BF">
        <w:rPr>
          <w:rFonts w:asciiTheme="minorHAnsi" w:hAnsiTheme="minorHAnsi"/>
          <w:color w:val="000000"/>
          <w:sz w:val="22"/>
          <w:szCs w:val="22"/>
        </w:rPr>
        <w:t>g to CDC</w:t>
      </w:r>
      <w:r w:rsidR="00E26446" w:rsidRPr="00FF55BF">
        <w:rPr>
          <w:rFonts w:asciiTheme="minorHAnsi" w:hAnsiTheme="minorHAnsi"/>
          <w:color w:val="000000"/>
          <w:sz w:val="22"/>
          <w:szCs w:val="22"/>
        </w:rPr>
        <w:t xml:space="preserve"> by state and local health departments </w:t>
      </w:r>
      <w:r w:rsidR="00D22D21" w:rsidRPr="00FF55BF">
        <w:rPr>
          <w:rFonts w:asciiTheme="minorHAnsi" w:hAnsiTheme="minorHAnsi"/>
          <w:color w:val="000000"/>
          <w:sz w:val="22"/>
          <w:szCs w:val="22"/>
        </w:rPr>
        <w:t xml:space="preserve">and </w:t>
      </w:r>
      <w:r w:rsidR="00D65131" w:rsidRPr="00FF55BF">
        <w:rPr>
          <w:rFonts w:asciiTheme="minorHAnsi" w:hAnsiTheme="minorHAnsi"/>
          <w:color w:val="000000"/>
          <w:sz w:val="22"/>
          <w:szCs w:val="22"/>
        </w:rPr>
        <w:t xml:space="preserve">the </w:t>
      </w:r>
      <w:r w:rsidR="00D22D21" w:rsidRPr="00FF55BF">
        <w:rPr>
          <w:rFonts w:asciiTheme="minorHAnsi" w:hAnsiTheme="minorHAnsi"/>
          <w:color w:val="000000"/>
          <w:sz w:val="22"/>
          <w:szCs w:val="22"/>
        </w:rPr>
        <w:t xml:space="preserve">burden to state and local health departments </w:t>
      </w:r>
      <w:r w:rsidR="00E83AA9" w:rsidRPr="00FF55BF">
        <w:rPr>
          <w:rFonts w:asciiTheme="minorHAnsi" w:hAnsiTheme="minorHAnsi"/>
          <w:color w:val="000000"/>
          <w:sz w:val="22"/>
          <w:szCs w:val="22"/>
        </w:rPr>
        <w:t>may</w:t>
      </w:r>
      <w:r w:rsidR="00D22D21" w:rsidRPr="00FF55BF">
        <w:rPr>
          <w:rFonts w:asciiTheme="minorHAnsi" w:hAnsiTheme="minorHAnsi"/>
          <w:color w:val="000000"/>
          <w:sz w:val="22"/>
          <w:szCs w:val="22"/>
        </w:rPr>
        <w:t xml:space="preserve"> be reduced.</w:t>
      </w:r>
    </w:p>
    <w:p w14:paraId="62397B85" w14:textId="77777777" w:rsidR="00F815DB" w:rsidRPr="00FF55BF" w:rsidRDefault="00F815DB" w:rsidP="00925656">
      <w:pPr>
        <w:spacing w:line="360" w:lineRule="auto"/>
        <w:rPr>
          <w:rFonts w:asciiTheme="minorHAnsi" w:hAnsiTheme="minorHAnsi"/>
          <w:color w:val="000000"/>
          <w:sz w:val="22"/>
          <w:szCs w:val="22"/>
        </w:rPr>
      </w:pPr>
    </w:p>
    <w:p w14:paraId="52449307"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A.5. </w:t>
      </w:r>
      <w:r w:rsidR="003034F9" w:rsidRPr="00FF55BF">
        <w:rPr>
          <w:rFonts w:asciiTheme="minorHAnsi" w:hAnsiTheme="minorHAnsi"/>
          <w:b/>
          <w:sz w:val="22"/>
          <w:szCs w:val="22"/>
          <w:u w:val="single"/>
        </w:rPr>
        <w:t>Impact on Small Businesses or Other Small Entities</w:t>
      </w:r>
    </w:p>
    <w:p w14:paraId="2BC95B18"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This </w:t>
      </w:r>
      <w:r w:rsidR="00A553B2" w:rsidRPr="00FF55BF">
        <w:rPr>
          <w:rFonts w:asciiTheme="minorHAnsi" w:hAnsiTheme="minorHAnsi"/>
          <w:color w:val="000000"/>
          <w:sz w:val="22"/>
          <w:szCs w:val="22"/>
        </w:rPr>
        <w:t>submission</w:t>
      </w:r>
      <w:r w:rsidRPr="00FF55BF">
        <w:rPr>
          <w:rFonts w:asciiTheme="minorHAnsi" w:hAnsiTheme="minorHAnsi"/>
          <w:color w:val="000000"/>
          <w:sz w:val="22"/>
          <w:szCs w:val="22"/>
        </w:rPr>
        <w:t xml:space="preserve"> of information does not involve small businesses or other small entities.</w:t>
      </w:r>
    </w:p>
    <w:p w14:paraId="66B8829B" w14:textId="77777777" w:rsidR="00904DF8" w:rsidRDefault="00904DF8" w:rsidP="00925656">
      <w:pPr>
        <w:spacing w:line="360" w:lineRule="auto"/>
        <w:rPr>
          <w:rFonts w:asciiTheme="minorHAnsi" w:hAnsiTheme="minorHAnsi"/>
          <w:b/>
          <w:color w:val="000000"/>
          <w:sz w:val="22"/>
          <w:szCs w:val="22"/>
        </w:rPr>
      </w:pPr>
    </w:p>
    <w:p w14:paraId="4F775ACF"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A.6. </w:t>
      </w:r>
      <w:r w:rsidR="00696F5F" w:rsidRPr="00FF55BF">
        <w:rPr>
          <w:rFonts w:asciiTheme="minorHAnsi" w:hAnsiTheme="minorHAnsi"/>
          <w:b/>
          <w:sz w:val="22"/>
          <w:szCs w:val="22"/>
          <w:u w:val="single"/>
        </w:rPr>
        <w:t xml:space="preserve">Consequences of </w:t>
      </w:r>
      <w:r w:rsidR="008C76E9" w:rsidRPr="00FF55BF">
        <w:rPr>
          <w:rFonts w:asciiTheme="minorHAnsi" w:hAnsiTheme="minorHAnsi"/>
          <w:b/>
          <w:sz w:val="22"/>
          <w:szCs w:val="22"/>
          <w:u w:val="single"/>
        </w:rPr>
        <w:t xml:space="preserve">Collecting </w:t>
      </w:r>
      <w:r w:rsidR="00696F5F" w:rsidRPr="00FF55BF">
        <w:rPr>
          <w:rFonts w:asciiTheme="minorHAnsi" w:hAnsiTheme="minorHAnsi"/>
          <w:b/>
          <w:sz w:val="22"/>
          <w:szCs w:val="22"/>
          <w:u w:val="single"/>
        </w:rPr>
        <w:t>the Information Less Frequently</w:t>
      </w:r>
    </w:p>
    <w:p w14:paraId="30E3A39F" w14:textId="77777777" w:rsidR="006B6060" w:rsidRPr="00FF55BF" w:rsidRDefault="009135CB"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The timeliness of these data is one of the most critical factors in the</w:t>
      </w:r>
      <w:r w:rsidR="00775CC8" w:rsidRPr="00FF55BF">
        <w:rPr>
          <w:rFonts w:asciiTheme="minorHAnsi" w:hAnsiTheme="minorHAnsi"/>
          <w:color w:val="000000"/>
          <w:sz w:val="22"/>
          <w:szCs w:val="22"/>
        </w:rPr>
        <w:t xml:space="preserve"> </w:t>
      </w:r>
      <w:r w:rsidR="00F44173" w:rsidRPr="00FF55BF">
        <w:rPr>
          <w:rFonts w:asciiTheme="minorHAnsi" w:hAnsiTheme="minorHAnsi"/>
          <w:color w:val="000000"/>
          <w:sz w:val="22"/>
          <w:szCs w:val="22"/>
        </w:rPr>
        <w:t>notification</w:t>
      </w:r>
      <w:r w:rsidRPr="00FF55BF">
        <w:rPr>
          <w:rFonts w:asciiTheme="minorHAnsi" w:hAnsiTheme="minorHAnsi"/>
          <w:color w:val="000000"/>
          <w:sz w:val="22"/>
          <w:szCs w:val="22"/>
        </w:rPr>
        <w:t xml:space="preserve"> process.</w:t>
      </w:r>
      <w:r w:rsidR="00FC03D1" w:rsidRPr="00FF55BF">
        <w:rPr>
          <w:rFonts w:asciiTheme="minorHAnsi" w:hAnsiTheme="minorHAnsi"/>
          <w:color w:val="000000"/>
          <w:sz w:val="22"/>
          <w:szCs w:val="22"/>
        </w:rPr>
        <w:t xml:space="preserve"> </w:t>
      </w:r>
      <w:r w:rsidR="00621B17" w:rsidRPr="00FF55BF">
        <w:rPr>
          <w:rFonts w:asciiTheme="minorHAnsi" w:hAnsiTheme="minorHAnsi"/>
          <w:color w:val="000000"/>
          <w:sz w:val="22"/>
          <w:szCs w:val="22"/>
        </w:rPr>
        <w:t>Rapid d</w:t>
      </w:r>
      <w:r w:rsidR="009E394D" w:rsidRPr="00FF55BF">
        <w:rPr>
          <w:rFonts w:asciiTheme="minorHAnsi" w:hAnsiTheme="minorHAnsi"/>
          <w:color w:val="000000"/>
          <w:sz w:val="22"/>
          <w:szCs w:val="22"/>
        </w:rPr>
        <w:t>isease</w:t>
      </w:r>
      <w:r w:rsidR="00C95414" w:rsidRPr="00FF55BF">
        <w:rPr>
          <w:rFonts w:asciiTheme="minorHAnsi" w:hAnsiTheme="minorHAnsi"/>
          <w:color w:val="000000"/>
          <w:sz w:val="22"/>
          <w:szCs w:val="22"/>
        </w:rPr>
        <w:t xml:space="preserve"> notification</w:t>
      </w:r>
      <w:r w:rsidR="009E394D" w:rsidRPr="00FF55BF">
        <w:rPr>
          <w:rFonts w:asciiTheme="minorHAnsi" w:hAnsiTheme="minorHAnsi"/>
          <w:color w:val="000000"/>
          <w:sz w:val="22"/>
          <w:szCs w:val="22"/>
        </w:rPr>
        <w:t xml:space="preserve"> is a</w:t>
      </w:r>
      <w:r w:rsidR="00621B17" w:rsidRPr="00FF55BF">
        <w:rPr>
          <w:rFonts w:asciiTheme="minorHAnsi" w:hAnsiTheme="minorHAnsi"/>
          <w:color w:val="000000"/>
          <w:sz w:val="22"/>
          <w:szCs w:val="22"/>
        </w:rPr>
        <w:t>n indispensable</w:t>
      </w:r>
      <w:r w:rsidR="009E394D" w:rsidRPr="00FF55BF">
        <w:rPr>
          <w:rFonts w:asciiTheme="minorHAnsi" w:hAnsiTheme="minorHAnsi"/>
          <w:color w:val="000000"/>
          <w:sz w:val="22"/>
          <w:szCs w:val="22"/>
        </w:rPr>
        <w:t xml:space="preserve"> tool for public health officials</w:t>
      </w:r>
      <w:r w:rsidR="00E21958" w:rsidRPr="00FF55BF">
        <w:rPr>
          <w:rFonts w:asciiTheme="minorHAnsi" w:hAnsiTheme="minorHAnsi"/>
          <w:color w:val="000000"/>
          <w:sz w:val="22"/>
          <w:szCs w:val="22"/>
        </w:rPr>
        <w:t xml:space="preserve"> at </w:t>
      </w:r>
      <w:r w:rsidR="001F78A6" w:rsidRPr="00FF55BF">
        <w:rPr>
          <w:rFonts w:asciiTheme="minorHAnsi" w:hAnsiTheme="minorHAnsi"/>
          <w:color w:val="000000"/>
          <w:sz w:val="22"/>
          <w:szCs w:val="22"/>
        </w:rPr>
        <w:t>local, state, territorial and national</w:t>
      </w:r>
      <w:r w:rsidR="00E21958" w:rsidRPr="00FF55BF">
        <w:rPr>
          <w:rFonts w:asciiTheme="minorHAnsi" w:hAnsiTheme="minorHAnsi"/>
          <w:color w:val="000000"/>
          <w:sz w:val="22"/>
          <w:szCs w:val="22"/>
        </w:rPr>
        <w:t xml:space="preserve"> levels</w:t>
      </w:r>
      <w:r w:rsidR="009E394D" w:rsidRPr="00FF55BF">
        <w:rPr>
          <w:rFonts w:asciiTheme="minorHAnsi" w:hAnsiTheme="minorHAnsi"/>
          <w:color w:val="000000"/>
          <w:sz w:val="22"/>
          <w:szCs w:val="22"/>
        </w:rPr>
        <w:t xml:space="preserve">, who use the data </w:t>
      </w:r>
      <w:r w:rsidR="00E21958" w:rsidRPr="00FF55BF">
        <w:rPr>
          <w:rFonts w:asciiTheme="minorHAnsi" w:hAnsiTheme="minorHAnsi"/>
          <w:color w:val="000000"/>
          <w:sz w:val="22"/>
          <w:szCs w:val="22"/>
        </w:rPr>
        <w:t>to</w:t>
      </w:r>
      <w:r w:rsidR="009E394D" w:rsidRPr="00FF55BF">
        <w:rPr>
          <w:rFonts w:asciiTheme="minorHAnsi" w:hAnsiTheme="minorHAnsi"/>
          <w:color w:val="000000"/>
          <w:sz w:val="22"/>
          <w:szCs w:val="22"/>
        </w:rPr>
        <w:t xml:space="preserve"> </w:t>
      </w:r>
      <w:r w:rsidR="0056512A" w:rsidRPr="00FF55BF">
        <w:rPr>
          <w:rFonts w:asciiTheme="minorHAnsi" w:hAnsiTheme="minorHAnsi"/>
          <w:color w:val="000000"/>
          <w:sz w:val="22"/>
          <w:szCs w:val="22"/>
        </w:rPr>
        <w:t xml:space="preserve">monitor </w:t>
      </w:r>
      <w:r w:rsidR="00621B17" w:rsidRPr="00FF55BF">
        <w:rPr>
          <w:rFonts w:asciiTheme="minorHAnsi" w:hAnsiTheme="minorHAnsi"/>
          <w:color w:val="000000"/>
          <w:sz w:val="22"/>
          <w:szCs w:val="22"/>
        </w:rPr>
        <w:t xml:space="preserve">the occurrence and </w:t>
      </w:r>
      <w:r w:rsidR="0056512A" w:rsidRPr="00FF55BF">
        <w:rPr>
          <w:rFonts w:asciiTheme="minorHAnsi" w:hAnsiTheme="minorHAnsi"/>
          <w:color w:val="000000"/>
          <w:sz w:val="22"/>
          <w:szCs w:val="22"/>
        </w:rPr>
        <w:t xml:space="preserve">prevent the </w:t>
      </w:r>
      <w:r w:rsidR="00621B17" w:rsidRPr="00FF55BF">
        <w:rPr>
          <w:rFonts w:asciiTheme="minorHAnsi" w:hAnsiTheme="minorHAnsi"/>
          <w:color w:val="000000"/>
          <w:sz w:val="22"/>
          <w:szCs w:val="22"/>
        </w:rPr>
        <w:t xml:space="preserve">spread of </w:t>
      </w:r>
      <w:r w:rsidR="0056512A" w:rsidRPr="00FF55BF">
        <w:rPr>
          <w:rFonts w:asciiTheme="minorHAnsi" w:hAnsiTheme="minorHAnsi"/>
          <w:color w:val="000000"/>
          <w:sz w:val="22"/>
          <w:szCs w:val="22"/>
        </w:rPr>
        <w:t>the diseases</w:t>
      </w:r>
      <w:r w:rsidR="00621B17" w:rsidRPr="00FF55BF">
        <w:rPr>
          <w:rFonts w:asciiTheme="minorHAnsi" w:hAnsiTheme="minorHAnsi"/>
          <w:color w:val="000000"/>
          <w:sz w:val="22"/>
          <w:szCs w:val="22"/>
        </w:rPr>
        <w:t xml:space="preserve">. </w:t>
      </w:r>
      <w:r w:rsidR="006B6060" w:rsidRPr="00FF55BF">
        <w:rPr>
          <w:rFonts w:asciiTheme="minorHAnsi" w:hAnsiTheme="minorHAnsi"/>
          <w:color w:val="000000"/>
          <w:sz w:val="22"/>
          <w:szCs w:val="22"/>
        </w:rPr>
        <w:t>Less frequent</w:t>
      </w:r>
      <w:r w:rsidR="00FB4484" w:rsidRPr="00FF55BF">
        <w:rPr>
          <w:rFonts w:asciiTheme="minorHAnsi" w:hAnsiTheme="minorHAnsi"/>
          <w:color w:val="000000"/>
          <w:sz w:val="22"/>
          <w:szCs w:val="22"/>
        </w:rPr>
        <w:t xml:space="preserve"> </w:t>
      </w:r>
      <w:r w:rsidR="00C95414" w:rsidRPr="00FF55BF">
        <w:rPr>
          <w:rFonts w:asciiTheme="minorHAnsi" w:hAnsiTheme="minorHAnsi"/>
          <w:color w:val="000000"/>
          <w:sz w:val="22"/>
          <w:szCs w:val="22"/>
        </w:rPr>
        <w:t>notification</w:t>
      </w:r>
      <w:r w:rsidRPr="00FF55BF">
        <w:rPr>
          <w:rFonts w:asciiTheme="minorHAnsi" w:hAnsiTheme="minorHAnsi"/>
          <w:color w:val="000000"/>
          <w:sz w:val="22"/>
          <w:szCs w:val="22"/>
        </w:rPr>
        <w:t xml:space="preserve"> does not allow timely assessment, particularly </w:t>
      </w:r>
      <w:r w:rsidR="00621B17" w:rsidRPr="00FF55BF">
        <w:rPr>
          <w:rFonts w:asciiTheme="minorHAnsi" w:hAnsiTheme="minorHAnsi"/>
          <w:color w:val="000000"/>
          <w:sz w:val="22"/>
          <w:szCs w:val="22"/>
        </w:rPr>
        <w:t xml:space="preserve">for </w:t>
      </w:r>
      <w:r w:rsidRPr="00FF55BF">
        <w:rPr>
          <w:rFonts w:asciiTheme="minorHAnsi" w:hAnsiTheme="minorHAnsi"/>
          <w:color w:val="000000"/>
          <w:sz w:val="22"/>
          <w:szCs w:val="22"/>
        </w:rPr>
        <w:t>emerging disease</w:t>
      </w:r>
      <w:r w:rsidR="0056512A" w:rsidRPr="00FF55BF">
        <w:rPr>
          <w:rFonts w:asciiTheme="minorHAnsi" w:hAnsiTheme="minorHAnsi"/>
          <w:color w:val="000000"/>
          <w:sz w:val="22"/>
          <w:szCs w:val="22"/>
        </w:rPr>
        <w:t xml:space="preserve"> </w:t>
      </w:r>
      <w:r w:rsidRPr="00FF55BF">
        <w:rPr>
          <w:rFonts w:asciiTheme="minorHAnsi" w:hAnsiTheme="minorHAnsi"/>
          <w:color w:val="000000"/>
          <w:sz w:val="22"/>
          <w:szCs w:val="22"/>
        </w:rPr>
        <w:t>threats. Changes in disease distribution</w:t>
      </w:r>
      <w:r w:rsidR="00621B17" w:rsidRPr="00FF55BF">
        <w:rPr>
          <w:rFonts w:asciiTheme="minorHAnsi" w:hAnsiTheme="minorHAnsi"/>
          <w:color w:val="000000"/>
          <w:sz w:val="22"/>
          <w:szCs w:val="22"/>
        </w:rPr>
        <w:t xml:space="preserve"> are</w:t>
      </w:r>
      <w:r w:rsidRPr="00FF55BF">
        <w:rPr>
          <w:rFonts w:asciiTheme="minorHAnsi" w:hAnsiTheme="minorHAnsi"/>
          <w:color w:val="000000"/>
          <w:sz w:val="22"/>
          <w:szCs w:val="22"/>
        </w:rPr>
        <w:t xml:space="preserve"> continuously monitored </w:t>
      </w:r>
      <w:r w:rsidR="00E21958" w:rsidRPr="00FF55BF">
        <w:rPr>
          <w:rFonts w:asciiTheme="minorHAnsi" w:hAnsiTheme="minorHAnsi"/>
          <w:color w:val="000000"/>
          <w:sz w:val="22"/>
          <w:szCs w:val="22"/>
        </w:rPr>
        <w:t xml:space="preserve">so that </w:t>
      </w:r>
      <w:r w:rsidRPr="00FF55BF">
        <w:rPr>
          <w:rFonts w:asciiTheme="minorHAnsi" w:hAnsiTheme="minorHAnsi"/>
          <w:color w:val="000000"/>
          <w:sz w:val="22"/>
          <w:szCs w:val="22"/>
        </w:rPr>
        <w:t>appropriate investigation</w:t>
      </w:r>
      <w:r w:rsidR="00A95154" w:rsidRPr="00FF55BF">
        <w:rPr>
          <w:rFonts w:asciiTheme="minorHAnsi" w:hAnsiTheme="minorHAnsi"/>
          <w:color w:val="000000"/>
          <w:sz w:val="22"/>
          <w:szCs w:val="22"/>
        </w:rPr>
        <w:t>s</w:t>
      </w:r>
      <w:r w:rsidRPr="00FF55BF">
        <w:rPr>
          <w:rFonts w:asciiTheme="minorHAnsi" w:hAnsiTheme="minorHAnsi"/>
          <w:color w:val="000000"/>
          <w:sz w:val="22"/>
          <w:szCs w:val="22"/>
        </w:rPr>
        <w:t xml:space="preserve"> or intervention</w:t>
      </w:r>
      <w:r w:rsidR="00A95154" w:rsidRPr="00FF55BF">
        <w:rPr>
          <w:rFonts w:asciiTheme="minorHAnsi" w:hAnsiTheme="minorHAnsi"/>
          <w:color w:val="000000"/>
          <w:sz w:val="22"/>
          <w:szCs w:val="22"/>
        </w:rPr>
        <w:t>s</w:t>
      </w:r>
      <w:r w:rsidRPr="00FF55BF">
        <w:rPr>
          <w:rFonts w:asciiTheme="minorHAnsi" w:hAnsiTheme="minorHAnsi"/>
          <w:color w:val="000000"/>
          <w:sz w:val="22"/>
          <w:szCs w:val="22"/>
        </w:rPr>
        <w:t xml:space="preserve"> may be rapidly undertaken. </w:t>
      </w:r>
      <w:r w:rsidR="00396D58" w:rsidRPr="00FF55BF">
        <w:rPr>
          <w:rFonts w:asciiTheme="minorHAnsi" w:hAnsiTheme="minorHAnsi"/>
          <w:color w:val="000000"/>
          <w:sz w:val="22"/>
          <w:szCs w:val="22"/>
        </w:rPr>
        <w:t>In addition, r</w:t>
      </w:r>
      <w:r w:rsidR="006B6060" w:rsidRPr="00FF55BF">
        <w:rPr>
          <w:rFonts w:asciiTheme="minorHAnsi" w:hAnsiTheme="minorHAnsi"/>
          <w:color w:val="000000"/>
          <w:sz w:val="22"/>
          <w:szCs w:val="22"/>
        </w:rPr>
        <w:t xml:space="preserve">apid </w:t>
      </w:r>
      <w:r w:rsidR="00C95414" w:rsidRPr="00FF55BF">
        <w:rPr>
          <w:rFonts w:asciiTheme="minorHAnsi" w:hAnsiTheme="minorHAnsi"/>
          <w:color w:val="000000"/>
          <w:sz w:val="22"/>
          <w:szCs w:val="22"/>
        </w:rPr>
        <w:t>notification</w:t>
      </w:r>
      <w:r w:rsidR="006B6060" w:rsidRPr="00FF55BF">
        <w:rPr>
          <w:rFonts w:asciiTheme="minorHAnsi" w:hAnsiTheme="minorHAnsi"/>
          <w:color w:val="000000"/>
          <w:sz w:val="22"/>
          <w:szCs w:val="22"/>
        </w:rPr>
        <w:t xml:space="preserve"> is also necessary to allow the United States to </w:t>
      </w:r>
      <w:r w:rsidR="00244EDE" w:rsidRPr="00FF55BF">
        <w:rPr>
          <w:rFonts w:asciiTheme="minorHAnsi" w:hAnsiTheme="minorHAnsi"/>
          <w:color w:val="000000"/>
          <w:sz w:val="22"/>
          <w:szCs w:val="22"/>
        </w:rPr>
        <w:t xml:space="preserve">meet its </w:t>
      </w:r>
      <w:r w:rsidR="00582C46" w:rsidRPr="00FF55BF">
        <w:rPr>
          <w:rFonts w:asciiTheme="minorHAnsi" w:hAnsiTheme="minorHAnsi"/>
          <w:color w:val="000000"/>
          <w:sz w:val="22"/>
          <w:szCs w:val="22"/>
        </w:rPr>
        <w:t xml:space="preserve">obligations under the revised 2005 International Health Regulations </w:t>
      </w:r>
      <w:r w:rsidR="006B6060" w:rsidRPr="00FF55BF">
        <w:rPr>
          <w:rFonts w:asciiTheme="minorHAnsi" w:hAnsiTheme="minorHAnsi"/>
          <w:color w:val="000000"/>
          <w:sz w:val="22"/>
          <w:szCs w:val="22"/>
        </w:rPr>
        <w:t xml:space="preserve">to report important </w:t>
      </w:r>
      <w:r w:rsidR="0004678C" w:rsidRPr="00FF55BF">
        <w:rPr>
          <w:rFonts w:asciiTheme="minorHAnsi" w:hAnsiTheme="minorHAnsi"/>
          <w:color w:val="000000"/>
          <w:sz w:val="22"/>
          <w:szCs w:val="22"/>
        </w:rPr>
        <w:t xml:space="preserve">events that meet the criteria to be considered a public health emergency of international concern </w:t>
      </w:r>
      <w:r w:rsidR="006B6060" w:rsidRPr="00FF55BF">
        <w:rPr>
          <w:rFonts w:asciiTheme="minorHAnsi" w:hAnsiTheme="minorHAnsi"/>
          <w:color w:val="000000"/>
          <w:sz w:val="22"/>
          <w:szCs w:val="22"/>
        </w:rPr>
        <w:t>to the World Health Organization.</w:t>
      </w:r>
    </w:p>
    <w:p w14:paraId="2808DE3C" w14:textId="77777777" w:rsidR="006B6060" w:rsidRPr="00FF55BF" w:rsidRDefault="006B6060" w:rsidP="00925656">
      <w:pPr>
        <w:spacing w:line="360" w:lineRule="auto"/>
        <w:rPr>
          <w:rFonts w:asciiTheme="minorHAnsi" w:hAnsiTheme="minorHAnsi"/>
          <w:color w:val="000000"/>
          <w:sz w:val="22"/>
          <w:szCs w:val="22"/>
        </w:rPr>
      </w:pPr>
    </w:p>
    <w:p w14:paraId="7742649B" w14:textId="77777777" w:rsidR="009135CB" w:rsidRPr="00FF55BF" w:rsidRDefault="005204E8"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We are not aware of any</w:t>
      </w:r>
      <w:r w:rsidR="009135CB" w:rsidRPr="00FF55BF">
        <w:rPr>
          <w:rFonts w:asciiTheme="minorHAnsi" w:hAnsiTheme="minorHAnsi"/>
          <w:color w:val="000000"/>
          <w:sz w:val="22"/>
          <w:szCs w:val="22"/>
        </w:rPr>
        <w:t xml:space="preserve"> legal obstacles to reducing the burden.</w:t>
      </w:r>
    </w:p>
    <w:p w14:paraId="491A9315" w14:textId="77777777" w:rsidR="009135CB" w:rsidRPr="00FF55BF" w:rsidRDefault="009135CB" w:rsidP="00925656">
      <w:pPr>
        <w:spacing w:line="360" w:lineRule="auto"/>
        <w:rPr>
          <w:rFonts w:asciiTheme="minorHAnsi" w:hAnsiTheme="minorHAnsi"/>
          <w:color w:val="000000"/>
          <w:sz w:val="22"/>
          <w:szCs w:val="22"/>
        </w:rPr>
      </w:pPr>
    </w:p>
    <w:p w14:paraId="1B896160"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A.7. </w:t>
      </w:r>
      <w:r w:rsidR="00EE7897" w:rsidRPr="00FF55BF">
        <w:rPr>
          <w:rFonts w:asciiTheme="minorHAnsi" w:hAnsiTheme="minorHAnsi"/>
          <w:b/>
          <w:sz w:val="22"/>
          <w:szCs w:val="22"/>
          <w:u w:val="single"/>
        </w:rPr>
        <w:t>Special Circumstances Relating to the Guidelines of 5 CFR 1320.5</w:t>
      </w:r>
    </w:p>
    <w:p w14:paraId="00696410" w14:textId="77777777" w:rsidR="00BF5537" w:rsidRPr="00FF55BF" w:rsidRDefault="009135CB"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lastRenderedPageBreak/>
        <w:t xml:space="preserve">As explained in Section A.6, </w:t>
      </w:r>
      <w:r w:rsidR="009E72BD" w:rsidRPr="00FF55BF">
        <w:rPr>
          <w:rFonts w:asciiTheme="minorHAnsi" w:hAnsiTheme="minorHAnsi"/>
          <w:color w:val="000000"/>
          <w:sz w:val="22"/>
          <w:szCs w:val="22"/>
        </w:rPr>
        <w:t xml:space="preserve">rapid </w:t>
      </w:r>
      <w:r w:rsidR="00C95414" w:rsidRPr="00FF55BF">
        <w:rPr>
          <w:rFonts w:asciiTheme="minorHAnsi" w:hAnsiTheme="minorHAnsi"/>
          <w:color w:val="000000"/>
          <w:sz w:val="22"/>
          <w:szCs w:val="22"/>
        </w:rPr>
        <w:t>submission</w:t>
      </w:r>
      <w:r w:rsidR="000E4564" w:rsidRPr="00FF55BF">
        <w:rPr>
          <w:rFonts w:asciiTheme="minorHAnsi" w:hAnsiTheme="minorHAnsi"/>
          <w:color w:val="000000"/>
          <w:sz w:val="22"/>
          <w:szCs w:val="22"/>
        </w:rPr>
        <w:t xml:space="preserve"> of national </w:t>
      </w:r>
      <w:r w:rsidRPr="00FF55BF">
        <w:rPr>
          <w:rFonts w:asciiTheme="minorHAnsi" w:hAnsiTheme="minorHAnsi"/>
          <w:color w:val="000000"/>
          <w:sz w:val="22"/>
          <w:szCs w:val="22"/>
        </w:rPr>
        <w:t xml:space="preserve">data </w:t>
      </w:r>
      <w:r w:rsidR="009E72BD" w:rsidRPr="00FF55BF">
        <w:rPr>
          <w:rFonts w:asciiTheme="minorHAnsi" w:hAnsiTheme="minorHAnsi"/>
          <w:color w:val="000000"/>
          <w:sz w:val="22"/>
          <w:szCs w:val="22"/>
        </w:rPr>
        <w:t xml:space="preserve">to NNDSS </w:t>
      </w:r>
      <w:r w:rsidRPr="00FF55BF">
        <w:rPr>
          <w:rFonts w:asciiTheme="minorHAnsi" w:hAnsiTheme="minorHAnsi"/>
          <w:color w:val="000000"/>
          <w:sz w:val="22"/>
          <w:szCs w:val="22"/>
        </w:rPr>
        <w:t xml:space="preserve">is essential to the </w:t>
      </w:r>
      <w:r w:rsidR="009E72BD" w:rsidRPr="00FF55BF">
        <w:rPr>
          <w:rFonts w:asciiTheme="minorHAnsi" w:hAnsiTheme="minorHAnsi"/>
          <w:color w:val="000000"/>
          <w:sz w:val="22"/>
          <w:szCs w:val="22"/>
        </w:rPr>
        <w:t>early</w:t>
      </w:r>
      <w:r w:rsidRPr="00FF55BF">
        <w:rPr>
          <w:rFonts w:asciiTheme="minorHAnsi" w:hAnsiTheme="minorHAnsi"/>
          <w:color w:val="000000"/>
          <w:sz w:val="22"/>
          <w:szCs w:val="22"/>
        </w:rPr>
        <w:t xml:space="preserve"> identifi</w:t>
      </w:r>
      <w:r w:rsidR="00CF196A" w:rsidRPr="00FF55BF">
        <w:rPr>
          <w:rFonts w:asciiTheme="minorHAnsi" w:hAnsiTheme="minorHAnsi"/>
          <w:color w:val="000000"/>
          <w:sz w:val="22"/>
          <w:szCs w:val="22"/>
        </w:rPr>
        <w:t>cation of disease epidemics</w:t>
      </w:r>
      <w:r w:rsidR="009E72BD" w:rsidRPr="00FF55BF">
        <w:rPr>
          <w:rFonts w:asciiTheme="minorHAnsi" w:hAnsiTheme="minorHAnsi"/>
          <w:color w:val="000000"/>
          <w:sz w:val="22"/>
          <w:szCs w:val="22"/>
        </w:rPr>
        <w:t>,</w:t>
      </w:r>
      <w:r w:rsidR="00CF196A" w:rsidRPr="00FF55BF">
        <w:rPr>
          <w:rFonts w:asciiTheme="minorHAnsi" w:hAnsiTheme="minorHAnsi"/>
          <w:color w:val="000000"/>
          <w:sz w:val="22"/>
          <w:szCs w:val="22"/>
        </w:rPr>
        <w:t xml:space="preserve"> </w:t>
      </w:r>
      <w:r w:rsidRPr="00FF55BF">
        <w:rPr>
          <w:rFonts w:asciiTheme="minorHAnsi" w:hAnsiTheme="minorHAnsi"/>
          <w:color w:val="000000"/>
          <w:sz w:val="22"/>
          <w:szCs w:val="22"/>
        </w:rPr>
        <w:t>more timely and complete understanding of disease trends</w:t>
      </w:r>
      <w:r w:rsidR="009E72BD" w:rsidRPr="00FF55BF">
        <w:rPr>
          <w:rFonts w:asciiTheme="minorHAnsi" w:hAnsiTheme="minorHAnsi"/>
          <w:color w:val="000000"/>
          <w:sz w:val="22"/>
          <w:szCs w:val="22"/>
        </w:rPr>
        <w:t>, and evaluation of prevention and control efforts</w:t>
      </w:r>
      <w:r w:rsidR="00CF196A" w:rsidRPr="00FF55BF">
        <w:rPr>
          <w:rFonts w:asciiTheme="minorHAnsi" w:hAnsiTheme="minorHAnsi"/>
          <w:color w:val="000000"/>
          <w:sz w:val="22"/>
          <w:szCs w:val="22"/>
        </w:rPr>
        <w:t>.</w:t>
      </w:r>
    </w:p>
    <w:p w14:paraId="66307887" w14:textId="77777777" w:rsidR="00904DF8" w:rsidRDefault="00904DF8" w:rsidP="00925656">
      <w:pPr>
        <w:spacing w:line="360" w:lineRule="auto"/>
        <w:rPr>
          <w:rFonts w:asciiTheme="minorHAnsi" w:hAnsiTheme="minorHAnsi"/>
          <w:b/>
          <w:color w:val="000000"/>
          <w:sz w:val="22"/>
          <w:szCs w:val="22"/>
        </w:rPr>
      </w:pPr>
    </w:p>
    <w:p w14:paraId="6C8CAE28"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A.8. </w:t>
      </w:r>
      <w:r w:rsidR="00A20BCC" w:rsidRPr="00FF55BF">
        <w:rPr>
          <w:rFonts w:asciiTheme="minorHAnsi" w:hAnsiTheme="minorHAnsi"/>
          <w:b/>
          <w:sz w:val="22"/>
          <w:szCs w:val="22"/>
          <w:u w:val="single"/>
        </w:rPr>
        <w:t>Comments in Response to the Federal Register Notice and Efforts to Consult Outside the Agency</w:t>
      </w:r>
    </w:p>
    <w:p w14:paraId="6C0217F5"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A.8.A.</w:t>
      </w:r>
      <w:r w:rsidR="00CF196A" w:rsidRPr="00FF55BF">
        <w:rPr>
          <w:rFonts w:asciiTheme="minorHAnsi" w:hAnsiTheme="minorHAnsi"/>
          <w:b/>
          <w:color w:val="000000"/>
          <w:sz w:val="22"/>
          <w:szCs w:val="22"/>
        </w:rPr>
        <w:t xml:space="preserve"> </w:t>
      </w:r>
    </w:p>
    <w:p w14:paraId="275E13B5" w14:textId="77777777" w:rsidR="00F70276" w:rsidRPr="00FF55BF" w:rsidRDefault="00150502" w:rsidP="00925656">
      <w:pPr>
        <w:spacing w:line="360" w:lineRule="auto"/>
        <w:contextualSpacing/>
        <w:rPr>
          <w:rFonts w:asciiTheme="minorHAnsi" w:eastAsia="Calibri" w:hAnsiTheme="minorHAnsi"/>
          <w:b/>
          <w:sz w:val="22"/>
          <w:szCs w:val="22"/>
        </w:rPr>
      </w:pPr>
      <w:r w:rsidRPr="00FF55BF">
        <w:rPr>
          <w:rFonts w:asciiTheme="minorHAnsi" w:eastAsia="Calibri" w:hAnsiTheme="minorHAnsi"/>
          <w:sz w:val="22"/>
          <w:szCs w:val="22"/>
        </w:rPr>
        <w:t>A 60-day Federal Register Notice was published in the</w:t>
      </w:r>
      <w:r w:rsidRPr="00FF55BF">
        <w:rPr>
          <w:rFonts w:asciiTheme="minorHAnsi" w:eastAsia="Calibri" w:hAnsiTheme="minorHAnsi"/>
          <w:i/>
          <w:sz w:val="22"/>
          <w:szCs w:val="22"/>
        </w:rPr>
        <w:t xml:space="preserve"> Federal Register</w:t>
      </w:r>
      <w:r w:rsidRPr="00FF55BF">
        <w:rPr>
          <w:rFonts w:asciiTheme="minorHAnsi" w:eastAsia="Calibri" w:hAnsiTheme="minorHAnsi"/>
          <w:sz w:val="22"/>
          <w:szCs w:val="22"/>
        </w:rPr>
        <w:t xml:space="preserve"> on </w:t>
      </w:r>
      <w:r w:rsidR="001C27C7">
        <w:rPr>
          <w:rFonts w:asciiTheme="minorHAnsi" w:eastAsia="Calibri" w:hAnsiTheme="minorHAnsi"/>
          <w:sz w:val="22"/>
          <w:szCs w:val="22"/>
        </w:rPr>
        <w:t>Ma</w:t>
      </w:r>
      <w:r w:rsidR="0050080D">
        <w:rPr>
          <w:rFonts w:asciiTheme="minorHAnsi" w:eastAsia="Calibri" w:hAnsiTheme="minorHAnsi"/>
          <w:sz w:val="22"/>
          <w:szCs w:val="22"/>
        </w:rPr>
        <w:t>y</w:t>
      </w:r>
      <w:r w:rsidR="001C27C7">
        <w:rPr>
          <w:rFonts w:asciiTheme="minorHAnsi" w:eastAsia="Calibri" w:hAnsiTheme="minorHAnsi"/>
          <w:sz w:val="22"/>
          <w:szCs w:val="22"/>
        </w:rPr>
        <w:t xml:space="preserve"> 13, 2015</w:t>
      </w:r>
      <w:r w:rsidRPr="00DF1BBD">
        <w:rPr>
          <w:rFonts w:asciiTheme="minorHAnsi" w:eastAsia="Calibri" w:hAnsiTheme="minorHAnsi"/>
          <w:sz w:val="22"/>
          <w:szCs w:val="22"/>
        </w:rPr>
        <w:t xml:space="preserve">, </w:t>
      </w:r>
      <w:r w:rsidR="00DF1BBD" w:rsidRPr="00DF1BBD">
        <w:rPr>
          <w:rFonts w:asciiTheme="minorHAnsi" w:eastAsia="Calibri" w:hAnsiTheme="minorHAnsi"/>
          <w:sz w:val="22"/>
          <w:szCs w:val="22"/>
        </w:rPr>
        <w:t>V</w:t>
      </w:r>
      <w:r w:rsidR="009E72BD" w:rsidRPr="00DF1BBD">
        <w:rPr>
          <w:rFonts w:asciiTheme="minorHAnsi" w:eastAsia="Calibri" w:hAnsiTheme="minorHAnsi"/>
          <w:sz w:val="22"/>
          <w:szCs w:val="22"/>
        </w:rPr>
        <w:t>ol</w:t>
      </w:r>
      <w:r w:rsidR="001C27C7">
        <w:rPr>
          <w:rFonts w:asciiTheme="minorHAnsi" w:eastAsia="Calibri" w:hAnsiTheme="minorHAnsi"/>
          <w:sz w:val="22"/>
          <w:szCs w:val="22"/>
        </w:rPr>
        <w:t>.</w:t>
      </w:r>
      <w:r w:rsidR="00DF1BBD" w:rsidRPr="00DF1BBD">
        <w:rPr>
          <w:rFonts w:asciiTheme="minorHAnsi" w:eastAsia="Calibri" w:hAnsiTheme="minorHAnsi"/>
          <w:sz w:val="22"/>
          <w:szCs w:val="22"/>
        </w:rPr>
        <w:t xml:space="preserve"> </w:t>
      </w:r>
      <w:r w:rsidR="001C27C7">
        <w:rPr>
          <w:rFonts w:asciiTheme="minorHAnsi" w:eastAsia="Calibri" w:hAnsiTheme="minorHAnsi"/>
          <w:sz w:val="22"/>
          <w:szCs w:val="22"/>
        </w:rPr>
        <w:t>80</w:t>
      </w:r>
      <w:r w:rsidR="006C550A" w:rsidRPr="00DF1BBD">
        <w:rPr>
          <w:rFonts w:asciiTheme="minorHAnsi" w:eastAsia="Calibri" w:hAnsiTheme="minorHAnsi"/>
          <w:sz w:val="22"/>
          <w:szCs w:val="22"/>
        </w:rPr>
        <w:t xml:space="preserve">, No. </w:t>
      </w:r>
      <w:r w:rsidR="001C27C7">
        <w:rPr>
          <w:rFonts w:asciiTheme="minorHAnsi" w:eastAsia="Calibri" w:hAnsiTheme="minorHAnsi"/>
          <w:sz w:val="22"/>
          <w:szCs w:val="22"/>
        </w:rPr>
        <w:t>92</w:t>
      </w:r>
      <w:r w:rsidR="00C72590" w:rsidRPr="00DF1BBD">
        <w:rPr>
          <w:rFonts w:asciiTheme="minorHAnsi" w:eastAsia="Calibri" w:hAnsiTheme="minorHAnsi"/>
          <w:sz w:val="22"/>
          <w:szCs w:val="22"/>
        </w:rPr>
        <w:t xml:space="preserve">, pp. </w:t>
      </w:r>
      <w:r w:rsidR="009C2426">
        <w:rPr>
          <w:rFonts w:asciiTheme="minorHAnsi" w:eastAsia="Calibri" w:hAnsiTheme="minorHAnsi"/>
          <w:sz w:val="22"/>
          <w:szCs w:val="22"/>
        </w:rPr>
        <w:t>27315</w:t>
      </w:r>
      <w:r w:rsidR="00DF1BBD" w:rsidRPr="00DF1BBD">
        <w:rPr>
          <w:rFonts w:asciiTheme="minorHAnsi" w:eastAsia="Calibri" w:hAnsiTheme="minorHAnsi"/>
          <w:sz w:val="22"/>
          <w:szCs w:val="22"/>
        </w:rPr>
        <w:t>-</w:t>
      </w:r>
      <w:r w:rsidR="009C2426">
        <w:rPr>
          <w:rFonts w:asciiTheme="minorHAnsi" w:eastAsia="Calibri" w:hAnsiTheme="minorHAnsi"/>
          <w:sz w:val="22"/>
          <w:szCs w:val="22"/>
        </w:rPr>
        <w:t>27316</w:t>
      </w:r>
      <w:r w:rsidR="00C72590" w:rsidRPr="00DF1BBD">
        <w:rPr>
          <w:rFonts w:asciiTheme="minorHAnsi" w:eastAsia="Calibri" w:hAnsiTheme="minorHAnsi"/>
          <w:sz w:val="22"/>
          <w:szCs w:val="22"/>
        </w:rPr>
        <w:t xml:space="preserve"> </w:t>
      </w:r>
      <w:r w:rsidR="000A3E29" w:rsidRPr="00DF1BBD">
        <w:rPr>
          <w:rFonts w:asciiTheme="minorHAnsi" w:hAnsiTheme="minorHAnsi"/>
          <w:b/>
          <w:sz w:val="22"/>
          <w:szCs w:val="22"/>
        </w:rPr>
        <w:t>[A</w:t>
      </w:r>
      <w:r w:rsidRPr="00DF1BBD">
        <w:rPr>
          <w:rFonts w:asciiTheme="minorHAnsi" w:hAnsiTheme="minorHAnsi"/>
          <w:b/>
          <w:sz w:val="22"/>
          <w:szCs w:val="22"/>
        </w:rPr>
        <w:t>ttachment</w:t>
      </w:r>
      <w:r w:rsidR="00767301" w:rsidRPr="00DF1BBD">
        <w:rPr>
          <w:rFonts w:asciiTheme="minorHAnsi" w:hAnsiTheme="minorHAnsi"/>
          <w:b/>
          <w:sz w:val="22"/>
          <w:szCs w:val="22"/>
        </w:rPr>
        <w:t xml:space="preserve"> </w:t>
      </w:r>
      <w:r w:rsidR="00742562" w:rsidRPr="00DF1BBD">
        <w:rPr>
          <w:rFonts w:asciiTheme="minorHAnsi" w:hAnsiTheme="minorHAnsi"/>
          <w:b/>
          <w:sz w:val="22"/>
          <w:szCs w:val="22"/>
        </w:rPr>
        <w:t>2</w:t>
      </w:r>
      <w:r w:rsidR="00177B55">
        <w:rPr>
          <w:rFonts w:asciiTheme="minorHAnsi" w:hAnsiTheme="minorHAnsi"/>
          <w:b/>
          <w:sz w:val="22"/>
          <w:szCs w:val="22"/>
        </w:rPr>
        <w:t>a</w:t>
      </w:r>
      <w:r w:rsidR="00A23142">
        <w:rPr>
          <w:rFonts w:asciiTheme="minorHAnsi" w:hAnsiTheme="minorHAnsi"/>
          <w:b/>
          <w:sz w:val="22"/>
          <w:szCs w:val="22"/>
        </w:rPr>
        <w:t>.</w:t>
      </w:r>
      <w:r w:rsidR="009C2426">
        <w:rPr>
          <w:rFonts w:asciiTheme="minorHAnsi" w:hAnsiTheme="minorHAnsi"/>
          <w:b/>
          <w:sz w:val="22"/>
          <w:szCs w:val="22"/>
        </w:rPr>
        <w:t xml:space="preserve"> 60-Day FRN</w:t>
      </w:r>
      <w:r w:rsidR="00C72590" w:rsidRPr="00DF1BBD">
        <w:rPr>
          <w:rFonts w:asciiTheme="minorHAnsi" w:eastAsia="Calibri" w:hAnsiTheme="minorHAnsi"/>
          <w:b/>
          <w:sz w:val="22"/>
          <w:szCs w:val="22"/>
        </w:rPr>
        <w:t>]</w:t>
      </w:r>
      <w:r w:rsidR="00F70276" w:rsidRPr="00DF1BBD">
        <w:rPr>
          <w:rFonts w:asciiTheme="minorHAnsi" w:eastAsia="Calibri" w:hAnsiTheme="minorHAnsi"/>
          <w:b/>
          <w:sz w:val="22"/>
          <w:szCs w:val="22"/>
        </w:rPr>
        <w:t>.</w:t>
      </w:r>
      <w:r w:rsidR="009C2426">
        <w:rPr>
          <w:rFonts w:asciiTheme="minorHAnsi" w:eastAsia="Calibri" w:hAnsiTheme="minorHAnsi"/>
          <w:b/>
          <w:sz w:val="22"/>
          <w:szCs w:val="22"/>
        </w:rPr>
        <w:t xml:space="preserve"> </w:t>
      </w:r>
      <w:r w:rsidR="00177B55" w:rsidRPr="00177B55">
        <w:rPr>
          <w:rFonts w:asciiTheme="minorHAnsi" w:eastAsia="Calibri" w:hAnsiTheme="minorHAnsi"/>
          <w:sz w:val="22"/>
          <w:szCs w:val="22"/>
        </w:rPr>
        <w:t xml:space="preserve">One non-substantive comment </w:t>
      </w:r>
      <w:r w:rsidR="00DF2FB6" w:rsidRPr="00DF2FB6">
        <w:rPr>
          <w:rFonts w:asciiTheme="minorHAnsi" w:eastAsia="Calibri" w:hAnsiTheme="minorHAnsi"/>
          <w:b/>
          <w:sz w:val="22"/>
          <w:szCs w:val="22"/>
        </w:rPr>
        <w:t>[</w:t>
      </w:r>
      <w:r w:rsidR="00177B55" w:rsidRPr="00DF2FB6">
        <w:rPr>
          <w:rFonts w:asciiTheme="minorHAnsi" w:eastAsia="Calibri" w:hAnsiTheme="minorHAnsi"/>
          <w:b/>
          <w:sz w:val="22"/>
          <w:szCs w:val="22"/>
        </w:rPr>
        <w:t>Att</w:t>
      </w:r>
      <w:r w:rsidR="00DF2FB6">
        <w:rPr>
          <w:rFonts w:asciiTheme="minorHAnsi" w:eastAsia="Calibri" w:hAnsiTheme="minorHAnsi"/>
          <w:b/>
          <w:sz w:val="22"/>
          <w:szCs w:val="22"/>
        </w:rPr>
        <w:t>achment</w:t>
      </w:r>
      <w:r w:rsidR="00177B55" w:rsidRPr="00DF2FB6">
        <w:rPr>
          <w:rFonts w:asciiTheme="minorHAnsi" w:eastAsia="Calibri" w:hAnsiTheme="minorHAnsi"/>
          <w:b/>
          <w:sz w:val="22"/>
          <w:szCs w:val="22"/>
        </w:rPr>
        <w:t xml:space="preserve"> 2b</w:t>
      </w:r>
      <w:r w:rsidR="00A23142">
        <w:rPr>
          <w:rFonts w:asciiTheme="minorHAnsi" w:eastAsia="Calibri" w:hAnsiTheme="minorHAnsi"/>
          <w:b/>
          <w:sz w:val="22"/>
          <w:szCs w:val="22"/>
        </w:rPr>
        <w:t>.</w:t>
      </w:r>
      <w:r w:rsidR="00DF2FB6" w:rsidRPr="00DF2FB6">
        <w:rPr>
          <w:rFonts w:asciiTheme="minorHAnsi" w:eastAsia="Calibri" w:hAnsiTheme="minorHAnsi"/>
          <w:b/>
          <w:sz w:val="22"/>
          <w:szCs w:val="22"/>
        </w:rPr>
        <w:t xml:space="preserve"> Public Comment]</w:t>
      </w:r>
      <w:r w:rsidR="00177B55" w:rsidRPr="00177B55">
        <w:rPr>
          <w:rFonts w:asciiTheme="minorHAnsi" w:eastAsia="Calibri" w:hAnsiTheme="minorHAnsi"/>
          <w:sz w:val="22"/>
          <w:szCs w:val="22"/>
        </w:rPr>
        <w:t xml:space="preserve"> was received and the standard CDC response was sent.</w:t>
      </w:r>
    </w:p>
    <w:p w14:paraId="5F26CA6A" w14:textId="77777777" w:rsidR="00114E70"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A.8.B.</w:t>
      </w:r>
      <w:r w:rsidR="000C7924" w:rsidRPr="00FF55BF">
        <w:rPr>
          <w:rFonts w:asciiTheme="minorHAnsi" w:hAnsiTheme="minorHAnsi"/>
          <w:b/>
          <w:color w:val="000000"/>
          <w:sz w:val="22"/>
          <w:szCs w:val="22"/>
        </w:rPr>
        <w:t xml:space="preserve"> </w:t>
      </w:r>
    </w:p>
    <w:p w14:paraId="6E301F2B" w14:textId="77777777" w:rsidR="00CF2B72" w:rsidRPr="00FF55BF" w:rsidRDefault="00762DD5" w:rsidP="00925656">
      <w:pPr>
        <w:spacing w:line="360" w:lineRule="auto"/>
        <w:rPr>
          <w:rFonts w:asciiTheme="minorHAnsi" w:eastAsia="Calibri" w:hAnsiTheme="minorHAnsi"/>
          <w:sz w:val="22"/>
          <w:szCs w:val="22"/>
        </w:rPr>
      </w:pPr>
      <w:r>
        <w:rPr>
          <w:rFonts w:asciiTheme="minorHAnsi" w:hAnsiTheme="minorHAnsi"/>
          <w:color w:val="000000"/>
          <w:sz w:val="22"/>
          <w:szCs w:val="22"/>
        </w:rPr>
        <w:t>T</w:t>
      </w:r>
      <w:r w:rsidR="00FB50D4" w:rsidRPr="00762DD5">
        <w:rPr>
          <w:rFonts w:asciiTheme="minorHAnsi" w:hAnsiTheme="minorHAnsi"/>
          <w:color w:val="000000"/>
          <w:sz w:val="22"/>
          <w:szCs w:val="22"/>
        </w:rPr>
        <w:t>hrough cooperative agreement</w:t>
      </w:r>
      <w:r w:rsidR="00A565E9" w:rsidRPr="00762DD5">
        <w:rPr>
          <w:rFonts w:asciiTheme="minorHAnsi" w:hAnsiTheme="minorHAnsi"/>
          <w:color w:val="000000"/>
          <w:sz w:val="22"/>
          <w:szCs w:val="22"/>
        </w:rPr>
        <w:t xml:space="preserve">s, two independent </w:t>
      </w:r>
      <w:r w:rsidR="00FB50D4" w:rsidRPr="00762DD5">
        <w:rPr>
          <w:rFonts w:asciiTheme="minorHAnsi" w:hAnsiTheme="minorHAnsi"/>
          <w:color w:val="000000"/>
          <w:sz w:val="22"/>
          <w:szCs w:val="22"/>
        </w:rPr>
        <w:t xml:space="preserve">external peer review panels conducted reviews of NNDSS. </w:t>
      </w:r>
      <w:r w:rsidR="00017080" w:rsidRPr="00762DD5">
        <w:rPr>
          <w:rFonts w:asciiTheme="minorHAnsi" w:hAnsiTheme="minorHAnsi"/>
          <w:color w:val="000000"/>
          <w:sz w:val="22"/>
          <w:szCs w:val="22"/>
        </w:rPr>
        <w:t>The</w:t>
      </w:r>
      <w:r w:rsidR="00FB50D4" w:rsidRPr="00762DD5">
        <w:rPr>
          <w:rFonts w:asciiTheme="minorHAnsi" w:hAnsiTheme="minorHAnsi"/>
          <w:color w:val="000000"/>
          <w:sz w:val="22"/>
          <w:szCs w:val="22"/>
        </w:rPr>
        <w:t xml:space="preserve"> </w:t>
      </w:r>
      <w:r w:rsidR="006F1883">
        <w:rPr>
          <w:rFonts w:asciiTheme="minorHAnsi" w:hAnsiTheme="minorHAnsi"/>
          <w:color w:val="000000"/>
          <w:sz w:val="22"/>
          <w:szCs w:val="22"/>
        </w:rPr>
        <w:t xml:space="preserve">report from the </w:t>
      </w:r>
      <w:r w:rsidR="00FB50D4" w:rsidRPr="00762DD5">
        <w:rPr>
          <w:rFonts w:asciiTheme="minorHAnsi" w:hAnsiTheme="minorHAnsi"/>
          <w:color w:val="000000"/>
          <w:sz w:val="22"/>
          <w:szCs w:val="22"/>
        </w:rPr>
        <w:t xml:space="preserve">first panel </w:t>
      </w:r>
      <w:r w:rsidR="00B35C17">
        <w:rPr>
          <w:rFonts w:asciiTheme="minorHAnsi" w:hAnsiTheme="minorHAnsi"/>
          <w:color w:val="000000"/>
          <w:sz w:val="22"/>
          <w:szCs w:val="22"/>
        </w:rPr>
        <w:t>was</w:t>
      </w:r>
      <w:r w:rsidR="006F1883">
        <w:rPr>
          <w:rFonts w:asciiTheme="minorHAnsi" w:hAnsiTheme="minorHAnsi"/>
          <w:color w:val="000000"/>
          <w:sz w:val="22"/>
          <w:szCs w:val="22"/>
        </w:rPr>
        <w:t xml:space="preserve"> issued in</w:t>
      </w:r>
      <w:r w:rsidR="00B35C17">
        <w:rPr>
          <w:rFonts w:asciiTheme="minorHAnsi" w:hAnsiTheme="minorHAnsi"/>
          <w:color w:val="000000"/>
          <w:sz w:val="22"/>
          <w:szCs w:val="22"/>
        </w:rPr>
        <w:t xml:space="preserve"> December 2011 and </w:t>
      </w:r>
      <w:r w:rsidR="00FB50D4" w:rsidRPr="00762DD5">
        <w:rPr>
          <w:rFonts w:asciiTheme="minorHAnsi" w:hAnsiTheme="minorHAnsi"/>
          <w:color w:val="000000"/>
          <w:sz w:val="22"/>
          <w:szCs w:val="22"/>
        </w:rPr>
        <w:t xml:space="preserve">focused on </w:t>
      </w:r>
      <w:r w:rsidR="006F1883">
        <w:rPr>
          <w:rFonts w:asciiTheme="minorHAnsi" w:hAnsiTheme="minorHAnsi"/>
          <w:color w:val="000000"/>
          <w:sz w:val="22"/>
          <w:szCs w:val="22"/>
        </w:rPr>
        <w:t xml:space="preserve">the results of </w:t>
      </w:r>
      <w:r w:rsidR="00DF1BBD">
        <w:rPr>
          <w:rFonts w:asciiTheme="minorHAnsi" w:hAnsiTheme="minorHAnsi"/>
          <w:color w:val="000000"/>
          <w:sz w:val="22"/>
          <w:szCs w:val="22"/>
        </w:rPr>
        <w:t xml:space="preserve">an </w:t>
      </w:r>
      <w:bookmarkStart w:id="0" w:name="_GoBack"/>
      <w:bookmarkEnd w:id="0"/>
      <w:r w:rsidR="00DF1BBD">
        <w:rPr>
          <w:rFonts w:asciiTheme="minorHAnsi" w:hAnsiTheme="minorHAnsi"/>
          <w:color w:val="000000"/>
          <w:sz w:val="22"/>
          <w:szCs w:val="22"/>
        </w:rPr>
        <w:t xml:space="preserve">assessment of </w:t>
      </w:r>
      <w:r w:rsidR="00FB50D4" w:rsidRPr="00762DD5">
        <w:rPr>
          <w:rFonts w:asciiTheme="minorHAnsi" w:hAnsiTheme="minorHAnsi"/>
          <w:color w:val="000000"/>
          <w:sz w:val="22"/>
          <w:szCs w:val="22"/>
        </w:rPr>
        <w:t xml:space="preserve">systems, frameworks and processes for infectious diseases within CDC. </w:t>
      </w:r>
      <w:r w:rsidR="00017080" w:rsidRPr="00762DD5">
        <w:rPr>
          <w:rFonts w:asciiTheme="minorHAnsi" w:hAnsiTheme="minorHAnsi"/>
          <w:color w:val="000000"/>
          <w:sz w:val="22"/>
          <w:szCs w:val="22"/>
        </w:rPr>
        <w:t xml:space="preserve">The </w:t>
      </w:r>
      <w:r w:rsidR="00B35C17">
        <w:rPr>
          <w:rFonts w:asciiTheme="minorHAnsi" w:hAnsiTheme="minorHAnsi"/>
          <w:color w:val="000000"/>
          <w:sz w:val="22"/>
          <w:szCs w:val="22"/>
        </w:rPr>
        <w:t>report from the second panel was issued in April 201</w:t>
      </w:r>
      <w:r w:rsidR="006F1883">
        <w:rPr>
          <w:rFonts w:asciiTheme="minorHAnsi" w:hAnsiTheme="minorHAnsi"/>
          <w:color w:val="000000"/>
          <w:sz w:val="22"/>
          <w:szCs w:val="22"/>
        </w:rPr>
        <w:t>3 and focused on the results of a review of</w:t>
      </w:r>
      <w:r w:rsidR="00FB50D4" w:rsidRPr="00762DD5">
        <w:rPr>
          <w:rFonts w:asciiTheme="minorHAnsi" w:hAnsiTheme="minorHAnsi"/>
          <w:color w:val="000000"/>
          <w:sz w:val="22"/>
          <w:szCs w:val="22"/>
        </w:rPr>
        <w:t xml:space="preserve"> state and local systems, frameworks and processes for reportable conditions and for submission of information on notifiable infectious diseases to CDC.</w:t>
      </w:r>
      <w:r w:rsidR="009717F1" w:rsidRPr="00762DD5">
        <w:rPr>
          <w:rFonts w:asciiTheme="minorHAnsi" w:hAnsiTheme="minorHAnsi"/>
          <w:color w:val="000000"/>
          <w:sz w:val="22"/>
          <w:szCs w:val="22"/>
        </w:rPr>
        <w:t xml:space="preserve"> </w:t>
      </w:r>
      <w:r w:rsidR="005B12B8" w:rsidRPr="00762DD5">
        <w:rPr>
          <w:rFonts w:asciiTheme="minorHAnsi" w:hAnsiTheme="minorHAnsi"/>
          <w:sz w:val="22"/>
          <w:szCs w:val="22"/>
        </w:rPr>
        <w:t>External c</w:t>
      </w:r>
      <w:r w:rsidR="00CF2B72" w:rsidRPr="00762DD5">
        <w:rPr>
          <w:rFonts w:asciiTheme="minorHAnsi" w:hAnsiTheme="minorHAnsi"/>
          <w:sz w:val="22"/>
          <w:szCs w:val="22"/>
        </w:rPr>
        <w:t xml:space="preserve">onsultants </w:t>
      </w:r>
      <w:r w:rsidR="00233487" w:rsidRPr="00762DD5">
        <w:rPr>
          <w:rFonts w:asciiTheme="minorHAnsi" w:hAnsiTheme="minorHAnsi"/>
          <w:sz w:val="22"/>
          <w:szCs w:val="22"/>
        </w:rPr>
        <w:t>to th</w:t>
      </w:r>
      <w:r w:rsidR="0020706B" w:rsidRPr="00762DD5">
        <w:rPr>
          <w:rFonts w:asciiTheme="minorHAnsi" w:hAnsiTheme="minorHAnsi"/>
          <w:sz w:val="22"/>
          <w:szCs w:val="22"/>
        </w:rPr>
        <w:t>e second</w:t>
      </w:r>
      <w:r w:rsidR="00233487" w:rsidRPr="00762DD5">
        <w:rPr>
          <w:rFonts w:asciiTheme="minorHAnsi" w:hAnsiTheme="minorHAnsi"/>
          <w:sz w:val="22"/>
          <w:szCs w:val="22"/>
        </w:rPr>
        <w:t xml:space="preserve"> indepen</w:t>
      </w:r>
      <w:r w:rsidR="00A32F98">
        <w:rPr>
          <w:rFonts w:asciiTheme="minorHAnsi" w:hAnsiTheme="minorHAnsi"/>
          <w:sz w:val="22"/>
          <w:szCs w:val="22"/>
        </w:rPr>
        <w:t xml:space="preserve">dent external peer review panel, conducted by CSTE, </w:t>
      </w:r>
      <w:r w:rsidR="00CF2B72" w:rsidRPr="00762DD5">
        <w:rPr>
          <w:rFonts w:asciiTheme="minorHAnsi" w:hAnsiTheme="minorHAnsi"/>
          <w:sz w:val="22"/>
          <w:szCs w:val="22"/>
        </w:rPr>
        <w:t>are listed in the attachment</w:t>
      </w:r>
      <w:r w:rsidR="00B12F58">
        <w:rPr>
          <w:rFonts w:asciiTheme="minorHAnsi" w:hAnsiTheme="minorHAnsi"/>
          <w:sz w:val="22"/>
          <w:szCs w:val="22"/>
        </w:rPr>
        <w:t xml:space="preserve"> </w:t>
      </w:r>
      <w:r w:rsidR="00CF2B72" w:rsidRPr="00FF55BF">
        <w:rPr>
          <w:rFonts w:asciiTheme="minorHAnsi" w:hAnsiTheme="minorHAnsi"/>
          <w:b/>
          <w:color w:val="000000"/>
          <w:sz w:val="22"/>
          <w:szCs w:val="22"/>
        </w:rPr>
        <w:t>[</w:t>
      </w:r>
      <w:r w:rsidR="00A16387" w:rsidRPr="00FF55BF">
        <w:rPr>
          <w:rFonts w:asciiTheme="minorHAnsi" w:hAnsiTheme="minorHAnsi"/>
          <w:b/>
          <w:color w:val="000000"/>
          <w:sz w:val="22"/>
          <w:szCs w:val="22"/>
        </w:rPr>
        <w:t xml:space="preserve">Attachment </w:t>
      </w:r>
      <w:r w:rsidR="00610801">
        <w:rPr>
          <w:rFonts w:asciiTheme="minorHAnsi" w:hAnsiTheme="minorHAnsi"/>
          <w:b/>
          <w:color w:val="000000"/>
          <w:sz w:val="22"/>
          <w:szCs w:val="22"/>
        </w:rPr>
        <w:t>9</w:t>
      </w:r>
      <w:r w:rsidR="00A16387" w:rsidRPr="00FF55BF">
        <w:rPr>
          <w:rFonts w:asciiTheme="minorHAnsi" w:hAnsiTheme="minorHAnsi"/>
          <w:b/>
          <w:color w:val="000000"/>
          <w:sz w:val="22"/>
          <w:szCs w:val="22"/>
        </w:rPr>
        <w:t>. Consultant</w:t>
      </w:r>
      <w:r w:rsidR="00A02926" w:rsidRPr="00FF55BF">
        <w:rPr>
          <w:rFonts w:asciiTheme="minorHAnsi" w:hAnsiTheme="minorHAnsi"/>
          <w:b/>
          <w:color w:val="000000"/>
          <w:sz w:val="22"/>
          <w:szCs w:val="22"/>
        </w:rPr>
        <w:t>s</w:t>
      </w:r>
      <w:r w:rsidR="00233487" w:rsidRPr="00FF55BF">
        <w:rPr>
          <w:rFonts w:asciiTheme="minorHAnsi" w:hAnsiTheme="minorHAnsi"/>
          <w:b/>
          <w:color w:val="000000"/>
          <w:sz w:val="22"/>
          <w:szCs w:val="22"/>
        </w:rPr>
        <w:t xml:space="preserve"> </w:t>
      </w:r>
      <w:r w:rsidR="00A16387" w:rsidRPr="00FF55BF">
        <w:rPr>
          <w:rFonts w:asciiTheme="minorHAnsi" w:hAnsiTheme="minorHAnsi"/>
          <w:b/>
          <w:color w:val="000000"/>
          <w:sz w:val="22"/>
          <w:szCs w:val="22"/>
        </w:rPr>
        <w:t>List]</w:t>
      </w:r>
      <w:r w:rsidR="00CE31EB" w:rsidRPr="00FF55BF">
        <w:rPr>
          <w:rFonts w:asciiTheme="minorHAnsi" w:hAnsiTheme="minorHAnsi"/>
          <w:color w:val="000000"/>
          <w:sz w:val="22"/>
          <w:szCs w:val="22"/>
        </w:rPr>
        <w:t>.</w:t>
      </w:r>
    </w:p>
    <w:p w14:paraId="4728AC95" w14:textId="77777777" w:rsidR="008512E0" w:rsidRDefault="008512E0" w:rsidP="00925656">
      <w:pPr>
        <w:spacing w:line="360" w:lineRule="auto"/>
        <w:rPr>
          <w:rFonts w:asciiTheme="minorHAnsi" w:hAnsiTheme="minorHAnsi"/>
          <w:b/>
          <w:color w:val="000000"/>
          <w:sz w:val="22"/>
          <w:szCs w:val="22"/>
        </w:rPr>
      </w:pPr>
    </w:p>
    <w:p w14:paraId="7E71A29F" w14:textId="77777777"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A.9. </w:t>
      </w:r>
      <w:r w:rsidR="00AB64D2" w:rsidRPr="00FF55BF">
        <w:rPr>
          <w:rFonts w:asciiTheme="minorHAnsi" w:hAnsiTheme="minorHAnsi"/>
          <w:b/>
          <w:sz w:val="22"/>
          <w:szCs w:val="22"/>
          <w:u w:val="single"/>
        </w:rPr>
        <w:t>Explanation of Any Payment or Gift to Respondents</w:t>
      </w:r>
    </w:p>
    <w:p w14:paraId="6878AD70" w14:textId="77777777" w:rsidR="009135CB" w:rsidRPr="00FF55BF" w:rsidRDefault="008F0291"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There are no payments or gifts provided to respondents. </w:t>
      </w:r>
    </w:p>
    <w:p w14:paraId="78A28F4E" w14:textId="77777777" w:rsidR="008F0291" w:rsidRPr="00FF55BF" w:rsidRDefault="008F0291" w:rsidP="00925656">
      <w:pPr>
        <w:spacing w:line="360" w:lineRule="auto"/>
        <w:rPr>
          <w:rFonts w:asciiTheme="minorHAnsi" w:hAnsiTheme="minorHAnsi"/>
          <w:color w:val="000000"/>
          <w:sz w:val="22"/>
          <w:szCs w:val="22"/>
        </w:rPr>
      </w:pPr>
    </w:p>
    <w:p w14:paraId="0F609993" w14:textId="4ACEF77F" w:rsidR="00F123D7" w:rsidRPr="00FF55BF" w:rsidRDefault="00F123D7"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A.10. </w:t>
      </w:r>
      <w:r w:rsidR="00AC07CA" w:rsidRPr="00AC07CA">
        <w:rPr>
          <w:rFonts w:asciiTheme="minorHAnsi" w:hAnsiTheme="minorHAnsi"/>
          <w:b/>
          <w:sz w:val="22"/>
          <w:szCs w:val="22"/>
          <w:u w:val="single"/>
        </w:rPr>
        <w:t>Protection of the Privacy and Confidentiality of Information Provided by Respondents</w:t>
      </w:r>
    </w:p>
    <w:p w14:paraId="07F06829" w14:textId="53B7FD78" w:rsidR="00BB56A6" w:rsidRDefault="00395D33" w:rsidP="00925656">
      <w:pPr>
        <w:spacing w:line="360" w:lineRule="auto"/>
        <w:rPr>
          <w:rFonts w:asciiTheme="minorHAnsi" w:hAnsiTheme="minorHAnsi"/>
          <w:sz w:val="22"/>
          <w:szCs w:val="22"/>
        </w:rPr>
      </w:pPr>
      <w:r w:rsidRPr="00395D33">
        <w:rPr>
          <w:rFonts w:asciiTheme="minorHAnsi" w:hAnsiTheme="minorHAnsi"/>
          <w:color w:val="000000"/>
          <w:sz w:val="22"/>
          <w:szCs w:val="22"/>
        </w:rPr>
        <w:t xml:space="preserve">NNDSS data are </w:t>
      </w:r>
      <w:r w:rsidR="00312E71">
        <w:rPr>
          <w:rFonts w:asciiTheme="minorHAnsi" w:hAnsiTheme="minorHAnsi"/>
          <w:color w:val="000000"/>
          <w:sz w:val="22"/>
          <w:szCs w:val="22"/>
        </w:rPr>
        <w:t xml:space="preserve">stored in </w:t>
      </w:r>
      <w:r>
        <w:rPr>
          <w:rFonts w:asciiTheme="minorHAnsi" w:hAnsiTheme="minorHAnsi"/>
          <w:color w:val="000000"/>
          <w:sz w:val="22"/>
          <w:szCs w:val="22"/>
        </w:rPr>
        <w:t xml:space="preserve">multiple information systems </w:t>
      </w:r>
      <w:r w:rsidR="00312E71">
        <w:rPr>
          <w:rFonts w:asciiTheme="minorHAnsi" w:hAnsiTheme="minorHAnsi"/>
          <w:color w:val="000000"/>
          <w:sz w:val="22"/>
          <w:szCs w:val="22"/>
        </w:rPr>
        <w:t>at CDC</w:t>
      </w:r>
      <w:r w:rsidR="00685547">
        <w:rPr>
          <w:rFonts w:asciiTheme="minorHAnsi" w:hAnsiTheme="minorHAnsi"/>
          <w:color w:val="000000"/>
          <w:sz w:val="22"/>
          <w:szCs w:val="22"/>
        </w:rPr>
        <w:t>.</w:t>
      </w:r>
      <w:r w:rsidR="00E15FDB">
        <w:rPr>
          <w:rFonts w:asciiTheme="minorHAnsi" w:hAnsiTheme="minorHAnsi"/>
          <w:color w:val="000000"/>
          <w:sz w:val="22"/>
          <w:szCs w:val="22"/>
        </w:rPr>
        <w:t xml:space="preserve"> </w:t>
      </w:r>
      <w:r w:rsidR="000811E5" w:rsidRPr="000811E5">
        <w:rPr>
          <w:rFonts w:asciiTheme="minorHAnsi" w:hAnsiTheme="minorHAnsi"/>
          <w:color w:val="000000"/>
          <w:sz w:val="22"/>
          <w:szCs w:val="22"/>
        </w:rPr>
        <w:t xml:space="preserve">The systems at CDC that store case notification data include the following: Data Warehouse (DW), Message Validation, Processing, and Provisioning System (MVPS), Botulism Database </w:t>
      </w:r>
      <w:r w:rsidR="000811E5">
        <w:rPr>
          <w:rFonts w:asciiTheme="minorHAnsi" w:hAnsiTheme="minorHAnsi"/>
          <w:color w:val="000000"/>
          <w:sz w:val="22"/>
          <w:szCs w:val="22"/>
        </w:rPr>
        <w:t>(</w:t>
      </w:r>
      <w:r w:rsidR="000811E5" w:rsidRPr="000811E5">
        <w:rPr>
          <w:rFonts w:asciiTheme="minorHAnsi" w:hAnsiTheme="minorHAnsi"/>
          <w:color w:val="000000"/>
          <w:sz w:val="22"/>
          <w:szCs w:val="22"/>
        </w:rPr>
        <w:t>BOT</w:t>
      </w:r>
      <w:r w:rsidR="000811E5">
        <w:rPr>
          <w:rFonts w:asciiTheme="minorHAnsi" w:hAnsiTheme="minorHAnsi"/>
          <w:color w:val="000000"/>
          <w:sz w:val="22"/>
          <w:szCs w:val="22"/>
        </w:rPr>
        <w:t>)</w:t>
      </w:r>
      <w:r w:rsidR="000811E5" w:rsidRPr="000811E5">
        <w:rPr>
          <w:rFonts w:asciiTheme="minorHAnsi" w:hAnsiTheme="minorHAnsi"/>
          <w:color w:val="000000"/>
          <w:sz w:val="22"/>
          <w:szCs w:val="22"/>
        </w:rPr>
        <w:t>, Laboratory based Enteric Disease Surveillance (LEDS), National West Nile Surveillance System (</w:t>
      </w:r>
      <w:proofErr w:type="spellStart"/>
      <w:r w:rsidR="000811E5" w:rsidRPr="000811E5">
        <w:rPr>
          <w:rFonts w:asciiTheme="minorHAnsi" w:hAnsiTheme="minorHAnsi"/>
          <w:color w:val="000000"/>
          <w:sz w:val="22"/>
          <w:szCs w:val="22"/>
        </w:rPr>
        <w:t>ArboNET</w:t>
      </w:r>
      <w:proofErr w:type="spellEnd"/>
      <w:r w:rsidR="000811E5" w:rsidRPr="000811E5">
        <w:rPr>
          <w:rFonts w:asciiTheme="minorHAnsi" w:hAnsiTheme="minorHAnsi"/>
          <w:color w:val="000000"/>
          <w:sz w:val="22"/>
          <w:szCs w:val="22"/>
        </w:rPr>
        <w:t xml:space="preserve">), Cholera and Other Vibrio Illness Surveillance System </w:t>
      </w:r>
      <w:r w:rsidR="000811E5">
        <w:rPr>
          <w:rFonts w:asciiTheme="minorHAnsi" w:hAnsiTheme="minorHAnsi"/>
          <w:color w:val="000000"/>
          <w:sz w:val="22"/>
          <w:szCs w:val="22"/>
        </w:rPr>
        <w:t>(</w:t>
      </w:r>
      <w:r w:rsidR="000811E5" w:rsidRPr="000811E5">
        <w:rPr>
          <w:rFonts w:asciiTheme="minorHAnsi" w:hAnsiTheme="minorHAnsi"/>
          <w:color w:val="000000"/>
          <w:sz w:val="22"/>
          <w:szCs w:val="22"/>
        </w:rPr>
        <w:t>COVIS</w:t>
      </w:r>
      <w:r w:rsidR="000811E5">
        <w:rPr>
          <w:rFonts w:asciiTheme="minorHAnsi" w:hAnsiTheme="minorHAnsi"/>
          <w:color w:val="000000"/>
          <w:sz w:val="22"/>
          <w:szCs w:val="22"/>
        </w:rPr>
        <w:t>)</w:t>
      </w:r>
      <w:r w:rsidR="000811E5" w:rsidRPr="000811E5">
        <w:rPr>
          <w:rFonts w:asciiTheme="minorHAnsi" w:hAnsiTheme="minorHAnsi"/>
          <w:color w:val="000000"/>
          <w:sz w:val="22"/>
          <w:szCs w:val="22"/>
        </w:rPr>
        <w:t xml:space="preserve">, and </w:t>
      </w:r>
      <w:proofErr w:type="spellStart"/>
      <w:r w:rsidR="000811E5" w:rsidRPr="000811E5">
        <w:rPr>
          <w:rFonts w:asciiTheme="minorHAnsi" w:hAnsiTheme="minorHAnsi"/>
          <w:color w:val="000000"/>
          <w:sz w:val="22"/>
          <w:szCs w:val="22"/>
        </w:rPr>
        <w:t>STDNet</w:t>
      </w:r>
      <w:proofErr w:type="spellEnd"/>
      <w:r w:rsidR="000811E5" w:rsidRPr="000811E5">
        <w:rPr>
          <w:rFonts w:asciiTheme="minorHAnsi" w:hAnsiTheme="minorHAnsi"/>
          <w:color w:val="000000"/>
          <w:sz w:val="22"/>
          <w:szCs w:val="22"/>
        </w:rPr>
        <w:t>.</w:t>
      </w:r>
      <w:r w:rsidR="000811E5">
        <w:rPr>
          <w:rFonts w:asciiTheme="minorHAnsi" w:hAnsiTheme="minorHAnsi"/>
          <w:color w:val="000000"/>
          <w:sz w:val="22"/>
          <w:szCs w:val="22"/>
        </w:rPr>
        <w:t xml:space="preserve"> </w:t>
      </w:r>
      <w:r w:rsidR="00E15FDB">
        <w:rPr>
          <w:rFonts w:asciiTheme="minorHAnsi" w:hAnsiTheme="minorHAnsi"/>
          <w:color w:val="000000"/>
          <w:sz w:val="22"/>
          <w:szCs w:val="22"/>
        </w:rPr>
        <w:t>T</w:t>
      </w:r>
      <w:r w:rsidR="00F123D7" w:rsidRPr="00FF55BF">
        <w:rPr>
          <w:rFonts w:asciiTheme="minorHAnsi" w:hAnsiTheme="minorHAnsi"/>
          <w:color w:val="000000"/>
          <w:sz w:val="22"/>
          <w:szCs w:val="22"/>
        </w:rPr>
        <w:t>he Privacy Act is applicable</w:t>
      </w:r>
      <w:r>
        <w:rPr>
          <w:rFonts w:asciiTheme="minorHAnsi" w:hAnsiTheme="minorHAnsi"/>
          <w:color w:val="000000"/>
          <w:sz w:val="22"/>
          <w:szCs w:val="22"/>
        </w:rPr>
        <w:t xml:space="preserve"> to some of these information systems as noted on the</w:t>
      </w:r>
      <w:r w:rsidR="003B29D6">
        <w:rPr>
          <w:rFonts w:asciiTheme="minorHAnsi" w:hAnsiTheme="minorHAnsi"/>
          <w:color w:val="000000"/>
          <w:sz w:val="22"/>
          <w:szCs w:val="22"/>
        </w:rPr>
        <w:t>ir</w:t>
      </w:r>
      <w:r>
        <w:rPr>
          <w:rFonts w:asciiTheme="minorHAnsi" w:hAnsiTheme="minorHAnsi"/>
          <w:color w:val="000000"/>
          <w:sz w:val="22"/>
          <w:szCs w:val="22"/>
        </w:rPr>
        <w:t xml:space="preserve"> Privacy Impact Assessments </w:t>
      </w:r>
      <w:r w:rsidR="00E15FDB">
        <w:rPr>
          <w:rFonts w:asciiTheme="minorHAnsi" w:hAnsiTheme="minorHAnsi"/>
          <w:color w:val="000000"/>
          <w:sz w:val="22"/>
          <w:szCs w:val="22"/>
        </w:rPr>
        <w:t>(PIAs)</w:t>
      </w:r>
      <w:r w:rsidR="00312E71">
        <w:rPr>
          <w:rFonts w:asciiTheme="minorHAnsi" w:hAnsiTheme="minorHAnsi"/>
          <w:color w:val="000000"/>
          <w:sz w:val="22"/>
          <w:szCs w:val="22"/>
        </w:rPr>
        <w:t xml:space="preserve"> </w:t>
      </w:r>
      <w:r w:rsidR="00F53309" w:rsidRPr="00F53309">
        <w:rPr>
          <w:rFonts w:asciiTheme="minorHAnsi" w:hAnsiTheme="minorHAnsi"/>
          <w:b/>
          <w:color w:val="000000"/>
          <w:sz w:val="22"/>
          <w:szCs w:val="22"/>
        </w:rPr>
        <w:t>[</w:t>
      </w:r>
      <w:r w:rsidR="003B29D6" w:rsidRPr="00F53309">
        <w:rPr>
          <w:rFonts w:asciiTheme="minorHAnsi" w:hAnsiTheme="minorHAnsi"/>
          <w:b/>
          <w:color w:val="000000"/>
          <w:sz w:val="22"/>
          <w:szCs w:val="22"/>
        </w:rPr>
        <w:t>Attachments 1</w:t>
      </w:r>
      <w:r w:rsidR="0036001D" w:rsidRPr="00F53309">
        <w:rPr>
          <w:rFonts w:asciiTheme="minorHAnsi" w:hAnsiTheme="minorHAnsi"/>
          <w:b/>
          <w:color w:val="000000"/>
          <w:sz w:val="22"/>
          <w:szCs w:val="22"/>
        </w:rPr>
        <w:t>0</w:t>
      </w:r>
      <w:r w:rsidR="003B29D6" w:rsidRPr="00F53309">
        <w:rPr>
          <w:rFonts w:asciiTheme="minorHAnsi" w:hAnsiTheme="minorHAnsi"/>
          <w:b/>
          <w:color w:val="000000"/>
          <w:sz w:val="22"/>
          <w:szCs w:val="22"/>
        </w:rPr>
        <w:t xml:space="preserve"> through 1</w:t>
      </w:r>
      <w:r w:rsidR="0036001D" w:rsidRPr="00F53309">
        <w:rPr>
          <w:rFonts w:asciiTheme="minorHAnsi" w:hAnsiTheme="minorHAnsi"/>
          <w:b/>
          <w:color w:val="000000"/>
          <w:sz w:val="22"/>
          <w:szCs w:val="22"/>
        </w:rPr>
        <w:t>6</w:t>
      </w:r>
      <w:r w:rsidR="00F53309" w:rsidRPr="00F53309">
        <w:rPr>
          <w:rFonts w:asciiTheme="minorHAnsi" w:hAnsiTheme="minorHAnsi"/>
          <w:b/>
          <w:color w:val="000000"/>
          <w:sz w:val="22"/>
          <w:szCs w:val="22"/>
        </w:rPr>
        <w:t>]</w:t>
      </w:r>
      <w:r w:rsidR="00F123D7" w:rsidRPr="00FF55BF">
        <w:rPr>
          <w:rFonts w:asciiTheme="minorHAnsi" w:hAnsiTheme="minorHAnsi"/>
          <w:color w:val="000000"/>
          <w:sz w:val="22"/>
          <w:szCs w:val="22"/>
        </w:rPr>
        <w:t xml:space="preserve">.  The </w:t>
      </w:r>
      <w:r w:rsidR="00F123D7" w:rsidRPr="00FF55BF">
        <w:rPr>
          <w:rFonts w:asciiTheme="minorHAnsi" w:hAnsiTheme="minorHAnsi"/>
          <w:sz w:val="22"/>
          <w:szCs w:val="22"/>
        </w:rPr>
        <w:t>Privacy Act System of Records Notice</w:t>
      </w:r>
      <w:r w:rsidR="00124F5C">
        <w:rPr>
          <w:rFonts w:asciiTheme="minorHAnsi" w:hAnsiTheme="minorHAnsi"/>
          <w:sz w:val="22"/>
          <w:szCs w:val="22"/>
        </w:rPr>
        <w:t xml:space="preserve"> </w:t>
      </w:r>
      <w:r w:rsidR="00726C78">
        <w:rPr>
          <w:rFonts w:asciiTheme="minorHAnsi" w:hAnsiTheme="minorHAnsi"/>
          <w:sz w:val="22"/>
          <w:szCs w:val="22"/>
        </w:rPr>
        <w:t xml:space="preserve">(SORN) </w:t>
      </w:r>
      <w:r w:rsidR="00F123D7" w:rsidRPr="00FF55BF">
        <w:rPr>
          <w:rFonts w:asciiTheme="minorHAnsi" w:hAnsiTheme="minorHAnsi"/>
          <w:sz w:val="22"/>
          <w:szCs w:val="22"/>
        </w:rPr>
        <w:t>09</w:t>
      </w:r>
      <w:r w:rsidR="00283AD3">
        <w:rPr>
          <w:rFonts w:asciiTheme="minorHAnsi" w:hAnsiTheme="minorHAnsi"/>
          <w:sz w:val="22"/>
          <w:szCs w:val="22"/>
        </w:rPr>
        <w:t>-</w:t>
      </w:r>
      <w:r w:rsidR="00F123D7" w:rsidRPr="00FF55BF">
        <w:rPr>
          <w:rFonts w:asciiTheme="minorHAnsi" w:hAnsiTheme="minorHAnsi"/>
          <w:sz w:val="22"/>
          <w:szCs w:val="22"/>
        </w:rPr>
        <w:t xml:space="preserve">20-0136 </w:t>
      </w:r>
      <w:r w:rsidR="00FF302D" w:rsidRPr="00FF55BF">
        <w:rPr>
          <w:rFonts w:asciiTheme="minorHAnsi" w:hAnsiTheme="minorHAnsi"/>
          <w:sz w:val="22"/>
          <w:szCs w:val="22"/>
        </w:rPr>
        <w:t>“Epidemiologic Studies and Surveillance of Disease Problems”</w:t>
      </w:r>
      <w:r w:rsidR="00124F5C">
        <w:rPr>
          <w:rFonts w:asciiTheme="minorHAnsi" w:hAnsiTheme="minorHAnsi"/>
          <w:sz w:val="22"/>
          <w:szCs w:val="22"/>
        </w:rPr>
        <w:t xml:space="preserve"> </w:t>
      </w:r>
      <w:r w:rsidR="00726C78">
        <w:rPr>
          <w:rFonts w:asciiTheme="minorHAnsi" w:hAnsiTheme="minorHAnsi"/>
          <w:sz w:val="22"/>
          <w:szCs w:val="22"/>
        </w:rPr>
        <w:t xml:space="preserve">is noted in the PIA </w:t>
      </w:r>
      <w:r w:rsidR="003B29D6">
        <w:rPr>
          <w:rFonts w:asciiTheme="minorHAnsi" w:hAnsiTheme="minorHAnsi"/>
          <w:sz w:val="22"/>
          <w:szCs w:val="22"/>
        </w:rPr>
        <w:t xml:space="preserve">for </w:t>
      </w:r>
      <w:r w:rsidR="00726C78" w:rsidRPr="00726C78">
        <w:rPr>
          <w:rFonts w:asciiTheme="minorHAnsi" w:hAnsiTheme="minorHAnsi"/>
          <w:sz w:val="22"/>
          <w:szCs w:val="22"/>
        </w:rPr>
        <w:t>COVIS</w:t>
      </w:r>
      <w:r w:rsidR="00312E71">
        <w:rPr>
          <w:rFonts w:asciiTheme="minorHAnsi" w:hAnsiTheme="minorHAnsi"/>
          <w:sz w:val="22"/>
          <w:szCs w:val="22"/>
        </w:rPr>
        <w:t>.</w:t>
      </w:r>
      <w:r w:rsidR="00726C78">
        <w:rPr>
          <w:rFonts w:asciiTheme="minorHAnsi" w:hAnsiTheme="minorHAnsi"/>
          <w:sz w:val="22"/>
          <w:szCs w:val="22"/>
        </w:rPr>
        <w:t xml:space="preserve"> The SORN</w:t>
      </w:r>
      <w:r w:rsidR="00124F5C">
        <w:rPr>
          <w:rFonts w:asciiTheme="minorHAnsi" w:hAnsiTheme="minorHAnsi"/>
          <w:sz w:val="22"/>
          <w:szCs w:val="22"/>
        </w:rPr>
        <w:t xml:space="preserve"> </w:t>
      </w:r>
      <w:r w:rsidR="00283AD3" w:rsidRPr="00283AD3">
        <w:rPr>
          <w:rFonts w:asciiTheme="minorHAnsi" w:hAnsiTheme="minorHAnsi"/>
          <w:sz w:val="22"/>
          <w:szCs w:val="22"/>
        </w:rPr>
        <w:t xml:space="preserve">09-20-0113 </w:t>
      </w:r>
      <w:r w:rsidR="00283AD3">
        <w:rPr>
          <w:rFonts w:asciiTheme="minorHAnsi" w:hAnsiTheme="minorHAnsi"/>
          <w:sz w:val="22"/>
          <w:szCs w:val="22"/>
        </w:rPr>
        <w:t>“</w:t>
      </w:r>
      <w:r w:rsidR="00283AD3" w:rsidRPr="00283AD3">
        <w:rPr>
          <w:rFonts w:asciiTheme="minorHAnsi" w:hAnsiTheme="minorHAnsi"/>
          <w:sz w:val="22"/>
          <w:szCs w:val="22"/>
        </w:rPr>
        <w:t>Epidemic Investigation Case Records</w:t>
      </w:r>
      <w:r w:rsidR="00283AD3">
        <w:rPr>
          <w:rFonts w:asciiTheme="minorHAnsi" w:hAnsiTheme="minorHAnsi"/>
          <w:sz w:val="22"/>
          <w:szCs w:val="22"/>
        </w:rPr>
        <w:t>”</w:t>
      </w:r>
      <w:r w:rsidR="004D5848">
        <w:rPr>
          <w:rFonts w:asciiTheme="minorHAnsi" w:hAnsiTheme="minorHAnsi"/>
          <w:sz w:val="22"/>
          <w:szCs w:val="22"/>
        </w:rPr>
        <w:t xml:space="preserve"> </w:t>
      </w:r>
      <w:r w:rsidR="004A491E">
        <w:rPr>
          <w:rFonts w:asciiTheme="minorHAnsi" w:hAnsiTheme="minorHAnsi"/>
          <w:sz w:val="22"/>
          <w:szCs w:val="22"/>
        </w:rPr>
        <w:t xml:space="preserve">is noted in the PIA </w:t>
      </w:r>
      <w:r w:rsidR="003B29D6">
        <w:rPr>
          <w:rFonts w:asciiTheme="minorHAnsi" w:hAnsiTheme="minorHAnsi"/>
          <w:sz w:val="22"/>
          <w:szCs w:val="22"/>
        </w:rPr>
        <w:t xml:space="preserve">for </w:t>
      </w:r>
      <w:r w:rsidR="004A491E" w:rsidRPr="004A491E">
        <w:rPr>
          <w:rFonts w:asciiTheme="minorHAnsi" w:hAnsiTheme="minorHAnsi"/>
          <w:sz w:val="22"/>
          <w:szCs w:val="22"/>
        </w:rPr>
        <w:t>BOT</w:t>
      </w:r>
      <w:r w:rsidR="004A491E">
        <w:rPr>
          <w:rFonts w:asciiTheme="minorHAnsi" w:hAnsiTheme="minorHAnsi"/>
          <w:sz w:val="22"/>
          <w:szCs w:val="22"/>
        </w:rPr>
        <w:t xml:space="preserve">. </w:t>
      </w:r>
      <w:r w:rsidR="00AE2BDD">
        <w:rPr>
          <w:rFonts w:asciiTheme="minorHAnsi" w:hAnsiTheme="minorHAnsi"/>
          <w:sz w:val="22"/>
          <w:szCs w:val="22"/>
        </w:rPr>
        <w:t>P</w:t>
      </w:r>
      <w:r w:rsidR="000B0B17" w:rsidRPr="00FF55BF">
        <w:rPr>
          <w:rFonts w:asciiTheme="minorHAnsi" w:hAnsiTheme="minorHAnsi"/>
          <w:sz w:val="22"/>
          <w:szCs w:val="22"/>
        </w:rPr>
        <w:t xml:space="preserve">rivate personally identifiable information </w:t>
      </w:r>
      <w:r w:rsidR="00EB1FA5">
        <w:rPr>
          <w:rFonts w:asciiTheme="minorHAnsi" w:hAnsiTheme="minorHAnsi"/>
          <w:sz w:val="22"/>
          <w:szCs w:val="22"/>
        </w:rPr>
        <w:t xml:space="preserve">(PII) </w:t>
      </w:r>
      <w:r w:rsidR="000B0B17" w:rsidRPr="00FF55BF">
        <w:rPr>
          <w:rFonts w:asciiTheme="minorHAnsi" w:hAnsiTheme="minorHAnsi"/>
          <w:sz w:val="22"/>
          <w:szCs w:val="22"/>
        </w:rPr>
        <w:t>is collected</w:t>
      </w:r>
      <w:r w:rsidR="00EB1FA5">
        <w:rPr>
          <w:rFonts w:asciiTheme="minorHAnsi" w:hAnsiTheme="minorHAnsi"/>
          <w:sz w:val="22"/>
          <w:szCs w:val="22"/>
        </w:rPr>
        <w:t xml:space="preserve"> and </w:t>
      </w:r>
      <w:r w:rsidR="00DF1BBD">
        <w:rPr>
          <w:rFonts w:asciiTheme="minorHAnsi" w:hAnsiTheme="minorHAnsi"/>
          <w:sz w:val="22"/>
          <w:szCs w:val="22"/>
        </w:rPr>
        <w:t xml:space="preserve">information </w:t>
      </w:r>
      <w:r w:rsidR="00EB1FA5">
        <w:rPr>
          <w:rFonts w:asciiTheme="minorHAnsi" w:hAnsiTheme="minorHAnsi"/>
          <w:sz w:val="22"/>
          <w:szCs w:val="22"/>
        </w:rPr>
        <w:t xml:space="preserve">can be retrieved by PII. </w:t>
      </w:r>
      <w:r w:rsidR="000B0B17" w:rsidRPr="00FF55BF">
        <w:rPr>
          <w:rFonts w:asciiTheme="minorHAnsi" w:hAnsiTheme="minorHAnsi"/>
          <w:sz w:val="22"/>
          <w:szCs w:val="22"/>
        </w:rPr>
        <w:t xml:space="preserve">In addition, </w:t>
      </w:r>
      <w:r w:rsidR="008E33CB" w:rsidRPr="00FF55BF">
        <w:rPr>
          <w:rFonts w:asciiTheme="minorHAnsi" w:hAnsiTheme="minorHAnsi"/>
          <w:sz w:val="22"/>
          <w:szCs w:val="22"/>
        </w:rPr>
        <w:t xml:space="preserve">some combinations of submitted data elements could potentially be used to </w:t>
      </w:r>
      <w:r w:rsidR="008E33CB" w:rsidRPr="00FF55BF">
        <w:rPr>
          <w:rFonts w:asciiTheme="minorHAnsi" w:hAnsiTheme="minorHAnsi"/>
          <w:sz w:val="22"/>
          <w:szCs w:val="22"/>
        </w:rPr>
        <w:lastRenderedPageBreak/>
        <w:t xml:space="preserve">identify individuals.  </w:t>
      </w:r>
      <w:r w:rsidR="004D5848" w:rsidRPr="004D5848">
        <w:rPr>
          <w:rFonts w:asciiTheme="minorHAnsi" w:hAnsiTheme="minorHAnsi"/>
          <w:sz w:val="22"/>
          <w:szCs w:val="22"/>
        </w:rPr>
        <w:t>Private information will not be disclosed unless otherwise compelled by law.</w:t>
      </w:r>
      <w:r w:rsidR="00312E71">
        <w:rPr>
          <w:rFonts w:asciiTheme="minorHAnsi" w:hAnsiTheme="minorHAnsi"/>
          <w:sz w:val="22"/>
          <w:szCs w:val="22"/>
        </w:rPr>
        <w:t xml:space="preserve"> </w:t>
      </w:r>
      <w:r w:rsidR="00312E71" w:rsidRPr="00312E71">
        <w:rPr>
          <w:rFonts w:asciiTheme="minorHAnsi" w:hAnsiTheme="minorHAnsi"/>
          <w:sz w:val="22"/>
          <w:szCs w:val="22"/>
        </w:rPr>
        <w:t xml:space="preserve">No assurance of confidentiality has been obtained.  </w:t>
      </w:r>
    </w:p>
    <w:p w14:paraId="21ABA0E0" w14:textId="77777777" w:rsidR="00685547" w:rsidRDefault="00685547" w:rsidP="00DA2A31">
      <w:pPr>
        <w:spacing w:line="360" w:lineRule="auto"/>
        <w:rPr>
          <w:rFonts w:asciiTheme="minorHAnsi" w:hAnsiTheme="minorHAnsi"/>
          <w:color w:val="000000"/>
          <w:sz w:val="22"/>
          <w:szCs w:val="22"/>
        </w:rPr>
      </w:pPr>
    </w:p>
    <w:p w14:paraId="2F03ECAB" w14:textId="1ACFC8D1" w:rsidR="00E81A0A" w:rsidRDefault="00A22F34" w:rsidP="00DA2A31">
      <w:pPr>
        <w:spacing w:line="360" w:lineRule="auto"/>
        <w:rPr>
          <w:rFonts w:asciiTheme="minorHAnsi" w:hAnsiTheme="minorHAnsi"/>
          <w:color w:val="000000"/>
          <w:sz w:val="22"/>
          <w:szCs w:val="22"/>
        </w:rPr>
      </w:pPr>
      <w:r>
        <w:rPr>
          <w:rFonts w:asciiTheme="minorHAnsi" w:hAnsiTheme="minorHAnsi"/>
          <w:color w:val="000000"/>
          <w:sz w:val="22"/>
          <w:szCs w:val="22"/>
        </w:rPr>
        <w:t xml:space="preserve">Case notifications include </w:t>
      </w:r>
      <w:r w:rsidR="00B71511">
        <w:rPr>
          <w:rFonts w:asciiTheme="minorHAnsi" w:hAnsiTheme="minorHAnsi"/>
          <w:color w:val="000000"/>
          <w:sz w:val="22"/>
          <w:szCs w:val="22"/>
        </w:rPr>
        <w:t xml:space="preserve">demographic, </w:t>
      </w:r>
      <w:r w:rsidR="00FE78EE">
        <w:rPr>
          <w:rFonts w:asciiTheme="minorHAnsi" w:hAnsiTheme="minorHAnsi"/>
          <w:color w:val="000000"/>
          <w:sz w:val="22"/>
          <w:szCs w:val="22"/>
        </w:rPr>
        <w:t xml:space="preserve">epidemiologic, </w:t>
      </w:r>
      <w:r w:rsidR="00B71511">
        <w:rPr>
          <w:rFonts w:asciiTheme="minorHAnsi" w:hAnsiTheme="minorHAnsi"/>
          <w:color w:val="000000"/>
          <w:sz w:val="22"/>
          <w:szCs w:val="22"/>
        </w:rPr>
        <w:t>administrative,</w:t>
      </w:r>
      <w:r w:rsidR="00FE78EE">
        <w:rPr>
          <w:rFonts w:asciiTheme="minorHAnsi" w:hAnsiTheme="minorHAnsi"/>
          <w:color w:val="000000"/>
          <w:sz w:val="22"/>
          <w:szCs w:val="22"/>
        </w:rPr>
        <w:t xml:space="preserve"> vaccine, laboratory and dise</w:t>
      </w:r>
      <w:r w:rsidR="001C6604">
        <w:rPr>
          <w:rFonts w:asciiTheme="minorHAnsi" w:hAnsiTheme="minorHAnsi"/>
          <w:color w:val="000000"/>
          <w:sz w:val="22"/>
          <w:szCs w:val="22"/>
        </w:rPr>
        <w:t>a</w:t>
      </w:r>
      <w:r w:rsidR="00FE78EE">
        <w:rPr>
          <w:rFonts w:asciiTheme="minorHAnsi" w:hAnsiTheme="minorHAnsi"/>
          <w:color w:val="000000"/>
          <w:sz w:val="22"/>
          <w:szCs w:val="22"/>
        </w:rPr>
        <w:t>se-specific d</w:t>
      </w:r>
      <w:r>
        <w:rPr>
          <w:rFonts w:asciiTheme="minorHAnsi" w:hAnsiTheme="minorHAnsi"/>
          <w:color w:val="000000"/>
          <w:sz w:val="22"/>
          <w:szCs w:val="22"/>
        </w:rPr>
        <w:t xml:space="preserve">ata </w:t>
      </w:r>
      <w:r w:rsidR="00143F0B">
        <w:rPr>
          <w:rFonts w:asciiTheme="minorHAnsi" w:hAnsiTheme="minorHAnsi"/>
          <w:color w:val="000000"/>
          <w:sz w:val="22"/>
          <w:szCs w:val="22"/>
        </w:rPr>
        <w:t>related to</w:t>
      </w:r>
      <w:r>
        <w:rPr>
          <w:rFonts w:asciiTheme="minorHAnsi" w:hAnsiTheme="minorHAnsi"/>
          <w:color w:val="000000"/>
          <w:sz w:val="22"/>
          <w:szCs w:val="22"/>
        </w:rPr>
        <w:t xml:space="preserve"> </w:t>
      </w:r>
      <w:r w:rsidR="00B71511">
        <w:rPr>
          <w:rFonts w:asciiTheme="minorHAnsi" w:hAnsiTheme="minorHAnsi"/>
          <w:color w:val="000000"/>
          <w:sz w:val="22"/>
          <w:szCs w:val="22"/>
        </w:rPr>
        <w:t>a case of a nationally notifiable condition.</w:t>
      </w:r>
      <w:r>
        <w:rPr>
          <w:rFonts w:asciiTheme="minorHAnsi" w:hAnsiTheme="minorHAnsi"/>
          <w:color w:val="000000"/>
          <w:sz w:val="22"/>
          <w:szCs w:val="22"/>
        </w:rPr>
        <w:t xml:space="preserve"> </w:t>
      </w:r>
      <w:r w:rsidR="00E81A0A" w:rsidRPr="00E81A0A">
        <w:rPr>
          <w:rFonts w:asciiTheme="minorHAnsi" w:hAnsiTheme="minorHAnsi"/>
          <w:color w:val="000000"/>
          <w:sz w:val="22"/>
          <w:szCs w:val="22"/>
        </w:rPr>
        <w:t xml:space="preserve">The security of private information during electronic transmission to NNDSS is maintained by technologies (computers and servers) that use national public health standards for messaging systems which provide security mechanisms for jurisdictions to use when submitting data. Most case records are encrypted and submitted to NNDSS electronically from already existing databases via automated electronic transfers through a secure network. Electronic data are transmitted to and securely processed at CDC.  Once in DHIS, the electronic data are treated in a secure manner consistent with the technical, administrative, and operational controls required by the Federal Information Security Management Act of 2002 (FISMA). These DHIS systems are also in compliance with more recent standards to protect information: the NIST Recommended Security Controls for Federal Information Systems and Organizations, Special Publication 800-53, Revised May 1, 2010. When electronic transmission is not possible or when public health departments prefer, weekly case counts are provided by telephone, fax, mail, and email, primarily to meet weekly deadlines for publication in the </w:t>
      </w:r>
      <w:r w:rsidR="00E81A0A" w:rsidRPr="00030B89">
        <w:rPr>
          <w:rFonts w:asciiTheme="minorHAnsi" w:hAnsiTheme="minorHAnsi"/>
          <w:i/>
          <w:color w:val="000000"/>
          <w:sz w:val="22"/>
          <w:szCs w:val="22"/>
        </w:rPr>
        <w:t>MMWR</w:t>
      </w:r>
      <w:r w:rsidR="00E81A0A" w:rsidRPr="00E81A0A">
        <w:rPr>
          <w:rFonts w:asciiTheme="minorHAnsi" w:hAnsiTheme="minorHAnsi"/>
          <w:color w:val="000000"/>
          <w:sz w:val="22"/>
          <w:szCs w:val="22"/>
        </w:rPr>
        <w:t>.</w:t>
      </w:r>
    </w:p>
    <w:p w14:paraId="449B1A63" w14:textId="77777777" w:rsidR="00E81A0A" w:rsidRDefault="00E81A0A" w:rsidP="00DA2A31">
      <w:pPr>
        <w:spacing w:line="360" w:lineRule="auto"/>
        <w:rPr>
          <w:rFonts w:asciiTheme="minorHAnsi" w:hAnsiTheme="minorHAnsi"/>
          <w:color w:val="000000"/>
          <w:sz w:val="22"/>
          <w:szCs w:val="22"/>
        </w:rPr>
      </w:pPr>
    </w:p>
    <w:p w14:paraId="0D501FA2" w14:textId="77777777" w:rsidR="00910CFD" w:rsidRDefault="00DA2A31" w:rsidP="00B04F04">
      <w:pPr>
        <w:spacing w:line="360" w:lineRule="auto"/>
        <w:rPr>
          <w:rFonts w:asciiTheme="minorHAnsi" w:hAnsiTheme="minorHAnsi"/>
          <w:color w:val="000000"/>
          <w:sz w:val="22"/>
          <w:szCs w:val="22"/>
        </w:rPr>
      </w:pPr>
      <w:r w:rsidRPr="00AF7AB6">
        <w:rPr>
          <w:rFonts w:asciiTheme="minorHAnsi" w:hAnsiTheme="minorHAnsi"/>
          <w:color w:val="000000"/>
          <w:sz w:val="22"/>
          <w:szCs w:val="22"/>
        </w:rPr>
        <w:t xml:space="preserve">For </w:t>
      </w:r>
      <w:r>
        <w:rPr>
          <w:rFonts w:asciiTheme="minorHAnsi" w:hAnsiTheme="minorHAnsi"/>
          <w:color w:val="000000"/>
          <w:sz w:val="22"/>
          <w:szCs w:val="22"/>
        </w:rPr>
        <w:t>some</w:t>
      </w:r>
      <w:r w:rsidRPr="00AF7AB6">
        <w:rPr>
          <w:rFonts w:asciiTheme="minorHAnsi" w:hAnsiTheme="minorHAnsi"/>
          <w:color w:val="000000"/>
          <w:sz w:val="22"/>
          <w:szCs w:val="22"/>
        </w:rPr>
        <w:t xml:space="preserve"> conditions</w:t>
      </w:r>
      <w:r>
        <w:rPr>
          <w:rFonts w:asciiTheme="minorHAnsi" w:hAnsiTheme="minorHAnsi"/>
          <w:color w:val="000000"/>
          <w:sz w:val="22"/>
          <w:szCs w:val="22"/>
        </w:rPr>
        <w:t xml:space="preserve"> in NNDSS</w:t>
      </w:r>
      <w:r w:rsidRPr="00AF7AB6">
        <w:rPr>
          <w:rFonts w:asciiTheme="minorHAnsi" w:hAnsiTheme="minorHAnsi"/>
          <w:color w:val="000000"/>
          <w:sz w:val="22"/>
          <w:szCs w:val="22"/>
        </w:rPr>
        <w:t xml:space="preserve">, </w:t>
      </w:r>
      <w:r>
        <w:rPr>
          <w:rFonts w:asciiTheme="minorHAnsi" w:hAnsiTheme="minorHAnsi"/>
          <w:color w:val="000000"/>
          <w:sz w:val="22"/>
          <w:szCs w:val="22"/>
        </w:rPr>
        <w:t>CDC programs</w:t>
      </w:r>
      <w:r w:rsidRPr="00AF7AB6">
        <w:rPr>
          <w:rFonts w:asciiTheme="minorHAnsi" w:hAnsiTheme="minorHAnsi"/>
          <w:color w:val="000000"/>
          <w:sz w:val="22"/>
          <w:szCs w:val="22"/>
        </w:rPr>
        <w:t xml:space="preserve"> do not receive data electronically. </w:t>
      </w:r>
      <w:r>
        <w:rPr>
          <w:rFonts w:asciiTheme="minorHAnsi" w:hAnsiTheme="minorHAnsi"/>
          <w:color w:val="000000"/>
          <w:sz w:val="22"/>
          <w:szCs w:val="22"/>
        </w:rPr>
        <w:t>C</w:t>
      </w:r>
      <w:r w:rsidRPr="00AF7AB6">
        <w:rPr>
          <w:rFonts w:asciiTheme="minorHAnsi" w:hAnsiTheme="minorHAnsi"/>
          <w:color w:val="000000"/>
          <w:sz w:val="22"/>
          <w:szCs w:val="22"/>
        </w:rPr>
        <w:t xml:space="preserve">ase report forms are mailed or faxed to CDC by state, local and territorial health departments.  In certain circumstances, such as outbreak situations, reports are first made by telephone, and then followed by a written report.  On occasion, reports are emailed by state health departments via secure email systems. These data are entered into electronic databases. </w:t>
      </w:r>
      <w:r w:rsidR="00910CFD">
        <w:rPr>
          <w:rFonts w:asciiTheme="minorHAnsi" w:hAnsiTheme="minorHAnsi"/>
          <w:color w:val="000000"/>
          <w:sz w:val="22"/>
          <w:szCs w:val="22"/>
        </w:rPr>
        <w:t xml:space="preserve">In some instances, </w:t>
      </w:r>
      <w:r w:rsidR="00910CFD" w:rsidRPr="00910CFD">
        <w:rPr>
          <w:rFonts w:asciiTheme="minorHAnsi" w:hAnsiTheme="minorHAnsi"/>
          <w:color w:val="000000"/>
          <w:sz w:val="22"/>
          <w:szCs w:val="22"/>
        </w:rPr>
        <w:t xml:space="preserve">weekly case counts are provided by telephone, fax, mail, and email, primarily to meet weekly deadlines for publication in the </w:t>
      </w:r>
      <w:r w:rsidR="00910CFD" w:rsidRPr="00030B89">
        <w:rPr>
          <w:rFonts w:asciiTheme="minorHAnsi" w:hAnsiTheme="minorHAnsi"/>
          <w:i/>
          <w:color w:val="000000"/>
          <w:sz w:val="22"/>
          <w:szCs w:val="22"/>
        </w:rPr>
        <w:t>MMWR</w:t>
      </w:r>
      <w:r w:rsidR="00910CFD" w:rsidRPr="00910CFD">
        <w:rPr>
          <w:rFonts w:asciiTheme="minorHAnsi" w:hAnsiTheme="minorHAnsi"/>
          <w:color w:val="000000"/>
          <w:sz w:val="22"/>
          <w:szCs w:val="22"/>
        </w:rPr>
        <w:t>.</w:t>
      </w:r>
      <w:r w:rsidR="00B04F04">
        <w:rPr>
          <w:rFonts w:asciiTheme="minorHAnsi" w:hAnsiTheme="minorHAnsi"/>
          <w:color w:val="000000"/>
          <w:sz w:val="22"/>
          <w:szCs w:val="22"/>
        </w:rPr>
        <w:t xml:space="preserve"> </w:t>
      </w:r>
      <w:r w:rsidR="00E81A0A" w:rsidRPr="00E81A0A">
        <w:rPr>
          <w:rFonts w:asciiTheme="minorHAnsi" w:hAnsiTheme="minorHAnsi"/>
          <w:color w:val="000000"/>
          <w:sz w:val="22"/>
          <w:szCs w:val="22"/>
        </w:rPr>
        <w:t xml:space="preserve">All hard copy materials are stored in locked cabinets in restricted access areas in buildings that require card key access. </w:t>
      </w:r>
    </w:p>
    <w:p w14:paraId="55DA5142" w14:textId="77777777" w:rsidR="00910CFD" w:rsidRDefault="00910CFD" w:rsidP="00DA2A31">
      <w:pPr>
        <w:spacing w:line="360" w:lineRule="auto"/>
        <w:rPr>
          <w:rFonts w:asciiTheme="minorHAnsi" w:hAnsiTheme="minorHAnsi"/>
          <w:color w:val="000000"/>
          <w:sz w:val="22"/>
          <w:szCs w:val="22"/>
        </w:rPr>
      </w:pPr>
    </w:p>
    <w:p w14:paraId="336C2ECA" w14:textId="77777777" w:rsidR="00FC70C0" w:rsidRDefault="006178B5"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As noted in A.2 above, f</w:t>
      </w:r>
      <w:r w:rsidR="001A6032" w:rsidRPr="00FF55BF">
        <w:rPr>
          <w:rFonts w:asciiTheme="minorHAnsi" w:hAnsiTheme="minorHAnsi"/>
          <w:color w:val="000000"/>
          <w:sz w:val="22"/>
          <w:szCs w:val="22"/>
        </w:rPr>
        <w:t xml:space="preserve">or certain nationally notifiable conditions, CDC releases national data to the public through CDC’s web-based query system known as </w:t>
      </w:r>
      <w:r w:rsidR="00931178">
        <w:rPr>
          <w:rFonts w:asciiTheme="minorHAnsi" w:hAnsiTheme="minorHAnsi"/>
          <w:color w:val="000000"/>
          <w:sz w:val="22"/>
          <w:szCs w:val="22"/>
        </w:rPr>
        <w:t xml:space="preserve">CDC </w:t>
      </w:r>
      <w:r w:rsidR="001A6032" w:rsidRPr="00FF55BF">
        <w:rPr>
          <w:rFonts w:asciiTheme="minorHAnsi" w:hAnsiTheme="minorHAnsi"/>
          <w:color w:val="000000"/>
          <w:sz w:val="22"/>
          <w:szCs w:val="22"/>
        </w:rPr>
        <w:t>WONDER (</w:t>
      </w:r>
      <w:hyperlink r:id="rId19" w:history="1">
        <w:r w:rsidR="000F79EF" w:rsidRPr="00D47D16">
          <w:rPr>
            <w:rStyle w:val="Hyperlink"/>
            <w:rFonts w:asciiTheme="minorHAnsi" w:hAnsiTheme="minorHAnsi"/>
            <w:sz w:val="22"/>
            <w:szCs w:val="22"/>
          </w:rPr>
          <w:t>http://wonder.cdc.gov/</w:t>
        </w:r>
      </w:hyperlink>
      <w:r w:rsidR="007322C2">
        <w:rPr>
          <w:rFonts w:asciiTheme="minorHAnsi" w:hAnsiTheme="minorHAnsi"/>
          <w:sz w:val="22"/>
          <w:szCs w:val="22"/>
        </w:rPr>
        <w:t xml:space="preserve">. NNDSS data are also published on Data.CDC.gov </w:t>
      </w:r>
      <w:r w:rsidR="007322C2" w:rsidRPr="007322C2">
        <w:rPr>
          <w:rFonts w:asciiTheme="minorHAnsi" w:hAnsiTheme="minorHAnsi"/>
          <w:sz w:val="22"/>
          <w:szCs w:val="22"/>
        </w:rPr>
        <w:t>(</w:t>
      </w:r>
      <w:hyperlink r:id="rId20" w:history="1">
        <w:r w:rsidR="007322C2" w:rsidRPr="00D47D16">
          <w:rPr>
            <w:rStyle w:val="Hyperlink"/>
            <w:rFonts w:asciiTheme="minorHAnsi" w:hAnsiTheme="minorHAnsi"/>
            <w:sz w:val="22"/>
            <w:szCs w:val="22"/>
          </w:rPr>
          <w:t>https://data.cdc.gov/</w:t>
        </w:r>
      </w:hyperlink>
      <w:r w:rsidR="007322C2" w:rsidRPr="007322C2">
        <w:rPr>
          <w:rFonts w:asciiTheme="minorHAnsi" w:hAnsiTheme="minorHAnsi"/>
          <w:sz w:val="22"/>
          <w:szCs w:val="22"/>
        </w:rPr>
        <w:t>)</w:t>
      </w:r>
      <w:r w:rsidR="007322C2">
        <w:rPr>
          <w:rFonts w:asciiTheme="minorHAnsi" w:hAnsiTheme="minorHAnsi"/>
          <w:sz w:val="22"/>
          <w:szCs w:val="22"/>
        </w:rPr>
        <w:t xml:space="preserve"> and </w:t>
      </w:r>
      <w:r w:rsidR="00551166">
        <w:rPr>
          <w:rFonts w:asciiTheme="minorHAnsi" w:hAnsiTheme="minorHAnsi"/>
          <w:color w:val="000000"/>
          <w:sz w:val="22"/>
          <w:szCs w:val="22"/>
        </w:rPr>
        <w:t>DATA.GOV</w:t>
      </w:r>
      <w:r w:rsidR="007322C2">
        <w:rPr>
          <w:rFonts w:asciiTheme="minorHAnsi" w:hAnsiTheme="minorHAnsi"/>
          <w:color w:val="000000"/>
          <w:sz w:val="22"/>
          <w:szCs w:val="22"/>
        </w:rPr>
        <w:t xml:space="preserve"> (</w:t>
      </w:r>
      <w:hyperlink r:id="rId21" w:history="1">
        <w:r w:rsidR="007322C2" w:rsidRPr="00D47D16">
          <w:rPr>
            <w:rStyle w:val="Hyperlink"/>
            <w:rFonts w:asciiTheme="minorHAnsi" w:hAnsiTheme="minorHAnsi"/>
            <w:sz w:val="22"/>
            <w:szCs w:val="22"/>
          </w:rPr>
          <w:t>http://www.data.gov/</w:t>
        </w:r>
      </w:hyperlink>
      <w:r w:rsidR="007322C2">
        <w:rPr>
          <w:rFonts w:asciiTheme="minorHAnsi" w:hAnsiTheme="minorHAnsi"/>
          <w:color w:val="000000"/>
          <w:sz w:val="22"/>
          <w:szCs w:val="22"/>
        </w:rPr>
        <w:t>)</w:t>
      </w:r>
      <w:r w:rsidR="000F79EF">
        <w:rPr>
          <w:rFonts w:asciiTheme="minorHAnsi" w:hAnsiTheme="minorHAnsi"/>
          <w:color w:val="000000"/>
          <w:sz w:val="22"/>
          <w:szCs w:val="22"/>
        </w:rPr>
        <w:t>.</w:t>
      </w:r>
      <w:r w:rsidR="00F741FD">
        <w:rPr>
          <w:rFonts w:asciiTheme="minorHAnsi" w:hAnsiTheme="minorHAnsi"/>
          <w:color w:val="000000"/>
          <w:sz w:val="22"/>
          <w:szCs w:val="22"/>
        </w:rPr>
        <w:t xml:space="preserve"> P</w:t>
      </w:r>
      <w:r w:rsidR="001670C3" w:rsidRPr="00FF55BF">
        <w:rPr>
          <w:rFonts w:asciiTheme="minorHAnsi" w:hAnsiTheme="minorHAnsi"/>
          <w:color w:val="000000"/>
          <w:sz w:val="22"/>
          <w:szCs w:val="22"/>
        </w:rPr>
        <w:t>rivacy is protected in a number of ways</w:t>
      </w:r>
      <w:r w:rsidR="00931178">
        <w:rPr>
          <w:rFonts w:asciiTheme="minorHAnsi" w:hAnsiTheme="minorHAnsi"/>
          <w:color w:val="000000"/>
          <w:sz w:val="22"/>
          <w:szCs w:val="22"/>
        </w:rPr>
        <w:t>.</w:t>
      </w:r>
      <w:r w:rsidR="001670C3" w:rsidRPr="00FF55BF">
        <w:rPr>
          <w:rFonts w:asciiTheme="minorHAnsi" w:hAnsiTheme="minorHAnsi"/>
          <w:color w:val="000000"/>
          <w:sz w:val="22"/>
          <w:szCs w:val="22"/>
        </w:rPr>
        <w:t xml:space="preserve">  </w:t>
      </w:r>
      <w:r w:rsidR="00931178">
        <w:rPr>
          <w:rFonts w:asciiTheme="minorHAnsi" w:hAnsiTheme="minorHAnsi"/>
          <w:color w:val="000000"/>
          <w:sz w:val="22"/>
          <w:szCs w:val="22"/>
        </w:rPr>
        <w:t xml:space="preserve">CDC </w:t>
      </w:r>
      <w:r w:rsidR="001A6032" w:rsidRPr="00FF55BF">
        <w:rPr>
          <w:rFonts w:asciiTheme="minorHAnsi" w:hAnsiTheme="minorHAnsi"/>
          <w:color w:val="000000"/>
          <w:sz w:val="22"/>
          <w:szCs w:val="22"/>
        </w:rPr>
        <w:t xml:space="preserve">WONDER </w:t>
      </w:r>
      <w:r w:rsidR="007227B6">
        <w:rPr>
          <w:rFonts w:asciiTheme="minorHAnsi" w:hAnsiTheme="minorHAnsi"/>
          <w:color w:val="000000"/>
          <w:sz w:val="22"/>
          <w:szCs w:val="22"/>
        </w:rPr>
        <w:t xml:space="preserve">and </w:t>
      </w:r>
      <w:r w:rsidR="007143F4">
        <w:rPr>
          <w:rFonts w:asciiTheme="minorHAnsi" w:hAnsiTheme="minorHAnsi"/>
          <w:color w:val="000000"/>
          <w:sz w:val="22"/>
          <w:szCs w:val="22"/>
        </w:rPr>
        <w:t>D</w:t>
      </w:r>
      <w:r w:rsidR="007227B6">
        <w:rPr>
          <w:rFonts w:asciiTheme="minorHAnsi" w:hAnsiTheme="minorHAnsi"/>
          <w:color w:val="000000"/>
          <w:sz w:val="22"/>
          <w:szCs w:val="22"/>
        </w:rPr>
        <w:t>ata.</w:t>
      </w:r>
      <w:r w:rsidR="007143F4">
        <w:rPr>
          <w:rFonts w:asciiTheme="minorHAnsi" w:hAnsiTheme="minorHAnsi"/>
          <w:color w:val="000000"/>
          <w:sz w:val="22"/>
          <w:szCs w:val="22"/>
        </w:rPr>
        <w:t>CDC</w:t>
      </w:r>
      <w:r w:rsidR="007227B6">
        <w:rPr>
          <w:rFonts w:asciiTheme="minorHAnsi" w:hAnsiTheme="minorHAnsi"/>
          <w:color w:val="000000"/>
          <w:sz w:val="22"/>
          <w:szCs w:val="22"/>
        </w:rPr>
        <w:t xml:space="preserve">.gov </w:t>
      </w:r>
      <w:r w:rsidR="001A6032" w:rsidRPr="00FF55BF">
        <w:rPr>
          <w:rFonts w:asciiTheme="minorHAnsi" w:hAnsiTheme="minorHAnsi"/>
          <w:color w:val="000000"/>
          <w:sz w:val="22"/>
          <w:szCs w:val="22"/>
        </w:rPr>
        <w:t>only provide summary statistics of aggregate data to the</w:t>
      </w:r>
      <w:r w:rsidR="00931178">
        <w:rPr>
          <w:rFonts w:asciiTheme="minorHAnsi" w:hAnsiTheme="minorHAnsi"/>
          <w:color w:val="000000"/>
          <w:sz w:val="22"/>
          <w:szCs w:val="22"/>
        </w:rPr>
        <w:t>ir</w:t>
      </w:r>
      <w:r w:rsidR="001A6032" w:rsidRPr="00FF55BF">
        <w:rPr>
          <w:rFonts w:asciiTheme="minorHAnsi" w:hAnsiTheme="minorHAnsi"/>
          <w:color w:val="000000"/>
          <w:sz w:val="22"/>
          <w:szCs w:val="22"/>
        </w:rPr>
        <w:t xml:space="preserve"> users. Data for </w:t>
      </w:r>
      <w:r w:rsidR="00FC3FD0">
        <w:rPr>
          <w:rFonts w:asciiTheme="minorHAnsi" w:hAnsiTheme="minorHAnsi"/>
          <w:color w:val="000000"/>
          <w:sz w:val="22"/>
          <w:szCs w:val="22"/>
        </w:rPr>
        <w:t xml:space="preserve">CDC </w:t>
      </w:r>
      <w:r w:rsidR="001A6032" w:rsidRPr="00FF55BF">
        <w:rPr>
          <w:rFonts w:asciiTheme="minorHAnsi" w:hAnsiTheme="minorHAnsi"/>
          <w:color w:val="000000"/>
          <w:sz w:val="22"/>
          <w:szCs w:val="22"/>
        </w:rPr>
        <w:t xml:space="preserve">WONDER are produced by CDC programs, which </w:t>
      </w:r>
      <w:r w:rsidR="001A6032" w:rsidRPr="00FF55BF">
        <w:rPr>
          <w:rFonts w:asciiTheme="minorHAnsi" w:hAnsiTheme="minorHAnsi"/>
          <w:color w:val="000000"/>
          <w:sz w:val="22"/>
          <w:szCs w:val="22"/>
        </w:rPr>
        <w:lastRenderedPageBreak/>
        <w:t xml:space="preserve">have already stripped the data of all </w:t>
      </w:r>
      <w:r w:rsidR="00CA7580">
        <w:rPr>
          <w:rFonts w:asciiTheme="minorHAnsi" w:hAnsiTheme="minorHAnsi"/>
          <w:color w:val="000000"/>
          <w:sz w:val="22"/>
          <w:szCs w:val="22"/>
        </w:rPr>
        <w:t>PII</w:t>
      </w:r>
      <w:r w:rsidR="001A6032" w:rsidRPr="00FF55BF">
        <w:rPr>
          <w:rFonts w:asciiTheme="minorHAnsi" w:hAnsiTheme="minorHAnsi"/>
          <w:color w:val="000000"/>
          <w:sz w:val="22"/>
          <w:szCs w:val="22"/>
        </w:rPr>
        <w:t xml:space="preserve"> before providing these public-use data sets to CDC WONDER.   Furthermore, CDC WONDER dynamically imposes privacy and suppression constraints on all query results sets produced by the </w:t>
      </w:r>
      <w:r w:rsidR="005A4B09">
        <w:rPr>
          <w:rFonts w:asciiTheme="minorHAnsi" w:hAnsiTheme="minorHAnsi"/>
          <w:color w:val="000000"/>
          <w:sz w:val="22"/>
          <w:szCs w:val="22"/>
        </w:rPr>
        <w:t xml:space="preserve">CDC </w:t>
      </w:r>
      <w:r w:rsidR="001A6032" w:rsidRPr="00FF55BF">
        <w:rPr>
          <w:rFonts w:asciiTheme="minorHAnsi" w:hAnsiTheme="minorHAnsi"/>
          <w:color w:val="000000"/>
          <w:sz w:val="22"/>
          <w:szCs w:val="22"/>
        </w:rPr>
        <w:t xml:space="preserve">WONDER web application, in compliance with each data set’s specific data use policy.  CDC WONDER </w:t>
      </w:r>
      <w:r w:rsidR="00931178">
        <w:rPr>
          <w:rFonts w:asciiTheme="minorHAnsi" w:hAnsiTheme="minorHAnsi"/>
          <w:color w:val="000000"/>
          <w:sz w:val="22"/>
          <w:szCs w:val="22"/>
        </w:rPr>
        <w:t>and Data.CDC.gov are</w:t>
      </w:r>
      <w:r w:rsidR="001A6032" w:rsidRPr="00FF55BF">
        <w:rPr>
          <w:rFonts w:asciiTheme="minorHAnsi" w:hAnsiTheme="minorHAnsi"/>
          <w:color w:val="000000"/>
          <w:sz w:val="22"/>
          <w:szCs w:val="22"/>
        </w:rPr>
        <w:t xml:space="preserve"> also subject to and ha</w:t>
      </w:r>
      <w:r w:rsidR="00931178">
        <w:rPr>
          <w:rFonts w:asciiTheme="minorHAnsi" w:hAnsiTheme="minorHAnsi"/>
          <w:color w:val="000000"/>
          <w:sz w:val="22"/>
          <w:szCs w:val="22"/>
        </w:rPr>
        <w:t>ve</w:t>
      </w:r>
      <w:r w:rsidR="001A6032" w:rsidRPr="00FF55BF">
        <w:rPr>
          <w:rFonts w:asciiTheme="minorHAnsi" w:hAnsiTheme="minorHAnsi"/>
          <w:color w:val="000000"/>
          <w:sz w:val="22"/>
          <w:szCs w:val="22"/>
        </w:rPr>
        <w:t xml:space="preserve"> met CDC’s Certification and Accreditation process, in which the</w:t>
      </w:r>
      <w:r w:rsidR="00931178">
        <w:rPr>
          <w:rFonts w:asciiTheme="minorHAnsi" w:hAnsiTheme="minorHAnsi"/>
          <w:color w:val="000000"/>
          <w:sz w:val="22"/>
          <w:szCs w:val="22"/>
        </w:rPr>
        <w:t xml:space="preserve"> CDC WONDER constraints</w:t>
      </w:r>
      <w:r w:rsidR="001A6032" w:rsidRPr="00FF55BF">
        <w:rPr>
          <w:rFonts w:asciiTheme="minorHAnsi" w:hAnsiTheme="minorHAnsi"/>
          <w:color w:val="000000"/>
          <w:sz w:val="22"/>
          <w:szCs w:val="22"/>
        </w:rPr>
        <w:t xml:space="preserve"> are examined and validated by the CDC’s Office of the Chief Information Security Officer</w:t>
      </w:r>
      <w:r w:rsidR="005A4B09">
        <w:rPr>
          <w:rFonts w:asciiTheme="minorHAnsi" w:hAnsiTheme="minorHAnsi"/>
          <w:color w:val="000000"/>
          <w:sz w:val="22"/>
          <w:szCs w:val="22"/>
        </w:rPr>
        <w:t xml:space="preserve"> (OCISO)</w:t>
      </w:r>
      <w:r w:rsidR="001A6032" w:rsidRPr="00FF55BF">
        <w:rPr>
          <w:rFonts w:asciiTheme="minorHAnsi" w:hAnsiTheme="minorHAnsi"/>
          <w:color w:val="000000"/>
          <w:sz w:val="22"/>
          <w:szCs w:val="22"/>
        </w:rPr>
        <w:t>.</w:t>
      </w:r>
      <w:r w:rsidR="00FC70C0">
        <w:rPr>
          <w:rFonts w:asciiTheme="minorHAnsi" w:hAnsiTheme="minorHAnsi"/>
          <w:color w:val="000000"/>
          <w:sz w:val="22"/>
          <w:szCs w:val="22"/>
        </w:rPr>
        <w:t xml:space="preserve"> </w:t>
      </w:r>
      <w:r w:rsidR="00FC3FD0">
        <w:rPr>
          <w:rFonts w:asciiTheme="minorHAnsi" w:hAnsiTheme="minorHAnsi"/>
          <w:color w:val="000000"/>
          <w:sz w:val="22"/>
          <w:szCs w:val="22"/>
        </w:rPr>
        <w:t xml:space="preserve">While there are no such constraints on NNDSS data published on </w:t>
      </w:r>
      <w:r w:rsidR="00931178">
        <w:rPr>
          <w:rFonts w:asciiTheme="minorHAnsi" w:hAnsiTheme="minorHAnsi"/>
          <w:color w:val="000000"/>
          <w:sz w:val="22"/>
          <w:szCs w:val="22"/>
        </w:rPr>
        <w:t>Data.CDC.gov</w:t>
      </w:r>
      <w:r w:rsidR="005A4B09">
        <w:rPr>
          <w:rFonts w:asciiTheme="minorHAnsi" w:hAnsiTheme="minorHAnsi"/>
          <w:color w:val="000000"/>
          <w:sz w:val="22"/>
          <w:szCs w:val="22"/>
        </w:rPr>
        <w:t xml:space="preserve">, </w:t>
      </w:r>
      <w:r w:rsidR="005A4B09" w:rsidRPr="005A4B09">
        <w:rPr>
          <w:rFonts w:asciiTheme="minorHAnsi" w:hAnsiTheme="minorHAnsi"/>
          <w:color w:val="000000"/>
          <w:sz w:val="22"/>
          <w:szCs w:val="22"/>
        </w:rPr>
        <w:t xml:space="preserve">only </w:t>
      </w:r>
      <w:r w:rsidR="005A4B09">
        <w:rPr>
          <w:rFonts w:asciiTheme="minorHAnsi" w:hAnsiTheme="minorHAnsi"/>
          <w:color w:val="000000"/>
          <w:sz w:val="22"/>
          <w:szCs w:val="22"/>
        </w:rPr>
        <w:t>p</w:t>
      </w:r>
      <w:r w:rsidR="005A4B09" w:rsidRPr="005A4B09">
        <w:rPr>
          <w:rFonts w:asciiTheme="minorHAnsi" w:hAnsiTheme="minorHAnsi"/>
          <w:color w:val="000000"/>
          <w:sz w:val="22"/>
          <w:szCs w:val="22"/>
        </w:rPr>
        <w:t>ublic use, non-PII data are uploaded</w:t>
      </w:r>
      <w:r w:rsidR="005A4B09">
        <w:rPr>
          <w:rFonts w:asciiTheme="minorHAnsi" w:hAnsiTheme="minorHAnsi"/>
          <w:color w:val="000000"/>
          <w:sz w:val="22"/>
          <w:szCs w:val="22"/>
        </w:rPr>
        <w:t xml:space="preserve"> to Data.CDC.gov per OCISO policy. </w:t>
      </w:r>
      <w:r w:rsidR="00E363E9">
        <w:rPr>
          <w:rFonts w:asciiTheme="minorHAnsi" w:hAnsiTheme="minorHAnsi"/>
          <w:color w:val="000000"/>
          <w:sz w:val="22"/>
          <w:szCs w:val="22"/>
        </w:rPr>
        <w:t xml:space="preserve">In addition, NNDSS data published on Data.CDC.gov are also published on DATA.GOV. </w:t>
      </w:r>
      <w:r w:rsidR="00FC70C0" w:rsidRPr="00FC70C0">
        <w:rPr>
          <w:rFonts w:asciiTheme="minorHAnsi" w:hAnsiTheme="minorHAnsi"/>
          <w:color w:val="000000"/>
          <w:sz w:val="22"/>
          <w:szCs w:val="22"/>
        </w:rPr>
        <w:t>Surveillance programs in OID and CGH have primary responsibility at CDC for surveillance of the infectious diseases and conditions covered by their Centers.  Programs within these Centers receive nationally notifiable infectious disease data from DHIS and use, release and/or share their programs’ data according to guidance established by CDC, their Centers and programs.</w:t>
      </w:r>
    </w:p>
    <w:p w14:paraId="6CE1642D" w14:textId="77777777" w:rsidR="00132F2F" w:rsidRPr="00FF55BF" w:rsidRDefault="00132F2F" w:rsidP="00925656">
      <w:pPr>
        <w:spacing w:line="360" w:lineRule="auto"/>
        <w:rPr>
          <w:rFonts w:asciiTheme="minorHAnsi" w:hAnsiTheme="minorHAnsi"/>
          <w:color w:val="000000"/>
          <w:sz w:val="22"/>
          <w:szCs w:val="22"/>
        </w:rPr>
      </w:pPr>
    </w:p>
    <w:p w14:paraId="1DCCF46E" w14:textId="5483BA03"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A.11. </w:t>
      </w:r>
      <w:r w:rsidR="00D53C2C" w:rsidRPr="00D53C2C">
        <w:rPr>
          <w:rFonts w:asciiTheme="minorHAnsi" w:hAnsiTheme="minorHAnsi"/>
          <w:b/>
          <w:sz w:val="22"/>
          <w:szCs w:val="22"/>
          <w:u w:val="single"/>
        </w:rPr>
        <w:t>Institutional Review Board (IRB) and Justification for Sensitive Questions</w:t>
      </w:r>
    </w:p>
    <w:p w14:paraId="3980F3D0" w14:textId="77777777" w:rsidR="00E92A1E" w:rsidRDefault="00E92A1E" w:rsidP="00925656">
      <w:pPr>
        <w:spacing w:line="360" w:lineRule="auto"/>
        <w:rPr>
          <w:rFonts w:asciiTheme="minorHAnsi" w:hAnsiTheme="minorHAnsi"/>
          <w:color w:val="000000"/>
          <w:sz w:val="22"/>
          <w:szCs w:val="22"/>
        </w:rPr>
      </w:pPr>
      <w:r>
        <w:rPr>
          <w:rFonts w:asciiTheme="minorHAnsi" w:hAnsiTheme="minorHAnsi"/>
          <w:color w:val="000000"/>
          <w:sz w:val="22"/>
          <w:szCs w:val="22"/>
        </w:rPr>
        <w:t>IRB Approval</w:t>
      </w:r>
    </w:p>
    <w:p w14:paraId="42742451" w14:textId="2A826357" w:rsidR="00E92A1E" w:rsidRDefault="00E92A1E" w:rsidP="00925656">
      <w:pPr>
        <w:spacing w:line="360" w:lineRule="auto"/>
        <w:rPr>
          <w:rFonts w:asciiTheme="minorHAnsi" w:hAnsiTheme="minorHAnsi"/>
          <w:color w:val="000000"/>
          <w:sz w:val="22"/>
          <w:szCs w:val="22"/>
        </w:rPr>
      </w:pPr>
      <w:r w:rsidRPr="00E92A1E">
        <w:rPr>
          <w:rFonts w:asciiTheme="minorHAnsi" w:hAnsiTheme="minorHAnsi"/>
          <w:color w:val="000000"/>
          <w:sz w:val="22"/>
          <w:szCs w:val="22"/>
        </w:rPr>
        <w:t xml:space="preserve">This activity does not require Institutional Review Board (IRB) documentation as this activity is public health practice (surveillance and program evaluation), not research </w:t>
      </w:r>
      <w:r w:rsidRPr="0036001D">
        <w:rPr>
          <w:rFonts w:asciiTheme="minorHAnsi" w:hAnsiTheme="minorHAnsi"/>
          <w:b/>
          <w:color w:val="000000"/>
          <w:sz w:val="22"/>
          <w:szCs w:val="22"/>
        </w:rPr>
        <w:t>[Attachment 1</w:t>
      </w:r>
      <w:r w:rsidR="0036001D" w:rsidRPr="0036001D">
        <w:rPr>
          <w:rFonts w:asciiTheme="minorHAnsi" w:hAnsiTheme="minorHAnsi"/>
          <w:b/>
          <w:color w:val="000000"/>
          <w:sz w:val="22"/>
          <w:szCs w:val="22"/>
        </w:rPr>
        <w:t>7</w:t>
      </w:r>
      <w:r w:rsidRPr="0036001D">
        <w:rPr>
          <w:rFonts w:asciiTheme="minorHAnsi" w:hAnsiTheme="minorHAnsi"/>
          <w:b/>
          <w:color w:val="000000"/>
          <w:sz w:val="22"/>
          <w:szCs w:val="22"/>
        </w:rPr>
        <w:t>. NNDSS Research Determination; Attachment 1</w:t>
      </w:r>
      <w:r w:rsidR="0036001D" w:rsidRPr="0036001D">
        <w:rPr>
          <w:rFonts w:asciiTheme="minorHAnsi" w:hAnsiTheme="minorHAnsi"/>
          <w:b/>
          <w:color w:val="000000"/>
          <w:sz w:val="22"/>
          <w:szCs w:val="22"/>
        </w:rPr>
        <w:t>8</w:t>
      </w:r>
      <w:r w:rsidRPr="0036001D">
        <w:rPr>
          <w:rFonts w:asciiTheme="minorHAnsi" w:hAnsiTheme="minorHAnsi"/>
          <w:b/>
          <w:color w:val="000000"/>
          <w:sz w:val="22"/>
          <w:szCs w:val="22"/>
        </w:rPr>
        <w:t>. OID Research Determinations]</w:t>
      </w:r>
      <w:r w:rsidRPr="00E92A1E">
        <w:rPr>
          <w:rFonts w:asciiTheme="minorHAnsi" w:hAnsiTheme="minorHAnsi"/>
          <w:color w:val="000000"/>
          <w:sz w:val="22"/>
          <w:szCs w:val="22"/>
        </w:rPr>
        <w:t>.</w:t>
      </w:r>
    </w:p>
    <w:p w14:paraId="60295008" w14:textId="77777777" w:rsidR="00E92A1E" w:rsidRDefault="00E92A1E" w:rsidP="00925656">
      <w:pPr>
        <w:spacing w:line="360" w:lineRule="auto"/>
        <w:rPr>
          <w:rFonts w:asciiTheme="minorHAnsi" w:hAnsiTheme="minorHAnsi"/>
          <w:color w:val="000000"/>
          <w:sz w:val="22"/>
          <w:szCs w:val="22"/>
        </w:rPr>
      </w:pPr>
    </w:p>
    <w:p w14:paraId="71494631" w14:textId="2316AD94" w:rsidR="00E92A1E" w:rsidRDefault="00E92A1E" w:rsidP="00925656">
      <w:pPr>
        <w:spacing w:line="360" w:lineRule="auto"/>
        <w:rPr>
          <w:rFonts w:asciiTheme="minorHAnsi" w:hAnsiTheme="minorHAnsi"/>
          <w:color w:val="000000"/>
          <w:sz w:val="22"/>
          <w:szCs w:val="22"/>
        </w:rPr>
      </w:pPr>
      <w:r>
        <w:rPr>
          <w:rFonts w:asciiTheme="minorHAnsi" w:hAnsiTheme="minorHAnsi"/>
          <w:color w:val="000000"/>
          <w:sz w:val="22"/>
          <w:szCs w:val="22"/>
        </w:rPr>
        <w:t>Sensitive Questions</w:t>
      </w:r>
    </w:p>
    <w:p w14:paraId="2633A2FC" w14:textId="5C83E1A0" w:rsidR="00E92A1E" w:rsidRPr="00E92A1E" w:rsidRDefault="00F434B4" w:rsidP="00925656">
      <w:pPr>
        <w:spacing w:line="360" w:lineRule="auto"/>
        <w:rPr>
          <w:rFonts w:asciiTheme="minorHAnsi" w:hAnsiTheme="minorHAnsi"/>
          <w:color w:val="000000"/>
          <w:sz w:val="22"/>
          <w:szCs w:val="22"/>
        </w:rPr>
      </w:pPr>
      <w:r>
        <w:rPr>
          <w:rFonts w:asciiTheme="minorHAnsi" w:hAnsiTheme="minorHAnsi"/>
          <w:color w:val="000000"/>
          <w:sz w:val="22"/>
          <w:szCs w:val="22"/>
        </w:rPr>
        <w:t xml:space="preserve">The </w:t>
      </w:r>
      <w:r w:rsidR="00563B3B" w:rsidRPr="00FF55BF">
        <w:rPr>
          <w:rFonts w:asciiTheme="minorHAnsi" w:hAnsiTheme="minorHAnsi"/>
          <w:color w:val="000000"/>
          <w:sz w:val="22"/>
          <w:szCs w:val="22"/>
        </w:rPr>
        <w:t>NNDSS does not ask questions of a sensitive nature, but</w:t>
      </w:r>
      <w:r w:rsidR="008653A9" w:rsidRPr="00FF55BF">
        <w:rPr>
          <w:rFonts w:asciiTheme="minorHAnsi" w:hAnsiTheme="minorHAnsi"/>
          <w:color w:val="000000"/>
          <w:sz w:val="22"/>
          <w:szCs w:val="22"/>
        </w:rPr>
        <w:t xml:space="preserve"> </w:t>
      </w:r>
      <w:r w:rsidR="00563B3B" w:rsidRPr="00FF55BF">
        <w:rPr>
          <w:rFonts w:asciiTheme="minorHAnsi" w:hAnsiTheme="minorHAnsi"/>
          <w:color w:val="000000"/>
          <w:sz w:val="22"/>
          <w:szCs w:val="22"/>
        </w:rPr>
        <w:t xml:space="preserve">information is </w:t>
      </w:r>
      <w:r w:rsidR="004219A8" w:rsidRPr="00FF55BF">
        <w:rPr>
          <w:rFonts w:asciiTheme="minorHAnsi" w:hAnsiTheme="minorHAnsi"/>
          <w:color w:val="000000"/>
          <w:sz w:val="22"/>
          <w:szCs w:val="22"/>
        </w:rPr>
        <w:t>submitted</w:t>
      </w:r>
      <w:r w:rsidR="00563B3B" w:rsidRPr="00FF55BF">
        <w:rPr>
          <w:rFonts w:asciiTheme="minorHAnsi" w:hAnsiTheme="minorHAnsi"/>
          <w:color w:val="000000"/>
          <w:sz w:val="22"/>
          <w:szCs w:val="22"/>
        </w:rPr>
        <w:t xml:space="preserve"> about sensitive topics, including whether a patient has sexually transmitted diseases and </w:t>
      </w:r>
      <w:r w:rsidR="0014112F" w:rsidRPr="00FF55BF">
        <w:rPr>
          <w:rFonts w:asciiTheme="minorHAnsi" w:hAnsiTheme="minorHAnsi"/>
          <w:color w:val="000000"/>
          <w:sz w:val="22"/>
          <w:szCs w:val="22"/>
        </w:rPr>
        <w:t>sexual and drug-using behaviors</w:t>
      </w:r>
      <w:r w:rsidR="00563B3B" w:rsidRPr="00FF55BF">
        <w:rPr>
          <w:rFonts w:asciiTheme="minorHAnsi" w:hAnsiTheme="minorHAnsi"/>
          <w:color w:val="000000"/>
          <w:sz w:val="22"/>
          <w:szCs w:val="22"/>
        </w:rPr>
        <w:t xml:space="preserve">. </w:t>
      </w:r>
      <w:r w:rsidR="00550B2C" w:rsidRPr="00FF55BF">
        <w:rPr>
          <w:rFonts w:asciiTheme="minorHAnsi" w:hAnsiTheme="minorHAnsi"/>
          <w:color w:val="000000"/>
          <w:sz w:val="22"/>
          <w:szCs w:val="22"/>
        </w:rPr>
        <w:t xml:space="preserve"> </w:t>
      </w:r>
      <w:r>
        <w:rPr>
          <w:rFonts w:asciiTheme="minorHAnsi" w:hAnsiTheme="minorHAnsi"/>
          <w:color w:val="000000"/>
          <w:sz w:val="22"/>
          <w:szCs w:val="22"/>
        </w:rPr>
        <w:t xml:space="preserve">The </w:t>
      </w:r>
      <w:r w:rsidR="00563B3B" w:rsidRPr="00FF55BF">
        <w:rPr>
          <w:rFonts w:asciiTheme="minorHAnsi" w:hAnsiTheme="minorHAnsi"/>
          <w:color w:val="000000"/>
          <w:sz w:val="22"/>
          <w:szCs w:val="22"/>
        </w:rPr>
        <w:t>NNDSS must</w:t>
      </w:r>
      <w:r w:rsidR="004219A8" w:rsidRPr="00FF55BF">
        <w:rPr>
          <w:rFonts w:asciiTheme="minorHAnsi" w:hAnsiTheme="minorHAnsi"/>
          <w:color w:val="000000"/>
          <w:sz w:val="22"/>
          <w:szCs w:val="22"/>
        </w:rPr>
        <w:t xml:space="preserve"> receive</w:t>
      </w:r>
      <w:r w:rsidR="00563B3B" w:rsidRPr="00FF55BF">
        <w:rPr>
          <w:rFonts w:asciiTheme="minorHAnsi" w:hAnsiTheme="minorHAnsi"/>
          <w:color w:val="000000"/>
          <w:sz w:val="22"/>
          <w:szCs w:val="22"/>
        </w:rPr>
        <w:t xml:space="preserve"> information about sensitive notifiable diseases in order </w:t>
      </w:r>
      <w:r w:rsidR="00660024" w:rsidRPr="00FF55BF">
        <w:rPr>
          <w:rFonts w:asciiTheme="minorHAnsi" w:hAnsiTheme="minorHAnsi"/>
          <w:color w:val="000000"/>
          <w:sz w:val="22"/>
          <w:szCs w:val="22"/>
        </w:rPr>
        <w:t xml:space="preserve">to monitor the </w:t>
      </w:r>
      <w:r w:rsidR="00563B3B" w:rsidRPr="00FF55BF">
        <w:rPr>
          <w:rFonts w:asciiTheme="minorHAnsi" w:hAnsiTheme="minorHAnsi"/>
          <w:color w:val="000000"/>
          <w:sz w:val="22"/>
          <w:szCs w:val="22"/>
        </w:rPr>
        <w:t xml:space="preserve">occurrence of the diseases </w:t>
      </w:r>
      <w:r w:rsidR="00660024" w:rsidRPr="00FF55BF">
        <w:rPr>
          <w:rFonts w:asciiTheme="minorHAnsi" w:hAnsiTheme="minorHAnsi"/>
          <w:color w:val="000000"/>
          <w:sz w:val="22"/>
          <w:szCs w:val="22"/>
        </w:rPr>
        <w:t xml:space="preserve">so that </w:t>
      </w:r>
      <w:r w:rsidR="00563B3B" w:rsidRPr="00FF55BF">
        <w:rPr>
          <w:rFonts w:asciiTheme="minorHAnsi" w:hAnsiTheme="minorHAnsi"/>
          <w:color w:val="000000"/>
          <w:sz w:val="22"/>
          <w:szCs w:val="22"/>
        </w:rPr>
        <w:t xml:space="preserve">effective prevention and control programs </w:t>
      </w:r>
      <w:r w:rsidR="00660024" w:rsidRPr="00FF55BF">
        <w:rPr>
          <w:rFonts w:asciiTheme="minorHAnsi" w:hAnsiTheme="minorHAnsi"/>
          <w:color w:val="000000"/>
          <w:sz w:val="22"/>
          <w:szCs w:val="22"/>
        </w:rPr>
        <w:t xml:space="preserve">can be </w:t>
      </w:r>
      <w:r w:rsidR="00F119A0" w:rsidRPr="00FF55BF">
        <w:rPr>
          <w:rFonts w:asciiTheme="minorHAnsi" w:hAnsiTheme="minorHAnsi"/>
          <w:color w:val="000000"/>
          <w:sz w:val="22"/>
          <w:szCs w:val="22"/>
        </w:rPr>
        <w:t xml:space="preserve">planned and </w:t>
      </w:r>
      <w:r w:rsidR="00660024" w:rsidRPr="00FF55BF">
        <w:rPr>
          <w:rFonts w:asciiTheme="minorHAnsi" w:hAnsiTheme="minorHAnsi"/>
          <w:color w:val="000000"/>
          <w:sz w:val="22"/>
          <w:szCs w:val="22"/>
        </w:rPr>
        <w:t>implemented.</w:t>
      </w:r>
      <w:r w:rsidR="00563B3B" w:rsidRPr="00FF55BF">
        <w:rPr>
          <w:rFonts w:asciiTheme="minorHAnsi" w:hAnsiTheme="minorHAnsi"/>
          <w:color w:val="000000"/>
          <w:sz w:val="22"/>
          <w:szCs w:val="22"/>
        </w:rPr>
        <w:t xml:space="preserve">  </w:t>
      </w:r>
    </w:p>
    <w:p w14:paraId="102DCE68" w14:textId="77777777" w:rsidR="00B23E76" w:rsidRDefault="00B23E76" w:rsidP="00925656">
      <w:pPr>
        <w:spacing w:line="360" w:lineRule="auto"/>
        <w:rPr>
          <w:rFonts w:asciiTheme="minorHAnsi" w:hAnsiTheme="minorHAnsi"/>
          <w:b/>
          <w:color w:val="0000FF"/>
          <w:sz w:val="22"/>
          <w:szCs w:val="22"/>
        </w:rPr>
      </w:pPr>
    </w:p>
    <w:p w14:paraId="485438BC" w14:textId="77777777" w:rsidR="003F592D" w:rsidRPr="00FF55BF" w:rsidRDefault="003F592D" w:rsidP="00925656">
      <w:pPr>
        <w:spacing w:line="360" w:lineRule="auto"/>
        <w:rPr>
          <w:rFonts w:asciiTheme="minorHAnsi" w:hAnsiTheme="minorHAnsi"/>
          <w:b/>
          <w:color w:val="000000"/>
          <w:sz w:val="22"/>
          <w:szCs w:val="22"/>
          <w:u w:val="single"/>
        </w:rPr>
      </w:pPr>
      <w:r w:rsidRPr="00FF55BF">
        <w:rPr>
          <w:rFonts w:asciiTheme="minorHAnsi" w:hAnsiTheme="minorHAnsi"/>
          <w:b/>
          <w:color w:val="000000"/>
          <w:sz w:val="22"/>
          <w:szCs w:val="22"/>
        </w:rPr>
        <w:t xml:space="preserve">A.12. </w:t>
      </w:r>
      <w:r w:rsidRPr="00FF55BF">
        <w:rPr>
          <w:rFonts w:asciiTheme="minorHAnsi" w:hAnsiTheme="minorHAnsi"/>
          <w:b/>
          <w:color w:val="000000"/>
          <w:sz w:val="22"/>
          <w:szCs w:val="22"/>
          <w:u w:val="single"/>
        </w:rPr>
        <w:t>Estimates of Annualized Burden Hours and Costs</w:t>
      </w:r>
      <w:r w:rsidR="00232DD7" w:rsidRPr="00FF55BF">
        <w:rPr>
          <w:rFonts w:asciiTheme="minorHAnsi" w:hAnsiTheme="minorHAnsi"/>
          <w:b/>
          <w:color w:val="000000"/>
          <w:sz w:val="22"/>
          <w:szCs w:val="22"/>
          <w:u w:val="single"/>
        </w:rPr>
        <w:t xml:space="preserve"> </w:t>
      </w:r>
    </w:p>
    <w:p w14:paraId="62114CAD" w14:textId="77777777" w:rsidR="004B4C46" w:rsidRDefault="00C2062A" w:rsidP="00925656">
      <w:pPr>
        <w:spacing w:line="360" w:lineRule="auto"/>
        <w:rPr>
          <w:rFonts w:asciiTheme="minorHAnsi" w:hAnsiTheme="minorHAnsi"/>
          <w:sz w:val="22"/>
          <w:szCs w:val="22"/>
        </w:rPr>
      </w:pPr>
      <w:r w:rsidRPr="00C2062A">
        <w:rPr>
          <w:rFonts w:asciiTheme="minorHAnsi" w:hAnsiTheme="minorHAnsi"/>
          <w:sz w:val="22"/>
          <w:szCs w:val="22"/>
        </w:rPr>
        <w:t xml:space="preserve">As stated in A.1 above, this application consolidates Control No. 0920-0128, parts of 0819, 0009, and 0004, into Control No. 0920-0728. Fifty-seven (57) reporting jurisdiction (50 states, 5 territories, and 2 cities) submit data to NNDSS on a weekly basis. </w:t>
      </w:r>
      <w:r w:rsidR="009D39F1">
        <w:rPr>
          <w:rFonts w:asciiTheme="minorHAnsi" w:hAnsiTheme="minorHAnsi"/>
          <w:sz w:val="22"/>
          <w:szCs w:val="22"/>
        </w:rPr>
        <w:t>The average burden per response is b</w:t>
      </w:r>
      <w:r w:rsidR="007F5199">
        <w:rPr>
          <w:rFonts w:asciiTheme="minorHAnsi" w:hAnsiTheme="minorHAnsi"/>
          <w:sz w:val="22"/>
          <w:szCs w:val="22"/>
        </w:rPr>
        <w:t>ased on the burden tables from a</w:t>
      </w:r>
      <w:r>
        <w:rPr>
          <w:rFonts w:asciiTheme="minorHAnsi" w:hAnsiTheme="minorHAnsi"/>
          <w:sz w:val="22"/>
          <w:szCs w:val="22"/>
        </w:rPr>
        <w:t>ll of the consolidated applications</w:t>
      </w:r>
      <w:r w:rsidR="003A5343">
        <w:rPr>
          <w:rFonts w:asciiTheme="minorHAnsi" w:hAnsiTheme="minorHAnsi"/>
          <w:sz w:val="22"/>
          <w:szCs w:val="22"/>
        </w:rPr>
        <w:t xml:space="preserve"> and has not changed</w:t>
      </w:r>
      <w:r w:rsidR="009D39F1">
        <w:rPr>
          <w:rFonts w:asciiTheme="minorHAnsi" w:hAnsiTheme="minorHAnsi"/>
          <w:sz w:val="22"/>
          <w:szCs w:val="22"/>
        </w:rPr>
        <w:t>. T</w:t>
      </w:r>
      <w:r w:rsidRPr="00C2062A">
        <w:rPr>
          <w:rFonts w:asciiTheme="minorHAnsi" w:hAnsiTheme="minorHAnsi"/>
          <w:sz w:val="22"/>
          <w:szCs w:val="22"/>
        </w:rPr>
        <w:t>he burden on the states and cities is estimated to be 10 hours per response</w:t>
      </w:r>
      <w:r w:rsidR="009D39F1">
        <w:rPr>
          <w:rFonts w:asciiTheme="minorHAnsi" w:hAnsiTheme="minorHAnsi"/>
          <w:sz w:val="22"/>
          <w:szCs w:val="22"/>
        </w:rPr>
        <w:t xml:space="preserve"> and</w:t>
      </w:r>
      <w:r w:rsidRPr="00C2062A">
        <w:rPr>
          <w:rFonts w:asciiTheme="minorHAnsi" w:hAnsiTheme="minorHAnsi"/>
          <w:sz w:val="22"/>
          <w:szCs w:val="22"/>
        </w:rPr>
        <w:t xml:space="preserve"> the burden on the territories is estimated to be </w:t>
      </w:r>
      <w:r w:rsidRPr="00C2062A">
        <w:rPr>
          <w:rFonts w:asciiTheme="minorHAnsi" w:hAnsiTheme="minorHAnsi"/>
          <w:sz w:val="22"/>
          <w:szCs w:val="22"/>
        </w:rPr>
        <w:lastRenderedPageBreak/>
        <w:t>5 hours per response</w:t>
      </w:r>
      <w:r w:rsidR="009D39F1">
        <w:rPr>
          <w:rFonts w:asciiTheme="minorHAnsi" w:hAnsiTheme="minorHAnsi"/>
          <w:sz w:val="22"/>
          <w:szCs w:val="22"/>
        </w:rPr>
        <w:t>.</w:t>
      </w:r>
      <w:r w:rsidR="004B4C46">
        <w:rPr>
          <w:rFonts w:asciiTheme="minorHAnsi" w:hAnsiTheme="minorHAnsi"/>
          <w:sz w:val="22"/>
          <w:szCs w:val="22"/>
        </w:rPr>
        <w:t xml:space="preserve"> </w:t>
      </w:r>
      <w:r w:rsidR="008413E5">
        <w:rPr>
          <w:rFonts w:asciiTheme="minorHAnsi" w:hAnsiTheme="minorHAnsi"/>
          <w:sz w:val="22"/>
          <w:szCs w:val="22"/>
        </w:rPr>
        <w:t xml:space="preserve">The </w:t>
      </w:r>
      <w:r w:rsidR="0055281F">
        <w:rPr>
          <w:rFonts w:asciiTheme="minorHAnsi" w:hAnsiTheme="minorHAnsi"/>
          <w:sz w:val="22"/>
          <w:szCs w:val="22"/>
        </w:rPr>
        <w:t xml:space="preserve">one </w:t>
      </w:r>
      <w:r w:rsidR="008413E5">
        <w:rPr>
          <w:rFonts w:asciiTheme="minorHAnsi" w:hAnsiTheme="minorHAnsi"/>
          <w:sz w:val="22"/>
          <w:szCs w:val="22"/>
        </w:rPr>
        <w:t>ne</w:t>
      </w:r>
      <w:r w:rsidR="00BD6F58">
        <w:rPr>
          <w:rFonts w:asciiTheme="minorHAnsi" w:hAnsiTheme="minorHAnsi"/>
          <w:sz w:val="22"/>
          <w:szCs w:val="22"/>
        </w:rPr>
        <w:t>w nationally notifiable condition</w:t>
      </w:r>
      <w:r w:rsidR="0055281F">
        <w:rPr>
          <w:rFonts w:asciiTheme="minorHAnsi" w:hAnsiTheme="minorHAnsi"/>
          <w:sz w:val="22"/>
          <w:szCs w:val="22"/>
        </w:rPr>
        <w:t xml:space="preserve"> (</w:t>
      </w:r>
      <w:r w:rsidR="0055281F" w:rsidRPr="0055281F">
        <w:rPr>
          <w:rFonts w:asciiTheme="minorHAnsi" w:hAnsiTheme="minorHAnsi"/>
          <w:sz w:val="22"/>
          <w:szCs w:val="22"/>
        </w:rPr>
        <w:t>Hantavirus infection, non-Hantavirus Pulmonary Syndrome</w:t>
      </w:r>
      <w:r w:rsidR="0055281F">
        <w:rPr>
          <w:rFonts w:asciiTheme="minorHAnsi" w:hAnsiTheme="minorHAnsi"/>
          <w:sz w:val="22"/>
          <w:szCs w:val="22"/>
        </w:rPr>
        <w:t>),</w:t>
      </w:r>
      <w:r w:rsidR="00BD6F58">
        <w:rPr>
          <w:rFonts w:asciiTheme="minorHAnsi" w:hAnsiTheme="minorHAnsi"/>
          <w:sz w:val="22"/>
          <w:szCs w:val="22"/>
        </w:rPr>
        <w:t xml:space="preserve"> will not increase the burden since </w:t>
      </w:r>
      <w:r w:rsidR="0055281F">
        <w:rPr>
          <w:rFonts w:asciiTheme="minorHAnsi" w:hAnsiTheme="minorHAnsi"/>
          <w:sz w:val="22"/>
          <w:szCs w:val="22"/>
        </w:rPr>
        <w:t>it has a very</w:t>
      </w:r>
      <w:r w:rsidR="00FD0C40">
        <w:rPr>
          <w:rFonts w:asciiTheme="minorHAnsi" w:hAnsiTheme="minorHAnsi"/>
          <w:sz w:val="22"/>
          <w:szCs w:val="22"/>
        </w:rPr>
        <w:t xml:space="preserve"> </w:t>
      </w:r>
      <w:r w:rsidR="00BD6F58">
        <w:rPr>
          <w:rFonts w:asciiTheme="minorHAnsi" w:hAnsiTheme="minorHAnsi"/>
          <w:sz w:val="22"/>
          <w:szCs w:val="22"/>
        </w:rPr>
        <w:t xml:space="preserve">low incidence. </w:t>
      </w:r>
      <w:r w:rsidR="00F37781">
        <w:rPr>
          <w:rFonts w:asciiTheme="minorHAnsi" w:hAnsiTheme="minorHAnsi"/>
          <w:sz w:val="22"/>
          <w:szCs w:val="22"/>
        </w:rPr>
        <w:t xml:space="preserve">Acute Flaccid myelitis is also a low incidence condition and will not increase the burden if it becomes nationally notifiable. </w:t>
      </w:r>
      <w:r w:rsidR="004B4C46" w:rsidRPr="004B4C46">
        <w:rPr>
          <w:rFonts w:asciiTheme="minorHAnsi" w:hAnsiTheme="minorHAnsi"/>
          <w:sz w:val="22"/>
          <w:szCs w:val="22"/>
        </w:rPr>
        <w:t>The addition of</w:t>
      </w:r>
      <w:r w:rsidR="0036359F">
        <w:rPr>
          <w:rFonts w:asciiTheme="minorHAnsi" w:hAnsiTheme="minorHAnsi"/>
          <w:sz w:val="22"/>
          <w:szCs w:val="22"/>
        </w:rPr>
        <w:t xml:space="preserve"> new</w:t>
      </w:r>
      <w:r w:rsidR="004B4C46" w:rsidRPr="004B4C46">
        <w:rPr>
          <w:rFonts w:asciiTheme="minorHAnsi" w:hAnsiTheme="minorHAnsi"/>
          <w:sz w:val="22"/>
          <w:szCs w:val="22"/>
        </w:rPr>
        <w:t xml:space="preserve"> vaccine, laboratory, and disease-specific data elements </w:t>
      </w:r>
      <w:r w:rsidR="00F37781">
        <w:rPr>
          <w:rFonts w:asciiTheme="minorHAnsi" w:hAnsiTheme="minorHAnsi"/>
          <w:sz w:val="22"/>
          <w:szCs w:val="22"/>
        </w:rPr>
        <w:t>will</w:t>
      </w:r>
      <w:r w:rsidR="00F37781" w:rsidRPr="004B4C46">
        <w:rPr>
          <w:rFonts w:asciiTheme="minorHAnsi" w:hAnsiTheme="minorHAnsi"/>
          <w:sz w:val="22"/>
          <w:szCs w:val="22"/>
        </w:rPr>
        <w:t xml:space="preserve"> </w:t>
      </w:r>
      <w:r w:rsidR="004B4C46" w:rsidRPr="004B4C46">
        <w:rPr>
          <w:rFonts w:asciiTheme="minorHAnsi" w:hAnsiTheme="minorHAnsi"/>
          <w:sz w:val="22"/>
          <w:szCs w:val="22"/>
        </w:rPr>
        <w:t>not add any additional burden because the states, territories</w:t>
      </w:r>
      <w:r w:rsidR="0036359F">
        <w:rPr>
          <w:rFonts w:asciiTheme="minorHAnsi" w:hAnsiTheme="minorHAnsi"/>
          <w:sz w:val="22"/>
          <w:szCs w:val="22"/>
        </w:rPr>
        <w:t>, and cities already collect tho</w:t>
      </w:r>
      <w:r w:rsidR="004B4C46" w:rsidRPr="004B4C46">
        <w:rPr>
          <w:rFonts w:asciiTheme="minorHAnsi" w:hAnsiTheme="minorHAnsi"/>
          <w:sz w:val="22"/>
          <w:szCs w:val="22"/>
        </w:rPr>
        <w:t xml:space="preserve">se data elements. </w:t>
      </w:r>
      <w:r w:rsidR="004B4C46">
        <w:rPr>
          <w:rFonts w:asciiTheme="minorHAnsi" w:hAnsiTheme="minorHAnsi"/>
          <w:sz w:val="22"/>
          <w:szCs w:val="22"/>
        </w:rPr>
        <w:t>T</w:t>
      </w:r>
      <w:r w:rsidR="004B4C46" w:rsidRPr="004B4C46">
        <w:rPr>
          <w:rFonts w:asciiTheme="minorHAnsi" w:hAnsiTheme="minorHAnsi"/>
          <w:sz w:val="22"/>
          <w:szCs w:val="22"/>
        </w:rPr>
        <w:t>here will be no increase in burden for the states, ter</w:t>
      </w:r>
      <w:r w:rsidR="0036359F">
        <w:rPr>
          <w:rFonts w:asciiTheme="minorHAnsi" w:hAnsiTheme="minorHAnsi"/>
          <w:sz w:val="22"/>
          <w:szCs w:val="22"/>
        </w:rPr>
        <w:t>ritories, and cities to send tho</w:t>
      </w:r>
      <w:r w:rsidR="004B4C46" w:rsidRPr="004B4C46">
        <w:rPr>
          <w:rFonts w:asciiTheme="minorHAnsi" w:hAnsiTheme="minorHAnsi"/>
          <w:sz w:val="22"/>
          <w:szCs w:val="22"/>
        </w:rPr>
        <w:t>se data elements to CDC</w:t>
      </w:r>
      <w:r w:rsidR="00D533B8">
        <w:rPr>
          <w:rFonts w:asciiTheme="minorHAnsi" w:hAnsiTheme="minorHAnsi"/>
          <w:sz w:val="22"/>
          <w:szCs w:val="22"/>
        </w:rPr>
        <w:t xml:space="preserve"> since </w:t>
      </w:r>
      <w:r w:rsidR="00D533B8" w:rsidRPr="00D533B8">
        <w:rPr>
          <w:rFonts w:asciiTheme="minorHAnsi" w:hAnsiTheme="minorHAnsi"/>
          <w:sz w:val="22"/>
          <w:szCs w:val="22"/>
        </w:rPr>
        <w:t>most case notifications are submitted electronically from already existing databases via automated electronic transfers</w:t>
      </w:r>
      <w:r w:rsidR="004B4C46" w:rsidRPr="004B4C46">
        <w:rPr>
          <w:rFonts w:asciiTheme="minorHAnsi" w:hAnsiTheme="minorHAnsi"/>
          <w:sz w:val="22"/>
          <w:szCs w:val="22"/>
        </w:rPr>
        <w:t>.</w:t>
      </w:r>
      <w:r w:rsidR="003C4132">
        <w:rPr>
          <w:rFonts w:asciiTheme="minorHAnsi" w:hAnsiTheme="minorHAnsi"/>
          <w:sz w:val="22"/>
          <w:szCs w:val="22"/>
        </w:rPr>
        <w:t xml:space="preserve"> </w:t>
      </w:r>
    </w:p>
    <w:p w14:paraId="4CB77485" w14:textId="77777777" w:rsidR="004B4C46" w:rsidRDefault="004B4C46" w:rsidP="00925656">
      <w:pPr>
        <w:spacing w:line="360" w:lineRule="auto"/>
        <w:rPr>
          <w:rFonts w:asciiTheme="minorHAnsi" w:hAnsiTheme="minorHAnsi"/>
          <w:sz w:val="22"/>
          <w:szCs w:val="22"/>
        </w:rPr>
      </w:pPr>
    </w:p>
    <w:p w14:paraId="34FDECD5" w14:textId="77777777" w:rsidR="003A5343" w:rsidRPr="00FF55BF" w:rsidRDefault="003A5343" w:rsidP="003A5343">
      <w:pPr>
        <w:spacing w:line="360" w:lineRule="auto"/>
        <w:rPr>
          <w:rFonts w:asciiTheme="minorHAnsi" w:hAnsiTheme="minorHAnsi"/>
          <w:sz w:val="22"/>
          <w:szCs w:val="22"/>
        </w:rPr>
      </w:pPr>
      <w:r w:rsidRPr="003A5343">
        <w:rPr>
          <w:rFonts w:asciiTheme="minorHAnsi" w:hAnsiTheme="minorHAnsi"/>
          <w:sz w:val="22"/>
          <w:szCs w:val="22"/>
        </w:rPr>
        <w:t>According to the U.S. Department of Labor, Bureau of Labor Statistics, Occupational Employment Statistics, May 2014 National Occupational Employment and Wage Estimates, the mean hourly wage for Epidemiologists is $35.63</w:t>
      </w:r>
      <w:r w:rsidR="0055281F">
        <w:rPr>
          <w:rFonts w:asciiTheme="minorHAnsi" w:hAnsiTheme="minorHAnsi"/>
          <w:sz w:val="22"/>
          <w:szCs w:val="22"/>
        </w:rPr>
        <w:t xml:space="preserve"> (</w:t>
      </w:r>
      <w:hyperlink r:id="rId22" w:anchor="19-0000" w:history="1">
        <w:r w:rsidR="007E5047" w:rsidRPr="008D7747">
          <w:rPr>
            <w:rStyle w:val="Hyperlink"/>
            <w:rFonts w:asciiTheme="minorHAnsi" w:hAnsiTheme="minorHAnsi"/>
            <w:sz w:val="22"/>
            <w:szCs w:val="22"/>
          </w:rPr>
          <w:t>http://www.bls.gov/oes/current/oes_nat.htm#19-0000</w:t>
        </w:r>
      </w:hyperlink>
      <w:r w:rsidR="0055281F">
        <w:rPr>
          <w:rFonts w:asciiTheme="minorHAnsi" w:hAnsiTheme="minorHAnsi"/>
          <w:sz w:val="22"/>
          <w:szCs w:val="22"/>
        </w:rPr>
        <w:t>)</w:t>
      </w:r>
      <w:r w:rsidRPr="003A5343">
        <w:rPr>
          <w:rFonts w:asciiTheme="minorHAnsi" w:hAnsiTheme="minorHAnsi"/>
          <w:sz w:val="22"/>
          <w:szCs w:val="22"/>
        </w:rPr>
        <w:t>.  This rate is used as the hourly wage rate for respondents that submit notifiable disease data weekly and annually to CDC because it represents the category of occupations held by the respondents and was used in the consolidated applications. Using $35.63 as an average hourly wage rate, it is estimated that the average national annual burden for weekly and annual reporting is 28,340 hours at a national cost of $1,009,754.</w:t>
      </w:r>
    </w:p>
    <w:p w14:paraId="6248EA34" w14:textId="77777777" w:rsidR="00904DF8" w:rsidRDefault="00904DF8"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14:paraId="224DC5AD" w14:textId="77777777" w:rsidR="004940E2" w:rsidRDefault="009135CB" w:rsidP="00925656">
      <w:pPr>
        <w:spacing w:line="360" w:lineRule="auto"/>
        <w:rPr>
          <w:rFonts w:asciiTheme="minorHAnsi" w:hAnsiTheme="minorHAnsi"/>
          <w:color w:val="000000"/>
          <w:sz w:val="22"/>
          <w:szCs w:val="22"/>
        </w:rPr>
      </w:pPr>
      <w:r w:rsidRPr="006663E8">
        <w:rPr>
          <w:rFonts w:asciiTheme="minorHAnsi" w:hAnsiTheme="minorHAnsi"/>
          <w:color w:val="000000"/>
          <w:sz w:val="22"/>
          <w:szCs w:val="22"/>
        </w:rPr>
        <w:t>A</w:t>
      </w:r>
      <w:r w:rsidR="001E1338" w:rsidRPr="006663E8">
        <w:rPr>
          <w:rFonts w:asciiTheme="minorHAnsi" w:hAnsiTheme="minorHAnsi"/>
          <w:color w:val="000000"/>
          <w:sz w:val="22"/>
          <w:szCs w:val="22"/>
        </w:rPr>
        <w:t>12</w:t>
      </w:r>
      <w:r w:rsidRPr="006663E8">
        <w:rPr>
          <w:rFonts w:asciiTheme="minorHAnsi" w:hAnsiTheme="minorHAnsi"/>
          <w:color w:val="000000"/>
          <w:sz w:val="22"/>
          <w:szCs w:val="22"/>
        </w:rPr>
        <w:t xml:space="preserve">A. </w:t>
      </w:r>
      <w:r w:rsidRPr="00B83D1A">
        <w:rPr>
          <w:rFonts w:asciiTheme="minorHAnsi" w:hAnsiTheme="minorHAnsi"/>
          <w:color w:val="000000"/>
          <w:sz w:val="22"/>
          <w:szCs w:val="22"/>
        </w:rPr>
        <w:t>Estima</w:t>
      </w:r>
      <w:r w:rsidR="004940E2" w:rsidRPr="00B83D1A">
        <w:rPr>
          <w:rFonts w:asciiTheme="minorHAnsi" w:hAnsiTheme="minorHAnsi"/>
          <w:color w:val="000000"/>
          <w:sz w:val="22"/>
          <w:szCs w:val="22"/>
        </w:rPr>
        <w:t>tes of Annualized Burden Hours</w:t>
      </w:r>
    </w:p>
    <w:p w14:paraId="5599A247" w14:textId="77777777" w:rsidR="001E1042" w:rsidRDefault="001E1042" w:rsidP="00925656">
      <w:pPr>
        <w:spacing w:line="360" w:lineRule="auto"/>
        <w:rPr>
          <w:rFonts w:asciiTheme="minorHAnsi" w:hAnsiTheme="minorHAnsi"/>
          <w:color w:val="0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55"/>
        <w:gridCol w:w="1550"/>
        <w:gridCol w:w="1555"/>
        <w:gridCol w:w="1554"/>
        <w:gridCol w:w="1551"/>
        <w:gridCol w:w="1549"/>
      </w:tblGrid>
      <w:tr w:rsidR="00A90BD3" w14:paraId="0580AFCE" w14:textId="77777777" w:rsidTr="0091055A">
        <w:tc>
          <w:tcPr>
            <w:tcW w:w="1559" w:type="dxa"/>
          </w:tcPr>
          <w:p w14:paraId="210C290B" w14:textId="4C6CAC5F" w:rsidR="00A90BD3" w:rsidRPr="00CB5CD7" w:rsidRDefault="00A90BD3" w:rsidP="0091055A">
            <w:pPr>
              <w:rPr>
                <w:b/>
                <w:color w:val="000000"/>
                <w:sz w:val="20"/>
                <w:szCs w:val="20"/>
              </w:rPr>
            </w:pPr>
            <w:r w:rsidRPr="00CB5CD7">
              <w:rPr>
                <w:b/>
                <w:color w:val="000000"/>
                <w:sz w:val="20"/>
                <w:szCs w:val="20"/>
              </w:rPr>
              <w:t>Type of Respondents</w:t>
            </w:r>
          </w:p>
        </w:tc>
        <w:tc>
          <w:tcPr>
            <w:tcW w:w="1559" w:type="dxa"/>
          </w:tcPr>
          <w:p w14:paraId="6A8F3D0C" w14:textId="001D8851" w:rsidR="00A90BD3" w:rsidRPr="00CB5CD7" w:rsidRDefault="00A90BD3" w:rsidP="0091055A">
            <w:pPr>
              <w:rPr>
                <w:b/>
                <w:color w:val="000000"/>
                <w:sz w:val="20"/>
                <w:szCs w:val="20"/>
              </w:rPr>
            </w:pPr>
            <w:r w:rsidRPr="00CB5CD7">
              <w:rPr>
                <w:b/>
                <w:color w:val="000000"/>
                <w:sz w:val="20"/>
                <w:szCs w:val="20"/>
              </w:rPr>
              <w:t>Form Name</w:t>
            </w:r>
          </w:p>
        </w:tc>
        <w:tc>
          <w:tcPr>
            <w:tcW w:w="1558" w:type="dxa"/>
          </w:tcPr>
          <w:p w14:paraId="1425DC17" w14:textId="055E551E" w:rsidR="00A90BD3" w:rsidRPr="00CB5CD7" w:rsidRDefault="00A90BD3" w:rsidP="0091055A">
            <w:pPr>
              <w:rPr>
                <w:b/>
                <w:color w:val="000000"/>
                <w:sz w:val="20"/>
                <w:szCs w:val="20"/>
              </w:rPr>
            </w:pPr>
            <w:r w:rsidRPr="00CB5CD7">
              <w:rPr>
                <w:b/>
                <w:sz w:val="20"/>
                <w:szCs w:val="20"/>
              </w:rPr>
              <w:t>Number of Respondents</w:t>
            </w:r>
          </w:p>
        </w:tc>
        <w:tc>
          <w:tcPr>
            <w:tcW w:w="1558" w:type="dxa"/>
          </w:tcPr>
          <w:p w14:paraId="0B7912F5" w14:textId="0EF401B2" w:rsidR="00A90BD3" w:rsidRPr="00CB5CD7" w:rsidRDefault="00A90BD3" w:rsidP="0091055A">
            <w:pPr>
              <w:rPr>
                <w:b/>
                <w:color w:val="000000"/>
                <w:sz w:val="20"/>
                <w:szCs w:val="20"/>
              </w:rPr>
            </w:pPr>
            <w:r w:rsidRPr="00CB5CD7">
              <w:rPr>
                <w:b/>
                <w:sz w:val="20"/>
                <w:szCs w:val="20"/>
              </w:rPr>
              <w:t>Number of  Responses per Respondent</w:t>
            </w:r>
          </w:p>
        </w:tc>
        <w:tc>
          <w:tcPr>
            <w:tcW w:w="1558" w:type="dxa"/>
          </w:tcPr>
          <w:p w14:paraId="3ED9081C" w14:textId="41F1BA11" w:rsidR="00A90BD3" w:rsidRPr="00CB5CD7" w:rsidRDefault="00A90BD3" w:rsidP="0091055A">
            <w:pPr>
              <w:rPr>
                <w:b/>
                <w:color w:val="000000"/>
                <w:sz w:val="20"/>
                <w:szCs w:val="20"/>
              </w:rPr>
            </w:pPr>
            <w:r w:rsidRPr="00CB5CD7">
              <w:rPr>
                <w:b/>
                <w:sz w:val="20"/>
                <w:szCs w:val="20"/>
              </w:rPr>
              <w:t>Average Burden Per Response  (in hours)</w:t>
            </w:r>
          </w:p>
        </w:tc>
        <w:tc>
          <w:tcPr>
            <w:tcW w:w="1558" w:type="dxa"/>
          </w:tcPr>
          <w:p w14:paraId="27190279" w14:textId="717C050D" w:rsidR="00A90BD3" w:rsidRPr="00CB5CD7" w:rsidRDefault="00A90BD3" w:rsidP="0091055A">
            <w:pPr>
              <w:rPr>
                <w:b/>
                <w:color w:val="000000"/>
                <w:sz w:val="20"/>
                <w:szCs w:val="20"/>
              </w:rPr>
            </w:pPr>
            <w:r w:rsidRPr="00CB5CD7">
              <w:rPr>
                <w:b/>
                <w:sz w:val="20"/>
                <w:szCs w:val="20"/>
              </w:rPr>
              <w:t>Total Burden  (in hours)</w:t>
            </w:r>
          </w:p>
        </w:tc>
      </w:tr>
      <w:tr w:rsidR="00ED2FB0" w14:paraId="22B3014B" w14:textId="77777777" w:rsidTr="0091055A">
        <w:tc>
          <w:tcPr>
            <w:tcW w:w="1559" w:type="dxa"/>
          </w:tcPr>
          <w:p w14:paraId="34E52F21" w14:textId="0533C48D" w:rsidR="00ED2FB0" w:rsidRPr="00ED2FB0" w:rsidRDefault="00ED2FB0" w:rsidP="0091055A">
            <w:pPr>
              <w:rPr>
                <w:color w:val="000000"/>
                <w:sz w:val="20"/>
                <w:szCs w:val="20"/>
              </w:rPr>
            </w:pPr>
            <w:r w:rsidRPr="00ED2FB0">
              <w:rPr>
                <w:sz w:val="20"/>
                <w:szCs w:val="20"/>
              </w:rPr>
              <w:t>States</w:t>
            </w:r>
          </w:p>
        </w:tc>
        <w:tc>
          <w:tcPr>
            <w:tcW w:w="1559" w:type="dxa"/>
          </w:tcPr>
          <w:p w14:paraId="574DCECB" w14:textId="5A7C49CC" w:rsidR="00ED2FB0" w:rsidRPr="00ED2FB0" w:rsidRDefault="00ED2FB0" w:rsidP="0091055A">
            <w:pPr>
              <w:rPr>
                <w:color w:val="000000"/>
                <w:sz w:val="20"/>
                <w:szCs w:val="20"/>
              </w:rPr>
            </w:pPr>
            <w:r w:rsidRPr="00ED2FB0">
              <w:rPr>
                <w:color w:val="000000"/>
                <w:sz w:val="20"/>
                <w:szCs w:val="20"/>
              </w:rPr>
              <w:t>Weekly and Annual</w:t>
            </w:r>
          </w:p>
        </w:tc>
        <w:tc>
          <w:tcPr>
            <w:tcW w:w="1558" w:type="dxa"/>
          </w:tcPr>
          <w:p w14:paraId="5F03185D" w14:textId="09ADC80B" w:rsidR="00ED2FB0" w:rsidRPr="00ED2FB0" w:rsidRDefault="00ED2FB0" w:rsidP="0091055A">
            <w:pPr>
              <w:jc w:val="right"/>
              <w:rPr>
                <w:color w:val="000000"/>
                <w:sz w:val="20"/>
                <w:szCs w:val="20"/>
              </w:rPr>
            </w:pPr>
            <w:r w:rsidRPr="00ED2FB0">
              <w:rPr>
                <w:sz w:val="20"/>
                <w:szCs w:val="20"/>
              </w:rPr>
              <w:t>50</w:t>
            </w:r>
          </w:p>
        </w:tc>
        <w:tc>
          <w:tcPr>
            <w:tcW w:w="1558" w:type="dxa"/>
          </w:tcPr>
          <w:p w14:paraId="14CA80BA" w14:textId="6ADFF39C" w:rsidR="00ED2FB0" w:rsidRPr="00ED2FB0" w:rsidRDefault="00ED2FB0" w:rsidP="0091055A">
            <w:pPr>
              <w:jc w:val="right"/>
              <w:rPr>
                <w:color w:val="000000"/>
                <w:sz w:val="20"/>
                <w:szCs w:val="20"/>
              </w:rPr>
            </w:pPr>
            <w:r w:rsidRPr="00ED2FB0">
              <w:rPr>
                <w:sz w:val="20"/>
                <w:szCs w:val="20"/>
              </w:rPr>
              <w:t>52</w:t>
            </w:r>
          </w:p>
        </w:tc>
        <w:tc>
          <w:tcPr>
            <w:tcW w:w="1558" w:type="dxa"/>
          </w:tcPr>
          <w:p w14:paraId="37B92A59" w14:textId="2C91888E" w:rsidR="00ED2FB0" w:rsidRPr="00ED2FB0" w:rsidRDefault="00ED2FB0" w:rsidP="0091055A">
            <w:pPr>
              <w:jc w:val="right"/>
              <w:rPr>
                <w:color w:val="000000"/>
                <w:sz w:val="20"/>
                <w:szCs w:val="20"/>
              </w:rPr>
            </w:pPr>
            <w:r w:rsidRPr="00ED2FB0">
              <w:rPr>
                <w:sz w:val="20"/>
                <w:szCs w:val="20"/>
              </w:rPr>
              <w:t>10</w:t>
            </w:r>
          </w:p>
        </w:tc>
        <w:tc>
          <w:tcPr>
            <w:tcW w:w="1558" w:type="dxa"/>
          </w:tcPr>
          <w:p w14:paraId="559A7CCF" w14:textId="6630842E" w:rsidR="00ED2FB0" w:rsidRPr="00ED2FB0" w:rsidRDefault="00ED2FB0" w:rsidP="0091055A">
            <w:pPr>
              <w:jc w:val="right"/>
              <w:rPr>
                <w:color w:val="000000"/>
                <w:sz w:val="20"/>
                <w:szCs w:val="20"/>
              </w:rPr>
            </w:pPr>
            <w:r w:rsidRPr="00ED2FB0">
              <w:rPr>
                <w:sz w:val="20"/>
                <w:szCs w:val="20"/>
              </w:rPr>
              <w:t>26,000</w:t>
            </w:r>
          </w:p>
        </w:tc>
      </w:tr>
      <w:tr w:rsidR="00ED2FB0" w14:paraId="1D580943" w14:textId="77777777" w:rsidTr="0091055A">
        <w:tc>
          <w:tcPr>
            <w:tcW w:w="1559" w:type="dxa"/>
          </w:tcPr>
          <w:p w14:paraId="484569E5" w14:textId="2E080062" w:rsidR="00ED2FB0" w:rsidRPr="00ED2FB0" w:rsidRDefault="00ED2FB0" w:rsidP="0091055A">
            <w:pPr>
              <w:rPr>
                <w:color w:val="000000"/>
                <w:sz w:val="20"/>
                <w:szCs w:val="20"/>
              </w:rPr>
            </w:pPr>
            <w:r w:rsidRPr="00ED2FB0">
              <w:rPr>
                <w:sz w:val="20"/>
                <w:szCs w:val="20"/>
              </w:rPr>
              <w:t>Territories</w:t>
            </w:r>
          </w:p>
        </w:tc>
        <w:tc>
          <w:tcPr>
            <w:tcW w:w="1559" w:type="dxa"/>
          </w:tcPr>
          <w:p w14:paraId="29FC5341" w14:textId="0824F6F6" w:rsidR="00ED2FB0" w:rsidRPr="00ED2FB0" w:rsidRDefault="00ED2FB0" w:rsidP="0091055A">
            <w:pPr>
              <w:rPr>
                <w:color w:val="000000"/>
                <w:sz w:val="20"/>
                <w:szCs w:val="20"/>
              </w:rPr>
            </w:pPr>
            <w:r w:rsidRPr="00ED2FB0">
              <w:rPr>
                <w:sz w:val="20"/>
                <w:szCs w:val="20"/>
              </w:rPr>
              <w:t>Weekly and Annual</w:t>
            </w:r>
          </w:p>
        </w:tc>
        <w:tc>
          <w:tcPr>
            <w:tcW w:w="1558" w:type="dxa"/>
          </w:tcPr>
          <w:p w14:paraId="5012AF04" w14:textId="6E4BB552" w:rsidR="00ED2FB0" w:rsidRPr="00ED2FB0" w:rsidRDefault="00ED2FB0" w:rsidP="0091055A">
            <w:pPr>
              <w:jc w:val="right"/>
              <w:rPr>
                <w:color w:val="000000"/>
                <w:sz w:val="20"/>
                <w:szCs w:val="20"/>
              </w:rPr>
            </w:pPr>
            <w:r w:rsidRPr="00ED2FB0">
              <w:rPr>
                <w:sz w:val="20"/>
                <w:szCs w:val="20"/>
              </w:rPr>
              <w:t>5</w:t>
            </w:r>
          </w:p>
        </w:tc>
        <w:tc>
          <w:tcPr>
            <w:tcW w:w="1558" w:type="dxa"/>
          </w:tcPr>
          <w:p w14:paraId="77D11473" w14:textId="6977F81B" w:rsidR="00ED2FB0" w:rsidRPr="00ED2FB0" w:rsidRDefault="00ED2FB0" w:rsidP="0091055A">
            <w:pPr>
              <w:jc w:val="right"/>
              <w:rPr>
                <w:color w:val="000000"/>
                <w:sz w:val="20"/>
                <w:szCs w:val="20"/>
              </w:rPr>
            </w:pPr>
            <w:r w:rsidRPr="00ED2FB0">
              <w:rPr>
                <w:sz w:val="20"/>
                <w:szCs w:val="20"/>
              </w:rPr>
              <w:t>52</w:t>
            </w:r>
          </w:p>
        </w:tc>
        <w:tc>
          <w:tcPr>
            <w:tcW w:w="1558" w:type="dxa"/>
          </w:tcPr>
          <w:p w14:paraId="2B0A847A" w14:textId="3A76249C" w:rsidR="00ED2FB0" w:rsidRPr="00ED2FB0" w:rsidRDefault="00ED2FB0" w:rsidP="0091055A">
            <w:pPr>
              <w:jc w:val="right"/>
              <w:rPr>
                <w:color w:val="000000"/>
                <w:sz w:val="20"/>
                <w:szCs w:val="20"/>
              </w:rPr>
            </w:pPr>
            <w:r w:rsidRPr="00ED2FB0">
              <w:rPr>
                <w:sz w:val="20"/>
                <w:szCs w:val="20"/>
              </w:rPr>
              <w:t>5</w:t>
            </w:r>
          </w:p>
        </w:tc>
        <w:tc>
          <w:tcPr>
            <w:tcW w:w="1558" w:type="dxa"/>
          </w:tcPr>
          <w:p w14:paraId="4D890A2C" w14:textId="616757BA" w:rsidR="00ED2FB0" w:rsidRPr="00ED2FB0" w:rsidRDefault="00ED2FB0" w:rsidP="0091055A">
            <w:pPr>
              <w:jc w:val="right"/>
              <w:rPr>
                <w:color w:val="000000"/>
                <w:sz w:val="20"/>
                <w:szCs w:val="20"/>
              </w:rPr>
            </w:pPr>
            <w:r w:rsidRPr="00ED2FB0">
              <w:rPr>
                <w:sz w:val="20"/>
                <w:szCs w:val="20"/>
              </w:rPr>
              <w:t xml:space="preserve">                        1,300</w:t>
            </w:r>
          </w:p>
        </w:tc>
      </w:tr>
      <w:tr w:rsidR="00ED2FB0" w14:paraId="4D25AC8E" w14:textId="77777777" w:rsidTr="0091055A">
        <w:tc>
          <w:tcPr>
            <w:tcW w:w="1559" w:type="dxa"/>
          </w:tcPr>
          <w:p w14:paraId="5568098F" w14:textId="04037B0F" w:rsidR="00ED2FB0" w:rsidRPr="00ED2FB0" w:rsidRDefault="00ED2FB0" w:rsidP="0091055A">
            <w:pPr>
              <w:rPr>
                <w:color w:val="000000"/>
                <w:sz w:val="20"/>
                <w:szCs w:val="20"/>
              </w:rPr>
            </w:pPr>
            <w:r w:rsidRPr="00ED2FB0">
              <w:rPr>
                <w:sz w:val="20"/>
                <w:szCs w:val="20"/>
              </w:rPr>
              <w:t>Cities</w:t>
            </w:r>
          </w:p>
        </w:tc>
        <w:tc>
          <w:tcPr>
            <w:tcW w:w="1559" w:type="dxa"/>
          </w:tcPr>
          <w:p w14:paraId="134391F6" w14:textId="0D22F42B" w:rsidR="00ED2FB0" w:rsidRPr="00ED2FB0" w:rsidRDefault="00ED2FB0" w:rsidP="0091055A">
            <w:pPr>
              <w:rPr>
                <w:color w:val="000000"/>
                <w:sz w:val="20"/>
                <w:szCs w:val="20"/>
              </w:rPr>
            </w:pPr>
            <w:r w:rsidRPr="00ED2FB0">
              <w:rPr>
                <w:sz w:val="20"/>
                <w:szCs w:val="20"/>
              </w:rPr>
              <w:t>Weekly and Annual</w:t>
            </w:r>
          </w:p>
        </w:tc>
        <w:tc>
          <w:tcPr>
            <w:tcW w:w="1558" w:type="dxa"/>
          </w:tcPr>
          <w:p w14:paraId="22434A22" w14:textId="549D595B" w:rsidR="00ED2FB0" w:rsidRPr="00ED2FB0" w:rsidRDefault="00ED2FB0" w:rsidP="0091055A">
            <w:pPr>
              <w:jc w:val="right"/>
              <w:rPr>
                <w:color w:val="000000"/>
                <w:sz w:val="20"/>
                <w:szCs w:val="20"/>
              </w:rPr>
            </w:pPr>
            <w:r w:rsidRPr="00ED2FB0">
              <w:rPr>
                <w:sz w:val="20"/>
                <w:szCs w:val="20"/>
              </w:rPr>
              <w:t>2</w:t>
            </w:r>
          </w:p>
        </w:tc>
        <w:tc>
          <w:tcPr>
            <w:tcW w:w="1558" w:type="dxa"/>
          </w:tcPr>
          <w:p w14:paraId="0A7FC3EF" w14:textId="3379C948" w:rsidR="00ED2FB0" w:rsidRPr="00ED2FB0" w:rsidRDefault="00ED2FB0" w:rsidP="0091055A">
            <w:pPr>
              <w:jc w:val="right"/>
              <w:rPr>
                <w:color w:val="000000"/>
                <w:sz w:val="20"/>
                <w:szCs w:val="20"/>
              </w:rPr>
            </w:pPr>
            <w:r w:rsidRPr="00ED2FB0">
              <w:rPr>
                <w:sz w:val="20"/>
                <w:szCs w:val="20"/>
              </w:rPr>
              <w:t>52</w:t>
            </w:r>
          </w:p>
        </w:tc>
        <w:tc>
          <w:tcPr>
            <w:tcW w:w="1558" w:type="dxa"/>
          </w:tcPr>
          <w:p w14:paraId="628C6989" w14:textId="622BA519" w:rsidR="00ED2FB0" w:rsidRPr="00ED2FB0" w:rsidRDefault="00ED2FB0" w:rsidP="0091055A">
            <w:pPr>
              <w:jc w:val="right"/>
              <w:rPr>
                <w:color w:val="000000"/>
                <w:sz w:val="20"/>
                <w:szCs w:val="20"/>
              </w:rPr>
            </w:pPr>
            <w:r w:rsidRPr="00ED2FB0">
              <w:rPr>
                <w:sz w:val="20"/>
                <w:szCs w:val="20"/>
              </w:rPr>
              <w:t>10</w:t>
            </w:r>
          </w:p>
        </w:tc>
        <w:tc>
          <w:tcPr>
            <w:tcW w:w="1558" w:type="dxa"/>
          </w:tcPr>
          <w:p w14:paraId="3FB99213" w14:textId="3F699709" w:rsidR="00ED2FB0" w:rsidRPr="00ED2FB0" w:rsidRDefault="00ED2FB0" w:rsidP="0091055A">
            <w:pPr>
              <w:jc w:val="right"/>
              <w:rPr>
                <w:color w:val="000000"/>
                <w:sz w:val="20"/>
                <w:szCs w:val="20"/>
              </w:rPr>
            </w:pPr>
            <w:r w:rsidRPr="00ED2FB0">
              <w:rPr>
                <w:sz w:val="20"/>
                <w:szCs w:val="20"/>
              </w:rPr>
              <w:t>1,040</w:t>
            </w:r>
          </w:p>
        </w:tc>
      </w:tr>
      <w:tr w:rsidR="00ED2FB0" w14:paraId="4B13236B" w14:textId="77777777" w:rsidTr="0091055A">
        <w:tc>
          <w:tcPr>
            <w:tcW w:w="1559" w:type="dxa"/>
          </w:tcPr>
          <w:p w14:paraId="3959B2A1" w14:textId="14949E8E" w:rsidR="00ED2FB0" w:rsidRPr="00CB5CD7" w:rsidRDefault="00ED2FB0" w:rsidP="0091055A">
            <w:pPr>
              <w:rPr>
                <w:b/>
                <w:color w:val="000000"/>
                <w:sz w:val="20"/>
                <w:szCs w:val="20"/>
              </w:rPr>
            </w:pPr>
            <w:r w:rsidRPr="00CB5CD7">
              <w:rPr>
                <w:b/>
                <w:sz w:val="20"/>
                <w:szCs w:val="20"/>
              </w:rPr>
              <w:t>Total</w:t>
            </w:r>
          </w:p>
        </w:tc>
        <w:tc>
          <w:tcPr>
            <w:tcW w:w="1559" w:type="dxa"/>
          </w:tcPr>
          <w:p w14:paraId="4126ABAC" w14:textId="7F011B46" w:rsidR="00ED2FB0" w:rsidRPr="00CB5CD7" w:rsidRDefault="00ED2FB0" w:rsidP="0091055A">
            <w:pPr>
              <w:rPr>
                <w:b/>
                <w:color w:val="000000"/>
                <w:sz w:val="20"/>
                <w:szCs w:val="20"/>
              </w:rPr>
            </w:pPr>
          </w:p>
        </w:tc>
        <w:tc>
          <w:tcPr>
            <w:tcW w:w="1558" w:type="dxa"/>
          </w:tcPr>
          <w:p w14:paraId="0394AF84" w14:textId="50D3FDC6" w:rsidR="00ED2FB0" w:rsidRPr="00CB5CD7" w:rsidRDefault="00ED2FB0" w:rsidP="0091055A">
            <w:pPr>
              <w:jc w:val="right"/>
              <w:rPr>
                <w:b/>
                <w:color w:val="000000"/>
                <w:sz w:val="20"/>
                <w:szCs w:val="20"/>
              </w:rPr>
            </w:pPr>
            <w:r w:rsidRPr="00CB5CD7">
              <w:rPr>
                <w:b/>
                <w:sz w:val="20"/>
                <w:szCs w:val="20"/>
              </w:rPr>
              <w:t xml:space="preserve"> </w:t>
            </w:r>
          </w:p>
        </w:tc>
        <w:tc>
          <w:tcPr>
            <w:tcW w:w="1558" w:type="dxa"/>
          </w:tcPr>
          <w:p w14:paraId="7A1E201C" w14:textId="6FBB7609" w:rsidR="00ED2FB0" w:rsidRPr="00CB5CD7" w:rsidRDefault="00ED2FB0" w:rsidP="0091055A">
            <w:pPr>
              <w:jc w:val="right"/>
              <w:rPr>
                <w:b/>
                <w:color w:val="000000"/>
                <w:sz w:val="20"/>
                <w:szCs w:val="20"/>
              </w:rPr>
            </w:pPr>
            <w:r w:rsidRPr="00CB5CD7">
              <w:rPr>
                <w:b/>
                <w:sz w:val="20"/>
                <w:szCs w:val="20"/>
              </w:rPr>
              <w:t xml:space="preserve"> </w:t>
            </w:r>
          </w:p>
        </w:tc>
        <w:tc>
          <w:tcPr>
            <w:tcW w:w="1558" w:type="dxa"/>
          </w:tcPr>
          <w:p w14:paraId="70C2C51C" w14:textId="05AC20B3" w:rsidR="00ED2FB0" w:rsidRPr="00CB5CD7" w:rsidRDefault="00ED2FB0" w:rsidP="0091055A">
            <w:pPr>
              <w:jc w:val="right"/>
              <w:rPr>
                <w:b/>
                <w:color w:val="000000"/>
                <w:sz w:val="20"/>
                <w:szCs w:val="20"/>
              </w:rPr>
            </w:pPr>
            <w:r w:rsidRPr="00CB5CD7">
              <w:rPr>
                <w:b/>
                <w:sz w:val="20"/>
                <w:szCs w:val="20"/>
              </w:rPr>
              <w:t xml:space="preserve"> </w:t>
            </w:r>
          </w:p>
        </w:tc>
        <w:tc>
          <w:tcPr>
            <w:tcW w:w="1558" w:type="dxa"/>
          </w:tcPr>
          <w:p w14:paraId="7B10B596" w14:textId="376F1605" w:rsidR="00ED2FB0" w:rsidRPr="00CB5CD7" w:rsidRDefault="00ED2FB0" w:rsidP="0091055A">
            <w:pPr>
              <w:jc w:val="right"/>
              <w:rPr>
                <w:b/>
                <w:color w:val="000000"/>
                <w:sz w:val="20"/>
                <w:szCs w:val="20"/>
              </w:rPr>
            </w:pPr>
            <w:r w:rsidRPr="00CB5CD7">
              <w:rPr>
                <w:b/>
                <w:sz w:val="20"/>
                <w:szCs w:val="20"/>
              </w:rPr>
              <w:t>28,340</w:t>
            </w:r>
          </w:p>
        </w:tc>
      </w:tr>
    </w:tbl>
    <w:p w14:paraId="01F3693F" w14:textId="77777777" w:rsidR="001E1042" w:rsidRPr="006663E8" w:rsidRDefault="001E1042" w:rsidP="00925656">
      <w:pPr>
        <w:spacing w:line="360" w:lineRule="auto"/>
        <w:rPr>
          <w:rFonts w:asciiTheme="minorHAnsi" w:hAnsiTheme="minorHAnsi"/>
          <w:color w:val="000000"/>
          <w:sz w:val="22"/>
          <w:szCs w:val="22"/>
        </w:rPr>
      </w:pPr>
    </w:p>
    <w:p w14:paraId="57A78A8B" w14:textId="77777777" w:rsidR="00B83D1A" w:rsidRDefault="00B83D1A" w:rsidP="00925656">
      <w:pPr>
        <w:spacing w:line="360" w:lineRule="auto"/>
        <w:rPr>
          <w:rFonts w:asciiTheme="minorHAnsi" w:hAnsiTheme="minorHAnsi"/>
          <w:color w:val="000000"/>
          <w:sz w:val="22"/>
          <w:szCs w:val="22"/>
        </w:rPr>
      </w:pPr>
    </w:p>
    <w:p w14:paraId="5B4FC6AE" w14:textId="77777777" w:rsidR="00A02809" w:rsidRDefault="00A02809" w:rsidP="00925656">
      <w:pPr>
        <w:spacing w:line="360" w:lineRule="auto"/>
        <w:rPr>
          <w:rFonts w:asciiTheme="minorHAnsi" w:hAnsiTheme="minorHAnsi"/>
          <w:color w:val="000000"/>
          <w:sz w:val="22"/>
          <w:szCs w:val="22"/>
        </w:rPr>
      </w:pPr>
    </w:p>
    <w:p w14:paraId="1E85E116" w14:textId="77777777" w:rsidR="00A02809" w:rsidRDefault="00A02809" w:rsidP="00925656">
      <w:pPr>
        <w:spacing w:line="360" w:lineRule="auto"/>
        <w:rPr>
          <w:rFonts w:asciiTheme="minorHAnsi" w:hAnsiTheme="minorHAnsi"/>
          <w:color w:val="000000"/>
          <w:sz w:val="22"/>
          <w:szCs w:val="22"/>
        </w:rPr>
      </w:pPr>
    </w:p>
    <w:p w14:paraId="1118B8F3" w14:textId="77777777" w:rsidR="00A02809" w:rsidRDefault="00A02809" w:rsidP="00925656">
      <w:pPr>
        <w:spacing w:line="360" w:lineRule="auto"/>
        <w:rPr>
          <w:rFonts w:asciiTheme="minorHAnsi" w:hAnsiTheme="minorHAnsi"/>
          <w:color w:val="000000"/>
          <w:sz w:val="22"/>
          <w:szCs w:val="22"/>
        </w:rPr>
      </w:pPr>
    </w:p>
    <w:p w14:paraId="06330C5F" w14:textId="77777777" w:rsidR="00B07C20" w:rsidRDefault="001E1338" w:rsidP="00925656">
      <w:pPr>
        <w:spacing w:line="360" w:lineRule="auto"/>
        <w:rPr>
          <w:rFonts w:asciiTheme="minorHAnsi" w:hAnsiTheme="minorHAnsi"/>
          <w:color w:val="000000"/>
          <w:sz w:val="22"/>
          <w:szCs w:val="22"/>
        </w:rPr>
      </w:pPr>
      <w:r w:rsidRPr="006663E8">
        <w:rPr>
          <w:rFonts w:asciiTheme="minorHAnsi" w:hAnsiTheme="minorHAnsi"/>
          <w:color w:val="000000"/>
          <w:sz w:val="22"/>
          <w:szCs w:val="22"/>
        </w:rPr>
        <w:t>A</w:t>
      </w:r>
      <w:r w:rsidR="009135CB" w:rsidRPr="006663E8">
        <w:rPr>
          <w:rFonts w:asciiTheme="minorHAnsi" w:hAnsiTheme="minorHAnsi"/>
          <w:color w:val="000000"/>
          <w:sz w:val="22"/>
          <w:szCs w:val="22"/>
        </w:rPr>
        <w:t>12B. Estimates of Annualized Cost Burden</w:t>
      </w:r>
    </w:p>
    <w:p w14:paraId="69A9079D" w14:textId="77777777" w:rsidR="00F374AD" w:rsidRDefault="00F374AD" w:rsidP="00925656">
      <w:pPr>
        <w:spacing w:line="360" w:lineRule="auto"/>
        <w:rPr>
          <w:rFonts w:asciiTheme="minorHAnsi" w:hAnsiTheme="minorHAnsi"/>
          <w:color w:val="000000"/>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4"/>
        <w:gridCol w:w="941"/>
        <w:gridCol w:w="1404"/>
        <w:gridCol w:w="1316"/>
        <w:gridCol w:w="1103"/>
        <w:gridCol w:w="944"/>
        <w:gridCol w:w="902"/>
        <w:gridCol w:w="1316"/>
      </w:tblGrid>
      <w:tr w:rsidR="00F374AD" w14:paraId="3AFC9D68" w14:textId="77777777" w:rsidTr="0071008A">
        <w:tc>
          <w:tcPr>
            <w:tcW w:w="1404" w:type="dxa"/>
          </w:tcPr>
          <w:p w14:paraId="144FAB50" w14:textId="28442FDC" w:rsidR="00F374AD" w:rsidRPr="0071008A" w:rsidRDefault="00F374AD" w:rsidP="00F374AD">
            <w:pPr>
              <w:rPr>
                <w:b/>
                <w:color w:val="000000"/>
                <w:sz w:val="20"/>
                <w:szCs w:val="20"/>
              </w:rPr>
            </w:pPr>
            <w:r w:rsidRPr="0071008A">
              <w:rPr>
                <w:b/>
                <w:color w:val="000000"/>
                <w:sz w:val="20"/>
                <w:szCs w:val="20"/>
              </w:rPr>
              <w:t>Type of Respondents</w:t>
            </w:r>
          </w:p>
        </w:tc>
        <w:tc>
          <w:tcPr>
            <w:tcW w:w="941" w:type="dxa"/>
          </w:tcPr>
          <w:p w14:paraId="4F6BD515" w14:textId="699B598B" w:rsidR="00F374AD" w:rsidRPr="0071008A" w:rsidRDefault="00F374AD" w:rsidP="00F374AD">
            <w:pPr>
              <w:rPr>
                <w:b/>
                <w:color w:val="000000"/>
                <w:sz w:val="20"/>
                <w:szCs w:val="20"/>
              </w:rPr>
            </w:pPr>
            <w:r w:rsidRPr="0071008A">
              <w:rPr>
                <w:b/>
                <w:color w:val="000000"/>
                <w:sz w:val="20"/>
                <w:szCs w:val="20"/>
              </w:rPr>
              <w:t>Form Name</w:t>
            </w:r>
          </w:p>
        </w:tc>
        <w:tc>
          <w:tcPr>
            <w:tcW w:w="1404" w:type="dxa"/>
          </w:tcPr>
          <w:p w14:paraId="76DA693B" w14:textId="06BD8E6C" w:rsidR="00F374AD" w:rsidRPr="0071008A" w:rsidRDefault="00F374AD" w:rsidP="00F374AD">
            <w:pPr>
              <w:rPr>
                <w:b/>
                <w:color w:val="000000"/>
                <w:sz w:val="20"/>
                <w:szCs w:val="20"/>
              </w:rPr>
            </w:pPr>
            <w:r w:rsidRPr="0071008A">
              <w:rPr>
                <w:b/>
                <w:sz w:val="20"/>
                <w:szCs w:val="20"/>
              </w:rPr>
              <w:t>Number of Respondents</w:t>
            </w:r>
          </w:p>
        </w:tc>
        <w:tc>
          <w:tcPr>
            <w:tcW w:w="1316" w:type="dxa"/>
          </w:tcPr>
          <w:p w14:paraId="3403FE23" w14:textId="310D7377" w:rsidR="00F374AD" w:rsidRPr="0071008A" w:rsidRDefault="00F374AD" w:rsidP="00F374AD">
            <w:pPr>
              <w:rPr>
                <w:b/>
                <w:color w:val="000000"/>
                <w:sz w:val="20"/>
                <w:szCs w:val="20"/>
              </w:rPr>
            </w:pPr>
            <w:r w:rsidRPr="0071008A">
              <w:rPr>
                <w:b/>
                <w:sz w:val="20"/>
                <w:szCs w:val="20"/>
              </w:rPr>
              <w:t>Number of  Responses per Respondent</w:t>
            </w:r>
          </w:p>
        </w:tc>
        <w:tc>
          <w:tcPr>
            <w:tcW w:w="1103" w:type="dxa"/>
          </w:tcPr>
          <w:p w14:paraId="18394861" w14:textId="6C1378D7" w:rsidR="00F374AD" w:rsidRPr="0071008A" w:rsidRDefault="00F374AD" w:rsidP="00F374AD">
            <w:pPr>
              <w:rPr>
                <w:b/>
                <w:color w:val="000000"/>
                <w:sz w:val="20"/>
                <w:szCs w:val="20"/>
              </w:rPr>
            </w:pPr>
            <w:r w:rsidRPr="0071008A">
              <w:rPr>
                <w:b/>
                <w:sz w:val="20"/>
                <w:szCs w:val="20"/>
              </w:rPr>
              <w:t>Average Burden Per Response  (in hours)</w:t>
            </w:r>
          </w:p>
        </w:tc>
        <w:tc>
          <w:tcPr>
            <w:tcW w:w="944" w:type="dxa"/>
          </w:tcPr>
          <w:p w14:paraId="689A6589" w14:textId="420FBD6D" w:rsidR="00F374AD" w:rsidRPr="0071008A" w:rsidRDefault="00F374AD" w:rsidP="00F374AD">
            <w:pPr>
              <w:rPr>
                <w:b/>
                <w:color w:val="000000"/>
                <w:sz w:val="20"/>
                <w:szCs w:val="20"/>
              </w:rPr>
            </w:pPr>
            <w:r w:rsidRPr="0071008A">
              <w:rPr>
                <w:b/>
                <w:sz w:val="20"/>
                <w:szCs w:val="20"/>
              </w:rPr>
              <w:t>Total Burden Hours</w:t>
            </w:r>
          </w:p>
        </w:tc>
        <w:tc>
          <w:tcPr>
            <w:tcW w:w="902" w:type="dxa"/>
          </w:tcPr>
          <w:p w14:paraId="063630BC" w14:textId="70E2D909" w:rsidR="00F374AD" w:rsidRPr="0071008A" w:rsidRDefault="00F374AD" w:rsidP="00F374AD">
            <w:pPr>
              <w:rPr>
                <w:b/>
                <w:color w:val="000000"/>
                <w:sz w:val="20"/>
                <w:szCs w:val="20"/>
              </w:rPr>
            </w:pPr>
            <w:r w:rsidRPr="0071008A">
              <w:rPr>
                <w:b/>
                <w:sz w:val="20"/>
                <w:szCs w:val="20"/>
              </w:rPr>
              <w:t>Hourly Wage Rate</w:t>
            </w:r>
          </w:p>
        </w:tc>
        <w:tc>
          <w:tcPr>
            <w:tcW w:w="1316" w:type="dxa"/>
          </w:tcPr>
          <w:p w14:paraId="67F8485A" w14:textId="49AD1153" w:rsidR="00F374AD" w:rsidRPr="0071008A" w:rsidRDefault="00F374AD" w:rsidP="00F374AD">
            <w:pPr>
              <w:rPr>
                <w:b/>
                <w:color w:val="000000"/>
                <w:sz w:val="20"/>
                <w:szCs w:val="20"/>
              </w:rPr>
            </w:pPr>
            <w:r w:rsidRPr="0071008A">
              <w:rPr>
                <w:b/>
                <w:sz w:val="20"/>
                <w:szCs w:val="20"/>
              </w:rPr>
              <w:t xml:space="preserve">Respondent Cost </w:t>
            </w:r>
          </w:p>
        </w:tc>
      </w:tr>
      <w:tr w:rsidR="00514224" w14:paraId="7A8229D7" w14:textId="77777777" w:rsidTr="0071008A">
        <w:tc>
          <w:tcPr>
            <w:tcW w:w="1404" w:type="dxa"/>
          </w:tcPr>
          <w:p w14:paraId="082F6A2A" w14:textId="6CBDD254" w:rsidR="00514224" w:rsidRPr="0071008A" w:rsidRDefault="00514224" w:rsidP="00514224">
            <w:pPr>
              <w:rPr>
                <w:color w:val="000000"/>
                <w:sz w:val="20"/>
                <w:szCs w:val="20"/>
              </w:rPr>
            </w:pPr>
            <w:r w:rsidRPr="0071008A">
              <w:rPr>
                <w:sz w:val="20"/>
                <w:szCs w:val="20"/>
              </w:rPr>
              <w:t>States</w:t>
            </w:r>
          </w:p>
        </w:tc>
        <w:tc>
          <w:tcPr>
            <w:tcW w:w="941" w:type="dxa"/>
          </w:tcPr>
          <w:p w14:paraId="1E087665" w14:textId="52E4B876" w:rsidR="00514224" w:rsidRPr="0071008A" w:rsidRDefault="00514224" w:rsidP="00514224">
            <w:pPr>
              <w:rPr>
                <w:color w:val="000000"/>
                <w:sz w:val="20"/>
                <w:szCs w:val="20"/>
              </w:rPr>
            </w:pPr>
            <w:r w:rsidRPr="0071008A">
              <w:rPr>
                <w:color w:val="000000"/>
                <w:sz w:val="20"/>
                <w:szCs w:val="20"/>
              </w:rPr>
              <w:t>Weekly and Annual</w:t>
            </w:r>
          </w:p>
        </w:tc>
        <w:tc>
          <w:tcPr>
            <w:tcW w:w="1404" w:type="dxa"/>
          </w:tcPr>
          <w:p w14:paraId="45B2CFD1" w14:textId="5C277019" w:rsidR="00514224" w:rsidRPr="00514224" w:rsidRDefault="00514224" w:rsidP="00514224">
            <w:pPr>
              <w:rPr>
                <w:color w:val="000000"/>
                <w:sz w:val="20"/>
                <w:szCs w:val="20"/>
              </w:rPr>
            </w:pPr>
            <w:r w:rsidRPr="00514224">
              <w:rPr>
                <w:sz w:val="20"/>
                <w:szCs w:val="20"/>
              </w:rPr>
              <w:t>50</w:t>
            </w:r>
          </w:p>
        </w:tc>
        <w:tc>
          <w:tcPr>
            <w:tcW w:w="1316" w:type="dxa"/>
          </w:tcPr>
          <w:p w14:paraId="77DB5792" w14:textId="70046996" w:rsidR="00514224" w:rsidRPr="00514224" w:rsidRDefault="00514224" w:rsidP="00514224">
            <w:pPr>
              <w:rPr>
                <w:color w:val="000000"/>
                <w:sz w:val="20"/>
                <w:szCs w:val="20"/>
              </w:rPr>
            </w:pPr>
            <w:r w:rsidRPr="00514224">
              <w:rPr>
                <w:sz w:val="20"/>
                <w:szCs w:val="20"/>
              </w:rPr>
              <w:t>52</w:t>
            </w:r>
          </w:p>
        </w:tc>
        <w:tc>
          <w:tcPr>
            <w:tcW w:w="1103" w:type="dxa"/>
          </w:tcPr>
          <w:p w14:paraId="34BB634B" w14:textId="74539F04" w:rsidR="00514224" w:rsidRPr="00514224" w:rsidRDefault="00514224" w:rsidP="00514224">
            <w:pPr>
              <w:rPr>
                <w:color w:val="000000"/>
                <w:sz w:val="20"/>
                <w:szCs w:val="20"/>
              </w:rPr>
            </w:pPr>
            <w:r w:rsidRPr="00514224">
              <w:rPr>
                <w:sz w:val="20"/>
                <w:szCs w:val="20"/>
              </w:rPr>
              <w:t>10</w:t>
            </w:r>
          </w:p>
        </w:tc>
        <w:tc>
          <w:tcPr>
            <w:tcW w:w="944" w:type="dxa"/>
          </w:tcPr>
          <w:p w14:paraId="13DCF36A" w14:textId="470862A6" w:rsidR="00514224" w:rsidRPr="00514224" w:rsidRDefault="00514224" w:rsidP="00514224">
            <w:pPr>
              <w:rPr>
                <w:color w:val="000000"/>
                <w:sz w:val="20"/>
                <w:szCs w:val="20"/>
              </w:rPr>
            </w:pPr>
            <w:r w:rsidRPr="00514224">
              <w:rPr>
                <w:sz w:val="20"/>
                <w:szCs w:val="20"/>
              </w:rPr>
              <w:t>26,000</w:t>
            </w:r>
          </w:p>
        </w:tc>
        <w:tc>
          <w:tcPr>
            <w:tcW w:w="902" w:type="dxa"/>
          </w:tcPr>
          <w:p w14:paraId="1E72E1B5" w14:textId="27BD606F" w:rsidR="00514224" w:rsidRPr="00514224" w:rsidRDefault="00514224" w:rsidP="00514224">
            <w:pPr>
              <w:rPr>
                <w:color w:val="000000"/>
                <w:sz w:val="20"/>
                <w:szCs w:val="20"/>
              </w:rPr>
            </w:pPr>
            <w:r w:rsidRPr="00514224">
              <w:rPr>
                <w:sz w:val="20"/>
                <w:szCs w:val="20"/>
              </w:rPr>
              <w:t>$35.63</w:t>
            </w:r>
          </w:p>
        </w:tc>
        <w:tc>
          <w:tcPr>
            <w:tcW w:w="1316" w:type="dxa"/>
          </w:tcPr>
          <w:p w14:paraId="38499912" w14:textId="27294BE8" w:rsidR="00514224" w:rsidRPr="00514224" w:rsidRDefault="00514224" w:rsidP="00514224">
            <w:pPr>
              <w:rPr>
                <w:color w:val="000000"/>
                <w:sz w:val="20"/>
                <w:szCs w:val="20"/>
              </w:rPr>
            </w:pPr>
            <w:r w:rsidRPr="00514224">
              <w:rPr>
                <w:sz w:val="20"/>
                <w:szCs w:val="20"/>
              </w:rPr>
              <w:t>$926,380</w:t>
            </w:r>
          </w:p>
        </w:tc>
      </w:tr>
      <w:tr w:rsidR="00514224" w14:paraId="6E8EE7D6" w14:textId="77777777" w:rsidTr="0071008A">
        <w:tc>
          <w:tcPr>
            <w:tcW w:w="1404" w:type="dxa"/>
          </w:tcPr>
          <w:p w14:paraId="6E8C294B" w14:textId="646847BB" w:rsidR="00514224" w:rsidRPr="0071008A" w:rsidRDefault="00514224" w:rsidP="00514224">
            <w:pPr>
              <w:rPr>
                <w:color w:val="000000"/>
                <w:sz w:val="20"/>
                <w:szCs w:val="20"/>
              </w:rPr>
            </w:pPr>
            <w:r w:rsidRPr="0071008A">
              <w:rPr>
                <w:sz w:val="20"/>
                <w:szCs w:val="20"/>
              </w:rPr>
              <w:t>Territories</w:t>
            </w:r>
          </w:p>
        </w:tc>
        <w:tc>
          <w:tcPr>
            <w:tcW w:w="941" w:type="dxa"/>
          </w:tcPr>
          <w:p w14:paraId="12191CC2" w14:textId="729C3AB9" w:rsidR="00514224" w:rsidRPr="0071008A" w:rsidRDefault="00514224" w:rsidP="00514224">
            <w:pPr>
              <w:rPr>
                <w:color w:val="000000"/>
                <w:sz w:val="20"/>
                <w:szCs w:val="20"/>
              </w:rPr>
            </w:pPr>
            <w:r w:rsidRPr="0071008A">
              <w:rPr>
                <w:sz w:val="20"/>
                <w:szCs w:val="20"/>
              </w:rPr>
              <w:t>Weekly and Annual</w:t>
            </w:r>
          </w:p>
        </w:tc>
        <w:tc>
          <w:tcPr>
            <w:tcW w:w="1404" w:type="dxa"/>
          </w:tcPr>
          <w:p w14:paraId="6870F15A" w14:textId="7651C4FE" w:rsidR="00514224" w:rsidRPr="00514224" w:rsidRDefault="00514224" w:rsidP="00514224">
            <w:pPr>
              <w:rPr>
                <w:color w:val="000000"/>
                <w:sz w:val="20"/>
                <w:szCs w:val="20"/>
              </w:rPr>
            </w:pPr>
            <w:r w:rsidRPr="00514224">
              <w:rPr>
                <w:sz w:val="20"/>
                <w:szCs w:val="20"/>
              </w:rPr>
              <w:t>5</w:t>
            </w:r>
          </w:p>
        </w:tc>
        <w:tc>
          <w:tcPr>
            <w:tcW w:w="1316" w:type="dxa"/>
          </w:tcPr>
          <w:p w14:paraId="4FE7F059" w14:textId="39FF2994" w:rsidR="00514224" w:rsidRPr="00514224" w:rsidRDefault="00514224" w:rsidP="00514224">
            <w:pPr>
              <w:rPr>
                <w:color w:val="000000"/>
                <w:sz w:val="20"/>
                <w:szCs w:val="20"/>
              </w:rPr>
            </w:pPr>
            <w:r w:rsidRPr="00514224">
              <w:rPr>
                <w:sz w:val="20"/>
                <w:szCs w:val="20"/>
              </w:rPr>
              <w:t>52</w:t>
            </w:r>
          </w:p>
        </w:tc>
        <w:tc>
          <w:tcPr>
            <w:tcW w:w="1103" w:type="dxa"/>
          </w:tcPr>
          <w:p w14:paraId="0FFC5A54" w14:textId="0CEADC6C" w:rsidR="00514224" w:rsidRPr="00514224" w:rsidRDefault="00514224" w:rsidP="00514224">
            <w:pPr>
              <w:rPr>
                <w:color w:val="000000"/>
                <w:sz w:val="20"/>
                <w:szCs w:val="20"/>
              </w:rPr>
            </w:pPr>
            <w:r w:rsidRPr="00514224">
              <w:rPr>
                <w:sz w:val="20"/>
                <w:szCs w:val="20"/>
              </w:rPr>
              <w:t>5</w:t>
            </w:r>
          </w:p>
        </w:tc>
        <w:tc>
          <w:tcPr>
            <w:tcW w:w="944" w:type="dxa"/>
          </w:tcPr>
          <w:p w14:paraId="5F2213BE" w14:textId="2916E3EB" w:rsidR="00514224" w:rsidRPr="00514224" w:rsidRDefault="00514224" w:rsidP="00514224">
            <w:pPr>
              <w:rPr>
                <w:color w:val="000000"/>
                <w:sz w:val="20"/>
                <w:szCs w:val="20"/>
              </w:rPr>
            </w:pPr>
            <w:r w:rsidRPr="00514224">
              <w:rPr>
                <w:sz w:val="20"/>
                <w:szCs w:val="20"/>
              </w:rPr>
              <w:t>1,300</w:t>
            </w:r>
          </w:p>
        </w:tc>
        <w:tc>
          <w:tcPr>
            <w:tcW w:w="902" w:type="dxa"/>
          </w:tcPr>
          <w:p w14:paraId="395C47F3" w14:textId="6E326930" w:rsidR="00514224" w:rsidRPr="00514224" w:rsidRDefault="00514224" w:rsidP="00514224">
            <w:pPr>
              <w:rPr>
                <w:color w:val="000000"/>
                <w:sz w:val="20"/>
                <w:szCs w:val="20"/>
              </w:rPr>
            </w:pPr>
            <w:r w:rsidRPr="00514224">
              <w:rPr>
                <w:sz w:val="20"/>
                <w:szCs w:val="20"/>
              </w:rPr>
              <w:t>$35.63</w:t>
            </w:r>
          </w:p>
        </w:tc>
        <w:tc>
          <w:tcPr>
            <w:tcW w:w="1316" w:type="dxa"/>
          </w:tcPr>
          <w:p w14:paraId="24410CA5" w14:textId="1EFA46D5" w:rsidR="00514224" w:rsidRPr="00514224" w:rsidRDefault="00514224" w:rsidP="00514224">
            <w:pPr>
              <w:rPr>
                <w:color w:val="000000"/>
                <w:sz w:val="20"/>
                <w:szCs w:val="20"/>
              </w:rPr>
            </w:pPr>
            <w:r w:rsidRPr="00514224">
              <w:rPr>
                <w:sz w:val="20"/>
                <w:szCs w:val="20"/>
              </w:rPr>
              <w:t>$46,319</w:t>
            </w:r>
          </w:p>
        </w:tc>
      </w:tr>
      <w:tr w:rsidR="00514224" w14:paraId="55F23F18" w14:textId="77777777" w:rsidTr="0071008A">
        <w:tc>
          <w:tcPr>
            <w:tcW w:w="1404" w:type="dxa"/>
          </w:tcPr>
          <w:p w14:paraId="7B60EB09" w14:textId="0F94AC6D" w:rsidR="00514224" w:rsidRPr="0071008A" w:rsidRDefault="00514224" w:rsidP="00514224">
            <w:pPr>
              <w:rPr>
                <w:color w:val="000000"/>
                <w:sz w:val="20"/>
                <w:szCs w:val="20"/>
              </w:rPr>
            </w:pPr>
            <w:r w:rsidRPr="0071008A">
              <w:rPr>
                <w:sz w:val="20"/>
                <w:szCs w:val="20"/>
              </w:rPr>
              <w:t>Cities</w:t>
            </w:r>
          </w:p>
        </w:tc>
        <w:tc>
          <w:tcPr>
            <w:tcW w:w="941" w:type="dxa"/>
          </w:tcPr>
          <w:p w14:paraId="5025A07E" w14:textId="6E85AEEF" w:rsidR="00514224" w:rsidRPr="0071008A" w:rsidRDefault="00514224" w:rsidP="00514224">
            <w:pPr>
              <w:rPr>
                <w:color w:val="000000"/>
                <w:sz w:val="20"/>
                <w:szCs w:val="20"/>
              </w:rPr>
            </w:pPr>
            <w:r w:rsidRPr="0071008A">
              <w:rPr>
                <w:sz w:val="20"/>
                <w:szCs w:val="20"/>
              </w:rPr>
              <w:t>Weekly and Annual</w:t>
            </w:r>
          </w:p>
        </w:tc>
        <w:tc>
          <w:tcPr>
            <w:tcW w:w="1404" w:type="dxa"/>
          </w:tcPr>
          <w:p w14:paraId="4E8AF516" w14:textId="027C1E8B" w:rsidR="00514224" w:rsidRPr="00514224" w:rsidRDefault="00514224" w:rsidP="00514224">
            <w:pPr>
              <w:rPr>
                <w:color w:val="000000"/>
                <w:sz w:val="20"/>
                <w:szCs w:val="20"/>
              </w:rPr>
            </w:pPr>
            <w:r w:rsidRPr="00514224">
              <w:rPr>
                <w:sz w:val="20"/>
                <w:szCs w:val="20"/>
              </w:rPr>
              <w:t>2</w:t>
            </w:r>
          </w:p>
        </w:tc>
        <w:tc>
          <w:tcPr>
            <w:tcW w:w="1316" w:type="dxa"/>
          </w:tcPr>
          <w:p w14:paraId="43E93BBC" w14:textId="6EAC60B5" w:rsidR="00514224" w:rsidRPr="00514224" w:rsidRDefault="00514224" w:rsidP="00514224">
            <w:pPr>
              <w:rPr>
                <w:color w:val="000000"/>
                <w:sz w:val="20"/>
                <w:szCs w:val="20"/>
              </w:rPr>
            </w:pPr>
            <w:r w:rsidRPr="00514224">
              <w:rPr>
                <w:sz w:val="20"/>
                <w:szCs w:val="20"/>
              </w:rPr>
              <w:t>52</w:t>
            </w:r>
          </w:p>
        </w:tc>
        <w:tc>
          <w:tcPr>
            <w:tcW w:w="1103" w:type="dxa"/>
          </w:tcPr>
          <w:p w14:paraId="65A586F8" w14:textId="6606F205" w:rsidR="00514224" w:rsidRPr="00514224" w:rsidRDefault="00514224" w:rsidP="00514224">
            <w:pPr>
              <w:rPr>
                <w:color w:val="000000"/>
                <w:sz w:val="20"/>
                <w:szCs w:val="20"/>
              </w:rPr>
            </w:pPr>
            <w:r w:rsidRPr="00514224">
              <w:rPr>
                <w:sz w:val="20"/>
                <w:szCs w:val="20"/>
              </w:rPr>
              <w:t>2</w:t>
            </w:r>
          </w:p>
        </w:tc>
        <w:tc>
          <w:tcPr>
            <w:tcW w:w="944" w:type="dxa"/>
          </w:tcPr>
          <w:p w14:paraId="1A37B29C" w14:textId="337F9ABC" w:rsidR="00514224" w:rsidRPr="00514224" w:rsidRDefault="00514224" w:rsidP="00514224">
            <w:pPr>
              <w:rPr>
                <w:color w:val="000000"/>
                <w:sz w:val="20"/>
                <w:szCs w:val="20"/>
              </w:rPr>
            </w:pPr>
            <w:r w:rsidRPr="00514224">
              <w:rPr>
                <w:sz w:val="20"/>
                <w:szCs w:val="20"/>
              </w:rPr>
              <w:t>1,040</w:t>
            </w:r>
          </w:p>
        </w:tc>
        <w:tc>
          <w:tcPr>
            <w:tcW w:w="902" w:type="dxa"/>
          </w:tcPr>
          <w:p w14:paraId="65CBCE55" w14:textId="415FEDDF" w:rsidR="00514224" w:rsidRPr="00514224" w:rsidRDefault="00514224" w:rsidP="00514224">
            <w:pPr>
              <w:rPr>
                <w:color w:val="000000"/>
                <w:sz w:val="20"/>
                <w:szCs w:val="20"/>
              </w:rPr>
            </w:pPr>
            <w:r w:rsidRPr="00514224">
              <w:rPr>
                <w:sz w:val="20"/>
                <w:szCs w:val="20"/>
              </w:rPr>
              <w:t>$35.63</w:t>
            </w:r>
          </w:p>
        </w:tc>
        <w:tc>
          <w:tcPr>
            <w:tcW w:w="1316" w:type="dxa"/>
          </w:tcPr>
          <w:p w14:paraId="56B76D8B" w14:textId="18355A1B" w:rsidR="00514224" w:rsidRPr="00514224" w:rsidRDefault="00514224" w:rsidP="00514224">
            <w:pPr>
              <w:rPr>
                <w:color w:val="000000"/>
                <w:sz w:val="20"/>
                <w:szCs w:val="20"/>
              </w:rPr>
            </w:pPr>
            <w:r w:rsidRPr="00514224">
              <w:rPr>
                <w:sz w:val="20"/>
                <w:szCs w:val="20"/>
              </w:rPr>
              <w:t>$37,055</w:t>
            </w:r>
          </w:p>
        </w:tc>
      </w:tr>
      <w:tr w:rsidR="0071008A" w14:paraId="4E865D5F" w14:textId="77777777" w:rsidTr="0071008A">
        <w:tc>
          <w:tcPr>
            <w:tcW w:w="1404" w:type="dxa"/>
          </w:tcPr>
          <w:p w14:paraId="496B4E24" w14:textId="3282348E" w:rsidR="0071008A" w:rsidRPr="00514224" w:rsidRDefault="0071008A" w:rsidP="0071008A">
            <w:pPr>
              <w:rPr>
                <w:b/>
                <w:color w:val="000000"/>
                <w:sz w:val="20"/>
                <w:szCs w:val="20"/>
              </w:rPr>
            </w:pPr>
            <w:r w:rsidRPr="00514224">
              <w:rPr>
                <w:b/>
                <w:color w:val="000000"/>
                <w:sz w:val="20"/>
                <w:szCs w:val="20"/>
              </w:rPr>
              <w:t>Total</w:t>
            </w:r>
          </w:p>
        </w:tc>
        <w:tc>
          <w:tcPr>
            <w:tcW w:w="941" w:type="dxa"/>
          </w:tcPr>
          <w:p w14:paraId="34A18D6D" w14:textId="77777777" w:rsidR="0071008A" w:rsidRPr="0071008A" w:rsidRDefault="0071008A" w:rsidP="0071008A">
            <w:pPr>
              <w:rPr>
                <w:color w:val="000000"/>
                <w:sz w:val="20"/>
                <w:szCs w:val="20"/>
              </w:rPr>
            </w:pPr>
          </w:p>
        </w:tc>
        <w:tc>
          <w:tcPr>
            <w:tcW w:w="1404" w:type="dxa"/>
          </w:tcPr>
          <w:p w14:paraId="34BB59FA" w14:textId="77777777" w:rsidR="0071008A" w:rsidRPr="0071008A" w:rsidRDefault="0071008A" w:rsidP="00514224">
            <w:pPr>
              <w:rPr>
                <w:color w:val="000000"/>
                <w:sz w:val="20"/>
                <w:szCs w:val="20"/>
              </w:rPr>
            </w:pPr>
          </w:p>
        </w:tc>
        <w:tc>
          <w:tcPr>
            <w:tcW w:w="1316" w:type="dxa"/>
          </w:tcPr>
          <w:p w14:paraId="12779B53" w14:textId="77777777" w:rsidR="0071008A" w:rsidRPr="0071008A" w:rsidRDefault="0071008A" w:rsidP="00514224">
            <w:pPr>
              <w:rPr>
                <w:color w:val="000000"/>
                <w:sz w:val="20"/>
                <w:szCs w:val="20"/>
              </w:rPr>
            </w:pPr>
          </w:p>
        </w:tc>
        <w:tc>
          <w:tcPr>
            <w:tcW w:w="1103" w:type="dxa"/>
          </w:tcPr>
          <w:p w14:paraId="118E67EB" w14:textId="77777777" w:rsidR="0071008A" w:rsidRPr="0071008A" w:rsidRDefault="0071008A" w:rsidP="00514224">
            <w:pPr>
              <w:rPr>
                <w:color w:val="000000"/>
                <w:sz w:val="20"/>
                <w:szCs w:val="20"/>
              </w:rPr>
            </w:pPr>
          </w:p>
        </w:tc>
        <w:tc>
          <w:tcPr>
            <w:tcW w:w="944" w:type="dxa"/>
          </w:tcPr>
          <w:p w14:paraId="1F354EA8" w14:textId="77777777" w:rsidR="0071008A" w:rsidRPr="0071008A" w:rsidRDefault="0071008A" w:rsidP="00514224">
            <w:pPr>
              <w:rPr>
                <w:color w:val="000000"/>
                <w:sz w:val="20"/>
                <w:szCs w:val="20"/>
              </w:rPr>
            </w:pPr>
          </w:p>
        </w:tc>
        <w:tc>
          <w:tcPr>
            <w:tcW w:w="902" w:type="dxa"/>
          </w:tcPr>
          <w:p w14:paraId="5B1743EB" w14:textId="77777777" w:rsidR="0071008A" w:rsidRPr="0071008A" w:rsidRDefault="0071008A" w:rsidP="00514224">
            <w:pPr>
              <w:rPr>
                <w:color w:val="000000"/>
                <w:sz w:val="20"/>
                <w:szCs w:val="20"/>
              </w:rPr>
            </w:pPr>
          </w:p>
        </w:tc>
        <w:tc>
          <w:tcPr>
            <w:tcW w:w="1316" w:type="dxa"/>
          </w:tcPr>
          <w:p w14:paraId="269573C0" w14:textId="0E3D0A3A" w:rsidR="0071008A" w:rsidRPr="00514224" w:rsidRDefault="00514224" w:rsidP="00514224">
            <w:pPr>
              <w:rPr>
                <w:b/>
                <w:color w:val="000000"/>
                <w:sz w:val="20"/>
                <w:szCs w:val="20"/>
              </w:rPr>
            </w:pPr>
            <w:r w:rsidRPr="00514224">
              <w:rPr>
                <w:b/>
                <w:color w:val="000000"/>
                <w:sz w:val="20"/>
                <w:szCs w:val="20"/>
              </w:rPr>
              <w:t>$1,009,754</w:t>
            </w:r>
          </w:p>
        </w:tc>
      </w:tr>
    </w:tbl>
    <w:p w14:paraId="1495F146" w14:textId="77777777" w:rsidR="00F374AD" w:rsidRPr="006663E8" w:rsidRDefault="00F374AD" w:rsidP="00925656">
      <w:pPr>
        <w:spacing w:line="360" w:lineRule="auto"/>
        <w:rPr>
          <w:rFonts w:asciiTheme="minorHAnsi" w:hAnsiTheme="minorHAnsi"/>
          <w:color w:val="000000"/>
          <w:sz w:val="22"/>
          <w:szCs w:val="22"/>
        </w:rPr>
      </w:pPr>
    </w:p>
    <w:p w14:paraId="6F6E4BC3" w14:textId="77777777" w:rsidR="00490E07" w:rsidRPr="00FF55BF" w:rsidRDefault="00490E07" w:rsidP="00925656">
      <w:pPr>
        <w:spacing w:line="360" w:lineRule="auto"/>
        <w:rPr>
          <w:rFonts w:asciiTheme="minorHAnsi" w:hAnsiTheme="minorHAnsi"/>
          <w:color w:val="FF0000"/>
          <w:sz w:val="22"/>
          <w:szCs w:val="22"/>
        </w:rPr>
      </w:pPr>
    </w:p>
    <w:p w14:paraId="5750DF4E" w14:textId="77777777" w:rsidR="00F407A9" w:rsidRDefault="00F407A9" w:rsidP="00925656">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14:paraId="54939365" w14:textId="7DCEC168"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A.13. </w:t>
      </w:r>
      <w:r w:rsidRPr="00FF55BF">
        <w:rPr>
          <w:rFonts w:asciiTheme="minorHAnsi" w:hAnsiTheme="minorHAnsi"/>
          <w:b/>
          <w:color w:val="000000"/>
          <w:sz w:val="22"/>
          <w:szCs w:val="22"/>
          <w:u w:val="single"/>
        </w:rPr>
        <w:t xml:space="preserve">Estimate of Other Total Annual Cost Burden to Respondents or </w:t>
      </w:r>
      <w:r w:rsidR="00BD540F" w:rsidRPr="00FF55BF">
        <w:rPr>
          <w:rFonts w:asciiTheme="minorHAnsi" w:hAnsiTheme="minorHAnsi"/>
          <w:b/>
          <w:color w:val="000000"/>
          <w:sz w:val="22"/>
          <w:szCs w:val="22"/>
          <w:u w:val="single"/>
        </w:rPr>
        <w:t>Record</w:t>
      </w:r>
      <w:r w:rsidR="001A4D48">
        <w:rPr>
          <w:rFonts w:asciiTheme="minorHAnsi" w:hAnsiTheme="minorHAnsi"/>
          <w:b/>
          <w:color w:val="000000"/>
          <w:sz w:val="22"/>
          <w:szCs w:val="22"/>
          <w:u w:val="single"/>
        </w:rPr>
        <w:t xml:space="preserve"> K</w:t>
      </w:r>
      <w:r w:rsidR="00BD540F" w:rsidRPr="00FF55BF">
        <w:rPr>
          <w:rFonts w:asciiTheme="minorHAnsi" w:hAnsiTheme="minorHAnsi"/>
          <w:b/>
          <w:color w:val="000000"/>
          <w:sz w:val="22"/>
          <w:szCs w:val="22"/>
          <w:u w:val="single"/>
        </w:rPr>
        <w:t>eepers</w:t>
      </w:r>
    </w:p>
    <w:p w14:paraId="3C8A5E49"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color w:val="000000"/>
          <w:sz w:val="22"/>
          <w:szCs w:val="22"/>
        </w:rPr>
        <w:t>There are no other annual costs to respondents or record</w:t>
      </w:r>
      <w:r w:rsidR="00DB6DED" w:rsidRPr="00FF55BF">
        <w:rPr>
          <w:rFonts w:asciiTheme="minorHAnsi" w:hAnsiTheme="minorHAnsi"/>
          <w:color w:val="000000"/>
          <w:sz w:val="22"/>
          <w:szCs w:val="22"/>
        </w:rPr>
        <w:t xml:space="preserve"> </w:t>
      </w:r>
      <w:r w:rsidRPr="00FF55BF">
        <w:rPr>
          <w:rFonts w:asciiTheme="minorHAnsi" w:hAnsiTheme="minorHAnsi"/>
          <w:color w:val="000000"/>
          <w:sz w:val="22"/>
          <w:szCs w:val="22"/>
        </w:rPr>
        <w:t xml:space="preserve">keepers.  </w:t>
      </w:r>
    </w:p>
    <w:p w14:paraId="669FB414" w14:textId="77777777" w:rsidR="000B7D79" w:rsidRDefault="000B7D79" w:rsidP="00925656">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14:paraId="606064E6"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8D674A">
        <w:rPr>
          <w:rFonts w:asciiTheme="minorHAnsi" w:hAnsiTheme="minorHAnsi"/>
          <w:b/>
          <w:color w:val="000000"/>
          <w:sz w:val="22"/>
          <w:szCs w:val="22"/>
        </w:rPr>
        <w:t xml:space="preserve">A.14. </w:t>
      </w:r>
      <w:r w:rsidRPr="008D674A">
        <w:rPr>
          <w:rFonts w:asciiTheme="minorHAnsi" w:hAnsiTheme="minorHAnsi"/>
          <w:b/>
          <w:color w:val="000000"/>
          <w:sz w:val="22"/>
          <w:szCs w:val="22"/>
          <w:u w:val="single"/>
        </w:rPr>
        <w:t>Annualized Cost to the Federal Government</w:t>
      </w:r>
      <w:r w:rsidR="00A62F53" w:rsidRPr="00FF55BF">
        <w:rPr>
          <w:rFonts w:asciiTheme="minorHAnsi" w:hAnsiTheme="minorHAnsi"/>
          <w:b/>
          <w:color w:val="000000"/>
          <w:sz w:val="22"/>
          <w:szCs w:val="22"/>
          <w:u w:val="single"/>
        </w:rPr>
        <w:t xml:space="preserve"> </w:t>
      </w:r>
    </w:p>
    <w:p w14:paraId="6D0BAE75"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tbl>
      <w:tblPr>
        <w:tblW w:w="9450" w:type="dxa"/>
        <w:tblInd w:w="96" w:type="dxa"/>
        <w:tblLayout w:type="fixed"/>
        <w:tblCellMar>
          <w:left w:w="96" w:type="dxa"/>
          <w:right w:w="96" w:type="dxa"/>
        </w:tblCellMar>
        <w:tblLook w:val="0000" w:firstRow="0" w:lastRow="0" w:firstColumn="0" w:lastColumn="0" w:noHBand="0" w:noVBand="0"/>
      </w:tblPr>
      <w:tblGrid>
        <w:gridCol w:w="5040"/>
        <w:gridCol w:w="1530"/>
        <w:gridCol w:w="1440"/>
        <w:gridCol w:w="1440"/>
      </w:tblGrid>
      <w:tr w:rsidR="00A94D67" w:rsidRPr="00FF55BF" w14:paraId="2DF2270E" w14:textId="77777777" w:rsidTr="00F057C1">
        <w:trPr>
          <w:cantSplit/>
          <w:trHeight w:val="402"/>
        </w:trPr>
        <w:tc>
          <w:tcPr>
            <w:tcW w:w="5040" w:type="dxa"/>
            <w:tcBorders>
              <w:top w:val="single" w:sz="6" w:space="0" w:color="000000"/>
              <w:left w:val="single" w:sz="6" w:space="0" w:color="000000"/>
            </w:tcBorders>
          </w:tcPr>
          <w:p w14:paraId="7430B5B6" w14:textId="77777777" w:rsidR="00EB49FE" w:rsidRPr="00FF55BF" w:rsidRDefault="00EB49FE" w:rsidP="00925656">
            <w:pPr>
              <w:spacing w:line="360" w:lineRule="auto"/>
              <w:rPr>
                <w:rFonts w:asciiTheme="minorHAnsi" w:hAnsiTheme="minorHAnsi"/>
                <w:sz w:val="22"/>
                <w:szCs w:val="22"/>
              </w:rPr>
            </w:pPr>
            <w:r w:rsidRPr="00FF55BF">
              <w:rPr>
                <w:rFonts w:asciiTheme="minorHAnsi" w:hAnsiTheme="minorHAnsi"/>
                <w:sz w:val="22"/>
                <w:szCs w:val="22"/>
              </w:rPr>
              <w:t>Item</w:t>
            </w:r>
          </w:p>
        </w:tc>
        <w:tc>
          <w:tcPr>
            <w:tcW w:w="4410" w:type="dxa"/>
            <w:gridSpan w:val="3"/>
            <w:tcBorders>
              <w:top w:val="single" w:sz="6" w:space="0" w:color="000000"/>
              <w:left w:val="single" w:sz="6" w:space="0" w:color="000000"/>
              <w:right w:val="single" w:sz="6" w:space="0" w:color="000000"/>
            </w:tcBorders>
          </w:tcPr>
          <w:p w14:paraId="0BB80706" w14:textId="77777777" w:rsidR="00EB49FE" w:rsidRPr="00FF55BF" w:rsidRDefault="00EB49FE" w:rsidP="00925656">
            <w:pPr>
              <w:spacing w:line="360" w:lineRule="auto"/>
              <w:jc w:val="center"/>
              <w:rPr>
                <w:rFonts w:asciiTheme="minorHAnsi" w:hAnsiTheme="minorHAnsi"/>
                <w:b/>
                <w:sz w:val="22"/>
                <w:szCs w:val="22"/>
              </w:rPr>
            </w:pPr>
            <w:r w:rsidRPr="00FF55BF">
              <w:rPr>
                <w:rFonts w:asciiTheme="minorHAnsi" w:hAnsiTheme="minorHAnsi"/>
                <w:sz w:val="22"/>
                <w:szCs w:val="22"/>
              </w:rPr>
              <w:t>N</w:t>
            </w:r>
            <w:r w:rsidR="002F52D3" w:rsidRPr="00FF55BF">
              <w:rPr>
                <w:rFonts w:asciiTheme="minorHAnsi" w:hAnsiTheme="minorHAnsi"/>
                <w:sz w:val="22"/>
                <w:szCs w:val="22"/>
              </w:rPr>
              <w:t>NDSS</w:t>
            </w:r>
            <w:r w:rsidRPr="00FF55BF">
              <w:rPr>
                <w:rFonts w:asciiTheme="minorHAnsi" w:hAnsiTheme="minorHAnsi"/>
                <w:sz w:val="22"/>
                <w:szCs w:val="22"/>
              </w:rPr>
              <w:t xml:space="preserve"> </w:t>
            </w:r>
            <w:r w:rsidR="00514E3A" w:rsidRPr="00FF55BF">
              <w:rPr>
                <w:rFonts w:asciiTheme="minorHAnsi" w:hAnsiTheme="minorHAnsi"/>
                <w:sz w:val="22"/>
                <w:szCs w:val="22"/>
              </w:rPr>
              <w:t xml:space="preserve">Estimated </w:t>
            </w:r>
            <w:r w:rsidRPr="00FF55BF">
              <w:rPr>
                <w:rFonts w:asciiTheme="minorHAnsi" w:hAnsiTheme="minorHAnsi"/>
                <w:sz w:val="22"/>
                <w:szCs w:val="22"/>
              </w:rPr>
              <w:t>Cost to Federal Government</w:t>
            </w:r>
          </w:p>
        </w:tc>
      </w:tr>
      <w:tr w:rsidR="00A94D67" w:rsidRPr="00FF55BF" w14:paraId="586BA18A" w14:textId="77777777" w:rsidTr="00F057C1">
        <w:trPr>
          <w:cantSplit/>
          <w:trHeight w:val="402"/>
        </w:trPr>
        <w:tc>
          <w:tcPr>
            <w:tcW w:w="5040" w:type="dxa"/>
            <w:tcBorders>
              <w:top w:val="single" w:sz="6" w:space="0" w:color="000000"/>
              <w:left w:val="single" w:sz="6" w:space="0" w:color="000000"/>
            </w:tcBorders>
          </w:tcPr>
          <w:p w14:paraId="3DD10E91" w14:textId="77777777" w:rsidR="00093F2D" w:rsidRPr="00FF55BF" w:rsidRDefault="00093F2D" w:rsidP="00925656">
            <w:pPr>
              <w:spacing w:line="360" w:lineRule="auto"/>
              <w:rPr>
                <w:rFonts w:asciiTheme="minorHAnsi" w:hAnsiTheme="minorHAnsi"/>
                <w:sz w:val="22"/>
                <w:szCs w:val="22"/>
              </w:rPr>
            </w:pPr>
          </w:p>
        </w:tc>
        <w:tc>
          <w:tcPr>
            <w:tcW w:w="1530" w:type="dxa"/>
            <w:tcBorders>
              <w:top w:val="single" w:sz="6" w:space="0" w:color="000000"/>
              <w:left w:val="single" w:sz="6" w:space="0" w:color="000000"/>
              <w:right w:val="single" w:sz="6" w:space="0" w:color="000000"/>
            </w:tcBorders>
          </w:tcPr>
          <w:p w14:paraId="18289949" w14:textId="77777777" w:rsidR="00093F2D" w:rsidRPr="00FF55BF" w:rsidRDefault="002F52D3" w:rsidP="008D674A">
            <w:pPr>
              <w:spacing w:line="360" w:lineRule="auto"/>
              <w:jc w:val="center"/>
              <w:rPr>
                <w:rFonts w:asciiTheme="minorHAnsi" w:hAnsiTheme="minorHAnsi"/>
                <w:sz w:val="22"/>
                <w:szCs w:val="22"/>
              </w:rPr>
            </w:pPr>
            <w:r w:rsidRPr="00FF55BF">
              <w:rPr>
                <w:rFonts w:asciiTheme="minorHAnsi" w:hAnsiTheme="minorHAnsi"/>
                <w:sz w:val="22"/>
                <w:szCs w:val="22"/>
              </w:rPr>
              <w:t>FY 1</w:t>
            </w:r>
            <w:r w:rsidR="008D674A">
              <w:rPr>
                <w:rFonts w:asciiTheme="minorHAnsi" w:hAnsiTheme="minorHAnsi"/>
                <w:sz w:val="22"/>
                <w:szCs w:val="22"/>
              </w:rPr>
              <w:t>6</w:t>
            </w:r>
          </w:p>
        </w:tc>
        <w:tc>
          <w:tcPr>
            <w:tcW w:w="1440" w:type="dxa"/>
            <w:tcBorders>
              <w:top w:val="single" w:sz="6" w:space="0" w:color="000000"/>
              <w:left w:val="single" w:sz="6" w:space="0" w:color="000000"/>
              <w:right w:val="single" w:sz="6" w:space="0" w:color="000000"/>
            </w:tcBorders>
          </w:tcPr>
          <w:p w14:paraId="688D395E" w14:textId="77777777" w:rsidR="00093F2D" w:rsidRPr="00FF55BF" w:rsidRDefault="002F52D3" w:rsidP="008D674A">
            <w:pPr>
              <w:spacing w:line="360" w:lineRule="auto"/>
              <w:jc w:val="center"/>
              <w:rPr>
                <w:rFonts w:asciiTheme="minorHAnsi" w:hAnsiTheme="minorHAnsi"/>
                <w:sz w:val="22"/>
                <w:szCs w:val="22"/>
              </w:rPr>
            </w:pPr>
            <w:r w:rsidRPr="00FF55BF">
              <w:rPr>
                <w:rFonts w:asciiTheme="minorHAnsi" w:hAnsiTheme="minorHAnsi"/>
                <w:sz w:val="22"/>
                <w:szCs w:val="22"/>
              </w:rPr>
              <w:t>FY 1</w:t>
            </w:r>
            <w:r w:rsidR="008D674A">
              <w:rPr>
                <w:rFonts w:asciiTheme="minorHAnsi" w:hAnsiTheme="minorHAnsi"/>
                <w:sz w:val="22"/>
                <w:szCs w:val="22"/>
              </w:rPr>
              <w:t>7</w:t>
            </w:r>
          </w:p>
        </w:tc>
        <w:tc>
          <w:tcPr>
            <w:tcW w:w="1440" w:type="dxa"/>
            <w:tcBorders>
              <w:top w:val="single" w:sz="6" w:space="0" w:color="000000"/>
              <w:left w:val="single" w:sz="6" w:space="0" w:color="000000"/>
              <w:right w:val="single" w:sz="6" w:space="0" w:color="000000"/>
            </w:tcBorders>
          </w:tcPr>
          <w:p w14:paraId="0CDEBFAA" w14:textId="77777777" w:rsidR="00093F2D" w:rsidRPr="00FF55BF" w:rsidRDefault="002F52D3" w:rsidP="008D674A">
            <w:pPr>
              <w:spacing w:line="360" w:lineRule="auto"/>
              <w:jc w:val="center"/>
              <w:rPr>
                <w:rFonts w:asciiTheme="minorHAnsi" w:hAnsiTheme="minorHAnsi"/>
                <w:sz w:val="22"/>
                <w:szCs w:val="22"/>
              </w:rPr>
            </w:pPr>
            <w:r w:rsidRPr="00FF55BF">
              <w:rPr>
                <w:rFonts w:asciiTheme="minorHAnsi" w:hAnsiTheme="minorHAnsi"/>
                <w:sz w:val="22"/>
                <w:szCs w:val="22"/>
              </w:rPr>
              <w:t>FY 1</w:t>
            </w:r>
            <w:r w:rsidR="008D674A">
              <w:rPr>
                <w:rFonts w:asciiTheme="minorHAnsi" w:hAnsiTheme="minorHAnsi"/>
                <w:sz w:val="22"/>
                <w:szCs w:val="22"/>
              </w:rPr>
              <w:t>8</w:t>
            </w:r>
          </w:p>
        </w:tc>
      </w:tr>
      <w:tr w:rsidR="00A94D67" w:rsidRPr="00FF55BF" w14:paraId="4FEDCBCF" w14:textId="77777777" w:rsidTr="00F057C1">
        <w:trPr>
          <w:cantSplit/>
          <w:trHeight w:val="402"/>
        </w:trPr>
        <w:tc>
          <w:tcPr>
            <w:tcW w:w="5040" w:type="dxa"/>
            <w:tcBorders>
              <w:top w:val="single" w:sz="6" w:space="0" w:color="000000"/>
              <w:left w:val="single" w:sz="6" w:space="0" w:color="000000"/>
            </w:tcBorders>
          </w:tcPr>
          <w:p w14:paraId="34212198" w14:textId="77777777" w:rsidR="00093F2D" w:rsidRPr="00FF55BF" w:rsidRDefault="00093F2D" w:rsidP="00925656">
            <w:pPr>
              <w:spacing w:line="360" w:lineRule="auto"/>
              <w:rPr>
                <w:rFonts w:asciiTheme="minorHAnsi" w:hAnsiTheme="minorHAnsi"/>
                <w:sz w:val="22"/>
                <w:szCs w:val="22"/>
              </w:rPr>
            </w:pPr>
            <w:r w:rsidRPr="00FF55BF">
              <w:rPr>
                <w:rFonts w:asciiTheme="minorHAnsi" w:hAnsiTheme="minorHAnsi"/>
                <w:sz w:val="22"/>
                <w:szCs w:val="22"/>
              </w:rPr>
              <w:t xml:space="preserve">Personnel - Software </w:t>
            </w:r>
            <w:r w:rsidR="002F52D3" w:rsidRPr="00FF55BF">
              <w:rPr>
                <w:rFonts w:asciiTheme="minorHAnsi" w:hAnsiTheme="minorHAnsi"/>
                <w:sz w:val="22"/>
                <w:szCs w:val="22"/>
              </w:rPr>
              <w:t xml:space="preserve">development, support, and </w:t>
            </w:r>
            <w:r w:rsidRPr="00FF55BF">
              <w:rPr>
                <w:rFonts w:asciiTheme="minorHAnsi" w:hAnsiTheme="minorHAnsi"/>
                <w:sz w:val="22"/>
                <w:szCs w:val="22"/>
              </w:rPr>
              <w:t>management (intramural)</w:t>
            </w:r>
          </w:p>
        </w:tc>
        <w:tc>
          <w:tcPr>
            <w:tcW w:w="1530" w:type="dxa"/>
            <w:tcBorders>
              <w:top w:val="single" w:sz="6" w:space="0" w:color="000000"/>
              <w:left w:val="single" w:sz="6" w:space="0" w:color="000000"/>
              <w:right w:val="single" w:sz="6" w:space="0" w:color="000000"/>
            </w:tcBorders>
          </w:tcPr>
          <w:p w14:paraId="7612A4B9" w14:textId="77777777" w:rsidR="00093F2D" w:rsidRPr="00FF55BF" w:rsidRDefault="008D674A" w:rsidP="00925656">
            <w:pPr>
              <w:spacing w:line="360" w:lineRule="auto"/>
              <w:jc w:val="right"/>
              <w:rPr>
                <w:rFonts w:asciiTheme="minorHAnsi" w:hAnsiTheme="minorHAnsi"/>
                <w:sz w:val="22"/>
                <w:szCs w:val="22"/>
              </w:rPr>
            </w:pPr>
            <w:r w:rsidRPr="008D674A">
              <w:rPr>
                <w:rFonts w:asciiTheme="minorHAnsi" w:hAnsiTheme="minorHAnsi"/>
                <w:sz w:val="22"/>
                <w:szCs w:val="22"/>
              </w:rPr>
              <w:t>$8,605,792</w:t>
            </w:r>
          </w:p>
        </w:tc>
        <w:tc>
          <w:tcPr>
            <w:tcW w:w="1440" w:type="dxa"/>
            <w:tcBorders>
              <w:top w:val="single" w:sz="6" w:space="0" w:color="000000"/>
              <w:left w:val="single" w:sz="6" w:space="0" w:color="000000"/>
              <w:right w:val="single" w:sz="6" w:space="0" w:color="000000"/>
            </w:tcBorders>
          </w:tcPr>
          <w:p w14:paraId="44464B9C" w14:textId="77777777" w:rsidR="00093F2D" w:rsidRPr="00FF55BF" w:rsidRDefault="008D674A" w:rsidP="00925656">
            <w:pPr>
              <w:spacing w:line="360" w:lineRule="auto"/>
              <w:jc w:val="right"/>
              <w:rPr>
                <w:rFonts w:asciiTheme="minorHAnsi" w:hAnsiTheme="minorHAnsi"/>
                <w:sz w:val="22"/>
                <w:szCs w:val="22"/>
              </w:rPr>
            </w:pPr>
            <w:r w:rsidRPr="008D674A">
              <w:rPr>
                <w:rFonts w:asciiTheme="minorHAnsi" w:hAnsiTheme="minorHAnsi"/>
                <w:sz w:val="22"/>
                <w:szCs w:val="22"/>
              </w:rPr>
              <w:t>$8,105,792</w:t>
            </w:r>
          </w:p>
        </w:tc>
        <w:tc>
          <w:tcPr>
            <w:tcW w:w="1440" w:type="dxa"/>
            <w:tcBorders>
              <w:top w:val="single" w:sz="6" w:space="0" w:color="000000"/>
              <w:left w:val="single" w:sz="6" w:space="0" w:color="000000"/>
              <w:right w:val="single" w:sz="6" w:space="0" w:color="000000"/>
            </w:tcBorders>
          </w:tcPr>
          <w:p w14:paraId="57CF89FE" w14:textId="77777777" w:rsidR="00093F2D" w:rsidRPr="00FF55BF" w:rsidRDefault="008D674A" w:rsidP="00925656">
            <w:pPr>
              <w:spacing w:line="360" w:lineRule="auto"/>
              <w:jc w:val="right"/>
              <w:rPr>
                <w:rFonts w:asciiTheme="minorHAnsi" w:hAnsiTheme="minorHAnsi"/>
                <w:sz w:val="22"/>
                <w:szCs w:val="22"/>
              </w:rPr>
            </w:pPr>
            <w:r w:rsidRPr="008D674A">
              <w:rPr>
                <w:rFonts w:asciiTheme="minorHAnsi" w:hAnsiTheme="minorHAnsi"/>
                <w:sz w:val="22"/>
                <w:szCs w:val="22"/>
              </w:rPr>
              <w:t>$8,105,792</w:t>
            </w:r>
          </w:p>
        </w:tc>
      </w:tr>
      <w:tr w:rsidR="00A94D67" w:rsidRPr="00FF55BF" w14:paraId="416D3355" w14:textId="77777777" w:rsidTr="00F057C1">
        <w:trPr>
          <w:cantSplit/>
          <w:trHeight w:val="402"/>
        </w:trPr>
        <w:tc>
          <w:tcPr>
            <w:tcW w:w="5040" w:type="dxa"/>
            <w:tcBorders>
              <w:top w:val="single" w:sz="6" w:space="0" w:color="000000"/>
              <w:left w:val="single" w:sz="6" w:space="0" w:color="000000"/>
            </w:tcBorders>
          </w:tcPr>
          <w:p w14:paraId="70B0ABAC" w14:textId="77777777" w:rsidR="00093F2D" w:rsidRPr="00FF55BF" w:rsidRDefault="00093F2D" w:rsidP="00925656">
            <w:pPr>
              <w:spacing w:line="360" w:lineRule="auto"/>
              <w:rPr>
                <w:rFonts w:asciiTheme="minorHAnsi" w:hAnsiTheme="minorHAnsi"/>
                <w:sz w:val="22"/>
                <w:szCs w:val="22"/>
              </w:rPr>
            </w:pPr>
            <w:r w:rsidRPr="00FF55BF">
              <w:rPr>
                <w:rFonts w:asciiTheme="minorHAnsi" w:hAnsiTheme="minorHAnsi"/>
                <w:sz w:val="22"/>
                <w:szCs w:val="22"/>
              </w:rPr>
              <w:t>Cooperative Agreements with States for N</w:t>
            </w:r>
            <w:r w:rsidR="002F52D3" w:rsidRPr="00FF55BF">
              <w:rPr>
                <w:rFonts w:asciiTheme="minorHAnsi" w:hAnsiTheme="minorHAnsi"/>
                <w:sz w:val="22"/>
                <w:szCs w:val="22"/>
              </w:rPr>
              <w:t>NDSS</w:t>
            </w:r>
            <w:r w:rsidR="009C2C2A" w:rsidRPr="00FF55BF">
              <w:rPr>
                <w:rFonts w:asciiTheme="minorHAnsi" w:hAnsiTheme="minorHAnsi"/>
                <w:sz w:val="22"/>
                <w:szCs w:val="22"/>
              </w:rPr>
              <w:t xml:space="preserve"> </w:t>
            </w:r>
            <w:r w:rsidR="003C278E" w:rsidRPr="00FF55BF">
              <w:rPr>
                <w:rFonts w:asciiTheme="minorHAnsi" w:hAnsiTheme="minorHAnsi"/>
                <w:sz w:val="22"/>
                <w:szCs w:val="22"/>
              </w:rPr>
              <w:t>case notification</w:t>
            </w:r>
            <w:r w:rsidRPr="00FF55BF">
              <w:rPr>
                <w:rFonts w:asciiTheme="minorHAnsi" w:hAnsiTheme="minorHAnsi"/>
                <w:sz w:val="22"/>
                <w:szCs w:val="22"/>
              </w:rPr>
              <w:t xml:space="preserve"> and management (extramural)</w:t>
            </w:r>
          </w:p>
        </w:tc>
        <w:tc>
          <w:tcPr>
            <w:tcW w:w="1530" w:type="dxa"/>
            <w:tcBorders>
              <w:top w:val="single" w:sz="6" w:space="0" w:color="000000"/>
              <w:left w:val="single" w:sz="6" w:space="0" w:color="000000"/>
              <w:right w:val="single" w:sz="6" w:space="0" w:color="000000"/>
            </w:tcBorders>
          </w:tcPr>
          <w:p w14:paraId="44B6DFC4" w14:textId="77777777" w:rsidR="00093F2D" w:rsidRPr="00FF55BF" w:rsidRDefault="008D674A" w:rsidP="00925656">
            <w:pPr>
              <w:spacing w:line="360" w:lineRule="auto"/>
              <w:jc w:val="right"/>
              <w:rPr>
                <w:rFonts w:asciiTheme="minorHAnsi" w:hAnsiTheme="minorHAnsi"/>
                <w:sz w:val="22"/>
                <w:szCs w:val="22"/>
              </w:rPr>
            </w:pPr>
            <w:r w:rsidRPr="008D674A">
              <w:rPr>
                <w:rFonts w:asciiTheme="minorHAnsi" w:hAnsiTheme="minorHAnsi"/>
                <w:sz w:val="22"/>
                <w:szCs w:val="22"/>
              </w:rPr>
              <w:t>$10,474,636</w:t>
            </w:r>
          </w:p>
        </w:tc>
        <w:tc>
          <w:tcPr>
            <w:tcW w:w="1440" w:type="dxa"/>
            <w:tcBorders>
              <w:top w:val="single" w:sz="6" w:space="0" w:color="000000"/>
              <w:left w:val="single" w:sz="6" w:space="0" w:color="000000"/>
              <w:right w:val="single" w:sz="6" w:space="0" w:color="000000"/>
            </w:tcBorders>
          </w:tcPr>
          <w:p w14:paraId="36B34CD4" w14:textId="77777777" w:rsidR="00093F2D" w:rsidRPr="00FF55BF" w:rsidRDefault="00093F2D" w:rsidP="00925656">
            <w:pPr>
              <w:spacing w:line="360" w:lineRule="auto"/>
              <w:jc w:val="right"/>
              <w:rPr>
                <w:rFonts w:asciiTheme="minorHAnsi" w:hAnsiTheme="minorHAnsi"/>
                <w:sz w:val="22"/>
                <w:szCs w:val="22"/>
              </w:rPr>
            </w:pPr>
            <w:r w:rsidRPr="00FF55BF">
              <w:rPr>
                <w:rFonts w:asciiTheme="minorHAnsi" w:hAnsiTheme="minorHAnsi"/>
                <w:sz w:val="22"/>
                <w:szCs w:val="22"/>
              </w:rPr>
              <w:t>$10,4</w:t>
            </w:r>
            <w:r w:rsidR="001E461F" w:rsidRPr="00FF55BF">
              <w:rPr>
                <w:rFonts w:asciiTheme="minorHAnsi" w:hAnsiTheme="minorHAnsi"/>
                <w:sz w:val="22"/>
                <w:szCs w:val="22"/>
              </w:rPr>
              <w:t>74,</w:t>
            </w:r>
            <w:r w:rsidR="00C46288" w:rsidRPr="00FF55BF">
              <w:rPr>
                <w:rFonts w:asciiTheme="minorHAnsi" w:hAnsiTheme="minorHAnsi"/>
                <w:sz w:val="22"/>
                <w:szCs w:val="22"/>
              </w:rPr>
              <w:t>6</w:t>
            </w:r>
            <w:r w:rsidR="001E461F" w:rsidRPr="00FF55BF">
              <w:rPr>
                <w:rFonts w:asciiTheme="minorHAnsi" w:hAnsiTheme="minorHAnsi"/>
                <w:sz w:val="22"/>
                <w:szCs w:val="22"/>
              </w:rPr>
              <w:t>36</w:t>
            </w:r>
          </w:p>
          <w:p w14:paraId="179726B4" w14:textId="77777777" w:rsidR="00093F2D" w:rsidRPr="00FF55BF" w:rsidRDefault="00093F2D" w:rsidP="00925656">
            <w:pPr>
              <w:spacing w:line="360" w:lineRule="auto"/>
              <w:jc w:val="right"/>
              <w:rPr>
                <w:rFonts w:asciiTheme="minorHAnsi" w:hAnsiTheme="minorHAnsi"/>
                <w:sz w:val="22"/>
                <w:szCs w:val="22"/>
              </w:rPr>
            </w:pPr>
          </w:p>
        </w:tc>
        <w:tc>
          <w:tcPr>
            <w:tcW w:w="1440" w:type="dxa"/>
            <w:tcBorders>
              <w:top w:val="single" w:sz="6" w:space="0" w:color="000000"/>
              <w:left w:val="single" w:sz="6" w:space="0" w:color="000000"/>
              <w:right w:val="single" w:sz="6" w:space="0" w:color="000000"/>
            </w:tcBorders>
          </w:tcPr>
          <w:p w14:paraId="1CB47806" w14:textId="77777777" w:rsidR="00A368F6" w:rsidRPr="00FF55BF" w:rsidRDefault="00A368F6" w:rsidP="00925656">
            <w:pPr>
              <w:spacing w:line="360" w:lineRule="auto"/>
              <w:jc w:val="right"/>
              <w:rPr>
                <w:rFonts w:asciiTheme="minorHAnsi" w:hAnsiTheme="minorHAnsi"/>
                <w:sz w:val="22"/>
                <w:szCs w:val="22"/>
              </w:rPr>
            </w:pPr>
            <w:r w:rsidRPr="00FF55BF">
              <w:rPr>
                <w:rFonts w:asciiTheme="minorHAnsi" w:hAnsiTheme="minorHAnsi"/>
                <w:sz w:val="22"/>
                <w:szCs w:val="22"/>
              </w:rPr>
              <w:t>$10,4</w:t>
            </w:r>
            <w:r w:rsidR="00C46288" w:rsidRPr="00FF55BF">
              <w:rPr>
                <w:rFonts w:asciiTheme="minorHAnsi" w:hAnsiTheme="minorHAnsi"/>
                <w:sz w:val="22"/>
                <w:szCs w:val="22"/>
              </w:rPr>
              <w:t>74,636</w:t>
            </w:r>
          </w:p>
          <w:p w14:paraId="526D2D3C" w14:textId="77777777" w:rsidR="00093F2D" w:rsidRPr="00FF55BF" w:rsidRDefault="00093F2D" w:rsidP="00925656">
            <w:pPr>
              <w:spacing w:line="360" w:lineRule="auto"/>
              <w:jc w:val="right"/>
              <w:rPr>
                <w:rFonts w:asciiTheme="minorHAnsi" w:hAnsiTheme="minorHAnsi"/>
                <w:sz w:val="22"/>
                <w:szCs w:val="22"/>
              </w:rPr>
            </w:pPr>
          </w:p>
        </w:tc>
      </w:tr>
      <w:tr w:rsidR="00A94D67" w:rsidRPr="00FF55BF" w14:paraId="3F55188A" w14:textId="77777777" w:rsidTr="00D53DF8">
        <w:trPr>
          <w:cantSplit/>
          <w:trHeight w:val="372"/>
        </w:trPr>
        <w:tc>
          <w:tcPr>
            <w:tcW w:w="5040" w:type="dxa"/>
            <w:tcBorders>
              <w:top w:val="single" w:sz="6" w:space="0" w:color="000000"/>
              <w:left w:val="single" w:sz="6" w:space="0" w:color="000000"/>
              <w:bottom w:val="single" w:sz="6" w:space="0" w:color="000000"/>
            </w:tcBorders>
          </w:tcPr>
          <w:p w14:paraId="15572A3C" w14:textId="77777777" w:rsidR="00093F2D" w:rsidRPr="00FF55BF" w:rsidRDefault="00093F2D" w:rsidP="00925656">
            <w:pPr>
              <w:spacing w:line="360" w:lineRule="auto"/>
              <w:rPr>
                <w:rFonts w:asciiTheme="minorHAnsi" w:hAnsiTheme="minorHAnsi"/>
                <w:sz w:val="22"/>
                <w:szCs w:val="22"/>
              </w:rPr>
            </w:pPr>
            <w:r w:rsidRPr="00FF55BF">
              <w:rPr>
                <w:rFonts w:asciiTheme="minorHAnsi" w:hAnsiTheme="minorHAnsi"/>
                <w:sz w:val="22"/>
                <w:szCs w:val="22"/>
              </w:rPr>
              <w:t>Total</w:t>
            </w:r>
          </w:p>
        </w:tc>
        <w:tc>
          <w:tcPr>
            <w:tcW w:w="1530" w:type="dxa"/>
            <w:tcBorders>
              <w:top w:val="single" w:sz="6" w:space="0" w:color="000000"/>
              <w:left w:val="single" w:sz="6" w:space="0" w:color="000000"/>
              <w:bottom w:val="single" w:sz="6" w:space="0" w:color="000000"/>
              <w:right w:val="single" w:sz="6" w:space="0" w:color="000000"/>
            </w:tcBorders>
          </w:tcPr>
          <w:p w14:paraId="4BFBF7EB" w14:textId="77777777" w:rsidR="00093F2D" w:rsidRPr="00FF55BF" w:rsidRDefault="008D674A" w:rsidP="00925656">
            <w:pPr>
              <w:spacing w:line="360" w:lineRule="auto"/>
              <w:jc w:val="right"/>
              <w:rPr>
                <w:rFonts w:asciiTheme="minorHAnsi" w:hAnsiTheme="minorHAnsi"/>
                <w:sz w:val="22"/>
                <w:szCs w:val="22"/>
              </w:rPr>
            </w:pPr>
            <w:r>
              <w:rPr>
                <w:rFonts w:asciiTheme="minorHAnsi" w:hAnsiTheme="minorHAnsi"/>
                <w:sz w:val="22"/>
                <w:szCs w:val="22"/>
              </w:rPr>
              <w:t>$19,080,428</w:t>
            </w:r>
          </w:p>
        </w:tc>
        <w:tc>
          <w:tcPr>
            <w:tcW w:w="1440" w:type="dxa"/>
            <w:tcBorders>
              <w:top w:val="single" w:sz="6" w:space="0" w:color="000000"/>
              <w:left w:val="single" w:sz="6" w:space="0" w:color="000000"/>
              <w:bottom w:val="single" w:sz="6" w:space="0" w:color="000000"/>
              <w:right w:val="single" w:sz="6" w:space="0" w:color="000000"/>
            </w:tcBorders>
          </w:tcPr>
          <w:p w14:paraId="1C62CE16" w14:textId="77777777" w:rsidR="00093F2D" w:rsidRPr="00FF55BF" w:rsidRDefault="008D674A" w:rsidP="00925656">
            <w:pPr>
              <w:spacing w:line="360" w:lineRule="auto"/>
              <w:jc w:val="right"/>
              <w:rPr>
                <w:rFonts w:asciiTheme="minorHAnsi" w:hAnsiTheme="minorHAnsi"/>
                <w:sz w:val="22"/>
                <w:szCs w:val="22"/>
              </w:rPr>
            </w:pPr>
            <w:r>
              <w:rPr>
                <w:rFonts w:asciiTheme="minorHAnsi" w:hAnsiTheme="minorHAnsi"/>
                <w:sz w:val="22"/>
                <w:szCs w:val="22"/>
              </w:rPr>
              <w:t>$18,580,428</w:t>
            </w:r>
          </w:p>
        </w:tc>
        <w:tc>
          <w:tcPr>
            <w:tcW w:w="1440" w:type="dxa"/>
            <w:tcBorders>
              <w:top w:val="single" w:sz="6" w:space="0" w:color="000000"/>
              <w:left w:val="single" w:sz="6" w:space="0" w:color="000000"/>
              <w:bottom w:val="single" w:sz="6" w:space="0" w:color="000000"/>
              <w:right w:val="single" w:sz="6" w:space="0" w:color="000000"/>
            </w:tcBorders>
          </w:tcPr>
          <w:p w14:paraId="1588E20F" w14:textId="77777777" w:rsidR="00093F2D" w:rsidRPr="00FF55BF" w:rsidRDefault="008D674A" w:rsidP="00925656">
            <w:pPr>
              <w:spacing w:line="360" w:lineRule="auto"/>
              <w:jc w:val="right"/>
              <w:rPr>
                <w:rFonts w:asciiTheme="minorHAnsi" w:hAnsiTheme="minorHAnsi"/>
                <w:sz w:val="22"/>
                <w:szCs w:val="22"/>
              </w:rPr>
            </w:pPr>
            <w:r>
              <w:rPr>
                <w:rFonts w:asciiTheme="minorHAnsi" w:hAnsiTheme="minorHAnsi"/>
                <w:sz w:val="22"/>
                <w:szCs w:val="22"/>
              </w:rPr>
              <w:t>$18,580,428</w:t>
            </w:r>
          </w:p>
        </w:tc>
      </w:tr>
    </w:tbl>
    <w:p w14:paraId="3E9B3DB9"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14:paraId="649BC902" w14:textId="77777777" w:rsidR="00DB1ADB" w:rsidRPr="00FF55BF" w:rsidRDefault="00DB1ADB" w:rsidP="00925656">
      <w:pPr>
        <w:tabs>
          <w:tab w:val="left" w:pos="1"/>
          <w:tab w:val="left" w:pos="1584"/>
          <w:tab w:val="left" w:pos="3888"/>
          <w:tab w:val="left" w:pos="5472"/>
          <w:tab w:val="left" w:pos="7200"/>
        </w:tabs>
        <w:spacing w:line="360" w:lineRule="auto"/>
        <w:rPr>
          <w:rFonts w:asciiTheme="minorHAnsi" w:hAnsiTheme="minorHAnsi"/>
          <w:sz w:val="22"/>
          <w:szCs w:val="22"/>
        </w:rPr>
      </w:pPr>
      <w:r w:rsidRPr="00FF55BF">
        <w:rPr>
          <w:rFonts w:asciiTheme="minorHAnsi" w:hAnsiTheme="minorHAnsi"/>
          <w:sz w:val="22"/>
          <w:szCs w:val="22"/>
        </w:rPr>
        <w:t xml:space="preserve">The estimated </w:t>
      </w:r>
      <w:r w:rsidR="00350393" w:rsidRPr="00FF55BF">
        <w:rPr>
          <w:rFonts w:asciiTheme="minorHAnsi" w:hAnsiTheme="minorHAnsi"/>
          <w:sz w:val="22"/>
          <w:szCs w:val="22"/>
        </w:rPr>
        <w:t xml:space="preserve">annualized cost </w:t>
      </w:r>
      <w:r w:rsidRPr="00FF55BF">
        <w:rPr>
          <w:rFonts w:asciiTheme="minorHAnsi" w:hAnsiTheme="minorHAnsi"/>
          <w:sz w:val="22"/>
          <w:szCs w:val="22"/>
        </w:rPr>
        <w:t>to the government of the N</w:t>
      </w:r>
      <w:r w:rsidR="002F52D3" w:rsidRPr="00FF55BF">
        <w:rPr>
          <w:rFonts w:asciiTheme="minorHAnsi" w:hAnsiTheme="minorHAnsi"/>
          <w:sz w:val="22"/>
          <w:szCs w:val="22"/>
        </w:rPr>
        <w:t>NDSS</w:t>
      </w:r>
      <w:r w:rsidRPr="00FF55BF">
        <w:rPr>
          <w:rFonts w:asciiTheme="minorHAnsi" w:hAnsiTheme="minorHAnsi"/>
          <w:sz w:val="22"/>
          <w:szCs w:val="22"/>
        </w:rPr>
        <w:t xml:space="preserve"> systems (both CDC developed and federal suppo</w:t>
      </w:r>
      <w:r w:rsidR="008653A9" w:rsidRPr="00FF55BF">
        <w:rPr>
          <w:rFonts w:asciiTheme="minorHAnsi" w:hAnsiTheme="minorHAnsi"/>
          <w:sz w:val="22"/>
          <w:szCs w:val="22"/>
        </w:rPr>
        <w:t>rt to the states) i</w:t>
      </w:r>
      <w:r w:rsidR="008D674A">
        <w:rPr>
          <w:rFonts w:asciiTheme="minorHAnsi" w:hAnsiTheme="minorHAnsi"/>
          <w:sz w:val="22"/>
          <w:szCs w:val="22"/>
        </w:rPr>
        <w:t>s</w:t>
      </w:r>
      <w:r w:rsidR="008653A9" w:rsidRPr="00FF55BF">
        <w:rPr>
          <w:rFonts w:asciiTheme="minorHAnsi" w:hAnsiTheme="minorHAnsi"/>
          <w:sz w:val="22"/>
          <w:szCs w:val="22"/>
        </w:rPr>
        <w:t xml:space="preserve"> </w:t>
      </w:r>
      <w:r w:rsidR="008653A9" w:rsidRPr="008D674A">
        <w:rPr>
          <w:rFonts w:asciiTheme="minorHAnsi" w:hAnsiTheme="minorHAnsi"/>
          <w:sz w:val="22"/>
          <w:szCs w:val="22"/>
        </w:rPr>
        <w:t>$</w:t>
      </w:r>
      <w:r w:rsidR="00A94D67" w:rsidRPr="008D674A">
        <w:rPr>
          <w:rFonts w:asciiTheme="minorHAnsi" w:hAnsiTheme="minorHAnsi"/>
          <w:sz w:val="22"/>
          <w:szCs w:val="22"/>
        </w:rPr>
        <w:t>18,</w:t>
      </w:r>
      <w:r w:rsidR="008D674A">
        <w:rPr>
          <w:rFonts w:asciiTheme="minorHAnsi" w:hAnsiTheme="minorHAnsi"/>
          <w:sz w:val="22"/>
          <w:szCs w:val="22"/>
        </w:rPr>
        <w:t>747,095</w:t>
      </w:r>
      <w:r w:rsidR="00DB6DED" w:rsidRPr="00FF55BF">
        <w:rPr>
          <w:rFonts w:asciiTheme="minorHAnsi" w:hAnsiTheme="minorHAnsi"/>
          <w:sz w:val="22"/>
          <w:szCs w:val="22"/>
        </w:rPr>
        <w:t xml:space="preserve"> (av</w:t>
      </w:r>
      <w:r w:rsidR="00350393" w:rsidRPr="00FF55BF">
        <w:rPr>
          <w:rFonts w:asciiTheme="minorHAnsi" w:hAnsiTheme="minorHAnsi"/>
          <w:sz w:val="22"/>
          <w:szCs w:val="22"/>
        </w:rPr>
        <w:t>erage of three year</w:t>
      </w:r>
      <w:r w:rsidR="008D674A">
        <w:rPr>
          <w:rFonts w:asciiTheme="minorHAnsi" w:hAnsiTheme="minorHAnsi"/>
          <w:sz w:val="22"/>
          <w:szCs w:val="22"/>
        </w:rPr>
        <w:t>s</w:t>
      </w:r>
      <w:r w:rsidR="00350393" w:rsidRPr="00FF55BF">
        <w:rPr>
          <w:rFonts w:asciiTheme="minorHAnsi" w:hAnsiTheme="minorHAnsi"/>
          <w:sz w:val="22"/>
          <w:szCs w:val="22"/>
        </w:rPr>
        <w:t>).</w:t>
      </w:r>
    </w:p>
    <w:p w14:paraId="477B33A8" w14:textId="77777777" w:rsidR="00DB1ADB" w:rsidRDefault="00DB1ADB" w:rsidP="00925656">
      <w:pPr>
        <w:tabs>
          <w:tab w:val="left" w:pos="1"/>
          <w:tab w:val="left" w:pos="1584"/>
          <w:tab w:val="left" w:pos="3888"/>
          <w:tab w:val="left" w:pos="5472"/>
          <w:tab w:val="left" w:pos="7200"/>
        </w:tabs>
        <w:spacing w:line="360" w:lineRule="auto"/>
        <w:rPr>
          <w:rFonts w:asciiTheme="minorHAnsi" w:hAnsiTheme="minorHAnsi"/>
          <w:sz w:val="22"/>
          <w:szCs w:val="22"/>
        </w:rPr>
      </w:pPr>
    </w:p>
    <w:p w14:paraId="6DA0829C" w14:textId="77777777" w:rsidR="00144310" w:rsidRPr="00FF55BF" w:rsidRDefault="00144310" w:rsidP="00925656">
      <w:pPr>
        <w:tabs>
          <w:tab w:val="left" w:pos="1"/>
          <w:tab w:val="left" w:pos="1584"/>
          <w:tab w:val="left" w:pos="3888"/>
          <w:tab w:val="left" w:pos="5472"/>
          <w:tab w:val="left" w:pos="7200"/>
        </w:tabs>
        <w:spacing w:line="360" w:lineRule="auto"/>
        <w:rPr>
          <w:rFonts w:asciiTheme="minorHAnsi" w:hAnsiTheme="minorHAnsi"/>
          <w:sz w:val="22"/>
          <w:szCs w:val="22"/>
        </w:rPr>
      </w:pPr>
    </w:p>
    <w:p w14:paraId="5C799D61"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b/>
          <w:sz w:val="22"/>
          <w:szCs w:val="22"/>
          <w:u w:val="single"/>
        </w:rPr>
      </w:pPr>
      <w:r w:rsidRPr="00FF55BF">
        <w:rPr>
          <w:rFonts w:asciiTheme="minorHAnsi" w:hAnsiTheme="minorHAnsi"/>
          <w:b/>
          <w:sz w:val="22"/>
          <w:szCs w:val="22"/>
        </w:rPr>
        <w:t xml:space="preserve">A.15. </w:t>
      </w:r>
      <w:r w:rsidRPr="00FF55BF">
        <w:rPr>
          <w:rFonts w:asciiTheme="minorHAnsi" w:hAnsiTheme="minorHAnsi"/>
          <w:b/>
          <w:sz w:val="22"/>
          <w:szCs w:val="22"/>
          <w:u w:val="single"/>
        </w:rPr>
        <w:t>Explanation for Program Changes or Adjustments</w:t>
      </w:r>
    </w:p>
    <w:p w14:paraId="40977AEA" w14:textId="6FF2DBD4" w:rsidR="0015640C" w:rsidRDefault="00FE7133" w:rsidP="00943BB5">
      <w:pPr>
        <w:tabs>
          <w:tab w:val="left" w:pos="1"/>
          <w:tab w:val="left" w:pos="1584"/>
          <w:tab w:val="left" w:pos="3888"/>
          <w:tab w:val="left" w:pos="5472"/>
          <w:tab w:val="left" w:pos="7200"/>
        </w:tabs>
        <w:spacing w:line="360" w:lineRule="auto"/>
        <w:rPr>
          <w:rFonts w:asciiTheme="minorHAnsi" w:hAnsiTheme="minorHAnsi"/>
          <w:color w:val="000000"/>
          <w:sz w:val="22"/>
          <w:szCs w:val="22"/>
        </w:rPr>
      </w:pPr>
      <w:r>
        <w:rPr>
          <w:rFonts w:asciiTheme="minorHAnsi" w:hAnsiTheme="minorHAnsi"/>
          <w:color w:val="000000"/>
          <w:sz w:val="22"/>
          <w:szCs w:val="22"/>
        </w:rPr>
        <w:lastRenderedPageBreak/>
        <w:t xml:space="preserve">Changes to NNDSS </w:t>
      </w:r>
      <w:r w:rsidR="00681ED1">
        <w:rPr>
          <w:rFonts w:asciiTheme="minorHAnsi" w:hAnsiTheme="minorHAnsi"/>
          <w:color w:val="000000"/>
          <w:sz w:val="22"/>
          <w:szCs w:val="22"/>
        </w:rPr>
        <w:t xml:space="preserve">in this revision include the </w:t>
      </w:r>
      <w:r w:rsidR="00943BB5">
        <w:rPr>
          <w:rFonts w:asciiTheme="minorHAnsi" w:hAnsiTheme="minorHAnsi"/>
          <w:color w:val="000000"/>
          <w:sz w:val="22"/>
          <w:szCs w:val="22"/>
        </w:rPr>
        <w:t xml:space="preserve">replacement of </w:t>
      </w:r>
      <w:r w:rsidR="00943BB5" w:rsidRPr="00943BB5">
        <w:rPr>
          <w:rFonts w:asciiTheme="minorHAnsi" w:hAnsiTheme="minorHAnsi"/>
          <w:color w:val="000000"/>
          <w:sz w:val="22"/>
          <w:szCs w:val="22"/>
        </w:rPr>
        <w:t>“Hepatitis C virus, past or present” and “Hepatitis C, acute” with “Hepatitis C” on the List of Nationally Notifiable Conditions</w:t>
      </w:r>
      <w:r w:rsidR="00943BB5">
        <w:rPr>
          <w:rFonts w:asciiTheme="minorHAnsi" w:hAnsiTheme="minorHAnsi"/>
          <w:color w:val="000000"/>
          <w:sz w:val="22"/>
          <w:szCs w:val="22"/>
        </w:rPr>
        <w:t xml:space="preserve">; the replacement of </w:t>
      </w:r>
      <w:r w:rsidR="00943BB5" w:rsidRPr="00943BB5">
        <w:rPr>
          <w:rFonts w:asciiTheme="minorHAnsi" w:hAnsiTheme="minorHAnsi"/>
          <w:color w:val="000000"/>
          <w:sz w:val="22"/>
          <w:szCs w:val="22"/>
        </w:rPr>
        <w:t xml:space="preserve"> all listed </w:t>
      </w:r>
      <w:proofErr w:type="spellStart"/>
      <w:r w:rsidR="00943BB5" w:rsidRPr="00943BB5">
        <w:rPr>
          <w:rFonts w:asciiTheme="minorHAnsi" w:hAnsiTheme="minorHAnsi"/>
          <w:color w:val="000000"/>
          <w:sz w:val="22"/>
          <w:szCs w:val="22"/>
        </w:rPr>
        <w:t>Arboviral</w:t>
      </w:r>
      <w:proofErr w:type="spellEnd"/>
      <w:r w:rsidR="00943BB5" w:rsidRPr="00943BB5">
        <w:rPr>
          <w:rFonts w:asciiTheme="minorHAnsi" w:hAnsiTheme="minorHAnsi"/>
          <w:color w:val="000000"/>
          <w:sz w:val="22"/>
          <w:szCs w:val="22"/>
        </w:rPr>
        <w:t xml:space="preserve"> conditions with an inclusive category, “</w:t>
      </w:r>
      <w:proofErr w:type="spellStart"/>
      <w:r w:rsidR="00943BB5" w:rsidRPr="00943BB5">
        <w:rPr>
          <w:rFonts w:asciiTheme="minorHAnsi" w:hAnsiTheme="minorHAnsi"/>
          <w:color w:val="000000"/>
          <w:sz w:val="22"/>
          <w:szCs w:val="22"/>
        </w:rPr>
        <w:t>Arboviral</w:t>
      </w:r>
      <w:proofErr w:type="spellEnd"/>
      <w:r w:rsidR="00943BB5" w:rsidRPr="00943BB5">
        <w:rPr>
          <w:rFonts w:asciiTheme="minorHAnsi" w:hAnsiTheme="minorHAnsi"/>
          <w:color w:val="000000"/>
          <w:sz w:val="22"/>
          <w:szCs w:val="22"/>
        </w:rPr>
        <w:t xml:space="preserve"> Diseases” on the List of Nationally Notifiable Conditions</w:t>
      </w:r>
      <w:r w:rsidR="00943BB5">
        <w:rPr>
          <w:rFonts w:asciiTheme="minorHAnsi" w:hAnsiTheme="minorHAnsi"/>
          <w:color w:val="000000"/>
          <w:sz w:val="22"/>
          <w:szCs w:val="22"/>
        </w:rPr>
        <w:t xml:space="preserve">; </w:t>
      </w:r>
      <w:r w:rsidR="00396327">
        <w:rPr>
          <w:rFonts w:asciiTheme="minorHAnsi" w:hAnsiTheme="minorHAnsi"/>
          <w:color w:val="000000"/>
          <w:sz w:val="22"/>
          <w:szCs w:val="22"/>
        </w:rPr>
        <w:t xml:space="preserve">receipt of </w:t>
      </w:r>
      <w:r w:rsidR="00B94981">
        <w:rPr>
          <w:rFonts w:asciiTheme="minorHAnsi" w:hAnsiTheme="minorHAnsi"/>
          <w:color w:val="000000"/>
          <w:sz w:val="22"/>
          <w:szCs w:val="22"/>
        </w:rPr>
        <w:t>case notification</w:t>
      </w:r>
      <w:r w:rsidR="00396327">
        <w:rPr>
          <w:rFonts w:asciiTheme="minorHAnsi" w:hAnsiTheme="minorHAnsi"/>
          <w:color w:val="000000"/>
          <w:sz w:val="22"/>
          <w:szCs w:val="22"/>
        </w:rPr>
        <w:t xml:space="preserve"> data f</w:t>
      </w:r>
      <w:r w:rsidR="004D5DFD">
        <w:rPr>
          <w:rFonts w:asciiTheme="minorHAnsi" w:hAnsiTheme="minorHAnsi"/>
          <w:color w:val="000000"/>
          <w:sz w:val="22"/>
          <w:szCs w:val="22"/>
        </w:rPr>
        <w:t xml:space="preserve">or </w:t>
      </w:r>
      <w:r w:rsidR="00801265" w:rsidRPr="00801265">
        <w:rPr>
          <w:rFonts w:asciiTheme="minorHAnsi" w:hAnsiTheme="minorHAnsi"/>
          <w:color w:val="000000"/>
          <w:sz w:val="22"/>
          <w:szCs w:val="22"/>
        </w:rPr>
        <w:t>Hantavirus infection</w:t>
      </w:r>
      <w:r w:rsidR="00396327">
        <w:rPr>
          <w:rFonts w:asciiTheme="minorHAnsi" w:hAnsiTheme="minorHAnsi"/>
          <w:color w:val="000000"/>
          <w:sz w:val="22"/>
          <w:szCs w:val="22"/>
        </w:rPr>
        <w:t xml:space="preserve">, </w:t>
      </w:r>
      <w:r w:rsidR="00801265" w:rsidRPr="00801265">
        <w:rPr>
          <w:rFonts w:asciiTheme="minorHAnsi" w:hAnsiTheme="minorHAnsi"/>
          <w:color w:val="000000"/>
          <w:sz w:val="22"/>
          <w:szCs w:val="22"/>
        </w:rPr>
        <w:t>non-Hantavirus Pulmonary Syndrome</w:t>
      </w:r>
      <w:r w:rsidR="004A0986">
        <w:rPr>
          <w:rFonts w:asciiTheme="minorHAnsi" w:hAnsiTheme="minorHAnsi"/>
          <w:color w:val="000000"/>
          <w:sz w:val="22"/>
          <w:szCs w:val="22"/>
        </w:rPr>
        <w:t xml:space="preserve">;  </w:t>
      </w:r>
      <w:r w:rsidR="00396327">
        <w:rPr>
          <w:rFonts w:asciiTheme="minorHAnsi" w:hAnsiTheme="minorHAnsi"/>
          <w:color w:val="000000"/>
          <w:sz w:val="22"/>
          <w:szCs w:val="22"/>
        </w:rPr>
        <w:t xml:space="preserve">receipt of </w:t>
      </w:r>
      <w:r w:rsidR="00B94981">
        <w:rPr>
          <w:rFonts w:asciiTheme="minorHAnsi" w:hAnsiTheme="minorHAnsi"/>
          <w:color w:val="000000"/>
          <w:sz w:val="22"/>
          <w:szCs w:val="22"/>
        </w:rPr>
        <w:t>case notification</w:t>
      </w:r>
      <w:r w:rsidR="00396327">
        <w:rPr>
          <w:rFonts w:asciiTheme="minorHAnsi" w:hAnsiTheme="minorHAnsi"/>
          <w:color w:val="000000"/>
          <w:sz w:val="22"/>
          <w:szCs w:val="22"/>
        </w:rPr>
        <w:t xml:space="preserve"> data for</w:t>
      </w:r>
      <w:r w:rsidR="004A0986">
        <w:rPr>
          <w:rFonts w:asciiTheme="minorHAnsi" w:hAnsiTheme="minorHAnsi"/>
          <w:color w:val="000000"/>
          <w:sz w:val="22"/>
          <w:szCs w:val="22"/>
        </w:rPr>
        <w:t xml:space="preserve"> </w:t>
      </w:r>
      <w:r w:rsidR="004A0986" w:rsidRPr="004A0986">
        <w:rPr>
          <w:rFonts w:asciiTheme="minorHAnsi" w:hAnsiTheme="minorHAnsi"/>
          <w:color w:val="000000"/>
          <w:sz w:val="22"/>
          <w:szCs w:val="22"/>
        </w:rPr>
        <w:t>Acute Flaccid Myelitis</w:t>
      </w:r>
      <w:r w:rsidR="002C1BFD">
        <w:rPr>
          <w:rFonts w:asciiTheme="minorHAnsi" w:hAnsiTheme="minorHAnsi"/>
          <w:color w:val="000000"/>
          <w:sz w:val="22"/>
          <w:szCs w:val="22"/>
        </w:rPr>
        <w:t xml:space="preserve"> and </w:t>
      </w:r>
      <w:r w:rsidR="003651ED" w:rsidRPr="003651ED">
        <w:rPr>
          <w:rFonts w:asciiTheme="minorHAnsi" w:hAnsiTheme="minorHAnsi"/>
          <w:color w:val="000000"/>
          <w:sz w:val="22"/>
          <w:szCs w:val="22"/>
        </w:rPr>
        <w:t>Amebic Encephalitis</w:t>
      </w:r>
      <w:r w:rsidR="004A0986" w:rsidRPr="004A0986">
        <w:rPr>
          <w:rFonts w:asciiTheme="minorHAnsi" w:hAnsiTheme="minorHAnsi"/>
          <w:color w:val="000000"/>
          <w:sz w:val="22"/>
          <w:szCs w:val="22"/>
        </w:rPr>
        <w:t xml:space="preserve"> </w:t>
      </w:r>
      <w:r w:rsidR="004A0986">
        <w:rPr>
          <w:rFonts w:asciiTheme="minorHAnsi" w:hAnsiTheme="minorHAnsi"/>
          <w:color w:val="000000"/>
          <w:sz w:val="22"/>
          <w:szCs w:val="22"/>
        </w:rPr>
        <w:t xml:space="preserve">should </w:t>
      </w:r>
      <w:r w:rsidR="002C1BFD">
        <w:rPr>
          <w:rFonts w:asciiTheme="minorHAnsi" w:hAnsiTheme="minorHAnsi"/>
          <w:color w:val="000000"/>
          <w:sz w:val="22"/>
          <w:szCs w:val="22"/>
        </w:rPr>
        <w:t>they</w:t>
      </w:r>
      <w:r w:rsidR="004A0986">
        <w:rPr>
          <w:rFonts w:asciiTheme="minorHAnsi" w:hAnsiTheme="minorHAnsi"/>
          <w:color w:val="000000"/>
          <w:sz w:val="22"/>
          <w:szCs w:val="22"/>
        </w:rPr>
        <w:t xml:space="preserve"> become nationally notifiable; </w:t>
      </w:r>
      <w:r w:rsidR="00681ED1">
        <w:rPr>
          <w:rFonts w:asciiTheme="minorHAnsi" w:hAnsiTheme="minorHAnsi"/>
          <w:color w:val="000000"/>
          <w:sz w:val="22"/>
          <w:szCs w:val="22"/>
        </w:rPr>
        <w:t xml:space="preserve"> receipt of new </w:t>
      </w:r>
      <w:r w:rsidR="00D872D4" w:rsidRPr="00D872D4">
        <w:rPr>
          <w:rFonts w:asciiTheme="minorHAnsi" w:hAnsiTheme="minorHAnsi"/>
          <w:color w:val="000000"/>
          <w:sz w:val="22"/>
          <w:szCs w:val="22"/>
        </w:rPr>
        <w:t>laboratory and vaccine data elements for all conditions</w:t>
      </w:r>
      <w:r w:rsidR="00DA4DA5">
        <w:rPr>
          <w:rFonts w:asciiTheme="minorHAnsi" w:hAnsiTheme="minorHAnsi"/>
          <w:color w:val="000000"/>
          <w:sz w:val="22"/>
          <w:szCs w:val="22"/>
        </w:rPr>
        <w:t xml:space="preserve"> since</w:t>
      </w:r>
      <w:r w:rsidR="00F854A2" w:rsidRPr="00F854A2">
        <w:t xml:space="preserve"> </w:t>
      </w:r>
      <w:r w:rsidR="00F854A2" w:rsidRPr="00F854A2">
        <w:rPr>
          <w:rFonts w:asciiTheme="minorHAnsi" w:hAnsiTheme="minorHAnsi"/>
          <w:color w:val="000000"/>
          <w:sz w:val="22"/>
          <w:szCs w:val="22"/>
        </w:rPr>
        <w:t>they</w:t>
      </w:r>
      <w:r w:rsidR="00263491">
        <w:rPr>
          <w:rFonts w:asciiTheme="minorHAnsi" w:hAnsiTheme="minorHAnsi"/>
          <w:color w:val="000000"/>
          <w:sz w:val="22"/>
          <w:szCs w:val="22"/>
        </w:rPr>
        <w:t xml:space="preserve"> are necessary for routine surveillance and </w:t>
      </w:r>
      <w:r w:rsidR="00F854A2" w:rsidRPr="00F854A2">
        <w:rPr>
          <w:rFonts w:asciiTheme="minorHAnsi" w:hAnsiTheme="minorHAnsi"/>
          <w:color w:val="000000"/>
          <w:sz w:val="22"/>
          <w:szCs w:val="22"/>
        </w:rPr>
        <w:t>apply to a number of nationally notifiable conditions and can be standardized across these conditions for efficiency</w:t>
      </w:r>
      <w:r w:rsidR="00CC1423">
        <w:rPr>
          <w:rFonts w:asciiTheme="minorHAnsi" w:hAnsiTheme="minorHAnsi"/>
          <w:color w:val="000000"/>
          <w:sz w:val="22"/>
          <w:szCs w:val="22"/>
        </w:rPr>
        <w:t>;</w:t>
      </w:r>
      <w:r w:rsidR="00681ED1">
        <w:rPr>
          <w:rFonts w:asciiTheme="minorHAnsi" w:hAnsiTheme="minorHAnsi"/>
          <w:color w:val="000000"/>
          <w:sz w:val="22"/>
          <w:szCs w:val="22"/>
        </w:rPr>
        <w:t xml:space="preserve"> </w:t>
      </w:r>
      <w:r w:rsidR="00E23951">
        <w:rPr>
          <w:rFonts w:asciiTheme="minorHAnsi" w:hAnsiTheme="minorHAnsi"/>
          <w:color w:val="000000"/>
          <w:sz w:val="22"/>
          <w:szCs w:val="22"/>
        </w:rPr>
        <w:t xml:space="preserve">and </w:t>
      </w:r>
      <w:r w:rsidR="00681ED1">
        <w:rPr>
          <w:rFonts w:asciiTheme="minorHAnsi" w:hAnsiTheme="minorHAnsi"/>
          <w:color w:val="000000"/>
          <w:sz w:val="22"/>
          <w:szCs w:val="22"/>
        </w:rPr>
        <w:t xml:space="preserve">the receipt of </w:t>
      </w:r>
      <w:r w:rsidR="00D872D4" w:rsidRPr="00D872D4">
        <w:rPr>
          <w:rFonts w:asciiTheme="minorHAnsi" w:hAnsiTheme="minorHAnsi"/>
          <w:color w:val="000000"/>
          <w:sz w:val="22"/>
          <w:szCs w:val="22"/>
        </w:rPr>
        <w:t xml:space="preserve">new disease-specific data elements for Mumps, Pertussis, </w:t>
      </w:r>
      <w:r w:rsidR="000C54C9" w:rsidRPr="000C54C9">
        <w:rPr>
          <w:rFonts w:asciiTheme="minorHAnsi" w:hAnsiTheme="minorHAnsi"/>
          <w:color w:val="000000"/>
          <w:sz w:val="22"/>
          <w:szCs w:val="22"/>
        </w:rPr>
        <w:t xml:space="preserve">Varicella, </w:t>
      </w:r>
      <w:proofErr w:type="spellStart"/>
      <w:r w:rsidR="000C54C9" w:rsidRPr="000C54C9">
        <w:rPr>
          <w:rFonts w:asciiTheme="minorHAnsi" w:hAnsiTheme="minorHAnsi"/>
          <w:color w:val="000000"/>
          <w:sz w:val="22"/>
          <w:szCs w:val="22"/>
        </w:rPr>
        <w:t>Arboviral</w:t>
      </w:r>
      <w:proofErr w:type="spellEnd"/>
      <w:r w:rsidR="000C54C9" w:rsidRPr="000C54C9">
        <w:rPr>
          <w:rFonts w:asciiTheme="minorHAnsi" w:hAnsiTheme="minorHAnsi"/>
          <w:color w:val="000000"/>
          <w:sz w:val="22"/>
          <w:szCs w:val="22"/>
        </w:rPr>
        <w:t xml:space="preserve"> Diseases </w:t>
      </w:r>
      <w:r w:rsidR="00D872D4" w:rsidRPr="00D872D4">
        <w:rPr>
          <w:rFonts w:asciiTheme="minorHAnsi" w:hAnsiTheme="minorHAnsi"/>
          <w:color w:val="000000"/>
          <w:sz w:val="22"/>
          <w:szCs w:val="22"/>
        </w:rPr>
        <w:t>and STD</w:t>
      </w:r>
      <w:r w:rsidR="00602E1B">
        <w:rPr>
          <w:rFonts w:asciiTheme="minorHAnsi" w:hAnsiTheme="minorHAnsi"/>
          <w:color w:val="000000"/>
          <w:sz w:val="22"/>
          <w:szCs w:val="22"/>
        </w:rPr>
        <w:t xml:space="preserve"> </w:t>
      </w:r>
      <w:r w:rsidR="00263491">
        <w:rPr>
          <w:rFonts w:asciiTheme="minorHAnsi" w:hAnsiTheme="minorHAnsi"/>
          <w:color w:val="000000"/>
          <w:sz w:val="22"/>
          <w:szCs w:val="22"/>
        </w:rPr>
        <w:t>since</w:t>
      </w:r>
      <w:r w:rsidR="00602E1B">
        <w:rPr>
          <w:rFonts w:asciiTheme="minorHAnsi" w:hAnsiTheme="minorHAnsi"/>
          <w:color w:val="000000"/>
          <w:sz w:val="22"/>
          <w:szCs w:val="22"/>
        </w:rPr>
        <w:t xml:space="preserve"> they are necessary for </w:t>
      </w:r>
      <w:r w:rsidR="00EF2572">
        <w:rPr>
          <w:rFonts w:asciiTheme="minorHAnsi" w:hAnsiTheme="minorHAnsi"/>
          <w:color w:val="000000"/>
          <w:sz w:val="22"/>
          <w:szCs w:val="22"/>
        </w:rPr>
        <w:t>routine surveillance</w:t>
      </w:r>
      <w:r w:rsidR="00263491">
        <w:rPr>
          <w:rFonts w:asciiTheme="minorHAnsi" w:hAnsiTheme="minorHAnsi"/>
          <w:color w:val="000000"/>
          <w:sz w:val="22"/>
          <w:szCs w:val="22"/>
        </w:rPr>
        <w:t xml:space="preserve"> for these particular conditions</w:t>
      </w:r>
      <w:r w:rsidR="00E23951">
        <w:rPr>
          <w:rFonts w:asciiTheme="minorHAnsi" w:hAnsiTheme="minorHAnsi"/>
          <w:color w:val="000000"/>
          <w:sz w:val="22"/>
          <w:szCs w:val="22"/>
        </w:rPr>
        <w:t xml:space="preserve">. </w:t>
      </w:r>
      <w:r w:rsidR="0015640C" w:rsidRPr="0015640C">
        <w:rPr>
          <w:rFonts w:asciiTheme="minorHAnsi" w:hAnsiTheme="minorHAnsi"/>
          <w:color w:val="000000"/>
          <w:sz w:val="22"/>
          <w:szCs w:val="22"/>
        </w:rPr>
        <w:t>As stated above, these changes will not add to the burden</w:t>
      </w:r>
      <w:r w:rsidR="00602E1B">
        <w:rPr>
          <w:rFonts w:asciiTheme="minorHAnsi" w:hAnsiTheme="minorHAnsi"/>
          <w:color w:val="000000"/>
          <w:sz w:val="22"/>
          <w:szCs w:val="22"/>
        </w:rPr>
        <w:t xml:space="preserve"> since state</w:t>
      </w:r>
      <w:r w:rsidR="00BF12C5">
        <w:rPr>
          <w:rFonts w:asciiTheme="minorHAnsi" w:hAnsiTheme="minorHAnsi"/>
          <w:color w:val="000000"/>
          <w:sz w:val="22"/>
          <w:szCs w:val="22"/>
        </w:rPr>
        <w:t xml:space="preserve">s, territories, and cities </w:t>
      </w:r>
      <w:r w:rsidR="00602E1B">
        <w:rPr>
          <w:rFonts w:asciiTheme="minorHAnsi" w:hAnsiTheme="minorHAnsi"/>
          <w:color w:val="000000"/>
          <w:sz w:val="22"/>
          <w:szCs w:val="22"/>
        </w:rPr>
        <w:t xml:space="preserve">already collect this information and </w:t>
      </w:r>
      <w:r w:rsidR="00BF12C5">
        <w:rPr>
          <w:rFonts w:asciiTheme="minorHAnsi" w:hAnsiTheme="minorHAnsi"/>
          <w:color w:val="000000"/>
          <w:sz w:val="22"/>
          <w:szCs w:val="22"/>
        </w:rPr>
        <w:t xml:space="preserve">there is no increase in burden to send </w:t>
      </w:r>
      <w:r w:rsidR="000C0D2B" w:rsidRPr="000C0D2B">
        <w:rPr>
          <w:rFonts w:asciiTheme="minorHAnsi" w:hAnsiTheme="minorHAnsi"/>
          <w:color w:val="000000"/>
          <w:sz w:val="22"/>
          <w:szCs w:val="22"/>
        </w:rPr>
        <w:t>t</w:t>
      </w:r>
      <w:r w:rsidR="00BF12C5">
        <w:rPr>
          <w:rFonts w:asciiTheme="minorHAnsi" w:hAnsiTheme="minorHAnsi"/>
          <w:color w:val="000000"/>
          <w:sz w:val="22"/>
          <w:szCs w:val="22"/>
        </w:rPr>
        <w:t>hese</w:t>
      </w:r>
      <w:r w:rsidR="000C0D2B" w:rsidRPr="000C0D2B">
        <w:rPr>
          <w:rFonts w:asciiTheme="minorHAnsi" w:hAnsiTheme="minorHAnsi"/>
          <w:color w:val="000000"/>
          <w:sz w:val="22"/>
          <w:szCs w:val="22"/>
        </w:rPr>
        <w:t xml:space="preserve"> data elements to CDC.</w:t>
      </w:r>
      <w:r w:rsidR="00BF12C5">
        <w:rPr>
          <w:rFonts w:asciiTheme="minorHAnsi" w:hAnsiTheme="minorHAnsi"/>
          <w:color w:val="000000"/>
          <w:sz w:val="22"/>
          <w:szCs w:val="22"/>
        </w:rPr>
        <w:t xml:space="preserve"> </w:t>
      </w:r>
      <w:r w:rsidR="001808A5">
        <w:rPr>
          <w:rFonts w:asciiTheme="minorHAnsi" w:hAnsiTheme="minorHAnsi"/>
          <w:color w:val="000000"/>
          <w:sz w:val="22"/>
          <w:szCs w:val="22"/>
        </w:rPr>
        <w:t>M</w:t>
      </w:r>
      <w:r w:rsidR="00D533B8" w:rsidRPr="00D533B8">
        <w:rPr>
          <w:rFonts w:asciiTheme="minorHAnsi" w:hAnsiTheme="minorHAnsi"/>
          <w:color w:val="000000"/>
          <w:sz w:val="22"/>
          <w:szCs w:val="22"/>
        </w:rPr>
        <w:t xml:space="preserve">ost case notifications are submitted electronically from already existing databases via automated electronic transfers. </w:t>
      </w:r>
      <w:r w:rsidR="00BF12C5">
        <w:rPr>
          <w:rFonts w:asciiTheme="minorHAnsi" w:hAnsiTheme="minorHAnsi"/>
          <w:color w:val="000000"/>
          <w:sz w:val="22"/>
          <w:szCs w:val="22"/>
        </w:rPr>
        <w:t>Additionally</w:t>
      </w:r>
      <w:r w:rsidR="00C91BAA">
        <w:rPr>
          <w:rFonts w:asciiTheme="minorHAnsi" w:hAnsiTheme="minorHAnsi"/>
          <w:color w:val="000000"/>
          <w:sz w:val="22"/>
          <w:szCs w:val="22"/>
        </w:rPr>
        <w:t>,</w:t>
      </w:r>
      <w:r w:rsidR="00BF12C5">
        <w:rPr>
          <w:rFonts w:asciiTheme="minorHAnsi" w:hAnsiTheme="minorHAnsi"/>
          <w:color w:val="000000"/>
          <w:sz w:val="22"/>
          <w:szCs w:val="22"/>
        </w:rPr>
        <w:t xml:space="preserve"> </w:t>
      </w:r>
      <w:r w:rsidR="0015640C" w:rsidRPr="0015640C">
        <w:rPr>
          <w:rFonts w:asciiTheme="minorHAnsi" w:hAnsiTheme="minorHAnsi"/>
          <w:color w:val="000000"/>
          <w:sz w:val="22"/>
          <w:szCs w:val="22"/>
        </w:rPr>
        <w:t>CSTE</w:t>
      </w:r>
      <w:r w:rsidR="00A87987">
        <w:rPr>
          <w:rFonts w:asciiTheme="minorHAnsi" w:hAnsiTheme="minorHAnsi"/>
          <w:color w:val="000000"/>
          <w:sz w:val="22"/>
          <w:szCs w:val="22"/>
        </w:rPr>
        <w:t>, local, state, and territorial health departments</w:t>
      </w:r>
      <w:r w:rsidR="0015640C" w:rsidRPr="0015640C">
        <w:rPr>
          <w:rFonts w:asciiTheme="minorHAnsi" w:hAnsiTheme="minorHAnsi"/>
          <w:color w:val="000000"/>
          <w:sz w:val="22"/>
          <w:szCs w:val="22"/>
        </w:rPr>
        <w:t xml:space="preserve"> and CDC work jointly to decide which conditions are nationally notifiable and added to NNDSS.   </w:t>
      </w:r>
    </w:p>
    <w:p w14:paraId="0E533356" w14:textId="77777777" w:rsidR="0015640C" w:rsidRPr="00FF55BF" w:rsidRDefault="0015640C"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14:paraId="28E512EE"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A.16. </w:t>
      </w:r>
      <w:r w:rsidRPr="00FF55BF">
        <w:rPr>
          <w:rFonts w:asciiTheme="minorHAnsi" w:hAnsiTheme="minorHAnsi"/>
          <w:b/>
          <w:color w:val="000000"/>
          <w:sz w:val="22"/>
          <w:szCs w:val="22"/>
          <w:u w:val="single"/>
        </w:rPr>
        <w:t>Plans for Tabulation and Publication and Project Time Schedule</w:t>
      </w:r>
      <w:r w:rsidR="00F35B3D" w:rsidRPr="00FF55BF">
        <w:rPr>
          <w:rFonts w:asciiTheme="minorHAnsi" w:hAnsiTheme="minorHAnsi"/>
          <w:b/>
          <w:color w:val="000000"/>
          <w:sz w:val="22"/>
          <w:szCs w:val="22"/>
          <w:u w:val="single"/>
        </w:rPr>
        <w:t xml:space="preserve"> </w:t>
      </w:r>
    </w:p>
    <w:p w14:paraId="77140023" w14:textId="77777777" w:rsidR="00A3762E" w:rsidRPr="00FF55BF" w:rsidRDefault="00801EDD"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CDC tabulates and publishes provisional counts of </w:t>
      </w:r>
      <w:r w:rsidR="004D2578">
        <w:rPr>
          <w:rFonts w:asciiTheme="minorHAnsi" w:hAnsiTheme="minorHAnsi"/>
          <w:color w:val="000000"/>
          <w:sz w:val="22"/>
          <w:szCs w:val="22"/>
        </w:rPr>
        <w:t xml:space="preserve">nationally </w:t>
      </w:r>
      <w:r w:rsidRPr="00FF55BF">
        <w:rPr>
          <w:rFonts w:asciiTheme="minorHAnsi" w:hAnsiTheme="minorHAnsi"/>
          <w:color w:val="000000"/>
          <w:sz w:val="22"/>
          <w:szCs w:val="22"/>
        </w:rPr>
        <w:t xml:space="preserve">notifiable </w:t>
      </w:r>
      <w:r w:rsidR="004D2578">
        <w:rPr>
          <w:rFonts w:asciiTheme="minorHAnsi" w:hAnsiTheme="minorHAnsi"/>
          <w:color w:val="000000"/>
          <w:sz w:val="22"/>
          <w:szCs w:val="22"/>
        </w:rPr>
        <w:t>conditions</w:t>
      </w:r>
      <w:r w:rsidRPr="00FF55BF">
        <w:rPr>
          <w:rFonts w:asciiTheme="minorHAnsi" w:hAnsiTheme="minorHAnsi"/>
          <w:color w:val="000000"/>
          <w:sz w:val="22"/>
          <w:szCs w:val="22"/>
        </w:rPr>
        <w:t xml:space="preserve"> each week.</w:t>
      </w:r>
      <w:r w:rsidR="00D5544D">
        <w:rPr>
          <w:rFonts w:asciiTheme="minorHAnsi" w:hAnsiTheme="minorHAnsi"/>
          <w:color w:val="000000"/>
          <w:sz w:val="22"/>
          <w:szCs w:val="22"/>
        </w:rPr>
        <w:t xml:space="preserve"> </w:t>
      </w:r>
      <w:r w:rsidR="00A3762E" w:rsidRPr="00FF55BF">
        <w:rPr>
          <w:rFonts w:asciiTheme="minorHAnsi" w:hAnsiTheme="minorHAnsi"/>
          <w:color w:val="000000"/>
          <w:sz w:val="22"/>
          <w:szCs w:val="22"/>
        </w:rPr>
        <w:t xml:space="preserve">The data are published in the </w:t>
      </w:r>
      <w:r w:rsidR="00A3762E" w:rsidRPr="00FF55BF">
        <w:rPr>
          <w:rFonts w:asciiTheme="minorHAnsi" w:hAnsiTheme="minorHAnsi"/>
          <w:i/>
          <w:color w:val="000000"/>
          <w:sz w:val="22"/>
          <w:szCs w:val="22"/>
        </w:rPr>
        <w:t>MMWR</w:t>
      </w:r>
      <w:r w:rsidR="00D0458A" w:rsidRPr="00FF55BF">
        <w:rPr>
          <w:rFonts w:asciiTheme="minorHAnsi" w:hAnsiTheme="minorHAnsi"/>
          <w:color w:val="000000"/>
          <w:sz w:val="22"/>
          <w:szCs w:val="22"/>
        </w:rPr>
        <w:t xml:space="preserve"> </w:t>
      </w:r>
      <w:r w:rsidR="00A3762E" w:rsidRPr="00FF55BF">
        <w:rPr>
          <w:rFonts w:asciiTheme="minorHAnsi" w:hAnsiTheme="minorHAnsi"/>
          <w:color w:val="000000"/>
          <w:sz w:val="22"/>
          <w:szCs w:val="22"/>
        </w:rPr>
        <w:t>and are available a</w:t>
      </w:r>
      <w:r w:rsidR="00F35B3D" w:rsidRPr="00FF55BF">
        <w:rPr>
          <w:rFonts w:asciiTheme="minorHAnsi" w:hAnsiTheme="minorHAnsi"/>
          <w:color w:val="000000"/>
          <w:sz w:val="22"/>
          <w:szCs w:val="22"/>
        </w:rPr>
        <w:t xml:space="preserve">t </w:t>
      </w:r>
      <w:hyperlink r:id="rId23" w:history="1">
        <w:r w:rsidR="00A3762E" w:rsidRPr="00FF55BF">
          <w:rPr>
            <w:rStyle w:val="Hyperlink"/>
            <w:rFonts w:asciiTheme="minorHAnsi" w:hAnsiTheme="minorHAnsi"/>
            <w:sz w:val="22"/>
            <w:szCs w:val="22"/>
          </w:rPr>
          <w:t>http://wonder.cdc.gov/mmwr/mmwrmorb.asp</w:t>
        </w:r>
      </w:hyperlink>
      <w:r w:rsidR="00A3762E" w:rsidRPr="00FF55BF">
        <w:rPr>
          <w:rFonts w:asciiTheme="minorHAnsi" w:hAnsiTheme="minorHAnsi"/>
          <w:color w:val="000000"/>
          <w:sz w:val="22"/>
          <w:szCs w:val="22"/>
        </w:rPr>
        <w:t xml:space="preserve">.  The </w:t>
      </w:r>
      <w:r w:rsidR="00A3762E" w:rsidRPr="00FF55BF">
        <w:rPr>
          <w:rFonts w:asciiTheme="minorHAnsi" w:hAnsiTheme="minorHAnsi"/>
          <w:i/>
          <w:color w:val="000000"/>
          <w:sz w:val="22"/>
          <w:szCs w:val="22"/>
        </w:rPr>
        <w:t>MMWR</w:t>
      </w:r>
      <w:r w:rsidR="00A3762E" w:rsidRPr="00FF55BF">
        <w:rPr>
          <w:rFonts w:asciiTheme="minorHAnsi" w:hAnsiTheme="minorHAnsi"/>
          <w:color w:val="000000"/>
          <w:sz w:val="22"/>
          <w:szCs w:val="22"/>
        </w:rPr>
        <w:t xml:space="preserve"> weekly tables of nationally notifiable diseases are also available on the </w:t>
      </w:r>
      <w:r w:rsidR="00A3762E" w:rsidRPr="00FF55BF">
        <w:rPr>
          <w:rFonts w:asciiTheme="minorHAnsi" w:hAnsiTheme="minorHAnsi"/>
          <w:i/>
          <w:color w:val="000000"/>
          <w:sz w:val="22"/>
          <w:szCs w:val="22"/>
        </w:rPr>
        <w:t>MMWR</w:t>
      </w:r>
      <w:r w:rsidR="00A3762E" w:rsidRPr="00FF55BF">
        <w:rPr>
          <w:rFonts w:asciiTheme="minorHAnsi" w:hAnsiTheme="minorHAnsi"/>
          <w:color w:val="000000"/>
          <w:sz w:val="22"/>
          <w:szCs w:val="22"/>
        </w:rPr>
        <w:t xml:space="preserve"> web site (</w:t>
      </w:r>
      <w:hyperlink r:id="rId24" w:history="1">
        <w:r w:rsidR="00A3762E" w:rsidRPr="00FF55BF">
          <w:rPr>
            <w:rStyle w:val="Hyperlink"/>
            <w:rFonts w:asciiTheme="minorHAnsi" w:hAnsiTheme="minorHAnsi"/>
            <w:sz w:val="22"/>
            <w:szCs w:val="22"/>
          </w:rPr>
          <w:t>http://www.cdc.gov/mmwr/mmwr_wk/wk_cvol.html</w:t>
        </w:r>
      </w:hyperlink>
      <w:r w:rsidR="00A3762E" w:rsidRPr="00FF55BF">
        <w:rPr>
          <w:rFonts w:asciiTheme="minorHAnsi" w:hAnsiTheme="minorHAnsi"/>
          <w:color w:val="000000"/>
          <w:sz w:val="22"/>
          <w:szCs w:val="22"/>
        </w:rPr>
        <w:t>) within the “Notifiable Disease and Mortality Tables” section of each week’s publication.</w:t>
      </w:r>
      <w:r w:rsidR="00D5544D">
        <w:rPr>
          <w:rFonts w:asciiTheme="minorHAnsi" w:hAnsiTheme="minorHAnsi"/>
          <w:color w:val="000000"/>
          <w:sz w:val="22"/>
          <w:szCs w:val="22"/>
        </w:rPr>
        <w:t xml:space="preserve"> </w:t>
      </w:r>
      <w:r w:rsidR="00A3762E" w:rsidRPr="00FF55BF">
        <w:rPr>
          <w:rFonts w:asciiTheme="minorHAnsi" w:hAnsiTheme="minorHAnsi"/>
          <w:color w:val="000000"/>
          <w:sz w:val="22"/>
          <w:szCs w:val="22"/>
        </w:rPr>
        <w:t xml:space="preserve">In August, finalized </w:t>
      </w:r>
      <w:r w:rsidR="004679F2" w:rsidRPr="00FF55BF">
        <w:rPr>
          <w:rFonts w:asciiTheme="minorHAnsi" w:hAnsiTheme="minorHAnsi"/>
          <w:color w:val="000000"/>
          <w:sz w:val="22"/>
          <w:szCs w:val="22"/>
        </w:rPr>
        <w:t xml:space="preserve">case </w:t>
      </w:r>
      <w:r w:rsidR="00A3762E" w:rsidRPr="00FF55BF">
        <w:rPr>
          <w:rFonts w:asciiTheme="minorHAnsi" w:hAnsiTheme="minorHAnsi"/>
          <w:color w:val="000000"/>
          <w:sz w:val="22"/>
          <w:szCs w:val="22"/>
        </w:rPr>
        <w:t xml:space="preserve">counts by jurisdiction of nationally notifiable </w:t>
      </w:r>
      <w:r w:rsidR="004D2578">
        <w:rPr>
          <w:rFonts w:asciiTheme="minorHAnsi" w:hAnsiTheme="minorHAnsi"/>
          <w:color w:val="000000"/>
          <w:sz w:val="22"/>
          <w:szCs w:val="22"/>
        </w:rPr>
        <w:t>conditions</w:t>
      </w:r>
      <w:r w:rsidR="00A3762E" w:rsidRPr="00FF55BF">
        <w:rPr>
          <w:rFonts w:asciiTheme="minorHAnsi" w:hAnsiTheme="minorHAnsi"/>
          <w:color w:val="000000"/>
          <w:sz w:val="22"/>
          <w:szCs w:val="22"/>
        </w:rPr>
        <w:t xml:space="preserve"> </w:t>
      </w:r>
      <w:r w:rsidR="004679F2" w:rsidRPr="00FF55BF">
        <w:rPr>
          <w:rFonts w:asciiTheme="minorHAnsi" w:hAnsiTheme="minorHAnsi"/>
          <w:color w:val="000000"/>
          <w:sz w:val="22"/>
          <w:szCs w:val="22"/>
        </w:rPr>
        <w:t xml:space="preserve">for the previous year </w:t>
      </w:r>
      <w:r w:rsidR="00A3762E" w:rsidRPr="00FF55BF">
        <w:rPr>
          <w:rFonts w:asciiTheme="minorHAnsi" w:hAnsiTheme="minorHAnsi"/>
          <w:color w:val="000000"/>
          <w:sz w:val="22"/>
          <w:szCs w:val="22"/>
        </w:rPr>
        <w:t xml:space="preserve">are published in </w:t>
      </w:r>
      <w:r w:rsidR="00A3762E" w:rsidRPr="00FF55BF">
        <w:rPr>
          <w:rFonts w:asciiTheme="minorHAnsi" w:hAnsiTheme="minorHAnsi"/>
          <w:i/>
          <w:color w:val="000000"/>
          <w:sz w:val="22"/>
          <w:szCs w:val="22"/>
        </w:rPr>
        <w:t>MMWR</w:t>
      </w:r>
      <w:r w:rsidR="00A3762E" w:rsidRPr="00FF55BF">
        <w:rPr>
          <w:rFonts w:asciiTheme="minorHAnsi" w:hAnsiTheme="minorHAnsi"/>
          <w:color w:val="000000"/>
          <w:sz w:val="22"/>
          <w:szCs w:val="22"/>
        </w:rPr>
        <w:t xml:space="preserve"> Early Release tables.  Then, in </w:t>
      </w:r>
      <w:r w:rsidR="00BD540F" w:rsidRPr="00FF55BF">
        <w:rPr>
          <w:rFonts w:asciiTheme="minorHAnsi" w:hAnsiTheme="minorHAnsi"/>
          <w:color w:val="000000"/>
          <w:sz w:val="22"/>
          <w:szCs w:val="22"/>
        </w:rPr>
        <w:t>spring</w:t>
      </w:r>
      <w:r w:rsidR="00A3762E" w:rsidRPr="00FF55BF">
        <w:rPr>
          <w:rFonts w:asciiTheme="minorHAnsi" w:hAnsiTheme="minorHAnsi"/>
          <w:color w:val="000000"/>
          <w:sz w:val="22"/>
          <w:szCs w:val="22"/>
        </w:rPr>
        <w:t xml:space="preserve"> of the following year, the final annual data tables are published in the </w:t>
      </w:r>
      <w:r w:rsidR="00A3762E" w:rsidRPr="00FF55BF">
        <w:rPr>
          <w:rFonts w:asciiTheme="minorHAnsi" w:hAnsiTheme="minorHAnsi"/>
          <w:i/>
          <w:color w:val="000000"/>
          <w:sz w:val="22"/>
          <w:szCs w:val="22"/>
        </w:rPr>
        <w:t>MMWR Summary of Notifiable Diseases, United States</w:t>
      </w:r>
      <w:r w:rsidR="00A3762E" w:rsidRPr="00FF55BF">
        <w:rPr>
          <w:rFonts w:asciiTheme="minorHAnsi" w:hAnsiTheme="minorHAnsi"/>
          <w:color w:val="000000"/>
          <w:sz w:val="22"/>
          <w:szCs w:val="22"/>
        </w:rPr>
        <w:t xml:space="preserve">, available at this location: </w:t>
      </w:r>
      <w:hyperlink r:id="rId25" w:history="1">
        <w:r w:rsidR="00A3762E" w:rsidRPr="00FF55BF">
          <w:rPr>
            <w:rStyle w:val="Hyperlink"/>
            <w:rFonts w:asciiTheme="minorHAnsi" w:hAnsiTheme="minorHAnsi"/>
            <w:sz w:val="22"/>
            <w:szCs w:val="22"/>
          </w:rPr>
          <w:t>http://www.cdc.gov/mmwr/mmwr_nd/index.html</w:t>
        </w:r>
      </w:hyperlink>
      <w:r w:rsidR="00A3762E" w:rsidRPr="00FF55BF">
        <w:rPr>
          <w:rFonts w:asciiTheme="minorHAnsi" w:hAnsiTheme="minorHAnsi"/>
          <w:i/>
          <w:color w:val="000000"/>
          <w:sz w:val="22"/>
          <w:szCs w:val="22"/>
        </w:rPr>
        <w:t>.</w:t>
      </w:r>
      <w:r w:rsidR="00A3762E" w:rsidRPr="00FF55BF">
        <w:rPr>
          <w:rFonts w:asciiTheme="minorHAnsi" w:hAnsiTheme="minorHAnsi"/>
          <w:color w:val="000000"/>
          <w:sz w:val="22"/>
          <w:szCs w:val="22"/>
        </w:rPr>
        <w:t xml:space="preserve">  A limited number of hard copies of the Annual Summary are available and are </w:t>
      </w:r>
      <w:r w:rsidR="004D2578">
        <w:rPr>
          <w:rFonts w:asciiTheme="minorHAnsi" w:hAnsiTheme="minorHAnsi"/>
          <w:color w:val="000000"/>
          <w:sz w:val="22"/>
          <w:szCs w:val="22"/>
        </w:rPr>
        <w:t xml:space="preserve">also </w:t>
      </w:r>
      <w:r w:rsidR="00A3762E" w:rsidRPr="00FF55BF">
        <w:rPr>
          <w:rFonts w:asciiTheme="minorHAnsi" w:hAnsiTheme="minorHAnsi"/>
          <w:color w:val="000000"/>
          <w:sz w:val="22"/>
          <w:szCs w:val="22"/>
        </w:rPr>
        <w:t>distributed</w:t>
      </w:r>
      <w:r w:rsidR="004D2578">
        <w:rPr>
          <w:rFonts w:asciiTheme="minorHAnsi" w:hAnsiTheme="minorHAnsi"/>
          <w:color w:val="000000"/>
          <w:sz w:val="22"/>
          <w:szCs w:val="22"/>
        </w:rPr>
        <w:t xml:space="preserve">. </w:t>
      </w:r>
      <w:r w:rsidR="00A3762E" w:rsidRPr="00FF55BF">
        <w:rPr>
          <w:rFonts w:asciiTheme="minorHAnsi" w:hAnsiTheme="minorHAnsi"/>
          <w:color w:val="000000"/>
          <w:sz w:val="22"/>
          <w:szCs w:val="22"/>
        </w:rPr>
        <w:t>These summaries are for use by local, state, and federal health agencies, schools of medicine and public health, communications media, and other agencies or persons interested in notifiable disease surveillance and epidemiology in the United States.</w:t>
      </w:r>
      <w:r w:rsidR="004679F2" w:rsidRPr="00FF55BF">
        <w:rPr>
          <w:rFonts w:asciiTheme="minorHAnsi" w:hAnsiTheme="minorHAnsi"/>
          <w:color w:val="000000"/>
          <w:sz w:val="22"/>
          <w:szCs w:val="22"/>
        </w:rPr>
        <w:t xml:space="preserve"> In addition, CDC programs publish </w:t>
      </w:r>
      <w:r w:rsidR="00080DB6" w:rsidRPr="00FF55BF">
        <w:rPr>
          <w:rFonts w:asciiTheme="minorHAnsi" w:hAnsiTheme="minorHAnsi"/>
          <w:color w:val="000000"/>
          <w:sz w:val="22"/>
          <w:szCs w:val="22"/>
        </w:rPr>
        <w:t xml:space="preserve">routinely </w:t>
      </w:r>
      <w:r w:rsidR="004679F2" w:rsidRPr="00FF55BF">
        <w:rPr>
          <w:rFonts w:asciiTheme="minorHAnsi" w:hAnsiTheme="minorHAnsi"/>
          <w:color w:val="000000"/>
          <w:sz w:val="22"/>
          <w:szCs w:val="22"/>
        </w:rPr>
        <w:t xml:space="preserve">reports on specific notifiable conditions in the </w:t>
      </w:r>
      <w:r w:rsidR="004679F2" w:rsidRPr="00FF55BF">
        <w:rPr>
          <w:rFonts w:asciiTheme="minorHAnsi" w:hAnsiTheme="minorHAnsi"/>
          <w:i/>
          <w:color w:val="000000"/>
          <w:sz w:val="22"/>
          <w:szCs w:val="22"/>
        </w:rPr>
        <w:t>MMWR</w:t>
      </w:r>
      <w:r w:rsidR="004679F2" w:rsidRPr="00FF55BF">
        <w:rPr>
          <w:rFonts w:asciiTheme="minorHAnsi" w:hAnsiTheme="minorHAnsi"/>
          <w:color w:val="000000"/>
          <w:sz w:val="22"/>
          <w:szCs w:val="22"/>
        </w:rPr>
        <w:t xml:space="preserve"> and in other scientific, medical and public health journals.</w:t>
      </w:r>
    </w:p>
    <w:p w14:paraId="55562A16"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14:paraId="65997312"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A.17. </w:t>
      </w:r>
      <w:r w:rsidR="0054726E" w:rsidRPr="00FF55BF">
        <w:rPr>
          <w:rFonts w:asciiTheme="minorHAnsi" w:hAnsiTheme="minorHAnsi"/>
          <w:b/>
          <w:sz w:val="22"/>
          <w:szCs w:val="22"/>
          <w:u w:val="single"/>
        </w:rPr>
        <w:t>Reason(s) Display of OMB Expiration Date is Inappropriate</w:t>
      </w:r>
    </w:p>
    <w:p w14:paraId="4AE054A7" w14:textId="77777777" w:rsidR="009135CB" w:rsidRPr="00FF55BF" w:rsidRDefault="00E4016A"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Pr>
          <w:rFonts w:asciiTheme="minorHAnsi" w:hAnsiTheme="minorHAnsi"/>
          <w:color w:val="000000"/>
          <w:sz w:val="22"/>
          <w:szCs w:val="22"/>
        </w:rPr>
        <w:lastRenderedPageBreak/>
        <w:t>CDC requested approval to not display the expiration date for OMB approval o</w:t>
      </w:r>
      <w:r w:rsidR="00B807C7">
        <w:rPr>
          <w:rFonts w:asciiTheme="minorHAnsi" w:hAnsiTheme="minorHAnsi"/>
          <w:color w:val="000000"/>
          <w:sz w:val="22"/>
          <w:szCs w:val="22"/>
        </w:rPr>
        <w:t>n</w:t>
      </w:r>
      <w:r>
        <w:rPr>
          <w:rFonts w:asciiTheme="minorHAnsi" w:hAnsiTheme="minorHAnsi"/>
          <w:color w:val="000000"/>
          <w:sz w:val="22"/>
          <w:szCs w:val="22"/>
        </w:rPr>
        <w:t xml:space="preserve"> information collection form</w:t>
      </w:r>
      <w:r w:rsidR="00B807C7">
        <w:rPr>
          <w:rFonts w:asciiTheme="minorHAnsi" w:hAnsiTheme="minorHAnsi"/>
          <w:color w:val="000000"/>
          <w:sz w:val="22"/>
          <w:szCs w:val="22"/>
        </w:rPr>
        <w:t>s</w:t>
      </w:r>
      <w:r>
        <w:rPr>
          <w:rFonts w:asciiTheme="minorHAnsi" w:hAnsiTheme="minorHAnsi"/>
          <w:color w:val="000000"/>
          <w:sz w:val="22"/>
          <w:szCs w:val="22"/>
        </w:rPr>
        <w:t xml:space="preserve"> in the previous revision application. Approval was granted on </w:t>
      </w:r>
      <w:r w:rsidR="00B807C7">
        <w:rPr>
          <w:rFonts w:asciiTheme="minorHAnsi" w:hAnsiTheme="minorHAnsi"/>
          <w:color w:val="000000"/>
          <w:sz w:val="22"/>
          <w:szCs w:val="22"/>
        </w:rPr>
        <w:t>January 15, 2014.</w:t>
      </w:r>
    </w:p>
    <w:p w14:paraId="1B1C5FB7" w14:textId="77777777" w:rsidR="00B807C7" w:rsidRDefault="00B807C7" w:rsidP="00925656">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14:paraId="2A90A92D" w14:textId="77777777"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A.18. </w:t>
      </w:r>
      <w:r w:rsidRPr="00FF55BF">
        <w:rPr>
          <w:rFonts w:asciiTheme="minorHAnsi" w:hAnsiTheme="minorHAnsi"/>
          <w:b/>
          <w:color w:val="000000"/>
          <w:sz w:val="22"/>
          <w:szCs w:val="22"/>
          <w:u w:val="single"/>
        </w:rPr>
        <w:t>Exceptions to Certification for Paperwork Reduction Act Submissions</w:t>
      </w:r>
    </w:p>
    <w:p w14:paraId="0AB6F7F2" w14:textId="76968035" w:rsidR="009135CB" w:rsidRPr="00FF55BF" w:rsidRDefault="0047710E"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Pr>
          <w:rFonts w:asciiTheme="minorHAnsi" w:hAnsiTheme="minorHAnsi"/>
          <w:color w:val="000000"/>
          <w:sz w:val="22"/>
          <w:szCs w:val="22"/>
        </w:rPr>
        <w:t>There are n</w:t>
      </w:r>
      <w:r w:rsidR="009135CB" w:rsidRPr="00FF55BF">
        <w:rPr>
          <w:rFonts w:asciiTheme="minorHAnsi" w:hAnsiTheme="minorHAnsi"/>
          <w:color w:val="000000"/>
          <w:sz w:val="22"/>
          <w:szCs w:val="22"/>
        </w:rPr>
        <w:t xml:space="preserve">o exceptions </w:t>
      </w:r>
      <w:r>
        <w:rPr>
          <w:rFonts w:asciiTheme="minorHAnsi" w:hAnsiTheme="minorHAnsi"/>
          <w:color w:val="000000"/>
          <w:sz w:val="22"/>
          <w:szCs w:val="22"/>
        </w:rPr>
        <w:t>to the certification</w:t>
      </w:r>
      <w:r w:rsidR="009135CB" w:rsidRPr="00FF55BF">
        <w:rPr>
          <w:rFonts w:asciiTheme="minorHAnsi" w:hAnsiTheme="minorHAnsi"/>
          <w:color w:val="000000"/>
          <w:sz w:val="22"/>
          <w:szCs w:val="22"/>
        </w:rPr>
        <w:t>.</w:t>
      </w:r>
    </w:p>
    <w:sectPr w:rsidR="009135CB" w:rsidRPr="00FF55BF" w:rsidSect="00E516D2">
      <w:headerReference w:type="default" r:id="rId26"/>
      <w:footerReference w:type="even" r:id="rId27"/>
      <w:footerReference w:type="default" r:id="rId28"/>
      <w:footerReference w:type="firs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9A9C4" w14:textId="77777777" w:rsidR="00286FFD" w:rsidRDefault="00286FFD">
      <w:r>
        <w:separator/>
      </w:r>
    </w:p>
  </w:endnote>
  <w:endnote w:type="continuationSeparator" w:id="0">
    <w:p w14:paraId="607E3CF7" w14:textId="77777777" w:rsidR="00286FFD" w:rsidRDefault="0028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C1F1" w14:textId="77777777" w:rsidR="00286FFD" w:rsidRDefault="00286FFD"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B11EB" w14:textId="77777777" w:rsidR="00286FFD" w:rsidRDefault="00286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BCFF" w14:textId="77777777" w:rsidR="00286FFD" w:rsidRDefault="00286FFD">
    <w:pPr>
      <w:pStyle w:val="Footer"/>
      <w:jc w:val="center"/>
    </w:pPr>
    <w:r w:rsidRPr="00A45461">
      <w:rPr>
        <w:rFonts w:ascii="Calibri" w:hAnsi="Calibri"/>
        <w:sz w:val="16"/>
      </w:rPr>
      <w:fldChar w:fldCharType="begin"/>
    </w:r>
    <w:r w:rsidRPr="00A45461">
      <w:rPr>
        <w:rFonts w:ascii="Calibri" w:hAnsi="Calibri"/>
        <w:sz w:val="16"/>
      </w:rPr>
      <w:instrText xml:space="preserve"> PAGE   \* MERGEFORMAT </w:instrText>
    </w:r>
    <w:r w:rsidRPr="00A45461">
      <w:rPr>
        <w:rFonts w:ascii="Calibri" w:hAnsi="Calibri"/>
        <w:sz w:val="16"/>
      </w:rPr>
      <w:fldChar w:fldCharType="separate"/>
    </w:r>
    <w:r w:rsidR="003E2333">
      <w:rPr>
        <w:rFonts w:ascii="Calibri" w:hAnsi="Calibri"/>
        <w:noProof/>
        <w:sz w:val="16"/>
      </w:rPr>
      <w:t>17</w:t>
    </w:r>
    <w:r w:rsidRPr="00A45461">
      <w:rPr>
        <w:rFonts w:ascii="Calibri" w:hAnsi="Calibri"/>
        <w:noProof/>
        <w:sz w:val="16"/>
      </w:rPr>
      <w:fldChar w:fldCharType="end"/>
    </w:r>
  </w:p>
  <w:p w14:paraId="33786ADD" w14:textId="77777777" w:rsidR="00286FFD" w:rsidRPr="00974CF8" w:rsidRDefault="00286FFD" w:rsidP="008D7C48">
    <w:pPr>
      <w:pStyle w:val="Footer"/>
      <w:tabs>
        <w:tab w:val="left" w:pos="4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A5AC" w14:textId="77777777" w:rsidR="00286FFD" w:rsidRPr="00AF18FE" w:rsidRDefault="00286FFD" w:rsidP="008D7C48">
    <w:pPr>
      <w:pStyle w:val="Footer"/>
      <w:jc w:val="center"/>
      <w:rPr>
        <w:rFonts w:asciiTheme="minorHAnsi" w:hAnsiTheme="minorHAnsi"/>
        <w:sz w:val="16"/>
        <w:szCs w:val="16"/>
      </w:rPr>
    </w:pPr>
    <w:r w:rsidRPr="00AF18FE">
      <w:rPr>
        <w:rFonts w:asciiTheme="minorHAnsi" w:hAnsiTheme="minorHAnsi"/>
        <w:sz w:val="16"/>
        <w:szCs w:val="16"/>
      </w:rPr>
      <w:fldChar w:fldCharType="begin"/>
    </w:r>
    <w:r w:rsidRPr="00AF18FE">
      <w:rPr>
        <w:rFonts w:asciiTheme="minorHAnsi" w:hAnsiTheme="minorHAnsi"/>
        <w:sz w:val="16"/>
        <w:szCs w:val="16"/>
      </w:rPr>
      <w:instrText xml:space="preserve"> PAGE   \* MERGEFORMAT </w:instrText>
    </w:r>
    <w:r w:rsidRPr="00AF18FE">
      <w:rPr>
        <w:rFonts w:asciiTheme="minorHAnsi" w:hAnsiTheme="minorHAnsi"/>
        <w:sz w:val="16"/>
        <w:szCs w:val="16"/>
      </w:rPr>
      <w:fldChar w:fldCharType="separate"/>
    </w:r>
    <w:r w:rsidR="003E2333">
      <w:rPr>
        <w:rFonts w:asciiTheme="minorHAnsi" w:hAnsiTheme="minorHAnsi"/>
        <w:noProof/>
        <w:sz w:val="16"/>
        <w:szCs w:val="16"/>
      </w:rPr>
      <w:t>1</w:t>
    </w:r>
    <w:r w:rsidRPr="00AF18FE">
      <w:rPr>
        <w:rFonts w:asciiTheme="minorHAnsi" w:hAnsiTheme="minorHAnsi"/>
        <w:sz w:val="16"/>
        <w:szCs w:val="16"/>
      </w:rPr>
      <w:fldChar w:fldCharType="end"/>
    </w:r>
  </w:p>
  <w:p w14:paraId="499080EA" w14:textId="77777777" w:rsidR="00286FFD" w:rsidRDefault="00286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6F0E" w14:textId="77777777" w:rsidR="00286FFD" w:rsidRDefault="00286FFD">
      <w:r>
        <w:separator/>
      </w:r>
    </w:p>
  </w:footnote>
  <w:footnote w:type="continuationSeparator" w:id="0">
    <w:p w14:paraId="07AC3720" w14:textId="77777777" w:rsidR="00286FFD" w:rsidRDefault="0028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18BF" w14:textId="77777777" w:rsidR="00286FFD" w:rsidRPr="00974CF8" w:rsidRDefault="00286FFD"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DA22B62" w14:textId="77777777" w:rsidR="00286FFD" w:rsidRDefault="00286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FFFFFFFE"/>
    <w:multiLevelType w:val="singleLevel"/>
    <w:tmpl w:val="A86A7F00"/>
    <w:lvl w:ilvl="0">
      <w:numFmt w:val="bullet"/>
      <w:lvlText w:val="*"/>
      <w:lvlJc w:val="left"/>
    </w:lvl>
  </w:abstractNum>
  <w:abstractNum w:abstractNumId="1" w15:restartNumberingAfterBreak="0">
    <w:nsid w:val="080C6200"/>
    <w:multiLevelType w:val="multilevel"/>
    <w:tmpl w:val="CB7AB338"/>
    <w:lvl w:ilvl="0">
      <w:start w:val="1"/>
      <w:numFmt w:val="bullet"/>
      <w:lvlText w:val=""/>
      <w:lvlJc w:val="left"/>
      <w:pPr>
        <w:tabs>
          <w:tab w:val="num" w:pos="1195"/>
        </w:tabs>
        <w:ind w:left="1555" w:hanging="360"/>
      </w:pPr>
      <w:rPr>
        <w:rFonts w:ascii="Symbol" w:hAnsi="Symbol" w:hint="default"/>
        <w:sz w:val="20"/>
      </w:rPr>
    </w:lvl>
    <w:lvl w:ilvl="1" w:tentative="1">
      <w:start w:val="1"/>
      <w:numFmt w:val="bullet"/>
      <w:lvlText w:val="o"/>
      <w:lvlPicBulletId w:val="0"/>
      <w:lvlJc w:val="left"/>
      <w:pPr>
        <w:tabs>
          <w:tab w:val="num" w:pos="2275"/>
        </w:tabs>
        <w:ind w:left="2275" w:hanging="360"/>
      </w:pPr>
      <w:rPr>
        <w:rFonts w:ascii="Courier New" w:hAnsi="Courier New" w:hint="default"/>
        <w:sz w:val="20"/>
      </w:rPr>
    </w:lvl>
    <w:lvl w:ilvl="2" w:tentative="1">
      <w:start w:val="1"/>
      <w:numFmt w:val="bullet"/>
      <w:lvlText w:val=""/>
      <w:lvlPicBulletId w:val="1"/>
      <w:lvlJc w:val="left"/>
      <w:pPr>
        <w:tabs>
          <w:tab w:val="num" w:pos="2995"/>
        </w:tabs>
        <w:ind w:left="2995" w:hanging="360"/>
      </w:pPr>
      <w:rPr>
        <w:rFonts w:ascii="Wingdings" w:hAnsi="Wingdings" w:hint="default"/>
        <w:sz w:val="20"/>
      </w:rPr>
    </w:lvl>
    <w:lvl w:ilvl="3" w:tentative="1">
      <w:start w:val="1"/>
      <w:numFmt w:val="bullet"/>
      <w:lvlText w:val=""/>
      <w:lvlJc w:val="left"/>
      <w:pPr>
        <w:tabs>
          <w:tab w:val="num" w:pos="3715"/>
        </w:tabs>
        <w:ind w:left="3715" w:hanging="360"/>
      </w:pPr>
      <w:rPr>
        <w:rFonts w:ascii="Wingdings" w:hAnsi="Wingdings" w:hint="default"/>
        <w:sz w:val="20"/>
      </w:rPr>
    </w:lvl>
    <w:lvl w:ilvl="4" w:tentative="1">
      <w:start w:val="1"/>
      <w:numFmt w:val="bullet"/>
      <w:lvlText w:val=""/>
      <w:lvlJc w:val="left"/>
      <w:pPr>
        <w:tabs>
          <w:tab w:val="num" w:pos="4435"/>
        </w:tabs>
        <w:ind w:left="4435" w:hanging="360"/>
      </w:pPr>
      <w:rPr>
        <w:rFonts w:ascii="Wingdings" w:hAnsi="Wingdings" w:hint="default"/>
        <w:sz w:val="20"/>
      </w:rPr>
    </w:lvl>
    <w:lvl w:ilvl="5" w:tentative="1">
      <w:start w:val="1"/>
      <w:numFmt w:val="bullet"/>
      <w:lvlText w:val=""/>
      <w:lvlJc w:val="left"/>
      <w:pPr>
        <w:tabs>
          <w:tab w:val="num" w:pos="5155"/>
        </w:tabs>
        <w:ind w:left="5155" w:hanging="360"/>
      </w:pPr>
      <w:rPr>
        <w:rFonts w:ascii="Wingdings" w:hAnsi="Wingdings" w:hint="default"/>
        <w:sz w:val="20"/>
      </w:rPr>
    </w:lvl>
    <w:lvl w:ilvl="6" w:tentative="1">
      <w:start w:val="1"/>
      <w:numFmt w:val="bullet"/>
      <w:lvlText w:val=""/>
      <w:lvlJc w:val="left"/>
      <w:pPr>
        <w:tabs>
          <w:tab w:val="num" w:pos="5875"/>
        </w:tabs>
        <w:ind w:left="5875" w:hanging="360"/>
      </w:pPr>
      <w:rPr>
        <w:rFonts w:ascii="Wingdings" w:hAnsi="Wingdings" w:hint="default"/>
        <w:sz w:val="20"/>
      </w:rPr>
    </w:lvl>
    <w:lvl w:ilvl="7" w:tentative="1">
      <w:start w:val="1"/>
      <w:numFmt w:val="bullet"/>
      <w:lvlText w:val=""/>
      <w:lvlJc w:val="left"/>
      <w:pPr>
        <w:tabs>
          <w:tab w:val="num" w:pos="6595"/>
        </w:tabs>
        <w:ind w:left="6595" w:hanging="360"/>
      </w:pPr>
      <w:rPr>
        <w:rFonts w:ascii="Wingdings" w:hAnsi="Wingdings" w:hint="default"/>
        <w:sz w:val="20"/>
      </w:rPr>
    </w:lvl>
    <w:lvl w:ilvl="8" w:tentative="1">
      <w:start w:val="1"/>
      <w:numFmt w:val="bullet"/>
      <w:lvlText w:val=""/>
      <w:lvlJc w:val="left"/>
      <w:pPr>
        <w:tabs>
          <w:tab w:val="num" w:pos="7315"/>
        </w:tabs>
        <w:ind w:left="7315" w:hanging="360"/>
      </w:pPr>
      <w:rPr>
        <w:rFonts w:ascii="Wingdings" w:hAnsi="Wingdings" w:hint="default"/>
        <w:sz w:val="20"/>
      </w:rPr>
    </w:lvl>
  </w:abstractNum>
  <w:abstractNum w:abstractNumId="2" w15:restartNumberingAfterBreak="0">
    <w:nsid w:val="0B0A3BFB"/>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B2CE9"/>
    <w:multiLevelType w:val="hybridMultilevel"/>
    <w:tmpl w:val="4F222A5C"/>
    <w:lvl w:ilvl="0" w:tplc="526453C6">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16270844"/>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A0046A"/>
    <w:multiLevelType w:val="hybridMultilevel"/>
    <w:tmpl w:val="DD800F96"/>
    <w:lvl w:ilvl="0" w:tplc="D57C8A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8521205"/>
    <w:multiLevelType w:val="hybridMultilevel"/>
    <w:tmpl w:val="F6AE31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E301631"/>
    <w:multiLevelType w:val="hybridMultilevel"/>
    <w:tmpl w:val="B374F5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E62CA"/>
    <w:multiLevelType w:val="hybridMultilevel"/>
    <w:tmpl w:val="72EEB662"/>
    <w:lvl w:ilvl="0" w:tplc="E650302C">
      <w:start w:val="1"/>
      <w:numFmt w:val="bullet"/>
      <w:lvlText w:val=""/>
      <w:lvlJc w:val="left"/>
      <w:pPr>
        <w:tabs>
          <w:tab w:val="num" w:pos="-144"/>
        </w:tabs>
        <w:ind w:left="288" w:hanging="288"/>
      </w:pPr>
      <w:rPr>
        <w:rFonts w:ascii="Symbol" w:hAnsi="Symbol"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3EC793E"/>
    <w:multiLevelType w:val="hybridMultilevel"/>
    <w:tmpl w:val="08D8B5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61A1F4F"/>
    <w:multiLevelType w:val="hybridMultilevel"/>
    <w:tmpl w:val="BA4C841C"/>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2D2D5F"/>
    <w:multiLevelType w:val="hybridMultilevel"/>
    <w:tmpl w:val="6608AA62"/>
    <w:lvl w:ilvl="0" w:tplc="17C8C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1F4129"/>
    <w:multiLevelType w:val="hybridMultilevel"/>
    <w:tmpl w:val="ECD08B2C"/>
    <w:lvl w:ilvl="0" w:tplc="859E7306">
      <w:start w:val="1"/>
      <w:numFmt w:val="bullet"/>
      <w:lvlText w:val=""/>
      <w:lvlJc w:val="left"/>
      <w:pPr>
        <w:tabs>
          <w:tab w:val="num" w:pos="720"/>
        </w:tabs>
        <w:ind w:left="720" w:hanging="360"/>
      </w:pPr>
      <w:rPr>
        <w:rFonts w:ascii="Wingdings" w:hAnsi="Wingdings" w:hint="default"/>
      </w:rPr>
    </w:lvl>
    <w:lvl w:ilvl="1" w:tplc="3BD48562">
      <w:start w:val="1"/>
      <w:numFmt w:val="bullet"/>
      <w:lvlText w:val=""/>
      <w:lvlJc w:val="left"/>
      <w:pPr>
        <w:tabs>
          <w:tab w:val="num" w:pos="1440"/>
        </w:tabs>
        <w:ind w:left="1440" w:hanging="360"/>
      </w:pPr>
      <w:rPr>
        <w:rFonts w:ascii="Wingdings" w:hAnsi="Wingdings" w:hint="default"/>
      </w:rPr>
    </w:lvl>
    <w:lvl w:ilvl="2" w:tplc="625242C6">
      <w:start w:val="2192"/>
      <w:numFmt w:val="bullet"/>
      <w:lvlText w:val="•"/>
      <w:lvlJc w:val="left"/>
      <w:pPr>
        <w:tabs>
          <w:tab w:val="num" w:pos="2160"/>
        </w:tabs>
        <w:ind w:left="2160" w:hanging="360"/>
      </w:pPr>
      <w:rPr>
        <w:rFonts w:ascii="Arial" w:hAnsi="Arial" w:hint="default"/>
      </w:rPr>
    </w:lvl>
    <w:lvl w:ilvl="3" w:tplc="38F4595A" w:tentative="1">
      <w:start w:val="1"/>
      <w:numFmt w:val="bullet"/>
      <w:lvlText w:val=""/>
      <w:lvlJc w:val="left"/>
      <w:pPr>
        <w:tabs>
          <w:tab w:val="num" w:pos="2880"/>
        </w:tabs>
        <w:ind w:left="2880" w:hanging="360"/>
      </w:pPr>
      <w:rPr>
        <w:rFonts w:ascii="Wingdings" w:hAnsi="Wingdings" w:hint="default"/>
      </w:rPr>
    </w:lvl>
    <w:lvl w:ilvl="4" w:tplc="45A2D54A" w:tentative="1">
      <w:start w:val="1"/>
      <w:numFmt w:val="bullet"/>
      <w:lvlText w:val=""/>
      <w:lvlJc w:val="left"/>
      <w:pPr>
        <w:tabs>
          <w:tab w:val="num" w:pos="3600"/>
        </w:tabs>
        <w:ind w:left="3600" w:hanging="360"/>
      </w:pPr>
      <w:rPr>
        <w:rFonts w:ascii="Wingdings" w:hAnsi="Wingdings" w:hint="default"/>
      </w:rPr>
    </w:lvl>
    <w:lvl w:ilvl="5" w:tplc="FB1632C0" w:tentative="1">
      <w:start w:val="1"/>
      <w:numFmt w:val="bullet"/>
      <w:lvlText w:val=""/>
      <w:lvlJc w:val="left"/>
      <w:pPr>
        <w:tabs>
          <w:tab w:val="num" w:pos="4320"/>
        </w:tabs>
        <w:ind w:left="4320" w:hanging="360"/>
      </w:pPr>
      <w:rPr>
        <w:rFonts w:ascii="Wingdings" w:hAnsi="Wingdings" w:hint="default"/>
      </w:rPr>
    </w:lvl>
    <w:lvl w:ilvl="6" w:tplc="66EE4742" w:tentative="1">
      <w:start w:val="1"/>
      <w:numFmt w:val="bullet"/>
      <w:lvlText w:val=""/>
      <w:lvlJc w:val="left"/>
      <w:pPr>
        <w:tabs>
          <w:tab w:val="num" w:pos="5040"/>
        </w:tabs>
        <w:ind w:left="5040" w:hanging="360"/>
      </w:pPr>
      <w:rPr>
        <w:rFonts w:ascii="Wingdings" w:hAnsi="Wingdings" w:hint="default"/>
      </w:rPr>
    </w:lvl>
    <w:lvl w:ilvl="7" w:tplc="115087E4" w:tentative="1">
      <w:start w:val="1"/>
      <w:numFmt w:val="bullet"/>
      <w:lvlText w:val=""/>
      <w:lvlJc w:val="left"/>
      <w:pPr>
        <w:tabs>
          <w:tab w:val="num" w:pos="5760"/>
        </w:tabs>
        <w:ind w:left="5760" w:hanging="360"/>
      </w:pPr>
      <w:rPr>
        <w:rFonts w:ascii="Wingdings" w:hAnsi="Wingdings" w:hint="default"/>
      </w:rPr>
    </w:lvl>
    <w:lvl w:ilvl="8" w:tplc="D61213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C1441"/>
    <w:multiLevelType w:val="hybridMultilevel"/>
    <w:tmpl w:val="A3603DCA"/>
    <w:lvl w:ilvl="0" w:tplc="914814D8">
      <w:start w:val="1"/>
      <w:numFmt w:val="decimal"/>
      <w:lvlText w:val="%1."/>
      <w:lvlJc w:val="righ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795F0B"/>
    <w:multiLevelType w:val="hybridMultilevel"/>
    <w:tmpl w:val="645A4382"/>
    <w:lvl w:ilvl="0" w:tplc="7B3AD2C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4856FA2"/>
    <w:multiLevelType w:val="hybridMultilevel"/>
    <w:tmpl w:val="36027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04467A"/>
    <w:multiLevelType w:val="hybridMultilevel"/>
    <w:tmpl w:val="E60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878DE"/>
    <w:multiLevelType w:val="hybridMultilevel"/>
    <w:tmpl w:val="87703B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AB304F9"/>
    <w:multiLevelType w:val="hybridMultilevel"/>
    <w:tmpl w:val="F88C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D431D"/>
    <w:multiLevelType w:val="hybridMultilevel"/>
    <w:tmpl w:val="F94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32DBB"/>
    <w:multiLevelType w:val="hybridMultilevel"/>
    <w:tmpl w:val="27E01062"/>
    <w:lvl w:ilvl="0" w:tplc="CA9EB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8"/>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0"/>
  </w:num>
  <w:num w:numId="7">
    <w:abstractNumId w:val="2"/>
  </w:num>
  <w:num w:numId="8">
    <w:abstractNumId w:val="3"/>
  </w:num>
  <w:num w:numId="9">
    <w:abstractNumId w:val="20"/>
  </w:num>
  <w:num w:numId="10">
    <w:abstractNumId w:val="14"/>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2"/>
  </w:num>
  <w:num w:numId="16">
    <w:abstractNumId w:val="17"/>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D"/>
    <w:rsid w:val="000002B3"/>
    <w:rsid w:val="0000242C"/>
    <w:rsid w:val="00002D47"/>
    <w:rsid w:val="000040B6"/>
    <w:rsid w:val="000044D4"/>
    <w:rsid w:val="000071CD"/>
    <w:rsid w:val="00007876"/>
    <w:rsid w:val="000100B7"/>
    <w:rsid w:val="00011B5D"/>
    <w:rsid w:val="00011BDE"/>
    <w:rsid w:val="000125C2"/>
    <w:rsid w:val="00014E27"/>
    <w:rsid w:val="00015138"/>
    <w:rsid w:val="00017080"/>
    <w:rsid w:val="00017559"/>
    <w:rsid w:val="00020A64"/>
    <w:rsid w:val="00021536"/>
    <w:rsid w:val="000223F7"/>
    <w:rsid w:val="00022C3D"/>
    <w:rsid w:val="00024759"/>
    <w:rsid w:val="00024C7B"/>
    <w:rsid w:val="0002511E"/>
    <w:rsid w:val="0002630B"/>
    <w:rsid w:val="00026B1B"/>
    <w:rsid w:val="00026C77"/>
    <w:rsid w:val="00030B89"/>
    <w:rsid w:val="000318C7"/>
    <w:rsid w:val="000328B3"/>
    <w:rsid w:val="0003397D"/>
    <w:rsid w:val="00033DC5"/>
    <w:rsid w:val="0004076F"/>
    <w:rsid w:val="00040884"/>
    <w:rsid w:val="000409C7"/>
    <w:rsid w:val="00041101"/>
    <w:rsid w:val="000413F1"/>
    <w:rsid w:val="00042173"/>
    <w:rsid w:val="000441EB"/>
    <w:rsid w:val="00044AB4"/>
    <w:rsid w:val="000455E5"/>
    <w:rsid w:val="0004678C"/>
    <w:rsid w:val="00046A8E"/>
    <w:rsid w:val="00046D9F"/>
    <w:rsid w:val="00047B69"/>
    <w:rsid w:val="00050E4F"/>
    <w:rsid w:val="000531DD"/>
    <w:rsid w:val="0005383F"/>
    <w:rsid w:val="00054376"/>
    <w:rsid w:val="00054841"/>
    <w:rsid w:val="000549D2"/>
    <w:rsid w:val="00054B7E"/>
    <w:rsid w:val="000550A3"/>
    <w:rsid w:val="000559FD"/>
    <w:rsid w:val="00056A8D"/>
    <w:rsid w:val="000607BF"/>
    <w:rsid w:val="0006113E"/>
    <w:rsid w:val="000628A5"/>
    <w:rsid w:val="00063648"/>
    <w:rsid w:val="00063E46"/>
    <w:rsid w:val="00064877"/>
    <w:rsid w:val="000707C0"/>
    <w:rsid w:val="00070B8C"/>
    <w:rsid w:val="000711C1"/>
    <w:rsid w:val="0007191E"/>
    <w:rsid w:val="0007197E"/>
    <w:rsid w:val="00073704"/>
    <w:rsid w:val="00074284"/>
    <w:rsid w:val="00074EB5"/>
    <w:rsid w:val="00075265"/>
    <w:rsid w:val="00075455"/>
    <w:rsid w:val="00077894"/>
    <w:rsid w:val="00077CDB"/>
    <w:rsid w:val="00080402"/>
    <w:rsid w:val="00080DB6"/>
    <w:rsid w:val="000811E5"/>
    <w:rsid w:val="00081E34"/>
    <w:rsid w:val="0008293B"/>
    <w:rsid w:val="0008365E"/>
    <w:rsid w:val="0008366F"/>
    <w:rsid w:val="000840B4"/>
    <w:rsid w:val="000842B6"/>
    <w:rsid w:val="000848D9"/>
    <w:rsid w:val="00084BA9"/>
    <w:rsid w:val="0008536A"/>
    <w:rsid w:val="00085B48"/>
    <w:rsid w:val="00086057"/>
    <w:rsid w:val="000861E9"/>
    <w:rsid w:val="00087285"/>
    <w:rsid w:val="00087476"/>
    <w:rsid w:val="00087D3F"/>
    <w:rsid w:val="0009018E"/>
    <w:rsid w:val="00090F06"/>
    <w:rsid w:val="00092A1F"/>
    <w:rsid w:val="00093F2D"/>
    <w:rsid w:val="00095AE1"/>
    <w:rsid w:val="000974C7"/>
    <w:rsid w:val="0009764B"/>
    <w:rsid w:val="00097F37"/>
    <w:rsid w:val="000A005A"/>
    <w:rsid w:val="000A0637"/>
    <w:rsid w:val="000A0F01"/>
    <w:rsid w:val="000A0FE9"/>
    <w:rsid w:val="000A1243"/>
    <w:rsid w:val="000A24D3"/>
    <w:rsid w:val="000A2BAD"/>
    <w:rsid w:val="000A3E29"/>
    <w:rsid w:val="000A4225"/>
    <w:rsid w:val="000A505D"/>
    <w:rsid w:val="000A542D"/>
    <w:rsid w:val="000B082C"/>
    <w:rsid w:val="000B0B17"/>
    <w:rsid w:val="000B0C54"/>
    <w:rsid w:val="000B0CBF"/>
    <w:rsid w:val="000B1440"/>
    <w:rsid w:val="000B19D8"/>
    <w:rsid w:val="000B2257"/>
    <w:rsid w:val="000B22CD"/>
    <w:rsid w:val="000B633E"/>
    <w:rsid w:val="000B7D79"/>
    <w:rsid w:val="000C0D2B"/>
    <w:rsid w:val="000C1E4B"/>
    <w:rsid w:val="000C54C9"/>
    <w:rsid w:val="000C5530"/>
    <w:rsid w:val="000C61B2"/>
    <w:rsid w:val="000C6F59"/>
    <w:rsid w:val="000C7924"/>
    <w:rsid w:val="000C7CA5"/>
    <w:rsid w:val="000D0C0A"/>
    <w:rsid w:val="000D0E72"/>
    <w:rsid w:val="000D0FBA"/>
    <w:rsid w:val="000D16C8"/>
    <w:rsid w:val="000D3B2F"/>
    <w:rsid w:val="000D52C5"/>
    <w:rsid w:val="000D5CCA"/>
    <w:rsid w:val="000E1B64"/>
    <w:rsid w:val="000E23CB"/>
    <w:rsid w:val="000E2E19"/>
    <w:rsid w:val="000E4564"/>
    <w:rsid w:val="000E520A"/>
    <w:rsid w:val="000E78C2"/>
    <w:rsid w:val="000E78EE"/>
    <w:rsid w:val="000F2758"/>
    <w:rsid w:val="000F4D99"/>
    <w:rsid w:val="000F6873"/>
    <w:rsid w:val="000F79EF"/>
    <w:rsid w:val="001001CB"/>
    <w:rsid w:val="0010528B"/>
    <w:rsid w:val="0010673B"/>
    <w:rsid w:val="0010728F"/>
    <w:rsid w:val="0011008C"/>
    <w:rsid w:val="001101B8"/>
    <w:rsid w:val="00110255"/>
    <w:rsid w:val="001111D1"/>
    <w:rsid w:val="001117BB"/>
    <w:rsid w:val="0011249C"/>
    <w:rsid w:val="001128F2"/>
    <w:rsid w:val="00112D20"/>
    <w:rsid w:val="00112ED0"/>
    <w:rsid w:val="00114E70"/>
    <w:rsid w:val="00115439"/>
    <w:rsid w:val="0011598A"/>
    <w:rsid w:val="00115BBE"/>
    <w:rsid w:val="00115DF2"/>
    <w:rsid w:val="00116565"/>
    <w:rsid w:val="00116C70"/>
    <w:rsid w:val="0012036C"/>
    <w:rsid w:val="00122E08"/>
    <w:rsid w:val="00123A15"/>
    <w:rsid w:val="00123FA2"/>
    <w:rsid w:val="00124F24"/>
    <w:rsid w:val="00124F5C"/>
    <w:rsid w:val="00124FF2"/>
    <w:rsid w:val="00130203"/>
    <w:rsid w:val="001321D1"/>
    <w:rsid w:val="00132F2F"/>
    <w:rsid w:val="0013393E"/>
    <w:rsid w:val="00134AAD"/>
    <w:rsid w:val="001356B9"/>
    <w:rsid w:val="00136291"/>
    <w:rsid w:val="0013688B"/>
    <w:rsid w:val="00136D3A"/>
    <w:rsid w:val="00136F07"/>
    <w:rsid w:val="00137109"/>
    <w:rsid w:val="001375EB"/>
    <w:rsid w:val="00137B94"/>
    <w:rsid w:val="00140272"/>
    <w:rsid w:val="00140295"/>
    <w:rsid w:val="001404B7"/>
    <w:rsid w:val="0014112F"/>
    <w:rsid w:val="00143F0B"/>
    <w:rsid w:val="00144310"/>
    <w:rsid w:val="001459FD"/>
    <w:rsid w:val="00145AA3"/>
    <w:rsid w:val="00146733"/>
    <w:rsid w:val="0014779F"/>
    <w:rsid w:val="00150502"/>
    <w:rsid w:val="00150EA6"/>
    <w:rsid w:val="0015129D"/>
    <w:rsid w:val="00151DCE"/>
    <w:rsid w:val="00153A1E"/>
    <w:rsid w:val="00153FFA"/>
    <w:rsid w:val="0015640C"/>
    <w:rsid w:val="001620E7"/>
    <w:rsid w:val="001627D6"/>
    <w:rsid w:val="0016427A"/>
    <w:rsid w:val="0016694D"/>
    <w:rsid w:val="00166D81"/>
    <w:rsid w:val="001670C3"/>
    <w:rsid w:val="00167E09"/>
    <w:rsid w:val="00170625"/>
    <w:rsid w:val="0017130C"/>
    <w:rsid w:val="00172085"/>
    <w:rsid w:val="0017359B"/>
    <w:rsid w:val="00174510"/>
    <w:rsid w:val="00175443"/>
    <w:rsid w:val="00175490"/>
    <w:rsid w:val="00176E9E"/>
    <w:rsid w:val="00176F5D"/>
    <w:rsid w:val="00177024"/>
    <w:rsid w:val="00177B55"/>
    <w:rsid w:val="001808A5"/>
    <w:rsid w:val="00182A05"/>
    <w:rsid w:val="00182F9F"/>
    <w:rsid w:val="00183B1F"/>
    <w:rsid w:val="0018475A"/>
    <w:rsid w:val="0018591E"/>
    <w:rsid w:val="0018659D"/>
    <w:rsid w:val="00186AA9"/>
    <w:rsid w:val="0018780B"/>
    <w:rsid w:val="001905C5"/>
    <w:rsid w:val="001920CA"/>
    <w:rsid w:val="00192392"/>
    <w:rsid w:val="00193BA8"/>
    <w:rsid w:val="00193BC8"/>
    <w:rsid w:val="0019424C"/>
    <w:rsid w:val="00194372"/>
    <w:rsid w:val="00194EEC"/>
    <w:rsid w:val="00194F03"/>
    <w:rsid w:val="0019637C"/>
    <w:rsid w:val="00197A2E"/>
    <w:rsid w:val="001A0696"/>
    <w:rsid w:val="001A1BA5"/>
    <w:rsid w:val="001A1FEA"/>
    <w:rsid w:val="001A216F"/>
    <w:rsid w:val="001A24B5"/>
    <w:rsid w:val="001A2D63"/>
    <w:rsid w:val="001A433A"/>
    <w:rsid w:val="001A4474"/>
    <w:rsid w:val="001A4ADB"/>
    <w:rsid w:val="001A4D48"/>
    <w:rsid w:val="001A6032"/>
    <w:rsid w:val="001A671B"/>
    <w:rsid w:val="001A69AB"/>
    <w:rsid w:val="001A6F3E"/>
    <w:rsid w:val="001B071B"/>
    <w:rsid w:val="001B1875"/>
    <w:rsid w:val="001B1902"/>
    <w:rsid w:val="001B314B"/>
    <w:rsid w:val="001B46B1"/>
    <w:rsid w:val="001B49C5"/>
    <w:rsid w:val="001B5E68"/>
    <w:rsid w:val="001B6A0B"/>
    <w:rsid w:val="001B6B97"/>
    <w:rsid w:val="001B72A3"/>
    <w:rsid w:val="001B7D83"/>
    <w:rsid w:val="001B7DED"/>
    <w:rsid w:val="001C0055"/>
    <w:rsid w:val="001C0157"/>
    <w:rsid w:val="001C05F7"/>
    <w:rsid w:val="001C194F"/>
    <w:rsid w:val="001C27C7"/>
    <w:rsid w:val="001C3B73"/>
    <w:rsid w:val="001C4355"/>
    <w:rsid w:val="001C4E8A"/>
    <w:rsid w:val="001C6604"/>
    <w:rsid w:val="001C7F47"/>
    <w:rsid w:val="001D00DB"/>
    <w:rsid w:val="001D115F"/>
    <w:rsid w:val="001D138C"/>
    <w:rsid w:val="001D5415"/>
    <w:rsid w:val="001E0B9D"/>
    <w:rsid w:val="001E0E5F"/>
    <w:rsid w:val="001E1042"/>
    <w:rsid w:val="001E1338"/>
    <w:rsid w:val="001E2647"/>
    <w:rsid w:val="001E2EEF"/>
    <w:rsid w:val="001E3AF9"/>
    <w:rsid w:val="001E461F"/>
    <w:rsid w:val="001E484B"/>
    <w:rsid w:val="001E5445"/>
    <w:rsid w:val="001E58A8"/>
    <w:rsid w:val="001E5A64"/>
    <w:rsid w:val="001F0CF0"/>
    <w:rsid w:val="001F14A2"/>
    <w:rsid w:val="001F18D0"/>
    <w:rsid w:val="001F3EA9"/>
    <w:rsid w:val="001F482A"/>
    <w:rsid w:val="001F4B8D"/>
    <w:rsid w:val="001F6B16"/>
    <w:rsid w:val="001F72B2"/>
    <w:rsid w:val="001F754C"/>
    <w:rsid w:val="001F78A6"/>
    <w:rsid w:val="001F7942"/>
    <w:rsid w:val="002006A7"/>
    <w:rsid w:val="00201949"/>
    <w:rsid w:val="00203852"/>
    <w:rsid w:val="00203A4D"/>
    <w:rsid w:val="00203F8D"/>
    <w:rsid w:val="00204947"/>
    <w:rsid w:val="00204DB7"/>
    <w:rsid w:val="0020533E"/>
    <w:rsid w:val="00205B51"/>
    <w:rsid w:val="0020706B"/>
    <w:rsid w:val="002078EE"/>
    <w:rsid w:val="0021079D"/>
    <w:rsid w:val="00211097"/>
    <w:rsid w:val="00221F25"/>
    <w:rsid w:val="00224D9D"/>
    <w:rsid w:val="00226BD0"/>
    <w:rsid w:val="002276A4"/>
    <w:rsid w:val="00227FCE"/>
    <w:rsid w:val="00230378"/>
    <w:rsid w:val="00232CFF"/>
    <w:rsid w:val="00232DD7"/>
    <w:rsid w:val="002330BA"/>
    <w:rsid w:val="00233487"/>
    <w:rsid w:val="0023352C"/>
    <w:rsid w:val="00233818"/>
    <w:rsid w:val="00233BA5"/>
    <w:rsid w:val="00233C20"/>
    <w:rsid w:val="00234FB3"/>
    <w:rsid w:val="002357DA"/>
    <w:rsid w:val="00236714"/>
    <w:rsid w:val="00236F23"/>
    <w:rsid w:val="0024014C"/>
    <w:rsid w:val="00241C2C"/>
    <w:rsid w:val="00241E29"/>
    <w:rsid w:val="00241EB7"/>
    <w:rsid w:val="00242184"/>
    <w:rsid w:val="00244EDE"/>
    <w:rsid w:val="00245AB3"/>
    <w:rsid w:val="00246444"/>
    <w:rsid w:val="00246B6C"/>
    <w:rsid w:val="002472C3"/>
    <w:rsid w:val="002503D9"/>
    <w:rsid w:val="0025074A"/>
    <w:rsid w:val="002509E8"/>
    <w:rsid w:val="00250BA2"/>
    <w:rsid w:val="002518BD"/>
    <w:rsid w:val="00252189"/>
    <w:rsid w:val="002521A9"/>
    <w:rsid w:val="00254612"/>
    <w:rsid w:val="002549C7"/>
    <w:rsid w:val="00255147"/>
    <w:rsid w:val="00255554"/>
    <w:rsid w:val="00255870"/>
    <w:rsid w:val="00255889"/>
    <w:rsid w:val="00255A19"/>
    <w:rsid w:val="00256377"/>
    <w:rsid w:val="00256AA2"/>
    <w:rsid w:val="00257346"/>
    <w:rsid w:val="0026043A"/>
    <w:rsid w:val="0026074D"/>
    <w:rsid w:val="0026118D"/>
    <w:rsid w:val="00263491"/>
    <w:rsid w:val="0026370F"/>
    <w:rsid w:val="00264BF4"/>
    <w:rsid w:val="00264CEF"/>
    <w:rsid w:val="002650CF"/>
    <w:rsid w:val="00265412"/>
    <w:rsid w:val="0026727F"/>
    <w:rsid w:val="00270BAD"/>
    <w:rsid w:val="002719CE"/>
    <w:rsid w:val="00272FF0"/>
    <w:rsid w:val="00273CD7"/>
    <w:rsid w:val="00273F4B"/>
    <w:rsid w:val="00274135"/>
    <w:rsid w:val="0027624F"/>
    <w:rsid w:val="00276D62"/>
    <w:rsid w:val="00280D3C"/>
    <w:rsid w:val="00282E17"/>
    <w:rsid w:val="00283AD3"/>
    <w:rsid w:val="00283CFA"/>
    <w:rsid w:val="00286FFD"/>
    <w:rsid w:val="0028794F"/>
    <w:rsid w:val="002902BC"/>
    <w:rsid w:val="0029088F"/>
    <w:rsid w:val="00293811"/>
    <w:rsid w:val="00293886"/>
    <w:rsid w:val="002939C7"/>
    <w:rsid w:val="0029412A"/>
    <w:rsid w:val="002941AA"/>
    <w:rsid w:val="00294230"/>
    <w:rsid w:val="00294580"/>
    <w:rsid w:val="00294CBF"/>
    <w:rsid w:val="002953DC"/>
    <w:rsid w:val="0029629C"/>
    <w:rsid w:val="002A1076"/>
    <w:rsid w:val="002A1FFD"/>
    <w:rsid w:val="002A3C5B"/>
    <w:rsid w:val="002A518F"/>
    <w:rsid w:val="002A602A"/>
    <w:rsid w:val="002A7449"/>
    <w:rsid w:val="002A78FE"/>
    <w:rsid w:val="002B0001"/>
    <w:rsid w:val="002B3262"/>
    <w:rsid w:val="002B40CB"/>
    <w:rsid w:val="002B43CF"/>
    <w:rsid w:val="002B4BD3"/>
    <w:rsid w:val="002B61E0"/>
    <w:rsid w:val="002C065D"/>
    <w:rsid w:val="002C0D14"/>
    <w:rsid w:val="002C1BFD"/>
    <w:rsid w:val="002C3958"/>
    <w:rsid w:val="002C471F"/>
    <w:rsid w:val="002C4C63"/>
    <w:rsid w:val="002C5ED3"/>
    <w:rsid w:val="002C6409"/>
    <w:rsid w:val="002C6709"/>
    <w:rsid w:val="002C7F58"/>
    <w:rsid w:val="002D094B"/>
    <w:rsid w:val="002D1140"/>
    <w:rsid w:val="002D1222"/>
    <w:rsid w:val="002D2835"/>
    <w:rsid w:val="002D55DC"/>
    <w:rsid w:val="002D7414"/>
    <w:rsid w:val="002D7B52"/>
    <w:rsid w:val="002E000C"/>
    <w:rsid w:val="002E2289"/>
    <w:rsid w:val="002E45F2"/>
    <w:rsid w:val="002E5815"/>
    <w:rsid w:val="002E6BDF"/>
    <w:rsid w:val="002E6DE2"/>
    <w:rsid w:val="002E72EE"/>
    <w:rsid w:val="002E783F"/>
    <w:rsid w:val="002F4746"/>
    <w:rsid w:val="002F525E"/>
    <w:rsid w:val="002F52D3"/>
    <w:rsid w:val="002F662F"/>
    <w:rsid w:val="002F7FDE"/>
    <w:rsid w:val="003010DF"/>
    <w:rsid w:val="003011C1"/>
    <w:rsid w:val="00301E76"/>
    <w:rsid w:val="00302086"/>
    <w:rsid w:val="003034F9"/>
    <w:rsid w:val="00305200"/>
    <w:rsid w:val="0030534B"/>
    <w:rsid w:val="00307609"/>
    <w:rsid w:val="00307D43"/>
    <w:rsid w:val="00307DB6"/>
    <w:rsid w:val="003112FF"/>
    <w:rsid w:val="00312404"/>
    <w:rsid w:val="00312E56"/>
    <w:rsid w:val="00312E71"/>
    <w:rsid w:val="003133EC"/>
    <w:rsid w:val="00314274"/>
    <w:rsid w:val="00314615"/>
    <w:rsid w:val="0031537D"/>
    <w:rsid w:val="003173F1"/>
    <w:rsid w:val="00317565"/>
    <w:rsid w:val="00317839"/>
    <w:rsid w:val="00317944"/>
    <w:rsid w:val="00317D02"/>
    <w:rsid w:val="00317D8D"/>
    <w:rsid w:val="0032065C"/>
    <w:rsid w:val="00321C1D"/>
    <w:rsid w:val="00322479"/>
    <w:rsid w:val="00323054"/>
    <w:rsid w:val="00324ADC"/>
    <w:rsid w:val="00324C86"/>
    <w:rsid w:val="00325553"/>
    <w:rsid w:val="00326CBE"/>
    <w:rsid w:val="003277AF"/>
    <w:rsid w:val="00327DD6"/>
    <w:rsid w:val="00330997"/>
    <w:rsid w:val="00330B13"/>
    <w:rsid w:val="00331073"/>
    <w:rsid w:val="0033130C"/>
    <w:rsid w:val="00331728"/>
    <w:rsid w:val="003318EC"/>
    <w:rsid w:val="003327EF"/>
    <w:rsid w:val="003328A2"/>
    <w:rsid w:val="0033387F"/>
    <w:rsid w:val="00333CBF"/>
    <w:rsid w:val="00335376"/>
    <w:rsid w:val="0033545B"/>
    <w:rsid w:val="00335799"/>
    <w:rsid w:val="00335E9D"/>
    <w:rsid w:val="00336482"/>
    <w:rsid w:val="00337CCC"/>
    <w:rsid w:val="00340948"/>
    <w:rsid w:val="00342B2E"/>
    <w:rsid w:val="00343176"/>
    <w:rsid w:val="00344856"/>
    <w:rsid w:val="00345676"/>
    <w:rsid w:val="00350393"/>
    <w:rsid w:val="0035328C"/>
    <w:rsid w:val="003541CF"/>
    <w:rsid w:val="0035563F"/>
    <w:rsid w:val="00357101"/>
    <w:rsid w:val="0036001D"/>
    <w:rsid w:val="003608F0"/>
    <w:rsid w:val="0036359F"/>
    <w:rsid w:val="0036422E"/>
    <w:rsid w:val="003642E6"/>
    <w:rsid w:val="00364456"/>
    <w:rsid w:val="0036476C"/>
    <w:rsid w:val="003651ED"/>
    <w:rsid w:val="00365319"/>
    <w:rsid w:val="00365FA7"/>
    <w:rsid w:val="00365FF6"/>
    <w:rsid w:val="003703B4"/>
    <w:rsid w:val="003711E9"/>
    <w:rsid w:val="0037130A"/>
    <w:rsid w:val="00372DA6"/>
    <w:rsid w:val="00372EC7"/>
    <w:rsid w:val="00375FA2"/>
    <w:rsid w:val="00377904"/>
    <w:rsid w:val="00380DEB"/>
    <w:rsid w:val="003819F7"/>
    <w:rsid w:val="00381C30"/>
    <w:rsid w:val="00382B03"/>
    <w:rsid w:val="00383139"/>
    <w:rsid w:val="00383521"/>
    <w:rsid w:val="00383A3C"/>
    <w:rsid w:val="003848C9"/>
    <w:rsid w:val="00384A8F"/>
    <w:rsid w:val="00384D02"/>
    <w:rsid w:val="00384E7D"/>
    <w:rsid w:val="003902D3"/>
    <w:rsid w:val="00390E9C"/>
    <w:rsid w:val="00392BFF"/>
    <w:rsid w:val="00395165"/>
    <w:rsid w:val="00395B6A"/>
    <w:rsid w:val="00395D33"/>
    <w:rsid w:val="00396327"/>
    <w:rsid w:val="00396D58"/>
    <w:rsid w:val="00397C1A"/>
    <w:rsid w:val="00397D87"/>
    <w:rsid w:val="003A1263"/>
    <w:rsid w:val="003A2E10"/>
    <w:rsid w:val="003A311B"/>
    <w:rsid w:val="003A4157"/>
    <w:rsid w:val="003A525A"/>
    <w:rsid w:val="003A5343"/>
    <w:rsid w:val="003A63FE"/>
    <w:rsid w:val="003B0E85"/>
    <w:rsid w:val="003B29D6"/>
    <w:rsid w:val="003B3313"/>
    <w:rsid w:val="003B349F"/>
    <w:rsid w:val="003B5E19"/>
    <w:rsid w:val="003B6652"/>
    <w:rsid w:val="003B6D60"/>
    <w:rsid w:val="003B6DD5"/>
    <w:rsid w:val="003B6E3C"/>
    <w:rsid w:val="003B6E55"/>
    <w:rsid w:val="003B6F82"/>
    <w:rsid w:val="003C0E84"/>
    <w:rsid w:val="003C22D0"/>
    <w:rsid w:val="003C278E"/>
    <w:rsid w:val="003C2800"/>
    <w:rsid w:val="003C35A8"/>
    <w:rsid w:val="003C4132"/>
    <w:rsid w:val="003C50AB"/>
    <w:rsid w:val="003C6625"/>
    <w:rsid w:val="003C7B1A"/>
    <w:rsid w:val="003C7B2B"/>
    <w:rsid w:val="003C7EF5"/>
    <w:rsid w:val="003D15E0"/>
    <w:rsid w:val="003D2EE1"/>
    <w:rsid w:val="003D3D12"/>
    <w:rsid w:val="003D4508"/>
    <w:rsid w:val="003D456E"/>
    <w:rsid w:val="003D594D"/>
    <w:rsid w:val="003D67A8"/>
    <w:rsid w:val="003D6F6D"/>
    <w:rsid w:val="003D70F7"/>
    <w:rsid w:val="003D7E09"/>
    <w:rsid w:val="003E1BB0"/>
    <w:rsid w:val="003E2333"/>
    <w:rsid w:val="003E3753"/>
    <w:rsid w:val="003E3991"/>
    <w:rsid w:val="003E588E"/>
    <w:rsid w:val="003E5CBB"/>
    <w:rsid w:val="003E78EE"/>
    <w:rsid w:val="003F02D7"/>
    <w:rsid w:val="003F0CB3"/>
    <w:rsid w:val="003F145F"/>
    <w:rsid w:val="003F21C1"/>
    <w:rsid w:val="003F2D76"/>
    <w:rsid w:val="003F4CCB"/>
    <w:rsid w:val="003F592D"/>
    <w:rsid w:val="003F684D"/>
    <w:rsid w:val="003F6FD6"/>
    <w:rsid w:val="00400ED6"/>
    <w:rsid w:val="00401244"/>
    <w:rsid w:val="00403F6B"/>
    <w:rsid w:val="004040DB"/>
    <w:rsid w:val="00404256"/>
    <w:rsid w:val="00405174"/>
    <w:rsid w:val="0040665E"/>
    <w:rsid w:val="00406C5F"/>
    <w:rsid w:val="00406D63"/>
    <w:rsid w:val="00407DF5"/>
    <w:rsid w:val="004103B1"/>
    <w:rsid w:val="004121B2"/>
    <w:rsid w:val="004123C3"/>
    <w:rsid w:val="0041374E"/>
    <w:rsid w:val="00414053"/>
    <w:rsid w:val="004152E6"/>
    <w:rsid w:val="004153E5"/>
    <w:rsid w:val="00415481"/>
    <w:rsid w:val="00415B62"/>
    <w:rsid w:val="00415FBE"/>
    <w:rsid w:val="00416824"/>
    <w:rsid w:val="00417B42"/>
    <w:rsid w:val="004219A8"/>
    <w:rsid w:val="00422047"/>
    <w:rsid w:val="004220A6"/>
    <w:rsid w:val="004220BC"/>
    <w:rsid w:val="0042357A"/>
    <w:rsid w:val="0042498D"/>
    <w:rsid w:val="0042705B"/>
    <w:rsid w:val="0043161F"/>
    <w:rsid w:val="004316EE"/>
    <w:rsid w:val="00432A28"/>
    <w:rsid w:val="00432CEE"/>
    <w:rsid w:val="0043343A"/>
    <w:rsid w:val="004344F9"/>
    <w:rsid w:val="004347DF"/>
    <w:rsid w:val="00437207"/>
    <w:rsid w:val="00437FF0"/>
    <w:rsid w:val="00440503"/>
    <w:rsid w:val="004406C0"/>
    <w:rsid w:val="00440F87"/>
    <w:rsid w:val="00442337"/>
    <w:rsid w:val="00443832"/>
    <w:rsid w:val="004444BB"/>
    <w:rsid w:val="00444BF1"/>
    <w:rsid w:val="00445056"/>
    <w:rsid w:val="0044681D"/>
    <w:rsid w:val="00447192"/>
    <w:rsid w:val="00451EB5"/>
    <w:rsid w:val="0045221E"/>
    <w:rsid w:val="00452FCB"/>
    <w:rsid w:val="004531A3"/>
    <w:rsid w:val="00453318"/>
    <w:rsid w:val="00454D93"/>
    <w:rsid w:val="00454FA9"/>
    <w:rsid w:val="0045552B"/>
    <w:rsid w:val="0045573E"/>
    <w:rsid w:val="004569FA"/>
    <w:rsid w:val="00457557"/>
    <w:rsid w:val="00457BBD"/>
    <w:rsid w:val="00460259"/>
    <w:rsid w:val="0046071E"/>
    <w:rsid w:val="00461735"/>
    <w:rsid w:val="00461EF6"/>
    <w:rsid w:val="00462362"/>
    <w:rsid w:val="00465212"/>
    <w:rsid w:val="004663BF"/>
    <w:rsid w:val="00466BE6"/>
    <w:rsid w:val="0046728A"/>
    <w:rsid w:val="004679F2"/>
    <w:rsid w:val="00467AF8"/>
    <w:rsid w:val="00471031"/>
    <w:rsid w:val="0047148D"/>
    <w:rsid w:val="00472C81"/>
    <w:rsid w:val="00473B92"/>
    <w:rsid w:val="00474348"/>
    <w:rsid w:val="00474E2C"/>
    <w:rsid w:val="0047710E"/>
    <w:rsid w:val="00477384"/>
    <w:rsid w:val="004777BD"/>
    <w:rsid w:val="00481EAD"/>
    <w:rsid w:val="00483126"/>
    <w:rsid w:val="0048325B"/>
    <w:rsid w:val="00484EB3"/>
    <w:rsid w:val="00485BAC"/>
    <w:rsid w:val="00485DD4"/>
    <w:rsid w:val="004864C8"/>
    <w:rsid w:val="00487FF0"/>
    <w:rsid w:val="0049096B"/>
    <w:rsid w:val="00490C8B"/>
    <w:rsid w:val="00490E07"/>
    <w:rsid w:val="004940E2"/>
    <w:rsid w:val="00494F19"/>
    <w:rsid w:val="0049515C"/>
    <w:rsid w:val="0049563A"/>
    <w:rsid w:val="004A0986"/>
    <w:rsid w:val="004A0FA6"/>
    <w:rsid w:val="004A283A"/>
    <w:rsid w:val="004A29E8"/>
    <w:rsid w:val="004A3D90"/>
    <w:rsid w:val="004A46CE"/>
    <w:rsid w:val="004A491E"/>
    <w:rsid w:val="004A62EC"/>
    <w:rsid w:val="004A744E"/>
    <w:rsid w:val="004B0C01"/>
    <w:rsid w:val="004B2230"/>
    <w:rsid w:val="004B3BF0"/>
    <w:rsid w:val="004B48AF"/>
    <w:rsid w:val="004B4C46"/>
    <w:rsid w:val="004B5B4E"/>
    <w:rsid w:val="004B729A"/>
    <w:rsid w:val="004B7364"/>
    <w:rsid w:val="004C01C1"/>
    <w:rsid w:val="004C0231"/>
    <w:rsid w:val="004C0F8D"/>
    <w:rsid w:val="004C3D7F"/>
    <w:rsid w:val="004C54B5"/>
    <w:rsid w:val="004C54DD"/>
    <w:rsid w:val="004C65A0"/>
    <w:rsid w:val="004C6ECF"/>
    <w:rsid w:val="004D1593"/>
    <w:rsid w:val="004D2578"/>
    <w:rsid w:val="004D275D"/>
    <w:rsid w:val="004D3D91"/>
    <w:rsid w:val="004D4CF8"/>
    <w:rsid w:val="004D5010"/>
    <w:rsid w:val="004D5139"/>
    <w:rsid w:val="004D5848"/>
    <w:rsid w:val="004D5DA4"/>
    <w:rsid w:val="004D5DFD"/>
    <w:rsid w:val="004D65D2"/>
    <w:rsid w:val="004D6F74"/>
    <w:rsid w:val="004D73DD"/>
    <w:rsid w:val="004E0777"/>
    <w:rsid w:val="004E0B81"/>
    <w:rsid w:val="004E1B69"/>
    <w:rsid w:val="004E1E45"/>
    <w:rsid w:val="004E25C4"/>
    <w:rsid w:val="004E382A"/>
    <w:rsid w:val="004E394C"/>
    <w:rsid w:val="004E536E"/>
    <w:rsid w:val="004E54CF"/>
    <w:rsid w:val="004E75F0"/>
    <w:rsid w:val="004F069D"/>
    <w:rsid w:val="004F13B7"/>
    <w:rsid w:val="004F2018"/>
    <w:rsid w:val="004F2842"/>
    <w:rsid w:val="004F3A26"/>
    <w:rsid w:val="004F4E0E"/>
    <w:rsid w:val="004F660E"/>
    <w:rsid w:val="004F6D26"/>
    <w:rsid w:val="004F7912"/>
    <w:rsid w:val="004F7E62"/>
    <w:rsid w:val="005006A4"/>
    <w:rsid w:val="0050080D"/>
    <w:rsid w:val="00501019"/>
    <w:rsid w:val="0050151B"/>
    <w:rsid w:val="00502253"/>
    <w:rsid w:val="005032A2"/>
    <w:rsid w:val="00503ECE"/>
    <w:rsid w:val="0050425E"/>
    <w:rsid w:val="00504953"/>
    <w:rsid w:val="0050610C"/>
    <w:rsid w:val="00506B3C"/>
    <w:rsid w:val="0050761C"/>
    <w:rsid w:val="00510C87"/>
    <w:rsid w:val="00510DCA"/>
    <w:rsid w:val="00511A2C"/>
    <w:rsid w:val="00511E32"/>
    <w:rsid w:val="00514224"/>
    <w:rsid w:val="00514269"/>
    <w:rsid w:val="00514939"/>
    <w:rsid w:val="00514E3A"/>
    <w:rsid w:val="005158FA"/>
    <w:rsid w:val="00515BED"/>
    <w:rsid w:val="005169EF"/>
    <w:rsid w:val="00516D53"/>
    <w:rsid w:val="00516DCF"/>
    <w:rsid w:val="005204DE"/>
    <w:rsid w:val="005204E8"/>
    <w:rsid w:val="005215E5"/>
    <w:rsid w:val="0052180E"/>
    <w:rsid w:val="00521E1D"/>
    <w:rsid w:val="005221E0"/>
    <w:rsid w:val="00522295"/>
    <w:rsid w:val="005227C6"/>
    <w:rsid w:val="00524384"/>
    <w:rsid w:val="0052448A"/>
    <w:rsid w:val="00525150"/>
    <w:rsid w:val="00525475"/>
    <w:rsid w:val="0052582F"/>
    <w:rsid w:val="00526212"/>
    <w:rsid w:val="0052636B"/>
    <w:rsid w:val="00530F0B"/>
    <w:rsid w:val="0053115D"/>
    <w:rsid w:val="005314E9"/>
    <w:rsid w:val="005355CB"/>
    <w:rsid w:val="005360E7"/>
    <w:rsid w:val="00537053"/>
    <w:rsid w:val="005378E7"/>
    <w:rsid w:val="005403C9"/>
    <w:rsid w:val="005409A1"/>
    <w:rsid w:val="00541B8D"/>
    <w:rsid w:val="00544F0D"/>
    <w:rsid w:val="005453E1"/>
    <w:rsid w:val="0054726E"/>
    <w:rsid w:val="0054768D"/>
    <w:rsid w:val="00547B22"/>
    <w:rsid w:val="00550446"/>
    <w:rsid w:val="00550B2C"/>
    <w:rsid w:val="00551166"/>
    <w:rsid w:val="005513D5"/>
    <w:rsid w:val="0055281F"/>
    <w:rsid w:val="00553C1D"/>
    <w:rsid w:val="005542A3"/>
    <w:rsid w:val="005547C0"/>
    <w:rsid w:val="00555036"/>
    <w:rsid w:val="00555416"/>
    <w:rsid w:val="00560ABC"/>
    <w:rsid w:val="00561ADB"/>
    <w:rsid w:val="00562189"/>
    <w:rsid w:val="00562282"/>
    <w:rsid w:val="00563310"/>
    <w:rsid w:val="00563632"/>
    <w:rsid w:val="00563B3B"/>
    <w:rsid w:val="00564685"/>
    <w:rsid w:val="0056512A"/>
    <w:rsid w:val="00565341"/>
    <w:rsid w:val="0056541F"/>
    <w:rsid w:val="0056575B"/>
    <w:rsid w:val="00566048"/>
    <w:rsid w:val="005666B9"/>
    <w:rsid w:val="00566713"/>
    <w:rsid w:val="00566735"/>
    <w:rsid w:val="005672B6"/>
    <w:rsid w:val="00567C7F"/>
    <w:rsid w:val="00571C0A"/>
    <w:rsid w:val="005728AF"/>
    <w:rsid w:val="00572BEA"/>
    <w:rsid w:val="005752CE"/>
    <w:rsid w:val="005762FF"/>
    <w:rsid w:val="00576888"/>
    <w:rsid w:val="00577059"/>
    <w:rsid w:val="005776D5"/>
    <w:rsid w:val="00580073"/>
    <w:rsid w:val="005820B4"/>
    <w:rsid w:val="005825BD"/>
    <w:rsid w:val="0058298B"/>
    <w:rsid w:val="00582B5D"/>
    <w:rsid w:val="00582C46"/>
    <w:rsid w:val="0058343F"/>
    <w:rsid w:val="00586763"/>
    <w:rsid w:val="00586DD2"/>
    <w:rsid w:val="00587C37"/>
    <w:rsid w:val="00591C95"/>
    <w:rsid w:val="00592164"/>
    <w:rsid w:val="005937F8"/>
    <w:rsid w:val="00594CCD"/>
    <w:rsid w:val="005976C9"/>
    <w:rsid w:val="00597CAC"/>
    <w:rsid w:val="005A10E1"/>
    <w:rsid w:val="005A1387"/>
    <w:rsid w:val="005A237F"/>
    <w:rsid w:val="005A2F4D"/>
    <w:rsid w:val="005A3741"/>
    <w:rsid w:val="005A37AE"/>
    <w:rsid w:val="005A4B09"/>
    <w:rsid w:val="005A6671"/>
    <w:rsid w:val="005A6D48"/>
    <w:rsid w:val="005B12B8"/>
    <w:rsid w:val="005B36A5"/>
    <w:rsid w:val="005B3F90"/>
    <w:rsid w:val="005B4741"/>
    <w:rsid w:val="005B47D1"/>
    <w:rsid w:val="005B4A6C"/>
    <w:rsid w:val="005B5CB3"/>
    <w:rsid w:val="005B5D44"/>
    <w:rsid w:val="005B5D9F"/>
    <w:rsid w:val="005B69E5"/>
    <w:rsid w:val="005B6A52"/>
    <w:rsid w:val="005C0F9E"/>
    <w:rsid w:val="005C1F60"/>
    <w:rsid w:val="005C2165"/>
    <w:rsid w:val="005C33B9"/>
    <w:rsid w:val="005C4E40"/>
    <w:rsid w:val="005C52E0"/>
    <w:rsid w:val="005C67DA"/>
    <w:rsid w:val="005D11F4"/>
    <w:rsid w:val="005D1E6C"/>
    <w:rsid w:val="005D31A5"/>
    <w:rsid w:val="005D3AFE"/>
    <w:rsid w:val="005D3D6F"/>
    <w:rsid w:val="005D6150"/>
    <w:rsid w:val="005D6548"/>
    <w:rsid w:val="005D6EAB"/>
    <w:rsid w:val="005E0B59"/>
    <w:rsid w:val="005E12A3"/>
    <w:rsid w:val="005E23A2"/>
    <w:rsid w:val="005E2AAB"/>
    <w:rsid w:val="005E4333"/>
    <w:rsid w:val="005E4BCA"/>
    <w:rsid w:val="005E4F67"/>
    <w:rsid w:val="005E4F80"/>
    <w:rsid w:val="005E5674"/>
    <w:rsid w:val="005E6019"/>
    <w:rsid w:val="005E7AC1"/>
    <w:rsid w:val="005F1EA3"/>
    <w:rsid w:val="005F32A2"/>
    <w:rsid w:val="005F3436"/>
    <w:rsid w:val="005F3E4B"/>
    <w:rsid w:val="005F4365"/>
    <w:rsid w:val="005F4F9D"/>
    <w:rsid w:val="005F598B"/>
    <w:rsid w:val="005F6FB4"/>
    <w:rsid w:val="005F7740"/>
    <w:rsid w:val="006001D3"/>
    <w:rsid w:val="00600D08"/>
    <w:rsid w:val="0060132A"/>
    <w:rsid w:val="00601805"/>
    <w:rsid w:val="00601F1F"/>
    <w:rsid w:val="006020D3"/>
    <w:rsid w:val="0060221E"/>
    <w:rsid w:val="00602E1B"/>
    <w:rsid w:val="00603635"/>
    <w:rsid w:val="00603C39"/>
    <w:rsid w:val="00603FCC"/>
    <w:rsid w:val="00604BF0"/>
    <w:rsid w:val="00604F06"/>
    <w:rsid w:val="0060579C"/>
    <w:rsid w:val="00605ED5"/>
    <w:rsid w:val="00606042"/>
    <w:rsid w:val="0060611A"/>
    <w:rsid w:val="00606599"/>
    <w:rsid w:val="0060724A"/>
    <w:rsid w:val="00607F76"/>
    <w:rsid w:val="00607FE0"/>
    <w:rsid w:val="006105E3"/>
    <w:rsid w:val="00610801"/>
    <w:rsid w:val="00610D55"/>
    <w:rsid w:val="00611488"/>
    <w:rsid w:val="00611F38"/>
    <w:rsid w:val="00611F71"/>
    <w:rsid w:val="00612456"/>
    <w:rsid w:val="006129BB"/>
    <w:rsid w:val="006135EE"/>
    <w:rsid w:val="006136AA"/>
    <w:rsid w:val="00616147"/>
    <w:rsid w:val="006178B5"/>
    <w:rsid w:val="006178FC"/>
    <w:rsid w:val="00621B17"/>
    <w:rsid w:val="00622A47"/>
    <w:rsid w:val="00623B4D"/>
    <w:rsid w:val="0062559D"/>
    <w:rsid w:val="00626A5F"/>
    <w:rsid w:val="00627506"/>
    <w:rsid w:val="006278B6"/>
    <w:rsid w:val="00627B7C"/>
    <w:rsid w:val="00630295"/>
    <w:rsid w:val="00631967"/>
    <w:rsid w:val="00632C35"/>
    <w:rsid w:val="00633D09"/>
    <w:rsid w:val="00633EBE"/>
    <w:rsid w:val="00634155"/>
    <w:rsid w:val="00634355"/>
    <w:rsid w:val="00635D87"/>
    <w:rsid w:val="00635E49"/>
    <w:rsid w:val="006368F2"/>
    <w:rsid w:val="00640A8B"/>
    <w:rsid w:val="006412C3"/>
    <w:rsid w:val="00641D61"/>
    <w:rsid w:val="006424D0"/>
    <w:rsid w:val="00643868"/>
    <w:rsid w:val="006440D2"/>
    <w:rsid w:val="00644E25"/>
    <w:rsid w:val="0064579F"/>
    <w:rsid w:val="00646915"/>
    <w:rsid w:val="00647589"/>
    <w:rsid w:val="00651623"/>
    <w:rsid w:val="00653038"/>
    <w:rsid w:val="00654663"/>
    <w:rsid w:val="006547FD"/>
    <w:rsid w:val="00654D70"/>
    <w:rsid w:val="006572EE"/>
    <w:rsid w:val="00660024"/>
    <w:rsid w:val="00660252"/>
    <w:rsid w:val="006603B5"/>
    <w:rsid w:val="00662214"/>
    <w:rsid w:val="006630CB"/>
    <w:rsid w:val="0066562A"/>
    <w:rsid w:val="006663E8"/>
    <w:rsid w:val="006670B3"/>
    <w:rsid w:val="00667333"/>
    <w:rsid w:val="00667B09"/>
    <w:rsid w:val="0067173B"/>
    <w:rsid w:val="00671BB2"/>
    <w:rsid w:val="006729C6"/>
    <w:rsid w:val="006731A5"/>
    <w:rsid w:val="006748B1"/>
    <w:rsid w:val="006754BC"/>
    <w:rsid w:val="006756B6"/>
    <w:rsid w:val="00676109"/>
    <w:rsid w:val="0067651A"/>
    <w:rsid w:val="00677C87"/>
    <w:rsid w:val="00680098"/>
    <w:rsid w:val="00681C30"/>
    <w:rsid w:val="00681ED1"/>
    <w:rsid w:val="00681F7E"/>
    <w:rsid w:val="0068334B"/>
    <w:rsid w:val="00684752"/>
    <w:rsid w:val="006851EC"/>
    <w:rsid w:val="00685547"/>
    <w:rsid w:val="006855C8"/>
    <w:rsid w:val="00685DDA"/>
    <w:rsid w:val="0068661C"/>
    <w:rsid w:val="006868EF"/>
    <w:rsid w:val="00686D67"/>
    <w:rsid w:val="00686FE0"/>
    <w:rsid w:val="00687B43"/>
    <w:rsid w:val="00691F04"/>
    <w:rsid w:val="00693AB9"/>
    <w:rsid w:val="006956ED"/>
    <w:rsid w:val="0069658E"/>
    <w:rsid w:val="00696F59"/>
    <w:rsid w:val="00696F5F"/>
    <w:rsid w:val="006A07AC"/>
    <w:rsid w:val="006A111D"/>
    <w:rsid w:val="006A1199"/>
    <w:rsid w:val="006A1BA5"/>
    <w:rsid w:val="006A2444"/>
    <w:rsid w:val="006A31A1"/>
    <w:rsid w:val="006A329F"/>
    <w:rsid w:val="006A47E7"/>
    <w:rsid w:val="006A53B1"/>
    <w:rsid w:val="006A560F"/>
    <w:rsid w:val="006A564D"/>
    <w:rsid w:val="006A58EB"/>
    <w:rsid w:val="006A63AA"/>
    <w:rsid w:val="006A77B9"/>
    <w:rsid w:val="006B0F11"/>
    <w:rsid w:val="006B128C"/>
    <w:rsid w:val="006B2048"/>
    <w:rsid w:val="006B3437"/>
    <w:rsid w:val="006B6060"/>
    <w:rsid w:val="006C1902"/>
    <w:rsid w:val="006C26FB"/>
    <w:rsid w:val="006C2B88"/>
    <w:rsid w:val="006C31C6"/>
    <w:rsid w:val="006C389D"/>
    <w:rsid w:val="006C550A"/>
    <w:rsid w:val="006C5F96"/>
    <w:rsid w:val="006C67E8"/>
    <w:rsid w:val="006C7429"/>
    <w:rsid w:val="006C74F2"/>
    <w:rsid w:val="006D0530"/>
    <w:rsid w:val="006D127B"/>
    <w:rsid w:val="006D17E8"/>
    <w:rsid w:val="006D1BF1"/>
    <w:rsid w:val="006D1E53"/>
    <w:rsid w:val="006D21A0"/>
    <w:rsid w:val="006D2DA6"/>
    <w:rsid w:val="006D2DBB"/>
    <w:rsid w:val="006D362B"/>
    <w:rsid w:val="006D6381"/>
    <w:rsid w:val="006D760D"/>
    <w:rsid w:val="006D7A1B"/>
    <w:rsid w:val="006E4E5E"/>
    <w:rsid w:val="006F0A73"/>
    <w:rsid w:val="006F0EB7"/>
    <w:rsid w:val="006F0FC9"/>
    <w:rsid w:val="006F134B"/>
    <w:rsid w:val="006F1883"/>
    <w:rsid w:val="006F1B9A"/>
    <w:rsid w:val="006F2027"/>
    <w:rsid w:val="006F3D3E"/>
    <w:rsid w:val="006F420F"/>
    <w:rsid w:val="006F53FD"/>
    <w:rsid w:val="006F5986"/>
    <w:rsid w:val="007017AD"/>
    <w:rsid w:val="00701A88"/>
    <w:rsid w:val="007021F9"/>
    <w:rsid w:val="00703A18"/>
    <w:rsid w:val="00703B92"/>
    <w:rsid w:val="00704275"/>
    <w:rsid w:val="00704B10"/>
    <w:rsid w:val="0070506E"/>
    <w:rsid w:val="00705538"/>
    <w:rsid w:val="0070621B"/>
    <w:rsid w:val="0070649E"/>
    <w:rsid w:val="0070685C"/>
    <w:rsid w:val="00706F80"/>
    <w:rsid w:val="00707EAF"/>
    <w:rsid w:val="0071008A"/>
    <w:rsid w:val="00710134"/>
    <w:rsid w:val="007105A7"/>
    <w:rsid w:val="007107A7"/>
    <w:rsid w:val="00711930"/>
    <w:rsid w:val="00711D00"/>
    <w:rsid w:val="00711F4E"/>
    <w:rsid w:val="00712913"/>
    <w:rsid w:val="00712D40"/>
    <w:rsid w:val="007143F4"/>
    <w:rsid w:val="00714EAC"/>
    <w:rsid w:val="00716B8A"/>
    <w:rsid w:val="00716DBE"/>
    <w:rsid w:val="00717878"/>
    <w:rsid w:val="0072039B"/>
    <w:rsid w:val="00721602"/>
    <w:rsid w:val="0072204F"/>
    <w:rsid w:val="007227B6"/>
    <w:rsid w:val="007233A0"/>
    <w:rsid w:val="007266CD"/>
    <w:rsid w:val="007267D8"/>
    <w:rsid w:val="00726C78"/>
    <w:rsid w:val="00726F4A"/>
    <w:rsid w:val="00727750"/>
    <w:rsid w:val="00727B5C"/>
    <w:rsid w:val="0073195C"/>
    <w:rsid w:val="007322C2"/>
    <w:rsid w:val="0073258E"/>
    <w:rsid w:val="00733B40"/>
    <w:rsid w:val="00734BD4"/>
    <w:rsid w:val="00734D57"/>
    <w:rsid w:val="00734F87"/>
    <w:rsid w:val="00735C2A"/>
    <w:rsid w:val="00735D9C"/>
    <w:rsid w:val="00735FF5"/>
    <w:rsid w:val="00736666"/>
    <w:rsid w:val="00736B50"/>
    <w:rsid w:val="00736BD5"/>
    <w:rsid w:val="00736D3C"/>
    <w:rsid w:val="00736F2C"/>
    <w:rsid w:val="00737508"/>
    <w:rsid w:val="00740899"/>
    <w:rsid w:val="00741309"/>
    <w:rsid w:val="00742562"/>
    <w:rsid w:val="00742F5C"/>
    <w:rsid w:val="0074440C"/>
    <w:rsid w:val="0074634B"/>
    <w:rsid w:val="007466FB"/>
    <w:rsid w:val="0074720F"/>
    <w:rsid w:val="00747306"/>
    <w:rsid w:val="00751F11"/>
    <w:rsid w:val="00752C93"/>
    <w:rsid w:val="007552EE"/>
    <w:rsid w:val="00755B5C"/>
    <w:rsid w:val="0075607D"/>
    <w:rsid w:val="00756EBA"/>
    <w:rsid w:val="0075700A"/>
    <w:rsid w:val="00757ED8"/>
    <w:rsid w:val="007613BD"/>
    <w:rsid w:val="00761EFA"/>
    <w:rsid w:val="0076246E"/>
    <w:rsid w:val="00762DD5"/>
    <w:rsid w:val="007665D8"/>
    <w:rsid w:val="00766C3A"/>
    <w:rsid w:val="00767301"/>
    <w:rsid w:val="00767698"/>
    <w:rsid w:val="007678AB"/>
    <w:rsid w:val="007701BD"/>
    <w:rsid w:val="00770CA9"/>
    <w:rsid w:val="007715E5"/>
    <w:rsid w:val="00771A62"/>
    <w:rsid w:val="00771D72"/>
    <w:rsid w:val="0077372B"/>
    <w:rsid w:val="007739CF"/>
    <w:rsid w:val="00773CF7"/>
    <w:rsid w:val="0077476A"/>
    <w:rsid w:val="00775CC8"/>
    <w:rsid w:val="00777C53"/>
    <w:rsid w:val="007815FC"/>
    <w:rsid w:val="007819D9"/>
    <w:rsid w:val="00781B28"/>
    <w:rsid w:val="0078396B"/>
    <w:rsid w:val="00783997"/>
    <w:rsid w:val="00783B76"/>
    <w:rsid w:val="00784F80"/>
    <w:rsid w:val="007856D1"/>
    <w:rsid w:val="007862FC"/>
    <w:rsid w:val="0078735D"/>
    <w:rsid w:val="00791231"/>
    <w:rsid w:val="00791B79"/>
    <w:rsid w:val="00794BE6"/>
    <w:rsid w:val="007A0E16"/>
    <w:rsid w:val="007A2E14"/>
    <w:rsid w:val="007A3BEE"/>
    <w:rsid w:val="007A3E68"/>
    <w:rsid w:val="007A572C"/>
    <w:rsid w:val="007A57C8"/>
    <w:rsid w:val="007A62C1"/>
    <w:rsid w:val="007A758F"/>
    <w:rsid w:val="007A7E1D"/>
    <w:rsid w:val="007B1584"/>
    <w:rsid w:val="007B3C79"/>
    <w:rsid w:val="007B4BE7"/>
    <w:rsid w:val="007B520A"/>
    <w:rsid w:val="007B5215"/>
    <w:rsid w:val="007B62D6"/>
    <w:rsid w:val="007B6B18"/>
    <w:rsid w:val="007B7197"/>
    <w:rsid w:val="007C0269"/>
    <w:rsid w:val="007C0819"/>
    <w:rsid w:val="007C1908"/>
    <w:rsid w:val="007C1A23"/>
    <w:rsid w:val="007C3052"/>
    <w:rsid w:val="007C3321"/>
    <w:rsid w:val="007C4583"/>
    <w:rsid w:val="007C56C3"/>
    <w:rsid w:val="007C572B"/>
    <w:rsid w:val="007C5934"/>
    <w:rsid w:val="007C5958"/>
    <w:rsid w:val="007C6159"/>
    <w:rsid w:val="007C6A0E"/>
    <w:rsid w:val="007D0562"/>
    <w:rsid w:val="007D0DCA"/>
    <w:rsid w:val="007D1054"/>
    <w:rsid w:val="007D311D"/>
    <w:rsid w:val="007D414B"/>
    <w:rsid w:val="007E0755"/>
    <w:rsid w:val="007E0967"/>
    <w:rsid w:val="007E0969"/>
    <w:rsid w:val="007E0E8F"/>
    <w:rsid w:val="007E0F0E"/>
    <w:rsid w:val="007E2E2F"/>
    <w:rsid w:val="007E5047"/>
    <w:rsid w:val="007E6017"/>
    <w:rsid w:val="007E631C"/>
    <w:rsid w:val="007E6664"/>
    <w:rsid w:val="007E7152"/>
    <w:rsid w:val="007E7785"/>
    <w:rsid w:val="007F009C"/>
    <w:rsid w:val="007F1467"/>
    <w:rsid w:val="007F18F1"/>
    <w:rsid w:val="007F3B41"/>
    <w:rsid w:val="007F3BD1"/>
    <w:rsid w:val="007F3D63"/>
    <w:rsid w:val="007F453C"/>
    <w:rsid w:val="007F5199"/>
    <w:rsid w:val="007F7850"/>
    <w:rsid w:val="00801265"/>
    <w:rsid w:val="008016E6"/>
    <w:rsid w:val="00801EDD"/>
    <w:rsid w:val="00801FCC"/>
    <w:rsid w:val="008028EF"/>
    <w:rsid w:val="00804F6D"/>
    <w:rsid w:val="0080597A"/>
    <w:rsid w:val="00807BAF"/>
    <w:rsid w:val="008119DF"/>
    <w:rsid w:val="00812636"/>
    <w:rsid w:val="0081292D"/>
    <w:rsid w:val="00814097"/>
    <w:rsid w:val="00814996"/>
    <w:rsid w:val="00815268"/>
    <w:rsid w:val="008158BD"/>
    <w:rsid w:val="0081769A"/>
    <w:rsid w:val="00817ABF"/>
    <w:rsid w:val="00817C63"/>
    <w:rsid w:val="00817CF4"/>
    <w:rsid w:val="0082025A"/>
    <w:rsid w:val="00821E03"/>
    <w:rsid w:val="00822400"/>
    <w:rsid w:val="00822EFF"/>
    <w:rsid w:val="0082363F"/>
    <w:rsid w:val="0082415E"/>
    <w:rsid w:val="00824167"/>
    <w:rsid w:val="00826255"/>
    <w:rsid w:val="008269E6"/>
    <w:rsid w:val="00827C61"/>
    <w:rsid w:val="00833834"/>
    <w:rsid w:val="00833EED"/>
    <w:rsid w:val="00834BC6"/>
    <w:rsid w:val="00835428"/>
    <w:rsid w:val="00835C89"/>
    <w:rsid w:val="00836DFA"/>
    <w:rsid w:val="00836FB0"/>
    <w:rsid w:val="00837C51"/>
    <w:rsid w:val="00840679"/>
    <w:rsid w:val="00840771"/>
    <w:rsid w:val="00840EAB"/>
    <w:rsid w:val="008413E5"/>
    <w:rsid w:val="008422BE"/>
    <w:rsid w:val="008422F3"/>
    <w:rsid w:val="00842749"/>
    <w:rsid w:val="008434D9"/>
    <w:rsid w:val="008456A0"/>
    <w:rsid w:val="008457F1"/>
    <w:rsid w:val="00846BA5"/>
    <w:rsid w:val="0084742D"/>
    <w:rsid w:val="008474AB"/>
    <w:rsid w:val="008512E0"/>
    <w:rsid w:val="00852A6D"/>
    <w:rsid w:val="00852D01"/>
    <w:rsid w:val="00855568"/>
    <w:rsid w:val="0085624C"/>
    <w:rsid w:val="0086064B"/>
    <w:rsid w:val="008610F7"/>
    <w:rsid w:val="00861E10"/>
    <w:rsid w:val="00862718"/>
    <w:rsid w:val="00862735"/>
    <w:rsid w:val="00862753"/>
    <w:rsid w:val="008651E4"/>
    <w:rsid w:val="008653A9"/>
    <w:rsid w:val="00866899"/>
    <w:rsid w:val="00867747"/>
    <w:rsid w:val="00867BCF"/>
    <w:rsid w:val="00870CE0"/>
    <w:rsid w:val="008718EE"/>
    <w:rsid w:val="00871A6C"/>
    <w:rsid w:val="00874206"/>
    <w:rsid w:val="00874686"/>
    <w:rsid w:val="00874F90"/>
    <w:rsid w:val="00875E62"/>
    <w:rsid w:val="00877D95"/>
    <w:rsid w:val="00880652"/>
    <w:rsid w:val="00881F80"/>
    <w:rsid w:val="0088405E"/>
    <w:rsid w:val="00885FC6"/>
    <w:rsid w:val="00886449"/>
    <w:rsid w:val="0088754B"/>
    <w:rsid w:val="00891AA0"/>
    <w:rsid w:val="0089225A"/>
    <w:rsid w:val="008926EE"/>
    <w:rsid w:val="00894FFE"/>
    <w:rsid w:val="0089558C"/>
    <w:rsid w:val="00896B31"/>
    <w:rsid w:val="008A2756"/>
    <w:rsid w:val="008A2A79"/>
    <w:rsid w:val="008A42E8"/>
    <w:rsid w:val="008A7409"/>
    <w:rsid w:val="008B1A27"/>
    <w:rsid w:val="008B1E61"/>
    <w:rsid w:val="008B20AE"/>
    <w:rsid w:val="008B3962"/>
    <w:rsid w:val="008B4335"/>
    <w:rsid w:val="008B6A57"/>
    <w:rsid w:val="008C0F50"/>
    <w:rsid w:val="008C1529"/>
    <w:rsid w:val="008C253E"/>
    <w:rsid w:val="008C4C9C"/>
    <w:rsid w:val="008C4E2A"/>
    <w:rsid w:val="008C76E9"/>
    <w:rsid w:val="008D0AF5"/>
    <w:rsid w:val="008D115C"/>
    <w:rsid w:val="008D168B"/>
    <w:rsid w:val="008D2BB9"/>
    <w:rsid w:val="008D3708"/>
    <w:rsid w:val="008D3BDF"/>
    <w:rsid w:val="008D45A7"/>
    <w:rsid w:val="008D49F6"/>
    <w:rsid w:val="008D54FE"/>
    <w:rsid w:val="008D5653"/>
    <w:rsid w:val="008D621E"/>
    <w:rsid w:val="008D674A"/>
    <w:rsid w:val="008D6D2A"/>
    <w:rsid w:val="008D73D1"/>
    <w:rsid w:val="008D7C48"/>
    <w:rsid w:val="008D7DF9"/>
    <w:rsid w:val="008E0841"/>
    <w:rsid w:val="008E0AD1"/>
    <w:rsid w:val="008E24C7"/>
    <w:rsid w:val="008E3298"/>
    <w:rsid w:val="008E3308"/>
    <w:rsid w:val="008E33CB"/>
    <w:rsid w:val="008E4680"/>
    <w:rsid w:val="008E67B5"/>
    <w:rsid w:val="008E6CCE"/>
    <w:rsid w:val="008F0291"/>
    <w:rsid w:val="008F0657"/>
    <w:rsid w:val="008F1944"/>
    <w:rsid w:val="008F1DBD"/>
    <w:rsid w:val="008F2060"/>
    <w:rsid w:val="008F3581"/>
    <w:rsid w:val="008F3803"/>
    <w:rsid w:val="00900134"/>
    <w:rsid w:val="00901701"/>
    <w:rsid w:val="009031DF"/>
    <w:rsid w:val="009033B2"/>
    <w:rsid w:val="00904263"/>
    <w:rsid w:val="00904DF8"/>
    <w:rsid w:val="00906FD9"/>
    <w:rsid w:val="0090725A"/>
    <w:rsid w:val="00907B5B"/>
    <w:rsid w:val="0091055A"/>
    <w:rsid w:val="00910CFD"/>
    <w:rsid w:val="00910D67"/>
    <w:rsid w:val="00911346"/>
    <w:rsid w:val="009135CB"/>
    <w:rsid w:val="00913E82"/>
    <w:rsid w:val="0091413F"/>
    <w:rsid w:val="0091459A"/>
    <w:rsid w:val="009165E7"/>
    <w:rsid w:val="009172E7"/>
    <w:rsid w:val="00920D31"/>
    <w:rsid w:val="00923B0C"/>
    <w:rsid w:val="00924CD5"/>
    <w:rsid w:val="00925656"/>
    <w:rsid w:val="00926B65"/>
    <w:rsid w:val="00926EE3"/>
    <w:rsid w:val="00927ECF"/>
    <w:rsid w:val="009300FF"/>
    <w:rsid w:val="00931178"/>
    <w:rsid w:val="00931223"/>
    <w:rsid w:val="00931293"/>
    <w:rsid w:val="0093155C"/>
    <w:rsid w:val="00931D81"/>
    <w:rsid w:val="009328B0"/>
    <w:rsid w:val="0093329F"/>
    <w:rsid w:val="00933C02"/>
    <w:rsid w:val="009344F9"/>
    <w:rsid w:val="009345C8"/>
    <w:rsid w:val="00935FE8"/>
    <w:rsid w:val="00936002"/>
    <w:rsid w:val="00936E67"/>
    <w:rsid w:val="009414D1"/>
    <w:rsid w:val="00943BB5"/>
    <w:rsid w:val="00945DCB"/>
    <w:rsid w:val="00946802"/>
    <w:rsid w:val="00946CFA"/>
    <w:rsid w:val="00950470"/>
    <w:rsid w:val="00951945"/>
    <w:rsid w:val="00951A5E"/>
    <w:rsid w:val="00951C78"/>
    <w:rsid w:val="00952449"/>
    <w:rsid w:val="0095249E"/>
    <w:rsid w:val="0095435F"/>
    <w:rsid w:val="00954DCC"/>
    <w:rsid w:val="009575BD"/>
    <w:rsid w:val="00960534"/>
    <w:rsid w:val="00960861"/>
    <w:rsid w:val="00961584"/>
    <w:rsid w:val="00961714"/>
    <w:rsid w:val="00961FA0"/>
    <w:rsid w:val="00971753"/>
    <w:rsid w:val="00971758"/>
    <w:rsid w:val="009717F1"/>
    <w:rsid w:val="0097261C"/>
    <w:rsid w:val="00973F7A"/>
    <w:rsid w:val="00973FD7"/>
    <w:rsid w:val="00974CF8"/>
    <w:rsid w:val="00974EE5"/>
    <w:rsid w:val="00976E14"/>
    <w:rsid w:val="0097715D"/>
    <w:rsid w:val="00977A47"/>
    <w:rsid w:val="009827BA"/>
    <w:rsid w:val="009829E0"/>
    <w:rsid w:val="00986E4B"/>
    <w:rsid w:val="0099050C"/>
    <w:rsid w:val="0099090A"/>
    <w:rsid w:val="0099130E"/>
    <w:rsid w:val="00992AC4"/>
    <w:rsid w:val="009932ED"/>
    <w:rsid w:val="0099358E"/>
    <w:rsid w:val="00993E60"/>
    <w:rsid w:val="009956F4"/>
    <w:rsid w:val="00996551"/>
    <w:rsid w:val="00996AB1"/>
    <w:rsid w:val="009A0F31"/>
    <w:rsid w:val="009A1374"/>
    <w:rsid w:val="009A1672"/>
    <w:rsid w:val="009A1C3A"/>
    <w:rsid w:val="009A1D51"/>
    <w:rsid w:val="009A1EAC"/>
    <w:rsid w:val="009A2746"/>
    <w:rsid w:val="009A6469"/>
    <w:rsid w:val="009B000F"/>
    <w:rsid w:val="009B056F"/>
    <w:rsid w:val="009B2D95"/>
    <w:rsid w:val="009B3A31"/>
    <w:rsid w:val="009B45B9"/>
    <w:rsid w:val="009B5876"/>
    <w:rsid w:val="009B671B"/>
    <w:rsid w:val="009B71D7"/>
    <w:rsid w:val="009B7E47"/>
    <w:rsid w:val="009C0250"/>
    <w:rsid w:val="009C0367"/>
    <w:rsid w:val="009C087E"/>
    <w:rsid w:val="009C2426"/>
    <w:rsid w:val="009C2A59"/>
    <w:rsid w:val="009C2C2A"/>
    <w:rsid w:val="009C2FE1"/>
    <w:rsid w:val="009C78AF"/>
    <w:rsid w:val="009D078B"/>
    <w:rsid w:val="009D0957"/>
    <w:rsid w:val="009D0F67"/>
    <w:rsid w:val="009D29B2"/>
    <w:rsid w:val="009D3199"/>
    <w:rsid w:val="009D39F1"/>
    <w:rsid w:val="009D3D65"/>
    <w:rsid w:val="009D4777"/>
    <w:rsid w:val="009D4A89"/>
    <w:rsid w:val="009D538B"/>
    <w:rsid w:val="009D592D"/>
    <w:rsid w:val="009D79D0"/>
    <w:rsid w:val="009D7E78"/>
    <w:rsid w:val="009E08DB"/>
    <w:rsid w:val="009E18CD"/>
    <w:rsid w:val="009E1B58"/>
    <w:rsid w:val="009E1F04"/>
    <w:rsid w:val="009E394D"/>
    <w:rsid w:val="009E48D3"/>
    <w:rsid w:val="009E4B15"/>
    <w:rsid w:val="009E5494"/>
    <w:rsid w:val="009E72BD"/>
    <w:rsid w:val="009F0FD8"/>
    <w:rsid w:val="009F38A7"/>
    <w:rsid w:val="009F4AAF"/>
    <w:rsid w:val="009F4BDB"/>
    <w:rsid w:val="009F4CB7"/>
    <w:rsid w:val="009F4D2F"/>
    <w:rsid w:val="009F567E"/>
    <w:rsid w:val="009F6557"/>
    <w:rsid w:val="009F6BBF"/>
    <w:rsid w:val="009F7084"/>
    <w:rsid w:val="009F715E"/>
    <w:rsid w:val="009F7AA2"/>
    <w:rsid w:val="00A00172"/>
    <w:rsid w:val="00A00823"/>
    <w:rsid w:val="00A02809"/>
    <w:rsid w:val="00A02926"/>
    <w:rsid w:val="00A0310C"/>
    <w:rsid w:val="00A032BC"/>
    <w:rsid w:val="00A03B2A"/>
    <w:rsid w:val="00A0556C"/>
    <w:rsid w:val="00A05E63"/>
    <w:rsid w:val="00A06688"/>
    <w:rsid w:val="00A0671A"/>
    <w:rsid w:val="00A06CA9"/>
    <w:rsid w:val="00A075BB"/>
    <w:rsid w:val="00A07915"/>
    <w:rsid w:val="00A106AE"/>
    <w:rsid w:val="00A10F37"/>
    <w:rsid w:val="00A11248"/>
    <w:rsid w:val="00A13B75"/>
    <w:rsid w:val="00A13EC0"/>
    <w:rsid w:val="00A13F16"/>
    <w:rsid w:val="00A14B4C"/>
    <w:rsid w:val="00A14F55"/>
    <w:rsid w:val="00A15D32"/>
    <w:rsid w:val="00A15F8B"/>
    <w:rsid w:val="00A16387"/>
    <w:rsid w:val="00A16C9C"/>
    <w:rsid w:val="00A17442"/>
    <w:rsid w:val="00A208F3"/>
    <w:rsid w:val="00A20BCC"/>
    <w:rsid w:val="00A20D62"/>
    <w:rsid w:val="00A221EC"/>
    <w:rsid w:val="00A22F34"/>
    <w:rsid w:val="00A23142"/>
    <w:rsid w:val="00A23636"/>
    <w:rsid w:val="00A25697"/>
    <w:rsid w:val="00A26F3B"/>
    <w:rsid w:val="00A27048"/>
    <w:rsid w:val="00A271DE"/>
    <w:rsid w:val="00A31955"/>
    <w:rsid w:val="00A32F98"/>
    <w:rsid w:val="00A3318E"/>
    <w:rsid w:val="00A34E7C"/>
    <w:rsid w:val="00A3583E"/>
    <w:rsid w:val="00A35C84"/>
    <w:rsid w:val="00A368F6"/>
    <w:rsid w:val="00A3762E"/>
    <w:rsid w:val="00A37C7F"/>
    <w:rsid w:val="00A40579"/>
    <w:rsid w:val="00A411E9"/>
    <w:rsid w:val="00A415F6"/>
    <w:rsid w:val="00A42422"/>
    <w:rsid w:val="00A4265F"/>
    <w:rsid w:val="00A42693"/>
    <w:rsid w:val="00A42BD1"/>
    <w:rsid w:val="00A43252"/>
    <w:rsid w:val="00A45461"/>
    <w:rsid w:val="00A459E0"/>
    <w:rsid w:val="00A461AA"/>
    <w:rsid w:val="00A4639B"/>
    <w:rsid w:val="00A47EE0"/>
    <w:rsid w:val="00A5180C"/>
    <w:rsid w:val="00A51CCF"/>
    <w:rsid w:val="00A52046"/>
    <w:rsid w:val="00A524F8"/>
    <w:rsid w:val="00A528D7"/>
    <w:rsid w:val="00A52AF9"/>
    <w:rsid w:val="00A537B6"/>
    <w:rsid w:val="00A553B2"/>
    <w:rsid w:val="00A55E54"/>
    <w:rsid w:val="00A5611E"/>
    <w:rsid w:val="00A565E9"/>
    <w:rsid w:val="00A57A17"/>
    <w:rsid w:val="00A60E9F"/>
    <w:rsid w:val="00A62F53"/>
    <w:rsid w:val="00A639D8"/>
    <w:rsid w:val="00A640B1"/>
    <w:rsid w:val="00A64E3F"/>
    <w:rsid w:val="00A654E2"/>
    <w:rsid w:val="00A6557C"/>
    <w:rsid w:val="00A6585B"/>
    <w:rsid w:val="00A65E92"/>
    <w:rsid w:val="00A6649A"/>
    <w:rsid w:val="00A66CF9"/>
    <w:rsid w:val="00A706D7"/>
    <w:rsid w:val="00A72CD6"/>
    <w:rsid w:val="00A76198"/>
    <w:rsid w:val="00A7645C"/>
    <w:rsid w:val="00A76BF6"/>
    <w:rsid w:val="00A76F5E"/>
    <w:rsid w:val="00A80104"/>
    <w:rsid w:val="00A81E1A"/>
    <w:rsid w:val="00A82438"/>
    <w:rsid w:val="00A824BA"/>
    <w:rsid w:val="00A842DF"/>
    <w:rsid w:val="00A86D54"/>
    <w:rsid w:val="00A87987"/>
    <w:rsid w:val="00A90BD3"/>
    <w:rsid w:val="00A92BEA"/>
    <w:rsid w:val="00A94072"/>
    <w:rsid w:val="00A940D5"/>
    <w:rsid w:val="00A94D67"/>
    <w:rsid w:val="00A94DE8"/>
    <w:rsid w:val="00A95154"/>
    <w:rsid w:val="00A9541E"/>
    <w:rsid w:val="00A95E59"/>
    <w:rsid w:val="00A961AA"/>
    <w:rsid w:val="00AA085F"/>
    <w:rsid w:val="00AA1ED0"/>
    <w:rsid w:val="00AA1F14"/>
    <w:rsid w:val="00AA27C3"/>
    <w:rsid w:val="00AA2A4C"/>
    <w:rsid w:val="00AA3746"/>
    <w:rsid w:val="00AA3904"/>
    <w:rsid w:val="00AA479A"/>
    <w:rsid w:val="00AA58A6"/>
    <w:rsid w:val="00AA59B7"/>
    <w:rsid w:val="00AA5BBE"/>
    <w:rsid w:val="00AA5F25"/>
    <w:rsid w:val="00AA6C64"/>
    <w:rsid w:val="00AA75B9"/>
    <w:rsid w:val="00AA7BCA"/>
    <w:rsid w:val="00AB00F6"/>
    <w:rsid w:val="00AB1707"/>
    <w:rsid w:val="00AB2354"/>
    <w:rsid w:val="00AB3C40"/>
    <w:rsid w:val="00AB413E"/>
    <w:rsid w:val="00AB5F0F"/>
    <w:rsid w:val="00AB622B"/>
    <w:rsid w:val="00AB64D2"/>
    <w:rsid w:val="00AB7132"/>
    <w:rsid w:val="00AB753D"/>
    <w:rsid w:val="00AB7AB9"/>
    <w:rsid w:val="00AC07CA"/>
    <w:rsid w:val="00AC0EE9"/>
    <w:rsid w:val="00AC27D1"/>
    <w:rsid w:val="00AC57A1"/>
    <w:rsid w:val="00AC5E47"/>
    <w:rsid w:val="00AC63AE"/>
    <w:rsid w:val="00AC64AF"/>
    <w:rsid w:val="00AC770F"/>
    <w:rsid w:val="00AC7E1A"/>
    <w:rsid w:val="00AD0097"/>
    <w:rsid w:val="00AD1980"/>
    <w:rsid w:val="00AD1FD2"/>
    <w:rsid w:val="00AD2212"/>
    <w:rsid w:val="00AD4A29"/>
    <w:rsid w:val="00AD563F"/>
    <w:rsid w:val="00AD63F4"/>
    <w:rsid w:val="00AE01A9"/>
    <w:rsid w:val="00AE0FD5"/>
    <w:rsid w:val="00AE12BE"/>
    <w:rsid w:val="00AE2BDD"/>
    <w:rsid w:val="00AE31E6"/>
    <w:rsid w:val="00AE678A"/>
    <w:rsid w:val="00AF03BB"/>
    <w:rsid w:val="00AF0B2B"/>
    <w:rsid w:val="00AF18FE"/>
    <w:rsid w:val="00AF2583"/>
    <w:rsid w:val="00AF38C8"/>
    <w:rsid w:val="00AF39C4"/>
    <w:rsid w:val="00AF468F"/>
    <w:rsid w:val="00AF47B8"/>
    <w:rsid w:val="00AF4B52"/>
    <w:rsid w:val="00AF4C27"/>
    <w:rsid w:val="00AF5DF3"/>
    <w:rsid w:val="00AF6BF4"/>
    <w:rsid w:val="00AF7AB6"/>
    <w:rsid w:val="00B008E8"/>
    <w:rsid w:val="00B01760"/>
    <w:rsid w:val="00B0334E"/>
    <w:rsid w:val="00B04210"/>
    <w:rsid w:val="00B04418"/>
    <w:rsid w:val="00B04E17"/>
    <w:rsid w:val="00B04F04"/>
    <w:rsid w:val="00B05A7D"/>
    <w:rsid w:val="00B06FC1"/>
    <w:rsid w:val="00B07C20"/>
    <w:rsid w:val="00B1084A"/>
    <w:rsid w:val="00B12F58"/>
    <w:rsid w:val="00B152FC"/>
    <w:rsid w:val="00B155E3"/>
    <w:rsid w:val="00B17A34"/>
    <w:rsid w:val="00B17AFE"/>
    <w:rsid w:val="00B2116D"/>
    <w:rsid w:val="00B21290"/>
    <w:rsid w:val="00B230B8"/>
    <w:rsid w:val="00B23BE2"/>
    <w:rsid w:val="00B23D27"/>
    <w:rsid w:val="00B23E76"/>
    <w:rsid w:val="00B2425D"/>
    <w:rsid w:val="00B244D6"/>
    <w:rsid w:val="00B24E20"/>
    <w:rsid w:val="00B255E5"/>
    <w:rsid w:val="00B30AD7"/>
    <w:rsid w:val="00B310A8"/>
    <w:rsid w:val="00B313AC"/>
    <w:rsid w:val="00B314D5"/>
    <w:rsid w:val="00B31CE3"/>
    <w:rsid w:val="00B32AE7"/>
    <w:rsid w:val="00B3306C"/>
    <w:rsid w:val="00B3358B"/>
    <w:rsid w:val="00B335F0"/>
    <w:rsid w:val="00B3389D"/>
    <w:rsid w:val="00B33D32"/>
    <w:rsid w:val="00B340F2"/>
    <w:rsid w:val="00B34895"/>
    <w:rsid w:val="00B355FF"/>
    <w:rsid w:val="00B35C17"/>
    <w:rsid w:val="00B37BDB"/>
    <w:rsid w:val="00B40BB5"/>
    <w:rsid w:val="00B43316"/>
    <w:rsid w:val="00B43757"/>
    <w:rsid w:val="00B443F3"/>
    <w:rsid w:val="00B44795"/>
    <w:rsid w:val="00B46F50"/>
    <w:rsid w:val="00B5020E"/>
    <w:rsid w:val="00B50CBD"/>
    <w:rsid w:val="00B5141F"/>
    <w:rsid w:val="00B51FEF"/>
    <w:rsid w:val="00B52ABE"/>
    <w:rsid w:val="00B52F98"/>
    <w:rsid w:val="00B52FE1"/>
    <w:rsid w:val="00B536FE"/>
    <w:rsid w:val="00B53EF2"/>
    <w:rsid w:val="00B54F27"/>
    <w:rsid w:val="00B55606"/>
    <w:rsid w:val="00B57228"/>
    <w:rsid w:val="00B605B0"/>
    <w:rsid w:val="00B6165A"/>
    <w:rsid w:val="00B64960"/>
    <w:rsid w:val="00B65263"/>
    <w:rsid w:val="00B67500"/>
    <w:rsid w:val="00B703C6"/>
    <w:rsid w:val="00B70DF9"/>
    <w:rsid w:val="00B7103F"/>
    <w:rsid w:val="00B7122B"/>
    <w:rsid w:val="00B71511"/>
    <w:rsid w:val="00B71596"/>
    <w:rsid w:val="00B7181C"/>
    <w:rsid w:val="00B7195D"/>
    <w:rsid w:val="00B71E3B"/>
    <w:rsid w:val="00B72FE7"/>
    <w:rsid w:val="00B73102"/>
    <w:rsid w:val="00B731C6"/>
    <w:rsid w:val="00B73802"/>
    <w:rsid w:val="00B73C81"/>
    <w:rsid w:val="00B73DFB"/>
    <w:rsid w:val="00B73ECB"/>
    <w:rsid w:val="00B74057"/>
    <w:rsid w:val="00B74EE4"/>
    <w:rsid w:val="00B74EFC"/>
    <w:rsid w:val="00B75873"/>
    <w:rsid w:val="00B7591F"/>
    <w:rsid w:val="00B77135"/>
    <w:rsid w:val="00B77237"/>
    <w:rsid w:val="00B77CF5"/>
    <w:rsid w:val="00B80537"/>
    <w:rsid w:val="00B80586"/>
    <w:rsid w:val="00B807C7"/>
    <w:rsid w:val="00B8383F"/>
    <w:rsid w:val="00B83D1A"/>
    <w:rsid w:val="00B84A2D"/>
    <w:rsid w:val="00B84B7C"/>
    <w:rsid w:val="00B85244"/>
    <w:rsid w:val="00B861AA"/>
    <w:rsid w:val="00B86998"/>
    <w:rsid w:val="00B87F68"/>
    <w:rsid w:val="00B908EE"/>
    <w:rsid w:val="00B90B71"/>
    <w:rsid w:val="00B91574"/>
    <w:rsid w:val="00B92029"/>
    <w:rsid w:val="00B9314E"/>
    <w:rsid w:val="00B937F1"/>
    <w:rsid w:val="00B946C9"/>
    <w:rsid w:val="00B94981"/>
    <w:rsid w:val="00B95352"/>
    <w:rsid w:val="00B954DD"/>
    <w:rsid w:val="00B96AD7"/>
    <w:rsid w:val="00BA0C6D"/>
    <w:rsid w:val="00BA2D1A"/>
    <w:rsid w:val="00BA39DB"/>
    <w:rsid w:val="00BA3ACE"/>
    <w:rsid w:val="00BA47AC"/>
    <w:rsid w:val="00BA4887"/>
    <w:rsid w:val="00BA4C0E"/>
    <w:rsid w:val="00BA541D"/>
    <w:rsid w:val="00BA55C3"/>
    <w:rsid w:val="00BA75B4"/>
    <w:rsid w:val="00BB2034"/>
    <w:rsid w:val="00BB22DF"/>
    <w:rsid w:val="00BB399C"/>
    <w:rsid w:val="00BB444B"/>
    <w:rsid w:val="00BB45AE"/>
    <w:rsid w:val="00BB5408"/>
    <w:rsid w:val="00BB56A6"/>
    <w:rsid w:val="00BB67F5"/>
    <w:rsid w:val="00BB6E08"/>
    <w:rsid w:val="00BB798F"/>
    <w:rsid w:val="00BC0CB7"/>
    <w:rsid w:val="00BC1FA2"/>
    <w:rsid w:val="00BC2B79"/>
    <w:rsid w:val="00BC4273"/>
    <w:rsid w:val="00BC6705"/>
    <w:rsid w:val="00BC6D06"/>
    <w:rsid w:val="00BC7E42"/>
    <w:rsid w:val="00BD1616"/>
    <w:rsid w:val="00BD52F1"/>
    <w:rsid w:val="00BD540F"/>
    <w:rsid w:val="00BD56B0"/>
    <w:rsid w:val="00BD6005"/>
    <w:rsid w:val="00BD6129"/>
    <w:rsid w:val="00BD6F29"/>
    <w:rsid w:val="00BD6F58"/>
    <w:rsid w:val="00BD7A48"/>
    <w:rsid w:val="00BD7DFF"/>
    <w:rsid w:val="00BE0D8C"/>
    <w:rsid w:val="00BE1439"/>
    <w:rsid w:val="00BE1900"/>
    <w:rsid w:val="00BE207E"/>
    <w:rsid w:val="00BE228D"/>
    <w:rsid w:val="00BE3E13"/>
    <w:rsid w:val="00BE5798"/>
    <w:rsid w:val="00BE58A2"/>
    <w:rsid w:val="00BF12C5"/>
    <w:rsid w:val="00BF259A"/>
    <w:rsid w:val="00BF27B2"/>
    <w:rsid w:val="00BF31A0"/>
    <w:rsid w:val="00BF36E4"/>
    <w:rsid w:val="00BF4BF9"/>
    <w:rsid w:val="00BF5537"/>
    <w:rsid w:val="00BF5C23"/>
    <w:rsid w:val="00BF5EA7"/>
    <w:rsid w:val="00BF6248"/>
    <w:rsid w:val="00BF7A39"/>
    <w:rsid w:val="00C005BF"/>
    <w:rsid w:val="00C00EEF"/>
    <w:rsid w:val="00C03048"/>
    <w:rsid w:val="00C039A9"/>
    <w:rsid w:val="00C05BFA"/>
    <w:rsid w:val="00C06274"/>
    <w:rsid w:val="00C0694A"/>
    <w:rsid w:val="00C07D68"/>
    <w:rsid w:val="00C12487"/>
    <w:rsid w:val="00C124CC"/>
    <w:rsid w:val="00C12F0B"/>
    <w:rsid w:val="00C13CB4"/>
    <w:rsid w:val="00C156F3"/>
    <w:rsid w:val="00C17A9A"/>
    <w:rsid w:val="00C17D61"/>
    <w:rsid w:val="00C201F8"/>
    <w:rsid w:val="00C2062A"/>
    <w:rsid w:val="00C247D0"/>
    <w:rsid w:val="00C252D1"/>
    <w:rsid w:val="00C25DF9"/>
    <w:rsid w:val="00C25F36"/>
    <w:rsid w:val="00C26FF9"/>
    <w:rsid w:val="00C274FB"/>
    <w:rsid w:val="00C30217"/>
    <w:rsid w:val="00C3024A"/>
    <w:rsid w:val="00C30C53"/>
    <w:rsid w:val="00C30ED3"/>
    <w:rsid w:val="00C31389"/>
    <w:rsid w:val="00C31AA3"/>
    <w:rsid w:val="00C32512"/>
    <w:rsid w:val="00C33E3E"/>
    <w:rsid w:val="00C34D31"/>
    <w:rsid w:val="00C34FF3"/>
    <w:rsid w:val="00C361A6"/>
    <w:rsid w:val="00C37EE8"/>
    <w:rsid w:val="00C41F7A"/>
    <w:rsid w:val="00C431D1"/>
    <w:rsid w:val="00C435E1"/>
    <w:rsid w:val="00C43D91"/>
    <w:rsid w:val="00C43E5A"/>
    <w:rsid w:val="00C44756"/>
    <w:rsid w:val="00C459F0"/>
    <w:rsid w:val="00C46288"/>
    <w:rsid w:val="00C466B7"/>
    <w:rsid w:val="00C46D03"/>
    <w:rsid w:val="00C5220A"/>
    <w:rsid w:val="00C52C47"/>
    <w:rsid w:val="00C52CE8"/>
    <w:rsid w:val="00C53C62"/>
    <w:rsid w:val="00C5464D"/>
    <w:rsid w:val="00C56B0E"/>
    <w:rsid w:val="00C57F0F"/>
    <w:rsid w:val="00C60C7A"/>
    <w:rsid w:val="00C610A6"/>
    <w:rsid w:val="00C610EF"/>
    <w:rsid w:val="00C61157"/>
    <w:rsid w:val="00C61A3B"/>
    <w:rsid w:val="00C63011"/>
    <w:rsid w:val="00C645FB"/>
    <w:rsid w:val="00C64BA2"/>
    <w:rsid w:val="00C65C91"/>
    <w:rsid w:val="00C65E35"/>
    <w:rsid w:val="00C65FD4"/>
    <w:rsid w:val="00C67147"/>
    <w:rsid w:val="00C67154"/>
    <w:rsid w:val="00C7025D"/>
    <w:rsid w:val="00C720C4"/>
    <w:rsid w:val="00C72590"/>
    <w:rsid w:val="00C727E9"/>
    <w:rsid w:val="00C72818"/>
    <w:rsid w:val="00C72ECB"/>
    <w:rsid w:val="00C7403B"/>
    <w:rsid w:val="00C759FE"/>
    <w:rsid w:val="00C75DF3"/>
    <w:rsid w:val="00C75EE9"/>
    <w:rsid w:val="00C769BE"/>
    <w:rsid w:val="00C76AE3"/>
    <w:rsid w:val="00C76DC4"/>
    <w:rsid w:val="00C76FDC"/>
    <w:rsid w:val="00C7755D"/>
    <w:rsid w:val="00C8074C"/>
    <w:rsid w:val="00C80E57"/>
    <w:rsid w:val="00C818F1"/>
    <w:rsid w:val="00C81A93"/>
    <w:rsid w:val="00C827B2"/>
    <w:rsid w:val="00C8440F"/>
    <w:rsid w:val="00C84BF5"/>
    <w:rsid w:val="00C90254"/>
    <w:rsid w:val="00C9040E"/>
    <w:rsid w:val="00C9064B"/>
    <w:rsid w:val="00C91991"/>
    <w:rsid w:val="00C91BAA"/>
    <w:rsid w:val="00C93804"/>
    <w:rsid w:val="00C94552"/>
    <w:rsid w:val="00C94B91"/>
    <w:rsid w:val="00C95251"/>
    <w:rsid w:val="00C95414"/>
    <w:rsid w:val="00C9568D"/>
    <w:rsid w:val="00C96FDA"/>
    <w:rsid w:val="00C97B54"/>
    <w:rsid w:val="00CA1805"/>
    <w:rsid w:val="00CA1B72"/>
    <w:rsid w:val="00CA2E50"/>
    <w:rsid w:val="00CA3926"/>
    <w:rsid w:val="00CA3F3E"/>
    <w:rsid w:val="00CA40DF"/>
    <w:rsid w:val="00CA7580"/>
    <w:rsid w:val="00CB082E"/>
    <w:rsid w:val="00CB237A"/>
    <w:rsid w:val="00CB2AAC"/>
    <w:rsid w:val="00CB5060"/>
    <w:rsid w:val="00CB5649"/>
    <w:rsid w:val="00CB5CD7"/>
    <w:rsid w:val="00CB5D00"/>
    <w:rsid w:val="00CB631B"/>
    <w:rsid w:val="00CB7022"/>
    <w:rsid w:val="00CC03C5"/>
    <w:rsid w:val="00CC0458"/>
    <w:rsid w:val="00CC0ABB"/>
    <w:rsid w:val="00CC1423"/>
    <w:rsid w:val="00CC2E51"/>
    <w:rsid w:val="00CC30AB"/>
    <w:rsid w:val="00CC3C01"/>
    <w:rsid w:val="00CD015C"/>
    <w:rsid w:val="00CD1ABF"/>
    <w:rsid w:val="00CD2A22"/>
    <w:rsid w:val="00CD32FD"/>
    <w:rsid w:val="00CD55A1"/>
    <w:rsid w:val="00CD68D6"/>
    <w:rsid w:val="00CD7B89"/>
    <w:rsid w:val="00CE0316"/>
    <w:rsid w:val="00CE069C"/>
    <w:rsid w:val="00CE0A8E"/>
    <w:rsid w:val="00CE2DA6"/>
    <w:rsid w:val="00CE2F48"/>
    <w:rsid w:val="00CE31EB"/>
    <w:rsid w:val="00CE3493"/>
    <w:rsid w:val="00CE3782"/>
    <w:rsid w:val="00CE3AC1"/>
    <w:rsid w:val="00CE4187"/>
    <w:rsid w:val="00CE563C"/>
    <w:rsid w:val="00CE5B10"/>
    <w:rsid w:val="00CE5D13"/>
    <w:rsid w:val="00CE6692"/>
    <w:rsid w:val="00CE7790"/>
    <w:rsid w:val="00CE7E48"/>
    <w:rsid w:val="00CF009B"/>
    <w:rsid w:val="00CF196A"/>
    <w:rsid w:val="00CF1D5F"/>
    <w:rsid w:val="00CF2B72"/>
    <w:rsid w:val="00CF3401"/>
    <w:rsid w:val="00CF3C8C"/>
    <w:rsid w:val="00CF4B0F"/>
    <w:rsid w:val="00CF5091"/>
    <w:rsid w:val="00CF5635"/>
    <w:rsid w:val="00CF64A8"/>
    <w:rsid w:val="00CF6B42"/>
    <w:rsid w:val="00D0047D"/>
    <w:rsid w:val="00D01A02"/>
    <w:rsid w:val="00D0297F"/>
    <w:rsid w:val="00D02F96"/>
    <w:rsid w:val="00D02FB9"/>
    <w:rsid w:val="00D030D7"/>
    <w:rsid w:val="00D04050"/>
    <w:rsid w:val="00D041D9"/>
    <w:rsid w:val="00D0458A"/>
    <w:rsid w:val="00D060F0"/>
    <w:rsid w:val="00D06B2F"/>
    <w:rsid w:val="00D07BFB"/>
    <w:rsid w:val="00D1034A"/>
    <w:rsid w:val="00D111E2"/>
    <w:rsid w:val="00D11B12"/>
    <w:rsid w:val="00D12144"/>
    <w:rsid w:val="00D1251E"/>
    <w:rsid w:val="00D12CDC"/>
    <w:rsid w:val="00D143FE"/>
    <w:rsid w:val="00D14D4D"/>
    <w:rsid w:val="00D15830"/>
    <w:rsid w:val="00D1642D"/>
    <w:rsid w:val="00D169AC"/>
    <w:rsid w:val="00D17205"/>
    <w:rsid w:val="00D174F0"/>
    <w:rsid w:val="00D2037C"/>
    <w:rsid w:val="00D209B6"/>
    <w:rsid w:val="00D211CD"/>
    <w:rsid w:val="00D2138C"/>
    <w:rsid w:val="00D219FC"/>
    <w:rsid w:val="00D22B71"/>
    <w:rsid w:val="00D22D21"/>
    <w:rsid w:val="00D23819"/>
    <w:rsid w:val="00D26BBE"/>
    <w:rsid w:val="00D305F9"/>
    <w:rsid w:val="00D31484"/>
    <w:rsid w:val="00D3343B"/>
    <w:rsid w:val="00D33AF4"/>
    <w:rsid w:val="00D33C1B"/>
    <w:rsid w:val="00D342B1"/>
    <w:rsid w:val="00D34A8A"/>
    <w:rsid w:val="00D35FE2"/>
    <w:rsid w:val="00D3641C"/>
    <w:rsid w:val="00D36B18"/>
    <w:rsid w:val="00D36FC3"/>
    <w:rsid w:val="00D37419"/>
    <w:rsid w:val="00D37568"/>
    <w:rsid w:val="00D405A2"/>
    <w:rsid w:val="00D408F2"/>
    <w:rsid w:val="00D42355"/>
    <w:rsid w:val="00D42904"/>
    <w:rsid w:val="00D43639"/>
    <w:rsid w:val="00D43CEF"/>
    <w:rsid w:val="00D4572E"/>
    <w:rsid w:val="00D45FA2"/>
    <w:rsid w:val="00D46BB8"/>
    <w:rsid w:val="00D477AD"/>
    <w:rsid w:val="00D47E44"/>
    <w:rsid w:val="00D5195F"/>
    <w:rsid w:val="00D5281C"/>
    <w:rsid w:val="00D52A21"/>
    <w:rsid w:val="00D533B8"/>
    <w:rsid w:val="00D53667"/>
    <w:rsid w:val="00D53ADB"/>
    <w:rsid w:val="00D53C2C"/>
    <w:rsid w:val="00D53DF8"/>
    <w:rsid w:val="00D55209"/>
    <w:rsid w:val="00D5544D"/>
    <w:rsid w:val="00D555BA"/>
    <w:rsid w:val="00D55ED2"/>
    <w:rsid w:val="00D57245"/>
    <w:rsid w:val="00D575A4"/>
    <w:rsid w:val="00D6258A"/>
    <w:rsid w:val="00D630BB"/>
    <w:rsid w:val="00D6316A"/>
    <w:rsid w:val="00D632FB"/>
    <w:rsid w:val="00D63318"/>
    <w:rsid w:val="00D638F5"/>
    <w:rsid w:val="00D63FAC"/>
    <w:rsid w:val="00D640B7"/>
    <w:rsid w:val="00D642B4"/>
    <w:rsid w:val="00D64DB6"/>
    <w:rsid w:val="00D65131"/>
    <w:rsid w:val="00D656E0"/>
    <w:rsid w:val="00D67515"/>
    <w:rsid w:val="00D67645"/>
    <w:rsid w:val="00D70AA9"/>
    <w:rsid w:val="00D71E61"/>
    <w:rsid w:val="00D72627"/>
    <w:rsid w:val="00D72F83"/>
    <w:rsid w:val="00D73ADF"/>
    <w:rsid w:val="00D73EEB"/>
    <w:rsid w:val="00D751DC"/>
    <w:rsid w:val="00D75F78"/>
    <w:rsid w:val="00D760C6"/>
    <w:rsid w:val="00D80B48"/>
    <w:rsid w:val="00D81670"/>
    <w:rsid w:val="00D81FCF"/>
    <w:rsid w:val="00D83C3F"/>
    <w:rsid w:val="00D859F6"/>
    <w:rsid w:val="00D86DCB"/>
    <w:rsid w:val="00D872D4"/>
    <w:rsid w:val="00D87E4F"/>
    <w:rsid w:val="00D91351"/>
    <w:rsid w:val="00D91A2B"/>
    <w:rsid w:val="00D91E18"/>
    <w:rsid w:val="00D9298A"/>
    <w:rsid w:val="00D92FB5"/>
    <w:rsid w:val="00D95C68"/>
    <w:rsid w:val="00D96A47"/>
    <w:rsid w:val="00DA1534"/>
    <w:rsid w:val="00DA1593"/>
    <w:rsid w:val="00DA2A31"/>
    <w:rsid w:val="00DA34E5"/>
    <w:rsid w:val="00DA4387"/>
    <w:rsid w:val="00DA4DA5"/>
    <w:rsid w:val="00DA5F95"/>
    <w:rsid w:val="00DB131F"/>
    <w:rsid w:val="00DB1ADB"/>
    <w:rsid w:val="00DB1F92"/>
    <w:rsid w:val="00DB21E4"/>
    <w:rsid w:val="00DB2487"/>
    <w:rsid w:val="00DB364A"/>
    <w:rsid w:val="00DB4285"/>
    <w:rsid w:val="00DB44B9"/>
    <w:rsid w:val="00DB4A92"/>
    <w:rsid w:val="00DB4D54"/>
    <w:rsid w:val="00DB6100"/>
    <w:rsid w:val="00DB6DED"/>
    <w:rsid w:val="00DB7201"/>
    <w:rsid w:val="00DB7BC0"/>
    <w:rsid w:val="00DC0561"/>
    <w:rsid w:val="00DC236C"/>
    <w:rsid w:val="00DC6B55"/>
    <w:rsid w:val="00DC75C0"/>
    <w:rsid w:val="00DD1025"/>
    <w:rsid w:val="00DD14A5"/>
    <w:rsid w:val="00DD192B"/>
    <w:rsid w:val="00DD1D24"/>
    <w:rsid w:val="00DD285F"/>
    <w:rsid w:val="00DD391A"/>
    <w:rsid w:val="00DD4E30"/>
    <w:rsid w:val="00DD64B6"/>
    <w:rsid w:val="00DD6742"/>
    <w:rsid w:val="00DD6F0B"/>
    <w:rsid w:val="00DD76E5"/>
    <w:rsid w:val="00DD771C"/>
    <w:rsid w:val="00DD7C31"/>
    <w:rsid w:val="00DE0552"/>
    <w:rsid w:val="00DE086C"/>
    <w:rsid w:val="00DE10AD"/>
    <w:rsid w:val="00DE1C0A"/>
    <w:rsid w:val="00DE2D5A"/>
    <w:rsid w:val="00DE2DFF"/>
    <w:rsid w:val="00DE3C0A"/>
    <w:rsid w:val="00DE3CD1"/>
    <w:rsid w:val="00DE480B"/>
    <w:rsid w:val="00DE4FF7"/>
    <w:rsid w:val="00DE5CD8"/>
    <w:rsid w:val="00DE5F84"/>
    <w:rsid w:val="00DE5FB2"/>
    <w:rsid w:val="00DE77E8"/>
    <w:rsid w:val="00DF0387"/>
    <w:rsid w:val="00DF0CE6"/>
    <w:rsid w:val="00DF1BBD"/>
    <w:rsid w:val="00DF1D4B"/>
    <w:rsid w:val="00DF1FEA"/>
    <w:rsid w:val="00DF2D98"/>
    <w:rsid w:val="00DF2FB6"/>
    <w:rsid w:val="00DF3505"/>
    <w:rsid w:val="00DF4558"/>
    <w:rsid w:val="00DF45E3"/>
    <w:rsid w:val="00DF5D05"/>
    <w:rsid w:val="00DF616D"/>
    <w:rsid w:val="00DF64B3"/>
    <w:rsid w:val="00DF71BD"/>
    <w:rsid w:val="00DF7BE7"/>
    <w:rsid w:val="00E00146"/>
    <w:rsid w:val="00E00221"/>
    <w:rsid w:val="00E0028B"/>
    <w:rsid w:val="00E022AA"/>
    <w:rsid w:val="00E05573"/>
    <w:rsid w:val="00E06EB0"/>
    <w:rsid w:val="00E07193"/>
    <w:rsid w:val="00E078A5"/>
    <w:rsid w:val="00E10B40"/>
    <w:rsid w:val="00E11C89"/>
    <w:rsid w:val="00E12676"/>
    <w:rsid w:val="00E13070"/>
    <w:rsid w:val="00E15800"/>
    <w:rsid w:val="00E15FDB"/>
    <w:rsid w:val="00E165C7"/>
    <w:rsid w:val="00E21958"/>
    <w:rsid w:val="00E220C3"/>
    <w:rsid w:val="00E22A82"/>
    <w:rsid w:val="00E22B5B"/>
    <w:rsid w:val="00E22C34"/>
    <w:rsid w:val="00E2320A"/>
    <w:rsid w:val="00E23951"/>
    <w:rsid w:val="00E26446"/>
    <w:rsid w:val="00E27C42"/>
    <w:rsid w:val="00E27F18"/>
    <w:rsid w:val="00E32817"/>
    <w:rsid w:val="00E32968"/>
    <w:rsid w:val="00E35604"/>
    <w:rsid w:val="00E363E9"/>
    <w:rsid w:val="00E4016A"/>
    <w:rsid w:val="00E42BC5"/>
    <w:rsid w:val="00E42D76"/>
    <w:rsid w:val="00E516D2"/>
    <w:rsid w:val="00E51BFE"/>
    <w:rsid w:val="00E53DCF"/>
    <w:rsid w:val="00E550D2"/>
    <w:rsid w:val="00E56050"/>
    <w:rsid w:val="00E562E4"/>
    <w:rsid w:val="00E57C59"/>
    <w:rsid w:val="00E61954"/>
    <w:rsid w:val="00E623C9"/>
    <w:rsid w:val="00E62563"/>
    <w:rsid w:val="00E64DAD"/>
    <w:rsid w:val="00E654ED"/>
    <w:rsid w:val="00E6602D"/>
    <w:rsid w:val="00E668AA"/>
    <w:rsid w:val="00E67228"/>
    <w:rsid w:val="00E67241"/>
    <w:rsid w:val="00E67965"/>
    <w:rsid w:val="00E67C96"/>
    <w:rsid w:val="00E71709"/>
    <w:rsid w:val="00E724D1"/>
    <w:rsid w:val="00E761B3"/>
    <w:rsid w:val="00E805E5"/>
    <w:rsid w:val="00E8081D"/>
    <w:rsid w:val="00E80B68"/>
    <w:rsid w:val="00E81A0A"/>
    <w:rsid w:val="00E81C0D"/>
    <w:rsid w:val="00E81F69"/>
    <w:rsid w:val="00E8204B"/>
    <w:rsid w:val="00E82533"/>
    <w:rsid w:val="00E83AA9"/>
    <w:rsid w:val="00E83DAD"/>
    <w:rsid w:val="00E86485"/>
    <w:rsid w:val="00E9060B"/>
    <w:rsid w:val="00E90C7E"/>
    <w:rsid w:val="00E90C96"/>
    <w:rsid w:val="00E91399"/>
    <w:rsid w:val="00E92A1E"/>
    <w:rsid w:val="00E940D8"/>
    <w:rsid w:val="00E94B17"/>
    <w:rsid w:val="00E96FAE"/>
    <w:rsid w:val="00E97218"/>
    <w:rsid w:val="00E974B5"/>
    <w:rsid w:val="00EA06B7"/>
    <w:rsid w:val="00EA3565"/>
    <w:rsid w:val="00EA45AB"/>
    <w:rsid w:val="00EA4D57"/>
    <w:rsid w:val="00EA7146"/>
    <w:rsid w:val="00EA73AD"/>
    <w:rsid w:val="00EA7D96"/>
    <w:rsid w:val="00EA7E13"/>
    <w:rsid w:val="00EA7F6F"/>
    <w:rsid w:val="00EA7F72"/>
    <w:rsid w:val="00EB023A"/>
    <w:rsid w:val="00EB0C85"/>
    <w:rsid w:val="00EB1FA5"/>
    <w:rsid w:val="00EB2BC3"/>
    <w:rsid w:val="00EB3CB9"/>
    <w:rsid w:val="00EB3F49"/>
    <w:rsid w:val="00EB3F5E"/>
    <w:rsid w:val="00EB441B"/>
    <w:rsid w:val="00EB49FE"/>
    <w:rsid w:val="00EB5494"/>
    <w:rsid w:val="00EB594C"/>
    <w:rsid w:val="00EB78A7"/>
    <w:rsid w:val="00EB7A71"/>
    <w:rsid w:val="00EC21CD"/>
    <w:rsid w:val="00EC273C"/>
    <w:rsid w:val="00EC27DC"/>
    <w:rsid w:val="00EC3B34"/>
    <w:rsid w:val="00EC4345"/>
    <w:rsid w:val="00EC4C4A"/>
    <w:rsid w:val="00EC7292"/>
    <w:rsid w:val="00ED10F7"/>
    <w:rsid w:val="00ED112E"/>
    <w:rsid w:val="00ED1B56"/>
    <w:rsid w:val="00ED2419"/>
    <w:rsid w:val="00ED2F0C"/>
    <w:rsid w:val="00ED2FB0"/>
    <w:rsid w:val="00ED5DD7"/>
    <w:rsid w:val="00ED702B"/>
    <w:rsid w:val="00ED7502"/>
    <w:rsid w:val="00ED7D00"/>
    <w:rsid w:val="00ED7FD6"/>
    <w:rsid w:val="00EE03CD"/>
    <w:rsid w:val="00EE4DDC"/>
    <w:rsid w:val="00EE53BD"/>
    <w:rsid w:val="00EE5860"/>
    <w:rsid w:val="00EE5AE1"/>
    <w:rsid w:val="00EE7897"/>
    <w:rsid w:val="00EE7D99"/>
    <w:rsid w:val="00EF02B2"/>
    <w:rsid w:val="00EF1FB3"/>
    <w:rsid w:val="00EF207A"/>
    <w:rsid w:val="00EF2480"/>
    <w:rsid w:val="00EF2572"/>
    <w:rsid w:val="00EF2979"/>
    <w:rsid w:val="00EF3173"/>
    <w:rsid w:val="00EF4398"/>
    <w:rsid w:val="00EF4436"/>
    <w:rsid w:val="00F00CE2"/>
    <w:rsid w:val="00F03E58"/>
    <w:rsid w:val="00F042C9"/>
    <w:rsid w:val="00F04C97"/>
    <w:rsid w:val="00F051F7"/>
    <w:rsid w:val="00F0568A"/>
    <w:rsid w:val="00F057C1"/>
    <w:rsid w:val="00F119A0"/>
    <w:rsid w:val="00F11EAB"/>
    <w:rsid w:val="00F123D7"/>
    <w:rsid w:val="00F12C4E"/>
    <w:rsid w:val="00F133DF"/>
    <w:rsid w:val="00F16B27"/>
    <w:rsid w:val="00F1735A"/>
    <w:rsid w:val="00F2086E"/>
    <w:rsid w:val="00F233BF"/>
    <w:rsid w:val="00F236B5"/>
    <w:rsid w:val="00F23BE4"/>
    <w:rsid w:val="00F251DE"/>
    <w:rsid w:val="00F25E8B"/>
    <w:rsid w:val="00F260FB"/>
    <w:rsid w:val="00F26285"/>
    <w:rsid w:val="00F31F3D"/>
    <w:rsid w:val="00F32660"/>
    <w:rsid w:val="00F32EE0"/>
    <w:rsid w:val="00F3471E"/>
    <w:rsid w:val="00F34E69"/>
    <w:rsid w:val="00F34FB7"/>
    <w:rsid w:val="00F35B3D"/>
    <w:rsid w:val="00F36F45"/>
    <w:rsid w:val="00F3721D"/>
    <w:rsid w:val="00F374AD"/>
    <w:rsid w:val="00F3752D"/>
    <w:rsid w:val="00F37781"/>
    <w:rsid w:val="00F37DA4"/>
    <w:rsid w:val="00F407A9"/>
    <w:rsid w:val="00F409C0"/>
    <w:rsid w:val="00F417B6"/>
    <w:rsid w:val="00F417EE"/>
    <w:rsid w:val="00F41DBF"/>
    <w:rsid w:val="00F43261"/>
    <w:rsid w:val="00F434B4"/>
    <w:rsid w:val="00F44173"/>
    <w:rsid w:val="00F46F4F"/>
    <w:rsid w:val="00F470A8"/>
    <w:rsid w:val="00F47291"/>
    <w:rsid w:val="00F47647"/>
    <w:rsid w:val="00F47D2A"/>
    <w:rsid w:val="00F5068B"/>
    <w:rsid w:val="00F507D1"/>
    <w:rsid w:val="00F5111C"/>
    <w:rsid w:val="00F51F54"/>
    <w:rsid w:val="00F52051"/>
    <w:rsid w:val="00F53309"/>
    <w:rsid w:val="00F53598"/>
    <w:rsid w:val="00F53B40"/>
    <w:rsid w:val="00F54CF4"/>
    <w:rsid w:val="00F55609"/>
    <w:rsid w:val="00F55E9E"/>
    <w:rsid w:val="00F56113"/>
    <w:rsid w:val="00F57244"/>
    <w:rsid w:val="00F575C1"/>
    <w:rsid w:val="00F575E0"/>
    <w:rsid w:val="00F578E9"/>
    <w:rsid w:val="00F57A0D"/>
    <w:rsid w:val="00F57A6D"/>
    <w:rsid w:val="00F606EB"/>
    <w:rsid w:val="00F6294E"/>
    <w:rsid w:val="00F63263"/>
    <w:rsid w:val="00F63800"/>
    <w:rsid w:val="00F644E8"/>
    <w:rsid w:val="00F65EF2"/>
    <w:rsid w:val="00F6664F"/>
    <w:rsid w:val="00F66661"/>
    <w:rsid w:val="00F66847"/>
    <w:rsid w:val="00F66AAE"/>
    <w:rsid w:val="00F67100"/>
    <w:rsid w:val="00F67A3B"/>
    <w:rsid w:val="00F70066"/>
    <w:rsid w:val="00F7013F"/>
    <w:rsid w:val="00F70276"/>
    <w:rsid w:val="00F70D14"/>
    <w:rsid w:val="00F71400"/>
    <w:rsid w:val="00F71629"/>
    <w:rsid w:val="00F727DB"/>
    <w:rsid w:val="00F73917"/>
    <w:rsid w:val="00F741FD"/>
    <w:rsid w:val="00F766F7"/>
    <w:rsid w:val="00F80211"/>
    <w:rsid w:val="00F80B2B"/>
    <w:rsid w:val="00F80BBE"/>
    <w:rsid w:val="00F80F21"/>
    <w:rsid w:val="00F81472"/>
    <w:rsid w:val="00F815DB"/>
    <w:rsid w:val="00F81AF1"/>
    <w:rsid w:val="00F81B1E"/>
    <w:rsid w:val="00F822B6"/>
    <w:rsid w:val="00F8318B"/>
    <w:rsid w:val="00F854A2"/>
    <w:rsid w:val="00F87EAE"/>
    <w:rsid w:val="00F90556"/>
    <w:rsid w:val="00F9246C"/>
    <w:rsid w:val="00F924FD"/>
    <w:rsid w:val="00F93ABD"/>
    <w:rsid w:val="00F94E82"/>
    <w:rsid w:val="00F95609"/>
    <w:rsid w:val="00F968BE"/>
    <w:rsid w:val="00FA0736"/>
    <w:rsid w:val="00FA5ACA"/>
    <w:rsid w:val="00FA6068"/>
    <w:rsid w:val="00FA7C6B"/>
    <w:rsid w:val="00FB0C83"/>
    <w:rsid w:val="00FB2E16"/>
    <w:rsid w:val="00FB3260"/>
    <w:rsid w:val="00FB3926"/>
    <w:rsid w:val="00FB3E79"/>
    <w:rsid w:val="00FB4484"/>
    <w:rsid w:val="00FB4CEB"/>
    <w:rsid w:val="00FB50D4"/>
    <w:rsid w:val="00FB526D"/>
    <w:rsid w:val="00FB57BE"/>
    <w:rsid w:val="00FB5F25"/>
    <w:rsid w:val="00FB772E"/>
    <w:rsid w:val="00FB778F"/>
    <w:rsid w:val="00FB782D"/>
    <w:rsid w:val="00FC03D1"/>
    <w:rsid w:val="00FC0BEB"/>
    <w:rsid w:val="00FC1800"/>
    <w:rsid w:val="00FC1A35"/>
    <w:rsid w:val="00FC3A11"/>
    <w:rsid w:val="00FC3FD0"/>
    <w:rsid w:val="00FC5A29"/>
    <w:rsid w:val="00FC619A"/>
    <w:rsid w:val="00FC696E"/>
    <w:rsid w:val="00FC6E8A"/>
    <w:rsid w:val="00FC70C0"/>
    <w:rsid w:val="00FC717B"/>
    <w:rsid w:val="00FC7AA7"/>
    <w:rsid w:val="00FC7D54"/>
    <w:rsid w:val="00FD0042"/>
    <w:rsid w:val="00FD0C40"/>
    <w:rsid w:val="00FD1655"/>
    <w:rsid w:val="00FD1D80"/>
    <w:rsid w:val="00FD226F"/>
    <w:rsid w:val="00FD276A"/>
    <w:rsid w:val="00FD3027"/>
    <w:rsid w:val="00FD3A11"/>
    <w:rsid w:val="00FD3DD4"/>
    <w:rsid w:val="00FD472D"/>
    <w:rsid w:val="00FD5504"/>
    <w:rsid w:val="00FD5669"/>
    <w:rsid w:val="00FD580D"/>
    <w:rsid w:val="00FD5936"/>
    <w:rsid w:val="00FD5EB5"/>
    <w:rsid w:val="00FD6AE5"/>
    <w:rsid w:val="00FD6B41"/>
    <w:rsid w:val="00FD6D86"/>
    <w:rsid w:val="00FD7442"/>
    <w:rsid w:val="00FD7C78"/>
    <w:rsid w:val="00FE03A5"/>
    <w:rsid w:val="00FE057E"/>
    <w:rsid w:val="00FE0FC1"/>
    <w:rsid w:val="00FE17B5"/>
    <w:rsid w:val="00FE289B"/>
    <w:rsid w:val="00FE398C"/>
    <w:rsid w:val="00FE4BCB"/>
    <w:rsid w:val="00FE5563"/>
    <w:rsid w:val="00FE7133"/>
    <w:rsid w:val="00FE78EE"/>
    <w:rsid w:val="00FE7D72"/>
    <w:rsid w:val="00FF0BE2"/>
    <w:rsid w:val="00FF0FB0"/>
    <w:rsid w:val="00FF0FFD"/>
    <w:rsid w:val="00FF1035"/>
    <w:rsid w:val="00FF1807"/>
    <w:rsid w:val="00FF302D"/>
    <w:rsid w:val="00FF4974"/>
    <w:rsid w:val="00FF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B1AA6"/>
  <w15:docId w15:val="{53D7FE0A-7E79-48B5-B3D9-40C614E2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5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181944757">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68069741">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79199243">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70164525">
      <w:bodyDiv w:val="1"/>
      <w:marLeft w:val="0"/>
      <w:marRight w:val="0"/>
      <w:marTop w:val="0"/>
      <w:marBottom w:val="0"/>
      <w:divBdr>
        <w:top w:val="none" w:sz="0" w:space="0" w:color="auto"/>
        <w:left w:val="none" w:sz="0" w:space="0" w:color="auto"/>
        <w:bottom w:val="none" w:sz="0" w:space="0" w:color="auto"/>
        <w:right w:val="none" w:sz="0" w:space="0" w:color="auto"/>
      </w:divBdr>
    </w:div>
    <w:div w:id="57344261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18283878">
      <w:bodyDiv w:val="1"/>
      <w:marLeft w:val="0"/>
      <w:marRight w:val="0"/>
      <w:marTop w:val="0"/>
      <w:marBottom w:val="0"/>
      <w:divBdr>
        <w:top w:val="none" w:sz="0" w:space="0" w:color="auto"/>
        <w:left w:val="none" w:sz="0" w:space="0" w:color="auto"/>
        <w:bottom w:val="none" w:sz="0" w:space="0" w:color="auto"/>
        <w:right w:val="none" w:sz="0" w:space="0" w:color="auto"/>
      </w:divBdr>
    </w:div>
    <w:div w:id="736981212">
      <w:bodyDiv w:val="1"/>
      <w:marLeft w:val="0"/>
      <w:marRight w:val="0"/>
      <w:marTop w:val="0"/>
      <w:marBottom w:val="0"/>
      <w:divBdr>
        <w:top w:val="none" w:sz="0" w:space="0" w:color="auto"/>
        <w:left w:val="none" w:sz="0" w:space="0" w:color="auto"/>
        <w:bottom w:val="none" w:sz="0" w:space="0" w:color="auto"/>
        <w:right w:val="none" w:sz="0" w:space="0" w:color="auto"/>
      </w:divBdr>
    </w:div>
    <w:div w:id="826214457">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82545430">
      <w:bodyDiv w:val="1"/>
      <w:marLeft w:val="0"/>
      <w:marRight w:val="0"/>
      <w:marTop w:val="0"/>
      <w:marBottom w:val="0"/>
      <w:divBdr>
        <w:top w:val="none" w:sz="0" w:space="0" w:color="auto"/>
        <w:left w:val="none" w:sz="0" w:space="0" w:color="auto"/>
        <w:bottom w:val="none" w:sz="0" w:space="0" w:color="auto"/>
        <w:right w:val="none" w:sz="0" w:space="0" w:color="auto"/>
      </w:divBdr>
      <w:divsChild>
        <w:div w:id="1059938102">
          <w:marLeft w:val="0"/>
          <w:marRight w:val="0"/>
          <w:marTop w:val="0"/>
          <w:marBottom w:val="180"/>
          <w:divBdr>
            <w:top w:val="single" w:sz="18" w:space="0" w:color="FF3300"/>
            <w:left w:val="none" w:sz="0" w:space="0" w:color="auto"/>
            <w:bottom w:val="none" w:sz="0" w:space="0" w:color="auto"/>
            <w:right w:val="none" w:sz="0" w:space="0" w:color="auto"/>
          </w:divBdr>
          <w:divsChild>
            <w:div w:id="310596932">
              <w:marLeft w:val="0"/>
              <w:marRight w:val="0"/>
              <w:marTop w:val="0"/>
              <w:marBottom w:val="0"/>
              <w:divBdr>
                <w:top w:val="none" w:sz="0" w:space="0" w:color="auto"/>
                <w:left w:val="none" w:sz="0" w:space="0" w:color="auto"/>
                <w:bottom w:val="none" w:sz="0" w:space="0" w:color="auto"/>
                <w:right w:val="none" w:sz="0" w:space="0" w:color="auto"/>
              </w:divBdr>
              <w:divsChild>
                <w:div w:id="1073816879">
                  <w:marLeft w:val="0"/>
                  <w:marRight w:val="0"/>
                  <w:marTop w:val="0"/>
                  <w:marBottom w:val="0"/>
                  <w:divBdr>
                    <w:top w:val="none" w:sz="0" w:space="0" w:color="auto"/>
                    <w:left w:val="none" w:sz="0" w:space="0" w:color="auto"/>
                    <w:bottom w:val="none" w:sz="0" w:space="0" w:color="auto"/>
                    <w:right w:val="none" w:sz="0" w:space="0" w:color="auto"/>
                  </w:divBdr>
                  <w:divsChild>
                    <w:div w:id="1236090946">
                      <w:marLeft w:val="0"/>
                      <w:marRight w:val="-5040"/>
                      <w:marTop w:val="0"/>
                      <w:marBottom w:val="0"/>
                      <w:divBdr>
                        <w:top w:val="none" w:sz="0" w:space="0" w:color="auto"/>
                        <w:left w:val="none" w:sz="0" w:space="0" w:color="auto"/>
                        <w:bottom w:val="none" w:sz="0" w:space="0" w:color="auto"/>
                        <w:right w:val="none" w:sz="0" w:space="0" w:color="auto"/>
                      </w:divBdr>
                      <w:divsChild>
                        <w:div w:id="1754888873">
                          <w:marLeft w:val="0"/>
                          <w:marRight w:val="5265"/>
                          <w:marTop w:val="360"/>
                          <w:marBottom w:val="360"/>
                          <w:divBdr>
                            <w:top w:val="none" w:sz="0" w:space="0" w:color="auto"/>
                            <w:left w:val="none" w:sz="0" w:space="0" w:color="auto"/>
                            <w:bottom w:val="none" w:sz="0" w:space="0" w:color="auto"/>
                            <w:right w:val="none" w:sz="0" w:space="0" w:color="auto"/>
                          </w:divBdr>
                          <w:divsChild>
                            <w:div w:id="2087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100">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044060649">
      <w:bodyDiv w:val="1"/>
      <w:marLeft w:val="0"/>
      <w:marRight w:val="0"/>
      <w:marTop w:val="0"/>
      <w:marBottom w:val="0"/>
      <w:divBdr>
        <w:top w:val="none" w:sz="0" w:space="0" w:color="auto"/>
        <w:left w:val="none" w:sz="0" w:space="0" w:color="auto"/>
        <w:bottom w:val="none" w:sz="0" w:space="0" w:color="auto"/>
        <w:right w:val="none" w:sz="0" w:space="0" w:color="auto"/>
      </w:divBdr>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57303087">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347485735">
      <w:bodyDiv w:val="1"/>
      <w:marLeft w:val="0"/>
      <w:marRight w:val="0"/>
      <w:marTop w:val="0"/>
      <w:marBottom w:val="0"/>
      <w:divBdr>
        <w:top w:val="none" w:sz="0" w:space="0" w:color="auto"/>
        <w:left w:val="none" w:sz="0" w:space="0" w:color="auto"/>
        <w:bottom w:val="none" w:sz="0" w:space="0" w:color="auto"/>
        <w:right w:val="none" w:sz="0" w:space="0" w:color="auto"/>
      </w:divBdr>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530292326">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1494308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
          <w:marLeft w:val="1800"/>
          <w:marRight w:val="0"/>
          <w:marTop w:val="86"/>
          <w:marBottom w:val="0"/>
          <w:divBdr>
            <w:top w:val="none" w:sz="0" w:space="0" w:color="auto"/>
            <w:left w:val="none" w:sz="0" w:space="0" w:color="auto"/>
            <w:bottom w:val="none" w:sz="0" w:space="0" w:color="auto"/>
            <w:right w:val="none" w:sz="0" w:space="0" w:color="auto"/>
          </w:divBdr>
        </w:div>
        <w:div w:id="789740825">
          <w:marLeft w:val="1166"/>
          <w:marRight w:val="0"/>
          <w:marTop w:val="96"/>
          <w:marBottom w:val="0"/>
          <w:divBdr>
            <w:top w:val="none" w:sz="0" w:space="0" w:color="auto"/>
            <w:left w:val="none" w:sz="0" w:space="0" w:color="auto"/>
            <w:bottom w:val="none" w:sz="0" w:space="0" w:color="auto"/>
            <w:right w:val="none" w:sz="0" w:space="0" w:color="auto"/>
          </w:divBdr>
        </w:div>
        <w:div w:id="1746023710">
          <w:marLeft w:val="1800"/>
          <w:marRight w:val="0"/>
          <w:marTop w:val="86"/>
          <w:marBottom w:val="0"/>
          <w:divBdr>
            <w:top w:val="none" w:sz="0" w:space="0" w:color="auto"/>
            <w:left w:val="none" w:sz="0" w:space="0" w:color="auto"/>
            <w:bottom w:val="none" w:sz="0" w:space="0" w:color="auto"/>
            <w:right w:val="none" w:sz="0" w:space="0" w:color="auto"/>
          </w:divBdr>
        </w:div>
      </w:divsChild>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596081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document/d/1FecEviYjN_OSO-2KFg0kxMAVM-2vTI2x1EII_6lkN5s/edit" TargetMode="External"/><Relationship Id="rId18" Type="http://schemas.openxmlformats.org/officeDocument/2006/relationships/hyperlink" Target="http://www.cdc.gov/ophss/docs/cdc-surveillance-strategy-final.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ata.gov/" TargetMode="External"/><Relationship Id="rId7" Type="http://schemas.openxmlformats.org/officeDocument/2006/relationships/styles" Target="styles.xml"/><Relationship Id="rId12" Type="http://schemas.openxmlformats.org/officeDocument/2006/relationships/hyperlink" Target="http://c.ymcdn.com/sites/www.cste.org/resource/resmgr/2015PS/2015PSFinal/15-ID-03.pdf" TargetMode="External"/><Relationship Id="rId17" Type="http://schemas.openxmlformats.org/officeDocument/2006/relationships/hyperlink" Target="http://www.data.cdc.gov/" TargetMode="External"/><Relationship Id="rId25" Type="http://schemas.openxmlformats.org/officeDocument/2006/relationships/hyperlink" Target="http://www.cdc.gov/mmwr/mmwr_nd/index.html" TargetMode="External"/><Relationship Id="rId2" Type="http://schemas.openxmlformats.org/officeDocument/2006/relationships/customXml" Target="../customXml/item2.xml"/><Relationship Id="rId16" Type="http://schemas.openxmlformats.org/officeDocument/2006/relationships/hyperlink" Target="http://wonder.cdc.gov/" TargetMode="External"/><Relationship Id="rId20" Type="http://schemas.openxmlformats.org/officeDocument/2006/relationships/hyperlink" Target="https://data.cdc.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dc.gov/mmwr/mmwr_wk/wk_cvol.html" TargetMode="External"/><Relationship Id="rId5" Type="http://schemas.openxmlformats.org/officeDocument/2006/relationships/customXml" Target="../customXml/item5.xml"/><Relationship Id="rId15" Type="http://schemas.openxmlformats.org/officeDocument/2006/relationships/hyperlink" Target="http://outbreaknewstoday.com/naegleria-fowleri-petition-calls-for-mandatory-reporting-of-pam-at-the-national-level-22962/" TargetMode="External"/><Relationship Id="rId23" Type="http://schemas.openxmlformats.org/officeDocument/2006/relationships/hyperlink" Target="http://wonder.cdc.gov/mmwr/mmwrmorb.as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onder.cdc.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dc.gov/nndss/conditions/free-living-amebae-infections/case-definition/2012/" TargetMode="External"/><Relationship Id="rId22" Type="http://schemas.openxmlformats.org/officeDocument/2006/relationships/hyperlink" Target="http://www.bls.gov/oes/current/oes_nat.ht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A1E7C0B8AB245B58BE307B77780E6" ma:contentTypeVersion="3" ma:contentTypeDescription="Create a new document." ma:contentTypeScope="" ma:versionID="32997aac883c2f8b85a9f8439544ce7a">
  <xsd:schema xmlns:xsd="http://www.w3.org/2001/XMLSchema" xmlns:xs="http://www.w3.org/2001/XMLSchema" xmlns:p="http://schemas.microsoft.com/office/2006/metadata/properties" xmlns:ns2="61e0aa89-821a-4b43-b623-2509ea82b111" xmlns:ns3="c4ca108f-ff9f-4a79-98a0-a7e41c56f9a3" targetNamespace="http://schemas.microsoft.com/office/2006/metadata/properties" ma:root="true" ma:fieldsID="98c8b85f972f9ffad53918298cfad343" ns2:_="" ns3:_="">
    <xsd:import namespace="61e0aa89-821a-4b43-b623-2509ea82b111"/>
    <xsd:import namespace="c4ca108f-ff9f-4a79-98a0-a7e41c56f9a3"/>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ICR_x0020_Ref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ca108f-ff9f-4a79-98a0-a7e41c56f9a3" elementFormDefault="qualified">
    <xsd:import namespace="http://schemas.microsoft.com/office/2006/documentManagement/types"/>
    <xsd:import namespace="http://schemas.microsoft.com/office/infopath/2007/PartnerControls"/>
    <xsd:element name="Category" ma:index="11" nillable="true" ma:displayName="Category" ma:default="BioSense" ma:format="Dropdown" ma:internalName="Category">
      <xsd:simpleType>
        <xsd:restriction base="dms:Choice">
          <xsd:enumeration value="BioSense"/>
          <xsd:enumeration value="CDCP"/>
          <xsd:enumeration value="NNDSS"/>
          <xsd:enumeration value="PHIN"/>
          <xsd:enumeration value="Other"/>
        </xsd:restriction>
      </xsd:simpleType>
    </xsd:element>
    <xsd:element name="ICR_x0020_Ref_x0020_No_x002e_" ma:index="12" nillable="true" ma:displayName="ICR Ref No." ma:default="200909-0920-001" ma:format="Dropdown" ma:internalName="ICR_x0020_Ref_x0020_No_x002e_">
      <xsd:simpleType>
        <xsd:union memberTypes="dms:Text">
          <xsd:simpleType>
            <xsd:restriction base="dms:Choice">
              <xsd:enumeration value="200909-0920-001"/>
              <xsd:enumeration value="201208-0920-009"/>
              <xsd:enumeration value="201207-0920-013"/>
              <xsd:enumeration value="201311-0920-01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c4ca108f-ff9f-4a79-98a0-a7e41c56f9a3">NNDSS</Category>
    <ICR_x0020_Ref_x0020_No_x002e_ xmlns="c4ca108f-ff9f-4a79-98a0-a7e41c56f9a3">201311-0920-015</ICR_x0020_Ref_x0020_No_x002e_>
    <_dlc_DocId xmlns="61e0aa89-821a-4b43-b623-2509ea82b111">7DAU5SSH7P55-1844-38</_dlc_DocId>
    <_dlc_DocIdUrl xmlns="61e0aa89-821a-4b43-b623-2509ea82b111">
      <Url>https://esp.cdc.gov/sites/osels/PHSIPO/ADforScience/_layouts/DocIdRedir.aspx?ID=7DAU5SSH7P55-1844-38</Url>
      <Description>7DAU5SSH7P55-1844-38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9802-921D-4733-828F-8791F926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c4ca108f-ff9f-4a79-98a0-a7e41c56f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669FC-D9C2-41F1-8885-5BD6DD63E6AF}">
  <ds:schemaRefs>
    <ds:schemaRef ds:uri="http://purl.org/dc/dcmitype/"/>
    <ds:schemaRef ds:uri="http://schemas.microsoft.com/office/infopath/2007/PartnerControls"/>
    <ds:schemaRef ds:uri="http://purl.org/dc/terms/"/>
    <ds:schemaRef ds:uri="http://www.w3.org/XML/1998/namespace"/>
    <ds:schemaRef ds:uri="61e0aa89-821a-4b43-b623-2509ea82b111"/>
    <ds:schemaRef ds:uri="http://schemas.openxmlformats.org/package/2006/metadata/core-properties"/>
    <ds:schemaRef ds:uri="http://schemas.microsoft.com/office/2006/documentManagement/types"/>
    <ds:schemaRef ds:uri="http://purl.org/dc/elements/1.1/"/>
    <ds:schemaRef ds:uri="c4ca108f-ff9f-4a79-98a0-a7e41c56f9a3"/>
    <ds:schemaRef ds:uri="http://schemas.microsoft.com/office/2006/metadata/properties"/>
  </ds:schemaRefs>
</ds:datastoreItem>
</file>

<file path=customXml/itemProps3.xml><?xml version="1.0" encoding="utf-8"?>
<ds:datastoreItem xmlns:ds="http://schemas.openxmlformats.org/officeDocument/2006/customXml" ds:itemID="{9A369D83-C4AD-49A7-9687-606ACA533E64}">
  <ds:schemaRefs>
    <ds:schemaRef ds:uri="http://schemas.microsoft.com/sharepoint/v3/contenttype/forms"/>
  </ds:schemaRefs>
</ds:datastoreItem>
</file>

<file path=customXml/itemProps4.xml><?xml version="1.0" encoding="utf-8"?>
<ds:datastoreItem xmlns:ds="http://schemas.openxmlformats.org/officeDocument/2006/customXml" ds:itemID="{BB151332-0A1C-4DA6-9C5A-F603ABB5652F}">
  <ds:schemaRefs>
    <ds:schemaRef ds:uri="http://schemas.microsoft.com/sharepoint/events"/>
  </ds:schemaRefs>
</ds:datastoreItem>
</file>

<file path=customXml/itemProps5.xml><?xml version="1.0" encoding="utf-8"?>
<ds:datastoreItem xmlns:ds="http://schemas.openxmlformats.org/officeDocument/2006/customXml" ds:itemID="{5F1426F9-BE28-4998-83F7-31C3F3A5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4814</Words>
  <Characters>30301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35045</CharactersWithSpaces>
  <SharedDoc>false</SharedDoc>
  <HLinks>
    <vt:vector size="30" baseType="variant">
      <vt:variant>
        <vt:i4>7077908</vt:i4>
      </vt:variant>
      <vt:variant>
        <vt:i4>12</vt:i4>
      </vt:variant>
      <vt:variant>
        <vt:i4>0</vt:i4>
      </vt:variant>
      <vt:variant>
        <vt:i4>5</vt:i4>
      </vt:variant>
      <vt:variant>
        <vt:lpwstr>http://www.cdc.gov/mmwr/mmwr_nd/index.html</vt:lpwstr>
      </vt:variant>
      <vt:variant>
        <vt:lpwstr/>
      </vt:variant>
      <vt:variant>
        <vt:i4>1638492</vt:i4>
      </vt:variant>
      <vt:variant>
        <vt:i4>9</vt:i4>
      </vt:variant>
      <vt:variant>
        <vt:i4>0</vt:i4>
      </vt:variant>
      <vt:variant>
        <vt:i4>5</vt:i4>
      </vt:variant>
      <vt:variant>
        <vt:lpwstr>http://www.cdc.gov/mmwr/mmwr_wk/wk_cvol.html</vt:lpwstr>
      </vt:variant>
      <vt:variant>
        <vt:lpwstr/>
      </vt:variant>
      <vt:variant>
        <vt:i4>3407911</vt:i4>
      </vt:variant>
      <vt:variant>
        <vt:i4>6</vt:i4>
      </vt:variant>
      <vt:variant>
        <vt:i4>0</vt:i4>
      </vt:variant>
      <vt:variant>
        <vt:i4>5</vt:i4>
      </vt:variant>
      <vt:variant>
        <vt:lpwstr>http://wonder.cdc.gov/mmwr/mmwrmorb.asp</vt:lpwstr>
      </vt:variant>
      <vt:variant>
        <vt:lpwstr/>
      </vt:variant>
      <vt:variant>
        <vt:i4>3211379</vt:i4>
      </vt:variant>
      <vt:variant>
        <vt:i4>3</vt:i4>
      </vt:variant>
      <vt:variant>
        <vt:i4>0</vt:i4>
      </vt:variant>
      <vt:variant>
        <vt:i4>5</vt:i4>
      </vt:variant>
      <vt:variant>
        <vt:lpwstr>http://wonder.cdc.gov/std.html</vt:lpwstr>
      </vt:variant>
      <vt:variant>
        <vt:lpwstr/>
      </vt:variant>
      <vt:variant>
        <vt:i4>720994</vt:i4>
      </vt:variant>
      <vt:variant>
        <vt:i4>0</vt:i4>
      </vt:variant>
      <vt:variant>
        <vt:i4>0</vt:i4>
      </vt:variant>
      <vt:variant>
        <vt:i4>5</vt:i4>
      </vt:variant>
      <vt:variant>
        <vt:lpwstr>mailto:kxg7@cdc.gov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subject/>
  <dc:creator>CDC User</dc:creator>
  <cp:keywords/>
  <dc:description/>
  <cp:lastModifiedBy>Gadsden-Knowles, Kim (CDC/OPHSS/CSELS)</cp:lastModifiedBy>
  <cp:revision>3</cp:revision>
  <cp:lastPrinted>2015-09-10T12:30:00Z</cp:lastPrinted>
  <dcterms:created xsi:type="dcterms:W3CDTF">2016-01-21T20:41:00Z</dcterms:created>
  <dcterms:modified xsi:type="dcterms:W3CDTF">2016-01-21T20:43:00Z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0x010100BB0A1E7C0B8AB245B58BE307B77780E6</vt:lpwstr>
  </property>
  <property fmtid="{D5CDD505-2E9C-101B-9397-08002B2CF9AE}" pid="3" name="_dlc_DocIdItemGuid">
    <vt:lpwstr>066c21b7-451c-46dd-8329-04192ca712b9</vt:lpwstr>
  </property>
</Properties>
</file>