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4BFFD" w14:textId="77777777" w:rsidR="00F91AFA" w:rsidRDefault="00F91AFA" w:rsidP="00EF4659">
      <w:pPr>
        <w:pStyle w:val="Heading1"/>
        <w:tabs>
          <w:tab w:val="left" w:pos="1530"/>
        </w:tabs>
        <w:rPr>
          <w:rFonts w:eastAsia="Times New Roman"/>
        </w:rPr>
      </w:pPr>
      <w:r>
        <w:rPr>
          <w:rFonts w:eastAsia="Times New Roman"/>
        </w:rPr>
        <w:t>Definition of Terms</w:t>
      </w:r>
    </w:p>
    <w:p w14:paraId="0175FD8B" w14:textId="77777777" w:rsidR="00A84655" w:rsidRDefault="00A84655" w:rsidP="00F91AFA">
      <w:pPr>
        <w:pStyle w:val="Heading2"/>
        <w:rPr>
          <w:rFonts w:eastAsia="Times New Roman"/>
        </w:rPr>
      </w:pPr>
    </w:p>
    <w:p w14:paraId="268C6C8E" w14:textId="77777777" w:rsidR="00FE0883" w:rsidRDefault="00FE0883" w:rsidP="00F91AFA">
      <w:pPr>
        <w:pStyle w:val="Heading2"/>
        <w:rPr>
          <w:rFonts w:eastAsia="Times New Roman"/>
        </w:rPr>
      </w:pPr>
      <w:r>
        <w:rPr>
          <w:rFonts w:eastAsia="Times New Roman"/>
        </w:rPr>
        <w:t>Grant ID and Report Dates</w:t>
      </w:r>
    </w:p>
    <w:p w14:paraId="72E82D42" w14:textId="5B5DE402" w:rsidR="000F7946" w:rsidRDefault="000F7946" w:rsidP="00A84655">
      <w:pPr>
        <w:pStyle w:val="Heading2"/>
        <w:ind w:firstLine="90"/>
        <w:jc w:val="left"/>
        <w:rPr>
          <w:rFonts w:eastAsia="Times New Roman"/>
          <w:sz w:val="22"/>
          <w:szCs w:val="22"/>
        </w:rPr>
      </w:pPr>
      <w:r>
        <w:rPr>
          <w:rFonts w:eastAsia="Times New Roman"/>
          <w:sz w:val="22"/>
          <w:szCs w:val="22"/>
        </w:rPr>
        <w:t>Grantee Name</w:t>
      </w:r>
      <w:r w:rsidR="00EF4659">
        <w:rPr>
          <w:rFonts w:eastAsia="Times New Roman"/>
          <w:sz w:val="22"/>
          <w:szCs w:val="22"/>
        </w:rPr>
        <w:softHyphen/>
      </w:r>
      <w:r w:rsidR="00EF4659">
        <w:rPr>
          <w:rFonts w:eastAsia="Times New Roman"/>
          <w:sz w:val="22"/>
          <w:szCs w:val="22"/>
        </w:rPr>
        <w:softHyphen/>
      </w:r>
      <w:r w:rsidR="00EF4659" w:rsidRPr="00EF4659">
        <w:rPr>
          <w:rFonts w:eastAsia="Times New Roman"/>
          <w:b w:val="0"/>
          <w:sz w:val="22"/>
          <w:szCs w:val="22"/>
        </w:rPr>
        <w:t>—the name of the agency or organization that was awarded the grant</w:t>
      </w:r>
    </w:p>
    <w:p w14:paraId="742D39C2" w14:textId="77777777" w:rsidR="00FE0883" w:rsidRDefault="00A84655" w:rsidP="00A84655">
      <w:pPr>
        <w:pStyle w:val="Heading2"/>
        <w:ind w:firstLine="90"/>
        <w:jc w:val="left"/>
        <w:rPr>
          <w:rFonts w:eastAsia="Times New Roman"/>
          <w:b w:val="0"/>
          <w:sz w:val="22"/>
          <w:szCs w:val="22"/>
        </w:rPr>
      </w:pPr>
      <w:r w:rsidRPr="00A84655">
        <w:rPr>
          <w:rFonts w:eastAsia="Times New Roman"/>
          <w:sz w:val="22"/>
          <w:szCs w:val="22"/>
        </w:rPr>
        <w:t>Grant ID</w:t>
      </w:r>
      <w:r w:rsidRPr="00A84655">
        <w:rPr>
          <w:rFonts w:eastAsia="Times New Roman"/>
          <w:b w:val="0"/>
          <w:sz w:val="22"/>
          <w:szCs w:val="22"/>
        </w:rPr>
        <w:t xml:space="preserve">—the 8-digit ID </w:t>
      </w:r>
      <w:r>
        <w:rPr>
          <w:rFonts w:eastAsia="Times New Roman"/>
          <w:b w:val="0"/>
          <w:sz w:val="22"/>
          <w:szCs w:val="22"/>
        </w:rPr>
        <w:t>number assigned to each grantee</w:t>
      </w:r>
    </w:p>
    <w:p w14:paraId="060DB955" w14:textId="53A41BC7" w:rsidR="00A84655" w:rsidRDefault="00EF4659" w:rsidP="00A84655">
      <w:pPr>
        <w:pStyle w:val="Heading2"/>
        <w:ind w:left="90"/>
        <w:jc w:val="left"/>
        <w:rPr>
          <w:rFonts w:eastAsia="Times New Roman"/>
          <w:b w:val="0"/>
          <w:sz w:val="22"/>
          <w:szCs w:val="22"/>
        </w:rPr>
      </w:pPr>
      <w:r>
        <w:rPr>
          <w:rFonts w:eastAsia="Times New Roman"/>
          <w:sz w:val="22"/>
          <w:szCs w:val="22"/>
        </w:rPr>
        <w:t>Reporting period</w:t>
      </w:r>
      <w:r w:rsidR="00A84655">
        <w:rPr>
          <w:rFonts w:eastAsia="Times New Roman"/>
          <w:b w:val="0"/>
          <w:sz w:val="22"/>
          <w:szCs w:val="22"/>
        </w:rPr>
        <w:t xml:space="preserve">—the </w:t>
      </w:r>
      <w:r>
        <w:rPr>
          <w:rFonts w:eastAsia="Times New Roman"/>
          <w:b w:val="0"/>
          <w:sz w:val="22"/>
          <w:szCs w:val="22"/>
        </w:rPr>
        <w:t>grant</w:t>
      </w:r>
      <w:r w:rsidR="00772E41">
        <w:rPr>
          <w:rFonts w:eastAsia="Times New Roman"/>
          <w:b w:val="0"/>
          <w:sz w:val="22"/>
          <w:szCs w:val="22"/>
        </w:rPr>
        <w:t>’s</w:t>
      </w:r>
      <w:r>
        <w:rPr>
          <w:rFonts w:eastAsia="Times New Roman"/>
          <w:b w:val="0"/>
          <w:sz w:val="22"/>
          <w:szCs w:val="22"/>
        </w:rPr>
        <w:t xml:space="preserve"> start </w:t>
      </w:r>
      <w:r w:rsidR="00A84655">
        <w:rPr>
          <w:rFonts w:eastAsia="Times New Roman"/>
          <w:b w:val="0"/>
          <w:sz w:val="22"/>
          <w:szCs w:val="22"/>
        </w:rPr>
        <w:t>date (#6 on the Notice of Award form)</w:t>
      </w:r>
      <w:r>
        <w:rPr>
          <w:rFonts w:eastAsia="Times New Roman"/>
          <w:b w:val="0"/>
          <w:sz w:val="22"/>
          <w:szCs w:val="22"/>
        </w:rPr>
        <w:t xml:space="preserve"> </w:t>
      </w:r>
      <w:r w:rsidR="00772E41">
        <w:rPr>
          <w:rFonts w:eastAsia="Times New Roman"/>
          <w:b w:val="0"/>
          <w:sz w:val="22"/>
          <w:szCs w:val="22"/>
        </w:rPr>
        <w:t xml:space="preserve">through the </w:t>
      </w:r>
      <w:r>
        <w:rPr>
          <w:rFonts w:eastAsia="Times New Roman"/>
          <w:b w:val="0"/>
          <w:sz w:val="22"/>
          <w:szCs w:val="22"/>
        </w:rPr>
        <w:t>last date of the reporting period (</w:t>
      </w:r>
      <w:r w:rsidR="00772E41">
        <w:rPr>
          <w:rFonts w:eastAsia="Times New Roman"/>
          <w:b w:val="0"/>
          <w:sz w:val="22"/>
          <w:szCs w:val="22"/>
        </w:rPr>
        <w:t xml:space="preserve">the </w:t>
      </w:r>
      <w:r>
        <w:rPr>
          <w:rFonts w:eastAsia="Times New Roman"/>
          <w:b w:val="0"/>
          <w:sz w:val="22"/>
          <w:szCs w:val="22"/>
        </w:rPr>
        <w:t>format should be: mm/</w:t>
      </w:r>
      <w:proofErr w:type="spellStart"/>
      <w:r>
        <w:rPr>
          <w:rFonts w:eastAsia="Times New Roman"/>
          <w:b w:val="0"/>
          <w:sz w:val="22"/>
          <w:szCs w:val="22"/>
        </w:rPr>
        <w:t>dd</w:t>
      </w:r>
      <w:proofErr w:type="spellEnd"/>
      <w:r>
        <w:rPr>
          <w:rFonts w:eastAsia="Times New Roman"/>
          <w:b w:val="0"/>
          <w:sz w:val="22"/>
          <w:szCs w:val="22"/>
        </w:rPr>
        <w:t>/</w:t>
      </w:r>
      <w:proofErr w:type="spellStart"/>
      <w:r>
        <w:rPr>
          <w:rFonts w:eastAsia="Times New Roman"/>
          <w:b w:val="0"/>
          <w:sz w:val="22"/>
          <w:szCs w:val="22"/>
        </w:rPr>
        <w:t>yyyy</w:t>
      </w:r>
      <w:proofErr w:type="spellEnd"/>
      <w:r>
        <w:rPr>
          <w:rFonts w:eastAsia="Times New Roman"/>
          <w:b w:val="0"/>
          <w:sz w:val="22"/>
          <w:szCs w:val="22"/>
        </w:rPr>
        <w:t xml:space="preserve"> – mm/</w:t>
      </w:r>
      <w:proofErr w:type="spellStart"/>
      <w:r>
        <w:rPr>
          <w:rFonts w:eastAsia="Times New Roman"/>
          <w:b w:val="0"/>
          <w:sz w:val="22"/>
          <w:szCs w:val="22"/>
        </w:rPr>
        <w:t>dd</w:t>
      </w:r>
      <w:proofErr w:type="spellEnd"/>
      <w:r>
        <w:rPr>
          <w:rFonts w:eastAsia="Times New Roman"/>
          <w:b w:val="0"/>
          <w:sz w:val="22"/>
          <w:szCs w:val="22"/>
        </w:rPr>
        <w:t>/</w:t>
      </w:r>
      <w:proofErr w:type="spellStart"/>
      <w:r>
        <w:rPr>
          <w:rFonts w:eastAsia="Times New Roman"/>
          <w:b w:val="0"/>
          <w:sz w:val="22"/>
          <w:szCs w:val="22"/>
        </w:rPr>
        <w:t>yyyy</w:t>
      </w:r>
      <w:proofErr w:type="spellEnd"/>
      <w:r>
        <w:rPr>
          <w:rFonts w:eastAsia="Times New Roman"/>
          <w:b w:val="0"/>
          <w:sz w:val="22"/>
          <w:szCs w:val="22"/>
        </w:rPr>
        <w:t>)</w:t>
      </w:r>
    </w:p>
    <w:p w14:paraId="578BB8AF" w14:textId="1938D842" w:rsidR="00A84655" w:rsidRPr="00A84655" w:rsidRDefault="00EF4659" w:rsidP="00A84655">
      <w:pPr>
        <w:pStyle w:val="Heading2"/>
        <w:ind w:left="90"/>
        <w:jc w:val="left"/>
        <w:rPr>
          <w:rFonts w:eastAsia="Times New Roman"/>
          <w:sz w:val="22"/>
          <w:szCs w:val="22"/>
        </w:rPr>
      </w:pPr>
      <w:r>
        <w:rPr>
          <w:rFonts w:eastAsia="Times New Roman"/>
          <w:sz w:val="22"/>
          <w:szCs w:val="22"/>
        </w:rPr>
        <w:t>Report submission</w:t>
      </w:r>
      <w:r w:rsidR="00A84655">
        <w:rPr>
          <w:rFonts w:eastAsia="Times New Roman"/>
          <w:sz w:val="22"/>
          <w:szCs w:val="22"/>
        </w:rPr>
        <w:t xml:space="preserve"> date</w:t>
      </w:r>
      <w:r w:rsidR="00A84655" w:rsidRPr="00A84655">
        <w:rPr>
          <w:rFonts w:eastAsia="Times New Roman"/>
          <w:b w:val="0"/>
          <w:sz w:val="22"/>
          <w:szCs w:val="22"/>
        </w:rPr>
        <w:t xml:space="preserve">—the </w:t>
      </w:r>
      <w:r>
        <w:rPr>
          <w:rFonts w:eastAsia="Times New Roman"/>
          <w:b w:val="0"/>
          <w:sz w:val="22"/>
          <w:szCs w:val="22"/>
        </w:rPr>
        <w:t xml:space="preserve">date the report was uploaded to </w:t>
      </w:r>
      <w:proofErr w:type="spellStart"/>
      <w:r>
        <w:rPr>
          <w:rFonts w:eastAsia="Times New Roman"/>
          <w:b w:val="0"/>
          <w:sz w:val="22"/>
          <w:szCs w:val="22"/>
        </w:rPr>
        <w:t>GrantSolutions</w:t>
      </w:r>
      <w:proofErr w:type="spellEnd"/>
      <w:r w:rsidR="00A84655">
        <w:rPr>
          <w:rFonts w:eastAsia="Times New Roman"/>
          <w:sz w:val="22"/>
          <w:szCs w:val="22"/>
        </w:rPr>
        <w:t xml:space="preserve"> </w:t>
      </w:r>
    </w:p>
    <w:p w14:paraId="2639045E" w14:textId="77777777" w:rsidR="00A84655" w:rsidRDefault="00A84655" w:rsidP="00F91AFA">
      <w:pPr>
        <w:pStyle w:val="Heading2"/>
        <w:rPr>
          <w:rFonts w:eastAsia="Times New Roman"/>
        </w:rPr>
      </w:pPr>
    </w:p>
    <w:p w14:paraId="7469481C" w14:textId="77777777" w:rsidR="00F91AFA" w:rsidRDefault="00F91AFA" w:rsidP="00F91AFA">
      <w:pPr>
        <w:pStyle w:val="Heading2"/>
        <w:rPr>
          <w:rFonts w:eastAsia="Times New Roman"/>
          <w:b w:val="0"/>
          <w:bCs w:val="0"/>
        </w:rPr>
      </w:pPr>
      <w:r>
        <w:rPr>
          <w:rFonts w:eastAsia="Times New Roman"/>
        </w:rPr>
        <w:t>Person with Dementia and Caregiver Characteristics</w:t>
      </w:r>
    </w:p>
    <w:p w14:paraId="060062B2" w14:textId="77777777" w:rsidR="00F91AFA" w:rsidRDefault="00F91AFA" w:rsidP="00F91AFA">
      <w:pPr>
        <w:pStyle w:val="BodyText"/>
      </w:pPr>
      <w:r>
        <w:t>Respondents should ideally be given the opportunity for self-identification and are to be allowed</w:t>
      </w:r>
      <w:r>
        <w:rPr>
          <w:spacing w:val="109"/>
        </w:rPr>
        <w:t xml:space="preserve"> </w:t>
      </w:r>
      <w:r>
        <w:t>to designate all categories that apply to them.</w:t>
      </w:r>
    </w:p>
    <w:p w14:paraId="57D6F857" w14:textId="77777777" w:rsidR="00F91AFA" w:rsidRDefault="00F91AFA" w:rsidP="00F91AFA">
      <w:pPr>
        <w:pStyle w:val="Heading3"/>
        <w:rPr>
          <w:rFonts w:eastAsia="Times New Roman"/>
        </w:rPr>
      </w:pPr>
      <w:r>
        <w:rPr>
          <w:rFonts w:eastAsia="Times New Roman"/>
        </w:rPr>
        <w:t>Program Participants</w:t>
      </w:r>
    </w:p>
    <w:p w14:paraId="63684BD2" w14:textId="548DE897" w:rsidR="00ED7699" w:rsidRPr="00ED7699" w:rsidRDefault="00ED7699" w:rsidP="00F91AFA">
      <w:pPr>
        <w:pStyle w:val="Heading3"/>
        <w:rPr>
          <w:rFonts w:eastAsia="Times New Roman"/>
          <w:b w:val="0"/>
        </w:rPr>
      </w:pPr>
      <w:r>
        <w:rPr>
          <w:rFonts w:eastAsia="Times New Roman"/>
          <w:b w:val="0"/>
        </w:rPr>
        <w:t>The number of participants reported should be unduplicated. For example, a caregiver who receives three types of direct service should be counted as one participant, not three.</w:t>
      </w:r>
    </w:p>
    <w:p w14:paraId="6D020BDA" w14:textId="66E4812D" w:rsidR="00F91AFA" w:rsidRDefault="00F91AFA" w:rsidP="00F91AFA">
      <w:pPr>
        <w:pStyle w:val="BodyText"/>
      </w:pPr>
      <w:proofErr w:type="gramStart"/>
      <w:r>
        <w:rPr>
          <w:b/>
          <w:bCs/>
        </w:rPr>
        <w:t>Person with Dementia</w:t>
      </w:r>
      <w:r w:rsidRPr="00772E41">
        <w:rPr>
          <w:bCs/>
        </w:rPr>
        <w:t>—</w:t>
      </w:r>
      <w:r>
        <w:t>a person with diagnosed or undiagnosed Alzheimer’s disease or a</w:t>
      </w:r>
      <w:r>
        <w:rPr>
          <w:spacing w:val="105"/>
        </w:rPr>
        <w:t xml:space="preserve"> </w:t>
      </w:r>
      <w:r>
        <w:t>related dementia.</w:t>
      </w:r>
      <w:proofErr w:type="gramEnd"/>
      <w:r>
        <w:t xml:space="preserve"> Related dementias include</w:t>
      </w:r>
      <w:r w:rsidR="004F5972">
        <w:t>, but are not limited to</w:t>
      </w:r>
      <w:r>
        <w:t xml:space="preserve">: Vascular Dementia, </w:t>
      </w:r>
      <w:proofErr w:type="spellStart"/>
      <w:r>
        <w:t>Lewy</w:t>
      </w:r>
      <w:proofErr w:type="spellEnd"/>
      <w:r>
        <w:t xml:space="preserve"> Body Dementia,</w:t>
      </w:r>
      <w:r>
        <w:rPr>
          <w:spacing w:val="117"/>
        </w:rPr>
        <w:t xml:space="preserve"> </w:t>
      </w:r>
      <w:proofErr w:type="spellStart"/>
      <w:r>
        <w:t>Frontotemporal</w:t>
      </w:r>
      <w:proofErr w:type="spellEnd"/>
      <w:r>
        <w:t xml:space="preserve"> Dementia, Parkinson’s disease, Normal Pressure Hydrocephalus and</w:t>
      </w:r>
      <w:r>
        <w:rPr>
          <w:spacing w:val="97"/>
        </w:rPr>
        <w:t xml:space="preserve"> </w:t>
      </w:r>
      <w:r>
        <w:t>Creutzfeldt-Jakob disease.</w:t>
      </w:r>
    </w:p>
    <w:p w14:paraId="028D99C5" w14:textId="3F7A0709" w:rsidR="00F91AFA" w:rsidRDefault="00F91AFA" w:rsidP="00F91AFA">
      <w:pPr>
        <w:pStyle w:val="BodyText"/>
      </w:pPr>
      <w:r>
        <w:rPr>
          <w:b/>
          <w:bCs/>
        </w:rPr>
        <w:t>Caregiver</w:t>
      </w:r>
      <w:r w:rsidRPr="00772E41">
        <w:rPr>
          <w:bCs/>
        </w:rPr>
        <w:t>—</w:t>
      </w:r>
      <w:r w:rsidR="002623D1" w:rsidRPr="002623D1">
        <w:rPr>
          <w:color w:val="000000"/>
        </w:rPr>
        <w:t xml:space="preserve"> </w:t>
      </w:r>
      <w:r w:rsidR="002623D1">
        <w:rPr>
          <w:color w:val="000000"/>
        </w:rPr>
        <w:t xml:space="preserve">any relative, partner, friend or neighbor who has a significant personal relationship with, and provides a broad range of assistance for, </w:t>
      </w:r>
      <w:r w:rsidR="00E712E7">
        <w:rPr>
          <w:color w:val="000000"/>
        </w:rPr>
        <w:t>a person with dementia</w:t>
      </w:r>
      <w:r w:rsidR="002623D1">
        <w:rPr>
          <w:color w:val="000000"/>
        </w:rPr>
        <w:t>.  These individuals may be primary or secondary caregivers and live with, or separately from, the person receiving care.</w:t>
      </w:r>
      <w:r w:rsidR="00AC3446">
        <w:rPr>
          <w:bCs/>
        </w:rPr>
        <w:t xml:space="preserve"> </w:t>
      </w:r>
      <w:r>
        <w:t>This</w:t>
      </w:r>
      <w:r w:rsidR="00117220">
        <w:rPr>
          <w:spacing w:val="93"/>
        </w:rPr>
        <w:t xml:space="preserve"> </w:t>
      </w:r>
      <w:r>
        <w:t>definition refers to informal caregivers, rather than formal caregivers,</w:t>
      </w:r>
      <w:r>
        <w:rPr>
          <w:spacing w:val="113"/>
        </w:rPr>
        <w:t xml:space="preserve"> </w:t>
      </w:r>
      <w:r>
        <w:t>such</w:t>
      </w:r>
      <w:r>
        <w:rPr>
          <w:spacing w:val="-2"/>
        </w:rPr>
        <w:t xml:space="preserve"> </w:t>
      </w:r>
      <w:r>
        <w:t xml:space="preserve">as paid healthcare professionals. In states with consumer direction, </w:t>
      </w:r>
      <w:r w:rsidR="00AC3446">
        <w:t xml:space="preserve">an </w:t>
      </w:r>
      <w:r>
        <w:t>informal caregiver may also be a paid caregiver.</w:t>
      </w:r>
    </w:p>
    <w:p w14:paraId="0D50B984" w14:textId="77777777" w:rsidR="00F91AFA" w:rsidRDefault="00F91AFA" w:rsidP="00F91AFA">
      <w:pPr>
        <w:pStyle w:val="Heading3"/>
        <w:spacing w:before="43"/>
        <w:ind w:left="120"/>
        <w:rPr>
          <w:rFonts w:eastAsia="Times New Roman"/>
          <w:b w:val="0"/>
          <w:bCs w:val="0"/>
        </w:rPr>
      </w:pPr>
      <w:r>
        <w:rPr>
          <w:rFonts w:eastAsia="Times New Roman"/>
          <w:spacing w:val="-1"/>
        </w:rPr>
        <w:t>Age</w:t>
      </w:r>
    </w:p>
    <w:p w14:paraId="6CE9B11A" w14:textId="77777777" w:rsidR="00F91AFA" w:rsidRDefault="00F91AFA" w:rsidP="00F91AFA">
      <w:pPr>
        <w:pStyle w:val="ListBullet"/>
      </w:pPr>
      <w:r>
        <w:t>Under</w:t>
      </w:r>
      <w:r>
        <w:rPr>
          <w:spacing w:val="-1"/>
        </w:rPr>
        <w:t xml:space="preserve"> </w:t>
      </w:r>
      <w:r>
        <w:t>60</w:t>
      </w:r>
    </w:p>
    <w:p w14:paraId="5C3C3376" w14:textId="77777777" w:rsidR="00F91AFA" w:rsidRDefault="00F91AFA" w:rsidP="00F91AFA">
      <w:pPr>
        <w:pStyle w:val="ListBullet"/>
      </w:pPr>
      <w:r>
        <w:t>60+</w:t>
      </w:r>
    </w:p>
    <w:p w14:paraId="0C8F1EB2" w14:textId="77777777" w:rsidR="00F91AFA" w:rsidRDefault="00F91AFA" w:rsidP="00F91AFA">
      <w:pPr>
        <w:pStyle w:val="ListBullet"/>
      </w:pPr>
      <w:r>
        <w:t xml:space="preserve">Age Missing: includes missing data and age not specified by participant </w:t>
      </w:r>
    </w:p>
    <w:p w14:paraId="69994A8F" w14:textId="77777777" w:rsidR="00F91AFA" w:rsidRDefault="00F91AFA" w:rsidP="00F91AFA">
      <w:pPr>
        <w:pStyle w:val="Heading3"/>
        <w:ind w:left="120"/>
        <w:rPr>
          <w:rFonts w:eastAsia="Times New Roman"/>
          <w:b w:val="0"/>
          <w:bCs w:val="0"/>
        </w:rPr>
      </w:pPr>
      <w:r>
        <w:rPr>
          <w:rFonts w:eastAsia="Times New Roman"/>
          <w:spacing w:val="-1"/>
        </w:rPr>
        <w:t>Gender</w:t>
      </w:r>
    </w:p>
    <w:p w14:paraId="38CE3D1F" w14:textId="77777777" w:rsidR="00F91AFA" w:rsidRDefault="00F91AFA" w:rsidP="00F91AFA">
      <w:pPr>
        <w:pStyle w:val="ListBullet"/>
      </w:pPr>
      <w:r>
        <w:t>Female</w:t>
      </w:r>
    </w:p>
    <w:p w14:paraId="5B0B9AB0" w14:textId="77777777" w:rsidR="00F91AFA" w:rsidRDefault="00F91AFA" w:rsidP="00F91AFA">
      <w:pPr>
        <w:pStyle w:val="ListBullet"/>
      </w:pPr>
      <w:r>
        <w:t>Male</w:t>
      </w:r>
    </w:p>
    <w:p w14:paraId="673A3644" w14:textId="77777777" w:rsidR="00F91AFA" w:rsidRDefault="00F91AFA" w:rsidP="00F91AFA">
      <w:pPr>
        <w:pStyle w:val="ListBullet"/>
      </w:pPr>
      <w:r>
        <w:t>Gender Missing: Includes missing data and gender not specified by participant</w:t>
      </w:r>
    </w:p>
    <w:p w14:paraId="3F40B0DC" w14:textId="77777777" w:rsidR="00F91AFA" w:rsidRDefault="00F91AFA" w:rsidP="00F91AFA">
      <w:pPr>
        <w:pStyle w:val="Heading3"/>
        <w:rPr>
          <w:rFonts w:eastAsia="Times New Roman"/>
          <w:b w:val="0"/>
          <w:bCs w:val="0"/>
        </w:rPr>
      </w:pPr>
      <w:r>
        <w:rPr>
          <w:rFonts w:eastAsia="Times New Roman"/>
          <w:spacing w:val="-1"/>
        </w:rPr>
        <w:lastRenderedPageBreak/>
        <w:t>Geographic</w:t>
      </w:r>
      <w:r>
        <w:rPr>
          <w:rFonts w:eastAsia="Times New Roman"/>
        </w:rPr>
        <w:t xml:space="preserve"> </w:t>
      </w:r>
      <w:r>
        <w:rPr>
          <w:rFonts w:eastAsia="Times New Roman"/>
          <w:spacing w:val="-1"/>
        </w:rPr>
        <w:t>Location</w:t>
      </w:r>
    </w:p>
    <w:p w14:paraId="2FCDBFD0" w14:textId="77777777" w:rsidR="00F91AFA" w:rsidRDefault="00F91AFA" w:rsidP="00F91AFA">
      <w:pPr>
        <w:pStyle w:val="ListBullet"/>
      </w:pPr>
      <w:r>
        <w:t>Urban—a central place</w:t>
      </w:r>
      <w:r>
        <w:rPr>
          <w:spacing w:val="-2"/>
        </w:rPr>
        <w:t xml:space="preserve"> </w:t>
      </w:r>
      <w:r>
        <w:t>and its adjacent densely settled territories with a combined</w:t>
      </w:r>
      <w:r>
        <w:rPr>
          <w:spacing w:val="87"/>
        </w:rPr>
        <w:t xml:space="preserve"> </w:t>
      </w:r>
      <w:r>
        <w:t>minimum population of 50,000</w:t>
      </w:r>
    </w:p>
    <w:p w14:paraId="03446AE1" w14:textId="77777777" w:rsidR="00F91AFA" w:rsidRDefault="00F91AFA" w:rsidP="00F91AFA">
      <w:pPr>
        <w:pStyle w:val="ListBullet"/>
      </w:pPr>
      <w:r>
        <w:t>Rural—not urban</w:t>
      </w:r>
    </w:p>
    <w:p w14:paraId="72C4E4D2" w14:textId="77777777" w:rsidR="00F91AFA" w:rsidRDefault="00F91AFA" w:rsidP="00F91AFA">
      <w:pPr>
        <w:pStyle w:val="ListBullet"/>
      </w:pPr>
      <w:r>
        <w:t>Geographic Location Missing: includes missing data and geographic location not specified by participant</w:t>
      </w:r>
    </w:p>
    <w:p w14:paraId="068B3725" w14:textId="77777777" w:rsidR="00F91AFA" w:rsidRDefault="00F91AFA" w:rsidP="00F91AFA">
      <w:pPr>
        <w:pStyle w:val="Heading3"/>
        <w:rPr>
          <w:rFonts w:eastAsia="Times New Roman"/>
          <w:b w:val="0"/>
          <w:bCs w:val="0"/>
        </w:rPr>
      </w:pPr>
      <w:r>
        <w:rPr>
          <w:rFonts w:eastAsia="Times New Roman"/>
        </w:rPr>
        <w:t>Race</w:t>
      </w:r>
      <w:r>
        <w:rPr>
          <w:rFonts w:eastAsia="Times New Roman"/>
          <w:spacing w:val="-1"/>
        </w:rPr>
        <w:t xml:space="preserve"> </w:t>
      </w:r>
    </w:p>
    <w:p w14:paraId="25CF2B62" w14:textId="77777777" w:rsidR="00F91AFA" w:rsidRDefault="00F91AFA" w:rsidP="00F91AFA">
      <w:pPr>
        <w:pStyle w:val="BodyText"/>
      </w:pPr>
      <w:r>
        <w:t>Reminder: Respondents should ideally be given the opportunity for self-identification and are to</w:t>
      </w:r>
      <w:r>
        <w:rPr>
          <w:spacing w:val="111"/>
        </w:rPr>
        <w:t xml:space="preserve"> </w:t>
      </w:r>
      <w:r>
        <w:t>be allowed to designate all categories that apply to them.</w:t>
      </w:r>
    </w:p>
    <w:p w14:paraId="17C01723" w14:textId="77777777" w:rsidR="00F91AFA" w:rsidRDefault="00F91AFA" w:rsidP="00F91AFA">
      <w:pPr>
        <w:pStyle w:val="ListBullet"/>
      </w:pPr>
      <w:r>
        <w:t>White–Non-Hispanic</w:t>
      </w:r>
    </w:p>
    <w:p w14:paraId="3F444699" w14:textId="77777777" w:rsidR="00F91AFA" w:rsidRDefault="00F91AFA" w:rsidP="00F91AFA">
      <w:pPr>
        <w:pStyle w:val="ListBullet"/>
      </w:pPr>
      <w:r>
        <w:t>White–Hispanic</w:t>
      </w:r>
    </w:p>
    <w:p w14:paraId="39552DDB" w14:textId="77777777" w:rsidR="00F91AFA" w:rsidRDefault="00F91AFA" w:rsidP="00F91AFA">
      <w:pPr>
        <w:pStyle w:val="ListBullet"/>
      </w:pPr>
      <w:r>
        <w:t>American Indian or Alaskan Native</w:t>
      </w:r>
    </w:p>
    <w:p w14:paraId="13CCEEF9" w14:textId="77777777" w:rsidR="00F91AFA" w:rsidRDefault="00F91AFA" w:rsidP="00F91AFA">
      <w:pPr>
        <w:pStyle w:val="ListBullet"/>
      </w:pPr>
      <w:r>
        <w:t>Asian</w:t>
      </w:r>
    </w:p>
    <w:p w14:paraId="37F873B7" w14:textId="77777777" w:rsidR="00F91AFA" w:rsidRDefault="00F91AFA" w:rsidP="00F91AFA">
      <w:pPr>
        <w:pStyle w:val="ListBullet"/>
      </w:pPr>
      <w:r>
        <w:t>Black or African American</w:t>
      </w:r>
    </w:p>
    <w:p w14:paraId="517C023B" w14:textId="77777777" w:rsidR="00F91AFA" w:rsidRDefault="00F91AFA" w:rsidP="00F91AFA">
      <w:pPr>
        <w:pStyle w:val="ListBullet"/>
      </w:pPr>
      <w:r>
        <w:t>Native Hawaiian or Other Pacific Islander</w:t>
      </w:r>
    </w:p>
    <w:p w14:paraId="1D6E679B" w14:textId="77777777" w:rsidR="00F91AFA" w:rsidRDefault="00F91AFA" w:rsidP="00F91AFA">
      <w:pPr>
        <w:pStyle w:val="ListBullet"/>
      </w:pPr>
      <w:r>
        <w:t>Persons Reporting Some Other Race</w:t>
      </w:r>
    </w:p>
    <w:p w14:paraId="2F895471" w14:textId="77777777" w:rsidR="00F91AFA" w:rsidRDefault="00F91AFA" w:rsidP="00F91AFA">
      <w:pPr>
        <w:pStyle w:val="ListBullet"/>
      </w:pPr>
      <w:r>
        <w:t>Persons Reporting 2 or More Races</w:t>
      </w:r>
    </w:p>
    <w:p w14:paraId="42793031" w14:textId="77777777" w:rsidR="00F91AFA" w:rsidRDefault="00F91AFA" w:rsidP="00F91AFA">
      <w:pPr>
        <w:pStyle w:val="ListBullet"/>
      </w:pPr>
      <w:r>
        <w:t>Race Missing: Includes missing data and race not specified by participant</w:t>
      </w:r>
    </w:p>
    <w:p w14:paraId="3E3AAA08" w14:textId="77777777" w:rsidR="00F91AFA" w:rsidRDefault="00F91AFA" w:rsidP="00F91AFA">
      <w:pPr>
        <w:pStyle w:val="BodyText2"/>
      </w:pPr>
      <w:r>
        <w:rPr>
          <w:b/>
          <w:bCs/>
        </w:rPr>
        <w:t>White</w:t>
      </w:r>
      <w:r>
        <w:t>—a person having origins in</w:t>
      </w:r>
      <w:r>
        <w:rPr>
          <w:spacing w:val="-2"/>
        </w:rPr>
        <w:t xml:space="preserve"> </w:t>
      </w:r>
      <w:r>
        <w:t>any of the peoples of Europe, the Middle East, or North</w:t>
      </w:r>
      <w:r>
        <w:rPr>
          <w:spacing w:val="75"/>
        </w:rPr>
        <w:t xml:space="preserve"> </w:t>
      </w:r>
      <w:r>
        <w:t>Africa.</w:t>
      </w:r>
    </w:p>
    <w:p w14:paraId="6B99D3C3" w14:textId="77777777" w:rsidR="00F91AFA" w:rsidRDefault="00F91AFA" w:rsidP="00F91AFA">
      <w:pPr>
        <w:pStyle w:val="BodyText2"/>
      </w:pPr>
      <w:r>
        <w:rPr>
          <w:b/>
          <w:bCs/>
        </w:rPr>
        <w:t>American Indian or Alaskan Native</w:t>
      </w:r>
      <w:r>
        <w:t>—a person having origins in any of the original</w:t>
      </w:r>
      <w:r>
        <w:rPr>
          <w:spacing w:val="83"/>
        </w:rPr>
        <w:t xml:space="preserve"> </w:t>
      </w:r>
      <w:r>
        <w:t>peoples of North America (including Central America), and who maintains tribal affiliation or</w:t>
      </w:r>
      <w:r>
        <w:rPr>
          <w:spacing w:val="99"/>
        </w:rPr>
        <w:t xml:space="preserve"> </w:t>
      </w:r>
      <w:r>
        <w:t>community attachment.</w:t>
      </w:r>
    </w:p>
    <w:p w14:paraId="075DDE66" w14:textId="77777777" w:rsidR="00F91AFA" w:rsidRDefault="00F91AFA" w:rsidP="00F91AFA">
      <w:pPr>
        <w:pStyle w:val="BodyText2"/>
      </w:pPr>
      <w:r>
        <w:rPr>
          <w:b/>
          <w:bCs/>
        </w:rPr>
        <w:t>Asian</w:t>
      </w:r>
      <w:r>
        <w:t>—a person having origins in</w:t>
      </w:r>
      <w:r>
        <w:rPr>
          <w:spacing w:val="-2"/>
        </w:rPr>
        <w:t xml:space="preserve"> </w:t>
      </w:r>
      <w:r>
        <w:t>any of the original peoples of the Far East, Southeast</w:t>
      </w:r>
      <w:r>
        <w:rPr>
          <w:spacing w:val="83"/>
        </w:rPr>
        <w:t xml:space="preserve"> </w:t>
      </w:r>
      <w:r>
        <w:t>Asia or the Indian subcontinent including: Cambodia, China, India, Japan, Korea, Malaysia,</w:t>
      </w:r>
      <w:r>
        <w:rPr>
          <w:spacing w:val="119"/>
        </w:rPr>
        <w:t xml:space="preserve"> </w:t>
      </w:r>
      <w:r>
        <w:t>Pakistan, the Philippine Islands, Thailand,</w:t>
      </w:r>
      <w:r>
        <w:rPr>
          <w:spacing w:val="-2"/>
        </w:rPr>
        <w:t xml:space="preserve"> </w:t>
      </w:r>
      <w:r>
        <w:t>and Vietnam.</w:t>
      </w:r>
    </w:p>
    <w:p w14:paraId="37299A97" w14:textId="77777777" w:rsidR="00F91AFA" w:rsidRDefault="00F91AFA" w:rsidP="00F91AFA">
      <w:pPr>
        <w:pStyle w:val="BodyText2"/>
      </w:pPr>
      <w:proofErr w:type="gramStart"/>
      <w:r>
        <w:rPr>
          <w:b/>
          <w:bCs/>
        </w:rPr>
        <w:t>Black or African American</w:t>
      </w:r>
      <w:r>
        <w:t>—a person having</w:t>
      </w:r>
      <w:r>
        <w:rPr>
          <w:spacing w:val="-2"/>
        </w:rPr>
        <w:t xml:space="preserve"> </w:t>
      </w:r>
      <w:r>
        <w:t>origins in any of the black racial groups of</w:t>
      </w:r>
      <w:r>
        <w:rPr>
          <w:spacing w:val="85"/>
        </w:rPr>
        <w:t xml:space="preserve"> </w:t>
      </w:r>
      <w:r>
        <w:t>Africa.</w:t>
      </w:r>
      <w:proofErr w:type="gramEnd"/>
    </w:p>
    <w:p w14:paraId="521C5AC9" w14:textId="77777777" w:rsidR="00F91AFA" w:rsidRDefault="00F91AFA" w:rsidP="00F91AFA">
      <w:pPr>
        <w:pStyle w:val="BodyText2"/>
      </w:pPr>
      <w:proofErr w:type="gramStart"/>
      <w:r>
        <w:rPr>
          <w:b/>
          <w:bCs/>
        </w:rPr>
        <w:t>Native Hawaiian or Other Pacific Islander</w:t>
      </w:r>
      <w:r>
        <w:t>—a person having</w:t>
      </w:r>
      <w:r>
        <w:rPr>
          <w:spacing w:val="-2"/>
        </w:rPr>
        <w:t xml:space="preserve"> </w:t>
      </w:r>
      <w:r>
        <w:t>origins in any of the original</w:t>
      </w:r>
      <w:r>
        <w:rPr>
          <w:spacing w:val="101"/>
        </w:rPr>
        <w:t xml:space="preserve"> </w:t>
      </w:r>
      <w:r>
        <w:t>peoples of Hawaii, Guam, Samoa, or other Pacific Islands.</w:t>
      </w:r>
      <w:proofErr w:type="gramEnd"/>
    </w:p>
    <w:p w14:paraId="24D3B93F" w14:textId="77777777" w:rsidR="00F91AFA" w:rsidRDefault="00F91AFA" w:rsidP="00F91AFA">
      <w:pPr>
        <w:pStyle w:val="Heading3"/>
        <w:rPr>
          <w:rFonts w:eastAsia="Times New Roman"/>
          <w:b w:val="0"/>
          <w:bCs w:val="0"/>
        </w:rPr>
      </w:pPr>
      <w:r>
        <w:rPr>
          <w:rFonts w:eastAsia="Times New Roman"/>
        </w:rPr>
        <w:t>Veteran Status</w:t>
      </w:r>
    </w:p>
    <w:p w14:paraId="697672C3" w14:textId="77777777" w:rsidR="00F91AFA" w:rsidRDefault="00F91AFA" w:rsidP="00F91AFA">
      <w:pPr>
        <w:pStyle w:val="BodyText"/>
      </w:pPr>
      <w:r>
        <w:t>A veteran is an individual who is a former member of the US Armed Forces.</w:t>
      </w:r>
    </w:p>
    <w:p w14:paraId="001D8A9F" w14:textId="77777777" w:rsidR="00F91AFA" w:rsidRDefault="00F91AFA" w:rsidP="00F91AFA">
      <w:pPr>
        <w:pStyle w:val="ListBullet"/>
      </w:pPr>
      <w:r>
        <w:t>Veteran</w:t>
      </w:r>
    </w:p>
    <w:p w14:paraId="085B98D5" w14:textId="77777777" w:rsidR="00F91AFA" w:rsidRDefault="00F91AFA" w:rsidP="00F91AFA">
      <w:pPr>
        <w:pStyle w:val="ListBullet"/>
      </w:pPr>
      <w:r>
        <w:t>Non-Veteran</w:t>
      </w:r>
    </w:p>
    <w:p w14:paraId="3D02D728" w14:textId="77777777" w:rsidR="00F91AFA" w:rsidRDefault="00F91AFA" w:rsidP="00F91AFA">
      <w:pPr>
        <w:pStyle w:val="ListBullet"/>
      </w:pPr>
      <w:r>
        <w:t>Veteran Status Missing: Includes missing data and status not specified by participant</w:t>
      </w:r>
      <w:bookmarkStart w:id="0" w:name="Services,_Expenditures,_&amp;_Participation"/>
      <w:bookmarkEnd w:id="0"/>
    </w:p>
    <w:p w14:paraId="3104EF17" w14:textId="77777777" w:rsidR="00FE0883" w:rsidRDefault="00FE0883" w:rsidP="00FE0883">
      <w:pPr>
        <w:pStyle w:val="Heading3"/>
        <w:rPr>
          <w:rFonts w:eastAsia="Times New Roman"/>
          <w:b w:val="0"/>
          <w:bCs w:val="0"/>
        </w:rPr>
      </w:pPr>
      <w:r>
        <w:rPr>
          <w:rFonts w:eastAsia="Times New Roman"/>
          <w:spacing w:val="-1"/>
        </w:rPr>
        <w:t>Relationship</w:t>
      </w:r>
    </w:p>
    <w:p w14:paraId="2555208C" w14:textId="77777777" w:rsidR="00FE0883" w:rsidRDefault="00FE0883" w:rsidP="00FE0883">
      <w:pPr>
        <w:pStyle w:val="BodyText"/>
      </w:pPr>
      <w:r>
        <w:t>Relationship data is in reference to the connection between the person with dementia and their</w:t>
      </w:r>
      <w:r>
        <w:rPr>
          <w:spacing w:val="93"/>
        </w:rPr>
        <w:t xml:space="preserve"> </w:t>
      </w:r>
      <w:r>
        <w:t>primary caregiver.</w:t>
      </w:r>
    </w:p>
    <w:p w14:paraId="4DCE5082" w14:textId="77777777" w:rsidR="00FE0883" w:rsidRDefault="00FE0883" w:rsidP="00FE0883">
      <w:pPr>
        <w:pStyle w:val="ListBullet"/>
      </w:pPr>
      <w:r>
        <w:lastRenderedPageBreak/>
        <w:t>Spouse or partner</w:t>
      </w:r>
    </w:p>
    <w:p w14:paraId="7EF36729" w14:textId="15ED5919" w:rsidR="00FE0883" w:rsidRDefault="00FE0883" w:rsidP="00FE0883">
      <w:pPr>
        <w:pStyle w:val="ListBullet"/>
      </w:pPr>
      <w:r>
        <w:t xml:space="preserve">Parent </w:t>
      </w:r>
    </w:p>
    <w:p w14:paraId="5AC98B3A" w14:textId="77777777" w:rsidR="00FE0883" w:rsidRDefault="00FE0883" w:rsidP="00FE0883">
      <w:pPr>
        <w:pStyle w:val="ListBullet"/>
      </w:pPr>
      <w:r>
        <w:t>Other caregiver</w:t>
      </w:r>
    </w:p>
    <w:p w14:paraId="00EF0950" w14:textId="77777777" w:rsidR="00FE0883" w:rsidRDefault="00FE0883" w:rsidP="00FE0883">
      <w:pPr>
        <w:pStyle w:val="ListBullet"/>
      </w:pPr>
      <w:r>
        <w:t>No caregiver</w:t>
      </w:r>
    </w:p>
    <w:p w14:paraId="6D450259" w14:textId="77777777" w:rsidR="00FE0883" w:rsidRDefault="00FE0883" w:rsidP="00FE0883">
      <w:pPr>
        <w:pStyle w:val="ListBullet"/>
      </w:pPr>
      <w:r>
        <w:t>Relationship Missing: Includes missing data and relationship not specified by participant</w:t>
      </w:r>
    </w:p>
    <w:p w14:paraId="0B780AB2" w14:textId="77777777" w:rsidR="00FE0883" w:rsidRDefault="00FE0883" w:rsidP="00FE0883">
      <w:pPr>
        <w:pStyle w:val="Heading3"/>
        <w:rPr>
          <w:rFonts w:eastAsia="Times New Roman"/>
        </w:rPr>
      </w:pPr>
      <w:r>
        <w:rPr>
          <w:rFonts w:eastAsia="Times New Roman"/>
        </w:rPr>
        <w:t>Living Arrangement</w:t>
      </w:r>
    </w:p>
    <w:p w14:paraId="173EFF25" w14:textId="77777777" w:rsidR="00FE0883" w:rsidRPr="00FE0883" w:rsidRDefault="00FE0883" w:rsidP="00FE0883">
      <w:pPr>
        <w:pStyle w:val="Heading3"/>
        <w:ind w:left="720" w:hanging="450"/>
        <w:rPr>
          <w:rFonts w:eastAsia="Times New Roman"/>
          <w:b w:val="0"/>
        </w:rPr>
      </w:pPr>
      <w:r w:rsidRPr="00FE0883">
        <w:rPr>
          <w:rFonts w:eastAsia="Times New Roman"/>
          <w:b w:val="0"/>
        </w:rPr>
        <w:t>Living arrangement refers to the person with dementia</w:t>
      </w:r>
    </w:p>
    <w:p w14:paraId="66CEF5EC" w14:textId="77777777" w:rsidR="00FE0883" w:rsidRPr="00FE0883" w:rsidRDefault="00FE0883" w:rsidP="00FE0883">
      <w:pPr>
        <w:pStyle w:val="Heading3"/>
        <w:numPr>
          <w:ilvl w:val="0"/>
          <w:numId w:val="2"/>
        </w:numPr>
        <w:spacing w:before="120" w:after="0"/>
        <w:ind w:left="1080"/>
        <w:contextualSpacing/>
        <w:rPr>
          <w:rFonts w:eastAsia="Times New Roman"/>
          <w:b w:val="0"/>
        </w:rPr>
      </w:pPr>
      <w:r w:rsidRPr="00FE0883">
        <w:rPr>
          <w:rFonts w:eastAsia="Times New Roman"/>
          <w:b w:val="0"/>
        </w:rPr>
        <w:t>Lives alone</w:t>
      </w:r>
    </w:p>
    <w:p w14:paraId="2CBD4384" w14:textId="77777777" w:rsidR="00FE0883" w:rsidRPr="00FE0883" w:rsidRDefault="00FE0883" w:rsidP="00FE0883">
      <w:pPr>
        <w:pStyle w:val="Heading3"/>
        <w:numPr>
          <w:ilvl w:val="0"/>
          <w:numId w:val="2"/>
        </w:numPr>
        <w:spacing w:before="120" w:after="0"/>
        <w:ind w:left="1080"/>
        <w:contextualSpacing/>
        <w:rPr>
          <w:rFonts w:eastAsia="Times New Roman"/>
          <w:b w:val="0"/>
        </w:rPr>
      </w:pPr>
      <w:r w:rsidRPr="00FE0883">
        <w:rPr>
          <w:rFonts w:eastAsia="Times New Roman"/>
          <w:b w:val="0"/>
        </w:rPr>
        <w:t>Does not live alone</w:t>
      </w:r>
    </w:p>
    <w:p w14:paraId="73D3DE31" w14:textId="77777777" w:rsidR="00FE0883" w:rsidRPr="00FE0883" w:rsidRDefault="00FE0883" w:rsidP="00FE0883">
      <w:pPr>
        <w:pStyle w:val="Heading3"/>
        <w:numPr>
          <w:ilvl w:val="0"/>
          <w:numId w:val="2"/>
        </w:numPr>
        <w:spacing w:before="120" w:after="0"/>
        <w:ind w:left="1080"/>
        <w:contextualSpacing/>
        <w:rPr>
          <w:rFonts w:eastAsia="Times New Roman"/>
          <w:b w:val="0"/>
        </w:rPr>
      </w:pPr>
      <w:r w:rsidRPr="00FE0883">
        <w:rPr>
          <w:rFonts w:eastAsia="Times New Roman"/>
          <w:b w:val="0"/>
        </w:rPr>
        <w:t>Living arrangement missing: Includes missing data and living arrangement not specified by participant</w:t>
      </w:r>
    </w:p>
    <w:p w14:paraId="21FFE355" w14:textId="77777777" w:rsidR="00A84655" w:rsidRDefault="00A84655" w:rsidP="00FE0883">
      <w:pPr>
        <w:pStyle w:val="ListBullet"/>
        <w:numPr>
          <w:ilvl w:val="0"/>
          <w:numId w:val="0"/>
        </w:numPr>
        <w:ind w:left="1008" w:hanging="288"/>
      </w:pPr>
    </w:p>
    <w:p w14:paraId="70C0EC26" w14:textId="77777777" w:rsidR="00A84655" w:rsidRDefault="00A84655" w:rsidP="00F91AFA">
      <w:pPr>
        <w:pStyle w:val="Heading2"/>
        <w:rPr>
          <w:rFonts w:eastAsia="Times New Roman"/>
        </w:rPr>
      </w:pPr>
      <w:r>
        <w:rPr>
          <w:rFonts w:eastAsia="Times New Roman"/>
        </w:rPr>
        <w:t>Professional Training</w:t>
      </w:r>
    </w:p>
    <w:p w14:paraId="34305774" w14:textId="77777777" w:rsidR="00A84655" w:rsidRDefault="00A84655" w:rsidP="00A84655">
      <w:pPr>
        <w:pStyle w:val="Heading2"/>
        <w:ind w:left="270" w:hanging="180"/>
        <w:jc w:val="left"/>
        <w:rPr>
          <w:rFonts w:eastAsia="Times New Roman"/>
          <w:sz w:val="22"/>
          <w:szCs w:val="22"/>
        </w:rPr>
      </w:pPr>
      <w:r w:rsidRPr="00A84655">
        <w:rPr>
          <w:rFonts w:eastAsia="Times New Roman"/>
          <w:sz w:val="22"/>
          <w:szCs w:val="22"/>
        </w:rPr>
        <w:t>Persons Trained</w:t>
      </w:r>
    </w:p>
    <w:p w14:paraId="6FB817AC" w14:textId="6005085F" w:rsidR="00ED7699" w:rsidRDefault="00ED7699" w:rsidP="00A84655">
      <w:pPr>
        <w:pStyle w:val="Heading2"/>
        <w:ind w:left="270"/>
        <w:jc w:val="left"/>
        <w:rPr>
          <w:rFonts w:eastAsia="Times New Roman"/>
          <w:b w:val="0"/>
          <w:sz w:val="22"/>
          <w:szCs w:val="22"/>
        </w:rPr>
      </w:pPr>
      <w:r w:rsidRPr="00ED7699">
        <w:rPr>
          <w:rFonts w:eastAsia="Times New Roman"/>
          <w:b w:val="0"/>
          <w:sz w:val="22"/>
          <w:szCs w:val="22"/>
        </w:rPr>
        <w:t xml:space="preserve">The number of </w:t>
      </w:r>
      <w:r>
        <w:rPr>
          <w:rFonts w:eastAsia="Times New Roman"/>
          <w:b w:val="0"/>
          <w:sz w:val="22"/>
          <w:szCs w:val="22"/>
        </w:rPr>
        <w:t xml:space="preserve">persons </w:t>
      </w:r>
      <w:r w:rsidR="00D22918">
        <w:rPr>
          <w:rFonts w:eastAsia="Times New Roman"/>
          <w:b w:val="0"/>
          <w:sz w:val="22"/>
          <w:szCs w:val="22"/>
        </w:rPr>
        <w:t>reported</w:t>
      </w:r>
      <w:r>
        <w:rPr>
          <w:rFonts w:eastAsia="Times New Roman"/>
          <w:b w:val="0"/>
          <w:sz w:val="22"/>
          <w:szCs w:val="22"/>
        </w:rPr>
        <w:t xml:space="preserve"> </w:t>
      </w:r>
      <w:r w:rsidRPr="00ED7699">
        <w:rPr>
          <w:rFonts w:eastAsia="Times New Roman"/>
          <w:b w:val="0"/>
          <w:sz w:val="22"/>
          <w:szCs w:val="22"/>
        </w:rPr>
        <w:t xml:space="preserve">should be unduplicated. For example, a </w:t>
      </w:r>
      <w:r>
        <w:rPr>
          <w:rFonts w:eastAsia="Times New Roman"/>
          <w:b w:val="0"/>
          <w:sz w:val="22"/>
          <w:szCs w:val="22"/>
        </w:rPr>
        <w:t>nurse</w:t>
      </w:r>
      <w:r w:rsidRPr="00ED7699">
        <w:rPr>
          <w:rFonts w:eastAsia="Times New Roman"/>
          <w:b w:val="0"/>
          <w:sz w:val="22"/>
          <w:szCs w:val="22"/>
        </w:rPr>
        <w:t xml:space="preserve"> who </w:t>
      </w:r>
      <w:r>
        <w:rPr>
          <w:rFonts w:eastAsia="Times New Roman"/>
          <w:b w:val="0"/>
          <w:sz w:val="22"/>
          <w:szCs w:val="22"/>
        </w:rPr>
        <w:t>participates in two different trainings is counted as one participant, not two</w:t>
      </w:r>
      <w:r w:rsidRPr="00ED7699">
        <w:rPr>
          <w:rFonts w:eastAsia="Times New Roman"/>
          <w:b w:val="0"/>
          <w:sz w:val="22"/>
          <w:szCs w:val="22"/>
        </w:rPr>
        <w:t>.</w:t>
      </w:r>
    </w:p>
    <w:p w14:paraId="3D97DB7A" w14:textId="71DC5A60" w:rsidR="00A84655" w:rsidRDefault="00A84655" w:rsidP="00A84655">
      <w:pPr>
        <w:pStyle w:val="Heading2"/>
        <w:ind w:left="270"/>
        <w:jc w:val="left"/>
        <w:rPr>
          <w:rFonts w:eastAsia="Times New Roman"/>
          <w:b w:val="0"/>
          <w:sz w:val="22"/>
          <w:szCs w:val="22"/>
        </w:rPr>
      </w:pPr>
      <w:proofErr w:type="gramStart"/>
      <w:r w:rsidRPr="00CD3523">
        <w:rPr>
          <w:rFonts w:eastAsia="Times New Roman"/>
          <w:b w:val="0"/>
          <w:sz w:val="22"/>
          <w:szCs w:val="22"/>
        </w:rPr>
        <w:t>Persons trained refers</w:t>
      </w:r>
      <w:proofErr w:type="gramEnd"/>
      <w:r w:rsidRPr="00CD3523">
        <w:rPr>
          <w:rFonts w:eastAsia="Times New Roman"/>
          <w:b w:val="0"/>
          <w:sz w:val="22"/>
          <w:szCs w:val="22"/>
        </w:rPr>
        <w:t xml:space="preserve"> to persons who </w:t>
      </w:r>
      <w:r w:rsidR="007C4FD2" w:rsidRPr="00CD3523">
        <w:rPr>
          <w:rFonts w:eastAsia="Times New Roman"/>
          <w:b w:val="0"/>
          <w:sz w:val="22"/>
          <w:szCs w:val="22"/>
        </w:rPr>
        <w:t>are taught</w:t>
      </w:r>
      <w:r w:rsidRPr="00CD3523">
        <w:rPr>
          <w:rFonts w:eastAsia="Times New Roman"/>
          <w:b w:val="0"/>
          <w:sz w:val="22"/>
          <w:szCs w:val="22"/>
        </w:rPr>
        <w:t xml:space="preserve"> specific </w:t>
      </w:r>
      <w:r w:rsidR="007C4FD2" w:rsidRPr="00CD3523">
        <w:rPr>
          <w:rFonts w:eastAsia="Times New Roman"/>
          <w:b w:val="0"/>
          <w:sz w:val="22"/>
          <w:szCs w:val="22"/>
        </w:rPr>
        <w:t xml:space="preserve">knowledge, </w:t>
      </w:r>
      <w:r w:rsidRPr="00CD3523">
        <w:rPr>
          <w:rFonts w:eastAsia="Times New Roman"/>
          <w:b w:val="0"/>
          <w:sz w:val="22"/>
          <w:szCs w:val="22"/>
        </w:rPr>
        <w:t xml:space="preserve">skills, </w:t>
      </w:r>
      <w:r w:rsidR="007C4FD2" w:rsidRPr="00CD3523">
        <w:rPr>
          <w:rFonts w:eastAsia="Times New Roman"/>
          <w:b w:val="0"/>
          <w:sz w:val="22"/>
          <w:szCs w:val="22"/>
        </w:rPr>
        <w:t xml:space="preserve">or </w:t>
      </w:r>
      <w:r w:rsidRPr="00CD3523">
        <w:rPr>
          <w:rFonts w:eastAsia="Times New Roman"/>
          <w:b w:val="0"/>
          <w:sz w:val="22"/>
          <w:szCs w:val="22"/>
        </w:rPr>
        <w:t xml:space="preserve">behaviors that </w:t>
      </w:r>
      <w:r w:rsidR="007C4FD2" w:rsidRPr="00CD3523">
        <w:rPr>
          <w:rFonts w:eastAsia="Times New Roman"/>
          <w:b w:val="0"/>
          <w:sz w:val="22"/>
          <w:szCs w:val="22"/>
        </w:rPr>
        <w:t>are</w:t>
      </w:r>
      <w:r w:rsidRPr="00CD3523">
        <w:rPr>
          <w:rFonts w:eastAsia="Times New Roman"/>
          <w:b w:val="0"/>
          <w:sz w:val="22"/>
          <w:szCs w:val="22"/>
        </w:rPr>
        <w:t xml:space="preserve"> intended to be used </w:t>
      </w:r>
      <w:r w:rsidR="007C4FD2" w:rsidRPr="00CD3523">
        <w:rPr>
          <w:rFonts w:eastAsia="Times New Roman"/>
          <w:b w:val="0"/>
          <w:sz w:val="22"/>
          <w:szCs w:val="22"/>
        </w:rPr>
        <w:t xml:space="preserve">in the course of their </w:t>
      </w:r>
      <w:r w:rsidR="007C4FD2" w:rsidRPr="00A142F0">
        <w:rPr>
          <w:rFonts w:eastAsia="Times New Roman"/>
          <w:sz w:val="22"/>
          <w:szCs w:val="22"/>
          <w:u w:val="single"/>
        </w:rPr>
        <w:t>paid employment</w:t>
      </w:r>
      <w:r w:rsidR="007C4FD2" w:rsidRPr="00CD3523">
        <w:rPr>
          <w:rFonts w:eastAsia="Times New Roman"/>
          <w:b w:val="0"/>
          <w:sz w:val="22"/>
          <w:szCs w:val="22"/>
        </w:rPr>
        <w:t xml:space="preserve">. Not included are trainings for family caregivers or </w:t>
      </w:r>
      <w:r w:rsidR="003F10DE">
        <w:rPr>
          <w:rFonts w:eastAsia="Times New Roman"/>
          <w:b w:val="0"/>
          <w:sz w:val="22"/>
          <w:szCs w:val="22"/>
        </w:rPr>
        <w:t xml:space="preserve">general </w:t>
      </w:r>
      <w:r w:rsidR="007C4FD2" w:rsidRPr="00CD3523">
        <w:rPr>
          <w:rFonts w:eastAsia="Times New Roman"/>
          <w:b w:val="0"/>
          <w:sz w:val="22"/>
          <w:szCs w:val="22"/>
        </w:rPr>
        <w:t>community presentations.</w:t>
      </w:r>
    </w:p>
    <w:p w14:paraId="05CBA51A" w14:textId="61ABF28B" w:rsidR="007C4FD2" w:rsidRDefault="007C4FD2" w:rsidP="007C4FD2">
      <w:pPr>
        <w:pStyle w:val="Heading2"/>
        <w:numPr>
          <w:ilvl w:val="0"/>
          <w:numId w:val="4"/>
        </w:numPr>
        <w:spacing w:after="0"/>
        <w:ind w:hanging="270"/>
        <w:jc w:val="left"/>
        <w:rPr>
          <w:rFonts w:eastAsia="Times New Roman"/>
          <w:b w:val="0"/>
          <w:sz w:val="22"/>
          <w:szCs w:val="22"/>
        </w:rPr>
      </w:pPr>
      <w:r>
        <w:rPr>
          <w:rFonts w:eastAsia="Times New Roman"/>
          <w:b w:val="0"/>
          <w:sz w:val="22"/>
          <w:szCs w:val="22"/>
        </w:rPr>
        <w:t>Information and referral</w:t>
      </w:r>
      <w:r w:rsidR="00F939A9">
        <w:rPr>
          <w:rFonts w:eastAsia="Times New Roman"/>
          <w:b w:val="0"/>
          <w:sz w:val="22"/>
          <w:szCs w:val="22"/>
        </w:rPr>
        <w:t xml:space="preserve"> providers</w:t>
      </w:r>
      <w:r>
        <w:rPr>
          <w:rFonts w:eastAsia="Times New Roman"/>
          <w:b w:val="0"/>
          <w:sz w:val="22"/>
          <w:szCs w:val="22"/>
        </w:rPr>
        <w:t>, options counselors</w:t>
      </w:r>
    </w:p>
    <w:p w14:paraId="70897863" w14:textId="77777777" w:rsidR="007C4FD2" w:rsidRDefault="007C4FD2" w:rsidP="007C4FD2">
      <w:pPr>
        <w:pStyle w:val="Heading2"/>
        <w:numPr>
          <w:ilvl w:val="0"/>
          <w:numId w:val="4"/>
        </w:numPr>
        <w:spacing w:after="0"/>
        <w:ind w:hanging="270"/>
        <w:jc w:val="left"/>
        <w:rPr>
          <w:rFonts w:eastAsia="Times New Roman"/>
          <w:b w:val="0"/>
          <w:sz w:val="22"/>
          <w:szCs w:val="22"/>
        </w:rPr>
      </w:pPr>
      <w:r>
        <w:rPr>
          <w:rFonts w:eastAsia="Times New Roman"/>
          <w:b w:val="0"/>
          <w:sz w:val="22"/>
          <w:szCs w:val="22"/>
        </w:rPr>
        <w:t>Case managers, care coordinators, discharge planners</w:t>
      </w:r>
    </w:p>
    <w:p w14:paraId="64DC52AB" w14:textId="77777777" w:rsidR="007C4FD2" w:rsidRDefault="007C4FD2" w:rsidP="007C4FD2">
      <w:pPr>
        <w:pStyle w:val="Heading2"/>
        <w:numPr>
          <w:ilvl w:val="0"/>
          <w:numId w:val="4"/>
        </w:numPr>
        <w:spacing w:after="0"/>
        <w:ind w:hanging="270"/>
        <w:jc w:val="left"/>
        <w:rPr>
          <w:rFonts w:eastAsia="Times New Roman"/>
          <w:b w:val="0"/>
          <w:sz w:val="22"/>
          <w:szCs w:val="22"/>
        </w:rPr>
      </w:pPr>
      <w:r>
        <w:rPr>
          <w:rFonts w:eastAsia="Times New Roman"/>
          <w:b w:val="0"/>
          <w:sz w:val="22"/>
          <w:szCs w:val="22"/>
        </w:rPr>
        <w:t>Direct care workers (certified nursing assistants, personal care attendants, companions)</w:t>
      </w:r>
    </w:p>
    <w:p w14:paraId="735C48C1" w14:textId="77777777" w:rsidR="007C4FD2" w:rsidRDefault="007C4FD2" w:rsidP="007C4FD2">
      <w:pPr>
        <w:pStyle w:val="Heading2"/>
        <w:numPr>
          <w:ilvl w:val="0"/>
          <w:numId w:val="4"/>
        </w:numPr>
        <w:spacing w:after="0"/>
        <w:ind w:hanging="270"/>
        <w:jc w:val="left"/>
        <w:rPr>
          <w:rFonts w:eastAsia="Times New Roman"/>
          <w:b w:val="0"/>
          <w:sz w:val="22"/>
          <w:szCs w:val="22"/>
        </w:rPr>
      </w:pPr>
      <w:r>
        <w:rPr>
          <w:rFonts w:eastAsia="Times New Roman"/>
          <w:b w:val="0"/>
          <w:sz w:val="22"/>
          <w:szCs w:val="22"/>
        </w:rPr>
        <w:t>Health care providers (physicians, nurse practitioners, nurses)</w:t>
      </w:r>
    </w:p>
    <w:p w14:paraId="365FFDC3" w14:textId="77777777" w:rsidR="007C4FD2" w:rsidRDefault="007C4FD2" w:rsidP="007C4FD2">
      <w:pPr>
        <w:pStyle w:val="Heading2"/>
        <w:numPr>
          <w:ilvl w:val="0"/>
          <w:numId w:val="4"/>
        </w:numPr>
        <w:spacing w:after="0"/>
        <w:ind w:hanging="270"/>
        <w:jc w:val="left"/>
        <w:rPr>
          <w:rFonts w:eastAsia="Times New Roman"/>
          <w:b w:val="0"/>
          <w:sz w:val="22"/>
          <w:szCs w:val="22"/>
        </w:rPr>
      </w:pPr>
      <w:r>
        <w:rPr>
          <w:rFonts w:eastAsia="Times New Roman"/>
          <w:b w:val="0"/>
          <w:sz w:val="22"/>
          <w:szCs w:val="22"/>
        </w:rPr>
        <w:t>Health educators, interventionists (providing training to PWD or caregivers)</w:t>
      </w:r>
    </w:p>
    <w:p w14:paraId="1B97002D" w14:textId="77777777" w:rsidR="007C4FD2" w:rsidRDefault="007C4FD2" w:rsidP="007C4FD2">
      <w:pPr>
        <w:pStyle w:val="Heading2"/>
        <w:numPr>
          <w:ilvl w:val="0"/>
          <w:numId w:val="4"/>
        </w:numPr>
        <w:spacing w:after="0"/>
        <w:ind w:hanging="270"/>
        <w:jc w:val="left"/>
        <w:rPr>
          <w:rFonts w:eastAsia="Times New Roman"/>
          <w:b w:val="0"/>
          <w:sz w:val="22"/>
          <w:szCs w:val="22"/>
        </w:rPr>
      </w:pPr>
      <w:r>
        <w:rPr>
          <w:rFonts w:eastAsia="Times New Roman"/>
          <w:b w:val="0"/>
          <w:sz w:val="22"/>
          <w:szCs w:val="22"/>
        </w:rPr>
        <w:t>First responders</w:t>
      </w:r>
    </w:p>
    <w:p w14:paraId="0AEE8C20" w14:textId="77777777" w:rsidR="007C4FD2" w:rsidRDefault="007C4FD2" w:rsidP="007C4FD2">
      <w:pPr>
        <w:pStyle w:val="Heading2"/>
        <w:numPr>
          <w:ilvl w:val="0"/>
          <w:numId w:val="4"/>
        </w:numPr>
        <w:spacing w:after="0"/>
        <w:ind w:hanging="270"/>
        <w:jc w:val="left"/>
        <w:rPr>
          <w:rFonts w:eastAsia="Times New Roman"/>
          <w:b w:val="0"/>
          <w:sz w:val="22"/>
          <w:szCs w:val="22"/>
        </w:rPr>
      </w:pPr>
      <w:r>
        <w:rPr>
          <w:rFonts w:eastAsia="Times New Roman"/>
          <w:b w:val="0"/>
          <w:sz w:val="22"/>
          <w:szCs w:val="22"/>
        </w:rPr>
        <w:t>Clergy, other members of faith community</w:t>
      </w:r>
    </w:p>
    <w:p w14:paraId="7C826FED" w14:textId="77777777" w:rsidR="007C4FD2" w:rsidRDefault="007C4FD2" w:rsidP="007C4FD2">
      <w:pPr>
        <w:pStyle w:val="Heading2"/>
        <w:numPr>
          <w:ilvl w:val="0"/>
          <w:numId w:val="4"/>
        </w:numPr>
        <w:spacing w:after="0"/>
        <w:ind w:hanging="270"/>
        <w:jc w:val="left"/>
        <w:rPr>
          <w:rFonts w:eastAsia="Times New Roman"/>
          <w:b w:val="0"/>
          <w:sz w:val="22"/>
          <w:szCs w:val="22"/>
        </w:rPr>
      </w:pPr>
      <w:r>
        <w:rPr>
          <w:rFonts w:eastAsia="Times New Roman"/>
          <w:b w:val="0"/>
          <w:sz w:val="22"/>
          <w:szCs w:val="22"/>
        </w:rPr>
        <w:t>Legal professionals</w:t>
      </w:r>
    </w:p>
    <w:p w14:paraId="330CE22A" w14:textId="77777777" w:rsidR="007C4FD2" w:rsidRDefault="007C4FD2" w:rsidP="007C4FD2">
      <w:pPr>
        <w:pStyle w:val="Heading2"/>
        <w:numPr>
          <w:ilvl w:val="0"/>
          <w:numId w:val="4"/>
        </w:numPr>
        <w:spacing w:after="0"/>
        <w:ind w:hanging="270"/>
        <w:jc w:val="left"/>
        <w:rPr>
          <w:rFonts w:eastAsia="Times New Roman"/>
          <w:b w:val="0"/>
          <w:sz w:val="22"/>
          <w:szCs w:val="22"/>
        </w:rPr>
      </w:pPr>
      <w:r>
        <w:rPr>
          <w:rFonts w:eastAsia="Times New Roman"/>
          <w:b w:val="0"/>
          <w:sz w:val="22"/>
          <w:szCs w:val="22"/>
        </w:rPr>
        <w:t xml:space="preserve">Community businesses (banks, retail stores, pharmacies, restaurants, </w:t>
      </w:r>
      <w:proofErr w:type="spellStart"/>
      <w:r>
        <w:rPr>
          <w:rFonts w:eastAsia="Times New Roman"/>
          <w:b w:val="0"/>
          <w:sz w:val="22"/>
          <w:szCs w:val="22"/>
        </w:rPr>
        <w:t>etc</w:t>
      </w:r>
      <w:proofErr w:type="spellEnd"/>
      <w:r>
        <w:rPr>
          <w:rFonts w:eastAsia="Times New Roman"/>
          <w:b w:val="0"/>
          <w:sz w:val="22"/>
          <w:szCs w:val="22"/>
        </w:rPr>
        <w:t>)</w:t>
      </w:r>
    </w:p>
    <w:p w14:paraId="104D43E5" w14:textId="77777777" w:rsidR="007C4FD2" w:rsidRDefault="007C4FD2" w:rsidP="007C4FD2">
      <w:pPr>
        <w:pStyle w:val="Heading2"/>
        <w:numPr>
          <w:ilvl w:val="0"/>
          <w:numId w:val="4"/>
        </w:numPr>
        <w:spacing w:after="0"/>
        <w:ind w:hanging="270"/>
        <w:jc w:val="left"/>
        <w:rPr>
          <w:rFonts w:eastAsia="Times New Roman"/>
          <w:b w:val="0"/>
          <w:sz w:val="22"/>
          <w:szCs w:val="22"/>
        </w:rPr>
      </w:pPr>
      <w:r>
        <w:rPr>
          <w:rFonts w:eastAsia="Times New Roman"/>
          <w:b w:val="0"/>
          <w:sz w:val="22"/>
          <w:szCs w:val="22"/>
        </w:rPr>
        <w:t>Other</w:t>
      </w:r>
    </w:p>
    <w:p w14:paraId="7F326B79" w14:textId="77777777" w:rsidR="007C4FD2" w:rsidRDefault="007C4FD2" w:rsidP="007C4FD2">
      <w:pPr>
        <w:pStyle w:val="Heading2"/>
        <w:spacing w:after="0"/>
        <w:ind w:left="990"/>
        <w:jc w:val="left"/>
        <w:rPr>
          <w:rFonts w:eastAsia="Times New Roman"/>
          <w:b w:val="0"/>
          <w:sz w:val="22"/>
          <w:szCs w:val="22"/>
        </w:rPr>
      </w:pPr>
    </w:p>
    <w:p w14:paraId="4C520581" w14:textId="2BC9CD4A" w:rsidR="007C4FD2" w:rsidRPr="007C4FD2" w:rsidRDefault="007C4FD2" w:rsidP="007C4FD2">
      <w:pPr>
        <w:pStyle w:val="Heading2"/>
        <w:ind w:left="630"/>
        <w:jc w:val="left"/>
        <w:rPr>
          <w:rFonts w:eastAsia="Times New Roman"/>
          <w:b w:val="0"/>
          <w:sz w:val="22"/>
          <w:szCs w:val="22"/>
        </w:rPr>
      </w:pPr>
      <w:r>
        <w:rPr>
          <w:rFonts w:eastAsia="Times New Roman"/>
          <w:sz w:val="22"/>
          <w:szCs w:val="22"/>
        </w:rPr>
        <w:t>Information and referral</w:t>
      </w:r>
      <w:r w:rsidR="00A142F0">
        <w:rPr>
          <w:rFonts w:eastAsia="Times New Roman"/>
          <w:sz w:val="22"/>
          <w:szCs w:val="22"/>
        </w:rPr>
        <w:t xml:space="preserve"> providers</w:t>
      </w:r>
      <w:r>
        <w:rPr>
          <w:rFonts w:eastAsia="Times New Roman"/>
          <w:sz w:val="22"/>
          <w:szCs w:val="22"/>
        </w:rPr>
        <w:t>, options counselors</w:t>
      </w:r>
      <w:r w:rsidRPr="007C4FD2">
        <w:rPr>
          <w:rFonts w:eastAsia="Times New Roman"/>
          <w:b w:val="0"/>
          <w:sz w:val="22"/>
          <w:szCs w:val="22"/>
        </w:rPr>
        <w:t xml:space="preserve">—educate consumers about community services and supports and </w:t>
      </w:r>
      <w:r w:rsidR="00DC0FAD">
        <w:rPr>
          <w:rFonts w:eastAsia="Times New Roman"/>
          <w:b w:val="0"/>
          <w:sz w:val="22"/>
          <w:szCs w:val="22"/>
        </w:rPr>
        <w:t xml:space="preserve">make appropriate referrals. Options counselors </w:t>
      </w:r>
      <w:r w:rsidRPr="007C4FD2">
        <w:rPr>
          <w:rFonts w:eastAsia="Times New Roman"/>
          <w:b w:val="0"/>
          <w:sz w:val="22"/>
          <w:szCs w:val="22"/>
        </w:rPr>
        <w:t xml:space="preserve">provide </w:t>
      </w:r>
      <w:r w:rsidR="00DC0FAD">
        <w:rPr>
          <w:rFonts w:eastAsia="Times New Roman"/>
          <w:b w:val="0"/>
          <w:sz w:val="22"/>
          <w:szCs w:val="22"/>
        </w:rPr>
        <w:t xml:space="preserve">support to persons with dementia and their caregivers in decision making about care options. </w:t>
      </w:r>
    </w:p>
    <w:p w14:paraId="01AA0C25" w14:textId="1B29F4C2" w:rsidR="007C4FD2" w:rsidRPr="00B137A3" w:rsidRDefault="007C4FD2" w:rsidP="007C4FD2">
      <w:pPr>
        <w:pStyle w:val="Heading2"/>
        <w:ind w:left="630"/>
        <w:jc w:val="left"/>
        <w:rPr>
          <w:rFonts w:eastAsia="Times New Roman"/>
          <w:sz w:val="22"/>
          <w:szCs w:val="22"/>
        </w:rPr>
      </w:pPr>
      <w:r w:rsidRPr="007C4FD2">
        <w:rPr>
          <w:rFonts w:eastAsia="Times New Roman"/>
          <w:sz w:val="22"/>
          <w:szCs w:val="22"/>
        </w:rPr>
        <w:t>Case managers, care coordinators, discharge planners</w:t>
      </w:r>
      <w:r w:rsidR="00B137A3" w:rsidRPr="00B137A3">
        <w:rPr>
          <w:rFonts w:eastAsia="Times New Roman"/>
          <w:b w:val="0"/>
          <w:sz w:val="22"/>
          <w:szCs w:val="22"/>
        </w:rPr>
        <w:t>—</w:t>
      </w:r>
      <w:r w:rsidR="00DC0FAD">
        <w:rPr>
          <w:rFonts w:eastAsia="Times New Roman"/>
          <w:b w:val="0"/>
          <w:sz w:val="22"/>
          <w:szCs w:val="22"/>
        </w:rPr>
        <w:t>activities</w:t>
      </w:r>
      <w:r w:rsidR="00DC0FAD" w:rsidRPr="00B137A3">
        <w:rPr>
          <w:rFonts w:eastAsia="Times New Roman"/>
          <w:b w:val="0"/>
          <w:sz w:val="22"/>
          <w:szCs w:val="22"/>
        </w:rPr>
        <w:t xml:space="preserve"> </w:t>
      </w:r>
      <w:r w:rsidR="00B137A3" w:rsidRPr="00B137A3">
        <w:rPr>
          <w:rFonts w:eastAsia="Times New Roman"/>
          <w:b w:val="0"/>
          <w:sz w:val="22"/>
          <w:szCs w:val="22"/>
        </w:rPr>
        <w:t xml:space="preserve">include </w:t>
      </w:r>
      <w:r w:rsidRPr="00B137A3">
        <w:rPr>
          <w:rFonts w:eastAsia="Times New Roman"/>
          <w:b w:val="0"/>
          <w:sz w:val="22"/>
          <w:szCs w:val="22"/>
        </w:rPr>
        <w:t xml:space="preserve">assessment, planning, </w:t>
      </w:r>
      <w:r w:rsidR="00B137A3" w:rsidRPr="00B137A3">
        <w:rPr>
          <w:rFonts w:eastAsia="Times New Roman"/>
          <w:b w:val="0"/>
          <w:sz w:val="22"/>
          <w:szCs w:val="22"/>
        </w:rPr>
        <w:t xml:space="preserve">coordination of patient care between multiple parties, connecting patients and their families with </w:t>
      </w:r>
      <w:r w:rsidRPr="00B137A3">
        <w:rPr>
          <w:rFonts w:eastAsia="Times New Roman"/>
          <w:b w:val="0"/>
          <w:sz w:val="22"/>
          <w:szCs w:val="22"/>
        </w:rPr>
        <w:t xml:space="preserve">options and services to meet </w:t>
      </w:r>
      <w:r w:rsidR="00B137A3" w:rsidRPr="00B137A3">
        <w:rPr>
          <w:rFonts w:eastAsia="Times New Roman"/>
          <w:b w:val="0"/>
          <w:sz w:val="22"/>
          <w:szCs w:val="22"/>
        </w:rPr>
        <w:t xml:space="preserve">comprehensive health needs, and </w:t>
      </w:r>
      <w:r w:rsidR="00B137A3" w:rsidRPr="00B137A3">
        <w:rPr>
          <w:rStyle w:val="tgc"/>
          <w:b w:val="0"/>
          <w:color w:val="222222"/>
          <w:sz w:val="22"/>
          <w:szCs w:val="22"/>
          <w:lang w:val="en"/>
        </w:rPr>
        <w:t xml:space="preserve">assistance in developing a healthcare </w:t>
      </w:r>
      <w:r w:rsidR="00B137A3" w:rsidRPr="00B137A3">
        <w:rPr>
          <w:rStyle w:val="tgc"/>
          <w:b w:val="0"/>
          <w:bCs w:val="0"/>
          <w:color w:val="222222"/>
          <w:sz w:val="22"/>
          <w:szCs w:val="22"/>
          <w:lang w:val="en"/>
        </w:rPr>
        <w:t>plan</w:t>
      </w:r>
      <w:r w:rsidR="00B137A3" w:rsidRPr="00B137A3">
        <w:rPr>
          <w:rStyle w:val="tgc"/>
          <w:b w:val="0"/>
          <w:color w:val="222222"/>
          <w:sz w:val="22"/>
          <w:szCs w:val="22"/>
          <w:lang w:val="en"/>
        </w:rPr>
        <w:t xml:space="preserve"> after bei</w:t>
      </w:r>
      <w:r w:rsidR="00B137A3">
        <w:rPr>
          <w:rStyle w:val="tgc"/>
          <w:b w:val="0"/>
          <w:color w:val="222222"/>
          <w:sz w:val="22"/>
          <w:szCs w:val="22"/>
          <w:lang w:val="en"/>
        </w:rPr>
        <w:t>ng discharged from the hospital</w:t>
      </w:r>
      <w:r w:rsidR="00DC0FAD">
        <w:rPr>
          <w:rStyle w:val="tgc"/>
          <w:b w:val="0"/>
          <w:color w:val="222222"/>
          <w:sz w:val="22"/>
          <w:szCs w:val="22"/>
          <w:lang w:val="en"/>
        </w:rPr>
        <w:t>. Generally, services are more comprehensive and provided over an extended period of time.</w:t>
      </w:r>
    </w:p>
    <w:p w14:paraId="73A09897" w14:textId="5AB7857D" w:rsidR="007C4FD2" w:rsidRDefault="007C4FD2" w:rsidP="007C4FD2">
      <w:pPr>
        <w:pStyle w:val="Heading2"/>
        <w:ind w:left="630"/>
        <w:jc w:val="left"/>
        <w:rPr>
          <w:rFonts w:eastAsia="Times New Roman"/>
          <w:b w:val="0"/>
          <w:sz w:val="22"/>
          <w:szCs w:val="22"/>
        </w:rPr>
      </w:pPr>
      <w:r w:rsidRPr="007C4FD2">
        <w:rPr>
          <w:rFonts w:eastAsia="Times New Roman"/>
          <w:sz w:val="22"/>
          <w:szCs w:val="22"/>
        </w:rPr>
        <w:lastRenderedPageBreak/>
        <w:t>Direct care workers (certified nursing assistants, personal care attendants, companions</w:t>
      </w:r>
      <w:r w:rsidRPr="00E13B2E">
        <w:rPr>
          <w:rFonts w:eastAsia="Times New Roman"/>
          <w:b w:val="0"/>
          <w:sz w:val="22"/>
          <w:szCs w:val="22"/>
        </w:rPr>
        <w:t>)</w:t>
      </w:r>
      <w:r w:rsidR="00E13B2E" w:rsidRPr="00E13B2E">
        <w:rPr>
          <w:rFonts w:eastAsia="Times New Roman"/>
          <w:b w:val="0"/>
          <w:sz w:val="22"/>
          <w:szCs w:val="22"/>
        </w:rPr>
        <w:t xml:space="preserve">—provide assistance with </w:t>
      </w:r>
      <w:r w:rsidR="00C03A15">
        <w:rPr>
          <w:rFonts w:eastAsia="Times New Roman"/>
          <w:b w:val="0"/>
          <w:sz w:val="22"/>
          <w:szCs w:val="22"/>
        </w:rPr>
        <w:t>bathing, dressing, eating, meal preparation</w:t>
      </w:r>
      <w:r w:rsidR="00E13B2E" w:rsidRPr="00E13B2E">
        <w:rPr>
          <w:rFonts w:eastAsia="Times New Roman"/>
          <w:b w:val="0"/>
          <w:sz w:val="22"/>
          <w:szCs w:val="22"/>
        </w:rPr>
        <w:t xml:space="preserve">, </w:t>
      </w:r>
      <w:r w:rsidR="00C03A15">
        <w:rPr>
          <w:rFonts w:eastAsia="Times New Roman"/>
          <w:b w:val="0"/>
          <w:sz w:val="22"/>
          <w:szCs w:val="22"/>
        </w:rPr>
        <w:t xml:space="preserve">light </w:t>
      </w:r>
      <w:r w:rsidR="00E13B2E" w:rsidRPr="00E13B2E">
        <w:rPr>
          <w:rFonts w:eastAsia="Times New Roman"/>
          <w:b w:val="0"/>
          <w:sz w:val="22"/>
          <w:szCs w:val="22"/>
        </w:rPr>
        <w:t xml:space="preserve">housework, </w:t>
      </w:r>
      <w:r w:rsidR="00C03A15">
        <w:rPr>
          <w:rFonts w:eastAsia="Times New Roman"/>
          <w:b w:val="0"/>
          <w:sz w:val="22"/>
          <w:szCs w:val="22"/>
        </w:rPr>
        <w:t xml:space="preserve">shopping, </w:t>
      </w:r>
      <w:r w:rsidR="00E13B2E">
        <w:rPr>
          <w:rFonts w:eastAsia="Times New Roman"/>
          <w:b w:val="0"/>
          <w:sz w:val="22"/>
          <w:szCs w:val="22"/>
        </w:rPr>
        <w:t xml:space="preserve">transportation, or </w:t>
      </w:r>
      <w:r w:rsidR="00E13B2E" w:rsidRPr="00E13B2E">
        <w:rPr>
          <w:rFonts w:eastAsia="Times New Roman"/>
          <w:b w:val="0"/>
          <w:sz w:val="22"/>
          <w:szCs w:val="22"/>
        </w:rPr>
        <w:t>companionship</w:t>
      </w:r>
      <w:r w:rsidR="00C03A15">
        <w:rPr>
          <w:rFonts w:eastAsia="Times New Roman"/>
          <w:b w:val="0"/>
          <w:sz w:val="22"/>
          <w:szCs w:val="22"/>
        </w:rPr>
        <w:t>, either in the home, a residential facility, or a healthcare facility</w:t>
      </w:r>
      <w:r w:rsidR="00087F15">
        <w:rPr>
          <w:rFonts w:eastAsia="Times New Roman"/>
          <w:b w:val="0"/>
          <w:sz w:val="22"/>
          <w:szCs w:val="22"/>
        </w:rPr>
        <w:t>.</w:t>
      </w:r>
    </w:p>
    <w:p w14:paraId="730ADF0D" w14:textId="684088C6" w:rsidR="00087F15" w:rsidRPr="00EF4659" w:rsidRDefault="00087F15" w:rsidP="00EF4659">
      <w:pPr>
        <w:pStyle w:val="ListParagraph"/>
        <w:numPr>
          <w:ilvl w:val="0"/>
          <w:numId w:val="5"/>
        </w:numPr>
        <w:autoSpaceDE w:val="0"/>
        <w:autoSpaceDN w:val="0"/>
        <w:adjustRightInd w:val="0"/>
        <w:spacing w:before="80" w:after="0" w:line="221" w:lineRule="atLeast"/>
        <w:rPr>
          <w:rFonts w:ascii="Arial" w:hAnsi="Arial" w:cs="Arial"/>
          <w:color w:val="000000"/>
        </w:rPr>
      </w:pPr>
      <w:r w:rsidRPr="00EF4659">
        <w:rPr>
          <w:rFonts w:ascii="Arial" w:hAnsi="Arial" w:cs="Arial"/>
          <w:b/>
          <w:color w:val="000000"/>
        </w:rPr>
        <w:t xml:space="preserve">Certified </w:t>
      </w:r>
      <w:r w:rsidR="004F5972">
        <w:rPr>
          <w:rFonts w:ascii="Arial" w:hAnsi="Arial" w:cs="Arial"/>
          <w:b/>
          <w:color w:val="000000"/>
        </w:rPr>
        <w:t>N</w:t>
      </w:r>
      <w:r w:rsidRPr="00EF4659">
        <w:rPr>
          <w:rFonts w:ascii="Arial" w:hAnsi="Arial" w:cs="Arial"/>
          <w:b/>
          <w:color w:val="000000"/>
        </w:rPr>
        <w:t xml:space="preserve">ursing </w:t>
      </w:r>
      <w:r w:rsidR="004F5972">
        <w:rPr>
          <w:rFonts w:ascii="Arial" w:hAnsi="Arial" w:cs="Arial"/>
          <w:b/>
          <w:color w:val="000000"/>
        </w:rPr>
        <w:t>A</w:t>
      </w:r>
      <w:r w:rsidRPr="00EF4659">
        <w:rPr>
          <w:rFonts w:ascii="Arial" w:hAnsi="Arial" w:cs="Arial"/>
          <w:b/>
          <w:color w:val="000000"/>
        </w:rPr>
        <w:t xml:space="preserve">ssistant </w:t>
      </w:r>
      <w:r w:rsidR="004F5972">
        <w:rPr>
          <w:rFonts w:ascii="Arial" w:hAnsi="Arial" w:cs="Arial"/>
          <w:b/>
          <w:color w:val="000000"/>
        </w:rPr>
        <w:t xml:space="preserve">(CNA) </w:t>
      </w:r>
      <w:r w:rsidRPr="00EF4659">
        <w:rPr>
          <w:rFonts w:ascii="Arial" w:hAnsi="Arial" w:cs="Arial"/>
          <w:b/>
          <w:color w:val="000000"/>
        </w:rPr>
        <w:t>services:</w:t>
      </w:r>
      <w:r w:rsidR="009B52C6" w:rsidRPr="00EF4659">
        <w:rPr>
          <w:rFonts w:ascii="Arial" w:eastAsia="Times New Roman" w:hAnsi="Arial" w:cs="Arial"/>
        </w:rPr>
        <w:t xml:space="preserve"> help with healthcare needs under the supervision of a nurse</w:t>
      </w:r>
    </w:p>
    <w:p w14:paraId="031BE765" w14:textId="4D88FB9A" w:rsidR="00087F15" w:rsidRPr="00EF4659" w:rsidRDefault="00087F15" w:rsidP="00EF4659">
      <w:pPr>
        <w:pStyle w:val="ListParagraph"/>
        <w:numPr>
          <w:ilvl w:val="0"/>
          <w:numId w:val="5"/>
        </w:numPr>
        <w:autoSpaceDE w:val="0"/>
        <w:autoSpaceDN w:val="0"/>
        <w:adjustRightInd w:val="0"/>
        <w:spacing w:before="80" w:after="0" w:line="221" w:lineRule="atLeast"/>
        <w:rPr>
          <w:rFonts w:ascii="Arial" w:hAnsi="Arial" w:cs="Arial"/>
          <w:color w:val="000000"/>
        </w:rPr>
      </w:pPr>
      <w:r w:rsidRPr="00EF4659">
        <w:rPr>
          <w:rFonts w:ascii="Arial" w:hAnsi="Arial" w:cs="Arial"/>
          <w:b/>
          <w:bCs/>
          <w:color w:val="000000"/>
        </w:rPr>
        <w:t>Companion services</w:t>
      </w:r>
      <w:r w:rsidR="003F10DE">
        <w:rPr>
          <w:rFonts w:ascii="Arial" w:hAnsi="Arial" w:cs="Arial"/>
          <w:b/>
          <w:bCs/>
          <w:color w:val="000000"/>
        </w:rPr>
        <w:t>:</w:t>
      </w:r>
      <w:r w:rsidRPr="00EF4659">
        <w:rPr>
          <w:rFonts w:ascii="Arial" w:hAnsi="Arial" w:cs="Arial"/>
          <w:b/>
          <w:bCs/>
          <w:color w:val="000000"/>
        </w:rPr>
        <w:t xml:space="preserve"> </w:t>
      </w:r>
      <w:r w:rsidRPr="00EF4659">
        <w:rPr>
          <w:rFonts w:ascii="Arial" w:hAnsi="Arial" w:cs="Arial"/>
          <w:color w:val="000000"/>
        </w:rPr>
        <w:t>Help with supervision, recreational activities or visiting</w:t>
      </w:r>
    </w:p>
    <w:p w14:paraId="6088AFEF" w14:textId="1B293211" w:rsidR="00087F15" w:rsidRPr="00EF4659" w:rsidRDefault="00087F15" w:rsidP="00EF4659">
      <w:pPr>
        <w:pStyle w:val="ListParagraph"/>
        <w:numPr>
          <w:ilvl w:val="0"/>
          <w:numId w:val="5"/>
        </w:numPr>
        <w:autoSpaceDE w:val="0"/>
        <w:autoSpaceDN w:val="0"/>
        <w:adjustRightInd w:val="0"/>
        <w:spacing w:before="80" w:after="0" w:line="221" w:lineRule="atLeast"/>
        <w:rPr>
          <w:rFonts w:ascii="Arial" w:hAnsi="Arial" w:cs="Arial"/>
          <w:color w:val="000000"/>
        </w:rPr>
      </w:pPr>
      <w:r w:rsidRPr="00EF4659">
        <w:rPr>
          <w:rFonts w:ascii="Arial" w:hAnsi="Arial" w:cs="Arial"/>
          <w:b/>
          <w:bCs/>
          <w:color w:val="000000"/>
        </w:rPr>
        <w:t>Personal care services</w:t>
      </w:r>
      <w:r w:rsidR="003F10DE">
        <w:rPr>
          <w:rFonts w:ascii="Arial" w:hAnsi="Arial" w:cs="Arial"/>
          <w:b/>
          <w:bCs/>
          <w:color w:val="000000"/>
        </w:rPr>
        <w:t>:</w:t>
      </w:r>
      <w:r w:rsidRPr="00EF4659">
        <w:rPr>
          <w:rFonts w:ascii="Arial" w:hAnsi="Arial" w:cs="Arial"/>
          <w:b/>
          <w:bCs/>
          <w:color w:val="000000"/>
        </w:rPr>
        <w:t xml:space="preserve"> </w:t>
      </w:r>
      <w:r w:rsidRPr="00EF4659">
        <w:rPr>
          <w:rFonts w:ascii="Arial" w:hAnsi="Arial" w:cs="Arial"/>
          <w:color w:val="000000"/>
        </w:rPr>
        <w:t>Help with bathing, dressing, toileting, exercising or other personal care</w:t>
      </w:r>
    </w:p>
    <w:p w14:paraId="76D23E0A" w14:textId="167277F7" w:rsidR="00087F15" w:rsidRPr="007C4FD2" w:rsidRDefault="00087F15" w:rsidP="00EF4659">
      <w:pPr>
        <w:pStyle w:val="Heading2"/>
        <w:numPr>
          <w:ilvl w:val="0"/>
          <w:numId w:val="5"/>
        </w:numPr>
        <w:jc w:val="left"/>
        <w:rPr>
          <w:rFonts w:eastAsia="Times New Roman"/>
          <w:sz w:val="22"/>
          <w:szCs w:val="22"/>
        </w:rPr>
      </w:pPr>
      <w:r w:rsidRPr="00EF4659">
        <w:rPr>
          <w:color w:val="000000"/>
          <w:sz w:val="22"/>
          <w:szCs w:val="22"/>
        </w:rPr>
        <w:t>Homemaker services</w:t>
      </w:r>
      <w:r w:rsidR="003F10DE">
        <w:rPr>
          <w:color w:val="000000"/>
          <w:sz w:val="22"/>
          <w:szCs w:val="22"/>
        </w:rPr>
        <w:t>:</w:t>
      </w:r>
      <w:r w:rsidRPr="00EF4659">
        <w:rPr>
          <w:color w:val="000000"/>
          <w:sz w:val="22"/>
          <w:szCs w:val="22"/>
        </w:rPr>
        <w:t xml:space="preserve"> </w:t>
      </w:r>
      <w:r w:rsidRPr="00EF4659">
        <w:rPr>
          <w:b w:val="0"/>
          <w:bCs w:val="0"/>
          <w:color w:val="000000"/>
          <w:sz w:val="22"/>
          <w:szCs w:val="22"/>
        </w:rPr>
        <w:t>Help with housekeeping, shopping or meal preparation</w:t>
      </w:r>
    </w:p>
    <w:p w14:paraId="7AA2EAC8" w14:textId="74C5D603" w:rsidR="007C4FD2" w:rsidRPr="00772E41" w:rsidRDefault="007C4FD2" w:rsidP="007C4FD2">
      <w:pPr>
        <w:pStyle w:val="Heading2"/>
        <w:ind w:left="630"/>
        <w:jc w:val="left"/>
        <w:rPr>
          <w:rFonts w:eastAsia="Times New Roman"/>
          <w:sz w:val="22"/>
          <w:szCs w:val="22"/>
        </w:rPr>
      </w:pPr>
      <w:r w:rsidRPr="007C4FD2">
        <w:rPr>
          <w:rFonts w:eastAsia="Times New Roman"/>
          <w:sz w:val="22"/>
          <w:szCs w:val="22"/>
        </w:rPr>
        <w:t>Health care providers (physicians, nurse practitioners, nurses</w:t>
      </w:r>
      <w:r w:rsidR="009B52C6">
        <w:rPr>
          <w:rFonts w:eastAsia="Times New Roman"/>
          <w:sz w:val="22"/>
          <w:szCs w:val="22"/>
        </w:rPr>
        <w:t>, allied health professionals</w:t>
      </w:r>
      <w:r w:rsidRPr="007C4FD2">
        <w:rPr>
          <w:rFonts w:eastAsia="Times New Roman"/>
          <w:sz w:val="22"/>
          <w:szCs w:val="22"/>
        </w:rPr>
        <w:t>)</w:t>
      </w:r>
      <w:r w:rsidR="00E13B2E" w:rsidRPr="00E13B2E">
        <w:rPr>
          <w:rFonts w:eastAsia="Times New Roman"/>
          <w:b w:val="0"/>
          <w:sz w:val="22"/>
          <w:szCs w:val="22"/>
        </w:rPr>
        <w:t>—</w:t>
      </w:r>
      <w:r w:rsidR="00772E41">
        <w:rPr>
          <w:rFonts w:eastAsia="Times New Roman"/>
          <w:b w:val="0"/>
          <w:sz w:val="22"/>
          <w:szCs w:val="22"/>
        </w:rPr>
        <w:t>provide</w:t>
      </w:r>
      <w:r w:rsidR="009B52C6">
        <w:rPr>
          <w:rFonts w:eastAsia="Times New Roman"/>
          <w:b w:val="0"/>
          <w:sz w:val="22"/>
          <w:szCs w:val="22"/>
        </w:rPr>
        <w:t xml:space="preserve"> health care </w:t>
      </w:r>
      <w:r w:rsidR="00772E41">
        <w:rPr>
          <w:rFonts w:eastAsia="Times New Roman"/>
          <w:b w:val="0"/>
          <w:sz w:val="22"/>
          <w:szCs w:val="22"/>
        </w:rPr>
        <w:t xml:space="preserve">in </w:t>
      </w:r>
      <w:r w:rsidR="009B52C6">
        <w:rPr>
          <w:rFonts w:eastAsia="Times New Roman"/>
          <w:b w:val="0"/>
          <w:sz w:val="22"/>
          <w:szCs w:val="22"/>
        </w:rPr>
        <w:t>setting</w:t>
      </w:r>
      <w:r w:rsidR="00772E41">
        <w:rPr>
          <w:rFonts w:eastAsia="Times New Roman"/>
          <w:b w:val="0"/>
          <w:sz w:val="22"/>
          <w:szCs w:val="22"/>
        </w:rPr>
        <w:t>s</w:t>
      </w:r>
      <w:r w:rsidR="009B52C6">
        <w:rPr>
          <w:rFonts w:eastAsia="Times New Roman"/>
          <w:b w:val="0"/>
          <w:sz w:val="22"/>
          <w:szCs w:val="22"/>
        </w:rPr>
        <w:t xml:space="preserve"> such as primary care clinic</w:t>
      </w:r>
      <w:r w:rsidR="00772E41">
        <w:rPr>
          <w:rFonts w:eastAsia="Times New Roman"/>
          <w:b w:val="0"/>
          <w:sz w:val="22"/>
          <w:szCs w:val="22"/>
        </w:rPr>
        <w:t>s</w:t>
      </w:r>
      <w:r w:rsidR="009B52C6">
        <w:rPr>
          <w:rFonts w:eastAsia="Times New Roman"/>
          <w:b w:val="0"/>
          <w:sz w:val="22"/>
          <w:szCs w:val="22"/>
        </w:rPr>
        <w:t>, hospital</w:t>
      </w:r>
      <w:r w:rsidR="00772E41">
        <w:rPr>
          <w:rFonts w:eastAsia="Times New Roman"/>
          <w:b w:val="0"/>
          <w:sz w:val="22"/>
          <w:szCs w:val="22"/>
        </w:rPr>
        <w:t>s</w:t>
      </w:r>
      <w:r w:rsidR="009B52C6">
        <w:rPr>
          <w:rFonts w:eastAsia="Times New Roman"/>
          <w:b w:val="0"/>
          <w:sz w:val="22"/>
          <w:szCs w:val="22"/>
        </w:rPr>
        <w:t>, rehabilitation center</w:t>
      </w:r>
      <w:r w:rsidR="00772E41">
        <w:rPr>
          <w:rFonts w:eastAsia="Times New Roman"/>
          <w:b w:val="0"/>
          <w:sz w:val="22"/>
          <w:szCs w:val="22"/>
        </w:rPr>
        <w:t>s</w:t>
      </w:r>
      <w:r w:rsidR="009B52C6">
        <w:rPr>
          <w:rFonts w:eastAsia="Times New Roman"/>
          <w:b w:val="0"/>
          <w:sz w:val="22"/>
          <w:szCs w:val="22"/>
        </w:rPr>
        <w:t xml:space="preserve">, </w:t>
      </w:r>
      <w:r w:rsidR="00772E41">
        <w:rPr>
          <w:rFonts w:eastAsia="Times New Roman"/>
          <w:b w:val="0"/>
          <w:sz w:val="22"/>
          <w:szCs w:val="22"/>
        </w:rPr>
        <w:t xml:space="preserve">long-term care facilities, </w:t>
      </w:r>
      <w:r w:rsidR="009B52C6">
        <w:rPr>
          <w:rFonts w:eastAsia="Times New Roman"/>
          <w:b w:val="0"/>
          <w:sz w:val="22"/>
          <w:szCs w:val="22"/>
        </w:rPr>
        <w:t>etc.</w:t>
      </w:r>
      <w:r w:rsidR="00772E41">
        <w:rPr>
          <w:rFonts w:eastAsia="Times New Roman"/>
          <w:b w:val="0"/>
          <w:sz w:val="22"/>
          <w:szCs w:val="22"/>
        </w:rPr>
        <w:t xml:space="preserve"> Does </w:t>
      </w:r>
      <w:r w:rsidR="00772E41">
        <w:rPr>
          <w:rFonts w:eastAsia="Times New Roman"/>
          <w:b w:val="0"/>
          <w:sz w:val="22"/>
          <w:szCs w:val="22"/>
          <w:u w:val="single"/>
        </w:rPr>
        <w:t>not</w:t>
      </w:r>
      <w:r w:rsidR="00772E41">
        <w:rPr>
          <w:rFonts w:eastAsia="Times New Roman"/>
          <w:b w:val="0"/>
          <w:sz w:val="22"/>
          <w:szCs w:val="22"/>
        </w:rPr>
        <w:t xml:space="preserve"> include CNAs; see “direct care workers” above.</w:t>
      </w:r>
    </w:p>
    <w:p w14:paraId="57160340" w14:textId="5373CEAC" w:rsidR="007C4FD2" w:rsidRPr="007C4FD2" w:rsidRDefault="007C4FD2" w:rsidP="007C4FD2">
      <w:pPr>
        <w:pStyle w:val="Heading2"/>
        <w:ind w:left="630"/>
        <w:jc w:val="left"/>
        <w:rPr>
          <w:rFonts w:eastAsia="Times New Roman"/>
          <w:sz w:val="22"/>
          <w:szCs w:val="22"/>
        </w:rPr>
      </w:pPr>
      <w:r w:rsidRPr="007C4FD2">
        <w:rPr>
          <w:rFonts w:eastAsia="Times New Roman"/>
          <w:sz w:val="22"/>
          <w:szCs w:val="22"/>
        </w:rPr>
        <w:t>Health educators, interventionists (</w:t>
      </w:r>
      <w:r w:rsidR="00087F15" w:rsidRPr="007C4FD2">
        <w:rPr>
          <w:rFonts w:eastAsia="Times New Roman"/>
          <w:sz w:val="22"/>
          <w:szCs w:val="22"/>
        </w:rPr>
        <w:t>provid</w:t>
      </w:r>
      <w:r w:rsidR="00087F15">
        <w:rPr>
          <w:rFonts w:eastAsia="Times New Roman"/>
          <w:sz w:val="22"/>
          <w:szCs w:val="22"/>
        </w:rPr>
        <w:t>e</w:t>
      </w:r>
      <w:r w:rsidR="00087F15" w:rsidRPr="007C4FD2">
        <w:rPr>
          <w:rFonts w:eastAsia="Times New Roman"/>
          <w:sz w:val="22"/>
          <w:szCs w:val="22"/>
        </w:rPr>
        <w:t xml:space="preserve"> </w:t>
      </w:r>
      <w:r w:rsidRPr="007C4FD2">
        <w:rPr>
          <w:rFonts w:eastAsia="Times New Roman"/>
          <w:sz w:val="22"/>
          <w:szCs w:val="22"/>
        </w:rPr>
        <w:t>training to PWD or caregivers)</w:t>
      </w:r>
      <w:r w:rsidR="00E13B2E" w:rsidRPr="00E13B2E">
        <w:rPr>
          <w:rFonts w:eastAsia="Times New Roman"/>
          <w:b w:val="0"/>
          <w:sz w:val="22"/>
          <w:szCs w:val="22"/>
        </w:rPr>
        <w:t>—conduct psychoeducational programs for persons with dementia and/or caregivers, either one-on-one or in a group setting</w:t>
      </w:r>
    </w:p>
    <w:p w14:paraId="02878D30" w14:textId="77777777" w:rsidR="007C4FD2" w:rsidRPr="007C4FD2" w:rsidRDefault="007C4FD2" w:rsidP="007C4FD2">
      <w:pPr>
        <w:pStyle w:val="Heading2"/>
        <w:ind w:left="630"/>
        <w:jc w:val="left"/>
        <w:rPr>
          <w:rFonts w:eastAsia="Times New Roman"/>
          <w:sz w:val="22"/>
          <w:szCs w:val="22"/>
        </w:rPr>
      </w:pPr>
      <w:r w:rsidRPr="007C4FD2">
        <w:rPr>
          <w:rFonts w:eastAsia="Times New Roman"/>
          <w:sz w:val="22"/>
          <w:szCs w:val="22"/>
        </w:rPr>
        <w:t>First responders</w:t>
      </w:r>
      <w:r w:rsidR="00E13B2E" w:rsidRPr="00E13B2E">
        <w:rPr>
          <w:rFonts w:eastAsia="Times New Roman"/>
          <w:b w:val="0"/>
          <w:sz w:val="22"/>
          <w:szCs w:val="22"/>
        </w:rPr>
        <w:t xml:space="preserve">—police officers, EMTs, </w:t>
      </w:r>
      <w:r w:rsidR="00087F15">
        <w:rPr>
          <w:rFonts w:eastAsia="Times New Roman"/>
          <w:b w:val="0"/>
          <w:sz w:val="22"/>
          <w:szCs w:val="22"/>
        </w:rPr>
        <w:t xml:space="preserve">paramedics, </w:t>
      </w:r>
      <w:r w:rsidR="00E13B2E" w:rsidRPr="00E13B2E">
        <w:rPr>
          <w:rFonts w:eastAsia="Times New Roman"/>
          <w:b w:val="0"/>
          <w:sz w:val="22"/>
          <w:szCs w:val="22"/>
        </w:rPr>
        <w:t>or fire fighters</w:t>
      </w:r>
    </w:p>
    <w:p w14:paraId="2540233C" w14:textId="131F656C" w:rsidR="007C4FD2" w:rsidRPr="00EF4659" w:rsidRDefault="007C4FD2" w:rsidP="007C4FD2">
      <w:pPr>
        <w:pStyle w:val="Heading2"/>
        <w:ind w:left="630"/>
        <w:jc w:val="left"/>
        <w:rPr>
          <w:rFonts w:eastAsia="Times New Roman"/>
          <w:b w:val="0"/>
          <w:sz w:val="22"/>
          <w:szCs w:val="22"/>
        </w:rPr>
      </w:pPr>
      <w:r w:rsidRPr="007C4FD2">
        <w:rPr>
          <w:rFonts w:eastAsia="Times New Roman"/>
          <w:sz w:val="22"/>
          <w:szCs w:val="22"/>
        </w:rPr>
        <w:t>Clergy, other members of faith community</w:t>
      </w:r>
      <w:r w:rsidR="003F10DE" w:rsidRPr="00EF4659">
        <w:rPr>
          <w:rFonts w:eastAsia="Times New Roman"/>
          <w:b w:val="0"/>
          <w:sz w:val="22"/>
          <w:szCs w:val="22"/>
        </w:rPr>
        <w:t>—</w:t>
      </w:r>
      <w:r w:rsidR="003F10DE">
        <w:rPr>
          <w:rFonts w:eastAsia="Times New Roman"/>
          <w:b w:val="0"/>
          <w:sz w:val="22"/>
          <w:szCs w:val="22"/>
        </w:rPr>
        <w:t xml:space="preserve">leaders or practitioners of various faiths trained to identify </w:t>
      </w:r>
      <w:r w:rsidR="00E252C7">
        <w:rPr>
          <w:rFonts w:eastAsia="Times New Roman"/>
          <w:b w:val="0"/>
          <w:sz w:val="22"/>
          <w:szCs w:val="22"/>
        </w:rPr>
        <w:t xml:space="preserve">persons </w:t>
      </w:r>
      <w:r w:rsidR="003F10DE">
        <w:rPr>
          <w:rFonts w:eastAsia="Times New Roman"/>
          <w:b w:val="0"/>
          <w:sz w:val="22"/>
          <w:szCs w:val="22"/>
        </w:rPr>
        <w:t>with possible dementia</w:t>
      </w:r>
      <w:r w:rsidR="00E252C7">
        <w:rPr>
          <w:rFonts w:eastAsia="Times New Roman"/>
          <w:b w:val="0"/>
          <w:sz w:val="22"/>
          <w:szCs w:val="22"/>
        </w:rPr>
        <w:t xml:space="preserve"> and connect them to local resources</w:t>
      </w:r>
    </w:p>
    <w:p w14:paraId="28948280" w14:textId="07518D82" w:rsidR="007C4FD2" w:rsidRPr="007C4FD2" w:rsidRDefault="007C4FD2" w:rsidP="007C4FD2">
      <w:pPr>
        <w:pStyle w:val="Heading2"/>
        <w:ind w:left="630"/>
        <w:jc w:val="left"/>
        <w:rPr>
          <w:rFonts w:eastAsia="Times New Roman"/>
          <w:sz w:val="22"/>
          <w:szCs w:val="22"/>
        </w:rPr>
      </w:pPr>
      <w:r w:rsidRPr="007C4FD2">
        <w:rPr>
          <w:rFonts w:eastAsia="Times New Roman"/>
          <w:sz w:val="22"/>
          <w:szCs w:val="22"/>
        </w:rPr>
        <w:t>Legal professionals</w:t>
      </w:r>
      <w:r w:rsidR="00E13B2E" w:rsidRPr="00E13B2E">
        <w:rPr>
          <w:rFonts w:eastAsia="Times New Roman"/>
          <w:b w:val="0"/>
          <w:sz w:val="22"/>
          <w:szCs w:val="22"/>
        </w:rPr>
        <w:t>—attorneys</w:t>
      </w:r>
      <w:r w:rsidR="00EF4659">
        <w:rPr>
          <w:rFonts w:eastAsia="Times New Roman"/>
          <w:b w:val="0"/>
          <w:sz w:val="22"/>
          <w:szCs w:val="22"/>
        </w:rPr>
        <w:t>, judges</w:t>
      </w:r>
      <w:r w:rsidR="00E13B2E" w:rsidRPr="00E13B2E">
        <w:rPr>
          <w:rFonts w:eastAsia="Times New Roman"/>
          <w:b w:val="0"/>
          <w:sz w:val="22"/>
          <w:szCs w:val="22"/>
        </w:rPr>
        <w:t xml:space="preserve"> </w:t>
      </w:r>
      <w:r w:rsidR="00087F15">
        <w:rPr>
          <w:rFonts w:eastAsia="Times New Roman"/>
          <w:b w:val="0"/>
          <w:sz w:val="22"/>
          <w:szCs w:val="22"/>
        </w:rPr>
        <w:t>or paralegal</w:t>
      </w:r>
      <w:r w:rsidR="003F10DE">
        <w:rPr>
          <w:rFonts w:eastAsia="Times New Roman"/>
          <w:b w:val="0"/>
          <w:sz w:val="22"/>
          <w:szCs w:val="22"/>
        </w:rPr>
        <w:t>s</w:t>
      </w:r>
    </w:p>
    <w:p w14:paraId="645F40D7" w14:textId="4AB39242" w:rsidR="007C4FD2" w:rsidRPr="00803388" w:rsidRDefault="007C4FD2" w:rsidP="007C4FD2">
      <w:pPr>
        <w:pStyle w:val="Heading2"/>
        <w:ind w:left="630"/>
        <w:jc w:val="left"/>
        <w:rPr>
          <w:rFonts w:eastAsia="Times New Roman"/>
          <w:b w:val="0"/>
          <w:sz w:val="22"/>
          <w:szCs w:val="22"/>
        </w:rPr>
      </w:pPr>
      <w:r w:rsidRPr="007C4FD2">
        <w:rPr>
          <w:rFonts w:eastAsia="Times New Roman"/>
          <w:sz w:val="22"/>
          <w:szCs w:val="22"/>
        </w:rPr>
        <w:t xml:space="preserve">Community businesses (banks, retail stores, pharmacies, restaurants, </w:t>
      </w:r>
      <w:proofErr w:type="spellStart"/>
      <w:r w:rsidRPr="007C4FD2">
        <w:rPr>
          <w:rFonts w:eastAsia="Times New Roman"/>
          <w:sz w:val="22"/>
          <w:szCs w:val="22"/>
        </w:rPr>
        <w:t>etc</w:t>
      </w:r>
      <w:proofErr w:type="spellEnd"/>
      <w:r w:rsidRPr="00803388">
        <w:rPr>
          <w:rFonts w:eastAsia="Times New Roman"/>
          <w:sz w:val="22"/>
          <w:szCs w:val="22"/>
        </w:rPr>
        <w:t>)</w:t>
      </w:r>
      <w:r w:rsidR="00803388" w:rsidRPr="00803388">
        <w:rPr>
          <w:rFonts w:eastAsia="Times New Roman"/>
          <w:b w:val="0"/>
          <w:sz w:val="22"/>
          <w:szCs w:val="22"/>
        </w:rPr>
        <w:t>—members of the local business community trained to identify persons with possible dementia</w:t>
      </w:r>
      <w:r w:rsidR="00E252C7">
        <w:rPr>
          <w:rFonts w:eastAsia="Times New Roman"/>
          <w:b w:val="0"/>
          <w:sz w:val="22"/>
          <w:szCs w:val="22"/>
        </w:rPr>
        <w:t xml:space="preserve"> and connect them to local resources</w:t>
      </w:r>
    </w:p>
    <w:p w14:paraId="354757DD" w14:textId="77777777" w:rsidR="007C4FD2" w:rsidRPr="007C4FD2" w:rsidRDefault="007C4FD2" w:rsidP="007C4FD2">
      <w:pPr>
        <w:pStyle w:val="Heading2"/>
        <w:ind w:left="270" w:firstLine="360"/>
        <w:jc w:val="left"/>
        <w:rPr>
          <w:rFonts w:eastAsia="Times New Roman"/>
          <w:sz w:val="22"/>
          <w:szCs w:val="22"/>
        </w:rPr>
      </w:pPr>
      <w:r w:rsidRPr="007C4FD2">
        <w:rPr>
          <w:rFonts w:eastAsia="Times New Roman"/>
          <w:sz w:val="22"/>
          <w:szCs w:val="22"/>
        </w:rPr>
        <w:t>Other</w:t>
      </w:r>
    </w:p>
    <w:p w14:paraId="0D02985F" w14:textId="77777777" w:rsidR="007C4FD2" w:rsidRPr="00A84655" w:rsidRDefault="007C4FD2" w:rsidP="00A84655">
      <w:pPr>
        <w:pStyle w:val="Heading2"/>
        <w:ind w:left="270"/>
        <w:jc w:val="left"/>
        <w:rPr>
          <w:rFonts w:eastAsia="Times New Roman"/>
          <w:b w:val="0"/>
          <w:sz w:val="22"/>
          <w:szCs w:val="22"/>
        </w:rPr>
      </w:pPr>
    </w:p>
    <w:p w14:paraId="379C3B3F" w14:textId="77777777" w:rsidR="00F91AFA" w:rsidRDefault="00F91AFA" w:rsidP="00F91AFA">
      <w:pPr>
        <w:pStyle w:val="Heading2"/>
        <w:rPr>
          <w:rFonts w:eastAsia="Times New Roman"/>
          <w:b w:val="0"/>
          <w:bCs w:val="0"/>
        </w:rPr>
      </w:pPr>
      <w:r>
        <w:rPr>
          <w:rFonts w:eastAsia="Times New Roman"/>
        </w:rPr>
        <w:t>Services, Expenditures, &amp; Participation</w:t>
      </w:r>
    </w:p>
    <w:p w14:paraId="7F99A557" w14:textId="77777777" w:rsidR="00F91AFA" w:rsidRDefault="00F91AFA" w:rsidP="00F91AFA">
      <w:pPr>
        <w:pStyle w:val="Heading3"/>
        <w:rPr>
          <w:rFonts w:eastAsia="Times New Roman"/>
        </w:rPr>
      </w:pPr>
      <w:r>
        <w:rPr>
          <w:rFonts w:eastAsia="Times New Roman"/>
        </w:rPr>
        <w:t>Direct Services</w:t>
      </w:r>
    </w:p>
    <w:p w14:paraId="4469096B" w14:textId="77777777" w:rsidR="00F91AFA" w:rsidRDefault="00F91AFA" w:rsidP="00F91AFA">
      <w:pPr>
        <w:pStyle w:val="BodyText"/>
        <w:rPr>
          <w:spacing w:val="60"/>
        </w:rPr>
      </w:pPr>
      <w:r>
        <w:t>There are 6 specified direct services (adult day care, companion services,</w:t>
      </w:r>
      <w:r>
        <w:rPr>
          <w:spacing w:val="101"/>
        </w:rPr>
        <w:t xml:space="preserve"> </w:t>
      </w:r>
      <w:r>
        <w:t>home health care, personal care, respite, and short term care in health care facility) of which a</w:t>
      </w:r>
      <w:r>
        <w:rPr>
          <w:spacing w:val="77"/>
        </w:rPr>
        <w:t xml:space="preserve"> </w:t>
      </w:r>
      <w:r>
        <w:t>grantee must implement at least one to meet the programmatic direct service requirement.</w:t>
      </w:r>
      <w:r>
        <w:rPr>
          <w:spacing w:val="60"/>
        </w:rPr>
        <w:t xml:space="preserve"> </w:t>
      </w:r>
    </w:p>
    <w:p w14:paraId="0C9B2FCE" w14:textId="77777777" w:rsidR="00F91AFA" w:rsidRDefault="00F91AFA" w:rsidP="00F91AFA">
      <w:pPr>
        <w:pStyle w:val="BodyText"/>
      </w:pPr>
      <w:r>
        <w:t>The following sections contain service definitions and service units.</w:t>
      </w:r>
      <w:r>
        <w:rPr>
          <w:spacing w:val="60"/>
        </w:rPr>
        <w:t xml:space="preserve"> </w:t>
      </w:r>
      <w:r>
        <w:t>A unit of service is defined</w:t>
      </w:r>
      <w:r>
        <w:rPr>
          <w:spacing w:val="113"/>
        </w:rPr>
        <w:t xml:space="preserve"> </w:t>
      </w:r>
      <w:r>
        <w:t>as a specific event or a predetermined period of time spent providing a specific service.</w:t>
      </w:r>
      <w:r>
        <w:rPr>
          <w:spacing w:val="61"/>
        </w:rPr>
        <w:t xml:space="preserve"> </w:t>
      </w:r>
      <w:r>
        <w:t>Please</w:t>
      </w:r>
      <w:r>
        <w:rPr>
          <w:spacing w:val="103"/>
        </w:rPr>
        <w:t xml:space="preserve"> </w:t>
      </w:r>
      <w:r>
        <w:t>note that in most</w:t>
      </w:r>
      <w:r>
        <w:rPr>
          <w:spacing w:val="-2"/>
        </w:rPr>
        <w:t xml:space="preserve"> </w:t>
      </w:r>
      <w:r>
        <w:t xml:space="preserve">cases one (1) unit equals one (1) hour. </w:t>
      </w:r>
    </w:p>
    <w:p w14:paraId="3885B4D3" w14:textId="77777777" w:rsidR="00F91AFA" w:rsidRDefault="00F91AFA" w:rsidP="00F91AFA">
      <w:pPr>
        <w:pStyle w:val="BodyText"/>
      </w:pPr>
      <w:r>
        <w:t>To avoid duplicative counting of services, if a person with dementia attended one</w:t>
      </w:r>
      <w:r>
        <w:rPr>
          <w:spacing w:val="-2"/>
        </w:rPr>
        <w:t xml:space="preserve"> </w:t>
      </w:r>
      <w:r>
        <w:t>(1) hour</w:t>
      </w:r>
      <w:r>
        <w:rPr>
          <w:spacing w:val="87"/>
        </w:rPr>
        <w:t xml:space="preserve"> </w:t>
      </w:r>
      <w:r>
        <w:t>of adult day care for both the purpose of socialization for the person with dementia and to provide respite for their</w:t>
      </w:r>
      <w:r>
        <w:rPr>
          <w:spacing w:val="65"/>
        </w:rPr>
        <w:t xml:space="preserve"> </w:t>
      </w:r>
      <w:r>
        <w:t>caregiver, only one (1) unit service could be counted.</w:t>
      </w:r>
    </w:p>
    <w:p w14:paraId="7C76C4F6" w14:textId="77777777" w:rsidR="00F91AFA" w:rsidRDefault="00F91AFA" w:rsidP="00F91AFA">
      <w:pPr>
        <w:pStyle w:val="BodyText2"/>
      </w:pPr>
      <w:r>
        <w:rPr>
          <w:b/>
          <w:bCs/>
        </w:rPr>
        <w:lastRenderedPageBreak/>
        <w:t xml:space="preserve">Adult Day Care—(unit = 1 hour) </w:t>
      </w:r>
      <w:r>
        <w:t>an organized program that takes place outside of the</w:t>
      </w:r>
      <w:r>
        <w:rPr>
          <w:spacing w:val="69"/>
        </w:rPr>
        <w:t xml:space="preserve"> </w:t>
      </w:r>
      <w:r>
        <w:t>home and provides care for the person with dementia in a congregate setting, but is not a</w:t>
      </w:r>
      <w:r>
        <w:rPr>
          <w:spacing w:val="83"/>
        </w:rPr>
        <w:t xml:space="preserve"> </w:t>
      </w:r>
      <w:r>
        <w:t>residential setting.</w:t>
      </w:r>
      <w:r>
        <w:rPr>
          <w:spacing w:val="60"/>
        </w:rPr>
        <w:t xml:space="preserve"> </w:t>
      </w:r>
      <w:r>
        <w:t>Services are supervised and include social engagement or health care</w:t>
      </w:r>
      <w:r>
        <w:rPr>
          <w:spacing w:val="107"/>
        </w:rPr>
        <w:t xml:space="preserve"> </w:t>
      </w:r>
      <w:r>
        <w:t>for elders who require skilled services or physical assistance with activities of daily living.</w:t>
      </w:r>
      <w:r>
        <w:rPr>
          <w:spacing w:val="97"/>
        </w:rPr>
        <w:t xml:space="preserve"> </w:t>
      </w:r>
      <w:r>
        <w:t>These services may be also referred to as Adult Day Services and Adult Day Health</w:t>
      </w:r>
      <w:r>
        <w:rPr>
          <w:spacing w:val="77"/>
        </w:rPr>
        <w:t xml:space="preserve"> </w:t>
      </w:r>
      <w:r>
        <w:t>Services.</w:t>
      </w:r>
    </w:p>
    <w:p w14:paraId="736F080D" w14:textId="77777777" w:rsidR="00F91AFA" w:rsidRDefault="00F91AFA" w:rsidP="00F91AFA">
      <w:pPr>
        <w:pStyle w:val="BodyText2"/>
      </w:pPr>
      <w:r>
        <w:rPr>
          <w:b/>
          <w:bCs/>
        </w:rPr>
        <w:t xml:space="preserve">Companion Services—(unit = 1 hour) </w:t>
      </w:r>
      <w:r>
        <w:t>companion services include non-medical care,</w:t>
      </w:r>
      <w:r>
        <w:rPr>
          <w:spacing w:val="91"/>
        </w:rPr>
        <w:t xml:space="preserve"> </w:t>
      </w:r>
      <w:r>
        <w:t>supervision and socialization provided to a participant/client.</w:t>
      </w:r>
      <w:r>
        <w:rPr>
          <w:spacing w:val="61"/>
        </w:rPr>
        <w:t xml:space="preserve"> </w:t>
      </w:r>
      <w:r>
        <w:t>Companions may assist or</w:t>
      </w:r>
      <w:r>
        <w:rPr>
          <w:spacing w:val="99"/>
        </w:rPr>
        <w:t xml:space="preserve"> </w:t>
      </w:r>
      <w:r>
        <w:t>supervise the individual with such tasks as meal preparation, laundry, light</w:t>
      </w:r>
      <w:r>
        <w:rPr>
          <w:spacing w:val="-2"/>
        </w:rPr>
        <w:t xml:space="preserve"> </w:t>
      </w:r>
      <w:r>
        <w:t>housekeeping,</w:t>
      </w:r>
      <w:r>
        <w:rPr>
          <w:spacing w:val="101"/>
        </w:rPr>
        <w:t xml:space="preserve"> </w:t>
      </w:r>
      <w:r>
        <w:t>and shopping. Companion services are typically provided in a participant/client’s home but</w:t>
      </w:r>
      <w:r>
        <w:rPr>
          <w:spacing w:val="103"/>
        </w:rPr>
        <w:t xml:space="preserve"> </w:t>
      </w:r>
      <w:r>
        <w:t>may include time spent accompanying participant/client to access services outside of the</w:t>
      </w:r>
      <w:r>
        <w:rPr>
          <w:spacing w:val="79"/>
        </w:rPr>
        <w:t xml:space="preserve"> </w:t>
      </w:r>
      <w:r>
        <w:t>home.</w:t>
      </w:r>
      <w:r>
        <w:rPr>
          <w:spacing w:val="60"/>
        </w:rPr>
        <w:t xml:space="preserve"> </w:t>
      </w:r>
      <w:r>
        <w:t>These services may be also referred to as Homemaker Services.</w:t>
      </w:r>
    </w:p>
    <w:p w14:paraId="0594D024" w14:textId="77777777" w:rsidR="00F91AFA" w:rsidRDefault="00F91AFA" w:rsidP="00F91AFA">
      <w:pPr>
        <w:pStyle w:val="BodyText2"/>
      </w:pPr>
      <w:r>
        <w:rPr>
          <w:b/>
          <w:bCs/>
        </w:rPr>
        <w:t xml:space="preserve">Home Health Care—(unit = 1 hour) </w:t>
      </w:r>
      <w:r>
        <w:t>in-home assistance that addresses medical needs,</w:t>
      </w:r>
      <w:r>
        <w:rPr>
          <w:spacing w:val="89"/>
        </w:rPr>
        <w:t xml:space="preserve"> </w:t>
      </w:r>
      <w:r>
        <w:t>such</w:t>
      </w:r>
      <w:r>
        <w:rPr>
          <w:spacing w:val="-2"/>
        </w:rPr>
        <w:t xml:space="preserve"> </w:t>
      </w:r>
      <w:r>
        <w:t>as administering medications and physical therapy.</w:t>
      </w:r>
      <w:r>
        <w:rPr>
          <w:spacing w:val="60"/>
        </w:rPr>
        <w:t xml:space="preserve"> </w:t>
      </w:r>
      <w:r>
        <w:t>These services may be also</w:t>
      </w:r>
      <w:r>
        <w:rPr>
          <w:spacing w:val="79"/>
        </w:rPr>
        <w:t xml:space="preserve"> </w:t>
      </w:r>
      <w:r>
        <w:t>referred to as Health Maintenance Care.</w:t>
      </w:r>
    </w:p>
    <w:p w14:paraId="39019A78" w14:textId="77777777" w:rsidR="00F91AFA" w:rsidRDefault="00F91AFA" w:rsidP="00F91AFA">
      <w:pPr>
        <w:pStyle w:val="BodyText2"/>
      </w:pPr>
      <w:r>
        <w:rPr>
          <w:b/>
          <w:bCs/>
        </w:rPr>
        <w:t xml:space="preserve">Personal Care—(unit = 1 hour) </w:t>
      </w:r>
      <w:r>
        <w:t>in-home assistance with daily living activities, including</w:t>
      </w:r>
      <w:r>
        <w:rPr>
          <w:spacing w:val="95"/>
        </w:rPr>
        <w:t xml:space="preserve"> </w:t>
      </w:r>
      <w:r>
        <w:t>bathing, dressing, eating, meal preparation, and light h</w:t>
      </w:r>
      <w:r>
        <w:rPr>
          <w:rStyle w:val="BodyText2Char"/>
        </w:rPr>
        <w:t>o</w:t>
      </w:r>
      <w:r>
        <w:t>usekeeping.</w:t>
      </w:r>
      <w:r>
        <w:rPr>
          <w:spacing w:val="61"/>
        </w:rPr>
        <w:t xml:space="preserve"> </w:t>
      </w:r>
      <w:r>
        <w:t>These services may</w:t>
      </w:r>
      <w:r>
        <w:rPr>
          <w:spacing w:val="119"/>
        </w:rPr>
        <w:t xml:space="preserve"> </w:t>
      </w:r>
      <w:r>
        <w:t>be also referred to as Personal Assistance.</w:t>
      </w:r>
    </w:p>
    <w:p w14:paraId="0D8FB993" w14:textId="77777777" w:rsidR="00F91AFA" w:rsidRDefault="00F91AFA" w:rsidP="00F91AFA">
      <w:pPr>
        <w:pStyle w:val="BodyText2"/>
      </w:pPr>
      <w:r>
        <w:rPr>
          <w:b/>
          <w:bCs/>
        </w:rPr>
        <w:t xml:space="preserve">Respite—(unit = 1 hour) </w:t>
      </w:r>
      <w:r>
        <w:t xml:space="preserve">an interval of rest or relief </w:t>
      </w:r>
      <w:r>
        <w:rPr>
          <w:u w:val="single"/>
        </w:rPr>
        <w:t xml:space="preserve">OR </w:t>
      </w:r>
      <w:r>
        <w:t>the result of a direct dementia-specific service or supportive intervention that generates rest or relief for the caregiver</w:t>
      </w:r>
      <w:r>
        <w:rPr>
          <w:spacing w:val="107"/>
        </w:rPr>
        <w:t xml:space="preserve"> </w:t>
      </w:r>
      <w:r>
        <w:t>and/or care recipient.</w:t>
      </w:r>
    </w:p>
    <w:p w14:paraId="5DCEF6EB" w14:textId="1470FBA0" w:rsidR="00F91AFA" w:rsidRDefault="00F91AFA" w:rsidP="00F91AFA">
      <w:pPr>
        <w:pStyle w:val="BodyText2"/>
      </w:pPr>
      <w:r>
        <w:rPr>
          <w:b/>
          <w:bCs/>
        </w:rPr>
        <w:t xml:space="preserve">Short Term Care in Health Facility—(unit = </w:t>
      </w:r>
      <w:r w:rsidR="00772E41">
        <w:rPr>
          <w:b/>
          <w:bCs/>
        </w:rPr>
        <w:t xml:space="preserve">1 </w:t>
      </w:r>
      <w:r>
        <w:rPr>
          <w:b/>
          <w:bCs/>
        </w:rPr>
        <w:t xml:space="preserve">hour) </w:t>
      </w:r>
      <w:r>
        <w:t>services provided on a short/long</w:t>
      </w:r>
      <w:r>
        <w:rPr>
          <w:spacing w:val="79"/>
        </w:rPr>
        <w:t xml:space="preserve"> </w:t>
      </w:r>
      <w:r>
        <w:t>term basis in a residential or assisted living facility, nursing ho</w:t>
      </w:r>
      <w:r>
        <w:rPr>
          <w:rStyle w:val="BodyText2Char"/>
        </w:rPr>
        <w:t>m</w:t>
      </w:r>
      <w:r>
        <w:t>e, or other long-term care</w:t>
      </w:r>
      <w:r>
        <w:rPr>
          <w:spacing w:val="103"/>
        </w:rPr>
        <w:t xml:space="preserve"> </w:t>
      </w:r>
      <w:r>
        <w:t>institution because of the absence/need for relief of the regular caregiver.</w:t>
      </w:r>
      <w:r>
        <w:rPr>
          <w:spacing w:val="60"/>
        </w:rPr>
        <w:t xml:space="preserve"> </w:t>
      </w:r>
      <w:r>
        <w:t>These services</w:t>
      </w:r>
      <w:r>
        <w:rPr>
          <w:spacing w:val="111"/>
        </w:rPr>
        <w:t xml:space="preserve"> </w:t>
      </w:r>
      <w:r>
        <w:t>may be also referred to as Institutional Caregiver Respite</w:t>
      </w:r>
      <w:r>
        <w:rPr>
          <w:spacing w:val="-2"/>
        </w:rPr>
        <w:t xml:space="preserve"> </w:t>
      </w:r>
      <w:r>
        <w:t>Care.</w:t>
      </w:r>
    </w:p>
    <w:p w14:paraId="67E39040" w14:textId="77777777" w:rsidR="00F53C23" w:rsidRDefault="00803388" w:rsidP="00803388">
      <w:pPr>
        <w:ind w:firstLine="180"/>
        <w:rPr>
          <w:rFonts w:ascii="Arial" w:hAnsi="Arial" w:cs="Arial"/>
          <w:b/>
        </w:rPr>
      </w:pPr>
      <w:r w:rsidRPr="00803388">
        <w:rPr>
          <w:rFonts w:ascii="Arial" w:hAnsi="Arial" w:cs="Arial"/>
          <w:b/>
        </w:rPr>
        <w:t>Expenditures</w:t>
      </w:r>
    </w:p>
    <w:p w14:paraId="6C391786" w14:textId="0EFC1001" w:rsidR="00E03CB5" w:rsidRPr="00326EFE" w:rsidRDefault="00EA7EDE" w:rsidP="00326EFE">
      <w:pPr>
        <w:ind w:left="630"/>
        <w:rPr>
          <w:rFonts w:ascii="Arial" w:hAnsi="Arial" w:cs="Arial"/>
          <w:b/>
        </w:rPr>
      </w:pPr>
      <w:r>
        <w:rPr>
          <w:rFonts w:ascii="Arial" w:hAnsi="Arial" w:cs="Arial"/>
          <w:b/>
        </w:rPr>
        <w:t>Spending Requirements for</w:t>
      </w:r>
      <w:bookmarkStart w:id="1" w:name="_GoBack"/>
      <w:bookmarkEnd w:id="1"/>
      <w:r w:rsidR="00326EFE">
        <w:rPr>
          <w:rFonts w:ascii="Arial" w:hAnsi="Arial" w:cs="Arial"/>
          <w:b/>
        </w:rPr>
        <w:t xml:space="preserve"> </w:t>
      </w:r>
      <w:r w:rsidR="00E03CB5" w:rsidRPr="00E03CB5">
        <w:rPr>
          <w:rFonts w:ascii="Arial" w:hAnsi="Arial" w:cs="Arial"/>
          <w:b/>
        </w:rPr>
        <w:t>Funds Spent on Direct Service Expenses</w:t>
      </w:r>
      <w:r w:rsidR="00E03CB5">
        <w:rPr>
          <w:rFonts w:ascii="Arial" w:hAnsi="Arial" w:cs="Arial"/>
          <w:b/>
        </w:rPr>
        <w:t xml:space="preserve"> and Administrative E</w:t>
      </w:r>
      <w:r w:rsidR="00E03CB5" w:rsidRPr="00803388">
        <w:rPr>
          <w:rFonts w:ascii="Arial" w:hAnsi="Arial" w:cs="Arial"/>
          <w:b/>
        </w:rPr>
        <w:t>xpenses</w:t>
      </w:r>
      <w:r w:rsidR="00E03CB5">
        <w:rPr>
          <w:rFonts w:ascii="Arial" w:hAnsi="Arial" w:cs="Arial"/>
          <w:b/>
        </w:rPr>
        <w:t xml:space="preserve"> –</w:t>
      </w:r>
      <w:r w:rsidR="00E03CB5">
        <w:rPr>
          <w:rFonts w:ascii="Arial" w:hAnsi="Arial" w:cs="Arial"/>
          <w:b/>
        </w:rPr>
        <w:br/>
      </w:r>
      <w:r w:rsidR="00E03CB5">
        <w:rPr>
          <w:rFonts w:ascii="Arial" w:hAnsi="Arial" w:cs="Arial"/>
        </w:rPr>
        <w:t xml:space="preserve">When calculating </w:t>
      </w:r>
      <w:r w:rsidR="00326EFE">
        <w:rPr>
          <w:rFonts w:ascii="Arial" w:hAnsi="Arial" w:cs="Arial"/>
        </w:rPr>
        <w:t xml:space="preserve">funds spent on direct service expenses and administrative expenses, </w:t>
      </w:r>
      <w:r w:rsidR="00E03CB5">
        <w:rPr>
          <w:rFonts w:ascii="Arial" w:hAnsi="Arial" w:cs="Arial"/>
        </w:rPr>
        <w:t>the “</w:t>
      </w:r>
      <w:r w:rsidR="00326EFE">
        <w:rPr>
          <w:rFonts w:ascii="Arial" w:hAnsi="Arial" w:cs="Arial"/>
        </w:rPr>
        <w:t xml:space="preserve">grant </w:t>
      </w:r>
      <w:r w:rsidR="00E03CB5">
        <w:rPr>
          <w:rFonts w:ascii="Arial" w:hAnsi="Arial" w:cs="Arial"/>
        </w:rPr>
        <w:t>funds” and “budget“</w:t>
      </w:r>
      <w:r w:rsidR="00326EFE">
        <w:rPr>
          <w:rFonts w:ascii="Arial" w:hAnsi="Arial" w:cs="Arial"/>
        </w:rPr>
        <w:t xml:space="preserve"> </w:t>
      </w:r>
      <w:r w:rsidR="00326EFE" w:rsidRPr="00326EFE">
        <w:rPr>
          <w:rFonts w:ascii="Arial" w:hAnsi="Arial" w:cs="Arial"/>
        </w:rPr>
        <w:t>apply to the total approved budget, including both the federal share and the state match portion</w:t>
      </w:r>
      <w:r w:rsidR="00E03CB5" w:rsidRPr="00326EFE">
        <w:rPr>
          <w:rFonts w:ascii="Arial" w:hAnsi="Arial" w:cs="Arial"/>
        </w:rPr>
        <w:t>.</w:t>
      </w:r>
    </w:p>
    <w:p w14:paraId="2021E342" w14:textId="7FC6FDD3" w:rsidR="00803388" w:rsidRPr="00803388" w:rsidRDefault="00803388" w:rsidP="00803388">
      <w:pPr>
        <w:ind w:left="630"/>
        <w:rPr>
          <w:rFonts w:ascii="Arial" w:hAnsi="Arial" w:cs="Arial"/>
        </w:rPr>
      </w:pPr>
      <w:r w:rsidRPr="00803388">
        <w:rPr>
          <w:rFonts w:ascii="Arial" w:hAnsi="Arial" w:cs="Arial"/>
          <w:b/>
        </w:rPr>
        <w:t>Administrative expenses</w:t>
      </w:r>
      <w:r>
        <w:rPr>
          <w:rFonts w:ascii="Arial" w:hAnsi="Arial" w:cs="Arial"/>
        </w:rPr>
        <w:t>--</w:t>
      </w:r>
      <w:r w:rsidRPr="00803388">
        <w:t xml:space="preserve"> </w:t>
      </w:r>
      <w:r w:rsidRPr="00803388">
        <w:rPr>
          <w:rFonts w:ascii="Arial" w:hAnsi="Arial" w:cs="Arial"/>
        </w:rPr>
        <w:t>Administrative expenses are the direct and indirect costs related to (1) routine grant administration and monitoring (for example, receipt and disbursal of program funds, preparation of routine programmatic and financial reports, and compliance with grant conditions and audit reports) and (2) contract development, solicitation, review, and monitoring of contracts.</w:t>
      </w:r>
    </w:p>
    <w:p w14:paraId="4F18260E" w14:textId="77777777" w:rsidR="00803388" w:rsidRPr="00803388" w:rsidRDefault="00803388" w:rsidP="00803388">
      <w:pPr>
        <w:ind w:left="630"/>
        <w:rPr>
          <w:rFonts w:ascii="Arial" w:hAnsi="Arial" w:cs="Arial"/>
        </w:rPr>
      </w:pPr>
      <w:r w:rsidRPr="00803388">
        <w:rPr>
          <w:rFonts w:ascii="Arial" w:hAnsi="Arial" w:cs="Arial"/>
        </w:rPr>
        <w:t xml:space="preserve">Administrative expenses do not include costs associated with substantive programmatic work. </w:t>
      </w:r>
    </w:p>
    <w:p w14:paraId="6C78C113" w14:textId="77777777" w:rsidR="00803388" w:rsidRDefault="00803388" w:rsidP="00803388">
      <w:pPr>
        <w:ind w:left="630"/>
        <w:rPr>
          <w:rFonts w:ascii="Arial" w:hAnsi="Arial" w:cs="Arial"/>
        </w:rPr>
      </w:pPr>
      <w:r w:rsidRPr="00803388">
        <w:rPr>
          <w:rFonts w:ascii="Arial" w:hAnsi="Arial" w:cs="Arial"/>
        </w:rPr>
        <w:t xml:space="preserve">Examples of expenses that are not considered administrative include: project planning and implementation (e.g. project protocols, staff training, etc.); salary, fringe, etc. for staff </w:t>
      </w:r>
      <w:r w:rsidRPr="00803388">
        <w:rPr>
          <w:rFonts w:ascii="Arial" w:hAnsi="Arial" w:cs="Arial"/>
        </w:rPr>
        <w:lastRenderedPageBreak/>
        <w:t>delivering direct services; the evaluation and analysis of participant outcomes; and the dissemination of project materials and findings.</w:t>
      </w:r>
    </w:p>
    <w:p w14:paraId="3309F889" w14:textId="77777777" w:rsidR="00E03CB5" w:rsidRPr="00803388" w:rsidRDefault="00E03CB5" w:rsidP="00803388">
      <w:pPr>
        <w:ind w:left="630"/>
        <w:rPr>
          <w:rFonts w:ascii="Arial" w:hAnsi="Arial" w:cs="Arial"/>
        </w:rPr>
      </w:pPr>
    </w:p>
    <w:sectPr w:rsidR="00E03CB5" w:rsidRPr="008033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7D23AB8"/>
    <w:lvl w:ilvl="0">
      <w:start w:val="1"/>
      <w:numFmt w:val="bullet"/>
      <w:pStyle w:val="ListBullet"/>
      <w:lvlText w:val="•"/>
      <w:lvlJc w:val="left"/>
      <w:pPr>
        <w:ind w:left="1080" w:hanging="360"/>
      </w:pPr>
      <w:rPr>
        <w:rFonts w:ascii="Arial" w:hAnsi="Arial" w:cs="Times New Roman" w:hint="default"/>
        <w:sz w:val="22"/>
      </w:rPr>
    </w:lvl>
  </w:abstractNum>
  <w:abstractNum w:abstractNumId="1">
    <w:nsid w:val="1E2100CC"/>
    <w:multiLevelType w:val="hybridMultilevel"/>
    <w:tmpl w:val="AA4EE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DFD70F5"/>
    <w:multiLevelType w:val="hybridMultilevel"/>
    <w:tmpl w:val="7E5C234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3">
    <w:nsid w:val="37382BC6"/>
    <w:multiLevelType w:val="hybridMultilevel"/>
    <w:tmpl w:val="077C70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44A822F3"/>
    <w:multiLevelType w:val="hybridMultilevel"/>
    <w:tmpl w:val="14729B5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0A638B0-709E-4B4F-82E1-9FAC5A5D5BE3}"/>
    <w:docVar w:name="dgnword-eventsink" w:val="353026176"/>
  </w:docVars>
  <w:rsids>
    <w:rsidRoot w:val="00F91AFA"/>
    <w:rsid w:val="00001DEE"/>
    <w:rsid w:val="00087F15"/>
    <w:rsid w:val="000F7946"/>
    <w:rsid w:val="00117220"/>
    <w:rsid w:val="001A1694"/>
    <w:rsid w:val="002623D1"/>
    <w:rsid w:val="00326EFE"/>
    <w:rsid w:val="003F10DE"/>
    <w:rsid w:val="004845FF"/>
    <w:rsid w:val="004A2442"/>
    <w:rsid w:val="004F37E7"/>
    <w:rsid w:val="004F5972"/>
    <w:rsid w:val="00772E41"/>
    <w:rsid w:val="007C4FD2"/>
    <w:rsid w:val="00803388"/>
    <w:rsid w:val="0094412E"/>
    <w:rsid w:val="009B52C6"/>
    <w:rsid w:val="009D26FB"/>
    <w:rsid w:val="00A142F0"/>
    <w:rsid w:val="00A84655"/>
    <w:rsid w:val="00A91DF3"/>
    <w:rsid w:val="00AC3446"/>
    <w:rsid w:val="00B137A3"/>
    <w:rsid w:val="00C03A15"/>
    <w:rsid w:val="00CD3523"/>
    <w:rsid w:val="00D22918"/>
    <w:rsid w:val="00DC0FAD"/>
    <w:rsid w:val="00E03CB5"/>
    <w:rsid w:val="00E13B2E"/>
    <w:rsid w:val="00E252C7"/>
    <w:rsid w:val="00E712E7"/>
    <w:rsid w:val="00EA7EDE"/>
    <w:rsid w:val="00ED7699"/>
    <w:rsid w:val="00EF4659"/>
    <w:rsid w:val="00F60B29"/>
    <w:rsid w:val="00F91AFA"/>
    <w:rsid w:val="00F939A9"/>
    <w:rsid w:val="00FD45C6"/>
    <w:rsid w:val="00FE0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0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F91AFA"/>
    <w:pPr>
      <w:spacing w:before="240" w:after="240" w:line="240" w:lineRule="auto"/>
      <w:jc w:val="center"/>
      <w:outlineLvl w:val="0"/>
    </w:pPr>
    <w:rPr>
      <w:rFonts w:ascii="Arial" w:hAnsi="Arial" w:cs="Arial"/>
      <w:b/>
      <w:bCs/>
      <w:kern w:val="36"/>
      <w:sz w:val="28"/>
      <w:szCs w:val="28"/>
    </w:rPr>
  </w:style>
  <w:style w:type="paragraph" w:styleId="Heading2">
    <w:name w:val="heading 2"/>
    <w:basedOn w:val="Normal"/>
    <w:link w:val="Heading2Char"/>
    <w:uiPriority w:val="1"/>
    <w:semiHidden/>
    <w:unhideWhenUsed/>
    <w:qFormat/>
    <w:rsid w:val="00F91AFA"/>
    <w:pPr>
      <w:spacing w:after="240" w:line="240" w:lineRule="auto"/>
      <w:jc w:val="center"/>
      <w:outlineLvl w:val="1"/>
    </w:pPr>
    <w:rPr>
      <w:rFonts w:ascii="Arial" w:hAnsi="Arial" w:cs="Arial"/>
      <w:b/>
      <w:bCs/>
      <w:sz w:val="24"/>
      <w:szCs w:val="24"/>
    </w:rPr>
  </w:style>
  <w:style w:type="paragraph" w:styleId="Heading3">
    <w:name w:val="heading 3"/>
    <w:basedOn w:val="Normal"/>
    <w:link w:val="Heading3Char"/>
    <w:uiPriority w:val="1"/>
    <w:semiHidden/>
    <w:unhideWhenUsed/>
    <w:qFormat/>
    <w:rsid w:val="00F91AFA"/>
    <w:pPr>
      <w:spacing w:before="240" w:after="120" w:line="240" w:lineRule="auto"/>
      <w:ind w:left="115"/>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91AFA"/>
    <w:rPr>
      <w:rFonts w:ascii="Arial" w:hAnsi="Arial" w:cs="Arial"/>
      <w:b/>
      <w:bCs/>
      <w:kern w:val="36"/>
      <w:sz w:val="28"/>
      <w:szCs w:val="28"/>
    </w:rPr>
  </w:style>
  <w:style w:type="character" w:customStyle="1" w:styleId="Heading2Char">
    <w:name w:val="Heading 2 Char"/>
    <w:basedOn w:val="DefaultParagraphFont"/>
    <w:link w:val="Heading2"/>
    <w:uiPriority w:val="1"/>
    <w:semiHidden/>
    <w:rsid w:val="00F91AFA"/>
    <w:rPr>
      <w:rFonts w:ascii="Arial" w:hAnsi="Arial" w:cs="Arial"/>
      <w:b/>
      <w:bCs/>
      <w:sz w:val="24"/>
      <w:szCs w:val="24"/>
    </w:rPr>
  </w:style>
  <w:style w:type="character" w:customStyle="1" w:styleId="Heading3Char">
    <w:name w:val="Heading 3 Char"/>
    <w:basedOn w:val="DefaultParagraphFont"/>
    <w:link w:val="Heading3"/>
    <w:uiPriority w:val="1"/>
    <w:semiHidden/>
    <w:rsid w:val="00F91AFA"/>
    <w:rPr>
      <w:rFonts w:ascii="Arial" w:hAnsi="Arial" w:cs="Arial"/>
      <w:b/>
      <w:bCs/>
    </w:rPr>
  </w:style>
  <w:style w:type="paragraph" w:styleId="ListBullet">
    <w:name w:val="List Bullet"/>
    <w:basedOn w:val="Normal"/>
    <w:uiPriority w:val="99"/>
    <w:semiHidden/>
    <w:unhideWhenUsed/>
    <w:rsid w:val="00F91AFA"/>
    <w:pPr>
      <w:numPr>
        <w:numId w:val="1"/>
      </w:numPr>
      <w:spacing w:after="240" w:line="240" w:lineRule="auto"/>
      <w:ind w:left="1008" w:hanging="288"/>
      <w:contextualSpacing/>
    </w:pPr>
    <w:rPr>
      <w:rFonts w:ascii="Arial" w:hAnsi="Arial" w:cs="Arial"/>
    </w:rPr>
  </w:style>
  <w:style w:type="paragraph" w:styleId="BodyText">
    <w:name w:val="Body Text"/>
    <w:basedOn w:val="Normal"/>
    <w:link w:val="BodyTextChar"/>
    <w:uiPriority w:val="1"/>
    <w:semiHidden/>
    <w:unhideWhenUsed/>
    <w:rsid w:val="00F91AFA"/>
    <w:pPr>
      <w:spacing w:after="240" w:line="240" w:lineRule="auto"/>
      <w:ind w:left="259"/>
    </w:pPr>
    <w:rPr>
      <w:rFonts w:ascii="Arial" w:hAnsi="Arial" w:cs="Arial"/>
    </w:rPr>
  </w:style>
  <w:style w:type="character" w:customStyle="1" w:styleId="BodyTextChar">
    <w:name w:val="Body Text Char"/>
    <w:basedOn w:val="DefaultParagraphFont"/>
    <w:link w:val="BodyText"/>
    <w:uiPriority w:val="1"/>
    <w:semiHidden/>
    <w:rsid w:val="00F91AFA"/>
    <w:rPr>
      <w:rFonts w:ascii="Arial" w:hAnsi="Arial" w:cs="Arial"/>
    </w:rPr>
  </w:style>
  <w:style w:type="paragraph" w:styleId="BodyText2">
    <w:name w:val="Body Text 2"/>
    <w:basedOn w:val="Normal"/>
    <w:link w:val="BodyText2Char"/>
    <w:uiPriority w:val="99"/>
    <w:semiHidden/>
    <w:unhideWhenUsed/>
    <w:rsid w:val="00F91AFA"/>
    <w:pPr>
      <w:spacing w:after="240" w:line="240" w:lineRule="auto"/>
      <w:ind w:left="576"/>
    </w:pPr>
    <w:rPr>
      <w:rFonts w:ascii="Arial" w:hAnsi="Arial" w:cs="Arial"/>
    </w:rPr>
  </w:style>
  <w:style w:type="character" w:customStyle="1" w:styleId="BodyText2Char">
    <w:name w:val="Body Text 2 Char"/>
    <w:basedOn w:val="DefaultParagraphFont"/>
    <w:link w:val="BodyText2"/>
    <w:uiPriority w:val="99"/>
    <w:semiHidden/>
    <w:rsid w:val="00F91AFA"/>
    <w:rPr>
      <w:rFonts w:ascii="Arial" w:hAnsi="Arial" w:cs="Arial"/>
    </w:rPr>
  </w:style>
  <w:style w:type="character" w:styleId="Emphasis">
    <w:name w:val="Emphasis"/>
    <w:basedOn w:val="DefaultParagraphFont"/>
    <w:uiPriority w:val="20"/>
    <w:qFormat/>
    <w:rsid w:val="00B137A3"/>
    <w:rPr>
      <w:i/>
      <w:iCs/>
    </w:rPr>
  </w:style>
  <w:style w:type="character" w:customStyle="1" w:styleId="tgc">
    <w:name w:val="_tgc"/>
    <w:basedOn w:val="DefaultParagraphFont"/>
    <w:rsid w:val="00B137A3"/>
  </w:style>
  <w:style w:type="character" w:styleId="CommentReference">
    <w:name w:val="annotation reference"/>
    <w:basedOn w:val="DefaultParagraphFont"/>
    <w:uiPriority w:val="99"/>
    <w:semiHidden/>
    <w:unhideWhenUsed/>
    <w:rsid w:val="00DC0FAD"/>
    <w:rPr>
      <w:sz w:val="16"/>
      <w:szCs w:val="16"/>
    </w:rPr>
  </w:style>
  <w:style w:type="paragraph" w:styleId="CommentText">
    <w:name w:val="annotation text"/>
    <w:basedOn w:val="Normal"/>
    <w:link w:val="CommentTextChar"/>
    <w:uiPriority w:val="99"/>
    <w:semiHidden/>
    <w:unhideWhenUsed/>
    <w:rsid w:val="00DC0FAD"/>
    <w:pPr>
      <w:spacing w:line="240" w:lineRule="auto"/>
    </w:pPr>
    <w:rPr>
      <w:sz w:val="20"/>
      <w:szCs w:val="20"/>
    </w:rPr>
  </w:style>
  <w:style w:type="character" w:customStyle="1" w:styleId="CommentTextChar">
    <w:name w:val="Comment Text Char"/>
    <w:basedOn w:val="DefaultParagraphFont"/>
    <w:link w:val="CommentText"/>
    <w:uiPriority w:val="99"/>
    <w:semiHidden/>
    <w:rsid w:val="00DC0FAD"/>
    <w:rPr>
      <w:sz w:val="20"/>
      <w:szCs w:val="20"/>
    </w:rPr>
  </w:style>
  <w:style w:type="paragraph" w:styleId="CommentSubject">
    <w:name w:val="annotation subject"/>
    <w:basedOn w:val="CommentText"/>
    <w:next w:val="CommentText"/>
    <w:link w:val="CommentSubjectChar"/>
    <w:uiPriority w:val="99"/>
    <w:semiHidden/>
    <w:unhideWhenUsed/>
    <w:rsid w:val="00DC0FAD"/>
    <w:rPr>
      <w:b/>
      <w:bCs/>
    </w:rPr>
  </w:style>
  <w:style w:type="character" w:customStyle="1" w:styleId="CommentSubjectChar">
    <w:name w:val="Comment Subject Char"/>
    <w:basedOn w:val="CommentTextChar"/>
    <w:link w:val="CommentSubject"/>
    <w:uiPriority w:val="99"/>
    <w:semiHidden/>
    <w:rsid w:val="00DC0FAD"/>
    <w:rPr>
      <w:b/>
      <w:bCs/>
      <w:sz w:val="20"/>
      <w:szCs w:val="20"/>
    </w:rPr>
  </w:style>
  <w:style w:type="paragraph" w:styleId="BalloonText">
    <w:name w:val="Balloon Text"/>
    <w:basedOn w:val="Normal"/>
    <w:link w:val="BalloonTextChar"/>
    <w:uiPriority w:val="99"/>
    <w:semiHidden/>
    <w:unhideWhenUsed/>
    <w:rsid w:val="00DC0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FAD"/>
    <w:rPr>
      <w:rFonts w:ascii="Segoe UI" w:hAnsi="Segoe UI" w:cs="Segoe UI"/>
      <w:sz w:val="18"/>
      <w:szCs w:val="18"/>
    </w:rPr>
  </w:style>
  <w:style w:type="paragraph" w:styleId="ListParagraph">
    <w:name w:val="List Paragraph"/>
    <w:basedOn w:val="Normal"/>
    <w:uiPriority w:val="34"/>
    <w:qFormat/>
    <w:rsid w:val="00087F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F91AFA"/>
    <w:pPr>
      <w:spacing w:before="240" w:after="240" w:line="240" w:lineRule="auto"/>
      <w:jc w:val="center"/>
      <w:outlineLvl w:val="0"/>
    </w:pPr>
    <w:rPr>
      <w:rFonts w:ascii="Arial" w:hAnsi="Arial" w:cs="Arial"/>
      <w:b/>
      <w:bCs/>
      <w:kern w:val="36"/>
      <w:sz w:val="28"/>
      <w:szCs w:val="28"/>
    </w:rPr>
  </w:style>
  <w:style w:type="paragraph" w:styleId="Heading2">
    <w:name w:val="heading 2"/>
    <w:basedOn w:val="Normal"/>
    <w:link w:val="Heading2Char"/>
    <w:uiPriority w:val="1"/>
    <w:semiHidden/>
    <w:unhideWhenUsed/>
    <w:qFormat/>
    <w:rsid w:val="00F91AFA"/>
    <w:pPr>
      <w:spacing w:after="240" w:line="240" w:lineRule="auto"/>
      <w:jc w:val="center"/>
      <w:outlineLvl w:val="1"/>
    </w:pPr>
    <w:rPr>
      <w:rFonts w:ascii="Arial" w:hAnsi="Arial" w:cs="Arial"/>
      <w:b/>
      <w:bCs/>
      <w:sz w:val="24"/>
      <w:szCs w:val="24"/>
    </w:rPr>
  </w:style>
  <w:style w:type="paragraph" w:styleId="Heading3">
    <w:name w:val="heading 3"/>
    <w:basedOn w:val="Normal"/>
    <w:link w:val="Heading3Char"/>
    <w:uiPriority w:val="1"/>
    <w:semiHidden/>
    <w:unhideWhenUsed/>
    <w:qFormat/>
    <w:rsid w:val="00F91AFA"/>
    <w:pPr>
      <w:spacing w:before="240" w:after="120" w:line="240" w:lineRule="auto"/>
      <w:ind w:left="115"/>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91AFA"/>
    <w:rPr>
      <w:rFonts w:ascii="Arial" w:hAnsi="Arial" w:cs="Arial"/>
      <w:b/>
      <w:bCs/>
      <w:kern w:val="36"/>
      <w:sz w:val="28"/>
      <w:szCs w:val="28"/>
    </w:rPr>
  </w:style>
  <w:style w:type="character" w:customStyle="1" w:styleId="Heading2Char">
    <w:name w:val="Heading 2 Char"/>
    <w:basedOn w:val="DefaultParagraphFont"/>
    <w:link w:val="Heading2"/>
    <w:uiPriority w:val="1"/>
    <w:semiHidden/>
    <w:rsid w:val="00F91AFA"/>
    <w:rPr>
      <w:rFonts w:ascii="Arial" w:hAnsi="Arial" w:cs="Arial"/>
      <w:b/>
      <w:bCs/>
      <w:sz w:val="24"/>
      <w:szCs w:val="24"/>
    </w:rPr>
  </w:style>
  <w:style w:type="character" w:customStyle="1" w:styleId="Heading3Char">
    <w:name w:val="Heading 3 Char"/>
    <w:basedOn w:val="DefaultParagraphFont"/>
    <w:link w:val="Heading3"/>
    <w:uiPriority w:val="1"/>
    <w:semiHidden/>
    <w:rsid w:val="00F91AFA"/>
    <w:rPr>
      <w:rFonts w:ascii="Arial" w:hAnsi="Arial" w:cs="Arial"/>
      <w:b/>
      <w:bCs/>
    </w:rPr>
  </w:style>
  <w:style w:type="paragraph" w:styleId="ListBullet">
    <w:name w:val="List Bullet"/>
    <w:basedOn w:val="Normal"/>
    <w:uiPriority w:val="99"/>
    <w:semiHidden/>
    <w:unhideWhenUsed/>
    <w:rsid w:val="00F91AFA"/>
    <w:pPr>
      <w:numPr>
        <w:numId w:val="1"/>
      </w:numPr>
      <w:spacing w:after="240" w:line="240" w:lineRule="auto"/>
      <w:ind w:left="1008" w:hanging="288"/>
      <w:contextualSpacing/>
    </w:pPr>
    <w:rPr>
      <w:rFonts w:ascii="Arial" w:hAnsi="Arial" w:cs="Arial"/>
    </w:rPr>
  </w:style>
  <w:style w:type="paragraph" w:styleId="BodyText">
    <w:name w:val="Body Text"/>
    <w:basedOn w:val="Normal"/>
    <w:link w:val="BodyTextChar"/>
    <w:uiPriority w:val="1"/>
    <w:semiHidden/>
    <w:unhideWhenUsed/>
    <w:rsid w:val="00F91AFA"/>
    <w:pPr>
      <w:spacing w:after="240" w:line="240" w:lineRule="auto"/>
      <w:ind w:left="259"/>
    </w:pPr>
    <w:rPr>
      <w:rFonts w:ascii="Arial" w:hAnsi="Arial" w:cs="Arial"/>
    </w:rPr>
  </w:style>
  <w:style w:type="character" w:customStyle="1" w:styleId="BodyTextChar">
    <w:name w:val="Body Text Char"/>
    <w:basedOn w:val="DefaultParagraphFont"/>
    <w:link w:val="BodyText"/>
    <w:uiPriority w:val="1"/>
    <w:semiHidden/>
    <w:rsid w:val="00F91AFA"/>
    <w:rPr>
      <w:rFonts w:ascii="Arial" w:hAnsi="Arial" w:cs="Arial"/>
    </w:rPr>
  </w:style>
  <w:style w:type="paragraph" w:styleId="BodyText2">
    <w:name w:val="Body Text 2"/>
    <w:basedOn w:val="Normal"/>
    <w:link w:val="BodyText2Char"/>
    <w:uiPriority w:val="99"/>
    <w:semiHidden/>
    <w:unhideWhenUsed/>
    <w:rsid w:val="00F91AFA"/>
    <w:pPr>
      <w:spacing w:after="240" w:line="240" w:lineRule="auto"/>
      <w:ind w:left="576"/>
    </w:pPr>
    <w:rPr>
      <w:rFonts w:ascii="Arial" w:hAnsi="Arial" w:cs="Arial"/>
    </w:rPr>
  </w:style>
  <w:style w:type="character" w:customStyle="1" w:styleId="BodyText2Char">
    <w:name w:val="Body Text 2 Char"/>
    <w:basedOn w:val="DefaultParagraphFont"/>
    <w:link w:val="BodyText2"/>
    <w:uiPriority w:val="99"/>
    <w:semiHidden/>
    <w:rsid w:val="00F91AFA"/>
    <w:rPr>
      <w:rFonts w:ascii="Arial" w:hAnsi="Arial" w:cs="Arial"/>
    </w:rPr>
  </w:style>
  <w:style w:type="character" w:styleId="Emphasis">
    <w:name w:val="Emphasis"/>
    <w:basedOn w:val="DefaultParagraphFont"/>
    <w:uiPriority w:val="20"/>
    <w:qFormat/>
    <w:rsid w:val="00B137A3"/>
    <w:rPr>
      <w:i/>
      <w:iCs/>
    </w:rPr>
  </w:style>
  <w:style w:type="character" w:customStyle="1" w:styleId="tgc">
    <w:name w:val="_tgc"/>
    <w:basedOn w:val="DefaultParagraphFont"/>
    <w:rsid w:val="00B137A3"/>
  </w:style>
  <w:style w:type="character" w:styleId="CommentReference">
    <w:name w:val="annotation reference"/>
    <w:basedOn w:val="DefaultParagraphFont"/>
    <w:uiPriority w:val="99"/>
    <w:semiHidden/>
    <w:unhideWhenUsed/>
    <w:rsid w:val="00DC0FAD"/>
    <w:rPr>
      <w:sz w:val="16"/>
      <w:szCs w:val="16"/>
    </w:rPr>
  </w:style>
  <w:style w:type="paragraph" w:styleId="CommentText">
    <w:name w:val="annotation text"/>
    <w:basedOn w:val="Normal"/>
    <w:link w:val="CommentTextChar"/>
    <w:uiPriority w:val="99"/>
    <w:semiHidden/>
    <w:unhideWhenUsed/>
    <w:rsid w:val="00DC0FAD"/>
    <w:pPr>
      <w:spacing w:line="240" w:lineRule="auto"/>
    </w:pPr>
    <w:rPr>
      <w:sz w:val="20"/>
      <w:szCs w:val="20"/>
    </w:rPr>
  </w:style>
  <w:style w:type="character" w:customStyle="1" w:styleId="CommentTextChar">
    <w:name w:val="Comment Text Char"/>
    <w:basedOn w:val="DefaultParagraphFont"/>
    <w:link w:val="CommentText"/>
    <w:uiPriority w:val="99"/>
    <w:semiHidden/>
    <w:rsid w:val="00DC0FAD"/>
    <w:rPr>
      <w:sz w:val="20"/>
      <w:szCs w:val="20"/>
    </w:rPr>
  </w:style>
  <w:style w:type="paragraph" w:styleId="CommentSubject">
    <w:name w:val="annotation subject"/>
    <w:basedOn w:val="CommentText"/>
    <w:next w:val="CommentText"/>
    <w:link w:val="CommentSubjectChar"/>
    <w:uiPriority w:val="99"/>
    <w:semiHidden/>
    <w:unhideWhenUsed/>
    <w:rsid w:val="00DC0FAD"/>
    <w:rPr>
      <w:b/>
      <w:bCs/>
    </w:rPr>
  </w:style>
  <w:style w:type="character" w:customStyle="1" w:styleId="CommentSubjectChar">
    <w:name w:val="Comment Subject Char"/>
    <w:basedOn w:val="CommentTextChar"/>
    <w:link w:val="CommentSubject"/>
    <w:uiPriority w:val="99"/>
    <w:semiHidden/>
    <w:rsid w:val="00DC0FAD"/>
    <w:rPr>
      <w:b/>
      <w:bCs/>
      <w:sz w:val="20"/>
      <w:szCs w:val="20"/>
    </w:rPr>
  </w:style>
  <w:style w:type="paragraph" w:styleId="BalloonText">
    <w:name w:val="Balloon Text"/>
    <w:basedOn w:val="Normal"/>
    <w:link w:val="BalloonTextChar"/>
    <w:uiPriority w:val="99"/>
    <w:semiHidden/>
    <w:unhideWhenUsed/>
    <w:rsid w:val="00DC0F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FAD"/>
    <w:rPr>
      <w:rFonts w:ascii="Segoe UI" w:hAnsi="Segoe UI" w:cs="Segoe UI"/>
      <w:sz w:val="18"/>
      <w:szCs w:val="18"/>
    </w:rPr>
  </w:style>
  <w:style w:type="paragraph" w:styleId="ListParagraph">
    <w:name w:val="List Paragraph"/>
    <w:basedOn w:val="Normal"/>
    <w:uiPriority w:val="34"/>
    <w:qFormat/>
    <w:rsid w:val="00087F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720452">
      <w:bodyDiv w:val="1"/>
      <w:marLeft w:val="0"/>
      <w:marRight w:val="0"/>
      <w:marTop w:val="0"/>
      <w:marBottom w:val="0"/>
      <w:divBdr>
        <w:top w:val="none" w:sz="0" w:space="0" w:color="auto"/>
        <w:left w:val="none" w:sz="0" w:space="0" w:color="auto"/>
        <w:bottom w:val="none" w:sz="0" w:space="0" w:color="auto"/>
        <w:right w:val="none" w:sz="0" w:space="0" w:color="auto"/>
      </w:divBdr>
    </w:div>
    <w:div w:id="36536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1655</Words>
  <Characters>9439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Stephanie</dc:creator>
  <cp:lastModifiedBy>Windows User</cp:lastModifiedBy>
  <cp:revision>8</cp:revision>
  <dcterms:created xsi:type="dcterms:W3CDTF">2016-11-30T16:26:00Z</dcterms:created>
  <dcterms:modified xsi:type="dcterms:W3CDTF">2016-11-30T17:09:00Z</dcterms:modified>
</cp:coreProperties>
</file>