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40C" w:rsidRDefault="00451154" w:rsidP="00451154">
      <w:pPr>
        <w:jc w:val="center"/>
        <w:rPr>
          <w:b/>
          <w:sz w:val="28"/>
          <w:szCs w:val="28"/>
        </w:rPr>
      </w:pPr>
      <w:r w:rsidRPr="00451154">
        <w:rPr>
          <w:b/>
          <w:sz w:val="28"/>
          <w:szCs w:val="28"/>
        </w:rPr>
        <w:t>OMB Number 1615-0133:  Form I-942 Reference Citations</w:t>
      </w:r>
    </w:p>
    <w:p w:rsidR="00451154" w:rsidRDefault="00451154" w:rsidP="00451154">
      <w:pPr>
        <w:jc w:val="center"/>
        <w:rPr>
          <w:b/>
          <w:sz w:val="28"/>
          <w:szCs w:val="28"/>
        </w:rPr>
      </w:pPr>
    </w:p>
    <w:p w:rsidR="00451154" w:rsidRPr="00451154" w:rsidRDefault="00451154" w:rsidP="00451154">
      <w:pPr>
        <w:rPr>
          <w:rFonts w:cstheme="minorHAnsi"/>
          <w:b/>
          <w:bCs/>
          <w:u w:val="single"/>
        </w:rPr>
      </w:pPr>
      <w:r w:rsidRPr="00451154">
        <w:rPr>
          <w:rFonts w:cstheme="minorHAnsi"/>
          <w:b/>
          <w:bCs/>
          <w:u w:val="single"/>
        </w:rPr>
        <w:t>Immigration and Nationality Act (INA)</w:t>
      </w:r>
      <w:r>
        <w:rPr>
          <w:rFonts w:cstheme="minorHAnsi"/>
          <w:b/>
          <w:bCs/>
          <w:u w:val="single"/>
        </w:rPr>
        <w:t>:</w:t>
      </w:r>
    </w:p>
    <w:p w:rsidR="00451154" w:rsidRDefault="00451154" w:rsidP="00451154">
      <w:pPr>
        <w:ind w:left="720"/>
        <w:rPr>
          <w:rFonts w:cstheme="minorHAnsi"/>
          <w:bCs/>
        </w:rPr>
      </w:pPr>
      <w:r w:rsidRPr="00451154">
        <w:rPr>
          <w:rFonts w:cstheme="minorHAnsi"/>
          <w:bCs/>
        </w:rPr>
        <w:t>INA section 286(m), 8 U.S.C. § 1356(m)</w:t>
      </w:r>
    </w:p>
    <w:p w:rsidR="00451154" w:rsidRPr="00451154" w:rsidRDefault="00451154" w:rsidP="00451154">
      <w:pPr>
        <w:spacing w:after="0" w:line="240" w:lineRule="auto"/>
        <w:ind w:left="720"/>
        <w:rPr>
          <w:rFonts w:eastAsia="Times New Roman" w:cstheme="minorHAnsi"/>
          <w:color w:val="333333"/>
          <w:lang w:val="en"/>
        </w:rPr>
      </w:pPr>
      <w:bookmarkStart w:id="0" w:name="m"/>
      <w:bookmarkEnd w:id="0"/>
      <w:r w:rsidRPr="00451154">
        <w:rPr>
          <w:rFonts w:eastAsia="Times New Roman" w:cstheme="minorHAnsi"/>
          <w:b/>
          <w:bCs/>
          <w:color w:val="333333"/>
          <w:lang w:val="en"/>
        </w:rPr>
        <w:t>(m) Immigration Examinations Fee Account</w:t>
      </w:r>
      <w:r w:rsidRPr="00451154">
        <w:rPr>
          <w:rFonts w:eastAsia="Times New Roman" w:cstheme="minorHAnsi"/>
          <w:color w:val="333333"/>
          <w:lang w:val="en"/>
        </w:rPr>
        <w:t xml:space="preserve"> </w:t>
      </w:r>
    </w:p>
    <w:p w:rsidR="00451154" w:rsidRDefault="00451154" w:rsidP="00451154">
      <w:pPr>
        <w:spacing w:after="150" w:line="240" w:lineRule="auto"/>
        <w:ind w:left="720"/>
        <w:rPr>
          <w:rFonts w:eastAsia="Times New Roman" w:cstheme="minorHAnsi"/>
          <w:color w:val="333333"/>
          <w:lang w:val="en"/>
        </w:rPr>
      </w:pPr>
      <w:r w:rsidRPr="00451154">
        <w:rPr>
          <w:rFonts w:eastAsia="Times New Roman" w:cstheme="minorHAnsi"/>
          <w:color w:val="333333"/>
          <w:lang w:val="en"/>
        </w:rPr>
        <w:t xml:space="preserve">Notwithstanding any other provisions of law, all adjudication fees as are designated by the Attorney General in regulations shall be deposited as offsetting receipts into a separate account entitled “Immigration Examinations Fee Account” in the Treasury of the United States, whether collected directly by the Attorney General or through clerks of courts: </w:t>
      </w:r>
      <w:r w:rsidRPr="00451154">
        <w:rPr>
          <w:rFonts w:eastAsia="Times New Roman" w:cstheme="minorHAnsi"/>
          <w:i/>
          <w:iCs/>
          <w:color w:val="333333"/>
          <w:lang w:val="en"/>
        </w:rPr>
        <w:t>Provided, however</w:t>
      </w:r>
      <w:r w:rsidRPr="00451154">
        <w:rPr>
          <w:rFonts w:eastAsia="Times New Roman" w:cstheme="minorHAnsi"/>
          <w:color w:val="333333"/>
          <w:lang w:val="en"/>
        </w:rPr>
        <w:t xml:space="preserve">, That all fees received by the Attorney General from applicants residing in the Virgin Islands of the United States, and in Guam, under this subsection shall be paid over to the treasury of the Virgin Islands and to the treasury of Guam: </w:t>
      </w:r>
      <w:r w:rsidRPr="00451154">
        <w:rPr>
          <w:rFonts w:eastAsia="Times New Roman" w:cstheme="minorHAnsi"/>
          <w:i/>
          <w:iCs/>
          <w:color w:val="333333"/>
          <w:lang w:val="en"/>
        </w:rPr>
        <w:t>Provided further</w:t>
      </w:r>
      <w:r w:rsidRPr="00451154">
        <w:rPr>
          <w:rFonts w:eastAsia="Times New Roman" w:cstheme="minorHAnsi"/>
          <w:color w:val="333333"/>
          <w:lang w:val="en"/>
        </w:rPr>
        <w:t>, That fees for providing adjudication and naturalization services may be set at a level that will ensure recovery of the full costs of providing all such services, including the costs of similar services provided without charge to asylum applicants or other immigrants. Such fees may also be set at a level that will recover any additional costs associated with the administration of the fees collected.</w:t>
      </w:r>
    </w:p>
    <w:p w:rsidR="00451154" w:rsidRDefault="00451154" w:rsidP="00451154">
      <w:pPr>
        <w:spacing w:after="150" w:line="240" w:lineRule="auto"/>
        <w:ind w:left="720"/>
        <w:rPr>
          <w:rFonts w:eastAsia="Times New Roman" w:cstheme="minorHAnsi"/>
          <w:color w:val="333333"/>
          <w:lang w:val="en"/>
        </w:rPr>
      </w:pPr>
    </w:p>
    <w:p w:rsidR="00451154" w:rsidRPr="00451154" w:rsidRDefault="00451154" w:rsidP="00451154">
      <w:pPr>
        <w:spacing w:after="150" w:line="240" w:lineRule="auto"/>
        <w:rPr>
          <w:rFonts w:eastAsia="Times New Roman" w:cstheme="minorHAnsi"/>
          <w:b/>
          <w:color w:val="333333"/>
          <w:u w:val="single"/>
          <w:lang w:val="en"/>
        </w:rPr>
      </w:pPr>
      <w:r w:rsidRPr="00451154">
        <w:rPr>
          <w:rFonts w:eastAsia="Times New Roman" w:cstheme="minorHAnsi"/>
          <w:b/>
          <w:color w:val="333333"/>
          <w:u w:val="single"/>
          <w:lang w:val="en"/>
        </w:rPr>
        <w:t>Code of Federal Regulations (CFR):</w:t>
      </w:r>
    </w:p>
    <w:p w:rsidR="00451154" w:rsidRDefault="00451154" w:rsidP="00451154">
      <w:pPr>
        <w:spacing w:after="150" w:line="240" w:lineRule="auto"/>
        <w:ind w:left="720"/>
        <w:rPr>
          <w:rFonts w:cstheme="minorHAnsi"/>
        </w:rPr>
      </w:pPr>
      <w:r w:rsidRPr="00451154">
        <w:rPr>
          <w:rFonts w:cstheme="minorHAnsi"/>
        </w:rPr>
        <w:t>8 CFR 103.7(b</w:t>
      </w:r>
      <w:proofErr w:type="gramStart"/>
      <w:r w:rsidRPr="00451154">
        <w:rPr>
          <w:rFonts w:cstheme="minorHAnsi"/>
        </w:rPr>
        <w:t>)(</w:t>
      </w:r>
      <w:proofErr w:type="gramEnd"/>
      <w:r w:rsidRPr="00451154">
        <w:rPr>
          <w:rFonts w:cstheme="minorHAnsi"/>
        </w:rPr>
        <w:t>1)(i)(AAA)(</w:t>
      </w:r>
      <w:r w:rsidRPr="00451154">
        <w:rPr>
          <w:rFonts w:cstheme="minorHAnsi"/>
          <w:u w:val="single"/>
        </w:rPr>
        <w:t>1</w:t>
      </w:r>
      <w:r w:rsidRPr="00451154">
        <w:rPr>
          <w:rFonts w:cstheme="minorHAnsi"/>
        </w:rPr>
        <w:t>)</w:t>
      </w:r>
      <w:r w:rsidR="00A21C6F">
        <w:rPr>
          <w:rFonts w:cstheme="minorHAnsi"/>
        </w:rPr>
        <w:t>*</w:t>
      </w:r>
    </w:p>
    <w:p w:rsidR="00451154" w:rsidRPr="00A21C6F" w:rsidRDefault="00A21C6F" w:rsidP="00A21C6F">
      <w:pPr>
        <w:autoSpaceDE w:val="0"/>
        <w:autoSpaceDN w:val="0"/>
        <w:adjustRightInd w:val="0"/>
        <w:spacing w:after="0" w:line="240" w:lineRule="auto"/>
        <w:ind w:left="720" w:firstLine="720"/>
        <w:rPr>
          <w:rFonts w:cstheme="minorHAnsi"/>
        </w:rPr>
      </w:pPr>
      <w:r w:rsidRPr="00A21C6F">
        <w:rPr>
          <w:rFonts w:cstheme="minorHAnsi"/>
        </w:rPr>
        <w:t xml:space="preserve">(AAA) </w:t>
      </w:r>
      <w:r w:rsidRPr="00A21C6F">
        <w:rPr>
          <w:rFonts w:cstheme="minorHAnsi"/>
          <w:i/>
          <w:iCs/>
        </w:rPr>
        <w:t>Request for a Hearing on a</w:t>
      </w:r>
      <w:r w:rsidRPr="00A21C6F">
        <w:rPr>
          <w:rFonts w:cstheme="minorHAnsi"/>
          <w:i/>
          <w:iCs/>
        </w:rPr>
        <w:t xml:space="preserve"> </w:t>
      </w:r>
      <w:r w:rsidRPr="00A21C6F">
        <w:rPr>
          <w:rFonts w:cstheme="minorHAnsi"/>
          <w:i/>
          <w:iCs/>
        </w:rPr>
        <w:t>Decision in Naturalization Proceedings</w:t>
      </w:r>
      <w:r w:rsidRPr="00A21C6F">
        <w:rPr>
          <w:rFonts w:cstheme="minorHAnsi"/>
          <w:i/>
          <w:iCs/>
        </w:rPr>
        <w:t xml:space="preserve"> </w:t>
      </w:r>
      <w:r w:rsidRPr="00A21C6F">
        <w:rPr>
          <w:rFonts w:cstheme="minorHAnsi"/>
          <w:i/>
          <w:iCs/>
        </w:rPr>
        <w:t xml:space="preserve">(Under section 336 of the Act), </w:t>
      </w:r>
      <w:r w:rsidRPr="00A21C6F">
        <w:rPr>
          <w:rFonts w:cstheme="minorHAnsi"/>
        </w:rPr>
        <w:t>Form N–336. For filing a request for hearing on</w:t>
      </w:r>
      <w:r w:rsidRPr="00A21C6F">
        <w:rPr>
          <w:rFonts w:cstheme="minorHAnsi"/>
        </w:rPr>
        <w:t xml:space="preserve"> </w:t>
      </w:r>
      <w:r w:rsidRPr="00A21C6F">
        <w:rPr>
          <w:rFonts w:cstheme="minorHAnsi"/>
        </w:rPr>
        <w:t>a decision in naturalization proceedings</w:t>
      </w:r>
      <w:r w:rsidRPr="00A21C6F">
        <w:rPr>
          <w:rFonts w:cstheme="minorHAnsi"/>
        </w:rPr>
        <w:t xml:space="preserve"> </w:t>
      </w:r>
      <w:r w:rsidRPr="00A21C6F">
        <w:rPr>
          <w:rFonts w:cstheme="minorHAnsi"/>
        </w:rPr>
        <w:t>under section 336 of the Act: $700.</w:t>
      </w:r>
      <w:r w:rsidRPr="00A21C6F">
        <w:rPr>
          <w:rFonts w:cstheme="minorHAnsi"/>
        </w:rPr>
        <w:t xml:space="preserve"> </w:t>
      </w:r>
      <w:r w:rsidRPr="00A21C6F">
        <w:rPr>
          <w:rFonts w:cstheme="minorHAnsi"/>
        </w:rPr>
        <w:t>There is no fee if filed on or after</w:t>
      </w:r>
      <w:r w:rsidRPr="00A21C6F">
        <w:rPr>
          <w:rFonts w:cstheme="minorHAnsi"/>
        </w:rPr>
        <w:t xml:space="preserve"> </w:t>
      </w:r>
      <w:r w:rsidRPr="00A21C6F">
        <w:rPr>
          <w:rFonts w:cstheme="minorHAnsi"/>
        </w:rPr>
        <w:t>October 1, 2004, by an applicant who</w:t>
      </w:r>
      <w:r w:rsidRPr="00A21C6F">
        <w:rPr>
          <w:rFonts w:cstheme="minorHAnsi"/>
        </w:rPr>
        <w:t xml:space="preserve"> </w:t>
      </w:r>
      <w:r w:rsidRPr="00A21C6F">
        <w:rPr>
          <w:rFonts w:cstheme="minorHAnsi"/>
        </w:rPr>
        <w:t>has filed an Application for</w:t>
      </w:r>
      <w:r w:rsidRPr="00A21C6F">
        <w:rPr>
          <w:rFonts w:cstheme="minorHAnsi"/>
        </w:rPr>
        <w:t xml:space="preserve"> </w:t>
      </w:r>
      <w:r w:rsidRPr="00A21C6F">
        <w:rPr>
          <w:rFonts w:cstheme="minorHAnsi"/>
        </w:rPr>
        <w:t>Naturalization under sections 328 or</w:t>
      </w:r>
      <w:r w:rsidRPr="00A21C6F">
        <w:rPr>
          <w:rFonts w:cstheme="minorHAnsi"/>
        </w:rPr>
        <w:t xml:space="preserve"> </w:t>
      </w:r>
      <w:r w:rsidRPr="00A21C6F">
        <w:rPr>
          <w:rFonts w:cstheme="minorHAnsi"/>
        </w:rPr>
        <w:t>329 of the Act with respect to military</w:t>
      </w:r>
      <w:r w:rsidRPr="00A21C6F">
        <w:rPr>
          <w:rFonts w:cstheme="minorHAnsi"/>
        </w:rPr>
        <w:t xml:space="preserve"> </w:t>
      </w:r>
      <w:r w:rsidRPr="00A21C6F">
        <w:rPr>
          <w:rFonts w:cstheme="minorHAnsi"/>
        </w:rPr>
        <w:t>service and whose application has been</w:t>
      </w:r>
      <w:r w:rsidRPr="00A21C6F">
        <w:rPr>
          <w:rFonts w:cstheme="minorHAnsi"/>
        </w:rPr>
        <w:t xml:space="preserve"> </w:t>
      </w:r>
      <w:r w:rsidRPr="00A21C6F">
        <w:rPr>
          <w:rFonts w:cstheme="minorHAnsi"/>
        </w:rPr>
        <w:t>denied.</w:t>
      </w:r>
    </w:p>
    <w:p w:rsidR="00A21C6F" w:rsidRPr="00A21C6F" w:rsidRDefault="00A21C6F" w:rsidP="00A21C6F">
      <w:pPr>
        <w:autoSpaceDE w:val="0"/>
        <w:autoSpaceDN w:val="0"/>
        <w:adjustRightInd w:val="0"/>
        <w:spacing w:after="0" w:line="240" w:lineRule="auto"/>
        <w:ind w:left="720" w:firstLine="720"/>
        <w:rPr>
          <w:rFonts w:cstheme="minorHAnsi"/>
        </w:rPr>
      </w:pPr>
      <w:r w:rsidRPr="00A21C6F">
        <w:rPr>
          <w:rFonts w:cstheme="minorHAnsi"/>
        </w:rPr>
        <w:t xml:space="preserve">(BBB) </w:t>
      </w:r>
      <w:proofErr w:type="gramStart"/>
      <w:r w:rsidRPr="00A21C6F">
        <w:rPr>
          <w:rFonts w:cstheme="minorHAnsi"/>
          <w:i/>
          <w:iCs/>
        </w:rPr>
        <w:t>Application for Naturalization,</w:t>
      </w:r>
      <w:r w:rsidRPr="00A21C6F">
        <w:rPr>
          <w:rFonts w:cstheme="minorHAnsi"/>
          <w:i/>
          <w:iCs/>
        </w:rPr>
        <w:t xml:space="preserve"> </w:t>
      </w:r>
      <w:r w:rsidRPr="00A21C6F">
        <w:rPr>
          <w:rFonts w:cstheme="minorHAnsi"/>
        </w:rPr>
        <w:t>Form N–400.</w:t>
      </w:r>
      <w:proofErr w:type="gramEnd"/>
      <w:r w:rsidRPr="00A21C6F">
        <w:rPr>
          <w:rFonts w:cstheme="minorHAnsi"/>
        </w:rPr>
        <w:t xml:space="preserve"> For filing an application</w:t>
      </w:r>
      <w:r w:rsidRPr="00A21C6F">
        <w:rPr>
          <w:rFonts w:cstheme="minorHAnsi"/>
        </w:rPr>
        <w:t xml:space="preserve"> </w:t>
      </w:r>
      <w:r w:rsidRPr="00A21C6F">
        <w:rPr>
          <w:rFonts w:cstheme="minorHAnsi"/>
        </w:rPr>
        <w:t>for naturalization: $640. Except:</w:t>
      </w:r>
    </w:p>
    <w:p w:rsidR="00A21C6F" w:rsidRDefault="00A21C6F" w:rsidP="00A21C6F">
      <w:pPr>
        <w:autoSpaceDE w:val="0"/>
        <w:autoSpaceDN w:val="0"/>
        <w:adjustRightInd w:val="0"/>
        <w:spacing w:after="0" w:line="240" w:lineRule="auto"/>
        <w:ind w:left="1440"/>
        <w:rPr>
          <w:rFonts w:cstheme="minorHAnsi"/>
        </w:rPr>
      </w:pPr>
      <w:r w:rsidRPr="00A21C6F">
        <w:rPr>
          <w:rFonts w:cstheme="minorHAnsi"/>
        </w:rPr>
        <w:t>(</w:t>
      </w:r>
      <w:r w:rsidRPr="00A21C6F">
        <w:rPr>
          <w:rFonts w:cstheme="minorHAnsi"/>
          <w:i/>
          <w:iCs/>
        </w:rPr>
        <w:t>1</w:t>
      </w:r>
      <w:r w:rsidRPr="00A21C6F">
        <w:rPr>
          <w:rFonts w:cstheme="minorHAnsi"/>
        </w:rPr>
        <w:t>) The fee for an applicant whose</w:t>
      </w:r>
      <w:r w:rsidRPr="00A21C6F">
        <w:rPr>
          <w:rFonts w:cstheme="minorHAnsi"/>
        </w:rPr>
        <w:t xml:space="preserve"> </w:t>
      </w:r>
      <w:r w:rsidRPr="00A21C6F">
        <w:rPr>
          <w:rFonts w:cstheme="minorHAnsi"/>
        </w:rPr>
        <w:t>documented income is greater than 150</w:t>
      </w:r>
      <w:r w:rsidRPr="00A21C6F">
        <w:rPr>
          <w:rFonts w:cstheme="minorHAnsi"/>
        </w:rPr>
        <w:t xml:space="preserve"> </w:t>
      </w:r>
      <w:r w:rsidRPr="00A21C6F">
        <w:rPr>
          <w:rFonts w:cstheme="minorHAnsi"/>
        </w:rPr>
        <w:t>percent and not more than 200 percent</w:t>
      </w:r>
      <w:r w:rsidRPr="00A21C6F">
        <w:rPr>
          <w:rFonts w:cstheme="minorHAnsi"/>
        </w:rPr>
        <w:t xml:space="preserve"> </w:t>
      </w:r>
      <w:r w:rsidRPr="00A21C6F">
        <w:rPr>
          <w:rFonts w:cstheme="minorHAnsi"/>
        </w:rPr>
        <w:t>of the Federal poverty level is $320.</w:t>
      </w:r>
    </w:p>
    <w:p w:rsidR="00A21C6F" w:rsidRDefault="00A21C6F" w:rsidP="00A21C6F">
      <w:pPr>
        <w:autoSpaceDE w:val="0"/>
        <w:autoSpaceDN w:val="0"/>
        <w:adjustRightInd w:val="0"/>
        <w:spacing w:after="0" w:line="240" w:lineRule="auto"/>
        <w:ind w:left="1440"/>
        <w:rPr>
          <w:rFonts w:cstheme="minorHAnsi"/>
        </w:rPr>
      </w:pPr>
      <w:r>
        <w:rPr>
          <w:rFonts w:cstheme="minorHAnsi"/>
        </w:rPr>
        <w:br/>
      </w:r>
    </w:p>
    <w:p w:rsidR="00A21C6F" w:rsidRPr="00A21C6F" w:rsidRDefault="00A21C6F" w:rsidP="00A21C6F">
      <w:pPr>
        <w:autoSpaceDE w:val="0"/>
        <w:autoSpaceDN w:val="0"/>
        <w:adjustRightInd w:val="0"/>
        <w:spacing w:after="0" w:line="240" w:lineRule="auto"/>
        <w:ind w:left="720"/>
        <w:rPr>
          <w:rFonts w:cstheme="minorHAnsi"/>
          <w:i/>
          <w:sz w:val="18"/>
          <w:szCs w:val="18"/>
        </w:rPr>
      </w:pPr>
      <w:r w:rsidRPr="00A21C6F">
        <w:rPr>
          <w:rFonts w:cstheme="minorHAnsi"/>
          <w:i/>
          <w:sz w:val="18"/>
          <w:szCs w:val="18"/>
        </w:rPr>
        <w:t xml:space="preserve">*NOTE:  </w:t>
      </w:r>
      <w:r w:rsidRPr="00A21C6F">
        <w:rPr>
          <w:rFonts w:cstheme="minorHAnsi"/>
          <w:i/>
          <w:sz w:val="18"/>
          <w:szCs w:val="18"/>
        </w:rPr>
        <w:t>8 CFR 103.7(b</w:t>
      </w:r>
      <w:proofErr w:type="gramStart"/>
      <w:r w:rsidRPr="00A21C6F">
        <w:rPr>
          <w:rFonts w:cstheme="minorHAnsi"/>
          <w:i/>
          <w:sz w:val="18"/>
          <w:szCs w:val="18"/>
        </w:rPr>
        <w:t>)(</w:t>
      </w:r>
      <w:proofErr w:type="gramEnd"/>
      <w:r w:rsidRPr="00A21C6F">
        <w:rPr>
          <w:rFonts w:cstheme="minorHAnsi"/>
          <w:i/>
          <w:sz w:val="18"/>
          <w:szCs w:val="18"/>
        </w:rPr>
        <w:t>1)(i)(AAA)(</w:t>
      </w:r>
      <w:r w:rsidRPr="00A21C6F">
        <w:rPr>
          <w:rFonts w:cstheme="minorHAnsi"/>
          <w:i/>
          <w:sz w:val="18"/>
          <w:szCs w:val="18"/>
          <w:u w:val="single"/>
        </w:rPr>
        <w:t>1</w:t>
      </w:r>
      <w:r w:rsidRPr="00A21C6F">
        <w:rPr>
          <w:rFonts w:cstheme="minorHAnsi"/>
          <w:i/>
          <w:sz w:val="18"/>
          <w:szCs w:val="18"/>
        </w:rPr>
        <w:t>)</w:t>
      </w:r>
      <w:r w:rsidRPr="00A21C6F">
        <w:rPr>
          <w:rFonts w:cstheme="minorHAnsi"/>
          <w:i/>
          <w:sz w:val="18"/>
          <w:szCs w:val="18"/>
        </w:rPr>
        <w:t xml:space="preserve"> is an amendment in the published Fee Rule – this </w:t>
      </w:r>
      <w:r w:rsidR="00C9190F">
        <w:rPr>
          <w:rFonts w:cstheme="minorHAnsi"/>
          <w:i/>
          <w:sz w:val="18"/>
          <w:szCs w:val="18"/>
        </w:rPr>
        <w:t>provision</w:t>
      </w:r>
      <w:bookmarkStart w:id="1" w:name="_GoBack"/>
      <w:bookmarkEnd w:id="1"/>
      <w:r w:rsidRPr="00A21C6F">
        <w:rPr>
          <w:rFonts w:cstheme="minorHAnsi"/>
          <w:i/>
          <w:sz w:val="18"/>
          <w:szCs w:val="18"/>
        </w:rPr>
        <w:t xml:space="preserve"> will become effective December 23, 2016.</w:t>
      </w:r>
    </w:p>
    <w:sectPr w:rsidR="00A21C6F" w:rsidRPr="00A21C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154"/>
    <w:rsid w:val="00451154"/>
    <w:rsid w:val="008E0FBC"/>
    <w:rsid w:val="00A21C6F"/>
    <w:rsid w:val="00C062B5"/>
    <w:rsid w:val="00C91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1154"/>
    <w:pPr>
      <w:spacing w:after="150" w:line="240" w:lineRule="auto"/>
    </w:pPr>
    <w:rPr>
      <w:rFonts w:ascii="Times New Roman" w:eastAsia="Times New Roman" w:hAnsi="Times New Roman" w:cs="Times New Roman"/>
      <w:sz w:val="20"/>
      <w:szCs w:val="20"/>
    </w:rPr>
  </w:style>
  <w:style w:type="character" w:customStyle="1" w:styleId="num2">
    <w:name w:val="num2"/>
    <w:basedOn w:val="DefaultParagraphFont"/>
    <w:rsid w:val="00451154"/>
    <w:rPr>
      <w:b/>
      <w:bCs/>
      <w:sz w:val="20"/>
      <w:szCs w:val="20"/>
    </w:rPr>
  </w:style>
  <w:style w:type="character" w:customStyle="1" w:styleId="heading2">
    <w:name w:val="heading2"/>
    <w:basedOn w:val="DefaultParagraphFont"/>
    <w:rsid w:val="00451154"/>
    <w:rPr>
      <w:b/>
      <w:bCs/>
      <w:sz w:val="20"/>
      <w:szCs w:val="20"/>
    </w:rPr>
  </w:style>
  <w:style w:type="paragraph" w:styleId="ListParagraph">
    <w:name w:val="List Paragraph"/>
    <w:basedOn w:val="Normal"/>
    <w:uiPriority w:val="34"/>
    <w:qFormat/>
    <w:rsid w:val="00A21C6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1154"/>
    <w:pPr>
      <w:spacing w:after="150" w:line="240" w:lineRule="auto"/>
    </w:pPr>
    <w:rPr>
      <w:rFonts w:ascii="Times New Roman" w:eastAsia="Times New Roman" w:hAnsi="Times New Roman" w:cs="Times New Roman"/>
      <w:sz w:val="20"/>
      <w:szCs w:val="20"/>
    </w:rPr>
  </w:style>
  <w:style w:type="character" w:customStyle="1" w:styleId="num2">
    <w:name w:val="num2"/>
    <w:basedOn w:val="DefaultParagraphFont"/>
    <w:rsid w:val="00451154"/>
    <w:rPr>
      <w:b/>
      <w:bCs/>
      <w:sz w:val="20"/>
      <w:szCs w:val="20"/>
    </w:rPr>
  </w:style>
  <w:style w:type="character" w:customStyle="1" w:styleId="heading2">
    <w:name w:val="heading2"/>
    <w:basedOn w:val="DefaultParagraphFont"/>
    <w:rsid w:val="00451154"/>
    <w:rPr>
      <w:b/>
      <w:bCs/>
      <w:sz w:val="20"/>
      <w:szCs w:val="20"/>
    </w:rPr>
  </w:style>
  <w:style w:type="paragraph" w:styleId="ListParagraph">
    <w:name w:val="List Paragraph"/>
    <w:basedOn w:val="Normal"/>
    <w:uiPriority w:val="34"/>
    <w:qFormat/>
    <w:rsid w:val="00A21C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9436812">
      <w:bodyDiv w:val="1"/>
      <w:marLeft w:val="0"/>
      <w:marRight w:val="0"/>
      <w:marTop w:val="0"/>
      <w:marBottom w:val="0"/>
      <w:divBdr>
        <w:top w:val="none" w:sz="0" w:space="0" w:color="auto"/>
        <w:left w:val="none" w:sz="0" w:space="0" w:color="auto"/>
        <w:bottom w:val="none" w:sz="0" w:space="0" w:color="auto"/>
        <w:right w:val="none" w:sz="0" w:space="0" w:color="auto"/>
      </w:divBdr>
      <w:divsChild>
        <w:div w:id="1220703293">
          <w:marLeft w:val="0"/>
          <w:marRight w:val="0"/>
          <w:marTop w:val="0"/>
          <w:marBottom w:val="0"/>
          <w:divBdr>
            <w:top w:val="none" w:sz="0" w:space="0" w:color="auto"/>
            <w:left w:val="none" w:sz="0" w:space="0" w:color="auto"/>
            <w:bottom w:val="none" w:sz="0" w:space="0" w:color="auto"/>
            <w:right w:val="none" w:sz="0" w:space="0" w:color="auto"/>
          </w:divBdr>
          <w:divsChild>
            <w:div w:id="1572231800">
              <w:marLeft w:val="0"/>
              <w:marRight w:val="0"/>
              <w:marTop w:val="0"/>
              <w:marBottom w:val="0"/>
              <w:divBdr>
                <w:top w:val="none" w:sz="0" w:space="0" w:color="auto"/>
                <w:left w:val="none" w:sz="0" w:space="0" w:color="auto"/>
                <w:bottom w:val="none" w:sz="0" w:space="0" w:color="auto"/>
                <w:right w:val="none" w:sz="0" w:space="0" w:color="auto"/>
              </w:divBdr>
              <w:divsChild>
                <w:div w:id="1536111916">
                  <w:marLeft w:val="0"/>
                  <w:marRight w:val="0"/>
                  <w:marTop w:val="0"/>
                  <w:marBottom w:val="0"/>
                  <w:divBdr>
                    <w:top w:val="none" w:sz="0" w:space="0" w:color="auto"/>
                    <w:left w:val="none" w:sz="0" w:space="0" w:color="auto"/>
                    <w:bottom w:val="none" w:sz="0" w:space="0" w:color="auto"/>
                    <w:right w:val="none" w:sz="0" w:space="0" w:color="auto"/>
                  </w:divBdr>
                  <w:divsChild>
                    <w:div w:id="1149051685">
                      <w:marLeft w:val="0"/>
                      <w:marRight w:val="0"/>
                      <w:marTop w:val="0"/>
                      <w:marBottom w:val="0"/>
                      <w:divBdr>
                        <w:top w:val="none" w:sz="0" w:space="0" w:color="auto"/>
                        <w:left w:val="none" w:sz="0" w:space="0" w:color="auto"/>
                        <w:bottom w:val="none" w:sz="0" w:space="0" w:color="auto"/>
                        <w:right w:val="none" w:sz="0" w:space="0" w:color="auto"/>
                      </w:divBdr>
                      <w:divsChild>
                        <w:div w:id="163211019">
                          <w:marLeft w:val="0"/>
                          <w:marRight w:val="0"/>
                          <w:marTop w:val="0"/>
                          <w:marBottom w:val="0"/>
                          <w:divBdr>
                            <w:top w:val="none" w:sz="0" w:space="0" w:color="auto"/>
                            <w:left w:val="none" w:sz="0" w:space="0" w:color="auto"/>
                            <w:bottom w:val="none" w:sz="0" w:space="0" w:color="auto"/>
                            <w:right w:val="none" w:sz="0" w:space="0" w:color="auto"/>
                          </w:divBdr>
                          <w:divsChild>
                            <w:div w:id="959533312">
                              <w:marLeft w:val="0"/>
                              <w:marRight w:val="0"/>
                              <w:marTop w:val="0"/>
                              <w:marBottom w:val="0"/>
                              <w:divBdr>
                                <w:top w:val="none" w:sz="0" w:space="0" w:color="auto"/>
                                <w:left w:val="none" w:sz="0" w:space="0" w:color="auto"/>
                                <w:bottom w:val="none" w:sz="0" w:space="0" w:color="auto"/>
                                <w:right w:val="none" w:sz="0" w:space="0" w:color="auto"/>
                              </w:divBdr>
                              <w:divsChild>
                                <w:div w:id="1862207610">
                                  <w:marLeft w:val="0"/>
                                  <w:marRight w:val="0"/>
                                  <w:marTop w:val="0"/>
                                  <w:marBottom w:val="0"/>
                                  <w:divBdr>
                                    <w:top w:val="none" w:sz="0" w:space="0" w:color="auto"/>
                                    <w:left w:val="none" w:sz="0" w:space="0" w:color="auto"/>
                                    <w:bottom w:val="none" w:sz="0" w:space="0" w:color="auto"/>
                                    <w:right w:val="none" w:sz="0" w:space="0" w:color="auto"/>
                                  </w:divBdr>
                                  <w:divsChild>
                                    <w:div w:id="1739862049">
                                      <w:marLeft w:val="0"/>
                                      <w:marRight w:val="0"/>
                                      <w:marTop w:val="0"/>
                                      <w:marBottom w:val="0"/>
                                      <w:divBdr>
                                        <w:top w:val="none" w:sz="0" w:space="0" w:color="auto"/>
                                        <w:left w:val="none" w:sz="0" w:space="0" w:color="auto"/>
                                        <w:bottom w:val="none" w:sz="0" w:space="0" w:color="auto"/>
                                        <w:right w:val="none" w:sz="0" w:space="0" w:color="auto"/>
                                      </w:divBdr>
                                      <w:divsChild>
                                        <w:div w:id="826439140">
                                          <w:marLeft w:val="0"/>
                                          <w:marRight w:val="0"/>
                                          <w:marTop w:val="0"/>
                                          <w:marBottom w:val="0"/>
                                          <w:divBdr>
                                            <w:top w:val="none" w:sz="0" w:space="0" w:color="auto"/>
                                            <w:left w:val="none" w:sz="0" w:space="0" w:color="auto"/>
                                            <w:bottom w:val="none" w:sz="0" w:space="0" w:color="auto"/>
                                            <w:right w:val="none" w:sz="0" w:space="0" w:color="auto"/>
                                          </w:divBdr>
                                          <w:divsChild>
                                            <w:div w:id="432867990">
                                              <w:marLeft w:val="0"/>
                                              <w:marRight w:val="0"/>
                                              <w:marTop w:val="0"/>
                                              <w:marBottom w:val="0"/>
                                              <w:divBdr>
                                                <w:top w:val="none" w:sz="0" w:space="0" w:color="auto"/>
                                                <w:left w:val="none" w:sz="0" w:space="0" w:color="auto"/>
                                                <w:bottom w:val="none" w:sz="0" w:space="0" w:color="auto"/>
                                                <w:right w:val="none" w:sz="0" w:space="0" w:color="auto"/>
                                              </w:divBdr>
                                              <w:divsChild>
                                                <w:div w:id="1113479208">
                                                  <w:marLeft w:val="0"/>
                                                  <w:marRight w:val="0"/>
                                                  <w:marTop w:val="0"/>
                                                  <w:marBottom w:val="0"/>
                                                  <w:divBdr>
                                                    <w:top w:val="none" w:sz="0" w:space="0" w:color="auto"/>
                                                    <w:left w:val="none" w:sz="0" w:space="0" w:color="auto"/>
                                                    <w:bottom w:val="none" w:sz="0" w:space="0" w:color="auto"/>
                                                    <w:right w:val="none" w:sz="0" w:space="0" w:color="auto"/>
                                                  </w:divBdr>
                                                  <w:divsChild>
                                                    <w:div w:id="1163201989">
                                                      <w:marLeft w:val="0"/>
                                                      <w:marRight w:val="0"/>
                                                      <w:marTop w:val="240"/>
                                                      <w:marBottom w:val="60"/>
                                                      <w:divBdr>
                                                        <w:top w:val="none" w:sz="0" w:space="0" w:color="auto"/>
                                                        <w:left w:val="none" w:sz="0" w:space="0" w:color="auto"/>
                                                        <w:bottom w:val="none" w:sz="0" w:space="0" w:color="auto"/>
                                                        <w:right w:val="none" w:sz="0" w:space="0" w:color="auto"/>
                                                      </w:divBdr>
                                                      <w:divsChild>
                                                        <w:div w:id="535696490">
                                                          <w:marLeft w:val="240"/>
                                                          <w:marRight w:val="0"/>
                                                          <w:marTop w:val="60"/>
                                                          <w:marBottom w:val="60"/>
                                                          <w:divBdr>
                                                            <w:top w:val="none" w:sz="0" w:space="0" w:color="auto"/>
                                                            <w:left w:val="none" w:sz="0" w:space="0" w:color="auto"/>
                                                            <w:bottom w:val="none" w:sz="0" w:space="0" w:color="auto"/>
                                                            <w:right w:val="none" w:sz="0" w:space="0" w:color="auto"/>
                                                          </w:divBdr>
                                                          <w:divsChild>
                                                            <w:div w:id="19111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4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317</Words>
  <Characters>1811</Characters>
  <Application>Microsoft Office Word</Application>
  <DocSecurity>0</DocSecurity>
  <Lines>15</Lines>
  <Paragraphs>4</Paragraphs>
  <ScaleCrop>false</ScaleCrop>
  <Company>United States Citizenship and Immigration Services</Company>
  <LinksUpToDate>false</LinksUpToDate>
  <CharactersWithSpaces>2124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 Heather L</dc:creator>
  <cp:lastModifiedBy>Young, Heather L</cp:lastModifiedBy>
  <cp:revision>3</cp:revision>
  <dcterms:created xsi:type="dcterms:W3CDTF">2016-08-31T18:51:00Z</dcterms:created>
  <dcterms:modified xsi:type="dcterms:W3CDTF">2016-10-24T18:40:00Z</dcterms:modified>
</cp:coreProperties>
</file>