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15" w:rsidRDefault="00353AF9" w:rsidP="005D1DD4">
      <w:pPr>
        <w:pStyle w:val="Title"/>
        <w:jc w:val="right"/>
        <w:rPr>
          <w:sz w:val="28"/>
        </w:rPr>
      </w:pPr>
      <w:r>
        <w:rPr>
          <w:sz w:val="28"/>
        </w:rPr>
        <w:t xml:space="preserve">January </w:t>
      </w:r>
      <w:r w:rsidR="008C5F56">
        <w:rPr>
          <w:sz w:val="28"/>
        </w:rPr>
        <w:t>26</w:t>
      </w:r>
      <w:bookmarkStart w:id="0" w:name="_GoBack"/>
      <w:bookmarkEnd w:id="0"/>
      <w:r>
        <w:rPr>
          <w:sz w:val="28"/>
        </w:rPr>
        <w:t>, 2017</w:t>
      </w:r>
    </w:p>
    <w:p w:rsidR="00676F5F" w:rsidRPr="00676F5F" w:rsidRDefault="00676F5F" w:rsidP="005D1DD4">
      <w:pPr>
        <w:pStyle w:val="Title"/>
        <w:jc w:val="right"/>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7F2BFC">
        <w:rPr>
          <w:rFonts w:ascii="Times New Roman" w:hAnsi="Times New Roman" w:cs="Times New Roman"/>
          <w:b/>
          <w:sz w:val="28"/>
          <w:szCs w:val="28"/>
        </w:rPr>
        <w:t>0112</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676F5F" w:rsidRPr="00676F5F">
        <w:rPr>
          <w:rFonts w:ascii="Times New Roman" w:hAnsi="Times New Roman" w:cs="Times New Roman"/>
          <w:b/>
          <w:sz w:val="28"/>
          <w:szCs w:val="28"/>
        </w:rPr>
        <w:t>FEMA Preparedness Grants: Transit Security Grant Program (TSGP)</w:t>
      </w:r>
    </w:p>
    <w:p w:rsidR="00B92B09" w:rsidRDefault="00562915" w:rsidP="00676F5F">
      <w:pPr>
        <w:tabs>
          <w:tab w:val="left" w:pos="-720"/>
        </w:tabs>
        <w:suppressAutoHyphens/>
        <w:rPr>
          <w:szCs w:val="28"/>
        </w:rPr>
      </w:pPr>
      <w:r w:rsidRPr="00B92B09">
        <w:rPr>
          <w:rFonts w:ascii="Times New Roman" w:hAnsi="Times New Roman" w:cs="Times New Roman"/>
          <w:b/>
          <w:sz w:val="28"/>
          <w:szCs w:val="28"/>
        </w:rPr>
        <w:t xml:space="preserve">Form Number(s):  </w:t>
      </w:r>
      <w:r w:rsidR="00676F5F" w:rsidRPr="00676F5F">
        <w:rPr>
          <w:rFonts w:ascii="Times New Roman" w:hAnsi="Times New Roman" w:cs="Times New Roman"/>
          <w:b/>
          <w:sz w:val="28"/>
          <w:szCs w:val="28"/>
        </w:rPr>
        <w:t>FEMA Form 089-4</w:t>
      </w: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7F2BFC" w:rsidRPr="00E22DC3" w:rsidRDefault="007F2BFC" w:rsidP="007F2BFC">
      <w:pPr>
        <w:rPr>
          <w:rFonts w:ascii="Times New Roman" w:hAnsi="Times New Roman" w:cs="Times New Roman"/>
          <w:sz w:val="24"/>
          <w:szCs w:val="24"/>
        </w:rPr>
      </w:pPr>
      <w:r w:rsidRPr="00E22DC3">
        <w:rPr>
          <w:rFonts w:ascii="Times New Roman" w:hAnsi="Times New Roman" w:cs="Times New Roman"/>
          <w:sz w:val="24"/>
          <w:szCs w:val="24"/>
        </w:rPr>
        <w:t xml:space="preserve">The Transit Security Grant Program (TSGP) is a FEMA grant program that focuses on transportation infrastructure protection activities.  The collection of information for TSGP is mandated by </w:t>
      </w:r>
      <w:r w:rsidRPr="00E22DC3">
        <w:rPr>
          <w:rFonts w:ascii="Times New Roman" w:hAnsi="Times New Roman" w:cs="Times New Roman"/>
          <w:bCs/>
          <w:sz w:val="24"/>
          <w:szCs w:val="24"/>
        </w:rPr>
        <w:t xml:space="preserve">Section 1406, Title XIV of the </w:t>
      </w:r>
      <w:r w:rsidRPr="00E22DC3">
        <w:rPr>
          <w:rFonts w:ascii="Times New Roman" w:hAnsi="Times New Roman" w:cs="Times New Roman"/>
          <w:bCs/>
          <w:i/>
          <w:iCs/>
          <w:sz w:val="24"/>
          <w:szCs w:val="24"/>
        </w:rPr>
        <w:t>Implementing Recommendations of the 9/11 Commission Act of 2007</w:t>
      </w:r>
      <w:r w:rsidRPr="00E22DC3">
        <w:rPr>
          <w:rFonts w:ascii="Times New Roman" w:hAnsi="Times New Roman" w:cs="Times New Roman"/>
          <w:bCs/>
          <w:iCs/>
          <w:sz w:val="24"/>
          <w:szCs w:val="24"/>
        </w:rPr>
        <w:t xml:space="preserve"> (6 U.S.C. §1135), which directs the </w:t>
      </w:r>
      <w:r w:rsidRPr="00E22DC3">
        <w:rPr>
          <w:rFonts w:ascii="Times New Roman" w:hAnsi="Times New Roman" w:cs="Times New Roman"/>
          <w:sz w:val="24"/>
          <w:szCs w:val="24"/>
        </w:rPr>
        <w:t xml:space="preserve">Secretary to establish a program for making grants to eligible public transportation agencies for security improvements.  Additionally, information is collected in accordance with </w:t>
      </w:r>
      <w:r w:rsidRPr="00E22DC3">
        <w:rPr>
          <w:rFonts w:ascii="Times New Roman" w:hAnsi="Times New Roman" w:cs="Times New Roman"/>
          <w:i/>
          <w:color w:val="000000"/>
          <w:sz w:val="24"/>
          <w:szCs w:val="24"/>
        </w:rPr>
        <w:t>Section 1406</w:t>
      </w:r>
      <w:r w:rsidRPr="00E22DC3">
        <w:rPr>
          <w:rFonts w:ascii="Times New Roman" w:hAnsi="Times New Roman" w:cs="Times New Roman"/>
          <w:i/>
          <w:sz w:val="24"/>
          <w:szCs w:val="24"/>
        </w:rPr>
        <w:t xml:space="preserve">(c) of the Implementing Recommendations of the 9/11 Commission Act of 2007 (6 </w:t>
      </w:r>
      <w:r w:rsidRPr="00E22DC3">
        <w:rPr>
          <w:rFonts w:ascii="Times New Roman" w:hAnsi="Times New Roman" w:cs="Times New Roman"/>
          <w:i/>
          <w:sz w:val="24"/>
          <w:szCs w:val="24"/>
        </w:rPr>
        <w:lastRenderedPageBreak/>
        <w:t>U.S.C.</w:t>
      </w:r>
      <w:r w:rsidRPr="00E22DC3">
        <w:rPr>
          <w:rFonts w:ascii="Times New Roman" w:hAnsi="Times New Roman" w:cs="Times New Roman"/>
          <w:bCs/>
          <w:i/>
          <w:iCs/>
          <w:sz w:val="24"/>
          <w:szCs w:val="24"/>
        </w:rPr>
        <w:t xml:space="preserve"> §1135(c)</w:t>
      </w:r>
      <w:r w:rsidRPr="00E22DC3">
        <w:rPr>
          <w:rFonts w:ascii="Times New Roman" w:hAnsi="Times New Roman" w:cs="Times New Roman"/>
          <w:i/>
          <w:sz w:val="24"/>
          <w:szCs w:val="24"/>
        </w:rPr>
        <w:t xml:space="preserve">) </w:t>
      </w:r>
      <w:r w:rsidRPr="00E22DC3">
        <w:rPr>
          <w:rFonts w:ascii="Times New Roman" w:hAnsi="Times New Roman" w:cs="Times New Roman"/>
          <w:iCs/>
          <w:sz w:val="24"/>
          <w:szCs w:val="24"/>
        </w:rPr>
        <w:t xml:space="preserve">which authorizes </w:t>
      </w:r>
      <w:r w:rsidRPr="00E22DC3">
        <w:rPr>
          <w:rFonts w:ascii="Times New Roman" w:hAnsi="Times New Roman" w:cs="Times New Roman"/>
          <w:sz w:val="24"/>
          <w:szCs w:val="24"/>
        </w:rPr>
        <w:t>the Secretary to determine the requirements for grant recipients, including application requirements.</w:t>
      </w:r>
    </w:p>
    <w:p w:rsidR="007F2BFC" w:rsidRPr="005062D7" w:rsidRDefault="007F2BFC" w:rsidP="007F2BFC">
      <w:pPr>
        <w:pStyle w:val="HTMLPreformatted"/>
        <w:tabs>
          <w:tab w:val="left" w:pos="720"/>
        </w:tabs>
        <w:rPr>
          <w:rFonts w:ascii="Times New Roman" w:hAnsi="Times New Roman" w:cs="Times New Roman"/>
          <w:sz w:val="24"/>
          <w:szCs w:val="24"/>
        </w:rPr>
      </w:pPr>
      <w:r w:rsidRPr="005062D7">
        <w:rPr>
          <w:rFonts w:ascii="Times New Roman" w:hAnsi="Times New Roman" w:cs="Times New Roman"/>
          <w:sz w:val="24"/>
          <w:szCs w:val="24"/>
        </w:rPr>
        <w:t>The program provides funds to owners and operators of transit systems (which include intra-city bus, commuter bus, and all forms of passenger rail) to protect critical surface transportation infrastructure and the traveling public from acts of terrorism, major disasters, and other emergencies.</w:t>
      </w:r>
    </w:p>
    <w:p w:rsidR="007F2BFC" w:rsidRDefault="007F2BFC" w:rsidP="007F2BFC">
      <w:pPr>
        <w:pStyle w:val="HTMLPreformatted"/>
        <w:tabs>
          <w:tab w:val="left" w:pos="720"/>
        </w:tabs>
        <w:rPr>
          <w:rFonts w:ascii="Times New Roman" w:hAnsi="Times New Roman" w:cs="Times New Roman"/>
          <w:sz w:val="24"/>
          <w:szCs w:val="24"/>
        </w:rPr>
      </w:pPr>
    </w:p>
    <w:p w:rsidR="007F2BFC" w:rsidRPr="00E22DC3" w:rsidRDefault="007F2BFC" w:rsidP="007F2BFC">
      <w:pPr>
        <w:rPr>
          <w:rFonts w:ascii="Times New Roman" w:hAnsi="Times New Roman" w:cs="Times New Roman"/>
          <w:sz w:val="24"/>
          <w:szCs w:val="24"/>
        </w:rPr>
      </w:pPr>
      <w:r>
        <w:rPr>
          <w:b/>
          <w:bCs/>
        </w:rPr>
        <w:fldChar w:fldCharType="begin"/>
      </w:r>
      <w:r>
        <w:rPr>
          <w:b/>
          <w:bCs/>
        </w:rPr>
        <w:instrText>ADVANCE \R 0.95</w:instrText>
      </w:r>
      <w:r>
        <w:rPr>
          <w:b/>
          <w:bCs/>
        </w:rPr>
        <w:fldChar w:fldCharType="end"/>
      </w:r>
      <w:r w:rsidRPr="00E22DC3">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E22DC3">
        <w:rPr>
          <w:rFonts w:ascii="Times New Roman" w:hAnsi="Times New Roman" w:cs="Times New Roman"/>
          <w:b/>
          <w:bCs/>
          <w:color w:val="0000FF"/>
          <w:sz w:val="24"/>
          <w:szCs w:val="24"/>
        </w:rPr>
        <w:t xml:space="preserve"> </w:t>
      </w:r>
      <w:r w:rsidRPr="00E22DC3">
        <w:rPr>
          <w:rFonts w:ascii="Times New Roman" w:hAnsi="Times New Roman" w:cs="Times New Roman"/>
          <w:b/>
          <w:bCs/>
          <w:color w:val="000000"/>
          <w:sz w:val="24"/>
          <w:szCs w:val="24"/>
        </w:rPr>
        <w:t>Provide a detailed description of: how the information will be shared, if applicable, and for</w:t>
      </w:r>
      <w:r w:rsidRPr="00E22DC3">
        <w:rPr>
          <w:rFonts w:ascii="Times New Roman" w:hAnsi="Times New Roman" w:cs="Times New Roman"/>
          <w:b/>
          <w:bCs/>
          <w:color w:val="0000FF"/>
          <w:sz w:val="24"/>
          <w:szCs w:val="24"/>
        </w:rPr>
        <w:t xml:space="preserve"> </w:t>
      </w:r>
      <w:r w:rsidRPr="00E22DC3">
        <w:rPr>
          <w:rFonts w:ascii="Times New Roman" w:hAnsi="Times New Roman" w:cs="Times New Roman"/>
          <w:b/>
          <w:bCs/>
          <w:color w:val="000000"/>
          <w:sz w:val="24"/>
          <w:szCs w:val="24"/>
        </w:rPr>
        <w:t xml:space="preserve">what programmatic purpose.       </w:t>
      </w:r>
    </w:p>
    <w:p w:rsidR="007F2BFC" w:rsidRPr="00E22DC3" w:rsidRDefault="007F2BFC" w:rsidP="007F2BFC">
      <w:pPr>
        <w:rPr>
          <w:rFonts w:ascii="Times New Roman" w:hAnsi="Times New Roman" w:cs="Times New Roman"/>
          <w:sz w:val="24"/>
          <w:szCs w:val="24"/>
        </w:rPr>
      </w:pPr>
      <w:r w:rsidRPr="00E22DC3">
        <w:rPr>
          <w:rFonts w:ascii="Times New Roman" w:hAnsi="Times New Roman" w:cs="Times New Roman"/>
          <w:b/>
          <w:sz w:val="24"/>
          <w:szCs w:val="24"/>
        </w:rPr>
        <w:t>FEMA Form 089-4, TSGP Investment Justification</w:t>
      </w:r>
      <w:r w:rsidR="00E22DC3">
        <w:rPr>
          <w:rFonts w:ascii="Times New Roman" w:hAnsi="Times New Roman" w:cs="Times New Roman"/>
          <w:sz w:val="24"/>
          <w:szCs w:val="24"/>
        </w:rPr>
        <w:t xml:space="preserve"> – S</w:t>
      </w:r>
      <w:r w:rsidRPr="00E22DC3">
        <w:rPr>
          <w:rFonts w:ascii="Times New Roman" w:hAnsi="Times New Roman" w:cs="Times New Roman"/>
          <w:sz w:val="24"/>
          <w:szCs w:val="24"/>
        </w:rPr>
        <w:t>ubmitted with the application, this document provides narrative detail on proposed investments.  These Investment Justifications must demonstrate how proposed projects address gaps and deficiencies in current programs and capabilities and the ability to provide enhancements consistent with the purpose of the program and guidance provided by FEMA.  The data from the Investment Justification (IJ) is collected to assist decision-making at all levels, although, it is primarily used by individual application reviewers. The TSGP uses a multi-phase review process. The application data, including the IJ, is evaluated by a national review panel to determine which applications are the highest-scoring and address the program priorities.  The national review is comprised of a panel of officials from FEMA (headquarters and regions) and representatives of other national stakeholders such as federal agencies (e.g., Transportation Security Administration, Department of Transportation,) and national associations (e.g., American Public Transportation Association).  These reviewers then determine funding for proposed activities identified in the application and IJ based on risk and potential to help achieve core missions of the grant programs.</w:t>
      </w:r>
      <w:r w:rsidRPr="00E22DC3">
        <w:rPr>
          <w:rFonts w:ascii="Times New Roman" w:hAnsi="Times New Roman" w:cs="Times New Roman"/>
          <w:b/>
          <w:sz w:val="24"/>
          <w:szCs w:val="24"/>
        </w:rPr>
        <w:t xml:space="preserve"> </w:t>
      </w:r>
    </w:p>
    <w:p w:rsidR="007F2BFC" w:rsidRPr="00E22DC3" w:rsidRDefault="007F2BFC" w:rsidP="007F2BFC">
      <w:pPr>
        <w:rPr>
          <w:rFonts w:ascii="Times New Roman" w:hAnsi="Times New Roman" w:cs="Times New Roman"/>
          <w:sz w:val="24"/>
          <w:szCs w:val="24"/>
        </w:rPr>
      </w:pPr>
      <w:r w:rsidRPr="00E22DC3">
        <w:rPr>
          <w:rFonts w:ascii="Times New Roman" w:hAnsi="Times New Roman" w:cs="Times New Roman"/>
          <w:b/>
          <w:sz w:val="24"/>
          <w:szCs w:val="24"/>
        </w:rPr>
        <w:t>Regional Transit Security Str</w:t>
      </w:r>
      <w:r w:rsidR="00E22DC3">
        <w:rPr>
          <w:rFonts w:ascii="Times New Roman" w:hAnsi="Times New Roman" w:cs="Times New Roman"/>
          <w:b/>
          <w:sz w:val="24"/>
          <w:szCs w:val="24"/>
        </w:rPr>
        <w:t xml:space="preserve">ategy (RTSS) – </w:t>
      </w:r>
      <w:r w:rsidRPr="00E22DC3">
        <w:rPr>
          <w:rFonts w:ascii="Times New Roman" w:hAnsi="Times New Roman" w:cs="Times New Roman"/>
          <w:iCs/>
          <w:sz w:val="24"/>
          <w:szCs w:val="24"/>
        </w:rPr>
        <w:t xml:space="preserve">The RTSS serves as the integration point between the individual risk-based Security Emergency Preparedness Plans (SEPPs) and the overall security goals and objectives of the region. The RTSS should demonstrate a clear linkage to the applicable state and urban area homeland security strategies. It is expected that the SEPPs and the RTSS serve as the basis on which funding is allocated to address regional transit security priorities.  </w:t>
      </w:r>
      <w:r w:rsidRPr="00E22DC3">
        <w:rPr>
          <w:rFonts w:ascii="Times New Roman" w:hAnsi="Times New Roman" w:cs="Times New Roman"/>
          <w:sz w:val="24"/>
          <w:szCs w:val="24"/>
        </w:rPr>
        <w:t xml:space="preserve">The RTSS includes several key components including the description of the regional transit infrastructure, vision, focus, preparedness strategy summary, coordination, risk profile, and capabilities and needs.  The RTSS serves as a mechanism to ensure that transit systems are incorporated into regional preparedness planning efforts.  The FY 2009 TSGP guidance does not require a strategy to be developed; however, FEMA strongly encourages eligible transit grantees to update </w:t>
      </w:r>
      <w:r w:rsidRPr="00E22DC3">
        <w:rPr>
          <w:rFonts w:ascii="Times New Roman" w:hAnsi="Times New Roman" w:cs="Times New Roman"/>
          <w:sz w:val="24"/>
          <w:szCs w:val="24"/>
        </w:rPr>
        <w:lastRenderedPageBreak/>
        <w:t>their existing strategies. The information supplied by the RTSS is used by FEMA for monitoring and progress on grant projects.</w:t>
      </w:r>
    </w:p>
    <w:p w:rsidR="00562915" w:rsidRPr="00E22DC3" w:rsidRDefault="007F2BFC" w:rsidP="007F2BFC">
      <w:pPr>
        <w:rPr>
          <w:rFonts w:ascii="Times New Roman" w:hAnsi="Times New Roman" w:cs="Times New Roman"/>
          <w:spacing w:val="-3"/>
          <w:sz w:val="24"/>
          <w:szCs w:val="24"/>
          <w:u w:val="single"/>
        </w:rPr>
      </w:pPr>
      <w:r w:rsidRPr="00E22DC3">
        <w:rPr>
          <w:rFonts w:ascii="Times New Roman" w:eastAsia="Calibri" w:hAnsi="Times New Roman" w:cs="Times New Roman"/>
          <w:b/>
          <w:bCs/>
          <w:sz w:val="24"/>
          <w:szCs w:val="24"/>
        </w:rPr>
        <w:t xml:space="preserve">Semiannual Progress Report </w:t>
      </w:r>
      <w:r w:rsidRPr="00E22DC3">
        <w:rPr>
          <w:rFonts w:ascii="Times New Roman" w:eastAsia="Calibri" w:hAnsi="Times New Roman" w:cs="Times New Roman"/>
          <w:sz w:val="24"/>
          <w:szCs w:val="24"/>
        </w:rPr>
        <w:t>– The Semiannual Progress Report provides programmatic information on the use of grant funding.  The Report should also address performance measures and the activities identified in the Investment Justifications as necessary. In addition, the information provided in the reports will be used by the grantor agency to monitor grantee cash flow to ensure proper use of Federal funds.  The reports are due within 30 days after the end of the reporting period (July 30 for the Reporting period of January 1 through June 30; and January 30 for the reporting period of July 1 through December 31).  The Semiannual Progress Report is submitted by the grantee as a simple narrative within the Non-Disaster Grants Management System (ND Grants).  The grantee is provided with a “text box” to narrate their progress and is allowed to upload and attach documentation of their choosing. There is template or form used for the Semiannual Progress Report. See attached the Transit Security Grant Program (TSGP)</w:t>
      </w:r>
      <w:r w:rsidRPr="00E22DC3">
        <w:rPr>
          <w:rFonts w:ascii="Times New Roman" w:hAnsi="Times New Roman" w:cs="Times New Roman"/>
          <w:sz w:val="24"/>
          <w:szCs w:val="24"/>
        </w:rPr>
        <w:t xml:space="preserve"> Funding Opportunity Announcement (FOA)</w:t>
      </w:r>
      <w:r w:rsidRPr="00E22DC3">
        <w:rPr>
          <w:rFonts w:ascii="Times New Roman" w:eastAsia="Calibri" w:hAnsi="Times New Roman" w:cs="Times New Roman"/>
          <w:sz w:val="24"/>
          <w:szCs w:val="24"/>
        </w:rPr>
        <w:t xml:space="preserve"> page 12.</w:t>
      </w:r>
      <w:r w:rsidRPr="00E22DC3">
        <w:rPr>
          <w:rFonts w:ascii="Times New Roman" w:hAnsi="Times New Roman" w:cs="Times New Roman"/>
          <w:sz w:val="24"/>
          <w:szCs w:val="24"/>
        </w:rPr>
        <w:t xml:space="preserve"> </w:t>
      </w:r>
      <w:r w:rsidRPr="00E22DC3">
        <w:rPr>
          <w:rFonts w:ascii="Times New Roman" w:eastAsia="Calibri" w:hAnsi="Times New Roman" w:cs="Times New Roman"/>
          <w:sz w:val="24"/>
          <w:szCs w:val="24"/>
        </w:rPr>
        <w:t>This collection activity is approved under OMB Control Number 1660-0</w:t>
      </w:r>
      <w:r w:rsidR="00C95BA3">
        <w:rPr>
          <w:rFonts w:ascii="Times New Roman" w:eastAsia="Calibri" w:hAnsi="Times New Roman" w:cs="Times New Roman"/>
          <w:sz w:val="24"/>
          <w:szCs w:val="24"/>
        </w:rPr>
        <w:t>025</w:t>
      </w:r>
      <w:r w:rsidRPr="00E22DC3">
        <w:rPr>
          <w:rFonts w:ascii="Times New Roman" w:eastAsia="Calibri" w:hAnsi="Times New Roman" w:cs="Times New Roman"/>
          <w:sz w:val="24"/>
          <w:szCs w:val="24"/>
        </w:rPr>
        <w:t>, which expires on 0</w:t>
      </w:r>
      <w:r w:rsidR="00C95BA3">
        <w:rPr>
          <w:rFonts w:ascii="Times New Roman" w:eastAsia="Calibri" w:hAnsi="Times New Roman" w:cs="Times New Roman"/>
          <w:sz w:val="24"/>
          <w:szCs w:val="24"/>
        </w:rPr>
        <w:t>9</w:t>
      </w:r>
      <w:r w:rsidRPr="00E22DC3">
        <w:rPr>
          <w:rFonts w:ascii="Times New Roman" w:eastAsia="Calibri" w:hAnsi="Times New Roman" w:cs="Times New Roman"/>
          <w:sz w:val="24"/>
          <w:szCs w:val="24"/>
        </w:rPr>
        <w:t>/3</w:t>
      </w:r>
      <w:r w:rsidR="00C95BA3">
        <w:rPr>
          <w:rFonts w:ascii="Times New Roman" w:eastAsia="Calibri" w:hAnsi="Times New Roman" w:cs="Times New Roman"/>
          <w:sz w:val="24"/>
          <w:szCs w:val="24"/>
        </w:rPr>
        <w:t>0</w:t>
      </w:r>
      <w:r w:rsidRPr="00E22DC3">
        <w:rPr>
          <w:rFonts w:ascii="Times New Roman" w:eastAsia="Calibri" w:hAnsi="Times New Roman" w:cs="Times New Roman"/>
          <w:sz w:val="24"/>
          <w:szCs w:val="24"/>
        </w:rPr>
        <w:t>/2017</w:t>
      </w:r>
      <w:r w:rsidR="00E22DC3">
        <w:rPr>
          <w:rFonts w:ascii="Times New Roman" w:eastAsia="Calibri"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F2BFC" w:rsidRDefault="007F2BFC" w:rsidP="00E22DC3">
      <w:pPr>
        <w:pStyle w:val="ListBullet"/>
        <w:numPr>
          <w:ilvl w:val="0"/>
          <w:numId w:val="0"/>
        </w:numPr>
        <w:spacing w:after="0" w:line="240" w:lineRule="auto"/>
        <w:rPr>
          <w:sz w:val="24"/>
          <w:szCs w:val="24"/>
        </w:rPr>
      </w:pPr>
      <w:r w:rsidRPr="001B36A3">
        <w:rPr>
          <w:sz w:val="24"/>
          <w:szCs w:val="24"/>
        </w:rPr>
        <w:t xml:space="preserve">The submission </w:t>
      </w:r>
      <w:r>
        <w:rPr>
          <w:sz w:val="24"/>
          <w:szCs w:val="24"/>
        </w:rPr>
        <w:t xml:space="preserve">of information for the FY 2016 TSGP </w:t>
      </w:r>
      <w:r w:rsidRPr="001B36A3">
        <w:rPr>
          <w:sz w:val="24"/>
          <w:szCs w:val="24"/>
        </w:rPr>
        <w:t>involves the use of electronic mean</w:t>
      </w:r>
      <w:r>
        <w:rPr>
          <w:sz w:val="24"/>
          <w:szCs w:val="24"/>
        </w:rPr>
        <w:t xml:space="preserve">s. </w:t>
      </w:r>
      <w:r w:rsidRPr="001B36A3">
        <w:rPr>
          <w:sz w:val="24"/>
          <w:szCs w:val="24"/>
        </w:rPr>
        <w:t xml:space="preserve">Grant applicants must submit their </w:t>
      </w:r>
      <w:r>
        <w:rPr>
          <w:sz w:val="24"/>
          <w:szCs w:val="24"/>
        </w:rPr>
        <w:t xml:space="preserve">proposals through </w:t>
      </w:r>
      <w:hyperlink r:id="rId8" w:history="1">
        <w:r w:rsidRPr="00073173">
          <w:rPr>
            <w:rStyle w:val="Hyperlink"/>
          </w:rPr>
          <w:t>www.grants.gov</w:t>
        </w:r>
      </w:hyperlink>
      <w:r>
        <w:rPr>
          <w:sz w:val="24"/>
          <w:szCs w:val="24"/>
        </w:rPr>
        <w:t xml:space="preserve"> and upload the T</w:t>
      </w:r>
      <w:r w:rsidRPr="000737B1">
        <w:rPr>
          <w:sz w:val="24"/>
          <w:szCs w:val="24"/>
        </w:rPr>
        <w:t xml:space="preserve">SGP Investment Justification and </w:t>
      </w:r>
      <w:r>
        <w:rPr>
          <w:sz w:val="24"/>
          <w:szCs w:val="24"/>
        </w:rPr>
        <w:t xml:space="preserve">all other </w:t>
      </w:r>
      <w:r w:rsidRPr="000737B1">
        <w:rPr>
          <w:sz w:val="24"/>
          <w:szCs w:val="24"/>
        </w:rPr>
        <w:t xml:space="preserve">required documents </w:t>
      </w:r>
      <w:r>
        <w:rPr>
          <w:sz w:val="24"/>
          <w:szCs w:val="24"/>
        </w:rPr>
        <w:t>as attachments (in</w:t>
      </w:r>
      <w:r w:rsidRPr="007552C0">
        <w:rPr>
          <w:sz w:val="24"/>
          <w:szCs w:val="24"/>
        </w:rPr>
        <w:t xml:space="preserve"> MS Word</w:t>
      </w:r>
      <w:r>
        <w:rPr>
          <w:sz w:val="24"/>
          <w:szCs w:val="24"/>
        </w:rPr>
        <w:t>, Excel</w:t>
      </w:r>
      <w:r w:rsidRPr="007552C0">
        <w:rPr>
          <w:sz w:val="24"/>
          <w:szCs w:val="24"/>
        </w:rPr>
        <w:t xml:space="preserve"> or other electronic format</w:t>
      </w:r>
      <w:r>
        <w:rPr>
          <w:sz w:val="24"/>
          <w:szCs w:val="24"/>
        </w:rPr>
        <w:t xml:space="preserve">) to their TSGP application in </w:t>
      </w:r>
      <w:r w:rsidRPr="00E33C57">
        <w:rPr>
          <w:sz w:val="24"/>
          <w:szCs w:val="24"/>
        </w:rPr>
        <w:t xml:space="preserve">ND Grants System at </w:t>
      </w:r>
      <w:hyperlink r:id="rId9" w:history="1">
        <w:r w:rsidRPr="00E33C57">
          <w:rPr>
            <w:rStyle w:val="Hyperlink"/>
            <w:iCs/>
            <w:sz w:val="24"/>
            <w:szCs w:val="24"/>
          </w:rPr>
          <w:t>https://portal.fema.gov</w:t>
        </w:r>
      </w:hyperlink>
      <w:r w:rsidRPr="00E33C57">
        <w:rPr>
          <w:iCs/>
          <w:sz w:val="24"/>
          <w:szCs w:val="24"/>
        </w:rPr>
        <w:t>. This system is approved under OMB Control number 1660-</w:t>
      </w:r>
      <w:r>
        <w:rPr>
          <w:iCs/>
          <w:sz w:val="24"/>
          <w:szCs w:val="24"/>
        </w:rPr>
        <w:t>0</w:t>
      </w:r>
      <w:r w:rsidR="0059115B">
        <w:rPr>
          <w:iCs/>
          <w:sz w:val="24"/>
          <w:szCs w:val="24"/>
        </w:rPr>
        <w:t>025</w:t>
      </w:r>
      <w:r w:rsidRPr="00E33C57">
        <w:rPr>
          <w:iCs/>
          <w:sz w:val="24"/>
          <w:szCs w:val="24"/>
        </w:rPr>
        <w:t xml:space="preserve">, which expires on </w:t>
      </w:r>
      <w:r w:rsidR="0059115B">
        <w:rPr>
          <w:iCs/>
          <w:sz w:val="24"/>
          <w:szCs w:val="24"/>
        </w:rPr>
        <w:t>09</w:t>
      </w:r>
      <w:r>
        <w:rPr>
          <w:iCs/>
          <w:sz w:val="24"/>
          <w:szCs w:val="24"/>
        </w:rPr>
        <w:t>/3</w:t>
      </w:r>
      <w:r w:rsidR="0059115B">
        <w:rPr>
          <w:iCs/>
          <w:sz w:val="24"/>
          <w:szCs w:val="24"/>
        </w:rPr>
        <w:t>0</w:t>
      </w:r>
      <w:r>
        <w:rPr>
          <w:iCs/>
          <w:sz w:val="24"/>
          <w:szCs w:val="24"/>
        </w:rPr>
        <w:t>/2017</w:t>
      </w:r>
      <w:r w:rsidRPr="00E33C57">
        <w:rPr>
          <w:iCs/>
          <w:sz w:val="24"/>
          <w:szCs w:val="24"/>
        </w:rPr>
        <w:t>.</w:t>
      </w:r>
      <w:r>
        <w:rPr>
          <w:iCs/>
          <w:sz w:val="24"/>
          <w:szCs w:val="24"/>
        </w:rPr>
        <w:t xml:space="preserve"> </w:t>
      </w:r>
      <w:r>
        <w:rPr>
          <w:sz w:val="24"/>
          <w:szCs w:val="24"/>
        </w:rPr>
        <w:t>Eligible applicants must apply for funding through this portal accessible on the internet.</w:t>
      </w:r>
    </w:p>
    <w:p w:rsidR="00E22DC3" w:rsidRDefault="00E22DC3" w:rsidP="00E22DC3">
      <w:pPr>
        <w:spacing w:after="0" w:line="240" w:lineRule="auto"/>
        <w:rPr>
          <w:rFonts w:ascii="Times New Roman" w:hAnsi="Times New Roman" w:cs="Times New Roman"/>
          <w:sz w:val="24"/>
          <w:szCs w:val="24"/>
        </w:rPr>
      </w:pPr>
    </w:p>
    <w:p w:rsidR="00562915" w:rsidRDefault="00562915" w:rsidP="00E22DC3">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E22DC3" w:rsidRDefault="00E22DC3" w:rsidP="00E22DC3">
      <w:pPr>
        <w:spacing w:after="0" w:line="240" w:lineRule="auto"/>
        <w:rPr>
          <w:rFonts w:ascii="Times New Roman" w:hAnsi="Times New Roman" w:cs="Times New Roman"/>
          <w:sz w:val="24"/>
          <w:szCs w:val="24"/>
        </w:rPr>
      </w:pPr>
    </w:p>
    <w:p w:rsidR="002B2B7C" w:rsidRPr="006625E7" w:rsidRDefault="007F2BFC" w:rsidP="00562915">
      <w:pPr>
        <w:rPr>
          <w:rFonts w:ascii="Times New Roman" w:hAnsi="Times New Roman" w:cs="Times New Roman"/>
          <w:sz w:val="24"/>
          <w:szCs w:val="24"/>
        </w:rPr>
      </w:pPr>
      <w:r w:rsidRPr="007F2BFC">
        <w:rPr>
          <w:rFonts w:ascii="Times New Roman" w:hAnsi="Times New Roman" w:cs="Times New Roman"/>
          <w:sz w:val="24"/>
          <w:szCs w:val="24"/>
        </w:rPr>
        <w:t xml:space="preserve">This information is not collected in any form, and therefore is not duplicated elsewhere. </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7F2BFC" w:rsidRPr="007F2BFC" w:rsidRDefault="007F2BFC" w:rsidP="007F2BFC">
      <w:pPr>
        <w:rPr>
          <w:rFonts w:ascii="Times New Roman" w:hAnsi="Times New Roman" w:cs="Times New Roman"/>
          <w:sz w:val="24"/>
          <w:szCs w:val="24"/>
        </w:rPr>
      </w:pPr>
      <w:r w:rsidRPr="007F2BFC">
        <w:rPr>
          <w:rFonts w:ascii="Times New Roman" w:hAnsi="Times New Roman" w:cs="Times New Roman"/>
          <w:sz w:val="24"/>
          <w:szCs w:val="24"/>
        </w:rPr>
        <w:t xml:space="preserve">This information collection does not have an impact on small businesses or other small entities.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7F2BFC" w:rsidRPr="007F2BFC" w:rsidRDefault="007F2BFC" w:rsidP="007F2BFC">
      <w:pPr>
        <w:rPr>
          <w:rFonts w:ascii="Times New Roman" w:hAnsi="Times New Roman" w:cs="Times New Roman"/>
          <w:sz w:val="24"/>
          <w:szCs w:val="24"/>
        </w:rPr>
      </w:pPr>
      <w:r w:rsidRPr="007F2BFC">
        <w:rPr>
          <w:rFonts w:ascii="Times New Roman" w:hAnsi="Times New Roman" w:cs="Times New Roman"/>
          <w:sz w:val="24"/>
          <w:szCs w:val="24"/>
        </w:rPr>
        <w:t xml:space="preserve">These data collection elements are required in order to exercise comprehensive financial management and ensure the efficient and effective use of Federal funds.  If FEMA was not able to receive information collected from grant recipients, the agency could not fulfill its requirement to ensure funding is provided in a fair and equitable manner to eligible entities as described in the law, to ensure that the funding is being used only for the allowable costs within the grant regulations, and to fulfill our federal monitoring requirements.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49227E"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562915" w:rsidRPr="0049227E" w:rsidRDefault="0049227E" w:rsidP="0049227E">
      <w:pPr>
        <w:spacing w:after="0" w:line="240" w:lineRule="auto"/>
        <w:ind w:left="720"/>
        <w:rPr>
          <w:rFonts w:ascii="Times New Roman" w:hAnsi="Times New Roman" w:cs="Times New Roman"/>
          <w:b/>
          <w:bCs/>
          <w:sz w:val="24"/>
          <w:szCs w:val="24"/>
        </w:rPr>
      </w:pPr>
      <w:r w:rsidRPr="0049227E">
        <w:rPr>
          <w:rFonts w:ascii="Times New Roman" w:hAnsi="Times New Roman" w:cs="Times New Roman"/>
          <w:sz w:val="24"/>
          <w:szCs w:val="24"/>
        </w:rPr>
        <w:t xml:space="preserve"> No collection elements are required more often than quarterly.  Most collection elements are only required once per year per grant application.  </w:t>
      </w:r>
    </w:p>
    <w:p w:rsidR="0049227E" w:rsidRPr="0049227E" w:rsidRDefault="0049227E" w:rsidP="0049227E">
      <w:pPr>
        <w:spacing w:after="0" w:line="240" w:lineRule="auto"/>
        <w:ind w:left="1080"/>
        <w:rPr>
          <w:rFonts w:ascii="Times New Roman" w:hAnsi="Times New Roman" w:cs="Times New Roman"/>
          <w:b/>
          <w:bCs/>
          <w:sz w:val="24"/>
          <w:szCs w:val="24"/>
        </w:rPr>
      </w:pPr>
    </w:p>
    <w:p w:rsidR="00562915" w:rsidRPr="0049227E" w:rsidRDefault="00562915" w:rsidP="0049227E">
      <w:pPr>
        <w:pStyle w:val="ListParagraph"/>
        <w:numPr>
          <w:ilvl w:val="0"/>
          <w:numId w:val="3"/>
        </w:numPr>
        <w:rPr>
          <w:rFonts w:ascii="Times New Roman" w:hAnsi="Times New Roman" w:cs="Times New Roman"/>
          <w:sz w:val="24"/>
          <w:szCs w:val="24"/>
        </w:rPr>
      </w:pP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r w:rsidRPr="0049227E">
        <w:rPr>
          <w:rFonts w:ascii="Times New Roman" w:hAnsi="Times New Roman" w:cs="Times New Roman"/>
          <w:b/>
          <w:bCs/>
          <w:sz w:val="24"/>
          <w:szCs w:val="24"/>
        </w:rPr>
        <w:t>Requiring respondents to prepare a written response to a</w:t>
      </w:r>
      <w:r w:rsidR="002B2B7C" w:rsidRPr="0049227E">
        <w:rPr>
          <w:rFonts w:ascii="Times New Roman" w:hAnsi="Times New Roman" w:cs="Times New Roman"/>
          <w:b/>
          <w:bCs/>
          <w:sz w:val="24"/>
          <w:szCs w:val="24"/>
        </w:rPr>
        <w:t xml:space="preserve"> </w:t>
      </w:r>
      <w:r w:rsidRPr="0049227E">
        <w:rPr>
          <w:rFonts w:ascii="Times New Roman" w:hAnsi="Times New Roman" w:cs="Times New Roman"/>
          <w:b/>
          <w:bCs/>
          <w:sz w:val="24"/>
          <w:szCs w:val="24"/>
        </w:rPr>
        <w:t>collection of information in fewer than 30 days after receipt of it.</w:t>
      </w: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p>
    <w:p w:rsidR="0049227E" w:rsidRPr="0049227E" w:rsidRDefault="0049227E" w:rsidP="0049227E">
      <w:pPr>
        <w:ind w:left="720"/>
        <w:rPr>
          <w:rFonts w:ascii="Times New Roman" w:hAnsi="Times New Roman" w:cs="Times New Roman"/>
          <w:sz w:val="24"/>
          <w:szCs w:val="24"/>
        </w:rPr>
      </w:pPr>
      <w:r w:rsidRPr="0049227E">
        <w:rPr>
          <w:rFonts w:ascii="Times New Roman" w:hAnsi="Times New Roman" w:cs="Times New Roman"/>
          <w:sz w:val="24"/>
          <w:szCs w:val="24"/>
        </w:rPr>
        <w:t>There are no requirements for respondents to prepare a written response to this collection of information in fewer than 30 days after receipt of it.</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Default="00562915" w:rsidP="00562915">
      <w:pPr>
        <w:rPr>
          <w:rFonts w:ascii="Times New Roman" w:hAnsi="Times New Roman" w:cs="Times New Roman"/>
          <w:b/>
          <w:bCs/>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49227E" w:rsidRPr="0049227E" w:rsidRDefault="0049227E" w:rsidP="0049227E">
      <w:pPr>
        <w:rPr>
          <w:rFonts w:ascii="Times New Roman" w:hAnsi="Times New Roman" w:cs="Times New Roman"/>
        </w:rPr>
      </w:pPr>
      <w:r>
        <w:rPr>
          <w:rFonts w:ascii="Times New Roman" w:hAnsi="Times New Roman" w:cs="Times New Roman"/>
          <w:b/>
          <w:bCs/>
          <w:sz w:val="24"/>
          <w:szCs w:val="24"/>
        </w:rPr>
        <w:tab/>
      </w:r>
      <w:r w:rsidRPr="0049227E">
        <w:rPr>
          <w:rFonts w:ascii="Times New Roman" w:hAnsi="Times New Roman" w:cs="Times New Roman"/>
          <w:bCs/>
        </w:rPr>
        <w:t>T</w:t>
      </w:r>
      <w:r w:rsidRPr="0049227E">
        <w:rPr>
          <w:rFonts w:ascii="Times New Roman" w:hAnsi="Times New Roman" w:cs="Times New Roman"/>
        </w:rPr>
        <w:t>here are no requirements for a respondent to submit more than an original and two copies of any document.</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49227E" w:rsidRDefault="00562915" w:rsidP="0049227E">
      <w:pPr>
        <w:rPr>
          <w:rFonts w:ascii="Times New Roman" w:eastAsia="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49227E" w:rsidRPr="0049227E">
        <w:rPr>
          <w:rFonts w:ascii="Times New Roman" w:eastAsia="Times New Roman" w:hAnsi="Times New Roman" w:cs="Times New Roman"/>
          <w:sz w:val="24"/>
          <w:szCs w:val="24"/>
        </w:rPr>
        <w:t xml:space="preserve"> </w:t>
      </w:r>
    </w:p>
    <w:p w:rsidR="0049227E" w:rsidRPr="0049227E" w:rsidRDefault="0049227E" w:rsidP="0049227E">
      <w:pPr>
        <w:ind w:firstLine="720"/>
        <w:rPr>
          <w:rFonts w:ascii="Times New Roman" w:eastAsia="Times New Roman" w:hAnsi="Times New Roman" w:cs="Times New Roman"/>
          <w:sz w:val="24"/>
          <w:szCs w:val="24"/>
        </w:rPr>
      </w:pPr>
      <w:r w:rsidRPr="0049227E">
        <w:rPr>
          <w:rFonts w:ascii="Times New Roman" w:eastAsia="Times New Roman" w:hAnsi="Times New Roman" w:cs="Times New Roman"/>
          <w:sz w:val="24"/>
          <w:szCs w:val="24"/>
        </w:rPr>
        <w:t>Records must be retained for three years after grant close-out.  If any litigation, claim, negotiation, audit or other action involving the records has been started before the expiration of the three-year period, the records must be retained until completion of the action and resolution of all issues which arise from it, or until the end of the regular three</w:t>
      </w:r>
      <w:r>
        <w:rPr>
          <w:rFonts w:ascii="Times New Roman" w:eastAsia="Times New Roman" w:hAnsi="Times New Roman" w:cs="Times New Roman"/>
          <w:sz w:val="24"/>
          <w:szCs w:val="24"/>
        </w:rPr>
        <w:t>-year period, which</w:t>
      </w:r>
      <w:r w:rsidRPr="0049227E">
        <w:rPr>
          <w:rFonts w:ascii="Times New Roman" w:eastAsia="Times New Roman" w:hAnsi="Times New Roman" w:cs="Times New Roman"/>
          <w:sz w:val="24"/>
          <w:szCs w:val="24"/>
        </w:rPr>
        <w:t>ever is later.</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49227E" w:rsidRDefault="00562915" w:rsidP="0049227E">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49227E" w:rsidRPr="0049227E" w:rsidRDefault="0049227E" w:rsidP="0049227E">
      <w:pPr>
        <w:rPr>
          <w:rFonts w:ascii="Times New Roman" w:hAnsi="Times New Roman" w:cs="Times New Roman"/>
          <w:sz w:val="24"/>
          <w:szCs w:val="24"/>
        </w:rPr>
      </w:pPr>
      <w:r>
        <w:rPr>
          <w:rFonts w:ascii="Times New Roman" w:hAnsi="Times New Roman" w:cs="Times New Roman"/>
          <w:sz w:val="24"/>
          <w:szCs w:val="24"/>
        </w:rPr>
        <w:lastRenderedPageBreak/>
        <w:tab/>
      </w:r>
      <w:r w:rsidRPr="0049227E">
        <w:rPr>
          <w:rFonts w:ascii="Times New Roman" w:hAnsi="Times New Roman" w:cs="Times New Roman"/>
          <w:sz w:val="24"/>
          <w:szCs w:val="24"/>
        </w:rPr>
        <w:t>There is no statistical survey involved with this data collection.</w:t>
      </w:r>
    </w:p>
    <w:p w:rsidR="00562915" w:rsidRPr="006625E7" w:rsidRDefault="00562915" w:rsidP="0049227E">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49227E" w:rsidRDefault="0049227E" w:rsidP="002B2B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49227E" w:rsidRPr="0049227E" w:rsidRDefault="0049227E" w:rsidP="0049227E">
      <w:pPr>
        <w:rPr>
          <w:rFonts w:ascii="Times New Roman" w:hAnsi="Times New Roman" w:cs="Times New Roman"/>
          <w:sz w:val="24"/>
          <w:szCs w:val="24"/>
        </w:rPr>
      </w:pPr>
      <w:r>
        <w:rPr>
          <w:rFonts w:ascii="Times New Roman" w:hAnsi="Times New Roman" w:cs="Times New Roman"/>
          <w:b/>
          <w:bCs/>
          <w:sz w:val="24"/>
          <w:szCs w:val="24"/>
        </w:rPr>
        <w:tab/>
      </w:r>
      <w:r w:rsidRPr="0049227E">
        <w:rPr>
          <w:rFonts w:ascii="Times New Roman" w:hAnsi="Times New Roman" w:cs="Times New Roman"/>
          <w:sz w:val="24"/>
          <w:szCs w:val="24"/>
        </w:rPr>
        <w:t>There is no use for statistical data classification in this data collection.</w:t>
      </w: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49227E" w:rsidRPr="0049227E" w:rsidRDefault="0049227E" w:rsidP="00562915">
      <w:pPr>
        <w:rPr>
          <w:rFonts w:ascii="Times New Roman" w:hAnsi="Times New Roman" w:cs="Times New Roman"/>
          <w:sz w:val="24"/>
          <w:szCs w:val="24"/>
        </w:rPr>
      </w:pPr>
      <w:r>
        <w:rPr>
          <w:rFonts w:ascii="Times New Roman" w:hAnsi="Times New Roman" w:cs="Times New Roman"/>
          <w:sz w:val="24"/>
          <w:szCs w:val="24"/>
        </w:rPr>
        <w:tab/>
      </w:r>
      <w:r w:rsidRPr="0049227E">
        <w:rPr>
          <w:rFonts w:ascii="Times New Roman" w:hAnsi="Times New Roman" w:cs="Times New Roman"/>
          <w:sz w:val="24"/>
          <w:szCs w:val="24"/>
        </w:rPr>
        <w:t>There is no pledge of confidentiality that is not supported by authority established in statute or regulation for this data collection</w:t>
      </w:r>
      <w:r>
        <w:rPr>
          <w:rFonts w:ascii="Times New Roman" w:hAnsi="Times New Roman" w:cs="Times New Roman"/>
          <w:sz w:val="24"/>
          <w:szCs w:val="24"/>
        </w:rPr>
        <w:t>.</w:t>
      </w: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49227E" w:rsidRPr="0049227E" w:rsidRDefault="0049227E" w:rsidP="0049227E">
      <w:pPr>
        <w:rPr>
          <w:rFonts w:ascii="Times New Roman" w:hAnsi="Times New Roman" w:cs="Times New Roman"/>
          <w:sz w:val="24"/>
          <w:szCs w:val="24"/>
        </w:rPr>
      </w:pPr>
      <w:r>
        <w:rPr>
          <w:rFonts w:ascii="Times New Roman" w:hAnsi="Times New Roman" w:cs="Times New Roman"/>
          <w:sz w:val="24"/>
          <w:szCs w:val="24"/>
        </w:rPr>
        <w:tab/>
      </w:r>
      <w:r w:rsidRPr="0049227E">
        <w:rPr>
          <w:rFonts w:ascii="Times New Roman" w:hAnsi="Times New Roman" w:cs="Times New Roman"/>
          <w:sz w:val="24"/>
          <w:szCs w:val="24"/>
        </w:rPr>
        <w:t>There are no requirements for respondents to submit proprietary trade secret, or other confidential information for this data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82667" w:rsidRDefault="00D82667" w:rsidP="00D82667">
      <w:pPr>
        <w:pStyle w:val="Footer"/>
        <w:rPr>
          <w:rFonts w:eastAsia="Calibri"/>
          <w:b/>
          <w:bCs/>
          <w:color w:val="000000"/>
        </w:rPr>
      </w:pPr>
      <w:r>
        <w:rPr>
          <w:rFonts w:eastAsia="Calibri"/>
          <w:color w:val="000000"/>
        </w:rPr>
        <w:t xml:space="preserve">A 60-day Federal Register Notice inviting public comments was published on October 12, 2016, 81 FR 70434.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rsidR="00D82667" w:rsidRDefault="00D82667" w:rsidP="00D82667">
      <w:pPr>
        <w:spacing w:after="0" w:line="240" w:lineRule="auto"/>
        <w:rPr>
          <w:rFonts w:ascii="Times New Roman" w:hAnsi="Times New Roman" w:cs="Times New Roman"/>
          <w:color w:val="000000"/>
          <w:sz w:val="24"/>
          <w:szCs w:val="24"/>
        </w:rPr>
      </w:pPr>
    </w:p>
    <w:p w:rsidR="00353AF9" w:rsidRDefault="00353AF9" w:rsidP="00353AF9">
      <w:pPr>
        <w:pStyle w:val="Footer"/>
        <w:rPr>
          <w:rFonts w:eastAsia="Calibri"/>
          <w:b/>
          <w:bCs/>
          <w:color w:val="000000"/>
        </w:rPr>
      </w:pPr>
      <w:r>
        <w:rPr>
          <w:rFonts w:eastAsia="Calibri"/>
          <w:color w:val="000000"/>
        </w:rPr>
        <w:t xml:space="preserve">A 30-day Federal Register Notice inviting public comments was published on January 6, 2017, 82 FR 1748.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rsidR="00D82667" w:rsidRPr="006625E7" w:rsidRDefault="00D82667" w:rsidP="00D82667">
      <w:pPr>
        <w:spacing w:after="0" w:line="240" w:lineRule="auto"/>
        <w:rPr>
          <w:rFonts w:ascii="Times New Roman" w:hAnsi="Times New Roman" w:cs="Times New Roman"/>
          <w:sz w:val="24"/>
          <w:szCs w:val="24"/>
        </w:rPr>
      </w:pP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9227E" w:rsidRPr="00FB073C" w:rsidRDefault="0049227E" w:rsidP="0049227E">
      <w:pPr>
        <w:rPr>
          <w:rFonts w:ascii="Times New Roman" w:hAnsi="Times New Roman" w:cs="Times New Roman"/>
          <w:bCs/>
          <w:sz w:val="24"/>
          <w:szCs w:val="24"/>
        </w:rPr>
      </w:pPr>
      <w:r w:rsidRPr="00FB073C">
        <w:rPr>
          <w:rFonts w:ascii="Times New Roman" w:hAnsi="Times New Roman" w:cs="Times New Roman"/>
          <w:color w:val="000000"/>
          <w:sz w:val="24"/>
          <w:szCs w:val="24"/>
        </w:rPr>
        <w:lastRenderedPageBreak/>
        <w:t>FEMA meets with the American Public Transportation Association (APTA) national association that represents this entity, as well as individual grantees, through regular program-specific conferences and workshops.  Additionally, teleconferences and e-mail communications</w:t>
      </w:r>
      <w:r w:rsidRPr="00FB073C">
        <w:rPr>
          <w:rFonts w:ascii="Times New Roman" w:hAnsi="Times New Roman" w:cs="Times New Roman"/>
          <w:sz w:val="24"/>
          <w:szCs w:val="24"/>
        </w:rPr>
        <w:t xml:space="preserve"> are also used.  These consultations focus on the nature of information needed by FEMA to manage the grant programs. There were no recommendations for changes received. </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FB073C" w:rsidRPr="00FB073C" w:rsidRDefault="00FB073C" w:rsidP="00FB073C">
      <w:pPr>
        <w:rPr>
          <w:rFonts w:ascii="Times New Roman" w:hAnsi="Times New Roman" w:cs="Times New Roman"/>
          <w:bCs/>
          <w:sz w:val="24"/>
          <w:szCs w:val="24"/>
        </w:rPr>
      </w:pPr>
      <w:r w:rsidRPr="00FB073C">
        <w:rPr>
          <w:rFonts w:ascii="Times New Roman" w:hAnsi="Times New Roman" w:cs="Times New Roman"/>
          <w:bCs/>
          <w:sz w:val="24"/>
          <w:szCs w:val="24"/>
        </w:rPr>
        <w:t xml:space="preserve">FEMA consults on a regular basis with its rail, intra-city bus, ferry, and Amtrak operator stakeholders on a variety of issues. </w:t>
      </w:r>
      <w:r w:rsidRPr="00FB073C">
        <w:rPr>
          <w:rFonts w:ascii="Times New Roman" w:hAnsi="Times New Roman" w:cs="Times New Roman"/>
          <w:sz w:val="24"/>
          <w:szCs w:val="24"/>
        </w:rPr>
        <w:t xml:space="preserve">These consultations involve discussions regarding the nature of the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 There were no recommendations for changes received.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FB073C" w:rsidRPr="00FB073C" w:rsidRDefault="00FB073C" w:rsidP="00FB073C">
      <w:pPr>
        <w:rPr>
          <w:rFonts w:ascii="Times New Roman" w:hAnsi="Times New Roman" w:cs="Times New Roman"/>
          <w:sz w:val="24"/>
          <w:szCs w:val="24"/>
        </w:rPr>
      </w:pPr>
      <w:r w:rsidRPr="00FB073C">
        <w:rPr>
          <w:rFonts w:ascii="Times New Roman" w:hAnsi="Times New Roman" w:cs="Times New Roman"/>
          <w:sz w:val="24"/>
          <w:szCs w:val="24"/>
        </w:rPr>
        <w:t>FEMA does not provide payments or gifts to respondents in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660E5E" w:rsidRPr="0042337D" w:rsidRDefault="00660E5E" w:rsidP="00660E5E">
      <w:pPr>
        <w:autoSpaceDE w:val="0"/>
        <w:autoSpaceDN w:val="0"/>
        <w:adjustRightInd w:val="0"/>
        <w:rPr>
          <w:rFonts w:ascii="Times New Roman" w:eastAsia="Calibri" w:hAnsi="Times New Roman"/>
          <w:color w:val="000000"/>
          <w:sz w:val="24"/>
          <w:szCs w:val="24"/>
        </w:rPr>
      </w:pPr>
      <w:r w:rsidRPr="0042337D">
        <w:rPr>
          <w:rFonts w:ascii="Times New Roman" w:eastAsia="Calibri" w:hAnsi="Times New Roman"/>
          <w:bCs/>
          <w:color w:val="000000"/>
          <w:sz w:val="24"/>
          <w:szCs w:val="24"/>
        </w:rPr>
        <w:t xml:space="preserve">A Privacy Threshold Analysis (PTA) was completed by FEMA and adjudicated by the DHS Privacy Office on </w:t>
      </w:r>
      <w:r>
        <w:rPr>
          <w:rFonts w:ascii="Times New Roman" w:eastAsia="Calibri" w:hAnsi="Times New Roman"/>
          <w:bCs/>
          <w:color w:val="000000"/>
          <w:sz w:val="24"/>
          <w:szCs w:val="24"/>
        </w:rPr>
        <w:t>January 10, 2017</w:t>
      </w:r>
      <w:r w:rsidRPr="0042337D">
        <w:rPr>
          <w:rFonts w:ascii="Times New Roman" w:eastAsia="Calibri" w:hAnsi="Times New Roman"/>
          <w:color w:val="000000"/>
          <w:sz w:val="24"/>
          <w:szCs w:val="24"/>
        </w:rPr>
        <w:t xml:space="preserve">. </w:t>
      </w:r>
    </w:p>
    <w:p w:rsidR="00660E5E" w:rsidRPr="0042337D" w:rsidRDefault="00660E5E" w:rsidP="00660E5E">
      <w:pPr>
        <w:autoSpaceDE w:val="0"/>
        <w:autoSpaceDN w:val="0"/>
        <w:adjustRightInd w:val="0"/>
        <w:rPr>
          <w:rFonts w:ascii="Times New Roman" w:eastAsia="Calibri" w:hAnsi="Times New Roman"/>
          <w:color w:val="000000"/>
          <w:sz w:val="24"/>
          <w:szCs w:val="24"/>
        </w:rPr>
      </w:pPr>
      <w:r w:rsidRPr="0042337D">
        <w:rPr>
          <w:rFonts w:ascii="Times New Roman" w:eastAsia="Calibri" w:hAnsi="Times New Roman"/>
          <w:color w:val="000000"/>
          <w:sz w:val="24"/>
          <w:szCs w:val="24"/>
        </w:rPr>
        <w:t xml:space="preserve">The TSGP Investment Justification, FEMA Form 089-4 is a privacy sensitive collection requiring Privacy Impact Assessment, PIA coverage. This form is covered by an existing PIA, DHS/FEMA 013 – Grant Management Programs, approved by DHS on February 19, 2015. No Privacy Act Statement nor SORN coverage is required for the form. </w:t>
      </w:r>
    </w:p>
    <w:p w:rsidR="00660E5E" w:rsidRDefault="00660E5E" w:rsidP="00660E5E">
      <w:pPr>
        <w:tabs>
          <w:tab w:val="left" w:pos="360"/>
        </w:tabs>
        <w:rPr>
          <w:rFonts w:ascii="Times New Roman" w:eastAsia="Times New Roman" w:hAnsi="Times New Roman"/>
          <w:sz w:val="24"/>
          <w:szCs w:val="24"/>
        </w:rPr>
      </w:pPr>
      <w:r w:rsidRPr="0042337D">
        <w:rPr>
          <w:rFonts w:ascii="Times New Roman" w:eastAsia="Times New Roman" w:hAnsi="Times New Roman"/>
          <w:sz w:val="24"/>
          <w:szCs w:val="24"/>
        </w:rPr>
        <w:t>There are no assurances of confidentiality provided to the respondents for this information collection.</w:t>
      </w:r>
    </w:p>
    <w:p w:rsidR="00660E5E" w:rsidRPr="0042337D" w:rsidRDefault="00660E5E" w:rsidP="00660E5E">
      <w:pPr>
        <w:tabs>
          <w:tab w:val="left" w:pos="360"/>
        </w:tabs>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lastRenderedPageBreak/>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FB073C" w:rsidRPr="00FB073C" w:rsidRDefault="00FB073C" w:rsidP="00FB073C">
      <w:pPr>
        <w:rPr>
          <w:rFonts w:ascii="Times New Roman" w:hAnsi="Times New Roman" w:cs="Times New Roman"/>
          <w:b/>
          <w:bCs/>
        </w:rPr>
      </w:pPr>
      <w:r w:rsidRPr="00FB073C">
        <w:rPr>
          <w:rFonts w:ascii="Times New Roman" w:hAnsi="Times New Roman" w:cs="Times New Roman"/>
        </w:rPr>
        <w:t>There are no questions of sensitive nature.</w:t>
      </w:r>
      <w:r w:rsidRPr="00FB073C">
        <w:rPr>
          <w:rFonts w:ascii="Times New Roman" w:hAnsi="Times New Roman" w:cs="Times New Roman"/>
          <w:b/>
          <w:bCs/>
        </w:rPr>
        <w:t xml:space="preserve"> </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E22DC3">
      <w:pPr>
        <w:pStyle w:val="HTMLPreformatted"/>
        <w:tabs>
          <w:tab w:val="left" w:pos="720"/>
        </w:tabs>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22DC3" w:rsidRDefault="00E22DC3" w:rsidP="00E22DC3">
      <w:pPr>
        <w:pStyle w:val="HTMLPreformatted"/>
        <w:tabs>
          <w:tab w:val="left" w:pos="720"/>
        </w:tabs>
        <w:rPr>
          <w:rFonts w:ascii="Times New Roman" w:hAnsi="Times New Roman" w:cs="Times New Roman"/>
          <w:b/>
          <w:bCs/>
          <w:sz w:val="24"/>
          <w:szCs w:val="24"/>
        </w:rPr>
      </w:pPr>
    </w:p>
    <w:p w:rsidR="00E22DC3" w:rsidRDefault="00E22DC3" w:rsidP="00E22DC3">
      <w:pPr>
        <w:pStyle w:val="HTMLPreformatted"/>
        <w:tabs>
          <w:tab w:val="left" w:pos="720"/>
        </w:tabs>
        <w:rPr>
          <w:rFonts w:ascii="Times New Roman" w:hAnsi="Times New Roman" w:cs="Times New Roman"/>
          <w:b/>
          <w:bCs/>
          <w:sz w:val="24"/>
          <w:szCs w:val="24"/>
        </w:rPr>
      </w:pPr>
    </w:p>
    <w:p w:rsidR="00FB073C" w:rsidRPr="006625E7" w:rsidRDefault="00FB073C" w:rsidP="00562915">
      <w:pPr>
        <w:rPr>
          <w:rFonts w:ascii="Times New Roman" w:hAnsi="Times New Roman" w:cs="Times New Roman"/>
          <w:b/>
          <w:bCs/>
          <w:sz w:val="24"/>
          <w:szCs w:val="24"/>
        </w:rPr>
      </w:pPr>
      <w:r w:rsidRPr="00D36726">
        <w:rPr>
          <w:rFonts w:ascii="Times New Roman" w:hAnsi="Times New Roman" w:cs="Times New Roman"/>
          <w:sz w:val="24"/>
          <w:szCs w:val="24"/>
        </w:rPr>
        <w:t>The TSGP is an existing grant program that uses the forms outlined in this collection</w:t>
      </w:r>
      <w:r w:rsidRPr="00D36726">
        <w:rPr>
          <w:rFonts w:ascii="Times New Roman" w:hAnsi="Times New Roman" w:cs="Times New Roman"/>
          <w:bCs/>
          <w:sz w:val="24"/>
          <w:szCs w:val="24"/>
        </w:rPr>
        <w:t xml:space="preserve">.  </w:t>
      </w:r>
      <w:r w:rsidRPr="00D36726">
        <w:rPr>
          <w:rFonts w:ascii="Times New Roman" w:hAnsi="Times New Roman" w:cs="Times New Roman"/>
          <w:sz w:val="24"/>
          <w:szCs w:val="24"/>
        </w:rPr>
        <w:t xml:space="preserve">The program provides funds to owners and operators of transit systems (which include intra-city bus, commuter bus, and all forms of passenger rail) to protect critical surface transportation infrastructure and the traveling public from acts of terrorism, major disasters, and other emergencies. </w:t>
      </w:r>
      <w:r w:rsidRPr="00D36726">
        <w:rPr>
          <w:rFonts w:ascii="Times New Roman" w:hAnsi="Times New Roman" w:cs="Times New Roman"/>
          <w:bCs/>
          <w:sz w:val="24"/>
          <w:szCs w:val="24"/>
        </w:rPr>
        <w:t>The burden hour estimates shown on the following pages are based upon internal and external subject matter expertise.  The burden to collect the necessary information has estimated to be</w:t>
      </w:r>
      <w:r>
        <w:rPr>
          <w:rFonts w:ascii="Times New Roman" w:hAnsi="Times New Roman" w:cs="Times New Roman"/>
          <w:bCs/>
          <w:sz w:val="24"/>
          <w:szCs w:val="24"/>
        </w:rPr>
        <w:t xml:space="preserve"> 5,043</w:t>
      </w:r>
      <w:r w:rsidRPr="00D36726">
        <w:rPr>
          <w:rFonts w:ascii="Times New Roman" w:hAnsi="Times New Roman" w:cs="Times New Roman"/>
          <w:bCs/>
          <w:sz w:val="24"/>
          <w:szCs w:val="24"/>
        </w:rPr>
        <w:t xml:space="preserve"> total annual burden hours.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453DCE" w:rsidRDefault="00562915" w:rsidP="00FE14EB">
      <w:pPr>
        <w:rPr>
          <w:rFonts w:ascii="Times New Roman" w:eastAsia="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453DCE" w:rsidRPr="00453DCE" w:rsidRDefault="00453DCE" w:rsidP="00453DCE">
      <w:pPr>
        <w:spacing w:after="0" w:line="240" w:lineRule="auto"/>
        <w:rPr>
          <w:rFonts w:ascii="Times New Roman" w:eastAsia="Times New Roman" w:hAnsi="Times New Roman" w:cs="Times New Roman"/>
          <w:b/>
          <w:bCs/>
          <w:sz w:val="24"/>
          <w:szCs w:val="24"/>
        </w:rPr>
      </w:pPr>
    </w:p>
    <w:tbl>
      <w:tblPr>
        <w:tblpPr w:leftFromText="180" w:rightFromText="180" w:vertAnchor="text" w:horzAnchor="margin" w:tblpXSpec="center" w:tblpY="362"/>
        <w:tblW w:w="10710" w:type="dxa"/>
        <w:tblLayout w:type="fixed"/>
        <w:tblLook w:val="0000" w:firstRow="0" w:lastRow="0" w:firstColumn="0" w:lastColumn="0" w:noHBand="0" w:noVBand="0"/>
      </w:tblPr>
      <w:tblGrid>
        <w:gridCol w:w="1440"/>
        <w:gridCol w:w="1157"/>
        <w:gridCol w:w="1016"/>
        <w:gridCol w:w="1016"/>
        <w:gridCol w:w="1284"/>
        <w:gridCol w:w="1172"/>
        <w:gridCol w:w="1177"/>
        <w:gridCol w:w="90"/>
        <w:gridCol w:w="810"/>
        <w:gridCol w:w="1548"/>
      </w:tblGrid>
      <w:tr w:rsidR="00453DCE" w:rsidRPr="00453DCE" w:rsidTr="00BF02DC">
        <w:trPr>
          <w:trHeight w:val="270"/>
        </w:trPr>
        <w:tc>
          <w:tcPr>
            <w:tcW w:w="1071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rsidR="00453DCE" w:rsidRPr="00453DCE" w:rsidRDefault="00453DCE" w:rsidP="00453DCE">
            <w:pPr>
              <w:spacing w:after="0" w:line="240" w:lineRule="auto"/>
              <w:jc w:val="center"/>
              <w:rPr>
                <w:rFonts w:ascii="Arial" w:eastAsia="Times New Roman" w:hAnsi="Arial" w:cs="Arial"/>
                <w:sz w:val="20"/>
                <w:szCs w:val="20"/>
              </w:rPr>
            </w:pPr>
            <w:r w:rsidRPr="00453DCE">
              <w:rPr>
                <w:rFonts w:ascii="Arial" w:eastAsia="Times New Roman" w:hAnsi="Arial" w:cs="Arial"/>
                <w:sz w:val="20"/>
                <w:szCs w:val="20"/>
              </w:rPr>
              <w:t>Table A.12: Estimated Annualized Burden Hours and Costs</w:t>
            </w:r>
          </w:p>
        </w:tc>
      </w:tr>
      <w:tr w:rsidR="00453DCE" w:rsidRPr="00453DCE" w:rsidTr="00BF02DC">
        <w:trPr>
          <w:trHeight w:val="1545"/>
        </w:trPr>
        <w:tc>
          <w:tcPr>
            <w:tcW w:w="1440" w:type="dxa"/>
            <w:tcBorders>
              <w:top w:val="nil"/>
              <w:left w:val="single" w:sz="8" w:space="0" w:color="auto"/>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Type of Respondent</w:t>
            </w:r>
          </w:p>
        </w:tc>
        <w:tc>
          <w:tcPr>
            <w:tcW w:w="1157"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Form Name / Form Number</w:t>
            </w:r>
          </w:p>
        </w:tc>
        <w:tc>
          <w:tcPr>
            <w:tcW w:w="1016"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 xml:space="preserve">No. of </w:t>
            </w:r>
            <w:proofErr w:type="spellStart"/>
            <w:r w:rsidRPr="00453DCE">
              <w:rPr>
                <w:rFonts w:ascii="Arial" w:eastAsia="Times New Roman" w:hAnsi="Arial" w:cs="Arial"/>
                <w:b/>
                <w:bCs/>
                <w:sz w:val="20"/>
                <w:szCs w:val="20"/>
              </w:rPr>
              <w:t>Respon</w:t>
            </w:r>
            <w:proofErr w:type="spellEnd"/>
            <w:r w:rsidRPr="00453DCE">
              <w:rPr>
                <w:rFonts w:ascii="Arial" w:eastAsia="Times New Roman" w:hAnsi="Arial" w:cs="Arial"/>
                <w:b/>
                <w:bCs/>
                <w:sz w:val="20"/>
                <w:szCs w:val="20"/>
              </w:rPr>
              <w:t>-dents</w:t>
            </w:r>
          </w:p>
        </w:tc>
        <w:tc>
          <w:tcPr>
            <w:tcW w:w="1016"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 xml:space="preserve">No. of </w:t>
            </w:r>
            <w:proofErr w:type="spellStart"/>
            <w:r w:rsidRPr="00453DCE">
              <w:rPr>
                <w:rFonts w:ascii="Arial" w:eastAsia="Times New Roman" w:hAnsi="Arial" w:cs="Arial"/>
                <w:b/>
                <w:bCs/>
                <w:sz w:val="20"/>
                <w:szCs w:val="20"/>
              </w:rPr>
              <w:t>Respon-ses</w:t>
            </w:r>
            <w:proofErr w:type="spellEnd"/>
            <w:r w:rsidRPr="00453DCE">
              <w:rPr>
                <w:rFonts w:ascii="Arial" w:eastAsia="Times New Roman" w:hAnsi="Arial" w:cs="Arial"/>
                <w:b/>
                <w:bCs/>
                <w:sz w:val="20"/>
                <w:szCs w:val="20"/>
              </w:rPr>
              <w:t xml:space="preserve"> per </w:t>
            </w:r>
            <w:proofErr w:type="spellStart"/>
            <w:r w:rsidRPr="00453DCE">
              <w:rPr>
                <w:rFonts w:ascii="Arial" w:eastAsia="Times New Roman" w:hAnsi="Arial" w:cs="Arial"/>
                <w:b/>
                <w:bCs/>
                <w:sz w:val="20"/>
                <w:szCs w:val="20"/>
              </w:rPr>
              <w:t>Respon</w:t>
            </w:r>
            <w:proofErr w:type="spellEnd"/>
            <w:r w:rsidRPr="00453DCE">
              <w:rPr>
                <w:rFonts w:ascii="Arial" w:eastAsia="Times New Roman" w:hAnsi="Arial" w:cs="Arial"/>
                <w:b/>
                <w:bCs/>
                <w:sz w:val="20"/>
                <w:szCs w:val="20"/>
              </w:rPr>
              <w:t>-dent</w:t>
            </w:r>
          </w:p>
        </w:tc>
        <w:tc>
          <w:tcPr>
            <w:tcW w:w="1284"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Total No. of Responses</w:t>
            </w:r>
          </w:p>
        </w:tc>
        <w:tc>
          <w:tcPr>
            <w:tcW w:w="1172"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Avg. Burden per Response (in hours)</w:t>
            </w:r>
          </w:p>
        </w:tc>
        <w:tc>
          <w:tcPr>
            <w:tcW w:w="1177"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Total Annual Burden (in hours)</w:t>
            </w:r>
          </w:p>
        </w:tc>
        <w:tc>
          <w:tcPr>
            <w:tcW w:w="900" w:type="dxa"/>
            <w:gridSpan w:val="2"/>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Avg. Hourly Wage Rate*</w:t>
            </w:r>
          </w:p>
        </w:tc>
        <w:tc>
          <w:tcPr>
            <w:tcW w:w="1548" w:type="dxa"/>
            <w:tcBorders>
              <w:top w:val="nil"/>
              <w:left w:val="nil"/>
              <w:bottom w:val="single" w:sz="8" w:space="0" w:color="auto"/>
              <w:right w:val="single" w:sz="8" w:space="0" w:color="auto"/>
            </w:tcBorders>
            <w:shd w:val="clear" w:color="auto" w:fill="0070C0"/>
            <w:vAlign w:val="bottom"/>
          </w:tcPr>
          <w:p w:rsidR="00453DCE" w:rsidRPr="00453DCE" w:rsidRDefault="00453DCE" w:rsidP="00453DCE">
            <w:pPr>
              <w:spacing w:after="0" w:line="240" w:lineRule="auto"/>
              <w:jc w:val="center"/>
              <w:rPr>
                <w:rFonts w:ascii="Arial" w:eastAsia="Times New Roman" w:hAnsi="Arial" w:cs="Arial"/>
                <w:b/>
                <w:bCs/>
                <w:sz w:val="20"/>
                <w:szCs w:val="20"/>
              </w:rPr>
            </w:pPr>
            <w:r w:rsidRPr="00453DCE">
              <w:rPr>
                <w:rFonts w:ascii="Arial" w:eastAsia="Times New Roman" w:hAnsi="Arial" w:cs="Arial"/>
                <w:b/>
                <w:bCs/>
                <w:sz w:val="20"/>
                <w:szCs w:val="20"/>
              </w:rPr>
              <w:t>Total Annual Respondent Cost</w:t>
            </w:r>
          </w:p>
        </w:tc>
      </w:tr>
      <w:tr w:rsidR="00453DCE" w:rsidRPr="00453DCE" w:rsidTr="00BF02D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State, Local, or Tribal Governments</w:t>
            </w:r>
          </w:p>
        </w:tc>
        <w:tc>
          <w:tcPr>
            <w:tcW w:w="1157"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TSGP</w:t>
            </w:r>
          </w:p>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 xml:space="preserve">Investment Justification/ </w:t>
            </w:r>
          </w:p>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 xml:space="preserve">FEMA Form </w:t>
            </w:r>
          </w:p>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 xml:space="preserve">089-4 </w:t>
            </w:r>
          </w:p>
        </w:tc>
        <w:tc>
          <w:tcPr>
            <w:tcW w:w="1016"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17 hrs.</w:t>
            </w:r>
          </w:p>
        </w:tc>
        <w:tc>
          <w:tcPr>
            <w:tcW w:w="1267" w:type="dxa"/>
            <w:gridSpan w:val="2"/>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2,091</w:t>
            </w:r>
          </w:p>
        </w:tc>
        <w:tc>
          <w:tcPr>
            <w:tcW w:w="810"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$41.44</w:t>
            </w:r>
          </w:p>
        </w:tc>
        <w:tc>
          <w:tcPr>
            <w:tcW w:w="1548"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$86,651.04</w:t>
            </w:r>
          </w:p>
        </w:tc>
      </w:tr>
      <w:tr w:rsidR="00453DCE" w:rsidRPr="00453DCE" w:rsidTr="00BF02D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State, Local, or Tribal Governments</w:t>
            </w:r>
          </w:p>
        </w:tc>
        <w:tc>
          <w:tcPr>
            <w:tcW w:w="1157" w:type="dxa"/>
            <w:tcBorders>
              <w:top w:val="nil"/>
              <w:left w:val="nil"/>
              <w:bottom w:val="single" w:sz="8" w:space="0" w:color="auto"/>
              <w:right w:val="single" w:sz="8" w:space="0" w:color="auto"/>
            </w:tcBorders>
            <w:shd w:val="clear" w:color="auto" w:fill="auto"/>
          </w:tcPr>
          <w:p w:rsidR="00453DCE" w:rsidRPr="00453DCE" w:rsidRDefault="00453DCE" w:rsidP="00453DCE">
            <w:pPr>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 xml:space="preserve">Regional Transit Security Strategy </w:t>
            </w:r>
          </w:p>
        </w:tc>
        <w:tc>
          <w:tcPr>
            <w:tcW w:w="1016"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24 hrs.</w:t>
            </w:r>
          </w:p>
        </w:tc>
        <w:tc>
          <w:tcPr>
            <w:tcW w:w="1267" w:type="dxa"/>
            <w:gridSpan w:val="2"/>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2,952</w:t>
            </w:r>
          </w:p>
        </w:tc>
        <w:tc>
          <w:tcPr>
            <w:tcW w:w="810"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$41.44</w:t>
            </w:r>
          </w:p>
        </w:tc>
        <w:tc>
          <w:tcPr>
            <w:tcW w:w="1548" w:type="dxa"/>
            <w:tcBorders>
              <w:top w:val="nil"/>
              <w:left w:val="nil"/>
              <w:bottom w:val="single" w:sz="8" w:space="0" w:color="auto"/>
              <w:right w:val="single" w:sz="8" w:space="0" w:color="auto"/>
            </w:tcBorders>
            <w:shd w:val="clear" w:color="auto" w:fill="auto"/>
            <w:vAlign w:val="center"/>
          </w:tcPr>
          <w:p w:rsidR="00453DCE" w:rsidRPr="00453DCE" w:rsidRDefault="00453DCE" w:rsidP="00453DCE">
            <w:pPr>
              <w:spacing w:after="0" w:line="240" w:lineRule="auto"/>
              <w:jc w:val="center"/>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$122,330.88</w:t>
            </w:r>
          </w:p>
        </w:tc>
      </w:tr>
      <w:tr w:rsidR="00453DCE" w:rsidRPr="00453DCE" w:rsidTr="00BF02DC">
        <w:trPr>
          <w:trHeight w:val="270"/>
        </w:trPr>
        <w:tc>
          <w:tcPr>
            <w:tcW w:w="1440" w:type="dxa"/>
            <w:tcBorders>
              <w:top w:val="nil"/>
              <w:left w:val="single" w:sz="8" w:space="0" w:color="auto"/>
              <w:bottom w:val="single" w:sz="8" w:space="0" w:color="auto"/>
              <w:right w:val="single" w:sz="8" w:space="0" w:color="auto"/>
            </w:tcBorders>
            <w:shd w:val="clear" w:color="auto" w:fill="auto"/>
            <w:vAlign w:val="bottom"/>
          </w:tcPr>
          <w:p w:rsidR="00453DCE" w:rsidRPr="00453DCE" w:rsidRDefault="00453DCE" w:rsidP="00453DCE">
            <w:pPr>
              <w:spacing w:after="0" w:line="240" w:lineRule="auto"/>
              <w:jc w:val="center"/>
              <w:rPr>
                <w:rFonts w:ascii="Times New Roman" w:eastAsia="Calibri" w:hAnsi="Times New Roman" w:cs="Times New Roman"/>
                <w:b/>
                <w:bCs/>
                <w:sz w:val="18"/>
                <w:szCs w:val="18"/>
              </w:rPr>
            </w:pPr>
            <w:r w:rsidRPr="00453DCE">
              <w:rPr>
                <w:rFonts w:ascii="Times New Roman" w:eastAsia="Times New Roman" w:hAnsi="Times New Roman" w:cs="Times New Roman"/>
                <w:b/>
                <w:bCs/>
                <w:sz w:val="18"/>
                <w:szCs w:val="18"/>
              </w:rPr>
              <w:t>Total</w:t>
            </w:r>
          </w:p>
        </w:tc>
        <w:tc>
          <w:tcPr>
            <w:tcW w:w="1157" w:type="dxa"/>
            <w:tcBorders>
              <w:top w:val="nil"/>
              <w:left w:val="nil"/>
              <w:bottom w:val="single" w:sz="8" w:space="0" w:color="auto"/>
              <w:right w:val="single" w:sz="8" w:space="0" w:color="auto"/>
            </w:tcBorders>
            <w:shd w:val="clear" w:color="auto" w:fill="000000"/>
            <w:vAlign w:val="bottom"/>
          </w:tcPr>
          <w:p w:rsidR="00453DCE" w:rsidRPr="00453DCE" w:rsidRDefault="00453DCE" w:rsidP="00453DCE">
            <w:pPr>
              <w:spacing w:after="0" w:line="240" w:lineRule="auto"/>
              <w:jc w:val="center"/>
              <w:rPr>
                <w:rFonts w:ascii="Times New Roman" w:eastAsia="Calibri" w:hAnsi="Times New Roman" w:cs="Times New Roman"/>
                <w:sz w:val="18"/>
                <w:szCs w:val="18"/>
              </w:rPr>
            </w:pPr>
            <w:r w:rsidRPr="00453DCE">
              <w:rPr>
                <w:rFonts w:ascii="Times New Roman" w:eastAsia="Times New Roman" w:hAnsi="Times New Roman" w:cs="Times New Roman"/>
                <w:sz w:val="18"/>
                <w:szCs w:val="18"/>
              </w:rPr>
              <w:t> </w:t>
            </w:r>
          </w:p>
        </w:tc>
        <w:tc>
          <w:tcPr>
            <w:tcW w:w="1016" w:type="dxa"/>
            <w:tcBorders>
              <w:top w:val="nil"/>
              <w:left w:val="nil"/>
              <w:bottom w:val="single" w:sz="8" w:space="0" w:color="auto"/>
              <w:right w:val="single" w:sz="8" w:space="0" w:color="auto"/>
            </w:tcBorders>
            <w:shd w:val="clear" w:color="auto" w:fill="auto"/>
            <w:vAlign w:val="bottom"/>
          </w:tcPr>
          <w:p w:rsidR="00453DCE" w:rsidRPr="00453DCE" w:rsidRDefault="00453DCE" w:rsidP="00453DCE">
            <w:pPr>
              <w:spacing w:after="0" w:line="240" w:lineRule="auto"/>
              <w:jc w:val="center"/>
              <w:rPr>
                <w:rFonts w:ascii="Times New Roman" w:eastAsia="Calibri" w:hAnsi="Times New Roman" w:cs="Times New Roman"/>
                <w:b/>
                <w:bCs/>
                <w:sz w:val="18"/>
                <w:szCs w:val="18"/>
              </w:rPr>
            </w:pPr>
            <w:r w:rsidRPr="00453DCE">
              <w:rPr>
                <w:rFonts w:ascii="Times New Roman" w:eastAsia="Times New Roman" w:hAnsi="Times New Roman" w:cs="Times New Roman"/>
                <w:b/>
                <w:bCs/>
                <w:sz w:val="18"/>
                <w:szCs w:val="18"/>
              </w:rPr>
              <w:t>123</w:t>
            </w:r>
          </w:p>
        </w:tc>
        <w:tc>
          <w:tcPr>
            <w:tcW w:w="1016" w:type="dxa"/>
            <w:tcBorders>
              <w:top w:val="nil"/>
              <w:left w:val="nil"/>
              <w:bottom w:val="single" w:sz="8" w:space="0" w:color="auto"/>
              <w:right w:val="single" w:sz="8" w:space="0" w:color="auto"/>
            </w:tcBorders>
            <w:shd w:val="clear" w:color="auto" w:fill="000000"/>
            <w:vAlign w:val="bottom"/>
          </w:tcPr>
          <w:p w:rsidR="00453DCE" w:rsidRPr="00453DCE" w:rsidRDefault="00453DCE" w:rsidP="00453DCE">
            <w:pPr>
              <w:spacing w:after="0" w:line="240" w:lineRule="auto"/>
              <w:jc w:val="center"/>
              <w:rPr>
                <w:rFonts w:ascii="Times New Roman" w:eastAsia="Calibri" w:hAnsi="Times New Roman" w:cs="Times New Roman"/>
                <w:color w:val="000000"/>
                <w:sz w:val="18"/>
                <w:szCs w:val="18"/>
              </w:rPr>
            </w:pPr>
            <w:r w:rsidRPr="00453DCE">
              <w:rPr>
                <w:rFonts w:ascii="Times New Roman" w:eastAsia="Times New Roman" w:hAnsi="Times New Roman" w:cs="Times New Roman"/>
                <w:color w:val="000000"/>
                <w:sz w:val="18"/>
                <w:szCs w:val="18"/>
              </w:rPr>
              <w:t> </w:t>
            </w:r>
          </w:p>
        </w:tc>
        <w:tc>
          <w:tcPr>
            <w:tcW w:w="1284" w:type="dxa"/>
            <w:tcBorders>
              <w:top w:val="nil"/>
              <w:left w:val="nil"/>
              <w:bottom w:val="single" w:sz="8" w:space="0" w:color="auto"/>
              <w:right w:val="single" w:sz="8" w:space="0" w:color="auto"/>
            </w:tcBorders>
            <w:shd w:val="clear" w:color="auto" w:fill="auto"/>
            <w:vAlign w:val="bottom"/>
          </w:tcPr>
          <w:p w:rsidR="00453DCE" w:rsidRPr="00453DCE" w:rsidRDefault="00453DCE" w:rsidP="00453DCE">
            <w:pPr>
              <w:spacing w:after="0" w:line="240" w:lineRule="auto"/>
              <w:jc w:val="center"/>
              <w:rPr>
                <w:rFonts w:ascii="Times New Roman" w:eastAsia="Calibri" w:hAnsi="Times New Roman" w:cs="Times New Roman"/>
                <w:b/>
                <w:bCs/>
                <w:sz w:val="18"/>
                <w:szCs w:val="18"/>
              </w:rPr>
            </w:pPr>
            <w:r w:rsidRPr="00453DCE">
              <w:rPr>
                <w:rFonts w:ascii="Times New Roman" w:eastAsia="Times New Roman" w:hAnsi="Times New Roman" w:cs="Times New Roman"/>
                <w:b/>
                <w:bCs/>
                <w:sz w:val="18"/>
                <w:szCs w:val="18"/>
              </w:rPr>
              <w:t>246</w:t>
            </w:r>
          </w:p>
        </w:tc>
        <w:tc>
          <w:tcPr>
            <w:tcW w:w="1172" w:type="dxa"/>
            <w:tcBorders>
              <w:top w:val="nil"/>
              <w:left w:val="nil"/>
              <w:bottom w:val="single" w:sz="8" w:space="0" w:color="auto"/>
              <w:right w:val="single" w:sz="8" w:space="0" w:color="auto"/>
            </w:tcBorders>
            <w:shd w:val="clear" w:color="auto" w:fill="000000"/>
            <w:vAlign w:val="bottom"/>
          </w:tcPr>
          <w:p w:rsidR="00453DCE" w:rsidRPr="00453DCE" w:rsidRDefault="00453DCE" w:rsidP="00453DCE">
            <w:pPr>
              <w:spacing w:after="0" w:line="240" w:lineRule="auto"/>
              <w:jc w:val="center"/>
              <w:rPr>
                <w:rFonts w:ascii="Times New Roman" w:eastAsia="Calibri" w:hAnsi="Times New Roman" w:cs="Times New Roman"/>
                <w:sz w:val="18"/>
                <w:szCs w:val="18"/>
              </w:rPr>
            </w:pPr>
            <w:r w:rsidRPr="00453DCE">
              <w:rPr>
                <w:rFonts w:ascii="Times New Roman" w:eastAsia="Times New Roman" w:hAnsi="Times New Roman" w:cs="Times New Roman"/>
                <w:sz w:val="18"/>
                <w:szCs w:val="18"/>
              </w:rPr>
              <w:t> </w:t>
            </w:r>
          </w:p>
        </w:tc>
        <w:tc>
          <w:tcPr>
            <w:tcW w:w="1267" w:type="dxa"/>
            <w:gridSpan w:val="2"/>
            <w:tcBorders>
              <w:top w:val="nil"/>
              <w:left w:val="nil"/>
              <w:bottom w:val="single" w:sz="8" w:space="0" w:color="auto"/>
              <w:right w:val="single" w:sz="8" w:space="0" w:color="auto"/>
            </w:tcBorders>
            <w:shd w:val="clear" w:color="auto" w:fill="auto"/>
            <w:vAlign w:val="bottom"/>
          </w:tcPr>
          <w:p w:rsidR="00453DCE" w:rsidRPr="00453DCE" w:rsidRDefault="00453DCE" w:rsidP="00453DCE">
            <w:pPr>
              <w:spacing w:after="0" w:line="240" w:lineRule="auto"/>
              <w:jc w:val="center"/>
              <w:rPr>
                <w:rFonts w:ascii="Times New Roman" w:eastAsia="Calibri" w:hAnsi="Times New Roman" w:cs="Times New Roman"/>
                <w:b/>
                <w:bCs/>
                <w:sz w:val="18"/>
                <w:szCs w:val="18"/>
              </w:rPr>
            </w:pPr>
            <w:r w:rsidRPr="00453DCE">
              <w:rPr>
                <w:rFonts w:ascii="Times New Roman" w:eastAsia="Times New Roman" w:hAnsi="Times New Roman" w:cs="Times New Roman"/>
                <w:b/>
                <w:bCs/>
                <w:sz w:val="18"/>
                <w:szCs w:val="18"/>
              </w:rPr>
              <w:t>5,043</w:t>
            </w:r>
          </w:p>
        </w:tc>
        <w:tc>
          <w:tcPr>
            <w:tcW w:w="810" w:type="dxa"/>
            <w:tcBorders>
              <w:top w:val="nil"/>
              <w:left w:val="nil"/>
              <w:bottom w:val="single" w:sz="8" w:space="0" w:color="auto"/>
              <w:right w:val="single" w:sz="8" w:space="0" w:color="auto"/>
            </w:tcBorders>
            <w:shd w:val="clear" w:color="auto" w:fill="000000"/>
            <w:vAlign w:val="bottom"/>
          </w:tcPr>
          <w:p w:rsidR="00453DCE" w:rsidRPr="00453DCE" w:rsidRDefault="00453DCE" w:rsidP="00453DCE">
            <w:pPr>
              <w:spacing w:after="0" w:line="240" w:lineRule="auto"/>
              <w:jc w:val="center"/>
              <w:rPr>
                <w:rFonts w:ascii="Times New Roman" w:eastAsia="Calibri" w:hAnsi="Times New Roman" w:cs="Times New Roman"/>
                <w:sz w:val="18"/>
                <w:szCs w:val="18"/>
              </w:rPr>
            </w:pPr>
            <w:r w:rsidRPr="00453DCE">
              <w:rPr>
                <w:rFonts w:ascii="Times New Roman" w:eastAsia="Times New Roman" w:hAnsi="Times New Roman" w:cs="Times New Roman"/>
                <w:sz w:val="18"/>
                <w:szCs w:val="18"/>
              </w:rPr>
              <w:t> </w:t>
            </w:r>
          </w:p>
        </w:tc>
        <w:tc>
          <w:tcPr>
            <w:tcW w:w="1548" w:type="dxa"/>
            <w:tcBorders>
              <w:top w:val="nil"/>
              <w:left w:val="nil"/>
              <w:bottom w:val="single" w:sz="8" w:space="0" w:color="auto"/>
              <w:right w:val="single" w:sz="8" w:space="0" w:color="auto"/>
            </w:tcBorders>
            <w:shd w:val="clear" w:color="auto" w:fill="auto"/>
            <w:vAlign w:val="bottom"/>
          </w:tcPr>
          <w:p w:rsidR="00453DCE" w:rsidRPr="00453DCE" w:rsidRDefault="00453DCE" w:rsidP="00453DCE">
            <w:pPr>
              <w:spacing w:after="0" w:line="240" w:lineRule="auto"/>
              <w:jc w:val="center"/>
              <w:rPr>
                <w:rFonts w:ascii="Times New Roman" w:eastAsia="Calibri" w:hAnsi="Times New Roman" w:cs="Times New Roman"/>
                <w:b/>
                <w:bCs/>
                <w:sz w:val="18"/>
                <w:szCs w:val="18"/>
              </w:rPr>
            </w:pPr>
            <w:r w:rsidRPr="00453DCE">
              <w:rPr>
                <w:rFonts w:ascii="Times New Roman" w:eastAsia="Times New Roman" w:hAnsi="Times New Roman" w:cs="Times New Roman"/>
                <w:b/>
                <w:bCs/>
                <w:sz w:val="18"/>
                <w:szCs w:val="18"/>
              </w:rPr>
              <w:t>$208,981.92</w:t>
            </w:r>
          </w:p>
        </w:tc>
      </w:tr>
    </w:tbl>
    <w:p w:rsidR="00453DCE" w:rsidRPr="00453DCE" w:rsidRDefault="00453DCE" w:rsidP="00453DCE">
      <w:pPr>
        <w:tabs>
          <w:tab w:val="left" w:pos="-720"/>
        </w:tabs>
        <w:suppressAutoHyphens/>
        <w:spacing w:after="0" w:line="240" w:lineRule="auto"/>
        <w:jc w:val="center"/>
        <w:rPr>
          <w:rFonts w:ascii="Times New Roman" w:eastAsia="Times New Roman" w:hAnsi="Times New Roman" w:cs="Times New Roman"/>
          <w:b/>
          <w:sz w:val="20"/>
          <w:szCs w:val="20"/>
        </w:rPr>
      </w:pPr>
      <w:r w:rsidRPr="00453DCE">
        <w:rPr>
          <w:rFonts w:ascii="Times New Roman" w:eastAsia="Times New Roman" w:hAnsi="Times New Roman" w:cs="Times New Roman"/>
          <w:b/>
          <w:sz w:val="20"/>
          <w:szCs w:val="20"/>
        </w:rPr>
        <w:t>Table A.12: Estimated Annualized Burden Hours and Costs</w:t>
      </w:r>
    </w:p>
    <w:p w:rsidR="00453DCE" w:rsidRPr="00453DCE" w:rsidRDefault="00453DCE" w:rsidP="00453DCE">
      <w:pPr>
        <w:tabs>
          <w:tab w:val="left" w:pos="-720"/>
        </w:tabs>
        <w:suppressAutoHyphens/>
        <w:spacing w:after="0" w:line="240" w:lineRule="auto"/>
        <w:rPr>
          <w:rFonts w:ascii="Times New Roman" w:eastAsia="Times New Roman" w:hAnsi="Times New Roman" w:cs="Times New Roman"/>
          <w:sz w:val="18"/>
          <w:szCs w:val="18"/>
        </w:rPr>
      </w:pPr>
      <w:r w:rsidRPr="00453DCE">
        <w:rPr>
          <w:rFonts w:ascii="Times New Roman" w:eastAsia="Times New Roman" w:hAnsi="Times New Roman" w:cs="Times New Roman"/>
          <w:sz w:val="18"/>
          <w:szCs w:val="18"/>
        </w:rPr>
        <w:t xml:space="preserve">* </w:t>
      </w:r>
      <w:r w:rsidRPr="00453DCE">
        <w:rPr>
          <w:rFonts w:ascii="Times New Roman" w:eastAsia="Times New Roman" w:hAnsi="Times New Roman" w:cs="Times New Roman"/>
          <w:b/>
          <w:sz w:val="18"/>
          <w:szCs w:val="18"/>
        </w:rPr>
        <w:t>Note:</w:t>
      </w:r>
      <w:r w:rsidRPr="00453DCE">
        <w:rPr>
          <w:rFonts w:ascii="Times New Roman" w:eastAsia="Times New Roman" w:hAnsi="Times New Roman" w:cs="Times New Roman"/>
          <w:sz w:val="18"/>
          <w:szCs w:val="18"/>
        </w:rPr>
        <w:t xml:space="preserve"> The “Avg. Hourly Wage Rate” for each respondent includes a 1.4 multiplier to reflect a fully-loaded wage rate.</w:t>
      </w:r>
    </w:p>
    <w:p w:rsidR="00453DCE" w:rsidRPr="00453DCE" w:rsidRDefault="00453DCE" w:rsidP="00453DCE">
      <w:pPr>
        <w:tabs>
          <w:tab w:val="left" w:pos="-720"/>
        </w:tabs>
        <w:suppressAutoHyphens/>
        <w:spacing w:after="0" w:line="240" w:lineRule="auto"/>
        <w:rPr>
          <w:rFonts w:ascii="Times New Roman" w:eastAsia="Times New Roman" w:hAnsi="Times New Roman" w:cs="Times New Roman"/>
          <w:sz w:val="24"/>
          <w:szCs w:val="24"/>
        </w:rPr>
      </w:pPr>
    </w:p>
    <w:p w:rsidR="00E22DC3" w:rsidRDefault="00EA7B07" w:rsidP="00EA7B07">
      <w:pPr>
        <w:tabs>
          <w:tab w:val="left" w:pos="-720"/>
        </w:tabs>
        <w:suppressAutoHyphens/>
        <w:rPr>
          <w:rFonts w:ascii="Times New Roman" w:hAnsi="Times New Roman" w:cs="Times New Roman"/>
          <w:sz w:val="24"/>
          <w:szCs w:val="24"/>
        </w:rPr>
      </w:pPr>
      <w:r w:rsidRPr="00EA7B07">
        <w:rPr>
          <w:rFonts w:ascii="Times New Roman" w:hAnsi="Times New Roman" w:cs="Times New Roman"/>
          <w:sz w:val="24"/>
          <w:szCs w:val="24"/>
        </w:rPr>
        <w:t xml:space="preserve">According to the U.S. Department of Labor, Bureau of Labor Statistics Website </w:t>
      </w:r>
      <w:r w:rsidRPr="007537C0">
        <w:rPr>
          <w:rFonts w:ascii="Times New Roman" w:hAnsi="Times New Roman" w:cs="Times New Roman"/>
          <w:sz w:val="24"/>
          <w:szCs w:val="24"/>
        </w:rPr>
        <w:t>(</w:t>
      </w:r>
      <w:hyperlink r:id="rId10" w:history="1">
        <w:r w:rsidR="007537C0" w:rsidRPr="007537C0">
          <w:rPr>
            <w:rStyle w:val="Hyperlink"/>
            <w:rFonts w:ascii="Times New Roman" w:hAnsi="Times New Roman" w:cs="Times New Roman"/>
            <w:sz w:val="24"/>
            <w:szCs w:val="24"/>
          </w:rPr>
          <w:t>http://www.bls.gov/oes/current/naics3_999000.htm</w:t>
        </w:r>
      </w:hyperlink>
      <w:r w:rsidR="007537C0" w:rsidRPr="007537C0">
        <w:rPr>
          <w:rFonts w:ascii="Times New Roman" w:hAnsi="Times New Roman" w:cs="Times New Roman"/>
          <w:sz w:val="24"/>
          <w:szCs w:val="24"/>
        </w:rPr>
        <w:t xml:space="preserve">) </w:t>
      </w:r>
      <w:r w:rsidRPr="007537C0">
        <w:rPr>
          <w:rFonts w:ascii="Times New Roman" w:hAnsi="Times New Roman" w:cs="Times New Roman"/>
          <w:sz w:val="24"/>
          <w:szCs w:val="24"/>
        </w:rPr>
        <w:t>the wage rate category for State, Local or Tribal Government respondents as Local Transit Agenc</w:t>
      </w:r>
      <w:r w:rsidRPr="00EA7B07">
        <w:rPr>
          <w:rFonts w:ascii="Times New Roman" w:hAnsi="Times New Roman" w:cs="Times New Roman"/>
          <w:sz w:val="24"/>
          <w:szCs w:val="24"/>
        </w:rPr>
        <w:t>y Representatives is estimated to be $</w:t>
      </w:r>
      <w:r>
        <w:rPr>
          <w:rFonts w:ascii="Times New Roman" w:hAnsi="Times New Roman" w:cs="Times New Roman"/>
          <w:sz w:val="24"/>
          <w:szCs w:val="24"/>
        </w:rPr>
        <w:t>29.60</w:t>
      </w:r>
      <w:r w:rsidRPr="00EA7B07">
        <w:rPr>
          <w:rFonts w:ascii="Times New Roman" w:hAnsi="Times New Roman" w:cs="Times New Roman"/>
          <w:sz w:val="24"/>
          <w:szCs w:val="24"/>
        </w:rPr>
        <w:t xml:space="preserve"> per hour, applying the 1.4 multiplier produces a fully loaded wage of $</w:t>
      </w:r>
      <w:r>
        <w:rPr>
          <w:rFonts w:ascii="Times New Roman" w:hAnsi="Times New Roman" w:cs="Times New Roman"/>
          <w:sz w:val="24"/>
          <w:szCs w:val="24"/>
        </w:rPr>
        <w:t>41.44</w:t>
      </w:r>
      <w:r w:rsidRPr="00EA7B07">
        <w:rPr>
          <w:rFonts w:ascii="Times New Roman" w:hAnsi="Times New Roman" w:cs="Times New Roman"/>
          <w:sz w:val="24"/>
          <w:szCs w:val="24"/>
        </w:rPr>
        <w:t>.  The total estimated annual cost to respondents is $</w:t>
      </w:r>
      <w:r>
        <w:rPr>
          <w:rFonts w:ascii="Times New Roman" w:hAnsi="Times New Roman" w:cs="Times New Roman"/>
          <w:sz w:val="24"/>
          <w:szCs w:val="24"/>
        </w:rPr>
        <w:t>208,981.92</w:t>
      </w:r>
      <w:r w:rsidR="008A7FCB">
        <w:rPr>
          <w:rFonts w:ascii="Times New Roman" w:hAnsi="Times New Roman" w:cs="Times New Roman"/>
          <w:sz w:val="24"/>
          <w:szCs w:val="24"/>
        </w:rPr>
        <w:t>.</w:t>
      </w: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FE14EB" w:rsidRDefault="00FE14EB" w:rsidP="00EA7B07">
      <w:pPr>
        <w:tabs>
          <w:tab w:val="left" w:pos="-720"/>
        </w:tabs>
        <w:suppressAutoHyphens/>
        <w:rPr>
          <w:rFonts w:ascii="Times New Roman" w:hAnsi="Times New Roman" w:cs="Times New Roman"/>
          <w:sz w:val="24"/>
          <w:szCs w:val="24"/>
        </w:rPr>
      </w:pPr>
    </w:p>
    <w:p w:rsidR="00FE14EB" w:rsidRDefault="00FE14EB" w:rsidP="00EA7B07">
      <w:pPr>
        <w:tabs>
          <w:tab w:val="left" w:pos="-720"/>
        </w:tabs>
        <w:suppressAutoHyphens/>
        <w:rPr>
          <w:rFonts w:ascii="Times New Roman" w:hAnsi="Times New Roman" w:cs="Times New Roman"/>
          <w:sz w:val="24"/>
          <w:szCs w:val="24"/>
        </w:rPr>
      </w:pPr>
    </w:p>
    <w:p w:rsidR="00FE14EB" w:rsidRDefault="00FE14EB"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EA7B07">
      <w:pPr>
        <w:tabs>
          <w:tab w:val="left" w:pos="-720"/>
        </w:tabs>
        <w:suppressAutoHyphens/>
        <w:rPr>
          <w:rFonts w:ascii="Times New Roman" w:hAnsi="Times New Roman" w:cs="Times New Roman"/>
          <w:sz w:val="24"/>
          <w:szCs w:val="24"/>
        </w:rPr>
      </w:pPr>
    </w:p>
    <w:p w:rsidR="00453DCE" w:rsidRDefault="00453DCE" w:rsidP="008A7FCB">
      <w:pPr>
        <w:tabs>
          <w:tab w:val="left" w:pos="-720"/>
        </w:tabs>
        <w:suppressAutoHyphens/>
        <w:spacing w:after="0" w:line="240" w:lineRule="auto"/>
        <w:rPr>
          <w:rFonts w:ascii="Times New Roman" w:eastAsia="Times New Roman" w:hAnsi="Times New Roman" w:cs="Times New Roman"/>
          <w:b/>
          <w:sz w:val="24"/>
          <w:szCs w:val="24"/>
        </w:rPr>
      </w:pPr>
    </w:p>
    <w:p w:rsidR="008A7FCB" w:rsidRPr="008A7FCB" w:rsidRDefault="008A7FCB" w:rsidP="008A7FCB">
      <w:pPr>
        <w:tabs>
          <w:tab w:val="left" w:pos="-720"/>
        </w:tabs>
        <w:suppressAutoHyphens/>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b/>
          <w:sz w:val="24"/>
          <w:szCs w:val="24"/>
        </w:rPr>
        <w:lastRenderedPageBreak/>
        <w:t>The Standard Forms listed in the table below are used in FEMA administration of grant programs collections of information.  These burden estimates are captured under the OMB government-wide collections of information for Standard Forms (SF).  Other data collection activities approved by OMB are also identified in the table below.</w:t>
      </w:r>
    </w:p>
    <w:p w:rsidR="008A7FCB" w:rsidRPr="008A7FCB" w:rsidRDefault="008A7FCB" w:rsidP="008A7FCB">
      <w:pPr>
        <w:spacing w:after="0" w:line="240" w:lineRule="auto"/>
        <w:rPr>
          <w:rFonts w:ascii="Times New Roman" w:eastAsia="Times New Roman" w:hAnsi="Times New Roman" w:cs="Times New Roman"/>
          <w:sz w:val="24"/>
          <w:szCs w:val="24"/>
        </w:rPr>
      </w:pPr>
    </w:p>
    <w:tbl>
      <w:tblPr>
        <w:tblW w:w="10727" w:type="dxa"/>
        <w:jc w:val="center"/>
        <w:tblLook w:val="0000" w:firstRow="0" w:lastRow="0" w:firstColumn="0" w:lastColumn="0" w:noHBand="0" w:noVBand="0"/>
      </w:tblPr>
      <w:tblGrid>
        <w:gridCol w:w="1226"/>
        <w:gridCol w:w="493"/>
        <w:gridCol w:w="846"/>
        <w:gridCol w:w="460"/>
        <w:gridCol w:w="556"/>
        <w:gridCol w:w="460"/>
        <w:gridCol w:w="668"/>
        <w:gridCol w:w="616"/>
        <w:gridCol w:w="512"/>
        <w:gridCol w:w="772"/>
        <w:gridCol w:w="400"/>
        <w:gridCol w:w="886"/>
        <w:gridCol w:w="165"/>
        <w:gridCol w:w="772"/>
        <w:gridCol w:w="78"/>
        <w:gridCol w:w="633"/>
        <w:gridCol w:w="1184"/>
      </w:tblGrid>
      <w:tr w:rsidR="008A7FCB" w:rsidRPr="008A7FCB" w:rsidTr="008A7FCB">
        <w:trPr>
          <w:trHeight w:val="1545"/>
          <w:jc w:val="center"/>
        </w:trPr>
        <w:tc>
          <w:tcPr>
            <w:tcW w:w="1226" w:type="dxa"/>
            <w:tcBorders>
              <w:top w:val="nil"/>
              <w:left w:val="single" w:sz="8" w:space="0" w:color="auto"/>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 xml:space="preserve">Type of </w:t>
            </w:r>
            <w:proofErr w:type="spellStart"/>
            <w:r w:rsidRPr="008A7FCB">
              <w:rPr>
                <w:rFonts w:ascii="Arial" w:eastAsia="Times New Roman" w:hAnsi="Arial" w:cs="Arial"/>
                <w:b/>
                <w:bCs/>
                <w:sz w:val="20"/>
                <w:szCs w:val="20"/>
              </w:rPr>
              <w:t>Respon</w:t>
            </w:r>
            <w:proofErr w:type="spellEnd"/>
            <w:r w:rsidRPr="008A7FCB">
              <w:rPr>
                <w:rFonts w:ascii="Arial" w:eastAsia="Times New Roman" w:hAnsi="Arial" w:cs="Arial"/>
                <w:b/>
                <w:bCs/>
                <w:sz w:val="20"/>
                <w:szCs w:val="20"/>
              </w:rPr>
              <w:t>-dent</w:t>
            </w:r>
          </w:p>
        </w:tc>
        <w:tc>
          <w:tcPr>
            <w:tcW w:w="1339"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Form Name / Form Number</w:t>
            </w:r>
          </w:p>
        </w:tc>
        <w:tc>
          <w:tcPr>
            <w:tcW w:w="1016"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 xml:space="preserve">No. of </w:t>
            </w:r>
            <w:proofErr w:type="spellStart"/>
            <w:r w:rsidRPr="008A7FCB">
              <w:rPr>
                <w:rFonts w:ascii="Arial" w:eastAsia="Times New Roman" w:hAnsi="Arial" w:cs="Arial"/>
                <w:b/>
                <w:bCs/>
                <w:sz w:val="20"/>
                <w:szCs w:val="20"/>
              </w:rPr>
              <w:t>Respon</w:t>
            </w:r>
            <w:proofErr w:type="spellEnd"/>
            <w:r w:rsidRPr="008A7FCB">
              <w:rPr>
                <w:rFonts w:ascii="Arial" w:eastAsia="Times New Roman" w:hAnsi="Arial" w:cs="Arial"/>
                <w:b/>
                <w:bCs/>
                <w:sz w:val="20"/>
                <w:szCs w:val="20"/>
              </w:rPr>
              <w:t>-dents</w:t>
            </w:r>
          </w:p>
        </w:tc>
        <w:tc>
          <w:tcPr>
            <w:tcW w:w="1128"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 xml:space="preserve">No. of </w:t>
            </w:r>
            <w:proofErr w:type="spellStart"/>
            <w:r w:rsidRPr="008A7FCB">
              <w:rPr>
                <w:rFonts w:ascii="Arial" w:eastAsia="Times New Roman" w:hAnsi="Arial" w:cs="Arial"/>
                <w:b/>
                <w:bCs/>
                <w:sz w:val="20"/>
                <w:szCs w:val="20"/>
              </w:rPr>
              <w:t>Respons</w:t>
            </w:r>
            <w:proofErr w:type="spellEnd"/>
            <w:r w:rsidRPr="008A7FCB">
              <w:rPr>
                <w:rFonts w:ascii="Arial" w:eastAsia="Times New Roman" w:hAnsi="Arial" w:cs="Arial"/>
                <w:b/>
                <w:bCs/>
                <w:sz w:val="20"/>
                <w:szCs w:val="20"/>
              </w:rPr>
              <w:t xml:space="preserve">-es per </w:t>
            </w:r>
            <w:proofErr w:type="spellStart"/>
            <w:r w:rsidRPr="008A7FCB">
              <w:rPr>
                <w:rFonts w:ascii="Arial" w:eastAsia="Times New Roman" w:hAnsi="Arial" w:cs="Arial"/>
                <w:b/>
                <w:bCs/>
                <w:sz w:val="20"/>
                <w:szCs w:val="20"/>
              </w:rPr>
              <w:t>Respon</w:t>
            </w:r>
            <w:proofErr w:type="spellEnd"/>
            <w:r w:rsidRPr="008A7FCB">
              <w:rPr>
                <w:rFonts w:ascii="Arial" w:eastAsia="Times New Roman" w:hAnsi="Arial" w:cs="Arial"/>
                <w:b/>
                <w:bCs/>
                <w:sz w:val="20"/>
                <w:szCs w:val="20"/>
              </w:rPr>
              <w:t>-dent</w:t>
            </w:r>
          </w:p>
        </w:tc>
        <w:tc>
          <w:tcPr>
            <w:tcW w:w="1128"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 xml:space="preserve">Total Number of </w:t>
            </w:r>
            <w:proofErr w:type="spellStart"/>
            <w:r w:rsidRPr="008A7FCB">
              <w:rPr>
                <w:rFonts w:ascii="Arial" w:eastAsia="Times New Roman" w:hAnsi="Arial" w:cs="Arial"/>
                <w:b/>
                <w:bCs/>
                <w:sz w:val="20"/>
                <w:szCs w:val="20"/>
              </w:rPr>
              <w:t>Respons</w:t>
            </w:r>
            <w:proofErr w:type="spellEnd"/>
            <w:r w:rsidRPr="008A7FCB">
              <w:rPr>
                <w:rFonts w:ascii="Arial" w:eastAsia="Times New Roman" w:hAnsi="Arial" w:cs="Arial"/>
                <w:b/>
                <w:bCs/>
                <w:sz w:val="20"/>
                <w:szCs w:val="20"/>
              </w:rPr>
              <w:t>-es</w:t>
            </w:r>
          </w:p>
        </w:tc>
        <w:tc>
          <w:tcPr>
            <w:tcW w:w="1172"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Avg. Burden per Response (in hours)</w:t>
            </w:r>
          </w:p>
        </w:tc>
        <w:tc>
          <w:tcPr>
            <w:tcW w:w="1051"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Total Annual Burden (in hours)</w:t>
            </w:r>
          </w:p>
        </w:tc>
        <w:tc>
          <w:tcPr>
            <w:tcW w:w="850"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Avg. Hourly Wage Rate ($)</w:t>
            </w:r>
          </w:p>
        </w:tc>
        <w:tc>
          <w:tcPr>
            <w:tcW w:w="1817" w:type="dxa"/>
            <w:gridSpan w:val="2"/>
            <w:tcBorders>
              <w:top w:val="nil"/>
              <w:left w:val="nil"/>
              <w:bottom w:val="single" w:sz="8" w:space="0" w:color="auto"/>
              <w:right w:val="single" w:sz="8" w:space="0" w:color="auto"/>
            </w:tcBorders>
            <w:shd w:val="clear" w:color="auto" w:fill="0070C0"/>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Total Annual Respondent Cost ($)</w:t>
            </w:r>
          </w:p>
        </w:tc>
      </w:tr>
      <w:tr w:rsidR="008A7FCB" w:rsidRPr="008A7FCB" w:rsidTr="008A7FCB">
        <w:trPr>
          <w:trHeight w:val="547"/>
          <w:jc w:val="center"/>
        </w:trPr>
        <w:tc>
          <w:tcPr>
            <w:tcW w:w="10727" w:type="dxa"/>
            <w:gridSpan w:val="17"/>
            <w:tcBorders>
              <w:top w:val="nil"/>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color w:val="000000"/>
                <w:sz w:val="24"/>
                <w:szCs w:val="24"/>
              </w:rPr>
            </w:pPr>
            <w:r w:rsidRPr="008A7FCB">
              <w:rPr>
                <w:rFonts w:ascii="Times New Roman" w:eastAsia="Times New Roman" w:hAnsi="Times New Roman" w:cs="Times New Roman"/>
                <w:b/>
                <w:color w:val="000000"/>
                <w:sz w:val="24"/>
                <w:szCs w:val="24"/>
              </w:rPr>
              <w:t>Standard Forms</w:t>
            </w:r>
          </w:p>
        </w:tc>
      </w:tr>
      <w:tr w:rsidR="008A7FCB" w:rsidRPr="008A7FCB" w:rsidTr="008A7FCB">
        <w:trPr>
          <w:trHeight w:val="1035"/>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Application for Federal Assistance / SF 424</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0.75</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92.25</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$2,690.01 </w:t>
            </w:r>
          </w:p>
        </w:tc>
      </w:tr>
      <w:tr w:rsidR="008A7FCB" w:rsidRPr="008A7FCB" w:rsidTr="008A7FCB">
        <w:trPr>
          <w:trHeight w:val="1545"/>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Budget Information - Non-Construction Programs / SF 424A</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369</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$10,760.14 </w:t>
            </w:r>
          </w:p>
        </w:tc>
      </w:tr>
      <w:tr w:rsidR="008A7FCB" w:rsidRPr="008A7FCB" w:rsidTr="008A7FCB">
        <w:trPr>
          <w:trHeight w:val="1545"/>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Assurances - Non-Construction Programs / SF 424B</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0.25</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30.75</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$896.67 </w:t>
            </w:r>
          </w:p>
        </w:tc>
      </w:tr>
      <w:tr w:rsidR="008A7FCB" w:rsidRPr="008A7FCB" w:rsidTr="008A7FCB">
        <w:trPr>
          <w:trHeight w:val="1800"/>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Budget Information - Construction Programs / SF 424C</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369</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$10,760.14 </w:t>
            </w:r>
          </w:p>
        </w:tc>
      </w:tr>
      <w:tr w:rsidR="008A7FCB" w:rsidRPr="008A7FCB" w:rsidTr="008A7FCB">
        <w:trPr>
          <w:trHeight w:val="1545"/>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Assurances - Construction Programs / SF 424D</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0.25</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30.75</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$896.67 </w:t>
            </w:r>
          </w:p>
        </w:tc>
      </w:tr>
      <w:tr w:rsidR="008A7FCB" w:rsidRPr="008A7FCB" w:rsidTr="008A7FCB">
        <w:trPr>
          <w:trHeight w:val="1290"/>
          <w:jc w:val="center"/>
        </w:trPr>
        <w:tc>
          <w:tcPr>
            <w:tcW w:w="1226" w:type="dxa"/>
            <w:tcBorders>
              <w:top w:val="nil"/>
              <w:left w:val="single" w:sz="8" w:space="0" w:color="auto"/>
              <w:bottom w:val="single" w:sz="8" w:space="0" w:color="auto"/>
              <w:right w:val="single" w:sz="8" w:space="0" w:color="auto"/>
            </w:tcBorders>
            <w:shd w:val="clear" w:color="auto" w:fill="auto"/>
          </w:tcPr>
          <w:p w:rsidR="008A7FCB" w:rsidRPr="008A7FCB" w:rsidRDefault="008A7FCB" w:rsidP="008A7FCB">
            <w:pPr>
              <w:spacing w:after="0" w:line="240" w:lineRule="auto"/>
              <w:rPr>
                <w:rFonts w:ascii="Times New Roman" w:eastAsia="Times New Roman" w:hAnsi="Times New Roman" w:cs="Times New Roman"/>
                <w:sz w:val="24"/>
                <w:szCs w:val="24"/>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Disclosure of Lobbying Activities / SF LLL</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0.167</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20.541</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$598.98 </w:t>
            </w:r>
          </w:p>
        </w:tc>
      </w:tr>
      <w:tr w:rsidR="008A7FCB" w:rsidRPr="008A7FCB" w:rsidTr="008A7FCB">
        <w:trPr>
          <w:trHeight w:val="1290"/>
          <w:jc w:val="center"/>
        </w:trPr>
        <w:tc>
          <w:tcPr>
            <w:tcW w:w="1226" w:type="dxa"/>
            <w:tcBorders>
              <w:top w:val="nil"/>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Times New Roman" w:eastAsia="Times New Roman" w:hAnsi="Times New Roman" w:cs="Times New Roman"/>
                <w:sz w:val="18"/>
                <w:szCs w:val="18"/>
              </w:rPr>
              <w:lastRenderedPageBreak/>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Direct Deposit Sign-Up Form / SF 1199A</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0.167</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20.541</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$598.18 </w:t>
            </w:r>
          </w:p>
        </w:tc>
      </w:tr>
      <w:tr w:rsidR="008A7FCB" w:rsidRPr="008A7FCB" w:rsidTr="008A7FCB">
        <w:trPr>
          <w:trHeight w:val="1035"/>
          <w:jc w:val="center"/>
        </w:trPr>
        <w:tc>
          <w:tcPr>
            <w:tcW w:w="1226" w:type="dxa"/>
            <w:tcBorders>
              <w:top w:val="nil"/>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Times New Roman" w:eastAsia="Times New Roman" w:hAnsi="Times New Roman" w:cs="Times New Roman"/>
                <w:sz w:val="18"/>
                <w:szCs w:val="18"/>
              </w:rPr>
              <w:t>State, Local, or Tribal Governments</w:t>
            </w:r>
          </w:p>
        </w:tc>
        <w:tc>
          <w:tcPr>
            <w:tcW w:w="1339"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Federal Financial Report / SF 425</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123</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4</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492</w:t>
            </w:r>
          </w:p>
        </w:tc>
        <w:tc>
          <w:tcPr>
            <w:tcW w:w="1172"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1.5</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738</w:t>
            </w:r>
          </w:p>
        </w:tc>
        <w:tc>
          <w:tcPr>
            <w:tcW w:w="850"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$29.16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xml:space="preserve">$21,520.08 </w:t>
            </w:r>
          </w:p>
        </w:tc>
      </w:tr>
      <w:tr w:rsidR="008A7FCB" w:rsidRPr="008A7FCB" w:rsidTr="008A7FCB">
        <w:trPr>
          <w:trHeight w:val="270"/>
          <w:jc w:val="center"/>
        </w:trPr>
        <w:tc>
          <w:tcPr>
            <w:tcW w:w="1226" w:type="dxa"/>
            <w:tcBorders>
              <w:top w:val="nil"/>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Total</w:t>
            </w:r>
          </w:p>
        </w:tc>
        <w:tc>
          <w:tcPr>
            <w:tcW w:w="1339" w:type="dxa"/>
            <w:gridSpan w:val="2"/>
            <w:tcBorders>
              <w:top w:val="nil"/>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w:t>
            </w:r>
          </w:p>
        </w:tc>
        <w:tc>
          <w:tcPr>
            <w:tcW w:w="1016" w:type="dxa"/>
            <w:gridSpan w:val="2"/>
            <w:tcBorders>
              <w:top w:val="nil"/>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w:t>
            </w:r>
          </w:p>
        </w:tc>
        <w:tc>
          <w:tcPr>
            <w:tcW w:w="1128" w:type="dxa"/>
            <w:gridSpan w:val="2"/>
            <w:tcBorders>
              <w:top w:val="nil"/>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w:t>
            </w:r>
          </w:p>
        </w:tc>
        <w:tc>
          <w:tcPr>
            <w:tcW w:w="1128"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1,353</w:t>
            </w:r>
          </w:p>
        </w:tc>
        <w:tc>
          <w:tcPr>
            <w:tcW w:w="1172" w:type="dxa"/>
            <w:gridSpan w:val="2"/>
            <w:tcBorders>
              <w:top w:val="nil"/>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w:t>
            </w:r>
          </w:p>
        </w:tc>
        <w:tc>
          <w:tcPr>
            <w:tcW w:w="105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1670.832</w:t>
            </w:r>
          </w:p>
        </w:tc>
        <w:tc>
          <w:tcPr>
            <w:tcW w:w="850" w:type="dxa"/>
            <w:gridSpan w:val="2"/>
            <w:tcBorders>
              <w:top w:val="nil"/>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Arial" w:eastAsia="Times New Roman" w:hAnsi="Arial" w:cs="Arial"/>
                <w:sz w:val="20"/>
                <w:szCs w:val="20"/>
              </w:rPr>
            </w:pPr>
            <w:r w:rsidRPr="008A7FCB">
              <w:rPr>
                <w:rFonts w:ascii="Arial" w:eastAsia="Times New Roman" w:hAnsi="Arial" w:cs="Arial"/>
                <w:sz w:val="20"/>
                <w:szCs w:val="20"/>
              </w:rPr>
              <w:t> </w:t>
            </w:r>
          </w:p>
        </w:tc>
        <w:tc>
          <w:tcPr>
            <w:tcW w:w="181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Arial" w:eastAsia="Times New Roman" w:hAnsi="Arial" w:cs="Arial"/>
                <w:b/>
                <w:bCs/>
                <w:sz w:val="20"/>
                <w:szCs w:val="20"/>
              </w:rPr>
            </w:pPr>
            <w:r w:rsidRPr="008A7FCB">
              <w:rPr>
                <w:rFonts w:ascii="Arial" w:eastAsia="Times New Roman" w:hAnsi="Arial" w:cs="Arial"/>
                <w:b/>
                <w:bCs/>
                <w:sz w:val="20"/>
                <w:szCs w:val="20"/>
              </w:rPr>
              <w:t xml:space="preserve">$48,122.69 </w:t>
            </w:r>
          </w:p>
        </w:tc>
      </w:tr>
      <w:tr w:rsidR="008A7FCB" w:rsidRPr="008A7FCB" w:rsidTr="008A7FCB">
        <w:tblPrEx>
          <w:jc w:val="left"/>
        </w:tblPrEx>
        <w:trPr>
          <w:trHeight w:val="745"/>
        </w:trPr>
        <w:tc>
          <w:tcPr>
            <w:tcW w:w="10727" w:type="dxa"/>
            <w:gridSpan w:val="17"/>
            <w:tcBorders>
              <w:top w:val="nil"/>
              <w:left w:val="single" w:sz="8" w:space="0" w:color="auto"/>
              <w:bottom w:val="single" w:sz="8" w:space="0" w:color="auto"/>
              <w:right w:val="single" w:sz="8" w:space="0" w:color="auto"/>
            </w:tcBorders>
            <w:shd w:val="clear" w:color="auto" w:fill="FFFFFF"/>
            <w:vAlign w:val="bottom"/>
          </w:tcPr>
          <w:p w:rsidR="008A7FCB" w:rsidRPr="008A7FCB" w:rsidRDefault="008A7FCB" w:rsidP="008A7FCB">
            <w:pPr>
              <w:spacing w:after="0" w:line="240" w:lineRule="auto"/>
              <w:jc w:val="center"/>
              <w:rPr>
                <w:rFonts w:ascii="Times New Roman" w:eastAsia="Times New Roman" w:hAnsi="Times New Roman" w:cs="Times New Roman"/>
                <w:b/>
                <w:sz w:val="24"/>
                <w:szCs w:val="24"/>
              </w:rPr>
            </w:pPr>
            <w:r w:rsidRPr="008A7FCB">
              <w:rPr>
                <w:rFonts w:ascii="Times New Roman" w:eastAsia="Times New Roman" w:hAnsi="Times New Roman" w:cs="Times New Roman"/>
                <w:b/>
                <w:sz w:val="24"/>
                <w:szCs w:val="24"/>
              </w:rPr>
              <w:t>Other Departments/</w:t>
            </w:r>
          </w:p>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b/>
                <w:sz w:val="24"/>
                <w:szCs w:val="24"/>
              </w:rPr>
              <w:t>Agencies Data Collection Activities</w:t>
            </w:r>
          </w:p>
        </w:tc>
      </w:tr>
      <w:tr w:rsidR="008A7FCB" w:rsidRPr="008A7FCB" w:rsidTr="008A7FCB">
        <w:tblPrEx>
          <w:jc w:val="left"/>
        </w:tblPrEx>
        <w:trPr>
          <w:trHeight w:val="880"/>
        </w:trPr>
        <w:tc>
          <w:tcPr>
            <w:tcW w:w="1719" w:type="dxa"/>
            <w:gridSpan w:val="2"/>
            <w:tcBorders>
              <w:top w:val="nil"/>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State, Local, or Tribal Governments</w:t>
            </w:r>
          </w:p>
        </w:tc>
        <w:tc>
          <w:tcPr>
            <w:tcW w:w="130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 xml:space="preserve">Semiannual Progress Report / OMB control number 1660-0025 </w:t>
            </w:r>
          </w:p>
        </w:tc>
        <w:tc>
          <w:tcPr>
            <w:tcW w:w="101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123</w:t>
            </w:r>
          </w:p>
        </w:tc>
        <w:tc>
          <w:tcPr>
            <w:tcW w:w="1284"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2</w:t>
            </w:r>
          </w:p>
        </w:tc>
        <w:tc>
          <w:tcPr>
            <w:tcW w:w="1284"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246</w:t>
            </w:r>
          </w:p>
        </w:tc>
        <w:tc>
          <w:tcPr>
            <w:tcW w:w="1286"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0.5</w:t>
            </w:r>
          </w:p>
        </w:tc>
        <w:tc>
          <w:tcPr>
            <w:tcW w:w="937"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123</w:t>
            </w:r>
          </w:p>
        </w:tc>
        <w:tc>
          <w:tcPr>
            <w:tcW w:w="711" w:type="dxa"/>
            <w:gridSpan w:val="2"/>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$29.16</w:t>
            </w:r>
          </w:p>
        </w:tc>
        <w:tc>
          <w:tcPr>
            <w:tcW w:w="1184" w:type="dxa"/>
            <w:tcBorders>
              <w:top w:val="nil"/>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sz w:val="18"/>
                <w:szCs w:val="18"/>
              </w:rPr>
            </w:pPr>
            <w:r w:rsidRPr="008A7FCB">
              <w:rPr>
                <w:rFonts w:ascii="Times New Roman" w:eastAsia="Times New Roman" w:hAnsi="Times New Roman" w:cs="Times New Roman"/>
                <w:sz w:val="18"/>
                <w:szCs w:val="18"/>
              </w:rPr>
              <w:t>$3,586.68</w:t>
            </w:r>
          </w:p>
        </w:tc>
      </w:tr>
      <w:tr w:rsidR="008A7FCB" w:rsidRPr="008A7FCB" w:rsidTr="008A7FCB">
        <w:tblPrEx>
          <w:jc w:val="left"/>
        </w:tblPrEx>
        <w:trPr>
          <w:trHeight w:val="270"/>
        </w:trPr>
        <w:tc>
          <w:tcPr>
            <w:tcW w:w="171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bCs/>
                <w:color w:val="000000"/>
                <w:sz w:val="18"/>
                <w:szCs w:val="18"/>
              </w:rPr>
            </w:pPr>
            <w:r w:rsidRPr="008A7FCB">
              <w:rPr>
                <w:rFonts w:ascii="Times New Roman" w:eastAsia="Times New Roman" w:hAnsi="Times New Roman" w:cs="Times New Roman"/>
                <w:b/>
                <w:bCs/>
                <w:color w:val="000000"/>
                <w:sz w:val="18"/>
                <w:szCs w:val="18"/>
              </w:rPr>
              <w:t>Total</w:t>
            </w:r>
          </w:p>
        </w:tc>
        <w:tc>
          <w:tcPr>
            <w:tcW w:w="1306" w:type="dxa"/>
            <w:gridSpan w:val="2"/>
            <w:tcBorders>
              <w:top w:val="single" w:sz="8" w:space="0" w:color="auto"/>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Times New Roman" w:eastAsia="Times New Roman" w:hAnsi="Times New Roman" w:cs="Times New Roman"/>
                <w:b/>
                <w:color w:val="FFFFFF"/>
                <w:sz w:val="18"/>
                <w:szCs w:val="18"/>
              </w:rPr>
            </w:pPr>
            <w:r w:rsidRPr="008A7FCB">
              <w:rPr>
                <w:rFonts w:ascii="Times New Roman" w:eastAsia="Times New Roman" w:hAnsi="Times New Roman" w:cs="Times New Roman"/>
                <w:b/>
                <w:color w:val="FFFFFF"/>
                <w:sz w:val="18"/>
                <w:szCs w:val="18"/>
              </w:rPr>
              <w:t> </w:t>
            </w:r>
          </w:p>
        </w:tc>
        <w:tc>
          <w:tcPr>
            <w:tcW w:w="1016" w:type="dxa"/>
            <w:gridSpan w:val="2"/>
            <w:tcBorders>
              <w:top w:val="single" w:sz="8" w:space="0" w:color="auto"/>
              <w:left w:val="nil"/>
              <w:bottom w:val="single" w:sz="8" w:space="0" w:color="auto"/>
              <w:right w:val="single" w:sz="8" w:space="0" w:color="auto"/>
            </w:tcBorders>
            <w:shd w:val="clear" w:color="auto" w:fill="000000"/>
            <w:vAlign w:val="bottom"/>
          </w:tcPr>
          <w:p w:rsidR="008A7FCB" w:rsidRPr="008A7FCB" w:rsidRDefault="008A7FCB" w:rsidP="008A7FCB">
            <w:pPr>
              <w:spacing w:after="0" w:line="240" w:lineRule="auto"/>
              <w:jc w:val="center"/>
              <w:rPr>
                <w:rFonts w:ascii="Times New Roman" w:eastAsia="Times New Roman" w:hAnsi="Times New Roman" w:cs="Times New Roman"/>
                <w:b/>
                <w:color w:val="FFFFFF"/>
                <w:sz w:val="18"/>
                <w:szCs w:val="18"/>
              </w:rPr>
            </w:pPr>
            <w:r w:rsidRPr="008A7FCB">
              <w:rPr>
                <w:rFonts w:ascii="Times New Roman" w:eastAsia="Times New Roman" w:hAnsi="Times New Roman" w:cs="Times New Roman"/>
                <w:b/>
                <w:color w:val="FFFFFF"/>
                <w:sz w:val="18"/>
                <w:szCs w:val="18"/>
              </w:rPr>
              <w:t> </w:t>
            </w:r>
          </w:p>
        </w:tc>
        <w:tc>
          <w:tcPr>
            <w:tcW w:w="1284" w:type="dxa"/>
            <w:gridSpan w:val="2"/>
            <w:tcBorders>
              <w:top w:val="single" w:sz="8" w:space="0" w:color="auto"/>
              <w:left w:val="nil"/>
              <w:bottom w:val="single" w:sz="8" w:space="0" w:color="auto"/>
              <w:right w:val="single" w:sz="8" w:space="0" w:color="auto"/>
            </w:tcBorders>
            <w:shd w:val="solid"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color w:val="FFFFFF"/>
                <w:sz w:val="18"/>
                <w:szCs w:val="18"/>
              </w:rPr>
            </w:pPr>
            <w:r w:rsidRPr="008A7FCB">
              <w:rPr>
                <w:rFonts w:ascii="Times New Roman" w:eastAsia="Times New Roman" w:hAnsi="Times New Roman" w:cs="Times New Roman"/>
                <w:b/>
                <w:color w:val="FFFFFF"/>
                <w:sz w:val="18"/>
                <w:szCs w:val="18"/>
              </w:rPr>
              <w:t> </w:t>
            </w:r>
          </w:p>
        </w:tc>
        <w:tc>
          <w:tcPr>
            <w:tcW w:w="1284" w:type="dxa"/>
            <w:gridSpan w:val="2"/>
            <w:tcBorders>
              <w:top w:val="single" w:sz="8" w:space="0" w:color="auto"/>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color w:val="000000"/>
                <w:sz w:val="18"/>
                <w:szCs w:val="18"/>
              </w:rPr>
            </w:pPr>
            <w:r w:rsidRPr="008A7FCB">
              <w:rPr>
                <w:rFonts w:ascii="Times New Roman" w:eastAsia="Times New Roman" w:hAnsi="Times New Roman" w:cs="Times New Roman"/>
                <w:b/>
                <w:color w:val="000000"/>
                <w:sz w:val="18"/>
                <w:szCs w:val="18"/>
              </w:rPr>
              <w:t>246</w:t>
            </w:r>
          </w:p>
        </w:tc>
        <w:tc>
          <w:tcPr>
            <w:tcW w:w="1286" w:type="dxa"/>
            <w:gridSpan w:val="2"/>
            <w:tcBorders>
              <w:top w:val="single" w:sz="8" w:space="0" w:color="auto"/>
              <w:left w:val="nil"/>
              <w:bottom w:val="single" w:sz="8" w:space="0" w:color="auto"/>
              <w:right w:val="single" w:sz="8" w:space="0" w:color="auto"/>
            </w:tcBorders>
            <w:shd w:val="solid"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color w:val="FFFFFF"/>
                <w:sz w:val="18"/>
                <w:szCs w:val="18"/>
              </w:rPr>
            </w:pPr>
            <w:r w:rsidRPr="008A7FCB">
              <w:rPr>
                <w:rFonts w:ascii="Times New Roman" w:eastAsia="Times New Roman" w:hAnsi="Times New Roman" w:cs="Times New Roman"/>
                <w:b/>
                <w:color w:val="FFFFFF"/>
                <w:sz w:val="18"/>
                <w:szCs w:val="18"/>
              </w:rPr>
              <w:t> </w:t>
            </w:r>
          </w:p>
        </w:tc>
        <w:tc>
          <w:tcPr>
            <w:tcW w:w="937" w:type="dxa"/>
            <w:gridSpan w:val="2"/>
            <w:tcBorders>
              <w:top w:val="single" w:sz="8" w:space="0" w:color="auto"/>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bCs/>
                <w:color w:val="000000"/>
                <w:sz w:val="18"/>
                <w:szCs w:val="18"/>
              </w:rPr>
            </w:pPr>
            <w:r w:rsidRPr="008A7FCB">
              <w:rPr>
                <w:rFonts w:ascii="Times New Roman" w:eastAsia="Times New Roman" w:hAnsi="Times New Roman" w:cs="Times New Roman"/>
                <w:b/>
                <w:bCs/>
                <w:color w:val="000000"/>
                <w:sz w:val="18"/>
                <w:szCs w:val="18"/>
              </w:rPr>
              <w:t>123</w:t>
            </w:r>
          </w:p>
        </w:tc>
        <w:tc>
          <w:tcPr>
            <w:tcW w:w="711" w:type="dxa"/>
            <w:gridSpan w:val="2"/>
            <w:tcBorders>
              <w:top w:val="single" w:sz="8" w:space="0" w:color="auto"/>
              <w:left w:val="nil"/>
              <w:bottom w:val="single" w:sz="8" w:space="0" w:color="auto"/>
              <w:right w:val="single" w:sz="8" w:space="0" w:color="auto"/>
            </w:tcBorders>
            <w:shd w:val="solid"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color w:val="FFFFFF"/>
                <w:sz w:val="18"/>
                <w:szCs w:val="18"/>
              </w:rPr>
            </w:pPr>
            <w:r w:rsidRPr="008A7FCB">
              <w:rPr>
                <w:rFonts w:ascii="Times New Roman" w:eastAsia="Times New Roman" w:hAnsi="Times New Roman" w:cs="Times New Roman"/>
                <w:b/>
                <w:color w:val="FFFFFF"/>
                <w:sz w:val="18"/>
                <w:szCs w:val="18"/>
              </w:rPr>
              <w:t> </w:t>
            </w:r>
          </w:p>
        </w:tc>
        <w:tc>
          <w:tcPr>
            <w:tcW w:w="1184" w:type="dxa"/>
            <w:tcBorders>
              <w:top w:val="single" w:sz="8" w:space="0" w:color="auto"/>
              <w:left w:val="nil"/>
              <w:bottom w:val="single" w:sz="8" w:space="0" w:color="auto"/>
              <w:right w:val="single" w:sz="8" w:space="0" w:color="auto"/>
            </w:tcBorders>
            <w:shd w:val="clear" w:color="auto" w:fill="auto"/>
            <w:vAlign w:val="bottom"/>
          </w:tcPr>
          <w:p w:rsidR="008A7FCB" w:rsidRPr="008A7FCB" w:rsidRDefault="008A7FCB" w:rsidP="008A7FCB">
            <w:pPr>
              <w:spacing w:after="0" w:line="240" w:lineRule="auto"/>
              <w:jc w:val="center"/>
              <w:rPr>
                <w:rFonts w:ascii="Times New Roman" w:eastAsia="Times New Roman" w:hAnsi="Times New Roman" w:cs="Times New Roman"/>
                <w:b/>
                <w:bCs/>
                <w:color w:val="000000"/>
                <w:sz w:val="18"/>
                <w:szCs w:val="18"/>
              </w:rPr>
            </w:pPr>
            <w:r w:rsidRPr="008A7FCB">
              <w:rPr>
                <w:rFonts w:ascii="Times New Roman" w:eastAsia="Times New Roman" w:hAnsi="Times New Roman" w:cs="Times New Roman"/>
                <w:b/>
                <w:bCs/>
                <w:color w:val="000000"/>
                <w:sz w:val="18"/>
                <w:szCs w:val="18"/>
              </w:rPr>
              <w:t>$3,586.68</w:t>
            </w:r>
          </w:p>
        </w:tc>
      </w:tr>
    </w:tbl>
    <w:p w:rsidR="008A7FCB" w:rsidRPr="008A7FCB" w:rsidRDefault="008A7FCB" w:rsidP="008A7FCB">
      <w:pPr>
        <w:spacing w:after="0"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Default="00562915" w:rsidP="008A7FCB">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8A7FCB" w:rsidRPr="00884FB6" w:rsidRDefault="008A7FCB" w:rsidP="008A7FCB">
      <w:pPr>
        <w:rPr>
          <w:rFonts w:ascii="Times New Roman" w:hAnsi="Times New Roman"/>
          <w:bCs/>
          <w:sz w:val="24"/>
          <w:szCs w:val="24"/>
        </w:rPr>
      </w:pPr>
      <w:r w:rsidRPr="00884FB6">
        <w:rPr>
          <w:rFonts w:ascii="Times New Roman" w:hAnsi="Times New Roman"/>
          <w:bCs/>
          <w:sz w:val="24"/>
          <w:szCs w:val="24"/>
        </w:rPr>
        <w:t>There are no record keeping, capital, start-up or maintenance costs associated with this information collection.</w:t>
      </w:r>
    </w:p>
    <w:p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 xml:space="preserve">14. </w:t>
      </w:r>
      <w:r w:rsidR="008A7FCB">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w:t>
      </w:r>
      <w:r w:rsidRPr="006625E7">
        <w:rPr>
          <w:rFonts w:ascii="Times New Roman" w:hAnsi="Times New Roman" w:cs="Times New Roman"/>
          <w:b/>
          <w:bCs/>
          <w:sz w:val="24"/>
          <w:szCs w:val="24"/>
        </w:rPr>
        <w:lastRenderedPageBreak/>
        <w:t>of information.  You may also aggregate cost estimates for Items 12, 13, and 14 in a single table.</w:t>
      </w:r>
    </w:p>
    <w:p w:rsidR="00E22DC3" w:rsidRDefault="00E22DC3" w:rsidP="006625E7">
      <w:pPr>
        <w:rPr>
          <w:rFonts w:ascii="Times New Roman" w:hAnsi="Times New Roman" w:cs="Times New Roman"/>
          <w:b/>
          <w:bCs/>
          <w:sz w:val="24"/>
          <w:szCs w:val="24"/>
        </w:rPr>
      </w:pPr>
    </w:p>
    <w:p w:rsidR="008A7FCB" w:rsidRDefault="008A7FCB" w:rsidP="008A7FCB">
      <w:pPr>
        <w:tabs>
          <w:tab w:val="left" w:pos="360"/>
        </w:tabs>
        <w:spacing w:after="0" w:line="240" w:lineRule="auto"/>
        <w:jc w:val="center"/>
        <w:rPr>
          <w:rFonts w:ascii="Times New Roman" w:hAnsi="Times New Roman" w:cs="Times New Roman"/>
          <w:b/>
          <w:bCs/>
          <w:sz w:val="24"/>
          <w:szCs w:val="24"/>
        </w:rPr>
      </w:pPr>
      <w:r w:rsidRPr="00CF2647">
        <w:rPr>
          <w:rFonts w:ascii="Times New Roman" w:hAnsi="Times New Roman"/>
          <w:b/>
          <w:bCs/>
          <w:color w:val="000000"/>
          <w:sz w:val="24"/>
          <w:szCs w:val="24"/>
        </w:rPr>
        <w:t>Annual Cost to the Federal Government</w:t>
      </w:r>
    </w:p>
    <w:bookmarkStart w:id="1" w:name="_MON_1464599349"/>
    <w:bookmarkEnd w:id="1"/>
    <w:p w:rsidR="00562915" w:rsidRPr="009B69D3" w:rsidRDefault="00EA7B07" w:rsidP="00942AD5">
      <w:pPr>
        <w:rPr>
          <w:sz w:val="16"/>
          <w:szCs w:val="16"/>
        </w:rPr>
      </w:pPr>
      <w:r>
        <w:rPr>
          <w:rFonts w:ascii="Times New Roman" w:hAnsi="Times New Roman" w:cs="Times New Roman"/>
          <w:b/>
          <w:bCs/>
          <w:sz w:val="24"/>
          <w:szCs w:val="24"/>
        </w:rPr>
        <w:object w:dxaOrig="9813" w:dyaOrig="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38pt" o:ole="">
            <v:imagedata r:id="rId11" o:title=""/>
          </v:shape>
          <o:OLEObject Type="Embed" ProgID="Excel.Sheet.12" ShapeID="_x0000_i1025" DrawAspect="Content" ObjectID="_1546937641" r:id="rId12"/>
        </w:object>
      </w:r>
      <w:r w:rsidR="00562915" w:rsidRPr="009B69D3">
        <w:rPr>
          <w:sz w:val="16"/>
          <w:szCs w:val="16"/>
        </w:rPr>
        <w:t>* Note: The “</w:t>
      </w:r>
      <w:r w:rsidR="00562915">
        <w:rPr>
          <w:sz w:val="16"/>
          <w:szCs w:val="16"/>
        </w:rPr>
        <w:t>Salary</w:t>
      </w:r>
      <w:r w:rsidR="00562915" w:rsidRPr="009B69D3">
        <w:rPr>
          <w:sz w:val="16"/>
          <w:szCs w:val="16"/>
        </w:rPr>
        <w:t xml:space="preserve"> Rate</w:t>
      </w:r>
      <w:proofErr w:type="gramStart"/>
      <w:r w:rsidR="00562915" w:rsidRPr="009B69D3">
        <w:rPr>
          <w:sz w:val="16"/>
          <w:szCs w:val="16"/>
        </w:rPr>
        <w:t>”  includes</w:t>
      </w:r>
      <w:proofErr w:type="gramEnd"/>
      <w:r w:rsidR="00562915"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3D79DA" w:rsidRDefault="00562915" w:rsidP="003D79DA">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8A7FCB" w:rsidRDefault="008A7FCB" w:rsidP="003D79DA">
      <w:pPr>
        <w:pStyle w:val="NormalWeb"/>
        <w:rPr>
          <w:i/>
          <w:sz w:val="20"/>
          <w:szCs w:val="20"/>
        </w:rPr>
      </w:pPr>
    </w:p>
    <w:p w:rsidR="008A7FCB" w:rsidRDefault="008A7FCB" w:rsidP="003D79DA">
      <w:pPr>
        <w:pStyle w:val="NormalWeb"/>
        <w:rPr>
          <w:i/>
          <w:sz w:val="20"/>
          <w:szCs w:val="20"/>
        </w:rPr>
      </w:pPr>
    </w:p>
    <w:p w:rsidR="008A7FCB" w:rsidRDefault="008A7FCB" w:rsidP="003D79DA">
      <w:pPr>
        <w:pStyle w:val="NormalWeb"/>
        <w:rPr>
          <w:i/>
          <w:sz w:val="20"/>
          <w:szCs w:val="20"/>
        </w:rPr>
      </w:pPr>
    </w:p>
    <w:p w:rsidR="00E22DC3" w:rsidRDefault="00E22DC3" w:rsidP="003D79DA">
      <w:pPr>
        <w:pStyle w:val="NormalWeb"/>
        <w:rPr>
          <w:i/>
          <w:sz w:val="20"/>
          <w:szCs w:val="20"/>
        </w:rPr>
      </w:pPr>
    </w:p>
    <w:p w:rsidR="008A7FCB" w:rsidRDefault="008A7FCB" w:rsidP="003D79DA">
      <w:pPr>
        <w:pStyle w:val="NormalWeb"/>
        <w:rPr>
          <w:i/>
          <w:sz w:val="20"/>
          <w:szCs w:val="20"/>
        </w:rPr>
      </w:pPr>
    </w:p>
    <w:tbl>
      <w:tblPr>
        <w:tblW w:w="10188" w:type="dxa"/>
        <w:tblInd w:w="-784" w:type="dxa"/>
        <w:tblLayout w:type="fixed"/>
        <w:tblLook w:val="0000" w:firstRow="0" w:lastRow="0" w:firstColumn="0" w:lastColumn="0" w:noHBand="0" w:noVBand="0"/>
      </w:tblPr>
      <w:tblGrid>
        <w:gridCol w:w="1908"/>
        <w:gridCol w:w="1674"/>
        <w:gridCol w:w="1193"/>
        <w:gridCol w:w="1322"/>
        <w:gridCol w:w="1430"/>
        <w:gridCol w:w="1430"/>
        <w:gridCol w:w="1231"/>
      </w:tblGrid>
      <w:tr w:rsidR="003D79DA" w:rsidRPr="003D79DA" w:rsidTr="00AD5CEE">
        <w:trPr>
          <w:trHeight w:val="330"/>
        </w:trPr>
        <w:tc>
          <w:tcPr>
            <w:tcW w:w="101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3D79DA" w:rsidRPr="003D79DA" w:rsidRDefault="003D79DA" w:rsidP="003D79DA">
            <w:pPr>
              <w:spacing w:after="0" w:line="240" w:lineRule="auto"/>
              <w:jc w:val="center"/>
              <w:rPr>
                <w:rFonts w:ascii="Times New Roman" w:eastAsia="Times New Roman" w:hAnsi="Times New Roman" w:cs="Times New Roman"/>
                <w:b/>
                <w:bCs/>
              </w:rPr>
            </w:pPr>
          </w:p>
          <w:p w:rsidR="003D79DA" w:rsidRPr="003D79DA" w:rsidRDefault="003D79DA" w:rsidP="003D79DA">
            <w:pPr>
              <w:spacing w:after="0" w:line="240" w:lineRule="auto"/>
              <w:jc w:val="center"/>
              <w:rPr>
                <w:rFonts w:ascii="Times New Roman" w:eastAsia="Times New Roman" w:hAnsi="Times New Roman" w:cs="Times New Roman"/>
                <w:b/>
                <w:bCs/>
              </w:rPr>
            </w:pPr>
            <w:r w:rsidRPr="003D79DA">
              <w:rPr>
                <w:rFonts w:ascii="Times New Roman" w:eastAsia="Times New Roman" w:hAnsi="Times New Roman" w:cs="Times New Roman"/>
                <w:b/>
                <w:bCs/>
              </w:rPr>
              <w:t>Itemized Changes in Annual Burden Hours</w:t>
            </w:r>
          </w:p>
        </w:tc>
      </w:tr>
      <w:tr w:rsidR="003D79DA" w:rsidRPr="003D79DA" w:rsidTr="00AD5CEE">
        <w:trPr>
          <w:trHeight w:val="1285"/>
        </w:trPr>
        <w:tc>
          <w:tcPr>
            <w:tcW w:w="1908" w:type="dxa"/>
            <w:tcBorders>
              <w:top w:val="nil"/>
              <w:left w:val="single" w:sz="8" w:space="0" w:color="auto"/>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Data collection Activity/Instrument</w:t>
            </w:r>
          </w:p>
        </w:tc>
        <w:tc>
          <w:tcPr>
            <w:tcW w:w="1674"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Adjustment (New) </w:t>
            </w:r>
          </w:p>
        </w:tc>
        <w:tc>
          <w:tcPr>
            <w:tcW w:w="1231" w:type="dxa"/>
            <w:tcBorders>
              <w:top w:val="nil"/>
              <w:left w:val="nil"/>
              <w:bottom w:val="single" w:sz="8" w:space="0" w:color="auto"/>
              <w:right w:val="single" w:sz="8" w:space="0" w:color="auto"/>
            </w:tcBorders>
            <w:shd w:val="clear" w:color="auto" w:fill="0070C0"/>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Difference</w:t>
            </w:r>
          </w:p>
        </w:tc>
      </w:tr>
      <w:tr w:rsidR="003D79DA" w:rsidRPr="003D79DA" w:rsidTr="00AD5CEE">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3D79DA" w:rsidRPr="003D79DA" w:rsidRDefault="003D79DA" w:rsidP="003D79DA">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TSGP</w:t>
            </w:r>
          </w:p>
          <w:p w:rsidR="003D79DA" w:rsidRPr="003D79DA" w:rsidRDefault="003D79DA" w:rsidP="003D79DA">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Investment Justification, </w:t>
            </w:r>
          </w:p>
          <w:p w:rsidR="003D79DA" w:rsidRPr="003D79DA" w:rsidRDefault="003D79DA" w:rsidP="003D79DA">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FEMA Form  089-4 </w:t>
            </w:r>
          </w:p>
        </w:tc>
        <w:tc>
          <w:tcPr>
            <w:tcW w:w="1674"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20"/>
                <w:szCs w:val="20"/>
              </w:rPr>
            </w:pPr>
          </w:p>
        </w:tc>
        <w:tc>
          <w:tcPr>
            <w:tcW w:w="1193"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6"/>
                <w:szCs w:val="16"/>
              </w:rPr>
            </w:pPr>
          </w:p>
        </w:tc>
        <w:tc>
          <w:tcPr>
            <w:tcW w:w="1322"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6"/>
                <w:szCs w:val="16"/>
              </w:rPr>
            </w:pP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2,091</w:t>
            </w: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2,091</w:t>
            </w:r>
          </w:p>
        </w:tc>
        <w:tc>
          <w:tcPr>
            <w:tcW w:w="1231"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0</w:t>
            </w:r>
          </w:p>
        </w:tc>
      </w:tr>
      <w:tr w:rsidR="003D79DA" w:rsidRPr="003D79DA" w:rsidTr="00AD5CEE">
        <w:trPr>
          <w:trHeight w:val="330"/>
        </w:trPr>
        <w:tc>
          <w:tcPr>
            <w:tcW w:w="1908" w:type="dxa"/>
            <w:tcBorders>
              <w:top w:val="nil"/>
              <w:left w:val="single" w:sz="8" w:space="0" w:color="auto"/>
              <w:bottom w:val="single" w:sz="8" w:space="0" w:color="auto"/>
              <w:right w:val="single" w:sz="8" w:space="0" w:color="auto"/>
            </w:tcBorders>
            <w:shd w:val="clear" w:color="auto" w:fill="auto"/>
          </w:tcPr>
          <w:p w:rsidR="003D79DA" w:rsidRPr="003D79DA" w:rsidRDefault="003D79DA" w:rsidP="003D79DA">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Regional Transit Security Strategy </w:t>
            </w:r>
          </w:p>
        </w:tc>
        <w:tc>
          <w:tcPr>
            <w:tcW w:w="1674"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20"/>
                <w:szCs w:val="20"/>
              </w:rPr>
            </w:pPr>
          </w:p>
        </w:tc>
        <w:tc>
          <w:tcPr>
            <w:tcW w:w="1193"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6"/>
                <w:szCs w:val="16"/>
              </w:rPr>
            </w:pPr>
          </w:p>
        </w:tc>
        <w:tc>
          <w:tcPr>
            <w:tcW w:w="1322"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6"/>
                <w:szCs w:val="16"/>
              </w:rPr>
            </w:pP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2,952</w:t>
            </w: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2,952</w:t>
            </w:r>
          </w:p>
        </w:tc>
        <w:tc>
          <w:tcPr>
            <w:tcW w:w="1231"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0</w:t>
            </w:r>
          </w:p>
        </w:tc>
      </w:tr>
      <w:tr w:rsidR="003D79DA" w:rsidRPr="003D79DA" w:rsidTr="00AD5CEE">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20"/>
                <w:szCs w:val="20"/>
              </w:rPr>
            </w:pPr>
            <w:r w:rsidRPr="003D79DA">
              <w:rPr>
                <w:rFonts w:ascii="Times New Roman" w:eastAsia="Times New Roman" w:hAnsi="Times New Roman" w:cs="Times New Roman"/>
                <w:b/>
                <w:bCs/>
                <w:sz w:val="20"/>
                <w:szCs w:val="20"/>
              </w:rPr>
              <w:t>Total(s)</w:t>
            </w:r>
          </w:p>
        </w:tc>
        <w:tc>
          <w:tcPr>
            <w:tcW w:w="1674"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20"/>
                <w:szCs w:val="20"/>
              </w:rPr>
            </w:pPr>
          </w:p>
        </w:tc>
        <w:tc>
          <w:tcPr>
            <w:tcW w:w="1193"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16"/>
                <w:szCs w:val="16"/>
              </w:rPr>
            </w:pPr>
          </w:p>
        </w:tc>
        <w:tc>
          <w:tcPr>
            <w:tcW w:w="1322"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16"/>
                <w:szCs w:val="16"/>
              </w:rPr>
            </w:pP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5,043</w:t>
            </w:r>
          </w:p>
        </w:tc>
        <w:tc>
          <w:tcPr>
            <w:tcW w:w="1430"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5,043</w:t>
            </w:r>
          </w:p>
        </w:tc>
        <w:tc>
          <w:tcPr>
            <w:tcW w:w="1231" w:type="dxa"/>
            <w:tcBorders>
              <w:top w:val="nil"/>
              <w:left w:val="nil"/>
              <w:bottom w:val="single" w:sz="8" w:space="0" w:color="auto"/>
              <w:right w:val="single" w:sz="8" w:space="0" w:color="auto"/>
            </w:tcBorders>
            <w:shd w:val="clear" w:color="auto" w:fill="auto"/>
            <w:vAlign w:val="center"/>
          </w:tcPr>
          <w:p w:rsidR="003D79DA" w:rsidRPr="003D79DA" w:rsidRDefault="003D79DA" w:rsidP="003D79DA">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0</w:t>
            </w:r>
          </w:p>
        </w:tc>
      </w:tr>
    </w:tbl>
    <w:p w:rsidR="003D79DA" w:rsidRPr="003D79DA" w:rsidRDefault="003D79DA" w:rsidP="003D79DA">
      <w:pPr>
        <w:spacing w:after="0" w:line="240" w:lineRule="auto"/>
        <w:rPr>
          <w:rFonts w:ascii="Times New Roman" w:eastAsia="Times New Roman" w:hAnsi="Times New Roman" w:cs="Times New Roman"/>
          <w:b/>
          <w:bCs/>
          <w:i/>
          <w:sz w:val="24"/>
          <w:szCs w:val="24"/>
        </w:rPr>
      </w:pPr>
    </w:p>
    <w:p w:rsidR="003D79DA" w:rsidRDefault="003D79DA" w:rsidP="003D79DA">
      <w:pPr>
        <w:spacing w:after="0" w:line="240" w:lineRule="auto"/>
        <w:rPr>
          <w:rFonts w:ascii="Times New Roman" w:eastAsia="Times New Roman" w:hAnsi="Times New Roman" w:cs="Times New Roman"/>
          <w:bCs/>
          <w:sz w:val="24"/>
          <w:szCs w:val="24"/>
        </w:rPr>
      </w:pPr>
      <w:r w:rsidRPr="003D79DA">
        <w:rPr>
          <w:rFonts w:ascii="Times New Roman" w:eastAsia="Calibri" w:hAnsi="Times New Roman" w:cs="Times New Roman"/>
          <w:b/>
          <w:bCs/>
          <w:i/>
          <w:sz w:val="24"/>
          <w:szCs w:val="24"/>
        </w:rPr>
        <w:t>Explain:</w:t>
      </w:r>
      <w:r w:rsidRPr="003D79DA">
        <w:rPr>
          <w:rFonts w:ascii="Times New Roman" w:eastAsia="Times New Roman" w:hAnsi="Times New Roman" w:cs="Times New Roman"/>
          <w:bCs/>
          <w:sz w:val="24"/>
          <w:szCs w:val="24"/>
        </w:rPr>
        <w:t xml:space="preserve"> </w:t>
      </w:r>
    </w:p>
    <w:p w:rsidR="00DE7B6A" w:rsidRPr="003D79DA" w:rsidRDefault="00DE7B6A" w:rsidP="003D79DA">
      <w:pPr>
        <w:spacing w:after="0" w:line="240" w:lineRule="auto"/>
        <w:rPr>
          <w:rFonts w:ascii="Times New Roman" w:eastAsia="Times New Roman" w:hAnsi="Times New Roman" w:cs="Times New Roman"/>
          <w:bCs/>
          <w:sz w:val="24"/>
          <w:szCs w:val="24"/>
        </w:rPr>
      </w:pPr>
    </w:p>
    <w:p w:rsidR="003D79DA" w:rsidRPr="003D79DA" w:rsidRDefault="003D79DA" w:rsidP="003D79DA">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There are no changes to the annual hour burden previously reported and there has been no change to the information being collected.</w:t>
      </w:r>
    </w:p>
    <w:p w:rsidR="003D79DA" w:rsidRPr="003D79DA" w:rsidRDefault="003D79DA" w:rsidP="003D79DA">
      <w:pPr>
        <w:spacing w:after="0" w:line="240" w:lineRule="auto"/>
        <w:rPr>
          <w:rFonts w:ascii="Times New Roman" w:eastAsia="Calibri" w:hAnsi="Times New Roman" w:cs="Times New Roman"/>
          <w:b/>
          <w:bCs/>
          <w:i/>
          <w:sz w:val="24"/>
          <w:szCs w:val="24"/>
        </w:rPr>
      </w:pPr>
    </w:p>
    <w:p w:rsidR="003D79DA" w:rsidRPr="003D79DA" w:rsidRDefault="003D79DA" w:rsidP="003D79DA">
      <w:pPr>
        <w:spacing w:after="0" w:line="240" w:lineRule="auto"/>
        <w:rPr>
          <w:rFonts w:ascii="Times New Roman" w:eastAsia="Calibri" w:hAnsi="Times New Roman" w:cs="Times New Roman"/>
          <w:b/>
          <w:bCs/>
          <w:i/>
          <w:sz w:val="24"/>
          <w:szCs w:val="24"/>
        </w:rPr>
      </w:pPr>
    </w:p>
    <w:p w:rsidR="003D79DA" w:rsidRPr="003D79DA" w:rsidRDefault="003D79DA" w:rsidP="003D79DA">
      <w:pPr>
        <w:spacing w:after="0" w:line="240" w:lineRule="auto"/>
        <w:rPr>
          <w:rFonts w:ascii="Times New Roman" w:eastAsia="Calibri" w:hAnsi="Times New Roman" w:cs="Times New Roman"/>
          <w:b/>
          <w:bCs/>
          <w:i/>
          <w:sz w:val="24"/>
          <w:szCs w:val="24"/>
        </w:rPr>
      </w:pPr>
      <w:r w:rsidRPr="003D79DA">
        <w:rPr>
          <w:rFonts w:ascii="Times New Roman" w:eastAsia="Calibri" w:hAnsi="Times New Roman" w:cs="Times New Roman"/>
          <w:b/>
          <w:bCs/>
          <w:i/>
          <w:sz w:val="24"/>
          <w:szCs w:val="24"/>
        </w:rPr>
        <w:t>Itemized Changes in Annual Cost Burden</w:t>
      </w:r>
    </w:p>
    <w:p w:rsidR="003D79DA" w:rsidRPr="003D79DA" w:rsidRDefault="003D79DA" w:rsidP="003D79DA">
      <w:pPr>
        <w:spacing w:after="0" w:line="240" w:lineRule="auto"/>
        <w:rPr>
          <w:rFonts w:ascii="Times New Roman" w:eastAsia="Calibri" w:hAnsi="Times New Roman" w:cs="Times New Roman"/>
          <w:b/>
          <w:bCs/>
          <w:i/>
          <w:sz w:val="24"/>
          <w:szCs w:val="24"/>
        </w:rPr>
      </w:pPr>
    </w:p>
    <w:p w:rsidR="003D79DA" w:rsidRDefault="003D79DA" w:rsidP="003D79DA">
      <w:pPr>
        <w:spacing w:after="0" w:line="240" w:lineRule="auto"/>
        <w:rPr>
          <w:rFonts w:ascii="Times New Roman" w:eastAsia="Calibri" w:hAnsi="Times New Roman" w:cs="Times New Roman"/>
          <w:bCs/>
          <w:i/>
          <w:sz w:val="24"/>
          <w:szCs w:val="24"/>
        </w:rPr>
      </w:pPr>
      <w:r w:rsidRPr="003D79DA">
        <w:rPr>
          <w:rFonts w:ascii="Times New Roman" w:eastAsia="Calibri" w:hAnsi="Times New Roman" w:cs="Times New Roman"/>
          <w:b/>
          <w:bCs/>
          <w:i/>
          <w:sz w:val="24"/>
          <w:szCs w:val="24"/>
        </w:rPr>
        <w:t>Explain:</w:t>
      </w:r>
      <w:r w:rsidRPr="003D79DA">
        <w:rPr>
          <w:rFonts w:ascii="Times New Roman" w:eastAsia="Calibri" w:hAnsi="Times New Roman" w:cs="Times New Roman"/>
          <w:bCs/>
          <w:i/>
          <w:sz w:val="24"/>
          <w:szCs w:val="24"/>
        </w:rPr>
        <w:t xml:space="preserve"> </w:t>
      </w:r>
    </w:p>
    <w:p w:rsidR="00DE7B6A" w:rsidRPr="003D79DA" w:rsidRDefault="00DE7B6A" w:rsidP="003D79DA">
      <w:pPr>
        <w:spacing w:after="0" w:line="240" w:lineRule="auto"/>
        <w:rPr>
          <w:rFonts w:ascii="Times New Roman" w:eastAsia="Calibri" w:hAnsi="Times New Roman" w:cs="Times New Roman"/>
          <w:bCs/>
          <w:i/>
          <w:sz w:val="24"/>
          <w:szCs w:val="24"/>
        </w:rPr>
      </w:pPr>
    </w:p>
    <w:p w:rsidR="003D79DA" w:rsidRPr="003D79DA" w:rsidRDefault="003D79DA" w:rsidP="003D79DA">
      <w:pPr>
        <w:spacing w:after="0" w:line="240" w:lineRule="auto"/>
        <w:rPr>
          <w:rFonts w:ascii="Times New Roman" w:eastAsia="Calibri" w:hAnsi="Times New Roman" w:cs="Times New Roman"/>
          <w:b/>
          <w:bCs/>
          <w:sz w:val="24"/>
          <w:szCs w:val="24"/>
        </w:rPr>
      </w:pPr>
      <w:r w:rsidRPr="003D79DA">
        <w:rPr>
          <w:rFonts w:ascii="Times New Roman" w:eastAsia="Times New Roman" w:hAnsi="Times New Roman" w:cs="Times New Roman"/>
          <w:bCs/>
          <w:sz w:val="24"/>
          <w:szCs w:val="24"/>
        </w:rPr>
        <w:t>There is no cost burden for this collection.</w:t>
      </w:r>
      <w:r w:rsidRPr="003D79DA">
        <w:rPr>
          <w:rFonts w:ascii="Calibri" w:eastAsia="Calibri" w:hAnsi="Calibri" w:cs="Times New Roman"/>
          <w:b/>
          <w:bCs/>
          <w:highlight w:val="yellow"/>
        </w:rPr>
        <w:fldChar w:fldCharType="begin"/>
      </w:r>
      <w:r w:rsidRPr="003D79DA">
        <w:rPr>
          <w:rFonts w:ascii="Calibri" w:eastAsia="Calibri" w:hAnsi="Calibri" w:cs="Times New Roman"/>
          <w:b/>
          <w:bCs/>
          <w:highlight w:val="yellow"/>
        </w:rPr>
        <w:instrText>ADVANCE \R 0.95</w:instrText>
      </w:r>
      <w:r w:rsidRPr="003D79DA">
        <w:rPr>
          <w:rFonts w:ascii="Calibri" w:eastAsia="Calibri" w:hAnsi="Calibri" w:cs="Times New Roman"/>
          <w:b/>
          <w:bCs/>
          <w:highlight w:val="yellow"/>
        </w:rPr>
        <w:fldChar w:fldCharType="end"/>
      </w:r>
    </w:p>
    <w:p w:rsidR="00556603" w:rsidRPr="003D79DA" w:rsidRDefault="003D79DA" w:rsidP="003D79DA">
      <w:pPr>
        <w:spacing w:after="0" w:line="240" w:lineRule="auto"/>
        <w:rPr>
          <w:rFonts w:ascii="Times New Roman" w:eastAsia="Times New Roman" w:hAnsi="Times New Roman" w:cs="Times New Roman"/>
          <w:bCs/>
          <w:sz w:val="24"/>
          <w:szCs w:val="24"/>
        </w:rPr>
      </w:pPr>
      <w:r w:rsidRPr="003D79DA">
        <w:rPr>
          <w:rFonts w:ascii="Times New Roman" w:eastAsia="Times New Roman" w:hAnsi="Times New Roman" w:cs="Times New Roman"/>
          <w:bCs/>
          <w:sz w:val="24"/>
          <w:szCs w:val="24"/>
        </w:rPr>
        <w:t xml:space="preserve"> </w:t>
      </w:r>
    </w:p>
    <w:p w:rsidR="003D79DA" w:rsidRPr="003D79DA" w:rsidRDefault="003D79DA" w:rsidP="003D79DA">
      <w:pPr>
        <w:spacing w:after="0" w:line="240" w:lineRule="auto"/>
        <w:rPr>
          <w:rFonts w:ascii="Times New Roman" w:eastAsia="Calibri" w:hAnsi="Times New Roman" w:cs="Times New Roman"/>
          <w:sz w:val="24"/>
          <w:szCs w:val="24"/>
        </w:rPr>
      </w:pPr>
      <w:r w:rsidRPr="003D79DA">
        <w:rPr>
          <w:rFonts w:ascii="Times New Roman" w:eastAsia="Calibri"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D79DA">
        <w:rPr>
          <w:rFonts w:ascii="Times New Roman" w:eastAsia="Calibri" w:hAnsi="Times New Roman" w:cs="Times New Roman"/>
          <w:sz w:val="24"/>
          <w:szCs w:val="24"/>
        </w:rPr>
        <w:fldChar w:fldCharType="begin"/>
      </w:r>
      <w:r w:rsidRPr="003D79DA">
        <w:rPr>
          <w:rFonts w:ascii="Times New Roman" w:eastAsia="Calibri" w:hAnsi="Times New Roman" w:cs="Times New Roman"/>
          <w:sz w:val="24"/>
          <w:szCs w:val="24"/>
        </w:rPr>
        <w:instrText>ADVANCE \R 0.95</w:instrText>
      </w:r>
      <w:r w:rsidRPr="003D79DA">
        <w:rPr>
          <w:rFonts w:ascii="Times New Roman" w:eastAsia="Calibri" w:hAnsi="Times New Roman" w:cs="Times New Roman"/>
          <w:sz w:val="24"/>
          <w:szCs w:val="24"/>
        </w:rPr>
        <w:fldChar w:fldCharType="end"/>
      </w:r>
    </w:p>
    <w:p w:rsidR="003D79DA" w:rsidRPr="003D79DA" w:rsidRDefault="003D79DA" w:rsidP="003D79DA">
      <w:pPr>
        <w:spacing w:after="0" w:line="240" w:lineRule="auto"/>
        <w:rPr>
          <w:rFonts w:ascii="Times New Roman" w:eastAsia="Calibri" w:hAnsi="Times New Roman" w:cs="Times New Roman"/>
          <w:sz w:val="24"/>
          <w:szCs w:val="24"/>
        </w:rPr>
      </w:pPr>
    </w:p>
    <w:p w:rsidR="003D79DA" w:rsidRPr="003D79DA" w:rsidRDefault="003D79DA" w:rsidP="003D79DA">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 xml:space="preserve">FEMA does not intend to employ the use of statistics or the publication thereof for this information collection. </w:t>
      </w:r>
    </w:p>
    <w:p w:rsidR="003D79DA" w:rsidRPr="003D79DA" w:rsidRDefault="003D79DA" w:rsidP="003D79DA">
      <w:pPr>
        <w:spacing w:after="0" w:line="240" w:lineRule="auto"/>
        <w:rPr>
          <w:rFonts w:ascii="Times New Roman" w:eastAsia="Calibri" w:hAnsi="Times New Roman" w:cs="Times New Roman"/>
          <w:bCs/>
          <w:sz w:val="24"/>
          <w:szCs w:val="24"/>
        </w:rPr>
      </w:pPr>
    </w:p>
    <w:p w:rsidR="003D79DA" w:rsidRPr="003D79DA" w:rsidRDefault="003D79DA" w:rsidP="003D79DA">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fldChar w:fldCharType="begin"/>
      </w:r>
      <w:r w:rsidRPr="003D79DA">
        <w:rPr>
          <w:rFonts w:ascii="Times New Roman" w:eastAsia="Calibri" w:hAnsi="Times New Roman" w:cs="Times New Roman"/>
          <w:b/>
          <w:bCs/>
          <w:sz w:val="24"/>
          <w:szCs w:val="24"/>
        </w:rPr>
        <w:instrText>ADVANCE \R 0.95</w:instrText>
      </w:r>
      <w:r w:rsidRPr="003D79DA">
        <w:rPr>
          <w:rFonts w:ascii="Times New Roman" w:eastAsia="Calibri" w:hAnsi="Times New Roman" w:cs="Times New Roman"/>
          <w:b/>
          <w:bCs/>
          <w:sz w:val="24"/>
          <w:szCs w:val="24"/>
        </w:rPr>
        <w:fldChar w:fldCharType="end"/>
      </w:r>
      <w:r w:rsidRPr="003D79DA">
        <w:rPr>
          <w:rFonts w:ascii="Times New Roman" w:eastAsia="Calibri" w:hAnsi="Times New Roman" w:cs="Times New Roman"/>
          <w:b/>
          <w:bCs/>
          <w:sz w:val="24"/>
          <w:szCs w:val="24"/>
        </w:rPr>
        <w:t>17.  If seeking approval not to display the expiration date for OMB approval of the information collection, explain reasons that display would be inappropriate.</w:t>
      </w:r>
    </w:p>
    <w:p w:rsidR="003D79DA" w:rsidRPr="003D79DA" w:rsidRDefault="003D79DA" w:rsidP="003D79DA">
      <w:pPr>
        <w:spacing w:after="0" w:line="240" w:lineRule="auto"/>
        <w:rPr>
          <w:rFonts w:ascii="Times New Roman" w:eastAsia="Calibri" w:hAnsi="Times New Roman" w:cs="Times New Roman"/>
          <w:b/>
          <w:bCs/>
          <w:sz w:val="24"/>
          <w:szCs w:val="24"/>
        </w:rPr>
      </w:pPr>
    </w:p>
    <w:p w:rsidR="003D79DA" w:rsidRPr="003D79DA" w:rsidRDefault="003D79DA" w:rsidP="003D79DA">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 xml:space="preserve">FEMA will display the expiration date for OMB approval of this information collection. </w:t>
      </w:r>
    </w:p>
    <w:p w:rsidR="003D79DA" w:rsidRPr="003D79DA" w:rsidRDefault="003D79DA" w:rsidP="003D79DA">
      <w:pPr>
        <w:spacing w:after="0" w:line="240" w:lineRule="auto"/>
        <w:rPr>
          <w:rFonts w:ascii="Times New Roman" w:eastAsia="Calibri" w:hAnsi="Times New Roman" w:cs="Times New Roman"/>
          <w:bCs/>
          <w:sz w:val="24"/>
          <w:szCs w:val="24"/>
        </w:rPr>
      </w:pPr>
    </w:p>
    <w:p w:rsidR="003D79DA" w:rsidRPr="003D79DA" w:rsidRDefault="003D79DA" w:rsidP="003D79DA">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fldChar w:fldCharType="begin"/>
      </w:r>
      <w:r w:rsidRPr="003D79DA">
        <w:rPr>
          <w:rFonts w:ascii="Times New Roman" w:eastAsia="Calibri" w:hAnsi="Times New Roman" w:cs="Times New Roman"/>
          <w:b/>
          <w:bCs/>
          <w:sz w:val="24"/>
          <w:szCs w:val="24"/>
        </w:rPr>
        <w:instrText>ADVANCE \R 0.95</w:instrText>
      </w:r>
      <w:r w:rsidRPr="003D79DA">
        <w:rPr>
          <w:rFonts w:ascii="Times New Roman" w:eastAsia="Calibri" w:hAnsi="Times New Roman" w:cs="Times New Roman"/>
          <w:b/>
          <w:bCs/>
          <w:sz w:val="24"/>
          <w:szCs w:val="24"/>
        </w:rPr>
        <w:fldChar w:fldCharType="end"/>
      </w:r>
      <w:r w:rsidRPr="003D79DA">
        <w:rPr>
          <w:rFonts w:ascii="Times New Roman" w:eastAsia="Calibri" w:hAnsi="Times New Roman" w:cs="Times New Roman"/>
          <w:b/>
          <w:bCs/>
          <w:sz w:val="24"/>
          <w:szCs w:val="24"/>
        </w:rPr>
        <w:t>18.  Explain each exception to the certification statement identified in Item 19 “Certification for Paperwork Reduction Act Submissions,” of OMB Form 83-I.</w:t>
      </w:r>
    </w:p>
    <w:p w:rsidR="003D79DA" w:rsidRPr="003D79DA" w:rsidRDefault="003D79DA" w:rsidP="003D79DA">
      <w:pPr>
        <w:spacing w:after="0" w:line="240" w:lineRule="auto"/>
        <w:rPr>
          <w:rFonts w:ascii="Times New Roman" w:eastAsia="Calibri" w:hAnsi="Times New Roman" w:cs="Times New Roman"/>
          <w:b/>
          <w:bCs/>
          <w:sz w:val="24"/>
          <w:szCs w:val="24"/>
        </w:rPr>
      </w:pPr>
    </w:p>
    <w:p w:rsidR="003D79DA" w:rsidRDefault="003D79DA" w:rsidP="003D79DA">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FEMA does not request an exception to the certification of this information collection.</w:t>
      </w:r>
    </w:p>
    <w:p w:rsidR="00DE7B6A" w:rsidRDefault="00DE7B6A" w:rsidP="003D79DA">
      <w:pPr>
        <w:spacing w:after="0" w:line="240" w:lineRule="auto"/>
        <w:rPr>
          <w:rFonts w:ascii="Times New Roman" w:eastAsia="Calibri" w:hAnsi="Times New Roman" w:cs="Times New Roman"/>
          <w:bCs/>
          <w:sz w:val="24"/>
          <w:szCs w:val="24"/>
        </w:rPr>
      </w:pPr>
    </w:p>
    <w:p w:rsidR="00DE7B6A" w:rsidRPr="003D79DA" w:rsidRDefault="00DE7B6A" w:rsidP="003D79DA">
      <w:pPr>
        <w:spacing w:after="0" w:line="240" w:lineRule="auto"/>
        <w:rPr>
          <w:rFonts w:ascii="Times New Roman" w:eastAsia="Calibri" w:hAnsi="Times New Roman" w:cs="Times New Roman"/>
          <w:bCs/>
          <w:sz w:val="24"/>
          <w:szCs w:val="24"/>
        </w:rPr>
      </w:pPr>
    </w:p>
    <w:p w:rsidR="00FE14EB" w:rsidRDefault="00FE14EB" w:rsidP="003D79DA">
      <w:pPr>
        <w:spacing w:after="0" w:line="240" w:lineRule="auto"/>
        <w:rPr>
          <w:rFonts w:ascii="Times New Roman" w:eastAsia="Calibri" w:hAnsi="Times New Roman" w:cs="Times New Roman"/>
          <w:b/>
          <w:bCs/>
          <w:sz w:val="24"/>
          <w:szCs w:val="24"/>
        </w:rPr>
      </w:pPr>
    </w:p>
    <w:p w:rsidR="003D79DA" w:rsidRPr="003D79DA" w:rsidRDefault="003D79DA" w:rsidP="003D79DA">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lastRenderedPageBreak/>
        <w:t>B.  Collections of Information Employing Statistical Methods.</w:t>
      </w:r>
    </w:p>
    <w:p w:rsidR="003D79DA" w:rsidRPr="003D79DA" w:rsidRDefault="003D79DA" w:rsidP="003D79DA">
      <w:pPr>
        <w:spacing w:after="0" w:line="240" w:lineRule="auto"/>
        <w:rPr>
          <w:rFonts w:ascii="Times New Roman" w:eastAsia="Calibri" w:hAnsi="Times New Roman" w:cs="Times New Roman"/>
          <w:b/>
          <w:bCs/>
          <w:sz w:val="24"/>
          <w:szCs w:val="24"/>
        </w:rPr>
      </w:pPr>
    </w:p>
    <w:p w:rsidR="00562915" w:rsidRPr="006625E7" w:rsidRDefault="003D79DA" w:rsidP="008A7FCB">
      <w:pPr>
        <w:spacing w:after="0" w:line="240" w:lineRule="auto"/>
        <w:rPr>
          <w:rFonts w:ascii="Times New Roman" w:hAnsi="Times New Roman" w:cs="Times New Roman"/>
          <w:color w:val="0000FF"/>
          <w:sz w:val="24"/>
          <w:szCs w:val="24"/>
        </w:rPr>
      </w:pPr>
      <w:r w:rsidRPr="003D79DA">
        <w:rPr>
          <w:rFonts w:ascii="Times New Roman" w:eastAsia="Calibri" w:hAnsi="Times New Roman" w:cs="Times New Roman"/>
          <w:bCs/>
          <w:sz w:val="24"/>
          <w:szCs w:val="24"/>
        </w:rPr>
        <w:t xml:space="preserve">There is no statistical methodology involved in this collection.  </w:t>
      </w:r>
    </w:p>
    <w:sectPr w:rsidR="00562915" w:rsidRPr="006625E7">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DD" w:rsidRDefault="00E236DD">
      <w:pPr>
        <w:spacing w:after="0" w:line="240" w:lineRule="auto"/>
      </w:pPr>
      <w:r>
        <w:separator/>
      </w:r>
    </w:p>
  </w:endnote>
  <w:endnote w:type="continuationSeparator" w:id="0">
    <w:p w:rsidR="00E236DD" w:rsidRDefault="00E2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8C5F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5F56">
      <w:rPr>
        <w:rStyle w:val="PageNumber"/>
        <w:noProof/>
      </w:rPr>
      <w:t>13</w:t>
    </w:r>
    <w:r>
      <w:rPr>
        <w:rStyle w:val="PageNumber"/>
      </w:rPr>
      <w:fldChar w:fldCharType="end"/>
    </w:r>
  </w:p>
  <w:p w:rsidR="00F42D8D" w:rsidRDefault="008C5F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DD" w:rsidRDefault="00E236DD">
      <w:pPr>
        <w:spacing w:after="0" w:line="240" w:lineRule="auto"/>
      </w:pPr>
      <w:r>
        <w:separator/>
      </w:r>
    </w:p>
  </w:footnote>
  <w:footnote w:type="continuationSeparator" w:id="0">
    <w:p w:rsidR="00E236DD" w:rsidRDefault="00E23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613CB3D4"/>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325CA"/>
    <w:rsid w:val="00040C42"/>
    <w:rsid w:val="000B5E91"/>
    <w:rsid w:val="000C107E"/>
    <w:rsid w:val="000E2546"/>
    <w:rsid w:val="00106954"/>
    <w:rsid w:val="001C192D"/>
    <w:rsid w:val="001F4D25"/>
    <w:rsid w:val="00265C27"/>
    <w:rsid w:val="0027258B"/>
    <w:rsid w:val="002B27E9"/>
    <w:rsid w:val="002B2B7C"/>
    <w:rsid w:val="003218EA"/>
    <w:rsid w:val="00353AF9"/>
    <w:rsid w:val="00372A10"/>
    <w:rsid w:val="00380055"/>
    <w:rsid w:val="003C3F58"/>
    <w:rsid w:val="003D79DA"/>
    <w:rsid w:val="00453DCE"/>
    <w:rsid w:val="00455ECE"/>
    <w:rsid w:val="0049227E"/>
    <w:rsid w:val="00503700"/>
    <w:rsid w:val="00556603"/>
    <w:rsid w:val="00562915"/>
    <w:rsid w:val="0059115B"/>
    <w:rsid w:val="005D1DD4"/>
    <w:rsid w:val="005E6793"/>
    <w:rsid w:val="0063121F"/>
    <w:rsid w:val="0065224D"/>
    <w:rsid w:val="00660E5E"/>
    <w:rsid w:val="006625E7"/>
    <w:rsid w:val="00676F5F"/>
    <w:rsid w:val="007103B8"/>
    <w:rsid w:val="007537C0"/>
    <w:rsid w:val="00757122"/>
    <w:rsid w:val="007B5775"/>
    <w:rsid w:val="007F1CE6"/>
    <w:rsid w:val="007F2BFC"/>
    <w:rsid w:val="00860EC4"/>
    <w:rsid w:val="008A7FCB"/>
    <w:rsid w:val="008C5F56"/>
    <w:rsid w:val="008F6F04"/>
    <w:rsid w:val="00942AD5"/>
    <w:rsid w:val="009760D8"/>
    <w:rsid w:val="00AA24D6"/>
    <w:rsid w:val="00AB1B3D"/>
    <w:rsid w:val="00B92B09"/>
    <w:rsid w:val="00BB543D"/>
    <w:rsid w:val="00BC42F9"/>
    <w:rsid w:val="00BC4902"/>
    <w:rsid w:val="00BE42FA"/>
    <w:rsid w:val="00C95BA3"/>
    <w:rsid w:val="00D173AA"/>
    <w:rsid w:val="00D82667"/>
    <w:rsid w:val="00DE7B6A"/>
    <w:rsid w:val="00E22DC3"/>
    <w:rsid w:val="00E236DD"/>
    <w:rsid w:val="00E3309A"/>
    <w:rsid w:val="00EA7B07"/>
    <w:rsid w:val="00EE380D"/>
    <w:rsid w:val="00F71F77"/>
    <w:rsid w:val="00F812D5"/>
    <w:rsid w:val="00FB073C"/>
    <w:rsid w:val="00F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73BF92-80ED-4339-A11F-943B253B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HTMLPreformatted">
    <w:name w:val="HTML Preformatted"/>
    <w:basedOn w:val="Normal"/>
    <w:link w:val="HTMLPreformattedChar"/>
    <w:rsid w:val="007F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F2BFC"/>
    <w:rPr>
      <w:rFonts w:ascii="Courier New" w:eastAsia="Times New Roman" w:hAnsi="Courier New" w:cs="Courier New"/>
      <w:sz w:val="20"/>
      <w:szCs w:val="20"/>
    </w:rPr>
  </w:style>
  <w:style w:type="paragraph" w:styleId="CommentText">
    <w:name w:val="annotation text"/>
    <w:basedOn w:val="Normal"/>
    <w:link w:val="CommentTextChar"/>
    <w:rsid w:val="007F2BF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2BFC"/>
    <w:rPr>
      <w:rFonts w:ascii="Times New Roman" w:eastAsia="Times New Roman" w:hAnsi="Times New Roman" w:cs="Times New Roman"/>
      <w:sz w:val="20"/>
      <w:szCs w:val="20"/>
    </w:rPr>
  </w:style>
  <w:style w:type="paragraph" w:styleId="ListBullet">
    <w:name w:val="List Bullet"/>
    <w:basedOn w:val="Normal"/>
    <w:rsid w:val="007F2BFC"/>
    <w:pPr>
      <w:numPr>
        <w:numId w:val="5"/>
      </w:numPr>
      <w:spacing w:after="60" w:line="280" w:lineRule="atLeast"/>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50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es/current/naics3_999000.htm" TargetMode="External"/><Relationship Id="rId4" Type="http://schemas.openxmlformats.org/officeDocument/2006/relationships/settings" Target="settings.xml"/><Relationship Id="rId9" Type="http://schemas.openxmlformats.org/officeDocument/2006/relationships/hyperlink" Target="https://portal.fem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48D2-2AFA-4EFF-83B6-F3E7F299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21</cp:revision>
  <dcterms:created xsi:type="dcterms:W3CDTF">2016-09-26T21:57:00Z</dcterms:created>
  <dcterms:modified xsi:type="dcterms:W3CDTF">2017-01-26T17:08:00Z</dcterms:modified>
</cp:coreProperties>
</file>