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B56" w:rsidRDefault="00EE1B56" w:rsidP="00C368FA">
      <w:pPr>
        <w:spacing w:line="240" w:lineRule="auto"/>
        <w:ind w:left="360" w:right="252"/>
        <w:rPr>
          <w:rFonts w:ascii="Arial" w:hAnsi="Arial" w:cs="Arial"/>
          <w:b/>
          <w:sz w:val="52"/>
          <w:szCs w:val="52"/>
        </w:rPr>
      </w:pPr>
    </w:p>
    <w:p w:rsidR="008126EA" w:rsidRPr="000C6D70" w:rsidRDefault="00331594" w:rsidP="00C368FA">
      <w:pPr>
        <w:spacing w:line="240" w:lineRule="auto"/>
        <w:ind w:left="360" w:right="252"/>
        <w:rPr>
          <w:rFonts w:ascii="Arial" w:hAnsi="Arial" w:cs="Arial"/>
          <w:b/>
          <w:sz w:val="52"/>
          <w:szCs w:val="52"/>
        </w:rPr>
      </w:pPr>
      <w:r>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8126EA" w:rsidRDefault="008126EA" w:rsidP="00113752">
      <w:pPr>
        <w:spacing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C05CED">
        <w:rPr>
          <w:rFonts w:ascii="Arial" w:hAnsi="Arial" w:cs="Arial"/>
          <w:sz w:val="40"/>
          <w:szCs w:val="40"/>
        </w:rPr>
        <w:t>esponse Survey System (FRSS</w:t>
      </w:r>
      <w:r w:rsidR="007F6454">
        <w:rPr>
          <w:rFonts w:ascii="Arial" w:hAnsi="Arial" w:cs="Arial"/>
          <w:sz w:val="40"/>
          <w:szCs w:val="40"/>
        </w:rPr>
        <w:t>) 107</w:t>
      </w:r>
      <w:r w:rsidRPr="000767BE">
        <w:rPr>
          <w:rFonts w:ascii="Arial" w:hAnsi="Arial" w:cs="Arial"/>
          <w:sz w:val="40"/>
          <w:szCs w:val="40"/>
        </w:rPr>
        <w:t>:</w:t>
      </w:r>
      <w:r w:rsidR="00113752">
        <w:rPr>
          <w:rFonts w:ascii="Arial" w:hAnsi="Arial" w:cs="Arial"/>
          <w:sz w:val="40"/>
          <w:szCs w:val="40"/>
        </w:rPr>
        <w:t xml:space="preserve"> </w:t>
      </w:r>
      <w:r w:rsidR="008B5AA0">
        <w:rPr>
          <w:rFonts w:ascii="Arial" w:hAnsi="Arial" w:cs="Arial"/>
          <w:sz w:val="40"/>
          <w:szCs w:val="40"/>
        </w:rPr>
        <w:t xml:space="preserve">Programs and Services for </w:t>
      </w:r>
      <w:r w:rsidR="007F6454">
        <w:rPr>
          <w:rFonts w:ascii="Arial" w:hAnsi="Arial" w:cs="Arial"/>
          <w:sz w:val="40"/>
          <w:szCs w:val="40"/>
        </w:rPr>
        <w:t xml:space="preserve">High </w:t>
      </w:r>
      <w:r w:rsidR="00B90AFA">
        <w:rPr>
          <w:rFonts w:ascii="Arial" w:hAnsi="Arial" w:cs="Arial"/>
          <w:sz w:val="40"/>
          <w:szCs w:val="40"/>
        </w:rPr>
        <w:t xml:space="preserve">School </w:t>
      </w:r>
      <w:r w:rsidR="007F6454">
        <w:rPr>
          <w:rFonts w:ascii="Arial" w:hAnsi="Arial" w:cs="Arial"/>
          <w:sz w:val="40"/>
          <w:szCs w:val="40"/>
        </w:rPr>
        <w:t>English Learner</w:t>
      </w:r>
      <w:r w:rsidR="008B5AA0">
        <w:rPr>
          <w:rFonts w:ascii="Arial" w:hAnsi="Arial" w:cs="Arial"/>
          <w:sz w:val="40"/>
          <w:szCs w:val="40"/>
        </w:rPr>
        <w:t>s</w:t>
      </w:r>
      <w:r w:rsidR="00113752">
        <w:rPr>
          <w:rFonts w:ascii="Arial" w:hAnsi="Arial" w:cs="Arial"/>
          <w:sz w:val="40"/>
          <w:szCs w:val="40"/>
        </w:rPr>
        <w:t xml:space="preserve"> 2015</w:t>
      </w:r>
    </w:p>
    <w:p w:rsidR="008126EA" w:rsidRPr="000C6D70" w:rsidRDefault="008126EA" w:rsidP="00C368FA">
      <w:pPr>
        <w:spacing w:line="240" w:lineRule="auto"/>
        <w:ind w:left="360" w:right="252"/>
        <w:rPr>
          <w:rFonts w:ascii="Arial" w:hAnsi="Arial" w:cs="Arial"/>
          <w:sz w:val="40"/>
          <w:szCs w:val="40"/>
        </w:rPr>
      </w:pPr>
    </w:p>
    <w:p w:rsidR="00C05CED" w:rsidRPr="00C05CED" w:rsidRDefault="00C05CED" w:rsidP="00C05CED">
      <w:pPr>
        <w:spacing w:line="240" w:lineRule="auto"/>
        <w:ind w:left="360" w:right="252"/>
        <w:rPr>
          <w:rFonts w:ascii="Arial" w:hAnsi="Arial" w:cs="Arial"/>
          <w:sz w:val="32"/>
          <w:szCs w:val="32"/>
        </w:rPr>
      </w:pPr>
      <w:r w:rsidRPr="00B90AFA">
        <w:rPr>
          <w:rFonts w:ascii="Arial" w:hAnsi="Arial" w:cs="Arial"/>
          <w:sz w:val="32"/>
          <w:szCs w:val="32"/>
        </w:rPr>
        <w:t>OMB# 1850-</w:t>
      </w:r>
      <w:r w:rsidRPr="000767BE">
        <w:rPr>
          <w:rFonts w:ascii="Arial" w:hAnsi="Arial" w:cs="Arial"/>
          <w:sz w:val="32"/>
          <w:szCs w:val="32"/>
        </w:rPr>
        <w:t>0</w:t>
      </w:r>
      <w:r w:rsidR="00B90AFA" w:rsidRPr="000767BE">
        <w:rPr>
          <w:rFonts w:ascii="Arial" w:hAnsi="Arial" w:cs="Arial"/>
          <w:sz w:val="32"/>
          <w:szCs w:val="32"/>
        </w:rPr>
        <w:t>73</w:t>
      </w:r>
      <w:r w:rsidR="000767BE">
        <w:rPr>
          <w:rFonts w:ascii="Arial" w:hAnsi="Arial" w:cs="Arial"/>
          <w:sz w:val="32"/>
          <w:szCs w:val="32"/>
        </w:rPr>
        <w:t>3 v.</w:t>
      </w:r>
      <w:r w:rsidR="002A5AE8">
        <w:rPr>
          <w:rFonts w:ascii="Arial" w:hAnsi="Arial" w:cs="Arial"/>
          <w:sz w:val="32"/>
          <w:szCs w:val="32"/>
        </w:rPr>
        <w:t>31</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EE1B56" w:rsidRDefault="00EE1B56"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2A5AE8" w:rsidP="00566755">
      <w:pPr>
        <w:spacing w:after="0" w:line="240" w:lineRule="auto"/>
        <w:ind w:left="360" w:right="259"/>
        <w:rPr>
          <w:rFonts w:ascii="Arial" w:hAnsi="Arial" w:cs="Arial"/>
          <w:sz w:val="32"/>
          <w:szCs w:val="32"/>
        </w:rPr>
      </w:pPr>
      <w:r>
        <w:rPr>
          <w:rFonts w:ascii="Arial" w:hAnsi="Arial" w:cs="Arial"/>
          <w:sz w:val="32"/>
          <w:szCs w:val="32"/>
        </w:rPr>
        <w:t xml:space="preserve">June </w:t>
      </w:r>
      <w:r w:rsidR="00B11A2C">
        <w:rPr>
          <w:rFonts w:ascii="Arial" w:hAnsi="Arial" w:cs="Arial"/>
          <w:sz w:val="32"/>
          <w:szCs w:val="32"/>
        </w:rPr>
        <w:t>30</w:t>
      </w:r>
      <w:r>
        <w:rPr>
          <w:rFonts w:ascii="Arial" w:hAnsi="Arial" w:cs="Arial"/>
          <w:sz w:val="32"/>
          <w:szCs w:val="32"/>
        </w:rPr>
        <w:t>, 2015</w:t>
      </w:r>
    </w:p>
    <w:p w:rsidR="00D31957" w:rsidRDefault="00D31957" w:rsidP="00566755">
      <w:pPr>
        <w:spacing w:after="0" w:line="240" w:lineRule="auto"/>
        <w:ind w:left="360" w:right="259"/>
        <w:rPr>
          <w:rFonts w:ascii="Arial" w:hAnsi="Arial" w:cs="Arial"/>
          <w:sz w:val="32"/>
          <w:szCs w:val="32"/>
        </w:rPr>
      </w:pPr>
      <w:r>
        <w:rPr>
          <w:rFonts w:ascii="Arial" w:hAnsi="Arial" w:cs="Arial"/>
          <w:sz w:val="32"/>
          <w:szCs w:val="32"/>
        </w:rPr>
        <w:t>Revised July 14, 2015</w:t>
      </w:r>
    </w:p>
    <w:p w:rsidR="008126EA"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126EA" w:rsidRPr="000C6D70" w:rsidRDefault="008126EA" w:rsidP="00566755">
      <w:pPr>
        <w:spacing w:after="0"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B84D2B" w:rsidRDefault="00B84D2B" w:rsidP="00566755">
      <w:pPr>
        <w:spacing w:line="240" w:lineRule="auto"/>
        <w:ind w:right="252"/>
        <w:rPr>
          <w:rFonts w:ascii="Arial" w:hAnsi="Arial" w:cs="Arial"/>
          <w:sz w:val="32"/>
          <w:szCs w:val="32"/>
        </w:rPr>
        <w:sectPr w:rsidR="00B84D2B" w:rsidSect="00201F41">
          <w:footerReference w:type="default" r:id="rId8"/>
          <w:pgSz w:w="12240" w:h="15840" w:code="1"/>
          <w:pgMar w:top="1008" w:right="720" w:bottom="432" w:left="720" w:header="720" w:footer="720" w:gutter="0"/>
          <w:cols w:space="720"/>
          <w:titlePg/>
          <w:docGrid w:linePitch="360"/>
        </w:sectPr>
      </w:pPr>
    </w:p>
    <w:p w:rsidR="008126EA" w:rsidRPr="0079689D" w:rsidRDefault="008126EA" w:rsidP="00753FB8">
      <w:pPr>
        <w:spacing w:after="120" w:line="23" w:lineRule="atLeast"/>
        <w:ind w:right="259"/>
        <w:rPr>
          <w:rFonts w:ascii="Times New Roman" w:hAnsi="Times New Roman"/>
          <w:b/>
          <w:sz w:val="28"/>
        </w:rPr>
      </w:pPr>
      <w:r w:rsidRPr="0079689D">
        <w:rPr>
          <w:rFonts w:ascii="Times New Roman" w:hAnsi="Times New Roman"/>
          <w:b/>
          <w:sz w:val="28"/>
        </w:rPr>
        <w:lastRenderedPageBreak/>
        <w:t>Justification</w:t>
      </w:r>
    </w:p>
    <w:p w:rsidR="00E8356E" w:rsidRDefault="005C60AB" w:rsidP="00753FB8">
      <w:pPr>
        <w:pStyle w:val="SL-FlLftSgl"/>
        <w:spacing w:after="120" w:line="23" w:lineRule="atLeast"/>
        <w:ind w:firstLine="576"/>
      </w:pPr>
      <w:r w:rsidRPr="0079689D">
        <w:t xml:space="preserve">The National Center for Education Statistics (NCES), </w:t>
      </w:r>
      <w:r w:rsidR="000F208C">
        <w:t xml:space="preserve">within the </w:t>
      </w:r>
      <w:r w:rsidRPr="0079689D">
        <w:t xml:space="preserve">U.S. Department of Education (ED), requests OMB approval under the NCES system clearance for </w:t>
      </w:r>
      <w:r w:rsidR="009F3886">
        <w:t xml:space="preserve">the Quick Response Information System (QRIS) </w:t>
      </w:r>
      <w:r w:rsidR="00AF66CF">
        <w:t>(OMB</w:t>
      </w:r>
      <w:r w:rsidRPr="00955733">
        <w:t>#</w:t>
      </w:r>
      <w:r w:rsidR="00AF66CF">
        <w:t xml:space="preserve"> </w:t>
      </w:r>
      <w:r w:rsidRPr="00955733">
        <w:t>1850-0</w:t>
      </w:r>
      <w:r w:rsidR="009F3886">
        <w:t>73</w:t>
      </w:r>
      <w:r w:rsidRPr="00955733">
        <w:t>3)</w:t>
      </w:r>
      <w:r w:rsidRPr="0079689D">
        <w:t xml:space="preserve"> </w:t>
      </w:r>
      <w:r>
        <w:t>to conduct</w:t>
      </w:r>
      <w:r w:rsidR="009F3886">
        <w:t xml:space="preserve"> data collection</w:t>
      </w:r>
      <w:r>
        <w:t xml:space="preserve"> for </w:t>
      </w:r>
      <w:r w:rsidR="009F3886">
        <w:t>the</w:t>
      </w:r>
      <w:r>
        <w:t xml:space="preserve"> </w:t>
      </w:r>
      <w:r w:rsidR="00955733">
        <w:t>Fast Response Survey System (FRSS)</w:t>
      </w:r>
      <w:r w:rsidR="004654C9">
        <w:t xml:space="preserve"> </w:t>
      </w:r>
      <w:r>
        <w:t xml:space="preserve">survey </w:t>
      </w:r>
      <w:r w:rsidR="00E4409E">
        <w:t>#10</w:t>
      </w:r>
      <w:r w:rsidR="00686C5D">
        <w:t>7</w:t>
      </w:r>
      <w:r w:rsidR="00E4409E">
        <w:t xml:space="preserve"> </w:t>
      </w:r>
      <w:r>
        <w:t>on</w:t>
      </w:r>
      <w:r w:rsidR="000D456A">
        <w:t xml:space="preserve"> programs and services for</w:t>
      </w:r>
      <w:r w:rsidR="00686C5D">
        <w:t xml:space="preserve"> high school English learner</w:t>
      </w:r>
      <w:r w:rsidR="000D456A">
        <w:t>s</w:t>
      </w:r>
      <w:r w:rsidR="000D1AF1">
        <w:t xml:space="preserve"> (ELs)</w:t>
      </w:r>
      <w:r>
        <w:t>.</w:t>
      </w:r>
      <w:r w:rsidR="00D573A1">
        <w:t xml:space="preserve"> </w:t>
      </w:r>
      <w:r w:rsidR="00B61A82" w:rsidRPr="00B61A82">
        <w:t>The survey will provide national</w:t>
      </w:r>
      <w:r w:rsidR="00B61A82">
        <w:t>ly representative</w:t>
      </w:r>
      <w:r w:rsidR="00B61A82" w:rsidRPr="00B61A82">
        <w:t xml:space="preserve"> data</w:t>
      </w:r>
      <w:r w:rsidR="00E8356E">
        <w:t xml:space="preserve">, with a </w:t>
      </w:r>
      <w:r w:rsidR="00E8356E" w:rsidRPr="00B61A82">
        <w:rPr>
          <w:i/>
        </w:rPr>
        <w:t>First Look</w:t>
      </w:r>
      <w:r w:rsidR="00E8356E">
        <w:t xml:space="preserve"> report on the results to be released in </w:t>
      </w:r>
      <w:r w:rsidR="00B61A82">
        <w:t xml:space="preserve">the </w:t>
      </w:r>
      <w:r w:rsidR="00686C5D">
        <w:t xml:space="preserve">fall </w:t>
      </w:r>
      <w:r w:rsidR="00B61A82">
        <w:t xml:space="preserve">of </w:t>
      </w:r>
      <w:r w:rsidR="00E8356E">
        <w:t>201</w:t>
      </w:r>
      <w:r w:rsidR="00686C5D">
        <w:t>6</w:t>
      </w:r>
      <w:r w:rsidR="00E8356E">
        <w:t>.</w:t>
      </w:r>
      <w:r w:rsidR="00D573A1">
        <w:t xml:space="preserve"> </w:t>
      </w:r>
      <w:r w:rsidR="00686C5D">
        <w:t>The Office of English Language Acquisition (OELA) in the U.S. Department of Education requested that NCES conduct this FRSS survey.</w:t>
      </w:r>
    </w:p>
    <w:p w:rsidR="00C94FAE" w:rsidRDefault="00BF34D8" w:rsidP="00BF34D8">
      <w:pPr>
        <w:pStyle w:val="SL-FlLftSgl"/>
        <w:spacing w:after="120" w:line="23" w:lineRule="atLeast"/>
        <w:ind w:firstLine="576"/>
      </w:pPr>
      <w:r w:rsidRPr="00BF34D8">
        <w:t>According to the Center for Applied Linguistics, English Learners (ELs) are the fastest growing segment of the K-12 student population and they often struggle to be successful in school. A 2005 report by the Center for Adult English Language Acquisition notes that as high school exit criteria increase in rigor, many ELs are often unable to graduate on time and are turning to adult education programs to earn high school diplomas, acquire job skills, and improve their English language proficiency. However, little is known about the ways in which public school districts serve older adolescent and young adult ELs. The purpose of this FRSS survey is to collect the first nationally representative data from school districts on programs and services designed to serve high school ELs. Topics include instructional programs/approaches provided for high school ELs, the presence and characteristics of newcomer programs, use of online or computer-based programs to address the needs of English learners, participation of high school ELs in various district programs and services (e.g., summer school, tutoring, career and technical training), presence of programs or services designed specifically for ELs in high school, materials and services that the district has available in native languages for high school ELs and their parents/guardians, use of native language for content instruction and for instructional support, information about types of educational programs or services that the district provides to ELs ages 18 to 21 seeking to newly enroll in the district, and the extent to which the district considers various factors (e.g., English proficiency level, literacy in native language) when providing information about educational programs or services available to ELs ages 18 to 21 who are seeking to newly enroll in the district</w:t>
      </w:r>
      <w:r w:rsidR="00C94FAE" w:rsidRPr="000B25FA">
        <w:t>.</w:t>
      </w:r>
    </w:p>
    <w:p w:rsidR="008126EA" w:rsidRPr="0079689D" w:rsidRDefault="00703162" w:rsidP="00753FB8">
      <w:pPr>
        <w:pStyle w:val="SL-FlLftSgl"/>
        <w:spacing w:after="120" w:line="23" w:lineRule="atLeast"/>
        <w:ind w:firstLine="576"/>
      </w:pPr>
      <w:r>
        <w:t xml:space="preserve">NCES </w:t>
      </w:r>
      <w:r w:rsidR="004017A8">
        <w:t xml:space="preserve">is </w:t>
      </w:r>
      <w:r w:rsidR="00C17075" w:rsidRPr="0079689D">
        <w:t xml:space="preserve">authorized </w:t>
      </w:r>
      <w:r>
        <w:t>to conduct the FRSS survey by</w:t>
      </w:r>
      <w:r w:rsidR="00C17075" w:rsidRPr="0079689D">
        <w:t xml:space="preserve"> the Education Science Reform Act of 2002</w:t>
      </w:r>
      <w:r w:rsidR="004017A8">
        <w:t xml:space="preserve"> (ESRA 2002, 20 U.S.C. </w:t>
      </w:r>
      <w:r w:rsidR="000F208C" w:rsidRPr="000F208C">
        <w:t xml:space="preserve">§ </w:t>
      </w:r>
      <w:r w:rsidR="004017A8">
        <w:t>95</w:t>
      </w:r>
      <w:r w:rsidR="000F208C">
        <w:t>4</w:t>
      </w:r>
      <w:r>
        <w:t>3)</w:t>
      </w:r>
      <w:r w:rsidR="00C17075" w:rsidRPr="0079689D">
        <w:t>.</w:t>
      </w:r>
      <w:r w:rsidR="00D573A1">
        <w:rPr>
          <w:bCs/>
        </w:rPr>
        <w:t xml:space="preserve"> </w:t>
      </w:r>
      <w:r w:rsidR="0032206B" w:rsidRPr="0079689D">
        <w:rPr>
          <w:szCs w:val="22"/>
        </w:rPr>
        <w:t>NCES has contract</w:t>
      </w:r>
      <w:r w:rsidR="0032206B">
        <w:rPr>
          <w:szCs w:val="22"/>
        </w:rPr>
        <w:t xml:space="preserve">ed Westat </w:t>
      </w:r>
      <w:r w:rsidR="000F208C">
        <w:rPr>
          <w:szCs w:val="22"/>
        </w:rPr>
        <w:t xml:space="preserve">to collect data </w:t>
      </w:r>
      <w:r w:rsidR="0032206B">
        <w:rPr>
          <w:szCs w:val="22"/>
        </w:rPr>
        <w:t xml:space="preserve">for </w:t>
      </w:r>
      <w:r w:rsidR="00F06ED5" w:rsidRPr="00F06ED5">
        <w:rPr>
          <w:szCs w:val="22"/>
        </w:rPr>
        <w:t xml:space="preserve">all stages of </w:t>
      </w:r>
      <w:r w:rsidR="0032206B">
        <w:rPr>
          <w:szCs w:val="22"/>
        </w:rPr>
        <w:t>this survey.</w:t>
      </w:r>
    </w:p>
    <w:p w:rsidR="008126EA" w:rsidRPr="0079689D" w:rsidRDefault="008126EA" w:rsidP="00753FB8">
      <w:pPr>
        <w:spacing w:after="120" w:line="23" w:lineRule="atLeast"/>
        <w:rPr>
          <w:rFonts w:ascii="Times New Roman" w:hAnsi="Times New Roman"/>
          <w:b/>
          <w:sz w:val="28"/>
        </w:rPr>
      </w:pPr>
      <w:r w:rsidRPr="0079689D">
        <w:rPr>
          <w:rFonts w:ascii="Times New Roman" w:hAnsi="Times New Roman"/>
          <w:b/>
          <w:sz w:val="28"/>
        </w:rPr>
        <w:t>Design</w:t>
      </w:r>
    </w:p>
    <w:p w:rsidR="00784ECC" w:rsidRDefault="008126EA" w:rsidP="00753FB8">
      <w:pPr>
        <w:pStyle w:val="SL-FlLftSgl"/>
        <w:spacing w:after="120" w:line="23" w:lineRule="atLeast"/>
        <w:rPr>
          <w:b/>
          <w:bCs/>
          <w:szCs w:val="22"/>
        </w:rPr>
      </w:pPr>
      <w:r w:rsidRPr="00054843">
        <w:rPr>
          <w:b/>
          <w:bCs/>
          <w:szCs w:val="22"/>
        </w:rPr>
        <w:t>Overview of Survey Development</w:t>
      </w:r>
    </w:p>
    <w:p w:rsidR="00784ECC" w:rsidRDefault="00A1117D" w:rsidP="00753FB8">
      <w:pPr>
        <w:pStyle w:val="SL-FlLftSgl"/>
        <w:spacing w:after="120" w:line="23" w:lineRule="atLeast"/>
        <w:ind w:firstLine="576"/>
        <w:rPr>
          <w:szCs w:val="22"/>
        </w:rPr>
      </w:pPr>
      <w:r>
        <w:rPr>
          <w:szCs w:val="22"/>
        </w:rPr>
        <w:t>FRSS</w:t>
      </w:r>
      <w:r w:rsidRPr="00D361B1">
        <w:rPr>
          <w:szCs w:val="22"/>
        </w:rPr>
        <w:t xml:space="preserve"> has established procedures for developing short surveys on a wide variety of topics. The techniques use</w:t>
      </w:r>
      <w:r w:rsidR="0000121D">
        <w:rPr>
          <w:szCs w:val="22"/>
        </w:rPr>
        <w:t>d</w:t>
      </w:r>
      <w:r w:rsidRPr="00D361B1">
        <w:rPr>
          <w:szCs w:val="22"/>
        </w:rPr>
        <w:t xml:space="preserve"> to shape the survey design </w:t>
      </w:r>
      <w:r w:rsidR="000F208C">
        <w:rPr>
          <w:szCs w:val="22"/>
        </w:rPr>
        <w:t>for</w:t>
      </w:r>
      <w:r w:rsidRPr="00D361B1">
        <w:rPr>
          <w:szCs w:val="22"/>
        </w:rPr>
        <w:t xml:space="preserve"> </w:t>
      </w:r>
      <w:r>
        <w:rPr>
          <w:szCs w:val="22"/>
        </w:rPr>
        <w:t xml:space="preserve">FRSS 107 </w:t>
      </w:r>
      <w:r w:rsidRPr="00D361B1">
        <w:rPr>
          <w:szCs w:val="22"/>
        </w:rPr>
        <w:t>include</w:t>
      </w:r>
      <w:r w:rsidR="0000121D">
        <w:rPr>
          <w:szCs w:val="22"/>
        </w:rPr>
        <w:t>d</w:t>
      </w:r>
      <w:r w:rsidRPr="00D361B1">
        <w:rPr>
          <w:szCs w:val="22"/>
        </w:rPr>
        <w:t xml:space="preserve"> literature reviews on</w:t>
      </w:r>
      <w:r>
        <w:rPr>
          <w:szCs w:val="22"/>
        </w:rPr>
        <w:t xml:space="preserve"> EL programs</w:t>
      </w:r>
      <w:r w:rsidRPr="00D361B1">
        <w:rPr>
          <w:szCs w:val="22"/>
        </w:rPr>
        <w:t>,</w:t>
      </w:r>
      <w:r>
        <w:rPr>
          <w:szCs w:val="22"/>
        </w:rPr>
        <w:t xml:space="preserve"> input from </w:t>
      </w:r>
      <w:r w:rsidR="003A49DF">
        <w:rPr>
          <w:szCs w:val="22"/>
        </w:rPr>
        <w:t xml:space="preserve">and review by </w:t>
      </w:r>
      <w:r>
        <w:rPr>
          <w:szCs w:val="22"/>
        </w:rPr>
        <w:t xml:space="preserve">the </w:t>
      </w:r>
      <w:r w:rsidRPr="0079689D">
        <w:rPr>
          <w:szCs w:val="22"/>
        </w:rPr>
        <w:t>NCES Quality Review Board (QRB)</w:t>
      </w:r>
      <w:r>
        <w:rPr>
          <w:szCs w:val="22"/>
        </w:rPr>
        <w:t>,</w:t>
      </w:r>
      <w:r w:rsidRPr="00D361B1">
        <w:rPr>
          <w:szCs w:val="22"/>
        </w:rPr>
        <w:t xml:space="preserve"> </w:t>
      </w:r>
      <w:r w:rsidR="0000121D">
        <w:rPr>
          <w:szCs w:val="22"/>
        </w:rPr>
        <w:t xml:space="preserve">three </w:t>
      </w:r>
      <w:r w:rsidRPr="00D361B1">
        <w:rPr>
          <w:szCs w:val="22"/>
        </w:rPr>
        <w:t xml:space="preserve">rounds of feasibility calls, and </w:t>
      </w:r>
      <w:r w:rsidR="0000121D">
        <w:rPr>
          <w:szCs w:val="22"/>
        </w:rPr>
        <w:t>a pretest</w:t>
      </w:r>
      <w:r w:rsidRPr="00D361B1">
        <w:rPr>
          <w:szCs w:val="22"/>
        </w:rPr>
        <w:t>.</w:t>
      </w:r>
    </w:p>
    <w:p w:rsidR="00A1117D" w:rsidRDefault="00BF34D8" w:rsidP="00753FB8">
      <w:pPr>
        <w:pStyle w:val="SL-FlLftSgl"/>
        <w:spacing w:after="120" w:line="23" w:lineRule="atLeast"/>
        <w:ind w:firstLine="576"/>
        <w:rPr>
          <w:szCs w:val="22"/>
        </w:rPr>
      </w:pPr>
      <w:r w:rsidRPr="00BF34D8">
        <w:rPr>
          <w:szCs w:val="22"/>
        </w:rPr>
        <w:t xml:space="preserve">The current survey reflects lessons learned from topics and issues identified through literature review, with modifications based on three rounds of feasibility calls and a pretest with public school district personnel most knowledgeable about high school EL programs. The first round of feasibility calls was conducted with 12 </w:t>
      </w:r>
      <w:r>
        <w:rPr>
          <w:szCs w:val="22"/>
        </w:rPr>
        <w:t>districts</w:t>
      </w:r>
      <w:r w:rsidRPr="00BF34D8">
        <w:rPr>
          <w:szCs w:val="22"/>
        </w:rPr>
        <w:t xml:space="preserve"> in August and Se</w:t>
      </w:r>
      <w:r>
        <w:rPr>
          <w:szCs w:val="22"/>
        </w:rPr>
        <w:t>ptember 2014 (OMB# 1850-0803 v.</w:t>
      </w:r>
      <w:r w:rsidRPr="00BF34D8">
        <w:rPr>
          <w:szCs w:val="22"/>
        </w:rPr>
        <w:t xml:space="preserve">109). Because this is a new survey topic, the first round of calls used an open-ended interview guide to learn more about the EL populations ages 14 to 21 that school districts serve, the terminology districts use regarding these populations, and the characteristics of the EL programs and services they provide at the high school level. The second round of feasibility calls was conducted with 13 </w:t>
      </w:r>
      <w:r>
        <w:rPr>
          <w:szCs w:val="22"/>
        </w:rPr>
        <w:t>districts</w:t>
      </w:r>
      <w:r w:rsidRPr="00BF34D8">
        <w:rPr>
          <w:szCs w:val="22"/>
        </w:rPr>
        <w:t xml:space="preserve"> in October and November 2014 and the third round of feasibility calls was conducted with 15 </w:t>
      </w:r>
      <w:r>
        <w:rPr>
          <w:szCs w:val="22"/>
        </w:rPr>
        <w:t>districts</w:t>
      </w:r>
      <w:r w:rsidRPr="00BF34D8">
        <w:rPr>
          <w:szCs w:val="22"/>
        </w:rPr>
        <w:t xml:space="preserve"> in January and February 2015. During the second and third rounds of feasibility calls, respondents were asked to review but not complete draft survey questions, instructions, and definitions based on the initial round of feasibility calls. Respondents then participated in a short telephone interview with Westat to provide feedback on the questionnaire. The resulting draft of the questionnaire was then reviewed by the NCES QRB and revised accordingly to prepare it for the pretest</w:t>
      </w:r>
      <w:r w:rsidR="00112534">
        <w:rPr>
          <w:szCs w:val="22"/>
        </w:rPr>
        <w:t>.</w:t>
      </w:r>
    </w:p>
    <w:p w:rsidR="00784ECC" w:rsidRDefault="00C22E39" w:rsidP="00753FB8">
      <w:pPr>
        <w:pStyle w:val="SL-FlLftSgl"/>
        <w:spacing w:after="120" w:line="23" w:lineRule="atLeast"/>
        <w:ind w:firstLine="576"/>
        <w:jc w:val="left"/>
      </w:pPr>
      <w:r>
        <w:rPr>
          <w:szCs w:val="22"/>
        </w:rPr>
        <w:t xml:space="preserve">Pretest calls with 12 </w:t>
      </w:r>
      <w:r w:rsidR="00157E07">
        <w:rPr>
          <w:szCs w:val="22"/>
        </w:rPr>
        <w:t xml:space="preserve">districts </w:t>
      </w:r>
      <w:r>
        <w:rPr>
          <w:szCs w:val="22"/>
        </w:rPr>
        <w:t>were conducted in May and June 2015 (OMB# 18</w:t>
      </w:r>
      <w:r w:rsidR="00FD2635">
        <w:rPr>
          <w:szCs w:val="22"/>
        </w:rPr>
        <w:t>5</w:t>
      </w:r>
      <w:r>
        <w:rPr>
          <w:szCs w:val="22"/>
        </w:rPr>
        <w:t>0-0803 v.</w:t>
      </w:r>
      <w:r w:rsidR="00895012">
        <w:rPr>
          <w:szCs w:val="22"/>
        </w:rPr>
        <w:t xml:space="preserve">132). </w:t>
      </w:r>
      <w:r w:rsidR="009B2FA0">
        <w:rPr>
          <w:szCs w:val="22"/>
        </w:rPr>
        <w:t xml:space="preserve">For the pretest, respondents were asked to complete the questionnaire and participate in a telephone debriefing with Westat to provide feedback on the questionnaire. </w:t>
      </w:r>
      <w:r w:rsidR="001F18CB">
        <w:t xml:space="preserve">Completed questionnaires were collected by fax prior to the debriefing with each respondent. The purpose of the pretest was to verify that all questions and corresponding instructions were clear and unambiguous, to determine if the information would be readily accessible to respondents, and to determine whether the burden on respondents could be reduced further. Changes to the questionnaires were made </w:t>
      </w:r>
      <w:r w:rsidR="001F18CB">
        <w:lastRenderedPageBreak/>
        <w:t>based on the fee</w:t>
      </w:r>
      <w:r w:rsidR="005458AB">
        <w:t>dback received from the pretest</w:t>
      </w:r>
      <w:r w:rsidR="001F18CB">
        <w:t xml:space="preserve">, and documented in </w:t>
      </w:r>
      <w:r w:rsidR="005458AB">
        <w:t xml:space="preserve">a </w:t>
      </w:r>
      <w:r w:rsidR="001F18CB">
        <w:t>memorandum summarizing the pretest results</w:t>
      </w:r>
      <w:r w:rsidR="00C94FAE">
        <w:t xml:space="preserve"> (Attachment 6)</w:t>
      </w:r>
      <w:r w:rsidR="001F18CB">
        <w:t>.</w:t>
      </w:r>
      <w:r w:rsidR="00784ECC">
        <w:t xml:space="preserve"> </w:t>
      </w:r>
      <w:r w:rsidR="001F18CB">
        <w:t>The revised questionnaire (Attachment 1) is being submitted with this request for OMB clearance.</w:t>
      </w:r>
    </w:p>
    <w:p w:rsidR="002318D8" w:rsidRPr="00054843" w:rsidRDefault="002318D8" w:rsidP="00753FB8">
      <w:pPr>
        <w:pStyle w:val="SL-FlLftSgl"/>
        <w:spacing w:after="120" w:line="23" w:lineRule="atLeast"/>
        <w:rPr>
          <w:b/>
          <w:bCs/>
          <w:szCs w:val="22"/>
        </w:rPr>
      </w:pPr>
      <w:r w:rsidRPr="005760BB">
        <w:rPr>
          <w:b/>
          <w:bCs/>
          <w:szCs w:val="22"/>
        </w:rPr>
        <w:t xml:space="preserve">NCES Review </w:t>
      </w:r>
      <w:r w:rsidR="00843711" w:rsidRPr="005760BB">
        <w:rPr>
          <w:b/>
          <w:bCs/>
          <w:szCs w:val="22"/>
        </w:rPr>
        <w:t>and Consultat</w:t>
      </w:r>
      <w:r w:rsidR="00F85EB0" w:rsidRPr="005760BB">
        <w:rPr>
          <w:b/>
          <w:bCs/>
          <w:szCs w:val="22"/>
        </w:rPr>
        <w:t>ion</w:t>
      </w:r>
      <w:r w:rsidR="00843711" w:rsidRPr="005760BB">
        <w:rPr>
          <w:b/>
          <w:bCs/>
          <w:szCs w:val="22"/>
        </w:rPr>
        <w:t>s Outside of Agency</w:t>
      </w:r>
    </w:p>
    <w:p w:rsidR="00C550BF" w:rsidRDefault="00107E7E" w:rsidP="00753FB8">
      <w:pPr>
        <w:pStyle w:val="SP-SglSpPara"/>
        <w:spacing w:after="120" w:line="23" w:lineRule="atLeast"/>
        <w:rPr>
          <w:bCs/>
        </w:rPr>
      </w:pPr>
      <w:r w:rsidRPr="00896503">
        <w:t>The NCES QRB members reviewed a draft list of questionnaire topics prior to th</w:t>
      </w:r>
      <w:r>
        <w:t>e</w:t>
      </w:r>
      <w:r w:rsidRPr="00896503">
        <w:t xml:space="preserve"> submission</w:t>
      </w:r>
      <w:r>
        <w:t xml:space="preserve"> of the OMB package</w:t>
      </w:r>
      <w:r w:rsidRPr="00896503">
        <w:t xml:space="preserve"> for the feasibility calls. Revisions were made to the list of topics based on input from the reviewers, and the list was used to develop an interview guide for the feasibility calls. </w:t>
      </w:r>
      <w:r>
        <w:rPr>
          <w:bCs/>
        </w:rPr>
        <w:t>During the second round of feasibility calls, a draft questionnaire was developed with input from OELA and OCTAE. During the later rounds of the feasibility calls, revisions were made to the draft questionnaire with input from OELA. Following the last round of feasibility calls, the QRB reviewed the draft questionnaire, and revisions were made based on their input. The revised version was used for the pretest.</w:t>
      </w:r>
    </w:p>
    <w:p w:rsidR="00396E39" w:rsidRPr="00896503" w:rsidRDefault="00396E39" w:rsidP="009A214F">
      <w:pPr>
        <w:spacing w:after="0" w:line="23" w:lineRule="atLeast"/>
        <w:ind w:firstLine="720"/>
        <w:rPr>
          <w:rFonts w:ascii="Times New Roman" w:eastAsia="Times New Roman" w:hAnsi="Times New Roman"/>
          <w:szCs w:val="20"/>
        </w:rPr>
      </w:pPr>
      <w:r w:rsidRPr="00896503">
        <w:rPr>
          <w:rFonts w:ascii="Times New Roman" w:eastAsia="Times New Roman" w:hAnsi="Times New Roman"/>
          <w:szCs w:val="20"/>
        </w:rPr>
        <w:t>In addition to staff from each of the three Divisions at NCES, the QRB also included staff from OELA; the Office of Career, Technical, and Adult Education (OCTAE); and the Office of Postsecondary Education (OPE). The QRB members fo</w:t>
      </w:r>
      <w:r>
        <w:rPr>
          <w:rFonts w:ascii="Times New Roman" w:eastAsia="Times New Roman" w:hAnsi="Times New Roman"/>
          <w:szCs w:val="20"/>
        </w:rPr>
        <w:t>r this survey are listed below:</w:t>
      </w:r>
    </w:p>
    <w:p w:rsidR="00107E7E" w:rsidRDefault="00107E7E" w:rsidP="005943B7">
      <w:pPr>
        <w:pStyle w:val="SP-SglSpPara"/>
        <w:rPr>
          <w:szCs w:val="22"/>
        </w:rPr>
      </w:pPr>
    </w:p>
    <w:p w:rsidR="00AC4DEA" w:rsidRDefault="00AC4DEA" w:rsidP="00AC4DEA">
      <w:pPr>
        <w:spacing w:after="0" w:line="240" w:lineRule="auto"/>
        <w:ind w:left="720"/>
        <w:sectPr w:rsidR="00AC4DEA" w:rsidSect="000C441B">
          <w:headerReference w:type="default" r:id="rId9"/>
          <w:footerReference w:type="default" r:id="rId10"/>
          <w:pgSz w:w="12240" w:h="15840" w:code="1"/>
          <w:pgMar w:top="1008" w:right="1008" w:bottom="1008" w:left="1008" w:header="432" w:footer="432" w:gutter="0"/>
          <w:cols w:space="720"/>
          <w:docGrid w:linePitch="299"/>
        </w:sectPr>
      </w:pPr>
    </w:p>
    <w:p w:rsidR="008B26FA" w:rsidRPr="00917D72" w:rsidRDefault="008B26FA" w:rsidP="00AC4DEA">
      <w:pPr>
        <w:spacing w:after="0" w:line="240" w:lineRule="auto"/>
        <w:ind w:left="720"/>
      </w:pPr>
      <w:r w:rsidRPr="00917D72">
        <w:lastRenderedPageBreak/>
        <w:t>Melissa Escalante, OELA</w:t>
      </w:r>
    </w:p>
    <w:p w:rsidR="008B26FA" w:rsidRPr="00896503" w:rsidRDefault="008B26FA" w:rsidP="00AC4DEA">
      <w:pPr>
        <w:spacing w:after="0" w:line="240" w:lineRule="auto"/>
        <w:ind w:left="720"/>
      </w:pPr>
      <w:r w:rsidRPr="00896503">
        <w:t>Carlos Martinez, OELA</w:t>
      </w:r>
    </w:p>
    <w:p w:rsidR="008B26FA" w:rsidRDefault="008B26FA" w:rsidP="00AC4DEA">
      <w:pPr>
        <w:spacing w:after="0" w:line="240" w:lineRule="auto"/>
        <w:ind w:left="720"/>
      </w:pPr>
      <w:r w:rsidRPr="00896503">
        <w:t>Debra Suarez, OCTAE</w:t>
      </w:r>
    </w:p>
    <w:p w:rsidR="008B26FA" w:rsidRPr="00896503" w:rsidRDefault="008B26FA" w:rsidP="00AC4DEA">
      <w:pPr>
        <w:spacing w:after="0" w:line="240" w:lineRule="auto"/>
        <w:ind w:left="720"/>
      </w:pPr>
      <w:r>
        <w:t>Ricardo Hernandez, OCTAE</w:t>
      </w:r>
    </w:p>
    <w:p w:rsidR="008B26FA" w:rsidRPr="00896503" w:rsidRDefault="008B26FA" w:rsidP="00AC4DEA">
      <w:pPr>
        <w:spacing w:after="0" w:line="240" w:lineRule="auto"/>
        <w:ind w:left="720"/>
      </w:pPr>
      <w:r w:rsidRPr="00896503">
        <w:t>Lenore Garcia, OPE</w:t>
      </w:r>
    </w:p>
    <w:p w:rsidR="008B26FA" w:rsidRDefault="008B26FA" w:rsidP="00AC4DEA">
      <w:pPr>
        <w:spacing w:after="0" w:line="240" w:lineRule="auto"/>
        <w:ind w:left="720"/>
      </w:pPr>
      <w:r w:rsidRPr="00896503">
        <w:t>Chris Chapman, NCES</w:t>
      </w:r>
    </w:p>
    <w:p w:rsidR="008B26FA" w:rsidRPr="00896503" w:rsidRDefault="008B26FA" w:rsidP="00AC4DEA">
      <w:pPr>
        <w:spacing w:after="0" w:line="240" w:lineRule="auto"/>
        <w:ind w:left="720"/>
      </w:pPr>
      <w:r w:rsidRPr="00896503">
        <w:lastRenderedPageBreak/>
        <w:t>Eugene Owen, NCES (PIAAC)</w:t>
      </w:r>
    </w:p>
    <w:p w:rsidR="008B26FA" w:rsidRDefault="008B26FA" w:rsidP="00AC4DEA">
      <w:pPr>
        <w:spacing w:after="0" w:line="240" w:lineRule="auto"/>
        <w:ind w:left="720"/>
      </w:pPr>
      <w:r w:rsidRPr="00896503">
        <w:t>Arnold Goldstein, NCES (NAEP)</w:t>
      </w:r>
    </w:p>
    <w:p w:rsidR="008B26FA" w:rsidRPr="00896503" w:rsidRDefault="008B26FA" w:rsidP="00AC4DEA">
      <w:pPr>
        <w:spacing w:after="0" w:line="240" w:lineRule="auto"/>
        <w:ind w:left="720"/>
      </w:pPr>
      <w:r>
        <w:t>Grady Wilburn, NCES (NAEP)</w:t>
      </w:r>
    </w:p>
    <w:p w:rsidR="008B26FA" w:rsidRPr="00896503" w:rsidRDefault="008B26FA" w:rsidP="00AC4DEA">
      <w:pPr>
        <w:spacing w:after="0" w:line="240" w:lineRule="auto"/>
        <w:ind w:left="720"/>
      </w:pPr>
      <w:r w:rsidRPr="00896503">
        <w:t>Richard Reeves, NCES (IP</w:t>
      </w:r>
      <w:r>
        <w:t>E</w:t>
      </w:r>
      <w:r w:rsidRPr="00896503">
        <w:t>DS)</w:t>
      </w:r>
    </w:p>
    <w:p w:rsidR="008B26FA" w:rsidRPr="00896503" w:rsidRDefault="008B26FA" w:rsidP="00AC4DEA">
      <w:pPr>
        <w:spacing w:after="0" w:line="240" w:lineRule="auto"/>
        <w:ind w:left="720"/>
      </w:pPr>
      <w:r w:rsidRPr="00896503">
        <w:t>Sharon Boivin, NCES (ATES)</w:t>
      </w:r>
    </w:p>
    <w:p w:rsidR="008B26FA" w:rsidRPr="00896503" w:rsidRDefault="008B26FA" w:rsidP="00AC4DEA">
      <w:pPr>
        <w:spacing w:after="0" w:line="240" w:lineRule="auto"/>
        <w:ind w:left="720"/>
      </w:pPr>
      <w:r w:rsidRPr="00896503">
        <w:t>Kashka Kubzdela, NCES</w:t>
      </w:r>
    </w:p>
    <w:p w:rsidR="00AC4DEA" w:rsidRDefault="00AC4DEA" w:rsidP="005943B7">
      <w:pPr>
        <w:pStyle w:val="SP-SglSpPara"/>
        <w:rPr>
          <w:szCs w:val="22"/>
        </w:rPr>
        <w:sectPr w:rsidR="00AC4DEA" w:rsidSect="00AC4DEA">
          <w:type w:val="continuous"/>
          <w:pgSz w:w="12240" w:h="15840" w:code="1"/>
          <w:pgMar w:top="1008" w:right="1008" w:bottom="1008" w:left="1008" w:header="432" w:footer="432" w:gutter="0"/>
          <w:cols w:num="2" w:space="720"/>
          <w:docGrid w:linePitch="299"/>
        </w:sectPr>
      </w:pPr>
    </w:p>
    <w:p w:rsidR="005760BB" w:rsidRPr="00054843" w:rsidRDefault="005760BB" w:rsidP="005943B7">
      <w:pPr>
        <w:pStyle w:val="SP-SglSpPara"/>
        <w:rPr>
          <w:szCs w:val="22"/>
        </w:rPr>
      </w:pPr>
    </w:p>
    <w:p w:rsidR="003D6AA6" w:rsidRPr="00054843" w:rsidRDefault="003D6AA6" w:rsidP="00753FB8">
      <w:pPr>
        <w:spacing w:after="120" w:line="23" w:lineRule="atLeast"/>
        <w:rPr>
          <w:rFonts w:ascii="Times New Roman" w:hAnsi="Times New Roman"/>
          <w:b/>
          <w:bCs/>
        </w:rPr>
      </w:pPr>
      <w:r w:rsidRPr="00054843">
        <w:rPr>
          <w:rFonts w:ascii="Times New Roman" w:hAnsi="Times New Roman"/>
          <w:b/>
          <w:bCs/>
        </w:rPr>
        <w:t>Assurance of Confidentiality</w:t>
      </w:r>
    </w:p>
    <w:p w:rsidR="00495928" w:rsidRPr="00054843" w:rsidRDefault="00495928" w:rsidP="00753FB8">
      <w:pPr>
        <w:pStyle w:val="SP-SglSpPara"/>
        <w:spacing w:after="120" w:line="23" w:lineRule="atLeast"/>
        <w:jc w:val="left"/>
        <w:rPr>
          <w:szCs w:val="22"/>
        </w:rPr>
      </w:pPr>
      <w:r w:rsidRPr="00054843">
        <w:rPr>
          <w:szCs w:val="22"/>
        </w:rPr>
        <w:t xml:space="preserve">Data to be collected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Respondents will be assured that their participation in the survey is voluntary and that their answers may be used only for statistical purposes and may not be disclosed, or used, in identifiable form for any other purpose </w:t>
      </w:r>
      <w:r w:rsidR="005C119B">
        <w:rPr>
          <w:szCs w:val="22"/>
        </w:rPr>
        <w:t>except as required</w:t>
      </w:r>
      <w:r w:rsidRPr="00054843">
        <w:rPr>
          <w:szCs w:val="22"/>
        </w:rPr>
        <w:t xml:space="preserve"> by law (Education Sciences Reform Act of 2002, 20 U.S.C. § 9573).</w:t>
      </w:r>
    </w:p>
    <w:p w:rsidR="008126EA" w:rsidRPr="00054843" w:rsidRDefault="004D456D" w:rsidP="00753FB8">
      <w:pPr>
        <w:spacing w:after="120" w:line="23" w:lineRule="atLeast"/>
        <w:rPr>
          <w:rFonts w:ascii="Times New Roman" w:hAnsi="Times New Roman"/>
          <w:b/>
        </w:rPr>
      </w:pPr>
      <w:r w:rsidRPr="00054843">
        <w:rPr>
          <w:rFonts w:ascii="Times New Roman" w:hAnsi="Times New Roman"/>
          <w:b/>
        </w:rPr>
        <w:t xml:space="preserve">Description of </w:t>
      </w:r>
      <w:r w:rsidR="008126EA" w:rsidRPr="00054843">
        <w:rPr>
          <w:rFonts w:ascii="Times New Roman" w:hAnsi="Times New Roman"/>
          <w:b/>
        </w:rPr>
        <w:t>Sample</w:t>
      </w:r>
      <w:r w:rsidRPr="00054843">
        <w:rPr>
          <w:rFonts w:ascii="Times New Roman" w:hAnsi="Times New Roman"/>
          <w:b/>
        </w:rPr>
        <w:t xml:space="preserve"> and</w:t>
      </w:r>
      <w:r w:rsidR="008126EA" w:rsidRPr="00054843">
        <w:rPr>
          <w:rFonts w:ascii="Times New Roman" w:hAnsi="Times New Roman"/>
          <w:b/>
        </w:rPr>
        <w:t xml:space="preserve"> Burden</w:t>
      </w:r>
    </w:p>
    <w:p w:rsidR="00093F56" w:rsidRPr="00054843" w:rsidRDefault="00093F56" w:rsidP="00753FB8">
      <w:pPr>
        <w:pStyle w:val="SP-SglSpPara"/>
        <w:spacing w:after="120" w:line="23" w:lineRule="atLeast"/>
        <w:jc w:val="left"/>
        <w:rPr>
          <w:szCs w:val="22"/>
        </w:rPr>
      </w:pPr>
      <w:r w:rsidRPr="00054843">
        <w:rPr>
          <w:szCs w:val="22"/>
        </w:rPr>
        <w:t>The proposed sample design is a nationally representative sample of</w:t>
      </w:r>
      <w:r w:rsidR="007B27F8" w:rsidRPr="00054843">
        <w:rPr>
          <w:szCs w:val="22"/>
        </w:rPr>
        <w:t xml:space="preserve"> </w:t>
      </w:r>
      <w:r w:rsidR="006C4841">
        <w:rPr>
          <w:szCs w:val="22"/>
        </w:rPr>
        <w:t xml:space="preserve">approximately </w:t>
      </w:r>
      <w:r w:rsidRPr="00054843">
        <w:rPr>
          <w:szCs w:val="22"/>
        </w:rPr>
        <w:t>1,</w:t>
      </w:r>
      <w:r w:rsidR="006C4841">
        <w:rPr>
          <w:szCs w:val="22"/>
        </w:rPr>
        <w:t>7</w:t>
      </w:r>
      <w:r w:rsidR="00B645A0">
        <w:rPr>
          <w:szCs w:val="22"/>
        </w:rPr>
        <w:t>0</w:t>
      </w:r>
      <w:r w:rsidRPr="00054843">
        <w:rPr>
          <w:szCs w:val="22"/>
        </w:rPr>
        <w:t>0</w:t>
      </w:r>
      <w:r w:rsidR="007B27F8" w:rsidRPr="00054843">
        <w:rPr>
          <w:szCs w:val="22"/>
        </w:rPr>
        <w:t xml:space="preserve"> </w:t>
      </w:r>
      <w:r w:rsidRPr="00054843">
        <w:rPr>
          <w:szCs w:val="22"/>
        </w:rPr>
        <w:t>regular public school</w:t>
      </w:r>
      <w:r w:rsidR="006C4841">
        <w:rPr>
          <w:szCs w:val="22"/>
        </w:rPr>
        <w:t xml:space="preserve"> districts</w:t>
      </w:r>
      <w:r w:rsidR="00FD531E">
        <w:rPr>
          <w:szCs w:val="22"/>
        </w:rPr>
        <w:t xml:space="preserve"> with high schools</w:t>
      </w:r>
      <w:r w:rsidRPr="00054843">
        <w:rPr>
          <w:szCs w:val="22"/>
        </w:rPr>
        <w:t xml:space="preserve"> from the 201</w:t>
      </w:r>
      <w:r w:rsidR="00F17CE3">
        <w:rPr>
          <w:szCs w:val="22"/>
        </w:rPr>
        <w:t>2</w:t>
      </w:r>
      <w:r w:rsidR="007D030C" w:rsidRPr="00054843">
        <w:rPr>
          <w:szCs w:val="22"/>
        </w:rPr>
        <w:t>–</w:t>
      </w:r>
      <w:r w:rsidRPr="00054843">
        <w:rPr>
          <w:szCs w:val="22"/>
        </w:rPr>
        <w:t>1</w:t>
      </w:r>
      <w:r w:rsidR="00F17CE3">
        <w:rPr>
          <w:szCs w:val="22"/>
        </w:rPr>
        <w:t>3</w:t>
      </w:r>
      <w:r w:rsidR="00802DE1" w:rsidRPr="00054843">
        <w:rPr>
          <w:szCs w:val="22"/>
        </w:rPr>
        <w:t xml:space="preserve"> (or most recent)</w:t>
      </w:r>
      <w:r w:rsidRPr="00054843">
        <w:rPr>
          <w:szCs w:val="22"/>
        </w:rPr>
        <w:t xml:space="preserve"> NCES Common Core of Data (CCD) </w:t>
      </w:r>
      <w:r w:rsidR="001B2338">
        <w:rPr>
          <w:szCs w:val="22"/>
        </w:rPr>
        <w:t xml:space="preserve">Local Education Agency </w:t>
      </w:r>
      <w:r w:rsidRPr="00054843">
        <w:rPr>
          <w:szCs w:val="22"/>
        </w:rPr>
        <w:t xml:space="preserve">Universe File. The questionnaire is limited to three pages of items readily available to respondents and can be completed by most respondents in </w:t>
      </w:r>
      <w:r w:rsidR="008360CA" w:rsidRPr="00054843">
        <w:rPr>
          <w:szCs w:val="22"/>
        </w:rPr>
        <w:t xml:space="preserve">about </w:t>
      </w:r>
      <w:r w:rsidR="001B2338">
        <w:rPr>
          <w:szCs w:val="22"/>
        </w:rPr>
        <w:t>3</w:t>
      </w:r>
      <w:r w:rsidR="008360CA" w:rsidRPr="00054843">
        <w:rPr>
          <w:szCs w:val="22"/>
        </w:rPr>
        <w:t>0</w:t>
      </w:r>
      <w:r w:rsidRPr="00054843">
        <w:rPr>
          <w:szCs w:val="22"/>
        </w:rPr>
        <w:t xml:space="preserve"> minutes.</w:t>
      </w:r>
    </w:p>
    <w:p w:rsidR="00753A25" w:rsidRPr="00054843" w:rsidRDefault="0018537C" w:rsidP="00753FB8">
      <w:pPr>
        <w:pStyle w:val="SP-SglSpPara"/>
        <w:spacing w:after="120" w:line="23" w:lineRule="atLeast"/>
        <w:jc w:val="left"/>
        <w:rPr>
          <w:szCs w:val="22"/>
        </w:rPr>
      </w:pPr>
      <w:r w:rsidRPr="00054843">
        <w:rPr>
          <w:szCs w:val="22"/>
        </w:rPr>
        <w:t>Any special requirements that districts have for approval of surveys will be met before those districts are contacted.</w:t>
      </w:r>
      <w:r w:rsidR="00753A25" w:rsidRPr="00054843">
        <w:rPr>
          <w:szCs w:val="22"/>
        </w:rPr>
        <w:t xml:space="preserve"> </w:t>
      </w:r>
      <w:r w:rsidR="00093F56" w:rsidRPr="00054843">
        <w:rPr>
          <w:szCs w:val="22"/>
        </w:rPr>
        <w:t xml:space="preserve">Each of the </w:t>
      </w:r>
      <w:r w:rsidR="0000325F">
        <w:rPr>
          <w:szCs w:val="22"/>
        </w:rPr>
        <w:t xml:space="preserve">approximately 15 </w:t>
      </w:r>
      <w:r w:rsidR="00093F56" w:rsidRPr="00054843">
        <w:rPr>
          <w:szCs w:val="22"/>
        </w:rPr>
        <w:t>districts that require special approval</w:t>
      </w:r>
      <w:r w:rsidR="0000325F">
        <w:rPr>
          <w:szCs w:val="22"/>
        </w:rPr>
        <w:t xml:space="preserve"> for district surveys</w:t>
      </w:r>
      <w:r w:rsidR="00093F56" w:rsidRPr="00054843">
        <w:rPr>
          <w:szCs w:val="22"/>
        </w:rPr>
        <w:t xml:space="preserve"> has unique requirements for obtaining approval. The materials sent to special districts will be tailored to meet the specific requirements of each district, consistent with the materials included in this OMB package. For example, most districts request information on survey justification, confidentiality, sample size, and survey collection procedures, which will be copied from the appropriate sections of the OMB package after </w:t>
      </w:r>
      <w:r w:rsidR="00745A65">
        <w:rPr>
          <w:szCs w:val="22"/>
        </w:rPr>
        <w:t xml:space="preserve">its </w:t>
      </w:r>
      <w:r w:rsidR="00093F56" w:rsidRPr="00054843">
        <w:rPr>
          <w:szCs w:val="22"/>
        </w:rPr>
        <w:t>approval.</w:t>
      </w:r>
    </w:p>
    <w:p w:rsidR="00093F56" w:rsidRPr="00054843" w:rsidRDefault="00093F56" w:rsidP="00753FB8">
      <w:pPr>
        <w:pStyle w:val="SP-SglSpPara"/>
        <w:spacing w:after="120" w:line="23" w:lineRule="atLeast"/>
        <w:jc w:val="left"/>
        <w:rPr>
          <w:szCs w:val="22"/>
        </w:rPr>
      </w:pPr>
      <w:r w:rsidRPr="00054843">
        <w:rPr>
          <w:szCs w:val="22"/>
        </w:rPr>
        <w:t xml:space="preserve">Questionnaire packages, including information needed to access the Web survey, will be mailed to the </w:t>
      </w:r>
      <w:r w:rsidR="00740FC8">
        <w:rPr>
          <w:szCs w:val="22"/>
        </w:rPr>
        <w:t xml:space="preserve">superintendent </w:t>
      </w:r>
      <w:r w:rsidRPr="00054843">
        <w:rPr>
          <w:szCs w:val="22"/>
        </w:rPr>
        <w:t xml:space="preserve">of </w:t>
      </w:r>
      <w:r w:rsidR="000A6EB8">
        <w:rPr>
          <w:szCs w:val="22"/>
        </w:rPr>
        <w:t xml:space="preserve">each </w:t>
      </w:r>
      <w:r w:rsidRPr="00054843">
        <w:rPr>
          <w:szCs w:val="22"/>
        </w:rPr>
        <w:t xml:space="preserve">sampled </w:t>
      </w:r>
      <w:r w:rsidR="00740FC8">
        <w:rPr>
          <w:szCs w:val="22"/>
        </w:rPr>
        <w:t xml:space="preserve">district </w:t>
      </w:r>
      <w:r w:rsidRPr="00054843">
        <w:rPr>
          <w:szCs w:val="22"/>
        </w:rPr>
        <w:t xml:space="preserve">in </w:t>
      </w:r>
      <w:r w:rsidR="00740FC8">
        <w:rPr>
          <w:szCs w:val="22"/>
        </w:rPr>
        <w:t xml:space="preserve">September </w:t>
      </w:r>
      <w:r w:rsidRPr="00054843">
        <w:rPr>
          <w:szCs w:val="22"/>
        </w:rPr>
        <w:t>201</w:t>
      </w:r>
      <w:r w:rsidR="00740FC8">
        <w:rPr>
          <w:szCs w:val="22"/>
        </w:rPr>
        <w:t>5</w:t>
      </w:r>
      <w:r w:rsidRPr="00054843">
        <w:rPr>
          <w:szCs w:val="22"/>
        </w:rPr>
        <w:t>. The cover letter and questionnaire will include a description of the most appropriate respondent. Follow-up for nonresponse will be conducted both by mail and telephone and will begin about 3 weeks after the questionnaires have been mailed to the</w:t>
      </w:r>
      <w:r w:rsidR="00614A9F" w:rsidRPr="00054843">
        <w:rPr>
          <w:szCs w:val="22"/>
        </w:rPr>
        <w:t xml:space="preserve"> </w:t>
      </w:r>
      <w:r w:rsidR="0094287D">
        <w:rPr>
          <w:szCs w:val="22"/>
        </w:rPr>
        <w:t>districts</w:t>
      </w:r>
      <w:r w:rsidRPr="00054843">
        <w:rPr>
          <w:szCs w:val="22"/>
        </w:rPr>
        <w:t>. Experienced telephone interviewers will be trained to conduct the nonresponse follow-up and will be monitored by Westat supervisory personnel. Telephone nonresponse follow-up is used to prompt respondents to complete the survey by web, mail, or fax and is expected to take about 5 minutes.</w:t>
      </w:r>
    </w:p>
    <w:p w:rsidR="00766F21" w:rsidRPr="00753FB8" w:rsidRDefault="00C5571B" w:rsidP="00753FB8">
      <w:pPr>
        <w:pStyle w:val="SP-SglSpPara"/>
        <w:spacing w:after="120" w:line="23" w:lineRule="atLeast"/>
        <w:jc w:val="left"/>
        <w:rPr>
          <w:szCs w:val="22"/>
        </w:rPr>
      </w:pPr>
      <w:r w:rsidRPr="00054843">
        <w:rPr>
          <w:szCs w:val="22"/>
        </w:rPr>
        <w:t>Based on previous FRSS studies, i</w:t>
      </w:r>
      <w:r w:rsidR="00D36AEA" w:rsidRPr="00054843">
        <w:rPr>
          <w:szCs w:val="22"/>
        </w:rPr>
        <w:t xml:space="preserve">t is anticipated that approximately </w:t>
      </w:r>
      <w:r w:rsidR="00AB492D">
        <w:rPr>
          <w:szCs w:val="22"/>
        </w:rPr>
        <w:t xml:space="preserve">15 </w:t>
      </w:r>
      <w:r w:rsidR="00D36AEA" w:rsidRPr="00054843">
        <w:rPr>
          <w:szCs w:val="22"/>
        </w:rPr>
        <w:t>districts with special clearance procedures will be contacted</w:t>
      </w:r>
      <w:r w:rsidR="00AB492D">
        <w:rPr>
          <w:szCs w:val="22"/>
        </w:rPr>
        <w:t xml:space="preserve"> (table 1)</w:t>
      </w:r>
      <w:r w:rsidR="00D36AEA" w:rsidRPr="00054843">
        <w:rPr>
          <w:szCs w:val="22"/>
        </w:rPr>
        <w:t xml:space="preserve">. The respondent burden </w:t>
      </w:r>
      <w:r w:rsidR="000A6EB8">
        <w:rPr>
          <w:szCs w:val="22"/>
        </w:rPr>
        <w:t>is estimated to</w:t>
      </w:r>
      <w:r w:rsidR="00D36AEA" w:rsidRPr="00054843">
        <w:rPr>
          <w:szCs w:val="22"/>
        </w:rPr>
        <w:t xml:space="preserve"> be </w:t>
      </w:r>
      <w:r w:rsidR="000A6EB8">
        <w:rPr>
          <w:szCs w:val="22"/>
        </w:rPr>
        <w:t>on average</w:t>
      </w:r>
      <w:r w:rsidR="00D36AEA" w:rsidRPr="00054843">
        <w:rPr>
          <w:szCs w:val="22"/>
        </w:rPr>
        <w:t xml:space="preserve"> 2 hours per special district.</w:t>
      </w:r>
      <w:r w:rsidR="00B45E2C" w:rsidRPr="00054843">
        <w:rPr>
          <w:szCs w:val="22"/>
        </w:rPr>
        <w:t xml:space="preserve"> </w:t>
      </w:r>
      <w:r w:rsidR="00093F56" w:rsidRPr="00054843">
        <w:rPr>
          <w:szCs w:val="22"/>
        </w:rPr>
        <w:t xml:space="preserve">The estimated burden time for </w:t>
      </w:r>
      <w:r w:rsidR="00614A9F" w:rsidRPr="00054843">
        <w:rPr>
          <w:szCs w:val="22"/>
        </w:rPr>
        <w:t>1,</w:t>
      </w:r>
      <w:r w:rsidR="00AB492D">
        <w:rPr>
          <w:szCs w:val="22"/>
        </w:rPr>
        <w:t>7</w:t>
      </w:r>
      <w:r w:rsidR="006D4EFC">
        <w:rPr>
          <w:szCs w:val="22"/>
        </w:rPr>
        <w:t>0</w:t>
      </w:r>
      <w:r w:rsidR="00614A9F" w:rsidRPr="00054843">
        <w:rPr>
          <w:szCs w:val="22"/>
        </w:rPr>
        <w:t xml:space="preserve">0 </w:t>
      </w:r>
      <w:r w:rsidR="00AB492D">
        <w:rPr>
          <w:szCs w:val="22"/>
        </w:rPr>
        <w:t xml:space="preserve">districts </w:t>
      </w:r>
      <w:r w:rsidR="00093F56" w:rsidRPr="00054843">
        <w:rPr>
          <w:szCs w:val="22"/>
        </w:rPr>
        <w:t xml:space="preserve">to review the introductory letter requesting their participation </w:t>
      </w:r>
      <w:r w:rsidR="00093F56" w:rsidRPr="00054843">
        <w:rPr>
          <w:szCs w:val="22"/>
        </w:rPr>
        <w:lastRenderedPageBreak/>
        <w:t xml:space="preserve">(initial contact) is 5 minutes per </w:t>
      </w:r>
      <w:r w:rsidR="00AB492D">
        <w:rPr>
          <w:szCs w:val="22"/>
        </w:rPr>
        <w:t>district</w:t>
      </w:r>
      <w:r w:rsidR="00093F56" w:rsidRPr="00054843">
        <w:rPr>
          <w:szCs w:val="22"/>
        </w:rPr>
        <w:t xml:space="preserve">. </w:t>
      </w:r>
      <w:r w:rsidR="00296010">
        <w:rPr>
          <w:szCs w:val="22"/>
        </w:rPr>
        <w:t>A</w:t>
      </w:r>
      <w:r w:rsidR="00296010" w:rsidRPr="00054843">
        <w:rPr>
          <w:szCs w:val="22"/>
        </w:rPr>
        <w:t xml:space="preserve">ssuming a response rate of </w:t>
      </w:r>
      <w:r w:rsidR="00296010">
        <w:rPr>
          <w:szCs w:val="22"/>
        </w:rPr>
        <w:t>90</w:t>
      </w:r>
      <w:r w:rsidR="00296010" w:rsidRPr="00054843">
        <w:rPr>
          <w:szCs w:val="22"/>
        </w:rPr>
        <w:t xml:space="preserve"> percent</w:t>
      </w:r>
      <w:r w:rsidR="00296010">
        <w:rPr>
          <w:szCs w:val="22"/>
        </w:rPr>
        <w:t>, t</w:t>
      </w:r>
      <w:r w:rsidR="00093F56" w:rsidRPr="00054843">
        <w:rPr>
          <w:szCs w:val="22"/>
        </w:rPr>
        <w:t>he initial sample of 1,</w:t>
      </w:r>
      <w:r w:rsidR="00AB492D">
        <w:rPr>
          <w:szCs w:val="22"/>
        </w:rPr>
        <w:t>7</w:t>
      </w:r>
      <w:r w:rsidR="006D4EFC">
        <w:rPr>
          <w:szCs w:val="22"/>
        </w:rPr>
        <w:t>0</w:t>
      </w:r>
      <w:r w:rsidR="00093F56" w:rsidRPr="00054843">
        <w:rPr>
          <w:szCs w:val="22"/>
        </w:rPr>
        <w:t xml:space="preserve">0 </w:t>
      </w:r>
      <w:r w:rsidR="00AB492D">
        <w:rPr>
          <w:szCs w:val="22"/>
        </w:rPr>
        <w:t>districts</w:t>
      </w:r>
      <w:r w:rsidR="00093F56" w:rsidRPr="00054843">
        <w:rPr>
          <w:szCs w:val="22"/>
        </w:rPr>
        <w:t xml:space="preserve"> will yield about 1,</w:t>
      </w:r>
      <w:r w:rsidR="00433F20">
        <w:rPr>
          <w:szCs w:val="22"/>
        </w:rPr>
        <w:t>5</w:t>
      </w:r>
      <w:r w:rsidR="006D4EFC">
        <w:rPr>
          <w:szCs w:val="22"/>
        </w:rPr>
        <w:t>30</w:t>
      </w:r>
      <w:r w:rsidR="00093F56" w:rsidRPr="00054843">
        <w:rPr>
          <w:szCs w:val="22"/>
        </w:rPr>
        <w:t xml:space="preserve"> completed questionnaires,</w:t>
      </w:r>
      <w:r w:rsidR="00296010">
        <w:rPr>
          <w:szCs w:val="22"/>
        </w:rPr>
        <w:t xml:space="preserve"> with </w:t>
      </w:r>
      <w:r w:rsidR="00093F56" w:rsidRPr="00054843">
        <w:rPr>
          <w:szCs w:val="22"/>
        </w:rPr>
        <w:t xml:space="preserve">a response burden of approximately </w:t>
      </w:r>
      <w:r w:rsidR="00433F20">
        <w:rPr>
          <w:szCs w:val="22"/>
        </w:rPr>
        <w:t>3</w:t>
      </w:r>
      <w:r w:rsidR="00093F56" w:rsidRPr="00054843">
        <w:rPr>
          <w:szCs w:val="22"/>
        </w:rPr>
        <w:t>0 minu</w:t>
      </w:r>
      <w:r w:rsidR="00296010">
        <w:rPr>
          <w:szCs w:val="22"/>
        </w:rPr>
        <w:t>tes per completed questionnaire</w:t>
      </w:r>
      <w:r w:rsidR="00F43B8C" w:rsidRPr="00054843">
        <w:rPr>
          <w:szCs w:val="22"/>
          <w:vertAlign w:val="superscript"/>
        </w:rPr>
        <w:footnoteReference w:id="1"/>
      </w:r>
      <w:r w:rsidR="00093F56" w:rsidRPr="00054843">
        <w:rPr>
          <w:szCs w:val="22"/>
        </w:rPr>
        <w:t xml:space="preserve">. It is </w:t>
      </w:r>
      <w:r w:rsidR="00296010">
        <w:rPr>
          <w:szCs w:val="22"/>
        </w:rPr>
        <w:t xml:space="preserve">also </w:t>
      </w:r>
      <w:r w:rsidR="00093F56" w:rsidRPr="00054843">
        <w:rPr>
          <w:szCs w:val="22"/>
        </w:rPr>
        <w:t xml:space="preserve">anticipated that about 75 percent of the </w:t>
      </w:r>
      <w:r w:rsidR="00F43B8C">
        <w:rPr>
          <w:szCs w:val="22"/>
        </w:rPr>
        <w:t xml:space="preserve">districts </w:t>
      </w:r>
      <w:r w:rsidR="00093F56" w:rsidRPr="00054843">
        <w:rPr>
          <w:szCs w:val="22"/>
        </w:rPr>
        <w:t>will receive a nonresponse follow-up call</w:t>
      </w:r>
      <w:r w:rsidR="00296010">
        <w:rPr>
          <w:szCs w:val="22"/>
        </w:rPr>
        <w:t xml:space="preserve"> that will take about 5 minutes</w:t>
      </w:r>
      <w:r w:rsidR="00093F56" w:rsidRPr="00054843">
        <w:rPr>
          <w:szCs w:val="22"/>
        </w:rPr>
        <w:t>.</w:t>
      </w:r>
    </w:p>
    <w:p w:rsidR="00093F56" w:rsidRPr="00AC2CDC" w:rsidRDefault="00093F56" w:rsidP="00753FB8">
      <w:pPr>
        <w:spacing w:before="240" w:after="60" w:line="240" w:lineRule="auto"/>
        <w:ind w:left="994" w:hanging="994"/>
        <w:rPr>
          <w:rFonts w:ascii="Times New Roman" w:hAnsi="Times New Roman"/>
          <w:b/>
        </w:rPr>
      </w:pPr>
      <w:r w:rsidRPr="00AC2CDC">
        <w:rPr>
          <w:rFonts w:ascii="Times New Roman" w:hAnsi="Times New Roman"/>
          <w:b/>
        </w:rPr>
        <w:t>Table 1.</w:t>
      </w:r>
      <w:r>
        <w:rPr>
          <w:rFonts w:ascii="Times New Roman" w:hAnsi="Times New Roman"/>
          <w:b/>
        </w:rPr>
        <w:tab/>
      </w:r>
      <w:r w:rsidRPr="00AC2CDC">
        <w:rPr>
          <w:rFonts w:ascii="Times New Roman" w:hAnsi="Times New Roman"/>
          <w:b/>
        </w:rPr>
        <w:t>Estimated burden for data co</w:t>
      </w:r>
      <w:r>
        <w:rPr>
          <w:rFonts w:ascii="Times New Roman" w:hAnsi="Times New Roman"/>
          <w:b/>
        </w:rPr>
        <w:t>llection and nonresponse follow-</w:t>
      </w:r>
      <w:r w:rsidRPr="00AC2CDC">
        <w:rPr>
          <w:rFonts w:ascii="Times New Roman" w:hAnsi="Times New Roman"/>
          <w:b/>
        </w:rPr>
        <w:t>up</w:t>
      </w:r>
      <w:r w:rsidR="00CD7614">
        <w:rPr>
          <w:rFonts w:ascii="Times New Roman" w:hAnsi="Times New Roman"/>
          <w:b/>
        </w:rPr>
        <w:t xml:space="preserve"> for </w:t>
      </w:r>
      <w:r w:rsidR="00CD7614" w:rsidRPr="00290D7A">
        <w:rPr>
          <w:rFonts w:ascii="Times New Roman" w:hAnsi="Times New Roman"/>
          <w:b/>
        </w:rPr>
        <w:t>1,</w:t>
      </w:r>
      <w:r w:rsidR="00211660">
        <w:rPr>
          <w:rFonts w:ascii="Times New Roman" w:hAnsi="Times New Roman"/>
          <w:b/>
        </w:rPr>
        <w:t>7</w:t>
      </w:r>
      <w:r w:rsidR="00F53042">
        <w:rPr>
          <w:rFonts w:ascii="Times New Roman" w:hAnsi="Times New Roman"/>
          <w:b/>
        </w:rPr>
        <w:t>0</w:t>
      </w:r>
      <w:r w:rsidR="00CD7614" w:rsidRPr="00290D7A">
        <w:rPr>
          <w:rFonts w:ascii="Times New Roman" w:hAnsi="Times New Roman"/>
          <w:b/>
        </w:rPr>
        <w:t>0</w:t>
      </w:r>
      <w:r w:rsidR="00112588">
        <w:rPr>
          <w:rFonts w:ascii="Times New Roman" w:hAnsi="Times New Roman"/>
          <w:b/>
        </w:rPr>
        <w:t xml:space="preserve"> districts</w:t>
      </w:r>
      <w:r w:rsidRPr="00AC2CDC">
        <w:rPr>
          <w:rFonts w:ascii="Times New Roman" w:hAnsi="Times New Roman"/>
          <w:b/>
        </w:rPr>
        <w:t xml:space="preserve">: FRSS </w:t>
      </w:r>
      <w:r>
        <w:rPr>
          <w:rFonts w:ascii="Times New Roman" w:hAnsi="Times New Roman"/>
          <w:b/>
        </w:rPr>
        <w:t>10</w:t>
      </w:r>
      <w:r w:rsidR="00211660">
        <w:rPr>
          <w:rFonts w:ascii="Times New Roman" w:hAnsi="Times New Roman"/>
          <w:b/>
        </w:rPr>
        <w:t>7</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3060"/>
        <w:gridCol w:w="1194"/>
        <w:gridCol w:w="1194"/>
        <w:gridCol w:w="1194"/>
        <w:gridCol w:w="1194"/>
        <w:gridCol w:w="1194"/>
        <w:gridCol w:w="1194"/>
      </w:tblGrid>
      <w:tr w:rsidR="00093F56" w:rsidRPr="00AC2CDC" w:rsidTr="00927C84">
        <w:trPr>
          <w:trHeight w:val="772"/>
        </w:trPr>
        <w:tc>
          <w:tcPr>
            <w:tcW w:w="3060" w:type="dxa"/>
            <w:tcBorders>
              <w:bottom w:val="single" w:sz="4" w:space="0" w:color="000000" w:themeColor="text1"/>
            </w:tcBorders>
            <w:vAlign w:val="bottom"/>
          </w:tcPr>
          <w:p w:rsidR="00093F56" w:rsidRPr="00AC2CDC" w:rsidRDefault="00093F56" w:rsidP="00766F21">
            <w:pPr>
              <w:spacing w:after="0" w:line="240" w:lineRule="atLeast"/>
              <w:rPr>
                <w:rFonts w:ascii="Times New Roman" w:hAnsi="Times New Roman" w:cs="Times New Roman"/>
                <w:sz w:val="18"/>
                <w:szCs w:val="18"/>
              </w:rPr>
            </w:pPr>
            <w:r w:rsidRPr="00AC2CDC">
              <w:rPr>
                <w:rFonts w:ascii="Times New Roman" w:hAnsi="Times New Roman" w:cs="Times New Roman"/>
                <w:sz w:val="18"/>
                <w:szCs w:val="18"/>
              </w:rPr>
              <w:t>Type of collection</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Sample size</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response rate (percent)</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respondents</w:t>
            </w:r>
          </w:p>
        </w:tc>
        <w:tc>
          <w:tcPr>
            <w:tcW w:w="1194" w:type="dxa"/>
            <w:tcBorders>
              <w:bottom w:val="single" w:sz="4" w:space="0" w:color="000000" w:themeColor="text1"/>
            </w:tcBorders>
            <w:vAlign w:val="bottom"/>
          </w:tcPr>
          <w:p w:rsidR="00093F56" w:rsidRPr="00AC2CDC" w:rsidRDefault="00093F56" w:rsidP="00766F21">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Estimated number of responses</w:t>
            </w:r>
          </w:p>
        </w:tc>
        <w:tc>
          <w:tcPr>
            <w:tcW w:w="1194" w:type="dxa"/>
            <w:tcBorders>
              <w:bottom w:val="single" w:sz="4" w:space="0" w:color="000000" w:themeColor="text1"/>
            </w:tcBorders>
            <w:vAlign w:val="bottom"/>
          </w:tcPr>
          <w:p w:rsidR="00A827C6" w:rsidRDefault="00A827C6" w:rsidP="00A827C6">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Burden</w:t>
            </w:r>
          </w:p>
          <w:p w:rsidR="00093F56" w:rsidRPr="00AC2CDC" w:rsidRDefault="00093F56" w:rsidP="00A827C6">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hours per respondent</w:t>
            </w:r>
          </w:p>
        </w:tc>
        <w:tc>
          <w:tcPr>
            <w:tcW w:w="1194" w:type="dxa"/>
            <w:tcBorders>
              <w:bottom w:val="single" w:sz="4" w:space="0" w:color="000000" w:themeColor="text1"/>
            </w:tcBorders>
            <w:vAlign w:val="bottom"/>
          </w:tcPr>
          <w:p w:rsidR="00093F56" w:rsidRPr="00AC2CDC" w:rsidRDefault="00A827C6" w:rsidP="00A827C6">
            <w:pPr>
              <w:spacing w:after="0" w:line="240" w:lineRule="atLeast"/>
              <w:jc w:val="right"/>
              <w:rPr>
                <w:rFonts w:ascii="Times New Roman" w:hAnsi="Times New Roman" w:cs="Times New Roman"/>
                <w:sz w:val="18"/>
                <w:szCs w:val="18"/>
              </w:rPr>
            </w:pPr>
            <w:r w:rsidRPr="00AC2CDC">
              <w:rPr>
                <w:rFonts w:ascii="Times New Roman" w:hAnsi="Times New Roman" w:cs="Times New Roman"/>
                <w:sz w:val="18"/>
                <w:szCs w:val="18"/>
              </w:rPr>
              <w:t xml:space="preserve">Total </w:t>
            </w:r>
            <w:r>
              <w:rPr>
                <w:rFonts w:ascii="Times New Roman" w:hAnsi="Times New Roman" w:cs="Times New Roman"/>
                <w:sz w:val="18"/>
                <w:szCs w:val="18"/>
              </w:rPr>
              <w:t>r</w:t>
            </w:r>
            <w:r w:rsidR="00093F56" w:rsidRPr="00AC2CDC">
              <w:rPr>
                <w:rFonts w:ascii="Times New Roman" w:hAnsi="Times New Roman" w:cs="Times New Roman"/>
                <w:sz w:val="18"/>
                <w:szCs w:val="18"/>
              </w:rPr>
              <w:t>espondent burden hours</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Special clearance district review</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880B9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15</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2.00</w:t>
            </w:r>
          </w:p>
        </w:tc>
        <w:tc>
          <w:tcPr>
            <w:tcW w:w="1194" w:type="dxa"/>
            <w:tcBorders>
              <w:top w:val="nil"/>
              <w:left w:val="nil"/>
              <w:bottom w:val="nil"/>
            </w:tcBorders>
            <w:vAlign w:val="bottom"/>
          </w:tcPr>
          <w:p w:rsidR="00093F56" w:rsidRPr="004C7BC7" w:rsidRDefault="004F3D5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3</w:t>
            </w:r>
            <w:r w:rsidR="001D4A6B">
              <w:rPr>
                <w:rFonts w:ascii="Times New Roman" w:hAnsi="Times New Roman" w:cs="Times New Roman"/>
                <w:sz w:val="18"/>
                <w:szCs w:val="18"/>
              </w:rPr>
              <w:t>0</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Initial </w:t>
            </w:r>
            <w:r w:rsidR="00885323">
              <w:rPr>
                <w:rFonts w:ascii="Times New Roman" w:hAnsi="Times New Roman" w:cs="Times New Roman"/>
                <w:sz w:val="18"/>
                <w:szCs w:val="18"/>
              </w:rPr>
              <w:t>district</w:t>
            </w:r>
            <w:r w:rsidRPr="004C7BC7">
              <w:rPr>
                <w:rFonts w:ascii="Times New Roman" w:hAnsi="Times New Roman" w:cs="Times New Roman"/>
                <w:sz w:val="18"/>
                <w:szCs w:val="18"/>
              </w:rPr>
              <w:t xml:space="preserve"> contact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4C7BC7"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885323">
              <w:rPr>
                <w:rFonts w:ascii="Times New Roman" w:hAnsi="Times New Roman" w:cs="Times New Roman"/>
                <w:sz w:val="18"/>
                <w:szCs w:val="18"/>
              </w:rPr>
              <w:t>7</w:t>
            </w:r>
            <w:r w:rsidR="00E772FF">
              <w:rPr>
                <w:rFonts w:ascii="Times New Roman" w:hAnsi="Times New Roman" w:cs="Times New Roman"/>
                <w:sz w:val="18"/>
                <w:szCs w:val="18"/>
              </w:rPr>
              <w:t>0</w:t>
            </w:r>
            <w:r>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100%</w:t>
            </w:r>
          </w:p>
        </w:tc>
        <w:tc>
          <w:tcPr>
            <w:tcW w:w="1194" w:type="dxa"/>
            <w:tcBorders>
              <w:top w:val="nil"/>
              <w:left w:val="nil"/>
              <w:bottom w:val="nil"/>
              <w:right w:val="nil"/>
            </w:tcBorders>
            <w:vAlign w:val="bottom"/>
          </w:tcPr>
          <w:p w:rsidR="00093F56" w:rsidRPr="004C7BC7" w:rsidRDefault="00B45E2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885323">
              <w:rPr>
                <w:rFonts w:ascii="Times New Roman" w:hAnsi="Times New Roman" w:cs="Times New Roman"/>
                <w:sz w:val="18"/>
                <w:szCs w:val="18"/>
              </w:rPr>
              <w:t>7</w:t>
            </w:r>
            <w:r w:rsidR="00E772FF">
              <w:rPr>
                <w:rFonts w:ascii="Times New Roman" w:hAnsi="Times New Roman" w:cs="Times New Roman"/>
                <w:sz w:val="18"/>
                <w:szCs w:val="18"/>
              </w:rPr>
              <w:t>0</w:t>
            </w:r>
            <w:r>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B45E2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885323">
              <w:rPr>
                <w:rFonts w:ascii="Times New Roman" w:hAnsi="Times New Roman" w:cs="Times New Roman"/>
                <w:sz w:val="18"/>
                <w:szCs w:val="18"/>
              </w:rPr>
              <w:t>7</w:t>
            </w:r>
            <w:r w:rsidR="00E772FF">
              <w:rPr>
                <w:rFonts w:ascii="Times New Roman" w:hAnsi="Times New Roman" w:cs="Times New Roman"/>
                <w:sz w:val="18"/>
                <w:szCs w:val="18"/>
              </w:rPr>
              <w:t>0</w:t>
            </w:r>
            <w:r>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1D4A6B"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nil"/>
            </w:tcBorders>
            <w:vAlign w:val="bottom"/>
          </w:tcPr>
          <w:p w:rsidR="00093F56" w:rsidRPr="004C7BC7" w:rsidRDefault="001D4A6B"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885323">
              <w:rPr>
                <w:rFonts w:ascii="Times New Roman" w:hAnsi="Times New Roman" w:cs="Times New Roman"/>
                <w:sz w:val="18"/>
                <w:szCs w:val="18"/>
              </w:rPr>
              <w:t>4</w:t>
            </w:r>
            <w:r w:rsidR="00E772FF">
              <w:rPr>
                <w:rFonts w:ascii="Times New Roman" w:hAnsi="Times New Roman" w:cs="Times New Roman"/>
                <w:sz w:val="18"/>
                <w:szCs w:val="18"/>
              </w:rPr>
              <w:t>1</w:t>
            </w:r>
          </w:p>
        </w:tc>
      </w:tr>
      <w:tr w:rsidR="00093F56" w:rsidRPr="00AC2CDC" w:rsidTr="00927C84">
        <w:trPr>
          <w:trHeight w:val="247"/>
        </w:trPr>
        <w:tc>
          <w:tcPr>
            <w:tcW w:w="3060" w:type="dxa"/>
            <w:tcBorders>
              <w:top w:val="nil"/>
              <w:bottom w:val="nil"/>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Questionnaire </w:t>
            </w:r>
            <w:r w:rsidRPr="004C7BC7">
              <w:rPr>
                <w:rFonts w:ascii="Times New Roman" w:hAnsi="Times New Roman" w:cs="Times New Roman"/>
                <w:sz w:val="18"/>
                <w:szCs w:val="18"/>
              </w:rPr>
              <w:tab/>
            </w:r>
          </w:p>
        </w:tc>
        <w:tc>
          <w:tcPr>
            <w:tcW w:w="1194" w:type="dxa"/>
            <w:tcBorders>
              <w:top w:val="nil"/>
              <w:left w:val="nil"/>
              <w:bottom w:val="nil"/>
              <w:right w:val="nil"/>
            </w:tcBorders>
            <w:vAlign w:val="bottom"/>
          </w:tcPr>
          <w:p w:rsidR="00093F56" w:rsidRPr="004C7BC7" w:rsidRDefault="004C7BC7"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E772FF">
              <w:rPr>
                <w:rFonts w:ascii="Times New Roman" w:hAnsi="Times New Roman" w:cs="Times New Roman"/>
                <w:sz w:val="18"/>
                <w:szCs w:val="18"/>
              </w:rPr>
              <w:t>70</w:t>
            </w:r>
            <w:r>
              <w:rPr>
                <w:rFonts w:ascii="Times New Roman" w:hAnsi="Times New Roman" w:cs="Times New Roman"/>
                <w:sz w:val="18"/>
                <w:szCs w:val="18"/>
              </w:rPr>
              <w:t>0</w:t>
            </w:r>
          </w:p>
        </w:tc>
        <w:tc>
          <w:tcPr>
            <w:tcW w:w="1194" w:type="dxa"/>
            <w:tcBorders>
              <w:top w:val="nil"/>
              <w:left w:val="nil"/>
              <w:bottom w:val="nil"/>
              <w:right w:val="nil"/>
            </w:tcBorders>
            <w:vAlign w:val="bottom"/>
          </w:tcPr>
          <w:p w:rsidR="00093F56" w:rsidRPr="004C7BC7" w:rsidRDefault="000B027E"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90</w:t>
            </w:r>
            <w:r w:rsidR="001A4DD1" w:rsidRPr="00290D7A">
              <w:rPr>
                <w:rFonts w:ascii="Times New Roman" w:hAnsi="Times New Roman" w:cs="Times New Roman"/>
                <w:sz w:val="18"/>
                <w:szCs w:val="18"/>
              </w:rPr>
              <w:t>%</w:t>
            </w:r>
          </w:p>
        </w:tc>
        <w:tc>
          <w:tcPr>
            <w:tcW w:w="1194" w:type="dxa"/>
            <w:tcBorders>
              <w:top w:val="nil"/>
              <w:left w:val="nil"/>
              <w:bottom w:val="nil"/>
              <w:right w:val="nil"/>
            </w:tcBorders>
            <w:vAlign w:val="bottom"/>
          </w:tcPr>
          <w:p w:rsidR="00093F56" w:rsidRPr="004C7BC7" w:rsidRDefault="00B45E2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0B027E">
              <w:rPr>
                <w:rFonts w:ascii="Times New Roman" w:hAnsi="Times New Roman" w:cs="Times New Roman"/>
                <w:sz w:val="18"/>
                <w:szCs w:val="18"/>
              </w:rPr>
              <w:t>5</w:t>
            </w:r>
            <w:r w:rsidR="00E772FF">
              <w:rPr>
                <w:rFonts w:ascii="Times New Roman" w:hAnsi="Times New Roman" w:cs="Times New Roman"/>
                <w:sz w:val="18"/>
                <w:szCs w:val="18"/>
              </w:rPr>
              <w:t>30</w:t>
            </w:r>
          </w:p>
        </w:tc>
        <w:tc>
          <w:tcPr>
            <w:tcW w:w="1194" w:type="dxa"/>
            <w:tcBorders>
              <w:top w:val="nil"/>
              <w:left w:val="nil"/>
              <w:bottom w:val="nil"/>
              <w:right w:val="nil"/>
            </w:tcBorders>
            <w:vAlign w:val="bottom"/>
          </w:tcPr>
          <w:p w:rsidR="00093F56" w:rsidRPr="004C7BC7" w:rsidRDefault="00B45E2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0B027E">
              <w:rPr>
                <w:rFonts w:ascii="Times New Roman" w:hAnsi="Times New Roman" w:cs="Times New Roman"/>
                <w:sz w:val="18"/>
                <w:szCs w:val="18"/>
              </w:rPr>
              <w:t>5</w:t>
            </w:r>
            <w:r w:rsidR="00E772FF">
              <w:rPr>
                <w:rFonts w:ascii="Times New Roman" w:hAnsi="Times New Roman" w:cs="Times New Roman"/>
                <w:sz w:val="18"/>
                <w:szCs w:val="18"/>
              </w:rPr>
              <w:t>30</w:t>
            </w:r>
          </w:p>
        </w:tc>
        <w:tc>
          <w:tcPr>
            <w:tcW w:w="1194" w:type="dxa"/>
            <w:tcBorders>
              <w:top w:val="nil"/>
              <w:left w:val="nil"/>
              <w:bottom w:val="nil"/>
              <w:right w:val="nil"/>
            </w:tcBorders>
            <w:vAlign w:val="bottom"/>
          </w:tcPr>
          <w:p w:rsidR="00093F56" w:rsidRPr="004C7BC7" w:rsidRDefault="006A037D"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r w:rsidR="000B027E">
              <w:rPr>
                <w:rFonts w:ascii="Times New Roman" w:hAnsi="Times New Roman" w:cs="Times New Roman"/>
                <w:sz w:val="18"/>
                <w:szCs w:val="18"/>
              </w:rPr>
              <w:t>50</w:t>
            </w:r>
          </w:p>
        </w:tc>
        <w:tc>
          <w:tcPr>
            <w:tcW w:w="1194" w:type="dxa"/>
            <w:tcBorders>
              <w:top w:val="nil"/>
              <w:left w:val="nil"/>
              <w:bottom w:val="nil"/>
            </w:tcBorders>
            <w:vAlign w:val="bottom"/>
          </w:tcPr>
          <w:p w:rsidR="00093F56" w:rsidRPr="004C7BC7" w:rsidRDefault="00E772FF"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765</w:t>
            </w:r>
          </w:p>
        </w:tc>
      </w:tr>
      <w:tr w:rsidR="00093F56" w:rsidRPr="00AC2CDC" w:rsidTr="00927C84">
        <w:trPr>
          <w:trHeight w:val="262"/>
        </w:trPr>
        <w:tc>
          <w:tcPr>
            <w:tcW w:w="3060" w:type="dxa"/>
            <w:tcBorders>
              <w:top w:val="nil"/>
              <w:bottom w:val="single" w:sz="4" w:space="0" w:color="000000" w:themeColor="text1"/>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 xml:space="preserve">Nonresponse follow-up call to </w:t>
            </w:r>
            <w:r w:rsidR="00CA66DA" w:rsidRPr="004C7BC7">
              <w:rPr>
                <w:rFonts w:ascii="Times New Roman" w:hAnsi="Times New Roman" w:cs="Times New Roman"/>
                <w:sz w:val="18"/>
                <w:szCs w:val="18"/>
              </w:rPr>
              <w:t>school</w:t>
            </w:r>
            <w:r w:rsidRPr="004C7BC7">
              <w:rPr>
                <w:rFonts w:ascii="Times New Roman" w:hAnsi="Times New Roman" w:cs="Times New Roman"/>
                <w:sz w:val="18"/>
                <w:szCs w:val="18"/>
              </w:rPr>
              <w:tab/>
            </w:r>
          </w:p>
        </w:tc>
        <w:tc>
          <w:tcPr>
            <w:tcW w:w="1194" w:type="dxa"/>
            <w:tcBorders>
              <w:top w:val="nil"/>
              <w:left w:val="nil"/>
              <w:bottom w:val="single" w:sz="4" w:space="0" w:color="000000" w:themeColor="text1"/>
              <w:right w:val="nil"/>
            </w:tcBorders>
            <w:vAlign w:val="bottom"/>
          </w:tcPr>
          <w:p w:rsidR="00093F56" w:rsidRPr="004C7BC7" w:rsidRDefault="004C7BC7"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E772FF">
              <w:rPr>
                <w:rFonts w:ascii="Times New Roman" w:hAnsi="Times New Roman" w:cs="Times New Roman"/>
                <w:sz w:val="18"/>
                <w:szCs w:val="18"/>
              </w:rPr>
              <w:t>70</w:t>
            </w:r>
            <w:r w:rsidR="000B027E">
              <w:rPr>
                <w:rFonts w:ascii="Times New Roman" w:hAnsi="Times New Roman" w:cs="Times New Roman"/>
                <w:sz w:val="18"/>
                <w:szCs w:val="18"/>
              </w:rPr>
              <w:t>0</w:t>
            </w:r>
          </w:p>
        </w:tc>
        <w:tc>
          <w:tcPr>
            <w:tcW w:w="1194" w:type="dxa"/>
            <w:tcBorders>
              <w:top w:val="nil"/>
              <w:left w:val="nil"/>
              <w:bottom w:val="single" w:sz="4" w:space="0" w:color="000000" w:themeColor="text1"/>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75%</w:t>
            </w:r>
          </w:p>
        </w:tc>
        <w:tc>
          <w:tcPr>
            <w:tcW w:w="1194" w:type="dxa"/>
            <w:tcBorders>
              <w:top w:val="nil"/>
              <w:left w:val="nil"/>
              <w:bottom w:val="single" w:sz="4" w:space="0" w:color="000000" w:themeColor="text1"/>
              <w:right w:val="nil"/>
            </w:tcBorders>
            <w:vAlign w:val="bottom"/>
          </w:tcPr>
          <w:p w:rsidR="00093F56" w:rsidRPr="004C7BC7" w:rsidRDefault="006A037D"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E772FF">
              <w:rPr>
                <w:rFonts w:ascii="Times New Roman" w:hAnsi="Times New Roman" w:cs="Times New Roman"/>
                <w:sz w:val="18"/>
                <w:szCs w:val="18"/>
              </w:rPr>
              <w:t>275</w:t>
            </w:r>
          </w:p>
        </w:tc>
        <w:tc>
          <w:tcPr>
            <w:tcW w:w="1194" w:type="dxa"/>
            <w:tcBorders>
              <w:top w:val="nil"/>
              <w:left w:val="nil"/>
              <w:bottom w:val="single" w:sz="4" w:space="0" w:color="000000" w:themeColor="text1"/>
              <w:right w:val="nil"/>
            </w:tcBorders>
            <w:vAlign w:val="bottom"/>
          </w:tcPr>
          <w:p w:rsidR="00093F56" w:rsidRPr="004C7BC7" w:rsidRDefault="006A037D"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w:t>
            </w:r>
            <w:r w:rsidR="00E772FF">
              <w:rPr>
                <w:rFonts w:ascii="Times New Roman" w:hAnsi="Times New Roman" w:cs="Times New Roman"/>
                <w:sz w:val="18"/>
                <w:szCs w:val="18"/>
              </w:rPr>
              <w:t>275</w:t>
            </w:r>
          </w:p>
        </w:tc>
        <w:tc>
          <w:tcPr>
            <w:tcW w:w="1194" w:type="dxa"/>
            <w:tcBorders>
              <w:top w:val="nil"/>
              <w:left w:val="nil"/>
              <w:bottom w:val="single" w:sz="4" w:space="0" w:color="000000" w:themeColor="text1"/>
              <w:right w:val="nil"/>
            </w:tcBorders>
            <w:vAlign w:val="bottom"/>
          </w:tcPr>
          <w:p w:rsidR="00093F56" w:rsidRPr="004C7BC7" w:rsidRDefault="006A037D"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.083</w:t>
            </w:r>
          </w:p>
        </w:tc>
        <w:tc>
          <w:tcPr>
            <w:tcW w:w="1194" w:type="dxa"/>
            <w:tcBorders>
              <w:top w:val="nil"/>
              <w:left w:val="nil"/>
              <w:bottom w:val="single" w:sz="4" w:space="0" w:color="000000" w:themeColor="text1"/>
            </w:tcBorders>
            <w:vAlign w:val="bottom"/>
          </w:tcPr>
          <w:p w:rsidR="00093F56" w:rsidRPr="004C7BC7" w:rsidRDefault="00DB03B0" w:rsidP="000B027E">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w:t>
            </w:r>
            <w:r w:rsidR="00E772FF">
              <w:rPr>
                <w:rFonts w:ascii="Times New Roman" w:hAnsi="Times New Roman" w:cs="Times New Roman"/>
                <w:sz w:val="18"/>
                <w:szCs w:val="18"/>
              </w:rPr>
              <w:t>6</w:t>
            </w:r>
          </w:p>
        </w:tc>
      </w:tr>
      <w:tr w:rsidR="00093F56" w:rsidRPr="00AC2CDC" w:rsidTr="00927C84">
        <w:trPr>
          <w:trHeight w:val="262"/>
        </w:trPr>
        <w:tc>
          <w:tcPr>
            <w:tcW w:w="3060" w:type="dxa"/>
            <w:tcBorders>
              <w:right w:val="nil"/>
            </w:tcBorders>
          </w:tcPr>
          <w:p w:rsidR="00093F56" w:rsidRPr="004C7BC7" w:rsidRDefault="00093F56" w:rsidP="00927C84">
            <w:pPr>
              <w:tabs>
                <w:tab w:val="right" w:leader="dot" w:pos="2862"/>
              </w:tabs>
              <w:spacing w:after="0" w:line="240" w:lineRule="atLeast"/>
              <w:rPr>
                <w:rFonts w:ascii="Times New Roman" w:hAnsi="Times New Roman" w:cs="Times New Roman"/>
                <w:sz w:val="18"/>
                <w:szCs w:val="18"/>
              </w:rPr>
            </w:pPr>
            <w:r w:rsidRPr="004C7BC7">
              <w:rPr>
                <w:rFonts w:ascii="Times New Roman" w:hAnsi="Times New Roman" w:cs="Times New Roman"/>
                <w:sz w:val="18"/>
                <w:szCs w:val="18"/>
              </w:rPr>
              <w:t>Total burden</w:t>
            </w:r>
            <w:r w:rsidRPr="004C7BC7">
              <w:rPr>
                <w:rFonts w:ascii="Times New Roman" w:hAnsi="Times New Roman" w:cs="Times New Roman"/>
                <w:sz w:val="18"/>
                <w:szCs w:val="18"/>
              </w:rPr>
              <w:tab/>
            </w:r>
          </w:p>
        </w:tc>
        <w:tc>
          <w:tcPr>
            <w:tcW w:w="1194" w:type="dxa"/>
            <w:tcBorders>
              <w:left w:val="nil"/>
              <w:right w:val="nil"/>
            </w:tcBorders>
            <w:vAlign w:val="bottom"/>
          </w:tcPr>
          <w:p w:rsidR="00093F56" w:rsidRPr="004C7BC7" w:rsidRDefault="004C7BC7"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1A4DD1"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right w:val="nil"/>
            </w:tcBorders>
            <w:vAlign w:val="bottom"/>
          </w:tcPr>
          <w:p w:rsidR="00093F56" w:rsidRPr="004C7BC7" w:rsidRDefault="00AE35A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1,7</w:t>
            </w:r>
            <w:r w:rsidR="00E772FF">
              <w:rPr>
                <w:rFonts w:ascii="Times New Roman" w:hAnsi="Times New Roman" w:cs="Times New Roman"/>
                <w:sz w:val="18"/>
                <w:szCs w:val="18"/>
              </w:rPr>
              <w:t>0</w:t>
            </w:r>
            <w:r>
              <w:rPr>
                <w:rFonts w:ascii="Times New Roman" w:hAnsi="Times New Roman" w:cs="Times New Roman"/>
                <w:sz w:val="18"/>
                <w:szCs w:val="18"/>
              </w:rPr>
              <w:t>0</w:t>
            </w:r>
          </w:p>
        </w:tc>
        <w:tc>
          <w:tcPr>
            <w:tcW w:w="1194" w:type="dxa"/>
            <w:tcBorders>
              <w:left w:val="nil"/>
              <w:right w:val="nil"/>
            </w:tcBorders>
            <w:vAlign w:val="bottom"/>
          </w:tcPr>
          <w:p w:rsidR="00093F56" w:rsidRPr="004C7BC7" w:rsidRDefault="00AE35AC"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4</w:t>
            </w:r>
            <w:r w:rsidR="007A598A">
              <w:rPr>
                <w:rFonts w:ascii="Times New Roman" w:hAnsi="Times New Roman" w:cs="Times New Roman"/>
                <w:sz w:val="18"/>
                <w:szCs w:val="18"/>
              </w:rPr>
              <w:t>,</w:t>
            </w:r>
            <w:r w:rsidR="00E772FF">
              <w:rPr>
                <w:rFonts w:ascii="Times New Roman" w:hAnsi="Times New Roman" w:cs="Times New Roman"/>
                <w:sz w:val="18"/>
                <w:szCs w:val="18"/>
              </w:rPr>
              <w:t>520</w:t>
            </w:r>
          </w:p>
        </w:tc>
        <w:tc>
          <w:tcPr>
            <w:tcW w:w="1194" w:type="dxa"/>
            <w:tcBorders>
              <w:left w:val="nil"/>
              <w:right w:val="nil"/>
            </w:tcBorders>
            <w:vAlign w:val="bottom"/>
          </w:tcPr>
          <w:p w:rsidR="00093F56" w:rsidRPr="004C7BC7" w:rsidRDefault="007A598A" w:rsidP="00766F21">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w:t>
            </w:r>
          </w:p>
        </w:tc>
        <w:tc>
          <w:tcPr>
            <w:tcW w:w="1194" w:type="dxa"/>
            <w:tcBorders>
              <w:left w:val="nil"/>
            </w:tcBorders>
            <w:vAlign w:val="bottom"/>
          </w:tcPr>
          <w:p w:rsidR="00093F56" w:rsidRPr="004C7BC7" w:rsidRDefault="00357A01" w:rsidP="00E772FF">
            <w:pPr>
              <w:spacing w:after="0" w:line="240" w:lineRule="atLeast"/>
              <w:jc w:val="right"/>
              <w:rPr>
                <w:rFonts w:ascii="Times New Roman" w:hAnsi="Times New Roman" w:cs="Times New Roman"/>
                <w:sz w:val="18"/>
                <w:szCs w:val="18"/>
              </w:rPr>
            </w:pPr>
            <w:r>
              <w:rPr>
                <w:rFonts w:ascii="Times New Roman" w:hAnsi="Times New Roman" w:cs="Times New Roman"/>
                <w:sz w:val="18"/>
                <w:szCs w:val="18"/>
              </w:rPr>
              <w:t>1,0</w:t>
            </w:r>
            <w:r w:rsidR="00E772FF">
              <w:rPr>
                <w:rFonts w:ascii="Times New Roman" w:hAnsi="Times New Roman" w:cs="Times New Roman"/>
                <w:sz w:val="18"/>
                <w:szCs w:val="18"/>
              </w:rPr>
              <w:t>42</w:t>
            </w:r>
          </w:p>
        </w:tc>
      </w:tr>
    </w:tbl>
    <w:p w:rsidR="00F748B5" w:rsidRDefault="00F748B5" w:rsidP="00F748B5">
      <w:pPr>
        <w:pStyle w:val="SP-SglSpPara"/>
        <w:ind w:firstLine="0"/>
      </w:pPr>
    </w:p>
    <w:p w:rsidR="008126EA" w:rsidRPr="0079689D" w:rsidRDefault="00573110" w:rsidP="00753FB8">
      <w:pPr>
        <w:pStyle w:val="SL-FlLftSgl"/>
        <w:spacing w:after="120" w:line="23" w:lineRule="atLeast"/>
        <w:rPr>
          <w:b/>
          <w:bCs/>
          <w:szCs w:val="22"/>
        </w:rPr>
      </w:pPr>
      <w:r>
        <w:rPr>
          <w:b/>
          <w:bCs/>
          <w:szCs w:val="22"/>
        </w:rPr>
        <w:t xml:space="preserve">Procedures and </w:t>
      </w:r>
      <w:r w:rsidR="00CC5714">
        <w:rPr>
          <w:b/>
          <w:bCs/>
          <w:szCs w:val="22"/>
        </w:rPr>
        <w:t>Data Collection Instrument</w:t>
      </w:r>
    </w:p>
    <w:p w:rsidR="008126EA" w:rsidRDefault="00001E22" w:rsidP="00753FB8">
      <w:pPr>
        <w:pStyle w:val="SP-SglSpPara"/>
        <w:spacing w:after="120" w:line="23" w:lineRule="atLeast"/>
        <w:rPr>
          <w:szCs w:val="22"/>
        </w:rPr>
      </w:pPr>
      <w:r>
        <w:rPr>
          <w:szCs w:val="22"/>
        </w:rPr>
        <w:t xml:space="preserve">A questionnaire, cover letter (Attachment </w:t>
      </w:r>
      <w:r w:rsidR="0050783C">
        <w:rPr>
          <w:szCs w:val="22"/>
        </w:rPr>
        <w:t>2</w:t>
      </w:r>
      <w:r>
        <w:rPr>
          <w:szCs w:val="22"/>
        </w:rPr>
        <w:t xml:space="preserve">), and web information sheet (Attachment </w:t>
      </w:r>
      <w:r w:rsidR="0050783C">
        <w:rPr>
          <w:szCs w:val="22"/>
        </w:rPr>
        <w:t>3</w:t>
      </w:r>
      <w:r>
        <w:rPr>
          <w:szCs w:val="22"/>
        </w:rPr>
        <w:t>) will be mailed to each sampled</w:t>
      </w:r>
      <w:r w:rsidR="00633010">
        <w:rPr>
          <w:szCs w:val="22"/>
        </w:rPr>
        <w:t xml:space="preserve"> district</w:t>
      </w:r>
      <w:r>
        <w:rPr>
          <w:szCs w:val="22"/>
        </w:rPr>
        <w:t xml:space="preserve">. The cover letter requests the participation of the </w:t>
      </w:r>
      <w:r w:rsidR="00633010">
        <w:rPr>
          <w:szCs w:val="22"/>
        </w:rPr>
        <w:t xml:space="preserve">district </w:t>
      </w:r>
      <w:r>
        <w:rPr>
          <w:szCs w:val="22"/>
        </w:rPr>
        <w:t>and introduces the purpose and content of the survey. It also notes that the survey should be completed by the person</w:t>
      </w:r>
      <w:r w:rsidR="00C3274A">
        <w:rPr>
          <w:szCs w:val="22"/>
        </w:rPr>
        <w:t>(s) in the district</w:t>
      </w:r>
      <w:r>
        <w:rPr>
          <w:szCs w:val="22"/>
        </w:rPr>
        <w:t xml:space="preserve"> most knowledgeable about</w:t>
      </w:r>
      <w:r w:rsidR="00633010">
        <w:rPr>
          <w:szCs w:val="22"/>
        </w:rPr>
        <w:t xml:space="preserve"> </w:t>
      </w:r>
      <w:r w:rsidR="00C3274A">
        <w:rPr>
          <w:szCs w:val="22"/>
        </w:rPr>
        <w:t xml:space="preserve">programs and services for </w:t>
      </w:r>
      <w:r w:rsidR="00633010">
        <w:rPr>
          <w:szCs w:val="22"/>
        </w:rPr>
        <w:t>English learner</w:t>
      </w:r>
      <w:r w:rsidR="00C3274A">
        <w:rPr>
          <w:szCs w:val="22"/>
        </w:rPr>
        <w:t>s</w:t>
      </w:r>
      <w:r w:rsidR="00633010">
        <w:rPr>
          <w:szCs w:val="22"/>
        </w:rPr>
        <w:t xml:space="preserve"> at the high school level</w:t>
      </w:r>
      <w:r>
        <w:rPr>
          <w:szCs w:val="22"/>
        </w:rPr>
        <w:t>. The cover letter includes instructions on how to complete and return the survey, as well as contact information in case of questions. The web information sheet is included in the mailing to provide information about the option to complete a web version of the survey. On the cover of the survey and in the cover letter, respondents are assured that their participation is voluntary and their answers may</w:t>
      </w:r>
      <w:r w:rsidR="00AA5274">
        <w:rPr>
          <w:szCs w:val="22"/>
        </w:rPr>
        <w:t xml:space="preserve"> not</w:t>
      </w:r>
      <w:r>
        <w:rPr>
          <w:szCs w:val="22"/>
        </w:rPr>
        <w:t xml:space="preserve"> be disclosed</w:t>
      </w:r>
      <w:r w:rsidR="00AA5274">
        <w:rPr>
          <w:szCs w:val="22"/>
        </w:rPr>
        <w:t>,</w:t>
      </w:r>
      <w:r>
        <w:rPr>
          <w:szCs w:val="22"/>
        </w:rPr>
        <w:t xml:space="preserve"> or used</w:t>
      </w:r>
      <w:r w:rsidR="00AA5274">
        <w:rPr>
          <w:szCs w:val="22"/>
        </w:rPr>
        <w:t>,</w:t>
      </w:r>
      <w:r>
        <w:rPr>
          <w:szCs w:val="22"/>
        </w:rPr>
        <w:t xml:space="preserve"> in identifiable form for any other purpose </w:t>
      </w:r>
      <w:r w:rsidR="0032664F">
        <w:rPr>
          <w:szCs w:val="22"/>
        </w:rPr>
        <w:t>except as required</w:t>
      </w:r>
      <w:r w:rsidR="0032664F" w:rsidRPr="00054843">
        <w:rPr>
          <w:szCs w:val="22"/>
        </w:rPr>
        <w:t xml:space="preserve"> by law</w:t>
      </w:r>
      <w:r>
        <w:rPr>
          <w:szCs w:val="22"/>
        </w:rPr>
        <w:t xml:space="preserve"> (Education Sciences Reform Act of 2002, 20 U.S.C.</w:t>
      </w:r>
      <w:r w:rsidR="005A28D3">
        <w:rPr>
          <w:szCs w:val="22"/>
        </w:rPr>
        <w:t xml:space="preserve"> </w:t>
      </w:r>
      <w:r w:rsidR="005A28D3" w:rsidRPr="00972C44">
        <w:t>§</w:t>
      </w:r>
      <w:r>
        <w:rPr>
          <w:szCs w:val="22"/>
        </w:rPr>
        <w:t xml:space="preserve"> 9573).</w:t>
      </w:r>
    </w:p>
    <w:p w:rsidR="00077D51" w:rsidRDefault="00077D51" w:rsidP="00753FB8">
      <w:pPr>
        <w:pStyle w:val="SP-SglSpPara"/>
        <w:spacing w:after="120" w:line="23" w:lineRule="atLeast"/>
        <w:rPr>
          <w:szCs w:val="22"/>
        </w:rPr>
      </w:pPr>
      <w:r>
        <w:rPr>
          <w:szCs w:val="22"/>
        </w:rPr>
        <w:t xml:space="preserve">If a completed survey is not received for a sampled </w:t>
      </w:r>
      <w:r w:rsidR="00633010">
        <w:rPr>
          <w:szCs w:val="22"/>
        </w:rPr>
        <w:t xml:space="preserve">district </w:t>
      </w:r>
      <w:r>
        <w:rPr>
          <w:szCs w:val="22"/>
        </w:rPr>
        <w:t xml:space="preserve">within 3 weeks after the initial mailing, the </w:t>
      </w:r>
      <w:r w:rsidR="00633010">
        <w:rPr>
          <w:szCs w:val="22"/>
        </w:rPr>
        <w:t xml:space="preserve">district </w:t>
      </w:r>
      <w:r>
        <w:rPr>
          <w:szCs w:val="22"/>
        </w:rPr>
        <w:t xml:space="preserve">will receive a nonresponse follow-up letter (Attachment </w:t>
      </w:r>
      <w:r w:rsidR="0050783C">
        <w:rPr>
          <w:szCs w:val="22"/>
        </w:rPr>
        <w:t>4</w:t>
      </w:r>
      <w:r>
        <w:rPr>
          <w:szCs w:val="22"/>
        </w:rPr>
        <w:t>), another copy of the</w:t>
      </w:r>
      <w:r w:rsidR="00633010">
        <w:rPr>
          <w:szCs w:val="22"/>
        </w:rPr>
        <w:t xml:space="preserve"> district</w:t>
      </w:r>
      <w:r>
        <w:rPr>
          <w:szCs w:val="22"/>
        </w:rPr>
        <w:t xml:space="preserve">’s web information sheet, and a brief, scripted telephone call (Attachment </w:t>
      </w:r>
      <w:r w:rsidR="0050783C">
        <w:rPr>
          <w:szCs w:val="22"/>
        </w:rPr>
        <w:t>5</w:t>
      </w:r>
      <w:r>
        <w:rPr>
          <w:szCs w:val="22"/>
        </w:rPr>
        <w:t>) prompting the respondent to return a completed survey via the web, fax, or mail.</w:t>
      </w:r>
    </w:p>
    <w:p w:rsidR="008126EA" w:rsidRPr="0079689D" w:rsidRDefault="00CC5714" w:rsidP="00753FB8">
      <w:pPr>
        <w:pStyle w:val="SP-SglSpPara"/>
        <w:spacing w:after="120" w:line="23" w:lineRule="atLeast"/>
        <w:ind w:firstLine="0"/>
        <w:rPr>
          <w:b/>
          <w:szCs w:val="22"/>
        </w:rPr>
      </w:pPr>
      <w:r w:rsidRPr="0086314A">
        <w:rPr>
          <w:b/>
          <w:szCs w:val="22"/>
        </w:rPr>
        <w:t>Questionnaire</w:t>
      </w:r>
    </w:p>
    <w:p w:rsidR="00784ECC" w:rsidRDefault="006C164B" w:rsidP="00753FB8">
      <w:pPr>
        <w:pStyle w:val="SP-SglSpPara"/>
        <w:spacing w:after="120" w:line="23" w:lineRule="atLeast"/>
        <w:rPr>
          <w:szCs w:val="22"/>
        </w:rPr>
      </w:pPr>
      <w:r w:rsidRPr="0079689D">
        <w:rPr>
          <w:szCs w:val="22"/>
        </w:rPr>
        <w:t xml:space="preserve">The </w:t>
      </w:r>
      <w:r w:rsidR="00C217F9">
        <w:rPr>
          <w:szCs w:val="22"/>
        </w:rPr>
        <w:t xml:space="preserve">questionnaire </w:t>
      </w:r>
      <w:r w:rsidRPr="0079689D">
        <w:rPr>
          <w:szCs w:val="22"/>
        </w:rPr>
        <w:t>is designed to collect information</w:t>
      </w:r>
      <w:r w:rsidR="00D34DE2">
        <w:rPr>
          <w:szCs w:val="22"/>
        </w:rPr>
        <w:t xml:space="preserve"> from public school districts </w:t>
      </w:r>
      <w:r w:rsidRPr="0079689D">
        <w:rPr>
          <w:szCs w:val="22"/>
        </w:rPr>
        <w:t xml:space="preserve">on </w:t>
      </w:r>
      <w:r w:rsidR="00D34DE2">
        <w:rPr>
          <w:szCs w:val="22"/>
        </w:rPr>
        <w:t>programs and services for high school English learners</w:t>
      </w:r>
      <w:r w:rsidR="00CA168A">
        <w:rPr>
          <w:szCs w:val="22"/>
        </w:rPr>
        <w:t xml:space="preserve"> (ELs)</w:t>
      </w:r>
      <w:r w:rsidR="00431F90">
        <w:rPr>
          <w:szCs w:val="22"/>
        </w:rPr>
        <w:t xml:space="preserve"> during the 2015-16 school year</w:t>
      </w:r>
      <w:r w:rsidR="00D34DE2">
        <w:rPr>
          <w:szCs w:val="22"/>
        </w:rPr>
        <w:t>.</w:t>
      </w:r>
    </w:p>
    <w:p w:rsidR="0092238F" w:rsidRDefault="00B50C99" w:rsidP="00B50C99">
      <w:pPr>
        <w:pStyle w:val="SP-SglSpPara"/>
        <w:spacing w:after="120" w:line="23" w:lineRule="atLeast"/>
      </w:pPr>
      <w:r>
        <w:rPr>
          <w:b/>
        </w:rPr>
        <w:t xml:space="preserve">Question 1 </w:t>
      </w:r>
      <w:r w:rsidRPr="00B50C99">
        <w:t>asks</w:t>
      </w:r>
      <w:r>
        <w:t xml:space="preserve"> whether the district currently enroll</w:t>
      </w:r>
      <w:r w:rsidR="008F5162">
        <w:t>s</w:t>
      </w:r>
      <w:r>
        <w:t xml:space="preserve"> any English learners at the high school level.</w:t>
      </w:r>
      <w:r w:rsidRPr="00B50C99">
        <w:t xml:space="preserve"> </w:t>
      </w:r>
    </w:p>
    <w:p w:rsidR="00B50C99" w:rsidRPr="008B79F3" w:rsidRDefault="00B50C99" w:rsidP="00B50C99">
      <w:pPr>
        <w:pStyle w:val="SP-SglSpPara"/>
        <w:spacing w:after="120" w:line="23" w:lineRule="atLeast"/>
      </w:pPr>
      <w:bookmarkStart w:id="0" w:name="_GoBack"/>
      <w:bookmarkEnd w:id="0"/>
      <w:r w:rsidRPr="008B79F3">
        <w:rPr>
          <w:b/>
        </w:rPr>
        <w:t xml:space="preserve">Question </w:t>
      </w:r>
      <w:r>
        <w:rPr>
          <w:b/>
        </w:rPr>
        <w:t xml:space="preserve">2 </w:t>
      </w:r>
      <w:r>
        <w:t>asks for the current total number of high school English learners enrolled in the district.</w:t>
      </w:r>
    </w:p>
    <w:p w:rsidR="00784ECC" w:rsidRDefault="00911756" w:rsidP="00753FB8">
      <w:pPr>
        <w:pStyle w:val="SP-SglSpPara"/>
        <w:spacing w:after="120" w:line="23" w:lineRule="atLeast"/>
        <w:rPr>
          <w:szCs w:val="22"/>
        </w:rPr>
      </w:pPr>
      <w:r w:rsidRPr="00931BCF">
        <w:rPr>
          <w:b/>
        </w:rPr>
        <w:t xml:space="preserve">Question </w:t>
      </w:r>
      <w:r w:rsidR="00B50C99">
        <w:rPr>
          <w:b/>
        </w:rPr>
        <w:t>3</w:t>
      </w:r>
      <w:r w:rsidRPr="00911756">
        <w:t xml:space="preserve"> </w:t>
      </w:r>
      <w:r w:rsidR="00CA168A">
        <w:t xml:space="preserve">asks about the English learner instructional programs/approaches that the district currently provides for English learners in high school. </w:t>
      </w:r>
      <w:r w:rsidR="00CA168A">
        <w:rPr>
          <w:szCs w:val="22"/>
        </w:rPr>
        <w:t>Programs/approaches include bilingual instruction for ELs in content classes, two-way bilingual/dual language program in content classes, English as a second language (ESL) instruction in scheduled class periods, ESL push-in or pull-out instruction, instructional support by a paraprofessional who does not speak the student’s native language, instructional support by a paraprofessional who speaks the student’s native language, and sheltered English/content instruction.</w:t>
      </w:r>
    </w:p>
    <w:p w:rsidR="000E150F" w:rsidRPr="00911756" w:rsidRDefault="00454C97" w:rsidP="00753FB8">
      <w:pPr>
        <w:pStyle w:val="SP-SglSpPara"/>
        <w:spacing w:after="120" w:line="23" w:lineRule="atLeast"/>
      </w:pPr>
      <w:r w:rsidRPr="00C404F8">
        <w:rPr>
          <w:b/>
        </w:rPr>
        <w:t xml:space="preserve">Question </w:t>
      </w:r>
      <w:r w:rsidR="00B50C99">
        <w:rPr>
          <w:b/>
        </w:rPr>
        <w:t>4</w:t>
      </w:r>
      <w:r w:rsidR="000E150F">
        <w:rPr>
          <w:b/>
        </w:rPr>
        <w:t xml:space="preserve"> </w:t>
      </w:r>
      <w:r w:rsidR="000E150F" w:rsidRPr="000E150F">
        <w:t>asks whether the district</w:t>
      </w:r>
      <w:r w:rsidR="000E150F">
        <w:t xml:space="preserve"> has a newcomer program for English learners in high school. </w:t>
      </w:r>
      <w:r w:rsidR="00B50C99">
        <w:rPr>
          <w:b/>
        </w:rPr>
        <w:t>Questions 5</w:t>
      </w:r>
      <w:r w:rsidR="000E150F" w:rsidRPr="000E150F">
        <w:rPr>
          <w:b/>
        </w:rPr>
        <w:t xml:space="preserve"> through </w:t>
      </w:r>
      <w:r w:rsidR="00B50C99">
        <w:rPr>
          <w:b/>
        </w:rPr>
        <w:t>8</w:t>
      </w:r>
      <w:r w:rsidR="000E150F">
        <w:t xml:space="preserve"> ask about the characteristics of the newcomer program, including whether it is designed to serve a specific group of newly arrived students (such as those with limited or interrupted formal education), the structure of the newcomer program, and the typical length of time a high school student spends in the newcomer program.</w:t>
      </w:r>
    </w:p>
    <w:p w:rsidR="00D41606" w:rsidRDefault="00090B18" w:rsidP="00753FB8">
      <w:pPr>
        <w:pStyle w:val="SP-SglSpPara"/>
        <w:spacing w:after="120" w:line="23" w:lineRule="atLeast"/>
      </w:pPr>
      <w:r w:rsidRPr="00090B18">
        <w:rPr>
          <w:b/>
        </w:rPr>
        <w:t xml:space="preserve">Question </w:t>
      </w:r>
      <w:r w:rsidR="00B50C99">
        <w:rPr>
          <w:b/>
        </w:rPr>
        <w:t>9</w:t>
      </w:r>
      <w:r w:rsidR="00623B50">
        <w:t xml:space="preserve"> asks whether high school E</w:t>
      </w:r>
      <w:r w:rsidR="00BA39A7">
        <w:t>nglish learner</w:t>
      </w:r>
      <w:r w:rsidR="00623B50">
        <w:t xml:space="preserve">s in the district work with online or computer-based programs in </w:t>
      </w:r>
      <w:r w:rsidR="00431F90">
        <w:t xml:space="preserve">various </w:t>
      </w:r>
      <w:r w:rsidR="00623B50">
        <w:t>areas to address any of their needs as English learners. Areas include English language acquisition, English language and literacy instruction, content area instruction, native language support in content area instruction, and organizational and study skills.</w:t>
      </w:r>
    </w:p>
    <w:p w:rsidR="00090B18" w:rsidRDefault="00090B18" w:rsidP="00753FB8">
      <w:pPr>
        <w:pStyle w:val="SP-SglSpPara"/>
        <w:spacing w:after="120" w:line="23" w:lineRule="atLeast"/>
      </w:pPr>
      <w:r w:rsidRPr="00090B18">
        <w:rPr>
          <w:b/>
        </w:rPr>
        <w:lastRenderedPageBreak/>
        <w:t xml:space="preserve">Question </w:t>
      </w:r>
      <w:r w:rsidR="00B50C99">
        <w:rPr>
          <w:b/>
        </w:rPr>
        <w:t>10</w:t>
      </w:r>
      <w:r>
        <w:t xml:space="preserve"> asks</w:t>
      </w:r>
      <w:r w:rsidR="00B5280F">
        <w:t xml:space="preserve"> districts approximately</w:t>
      </w:r>
      <w:r>
        <w:t xml:space="preserve"> </w:t>
      </w:r>
      <w:r w:rsidR="00B5280F">
        <w:t>how many high</w:t>
      </w:r>
      <w:r w:rsidR="00BA39A7">
        <w:t xml:space="preserve"> school</w:t>
      </w:r>
      <w:r w:rsidR="00B5280F">
        <w:t xml:space="preserve"> E</w:t>
      </w:r>
      <w:r w:rsidR="00BA39A7">
        <w:t>nglish learner</w:t>
      </w:r>
      <w:r w:rsidR="00B5280F">
        <w:t>s participate in various programs or services, with the response options of none, few, some, most, and don’t know. The programs and services are summer school, remediation classes, credit recovery course/program, flexible scheduling, alternative school/program for at-risk students, career and technical training, distance education course/program, district-administered GED courses, tutoring, and mentoring program.</w:t>
      </w:r>
    </w:p>
    <w:p w:rsidR="00B5280F" w:rsidRDefault="00B5280F" w:rsidP="00753FB8">
      <w:pPr>
        <w:pStyle w:val="SP-SglSpPara"/>
        <w:spacing w:after="120" w:line="23" w:lineRule="atLeast"/>
      </w:pPr>
      <w:r w:rsidRPr="00B5280F">
        <w:rPr>
          <w:b/>
        </w:rPr>
        <w:t>Question 1</w:t>
      </w:r>
      <w:r w:rsidR="00B50C99">
        <w:rPr>
          <w:b/>
        </w:rPr>
        <w:t>1</w:t>
      </w:r>
      <w:r>
        <w:t xml:space="preserve"> asks </w:t>
      </w:r>
      <w:r w:rsidR="00C50836">
        <w:t xml:space="preserve">whether the district has various programs or services designed specifically for English learners in high school. </w:t>
      </w:r>
      <w:r w:rsidR="0059423B">
        <w:t>The programs and services are tutoring, summer school, credit recovery course/program, mentoring program, and distance education course/program.</w:t>
      </w:r>
    </w:p>
    <w:p w:rsidR="0059423B" w:rsidRDefault="0059423B" w:rsidP="00753FB8">
      <w:pPr>
        <w:pStyle w:val="SP-SglSpPara"/>
        <w:spacing w:after="120" w:line="23" w:lineRule="atLeast"/>
      </w:pPr>
      <w:r w:rsidRPr="0059423B">
        <w:rPr>
          <w:b/>
        </w:rPr>
        <w:t>Question 1</w:t>
      </w:r>
      <w:r w:rsidR="00B50C99">
        <w:rPr>
          <w:b/>
        </w:rPr>
        <w:t>2</w:t>
      </w:r>
      <w:r>
        <w:t xml:space="preserve"> asks </w:t>
      </w:r>
      <w:r w:rsidR="006B5713">
        <w:t xml:space="preserve">about </w:t>
      </w:r>
      <w:r w:rsidR="005332DD">
        <w:t>materials and services that the district has available in native languages for high school E</w:t>
      </w:r>
      <w:r w:rsidR="005E6E04">
        <w:t xml:space="preserve">nglish learners </w:t>
      </w:r>
      <w:r w:rsidR="005332DD">
        <w:t>and their parents/guardians. Districts are asked to report separately for materials and services in the most common native language of ELs in the district, and for materials and services available in other native languages of ELs in the district.</w:t>
      </w:r>
      <w:r w:rsidR="00784ECC">
        <w:t xml:space="preserve"> </w:t>
      </w:r>
      <w:r w:rsidR="005332DD">
        <w:t>Materials and services include written information about high school academic programs in the district, written information about high school career and technical education programs in the district, translation service upon request for printed materials, and interpreters upon request for school meetings or calls.</w:t>
      </w:r>
    </w:p>
    <w:p w:rsidR="00784ECC" w:rsidRDefault="005332DD" w:rsidP="00753FB8">
      <w:pPr>
        <w:pStyle w:val="SP-SglSpPara"/>
        <w:spacing w:after="120" w:line="23" w:lineRule="atLeast"/>
      </w:pPr>
      <w:r w:rsidRPr="005332DD">
        <w:rPr>
          <w:b/>
        </w:rPr>
        <w:t>Question 1</w:t>
      </w:r>
      <w:r w:rsidR="00B50C99">
        <w:rPr>
          <w:b/>
        </w:rPr>
        <w:t>3</w:t>
      </w:r>
      <w:r>
        <w:t xml:space="preserve"> asks</w:t>
      </w:r>
      <w:r w:rsidR="00C2682D">
        <w:t xml:space="preserve"> districts</w:t>
      </w:r>
      <w:r w:rsidR="00792F6B">
        <w:t xml:space="preserve"> </w:t>
      </w:r>
      <w:r w:rsidR="00C2682D">
        <w:t>for the approximate number of high school E</w:t>
      </w:r>
      <w:r w:rsidR="006B5713">
        <w:t>nglish learners</w:t>
      </w:r>
      <w:r w:rsidR="00C2682D">
        <w:t xml:space="preserve"> with their native language used for content instruction, and the approximate number with their native language used for instructional support only.</w:t>
      </w:r>
      <w:r w:rsidR="00784ECC">
        <w:t xml:space="preserve"> </w:t>
      </w:r>
      <w:r w:rsidR="00C2682D">
        <w:t>The response options are no students, few students, some students, and most or all students. Districts are asked to report separately for high school ELs whose native language is the most common native language of ELs in the district, and those who native language is another non-English language in the district.</w:t>
      </w:r>
    </w:p>
    <w:p w:rsidR="00C2682D" w:rsidRDefault="009C03E7" w:rsidP="00753FB8">
      <w:pPr>
        <w:pStyle w:val="SP-SglSpPara"/>
        <w:spacing w:after="120" w:line="23" w:lineRule="atLeast"/>
      </w:pPr>
      <w:r w:rsidRPr="009C03E7">
        <w:rPr>
          <w:b/>
        </w:rPr>
        <w:t>Question 1</w:t>
      </w:r>
      <w:r w:rsidR="00B50C99">
        <w:rPr>
          <w:b/>
        </w:rPr>
        <w:t>4</w:t>
      </w:r>
      <w:r>
        <w:t xml:space="preserve"> asks districts about how often in the last 12 months English learners ages 18-21 have newly enrolled in the district as a high school student. The response options are never, rarely, sometimes, often, and don’t know.</w:t>
      </w:r>
    </w:p>
    <w:p w:rsidR="009C03E7" w:rsidRDefault="00B50C99" w:rsidP="00753FB8">
      <w:pPr>
        <w:pStyle w:val="SP-SglSpPara"/>
        <w:spacing w:after="120" w:line="23" w:lineRule="atLeast"/>
      </w:pPr>
      <w:r>
        <w:rPr>
          <w:b/>
        </w:rPr>
        <w:t>Question 15</w:t>
      </w:r>
      <w:r w:rsidR="009C03E7">
        <w:t xml:space="preserve"> asks whether the district provides English learners ages 18 to 21 who are seeking to newly enroll in the district with information about various educational programs and services. Programs and services include academic programs at the regular high school, alternative school or program for at-risk students, district-administered newcomer program, career and technical training offered by the public school district, career and technical training offered by other entities, GED or adult education programs offered by the public school district, GED or adult education programs offered by other entities, and free or low-cost English classes.</w:t>
      </w:r>
    </w:p>
    <w:p w:rsidR="00260C5E" w:rsidRPr="00D0535B" w:rsidRDefault="00260C5E" w:rsidP="00753FB8">
      <w:pPr>
        <w:pStyle w:val="SP-SglSpPara"/>
        <w:spacing w:after="120" w:line="23" w:lineRule="atLeast"/>
      </w:pPr>
      <w:r w:rsidRPr="008F2715">
        <w:rPr>
          <w:b/>
        </w:rPr>
        <w:t xml:space="preserve">Question </w:t>
      </w:r>
      <w:r w:rsidR="008F2715" w:rsidRPr="008F2715">
        <w:rPr>
          <w:b/>
        </w:rPr>
        <w:t>1</w:t>
      </w:r>
      <w:r w:rsidR="00B50C99">
        <w:rPr>
          <w:b/>
        </w:rPr>
        <w:t>6</w:t>
      </w:r>
      <w:r w:rsidR="008F2715">
        <w:t xml:space="preserve"> asks about the extent to which the district considers various factors when providing information about educational programs or services available to English learners ages 18 to 21 who are seeking to newly enroll in the district. The response options are not at all, minor extent, moderate extent, and major extent.</w:t>
      </w:r>
      <w:r w:rsidR="00784ECC">
        <w:t xml:space="preserve"> </w:t>
      </w:r>
      <w:r w:rsidR="008F2715">
        <w:t>The factors include English p</w:t>
      </w:r>
      <w:r w:rsidR="00736CAB">
        <w:t>roficiency level, literacy in their native language, limited or interrupted formal education, length of time needed to accrue sufficient credits to graduate, whether the student will be able to meet high school graduation requirements in content area classes, whether the student will be able to pass state tests required for graduation, and the age of the student at time of enrollment.</w:t>
      </w:r>
    </w:p>
    <w:p w:rsidR="008126EA" w:rsidRPr="0079689D" w:rsidRDefault="0084228D" w:rsidP="00753FB8">
      <w:pPr>
        <w:spacing w:after="120" w:line="23" w:lineRule="atLeast"/>
        <w:rPr>
          <w:rFonts w:ascii="Times New Roman" w:hAnsi="Times New Roman"/>
          <w:b/>
        </w:rPr>
      </w:pPr>
      <w:r>
        <w:rPr>
          <w:rFonts w:ascii="Times New Roman" w:hAnsi="Times New Roman"/>
          <w:b/>
        </w:rPr>
        <w:t>Survey Cost and T</w:t>
      </w:r>
      <w:r w:rsidR="008126EA" w:rsidRPr="0079689D">
        <w:rPr>
          <w:rFonts w:ascii="Times New Roman" w:hAnsi="Times New Roman"/>
          <w:b/>
        </w:rPr>
        <w:t>ime</w:t>
      </w:r>
      <w:r>
        <w:rPr>
          <w:rFonts w:ascii="Times New Roman" w:hAnsi="Times New Roman"/>
          <w:b/>
        </w:rPr>
        <w:t xml:space="preserve"> Schedule</w:t>
      </w:r>
    </w:p>
    <w:p w:rsidR="008126EA" w:rsidRDefault="007D04F2" w:rsidP="00753FB8">
      <w:pPr>
        <w:spacing w:after="120" w:line="23" w:lineRule="atLeast"/>
        <w:ind w:firstLine="576"/>
        <w:rPr>
          <w:rFonts w:ascii="Times New Roman" w:hAnsi="Times New Roman"/>
        </w:rPr>
      </w:pPr>
      <w:r>
        <w:rPr>
          <w:rFonts w:ascii="Times New Roman" w:hAnsi="Times New Roman"/>
        </w:rPr>
        <w:t>T</w:t>
      </w:r>
      <w:r w:rsidR="0084228D" w:rsidRPr="00BB4AE4">
        <w:rPr>
          <w:rFonts w:ascii="Times New Roman" w:hAnsi="Times New Roman"/>
        </w:rPr>
        <w:t>he survey is estimated to cost the federal government about $</w:t>
      </w:r>
      <w:r w:rsidR="00B16947">
        <w:rPr>
          <w:rFonts w:ascii="Times New Roman" w:hAnsi="Times New Roman"/>
        </w:rPr>
        <w:t>73</w:t>
      </w:r>
      <w:r w:rsidR="0084228D" w:rsidRPr="00BB4AE4">
        <w:rPr>
          <w:rFonts w:ascii="Times New Roman" w:hAnsi="Times New Roman"/>
        </w:rPr>
        <w:t>0,000, including about $</w:t>
      </w:r>
      <w:r w:rsidR="00B16947">
        <w:rPr>
          <w:rFonts w:ascii="Times New Roman" w:hAnsi="Times New Roman"/>
        </w:rPr>
        <w:t>68</w:t>
      </w:r>
      <w:r w:rsidR="0084228D" w:rsidRPr="00BB4AE4">
        <w:rPr>
          <w:rFonts w:ascii="Times New Roman" w:hAnsi="Times New Roman"/>
        </w:rPr>
        <w:t>0,000 for contractual costs and $50,000 for salaries and expenses.</w:t>
      </w:r>
      <w:r w:rsidR="00426C99" w:rsidRPr="00BB4AE4">
        <w:rPr>
          <w:rFonts w:ascii="Times New Roman" w:hAnsi="Times New Roman"/>
        </w:rPr>
        <w:t xml:space="preserve"> </w:t>
      </w:r>
      <w:r w:rsidR="0084228D" w:rsidRPr="00BB4AE4">
        <w:rPr>
          <w:rFonts w:ascii="Times New Roman" w:hAnsi="Times New Roman"/>
        </w:rPr>
        <w:t>Contractual costs include the costs for survey preparation, data collection, data analysis, and report preparation.</w:t>
      </w:r>
    </w:p>
    <w:p w:rsidR="0084228D" w:rsidRDefault="0084228D" w:rsidP="00753FB8">
      <w:pPr>
        <w:spacing w:after="120" w:line="23" w:lineRule="atLeast"/>
        <w:ind w:firstLine="576"/>
        <w:rPr>
          <w:rFonts w:ascii="Times New Roman" w:hAnsi="Times New Roman"/>
        </w:rPr>
      </w:pPr>
      <w:r>
        <w:rPr>
          <w:rFonts w:ascii="Times New Roman" w:hAnsi="Times New Roman"/>
        </w:rPr>
        <w:t xml:space="preserve">Mailing of the survey </w:t>
      </w:r>
      <w:r w:rsidR="00EF0544">
        <w:rPr>
          <w:rFonts w:ascii="Times New Roman" w:hAnsi="Times New Roman"/>
        </w:rPr>
        <w:t>will begin in</w:t>
      </w:r>
      <w:r>
        <w:rPr>
          <w:rFonts w:ascii="Times New Roman" w:hAnsi="Times New Roman"/>
        </w:rPr>
        <w:t xml:space="preserve"> </w:t>
      </w:r>
      <w:r w:rsidR="006F105E">
        <w:rPr>
          <w:rFonts w:ascii="Times New Roman" w:hAnsi="Times New Roman"/>
        </w:rPr>
        <w:t xml:space="preserve">September </w:t>
      </w:r>
      <w:r>
        <w:rPr>
          <w:rFonts w:ascii="Times New Roman" w:hAnsi="Times New Roman"/>
        </w:rPr>
        <w:t>201</w:t>
      </w:r>
      <w:r w:rsidR="006F105E">
        <w:rPr>
          <w:rFonts w:ascii="Times New Roman" w:hAnsi="Times New Roman"/>
        </w:rPr>
        <w:t>5</w:t>
      </w:r>
      <w:r w:rsidR="00EF0544">
        <w:rPr>
          <w:rFonts w:ascii="Times New Roman" w:hAnsi="Times New Roman"/>
        </w:rPr>
        <w:t>, and a</w:t>
      </w:r>
      <w:r>
        <w:rPr>
          <w:rFonts w:ascii="Times New Roman" w:hAnsi="Times New Roman"/>
        </w:rPr>
        <w:t xml:space="preserve">bout 3 weeks </w:t>
      </w:r>
      <w:r w:rsidR="00EF0544">
        <w:rPr>
          <w:rFonts w:ascii="Times New Roman" w:hAnsi="Times New Roman"/>
        </w:rPr>
        <w:t>later</w:t>
      </w:r>
      <w:r>
        <w:rPr>
          <w:rFonts w:ascii="Times New Roman" w:hAnsi="Times New Roman"/>
        </w:rPr>
        <w:t>, telephone follow-up for nonresponse</w:t>
      </w:r>
      <w:r w:rsidR="00EF0544">
        <w:rPr>
          <w:rFonts w:ascii="Times New Roman" w:hAnsi="Times New Roman"/>
        </w:rPr>
        <w:t xml:space="preserve"> will begin</w:t>
      </w:r>
      <w:r>
        <w:rPr>
          <w:rFonts w:ascii="Times New Roman" w:hAnsi="Times New Roman"/>
        </w:rPr>
        <w:t xml:space="preserve">. Data collection is scheduled </w:t>
      </w:r>
      <w:r w:rsidR="00EF0544">
        <w:rPr>
          <w:rFonts w:ascii="Times New Roman" w:hAnsi="Times New Roman"/>
        </w:rPr>
        <w:t>to end</w:t>
      </w:r>
      <w:r>
        <w:rPr>
          <w:rFonts w:ascii="Times New Roman" w:hAnsi="Times New Roman"/>
        </w:rPr>
        <w:t xml:space="preserve"> about </w:t>
      </w:r>
      <w:r w:rsidR="00AB6C98">
        <w:rPr>
          <w:rFonts w:ascii="Times New Roman" w:hAnsi="Times New Roman"/>
        </w:rPr>
        <w:t>20 weeks after initial mailout.</w:t>
      </w:r>
    </w:p>
    <w:p w:rsidR="00AB6C98" w:rsidRPr="003F5D02" w:rsidRDefault="003F5D02" w:rsidP="00753FB8">
      <w:pPr>
        <w:spacing w:after="120" w:line="23" w:lineRule="atLeast"/>
        <w:rPr>
          <w:rFonts w:ascii="Times New Roman" w:hAnsi="Times New Roman"/>
          <w:b/>
        </w:rPr>
      </w:pPr>
      <w:r w:rsidRPr="003F5D02">
        <w:rPr>
          <w:rFonts w:ascii="Times New Roman" w:hAnsi="Times New Roman"/>
          <w:b/>
        </w:rPr>
        <w:t>Plan for Tabulation and Publication</w:t>
      </w:r>
    </w:p>
    <w:p w:rsidR="003F5D02" w:rsidRDefault="004D2D1F" w:rsidP="00753FB8">
      <w:pPr>
        <w:spacing w:after="120" w:line="23" w:lineRule="atLeast"/>
        <w:ind w:firstLine="576"/>
        <w:rPr>
          <w:rFonts w:ascii="Times New Roman" w:hAnsi="Times New Roman"/>
        </w:rPr>
      </w:pPr>
      <w:r>
        <w:rPr>
          <w:rFonts w:ascii="Times New Roman" w:hAnsi="Times New Roman"/>
        </w:rPr>
        <w:t xml:space="preserve">The </w:t>
      </w:r>
      <w:r w:rsidRPr="004D2D1F">
        <w:rPr>
          <w:rFonts w:ascii="Times New Roman" w:hAnsi="Times New Roman"/>
          <w:i/>
        </w:rPr>
        <w:t>First Look</w:t>
      </w:r>
      <w:r>
        <w:rPr>
          <w:rFonts w:ascii="Times New Roman" w:hAnsi="Times New Roman"/>
        </w:rPr>
        <w:t xml:space="preserve"> report will be released on the NCES website in </w:t>
      </w:r>
      <w:r w:rsidR="00E861B5">
        <w:rPr>
          <w:rFonts w:ascii="Times New Roman" w:hAnsi="Times New Roman"/>
        </w:rPr>
        <w:t xml:space="preserve">the </w:t>
      </w:r>
      <w:r w:rsidR="00FD531E">
        <w:rPr>
          <w:rFonts w:ascii="Times New Roman" w:hAnsi="Times New Roman"/>
        </w:rPr>
        <w:t xml:space="preserve">fall </w:t>
      </w:r>
      <w:r w:rsidR="003F17FE">
        <w:rPr>
          <w:rFonts w:ascii="Times New Roman" w:hAnsi="Times New Roman"/>
        </w:rPr>
        <w:t>of 201</w:t>
      </w:r>
      <w:r w:rsidR="00FD531E">
        <w:rPr>
          <w:rFonts w:ascii="Times New Roman" w:hAnsi="Times New Roman"/>
        </w:rPr>
        <w:t>6</w:t>
      </w:r>
      <w:r w:rsidR="003F17FE">
        <w:rPr>
          <w:rFonts w:ascii="Times New Roman" w:hAnsi="Times New Roman"/>
        </w:rPr>
        <w:t xml:space="preserve"> and include explanatory text and tables. Participating </w:t>
      </w:r>
      <w:r w:rsidR="00FD531E">
        <w:rPr>
          <w:rFonts w:ascii="Times New Roman" w:hAnsi="Times New Roman"/>
        </w:rPr>
        <w:t xml:space="preserve">districts </w:t>
      </w:r>
      <w:r w:rsidR="003F17FE">
        <w:rPr>
          <w:rFonts w:ascii="Times New Roman" w:hAnsi="Times New Roman"/>
        </w:rPr>
        <w:t>will be notified when NCES releases the report. A public use data file will also be released on the NCES website. Survey responses will be weighted to produce national estimates. Tabulations will</w:t>
      </w:r>
      <w:r w:rsidR="00004634">
        <w:rPr>
          <w:rFonts w:ascii="Times New Roman" w:hAnsi="Times New Roman"/>
        </w:rPr>
        <w:t xml:space="preserve"> be produced for each data item</w:t>
      </w:r>
      <w:r w:rsidR="003F17FE">
        <w:rPr>
          <w:rFonts w:ascii="Times New Roman" w:hAnsi="Times New Roman"/>
        </w:rPr>
        <w:t xml:space="preserve">. Cross-tabulations of data items will be made with selected classification variables, such as </w:t>
      </w:r>
      <w:r w:rsidR="00EA1C23">
        <w:rPr>
          <w:rFonts w:ascii="Times New Roman" w:hAnsi="Times New Roman"/>
        </w:rPr>
        <w:t>district enrollment size, community type (locale), geographic region, poverty level, and concentration of ELL students in the district.</w:t>
      </w:r>
    </w:p>
    <w:p w:rsidR="00475B37" w:rsidRPr="00475B37" w:rsidRDefault="00475B37" w:rsidP="00753FB8">
      <w:pPr>
        <w:spacing w:after="120" w:line="23" w:lineRule="atLeast"/>
        <w:rPr>
          <w:rFonts w:ascii="Times New Roman" w:hAnsi="Times New Roman"/>
          <w:b/>
          <w:sz w:val="28"/>
          <w:szCs w:val="28"/>
        </w:rPr>
      </w:pPr>
      <w:r w:rsidRPr="00475B37">
        <w:rPr>
          <w:rFonts w:ascii="Times New Roman" w:hAnsi="Times New Roman"/>
          <w:b/>
          <w:sz w:val="28"/>
          <w:szCs w:val="28"/>
        </w:rPr>
        <w:lastRenderedPageBreak/>
        <w:t>Statistical Methodology</w:t>
      </w:r>
    </w:p>
    <w:p w:rsidR="003F5D02" w:rsidRPr="00475B37" w:rsidRDefault="00475B37" w:rsidP="00753FB8">
      <w:pPr>
        <w:spacing w:after="120" w:line="23" w:lineRule="atLeast"/>
        <w:rPr>
          <w:rFonts w:ascii="Times New Roman" w:hAnsi="Times New Roman"/>
          <w:b/>
        </w:rPr>
      </w:pPr>
      <w:r w:rsidRPr="00475B37">
        <w:rPr>
          <w:rFonts w:ascii="Times New Roman" w:hAnsi="Times New Roman"/>
          <w:b/>
        </w:rPr>
        <w:t>Reviewing Statisticians</w:t>
      </w:r>
    </w:p>
    <w:p w:rsidR="00377C61" w:rsidRDefault="00751829" w:rsidP="00753FB8">
      <w:pPr>
        <w:spacing w:after="120" w:line="23" w:lineRule="atLeast"/>
        <w:ind w:firstLine="576"/>
        <w:rPr>
          <w:rFonts w:ascii="Times New Roman" w:hAnsi="Times New Roman"/>
        </w:rPr>
      </w:pPr>
      <w:r>
        <w:rPr>
          <w:rFonts w:ascii="Times New Roman" w:hAnsi="Times New Roman"/>
        </w:rPr>
        <w:t>Chris Chapman, of NCES, is the Project Officer for this survey. Adam Chu, Senior Statistician, Westat, was consulted about the st</w:t>
      </w:r>
      <w:r w:rsidR="000E29F8">
        <w:rPr>
          <w:rFonts w:ascii="Times New Roman" w:hAnsi="Times New Roman"/>
        </w:rPr>
        <w:t>atistical aspects of the design</w:t>
      </w:r>
      <w:r>
        <w:rPr>
          <w:rFonts w:ascii="Times New Roman" w:hAnsi="Times New Roman"/>
        </w:rPr>
        <w:t>.</w:t>
      </w:r>
    </w:p>
    <w:p w:rsidR="00377C61" w:rsidRPr="00847D4A" w:rsidRDefault="00142350" w:rsidP="00753FB8">
      <w:pPr>
        <w:spacing w:after="120" w:line="23" w:lineRule="atLeast"/>
        <w:rPr>
          <w:rFonts w:ascii="Times New Roman" w:hAnsi="Times New Roman"/>
          <w:b/>
        </w:rPr>
      </w:pPr>
      <w:r>
        <w:rPr>
          <w:rFonts w:ascii="Times New Roman" w:hAnsi="Times New Roman"/>
          <w:b/>
        </w:rPr>
        <w:t>Respondent Universe</w:t>
      </w:r>
      <w:r w:rsidR="00395FBF">
        <w:rPr>
          <w:rFonts w:ascii="Times New Roman" w:hAnsi="Times New Roman"/>
          <w:b/>
        </w:rPr>
        <w:t xml:space="preserve"> and Sampling Frame</w:t>
      </w:r>
    </w:p>
    <w:p w:rsidR="00BE6E78" w:rsidRDefault="00B76267" w:rsidP="00753FB8">
      <w:pPr>
        <w:spacing w:after="120" w:line="23" w:lineRule="atLeast"/>
        <w:ind w:firstLine="576"/>
        <w:rPr>
          <w:rFonts w:ascii="Times New Roman" w:hAnsi="Times New Roman"/>
        </w:rPr>
      </w:pPr>
      <w:r>
        <w:rPr>
          <w:rFonts w:ascii="Times New Roman" w:hAnsi="Times New Roman"/>
        </w:rPr>
        <w:t>The proposed survey will collect data on</w:t>
      </w:r>
      <w:r w:rsidR="00174633">
        <w:rPr>
          <w:rFonts w:ascii="Times New Roman" w:hAnsi="Times New Roman"/>
        </w:rPr>
        <w:t xml:space="preserve"> programs and services for</w:t>
      </w:r>
      <w:r>
        <w:rPr>
          <w:rFonts w:ascii="Times New Roman" w:hAnsi="Times New Roman"/>
        </w:rPr>
        <w:t xml:space="preserve"> English learner</w:t>
      </w:r>
      <w:r w:rsidR="00174633">
        <w:rPr>
          <w:rFonts w:ascii="Times New Roman" w:hAnsi="Times New Roman"/>
        </w:rPr>
        <w:t>s</w:t>
      </w:r>
      <w:r>
        <w:rPr>
          <w:rFonts w:ascii="Times New Roman" w:hAnsi="Times New Roman"/>
        </w:rPr>
        <w:t xml:space="preserve"> provided to high school students from a nationally-representative sample of public school districts. The sampling frame (i.e., universe list) from which the sample will be drawn will be constructed from the most recent NCES Common Core of Data (CCD) Local Education Agency </w:t>
      </w:r>
      <w:r w:rsidR="002E5A5A">
        <w:rPr>
          <w:rFonts w:ascii="Times New Roman" w:hAnsi="Times New Roman"/>
        </w:rPr>
        <w:t xml:space="preserve">(LEA) </w:t>
      </w:r>
      <w:r>
        <w:rPr>
          <w:rFonts w:ascii="Times New Roman" w:hAnsi="Times New Roman"/>
        </w:rPr>
        <w:t xml:space="preserve">Universe </w:t>
      </w:r>
      <w:r w:rsidR="002E5A5A">
        <w:rPr>
          <w:rFonts w:ascii="Times New Roman" w:hAnsi="Times New Roman"/>
        </w:rPr>
        <w:t>File</w:t>
      </w:r>
      <w:r w:rsidR="00365BD8">
        <w:rPr>
          <w:rFonts w:ascii="Times New Roman" w:hAnsi="Times New Roman"/>
        </w:rPr>
        <w:t>.</w:t>
      </w:r>
      <w:r>
        <w:rPr>
          <w:rStyle w:val="FootnoteReference"/>
          <w:rFonts w:ascii="Times New Roman" w:hAnsi="Times New Roman"/>
        </w:rPr>
        <w:footnoteReference w:id="2"/>
      </w:r>
      <w:r>
        <w:rPr>
          <w:rFonts w:ascii="Times New Roman" w:hAnsi="Times New Roman"/>
        </w:rPr>
        <w:t xml:space="preserve"> The CCD file contains a record of all known public school districts along with selected characteristics such as enrollment size by grades offered, urbanicity (type of locale), region of country, and poverty level. The file also contains a district-level variable (ELL) on the number of students served in ELL programs. Although the ELL counts in CCD are not available for individual grades, they can nonetheless provide a useful overall measure of the expected concentration of ELL st</w:t>
      </w:r>
      <w:r w:rsidR="00BE6E78">
        <w:rPr>
          <w:rFonts w:ascii="Times New Roman" w:hAnsi="Times New Roman"/>
        </w:rPr>
        <w:t>udents in each school district.</w:t>
      </w:r>
    </w:p>
    <w:p w:rsidR="00377C61" w:rsidRDefault="00B76267" w:rsidP="00753FB8">
      <w:pPr>
        <w:spacing w:after="120" w:line="23" w:lineRule="atLeast"/>
        <w:ind w:firstLine="576"/>
        <w:rPr>
          <w:rFonts w:ascii="Times New Roman" w:hAnsi="Times New Roman"/>
        </w:rPr>
      </w:pPr>
      <w:r w:rsidRPr="00847D4A">
        <w:rPr>
          <w:rFonts w:ascii="Times New Roman" w:hAnsi="Times New Roman"/>
        </w:rPr>
        <w:t xml:space="preserve">Table </w:t>
      </w:r>
      <w:r w:rsidR="002B79FC">
        <w:rPr>
          <w:rFonts w:ascii="Times New Roman" w:hAnsi="Times New Roman"/>
        </w:rPr>
        <w:t>2</w:t>
      </w:r>
      <w:r w:rsidR="00363A1E">
        <w:rPr>
          <w:rFonts w:ascii="Times New Roman" w:hAnsi="Times New Roman"/>
        </w:rPr>
        <w:t xml:space="preserve"> shows that</w:t>
      </w:r>
      <w:r>
        <w:rPr>
          <w:rFonts w:ascii="Times New Roman" w:hAnsi="Times New Roman"/>
        </w:rPr>
        <w:t xml:space="preserve"> there are 11,405 </w:t>
      </w:r>
      <w:r w:rsidRPr="00847D4A">
        <w:rPr>
          <w:rFonts w:ascii="Times New Roman" w:hAnsi="Times New Roman"/>
        </w:rPr>
        <w:t>regular school</w:t>
      </w:r>
      <w:r>
        <w:rPr>
          <w:rFonts w:ascii="Times New Roman" w:hAnsi="Times New Roman"/>
        </w:rPr>
        <w:t xml:space="preserve"> district</w:t>
      </w:r>
      <w:r w:rsidRPr="00847D4A">
        <w:rPr>
          <w:rFonts w:ascii="Times New Roman" w:hAnsi="Times New Roman"/>
        </w:rPr>
        <w:t>s</w:t>
      </w:r>
      <w:r>
        <w:rPr>
          <w:rFonts w:ascii="Times New Roman" w:hAnsi="Times New Roman"/>
        </w:rPr>
        <w:t xml:space="preserve"> with grades 11-12</w:t>
      </w:r>
      <w:r w:rsidRPr="00847D4A">
        <w:rPr>
          <w:rFonts w:ascii="Times New Roman" w:hAnsi="Times New Roman"/>
        </w:rPr>
        <w:t xml:space="preserve"> in the </w:t>
      </w:r>
      <w:r>
        <w:rPr>
          <w:rFonts w:ascii="Times New Roman" w:hAnsi="Times New Roman"/>
        </w:rPr>
        <w:t>2012</w:t>
      </w:r>
      <w:r w:rsidRPr="00847D4A">
        <w:rPr>
          <w:rFonts w:ascii="Times New Roman" w:hAnsi="Times New Roman"/>
        </w:rPr>
        <w:t>–</w:t>
      </w:r>
      <w:r>
        <w:rPr>
          <w:rFonts w:ascii="Times New Roman" w:hAnsi="Times New Roman"/>
        </w:rPr>
        <w:t>13</w:t>
      </w:r>
      <w:r w:rsidRPr="00847D4A">
        <w:rPr>
          <w:rFonts w:ascii="Times New Roman" w:hAnsi="Times New Roman"/>
        </w:rPr>
        <w:t xml:space="preserve"> CCD universe file, of which </w:t>
      </w:r>
      <w:r>
        <w:rPr>
          <w:rFonts w:ascii="Times New Roman" w:hAnsi="Times New Roman"/>
        </w:rPr>
        <w:t xml:space="preserve">almost 12 percent enroll more that 10 percent of their students in ELL programs. </w:t>
      </w:r>
      <w:r w:rsidR="00D3419D">
        <w:rPr>
          <w:rFonts w:ascii="Times New Roman" w:hAnsi="Times New Roman"/>
        </w:rPr>
        <w:t xml:space="preserve">In general, districts with relatively high concentrations of ELL students tend to be more prevalent in large and urban school districts, in the western region, and in districts with relatively high proportions of children in poverty. </w:t>
      </w:r>
      <w:r>
        <w:rPr>
          <w:rFonts w:ascii="Times New Roman" w:hAnsi="Times New Roman"/>
        </w:rPr>
        <w:t xml:space="preserve">Note that the counts of districts in Table </w:t>
      </w:r>
      <w:r w:rsidR="00713D5A">
        <w:rPr>
          <w:rFonts w:ascii="Times New Roman" w:hAnsi="Times New Roman"/>
        </w:rPr>
        <w:t>2</w:t>
      </w:r>
      <w:r>
        <w:rPr>
          <w:rFonts w:ascii="Times New Roman" w:hAnsi="Times New Roman"/>
        </w:rPr>
        <w:t xml:space="preserve"> </w:t>
      </w:r>
      <w:r w:rsidRPr="00847D4A">
        <w:rPr>
          <w:rFonts w:ascii="Times New Roman" w:hAnsi="Times New Roman"/>
        </w:rPr>
        <w:t xml:space="preserve">pertain only to </w:t>
      </w:r>
      <w:r>
        <w:rPr>
          <w:rFonts w:ascii="Times New Roman" w:hAnsi="Times New Roman"/>
        </w:rPr>
        <w:t xml:space="preserve">the </w:t>
      </w:r>
      <w:r w:rsidRPr="00847D4A">
        <w:rPr>
          <w:rFonts w:ascii="Times New Roman" w:hAnsi="Times New Roman"/>
        </w:rPr>
        <w:t>“regular” school</w:t>
      </w:r>
      <w:r>
        <w:rPr>
          <w:rFonts w:ascii="Times New Roman" w:hAnsi="Times New Roman"/>
        </w:rPr>
        <w:t xml:space="preserve"> district</w:t>
      </w:r>
      <w:r w:rsidRPr="00847D4A">
        <w:rPr>
          <w:rFonts w:ascii="Times New Roman" w:hAnsi="Times New Roman"/>
        </w:rPr>
        <w:t>s in the CCD file</w:t>
      </w:r>
      <w:r>
        <w:rPr>
          <w:rFonts w:ascii="Times New Roman" w:hAnsi="Times New Roman"/>
        </w:rPr>
        <w:t xml:space="preserve"> (i.e., the type 1 and type 2 local school districts). Excluded from the frame are all other types of districts such as supervisory unions, regional educational services agencies, and state or federal agencies serving special needs populations. Also excluded are school districts operating in the outlying U.S. territories</w:t>
      </w:r>
      <w:r w:rsidRPr="00847D4A">
        <w:rPr>
          <w:rFonts w:ascii="Times New Roman" w:hAnsi="Times New Roman"/>
        </w:rPr>
        <w:t>.</w:t>
      </w:r>
    </w:p>
    <w:p w:rsidR="00174633" w:rsidRPr="00927C84" w:rsidRDefault="00174633" w:rsidP="00753FB8">
      <w:pPr>
        <w:spacing w:before="240" w:after="60" w:line="240" w:lineRule="auto"/>
        <w:ind w:left="994" w:hanging="994"/>
        <w:rPr>
          <w:rFonts w:ascii="Times New Roman" w:hAnsi="Times New Roman"/>
          <w:b/>
        </w:rPr>
      </w:pPr>
      <w:r w:rsidRPr="00927C84">
        <w:rPr>
          <w:rFonts w:ascii="Times New Roman" w:hAnsi="Times New Roman"/>
          <w:b/>
        </w:rPr>
        <w:t xml:space="preserve">Table </w:t>
      </w:r>
      <w:r w:rsidR="002B79FC" w:rsidRPr="00927C84">
        <w:rPr>
          <w:rFonts w:ascii="Times New Roman" w:hAnsi="Times New Roman"/>
          <w:b/>
        </w:rPr>
        <w:t>2</w:t>
      </w:r>
      <w:r w:rsidRPr="00927C84">
        <w:rPr>
          <w:rFonts w:ascii="Times New Roman" w:hAnsi="Times New Roman"/>
          <w:b/>
        </w:rPr>
        <w:t>.</w:t>
      </w:r>
      <w:r w:rsidR="00927C84">
        <w:rPr>
          <w:rFonts w:ascii="Times New Roman" w:hAnsi="Times New Roman"/>
          <w:b/>
        </w:rPr>
        <w:tab/>
      </w:r>
      <w:r w:rsidRPr="00927C84">
        <w:rPr>
          <w:rFonts w:ascii="Times New Roman" w:hAnsi="Times New Roman"/>
          <w:b/>
        </w:rPr>
        <w:t>Distribution of districts with grades 11</w:t>
      </w:r>
      <w:r w:rsidR="00927C84">
        <w:rPr>
          <w:rFonts w:ascii="Times New Roman" w:hAnsi="Times New Roman"/>
          <w:b/>
        </w:rPr>
        <w:t>–</w:t>
      </w:r>
      <w:r w:rsidRPr="00927C84">
        <w:rPr>
          <w:rFonts w:ascii="Times New Roman" w:hAnsi="Times New Roman"/>
          <w:b/>
        </w:rPr>
        <w:t>12 in the 2012</w:t>
      </w:r>
      <w:r w:rsidR="00927C84">
        <w:rPr>
          <w:rFonts w:ascii="Times New Roman" w:hAnsi="Times New Roman"/>
          <w:b/>
        </w:rPr>
        <w:t>–</w:t>
      </w:r>
      <w:r w:rsidRPr="00927C84">
        <w:rPr>
          <w:rFonts w:ascii="Times New Roman" w:hAnsi="Times New Roman"/>
          <w:b/>
        </w:rPr>
        <w:t>13 CCD LEA Universe File by size class and percentage of students in ELL programs</w:t>
      </w:r>
    </w:p>
    <w:tbl>
      <w:tblPr>
        <w:tblW w:w="10275" w:type="dxa"/>
        <w:tblInd w:w="93" w:type="dxa"/>
        <w:tblLayout w:type="fixed"/>
        <w:tblLook w:val="04A0" w:firstRow="1" w:lastRow="0" w:firstColumn="1" w:lastColumn="0" w:noHBand="0" w:noVBand="1"/>
      </w:tblPr>
      <w:tblGrid>
        <w:gridCol w:w="4372"/>
        <w:gridCol w:w="1475"/>
        <w:gridCol w:w="1476"/>
        <w:gridCol w:w="1476"/>
        <w:gridCol w:w="1476"/>
      </w:tblGrid>
      <w:tr w:rsidR="00927C84" w:rsidRPr="00927C84" w:rsidTr="00927C84">
        <w:trPr>
          <w:trHeight w:val="20"/>
        </w:trPr>
        <w:tc>
          <w:tcPr>
            <w:tcW w:w="4372" w:type="dxa"/>
            <w:vMerge w:val="restart"/>
            <w:tcBorders>
              <w:top w:val="single" w:sz="4" w:space="0" w:color="auto"/>
              <w:left w:val="nil"/>
              <w:right w:val="nil"/>
            </w:tcBorders>
            <w:shd w:val="clear" w:color="auto" w:fill="auto"/>
            <w:vAlign w:val="bottom"/>
            <w:hideMark/>
          </w:tcPr>
          <w:p w:rsidR="00927C84" w:rsidRPr="00927C84" w:rsidRDefault="00927C84" w:rsidP="006A0261">
            <w:pPr>
              <w:keepNext/>
              <w:keepLines/>
              <w:spacing w:after="0" w:line="240" w:lineRule="auto"/>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 Enrollment size class</w:t>
            </w:r>
          </w:p>
        </w:tc>
        <w:tc>
          <w:tcPr>
            <w:tcW w:w="5903" w:type="dxa"/>
            <w:gridSpan w:val="4"/>
            <w:tcBorders>
              <w:top w:val="single" w:sz="4" w:space="0" w:color="auto"/>
              <w:left w:val="nil"/>
              <w:bottom w:val="single" w:sz="4" w:space="0" w:color="auto"/>
              <w:right w:val="nil"/>
            </w:tcBorders>
            <w:shd w:val="clear" w:color="auto" w:fill="auto"/>
            <w:vAlign w:val="center"/>
            <w:hideMark/>
          </w:tcPr>
          <w:p w:rsidR="00927C84" w:rsidRPr="00927C84" w:rsidRDefault="00927C84" w:rsidP="006A0261">
            <w:pPr>
              <w:keepNext/>
              <w:keepLines/>
              <w:spacing w:after="0" w:line="240" w:lineRule="auto"/>
              <w:jc w:val="center"/>
              <w:rPr>
                <w:rFonts w:ascii="Times New Roman" w:eastAsia="Times New Roman" w:hAnsi="Times New Roman"/>
                <w:sz w:val="18"/>
                <w:szCs w:val="18"/>
              </w:rPr>
            </w:pPr>
            <w:r w:rsidRPr="00927C84">
              <w:rPr>
                <w:rFonts w:ascii="Times New Roman" w:eastAsia="Times New Roman" w:hAnsi="Times New Roman"/>
                <w:sz w:val="18"/>
                <w:szCs w:val="18"/>
              </w:rPr>
              <w:t>Percent of district enrollment in ELL programs</w:t>
            </w:r>
          </w:p>
        </w:tc>
      </w:tr>
      <w:tr w:rsidR="00927C84" w:rsidRPr="00927C84" w:rsidTr="00927C84">
        <w:trPr>
          <w:trHeight w:val="20"/>
        </w:trPr>
        <w:tc>
          <w:tcPr>
            <w:tcW w:w="4372" w:type="dxa"/>
            <w:vMerge/>
            <w:tcBorders>
              <w:left w:val="nil"/>
              <w:bottom w:val="single" w:sz="4" w:space="0" w:color="auto"/>
              <w:right w:val="nil"/>
            </w:tcBorders>
            <w:shd w:val="clear" w:color="auto" w:fill="auto"/>
            <w:vAlign w:val="center"/>
            <w:hideMark/>
          </w:tcPr>
          <w:p w:rsidR="00927C84" w:rsidRPr="00927C84" w:rsidRDefault="00927C84" w:rsidP="006A0261">
            <w:pPr>
              <w:keepNext/>
              <w:keepLines/>
              <w:spacing w:after="0" w:line="240" w:lineRule="auto"/>
              <w:jc w:val="center"/>
              <w:rPr>
                <w:rFonts w:ascii="Times New Roman" w:eastAsia="Times New Roman" w:hAnsi="Times New Roman"/>
                <w:color w:val="000000"/>
                <w:sz w:val="18"/>
                <w:szCs w:val="18"/>
              </w:rPr>
            </w:pPr>
          </w:p>
        </w:tc>
        <w:tc>
          <w:tcPr>
            <w:tcW w:w="1475"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Missing*</w:t>
            </w:r>
          </w:p>
        </w:tc>
        <w:tc>
          <w:tcPr>
            <w:tcW w:w="1476" w:type="dxa"/>
            <w:tcBorders>
              <w:top w:val="nil"/>
              <w:left w:val="nil"/>
              <w:bottom w:val="single" w:sz="4" w:space="0" w:color="auto"/>
              <w:right w:val="nil"/>
            </w:tcBorders>
            <w:shd w:val="clear" w:color="auto" w:fill="auto"/>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Under</w:t>
            </w:r>
            <w:r w:rsidR="00AC4DEA">
              <w:rPr>
                <w:rFonts w:ascii="Times New Roman" w:eastAsia="Times New Roman" w:hAnsi="Times New Roman"/>
                <w:color w:val="000000"/>
                <w:sz w:val="18"/>
                <w:szCs w:val="18"/>
              </w:rPr>
              <w:t xml:space="preserve"> </w:t>
            </w:r>
            <w:r w:rsidRPr="00927C84">
              <w:rPr>
                <w:rFonts w:ascii="Times New Roman" w:eastAsia="Times New Roman" w:hAnsi="Times New Roman"/>
                <w:color w:val="000000"/>
                <w:sz w:val="18"/>
                <w:szCs w:val="18"/>
              </w:rPr>
              <w:t>10%</w:t>
            </w:r>
          </w:p>
        </w:tc>
        <w:tc>
          <w:tcPr>
            <w:tcW w:w="1476" w:type="dxa"/>
            <w:tcBorders>
              <w:top w:val="nil"/>
              <w:left w:val="nil"/>
              <w:bottom w:val="single" w:sz="4" w:space="0" w:color="auto"/>
              <w:right w:val="nil"/>
            </w:tcBorders>
            <w:shd w:val="clear" w:color="auto" w:fill="auto"/>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10%</w:t>
            </w:r>
            <w:r w:rsidR="00AC4DEA">
              <w:rPr>
                <w:rFonts w:ascii="Times New Roman" w:eastAsia="Times New Roman" w:hAnsi="Times New Roman"/>
                <w:color w:val="000000"/>
                <w:sz w:val="18"/>
                <w:szCs w:val="18"/>
              </w:rPr>
              <w:t xml:space="preserve"> </w:t>
            </w:r>
            <w:r w:rsidRPr="00927C84">
              <w:rPr>
                <w:rFonts w:ascii="Times New Roman" w:eastAsia="Times New Roman" w:hAnsi="Times New Roman"/>
                <w:color w:val="000000"/>
                <w:sz w:val="18"/>
                <w:szCs w:val="18"/>
              </w:rPr>
              <w:t>or more</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Total</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6A0261">
            <w:pPr>
              <w:tabs>
                <w:tab w:val="right" w:leader="dot" w:pos="2862"/>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&lt;1,000</w:t>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35</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4,439</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367</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4,841</w:t>
            </w:r>
            <w:r w:rsidR="00784ECC">
              <w:rPr>
                <w:rFonts w:ascii="Times New Roman" w:eastAsia="Times New Roman" w:hAnsi="Times New Roman"/>
                <w:sz w:val="18"/>
                <w:szCs w:val="18"/>
              </w:rPr>
              <w:t xml:space="preserve">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0.7%</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91.7%</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7.6%</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6A0261">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1,000–2,499</w:t>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53</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2,675</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232</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2,960</w:t>
            </w:r>
            <w:r w:rsidR="00784ECC">
              <w:rPr>
                <w:rFonts w:ascii="Times New Roman" w:eastAsia="Times New Roman" w:hAnsi="Times New Roman"/>
                <w:sz w:val="18"/>
                <w:szCs w:val="18"/>
              </w:rPr>
              <w:t xml:space="preserve">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1.8%</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90.4%</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7.8%</w:t>
            </w:r>
          </w:p>
        </w:tc>
        <w:tc>
          <w:tcPr>
            <w:tcW w:w="1476" w:type="dxa"/>
            <w:tcBorders>
              <w:top w:val="nil"/>
              <w:left w:val="nil"/>
              <w:bottom w:val="nil"/>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6A0261">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2,500–9,999</w:t>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74</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2,293</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392</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2,759</w:t>
            </w:r>
            <w:r w:rsidR="00784ECC">
              <w:rPr>
                <w:rFonts w:ascii="Times New Roman" w:eastAsia="Times New Roman" w:hAnsi="Times New Roman"/>
                <w:sz w:val="18"/>
                <w:szCs w:val="18"/>
              </w:rPr>
              <w:t xml:space="preserve">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2.7%</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83.1%</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14.2%</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6A0261">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10,000+</w:t>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12</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488</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345</w:t>
            </w:r>
            <w:r w:rsidR="00784ECC">
              <w:rPr>
                <w:rFonts w:ascii="Times New Roman" w:eastAsia="Times New Roman" w:hAnsi="Times New Roman"/>
                <w:sz w:val="18"/>
                <w:szCs w:val="18"/>
              </w:rPr>
              <w:t xml:space="preserve"> </w:t>
            </w:r>
          </w:p>
        </w:tc>
        <w:tc>
          <w:tcPr>
            <w:tcW w:w="1476" w:type="dxa"/>
            <w:tcBorders>
              <w:top w:val="nil"/>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845</w:t>
            </w:r>
            <w:r w:rsidR="00784ECC">
              <w:rPr>
                <w:rFonts w:ascii="Times New Roman" w:eastAsia="Times New Roman" w:hAnsi="Times New Roman"/>
                <w:sz w:val="18"/>
                <w:szCs w:val="18"/>
              </w:rPr>
              <w:t xml:space="preserve"> </w:t>
            </w:r>
          </w:p>
        </w:tc>
      </w:tr>
      <w:tr w:rsidR="00927C84" w:rsidRPr="00E660F0" w:rsidTr="00927C84">
        <w:trPr>
          <w:trHeight w:val="20"/>
        </w:trPr>
        <w:tc>
          <w:tcPr>
            <w:tcW w:w="4372" w:type="dxa"/>
            <w:tcBorders>
              <w:top w:val="nil"/>
              <w:left w:val="nil"/>
              <w:bottom w:val="single" w:sz="4" w:space="0" w:color="auto"/>
              <w:right w:val="nil"/>
            </w:tcBorders>
            <w:shd w:val="clear" w:color="auto" w:fill="auto"/>
            <w:noWrap/>
            <w:hideMark/>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1.4%</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57.8%</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40.8%</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single" w:sz="4" w:space="0" w:color="auto"/>
              <w:left w:val="nil"/>
              <w:right w:val="nil"/>
            </w:tcBorders>
            <w:shd w:val="clear" w:color="auto" w:fill="auto"/>
            <w:noWrap/>
            <w:vAlign w:val="bottom"/>
            <w:hideMark/>
          </w:tcPr>
          <w:p w:rsidR="00927C84" w:rsidRPr="00927C84" w:rsidRDefault="00927C84" w:rsidP="006A0261">
            <w:pPr>
              <w:tabs>
                <w:tab w:val="right" w:leader="dot" w:pos="4156"/>
              </w:tabs>
              <w:spacing w:after="0" w:line="240" w:lineRule="auto"/>
              <w:rPr>
                <w:rFonts w:ascii="Times New Roman" w:eastAsiaTheme="minorHAnsi" w:hAnsi="Times New Roman"/>
                <w:sz w:val="18"/>
                <w:szCs w:val="18"/>
              </w:rPr>
            </w:pPr>
            <w:r w:rsidRPr="00927C84">
              <w:rPr>
                <w:rFonts w:ascii="Times New Roman" w:eastAsiaTheme="minorHAnsi" w:hAnsi="Times New Roman"/>
                <w:sz w:val="18"/>
                <w:szCs w:val="18"/>
              </w:rPr>
              <w:t>TOTAL</w:t>
            </w:r>
          </w:p>
        </w:tc>
        <w:tc>
          <w:tcPr>
            <w:tcW w:w="1475" w:type="dxa"/>
            <w:tcBorders>
              <w:top w:val="single" w:sz="4" w:space="0" w:color="auto"/>
              <w:left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left w:val="nil"/>
              <w:bottom w:val="nil"/>
              <w:right w:val="nil"/>
            </w:tcBorders>
            <w:shd w:val="clear" w:color="auto" w:fill="auto"/>
            <w:noWrap/>
            <w:vAlign w:val="bottom"/>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174</w:t>
            </w:r>
            <w:r w:rsidR="00784ECC">
              <w:rPr>
                <w:rFonts w:ascii="Times New Roman" w:eastAsia="Times New Roman" w:hAnsi="Times New Roman"/>
                <w:sz w:val="18"/>
                <w:szCs w:val="18"/>
              </w:rPr>
              <w:t xml:space="preserve"> </w:t>
            </w:r>
          </w:p>
        </w:tc>
        <w:tc>
          <w:tcPr>
            <w:tcW w:w="1476" w:type="dxa"/>
            <w:tcBorders>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9,895</w:t>
            </w:r>
            <w:r w:rsidR="00784ECC">
              <w:rPr>
                <w:rFonts w:ascii="Times New Roman" w:eastAsia="Times New Roman" w:hAnsi="Times New Roman"/>
                <w:sz w:val="18"/>
                <w:szCs w:val="18"/>
              </w:rPr>
              <w:t xml:space="preserve"> </w:t>
            </w:r>
          </w:p>
        </w:tc>
        <w:tc>
          <w:tcPr>
            <w:tcW w:w="1476" w:type="dxa"/>
            <w:tcBorders>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1,336</w:t>
            </w:r>
            <w:r w:rsidR="00784ECC">
              <w:rPr>
                <w:rFonts w:ascii="Times New Roman" w:eastAsia="Times New Roman" w:hAnsi="Times New Roman"/>
                <w:sz w:val="18"/>
                <w:szCs w:val="18"/>
              </w:rPr>
              <w:t xml:space="preserve"> </w:t>
            </w:r>
          </w:p>
        </w:tc>
        <w:tc>
          <w:tcPr>
            <w:tcW w:w="1476" w:type="dxa"/>
            <w:tcBorders>
              <w:left w:val="nil"/>
              <w:bottom w:val="nil"/>
              <w:right w:val="nil"/>
            </w:tcBorders>
            <w:shd w:val="clear" w:color="auto" w:fill="auto"/>
            <w:noWrap/>
            <w:vAlign w:val="bottom"/>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11,405</w:t>
            </w:r>
            <w:r w:rsidR="00784ECC">
              <w:rPr>
                <w:rFonts w:ascii="Times New Roman" w:eastAsia="Times New Roman" w:hAnsi="Times New Roman"/>
                <w:sz w:val="18"/>
                <w:szCs w:val="18"/>
              </w:rPr>
              <w:t xml:space="preserve"> </w:t>
            </w:r>
          </w:p>
        </w:tc>
      </w:tr>
      <w:tr w:rsidR="00927C84" w:rsidRPr="00E660F0" w:rsidTr="00927C84">
        <w:trPr>
          <w:trHeight w:val="20"/>
        </w:trPr>
        <w:tc>
          <w:tcPr>
            <w:tcW w:w="4372" w:type="dxa"/>
            <w:tcBorders>
              <w:top w:val="nil"/>
              <w:left w:val="nil"/>
              <w:bottom w:val="single" w:sz="4" w:space="0" w:color="auto"/>
              <w:right w:val="nil"/>
            </w:tcBorders>
            <w:shd w:val="clear" w:color="auto" w:fill="auto"/>
            <w:noWrap/>
            <w:hideMark/>
          </w:tcPr>
          <w:p w:rsidR="00927C84" w:rsidRPr="00927C84" w:rsidRDefault="00927C84" w:rsidP="006A0261">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1.5%</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86.8%</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11.7%</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6A0261">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bl>
    <w:p w:rsidR="00174633" w:rsidRPr="00927C84" w:rsidRDefault="00174633" w:rsidP="00753FB8">
      <w:pPr>
        <w:keepNext/>
        <w:keepLines/>
        <w:spacing w:after="120" w:line="240" w:lineRule="auto"/>
        <w:rPr>
          <w:rFonts w:ascii="Times New Roman" w:hAnsi="Times New Roman"/>
          <w:sz w:val="18"/>
          <w:szCs w:val="18"/>
        </w:rPr>
      </w:pPr>
      <w:r w:rsidRPr="00927C84">
        <w:rPr>
          <w:rFonts w:ascii="Times New Roman" w:hAnsi="Times New Roman"/>
          <w:sz w:val="18"/>
          <w:szCs w:val="18"/>
        </w:rPr>
        <w:t>* Data are missing in CCD. Districts with missing data will be assigned to an appropriate category for sampling purposes.</w:t>
      </w:r>
    </w:p>
    <w:p w:rsidR="00DC0E9E" w:rsidRDefault="00DC0E9E" w:rsidP="00847D4A">
      <w:pPr>
        <w:spacing w:after="0" w:line="240" w:lineRule="atLeast"/>
        <w:ind w:firstLine="576"/>
        <w:rPr>
          <w:rFonts w:ascii="Times New Roman" w:hAnsi="Times New Roman"/>
        </w:rPr>
      </w:pPr>
    </w:p>
    <w:p w:rsidR="00377C61" w:rsidRDefault="00377C61" w:rsidP="00753FB8">
      <w:pPr>
        <w:spacing w:after="120" w:line="23" w:lineRule="atLeast"/>
        <w:rPr>
          <w:rFonts w:ascii="Times New Roman" w:hAnsi="Times New Roman"/>
          <w:b/>
        </w:rPr>
      </w:pPr>
      <w:r w:rsidRPr="00847D4A">
        <w:rPr>
          <w:rFonts w:ascii="Times New Roman" w:hAnsi="Times New Roman"/>
          <w:b/>
        </w:rPr>
        <w:t xml:space="preserve">Sample </w:t>
      </w:r>
      <w:r w:rsidR="00F00717">
        <w:rPr>
          <w:rFonts w:ascii="Times New Roman" w:hAnsi="Times New Roman"/>
          <w:b/>
        </w:rPr>
        <w:t>Design and Stratification</w:t>
      </w:r>
    </w:p>
    <w:p w:rsidR="00377C61" w:rsidRDefault="00660311" w:rsidP="00753FB8">
      <w:pPr>
        <w:spacing w:after="120" w:line="23" w:lineRule="atLeast"/>
        <w:ind w:firstLine="576"/>
        <w:rPr>
          <w:rFonts w:ascii="Times New Roman" w:hAnsi="Times New Roman"/>
        </w:rPr>
      </w:pPr>
      <w:r>
        <w:rPr>
          <w:rFonts w:ascii="Times New Roman" w:hAnsi="Times New Roman"/>
        </w:rPr>
        <w:t xml:space="preserve">Traditionally, surveys conducted under the FRSS have employed stratified samples ranging in size from 1,200 to 1,800 districts depending on analytic goals and available resources. Since FRSS is designed to provide estimates for broadly-defined subgroups of interest as well as overall national estimates, a stratified sample design with primary strata defined by size class and other relevant characteristics has been found to be generally effective in meeting study objectives. Specification of explicit strata for sampling purposes allows for the selection of districts at varying rates to (a) ensure that key subgroups are adequately represented in the sample and (b) improve </w:t>
      </w:r>
      <w:r>
        <w:rPr>
          <w:rFonts w:ascii="Times New Roman" w:hAnsi="Times New Roman"/>
        </w:rPr>
        <w:lastRenderedPageBreak/>
        <w:t>sampling precision for selected subgroup estimates. Moreover, use of enrollment size as the primary stratifier also helps to ensure that sample-based estimates that are correlated with the size of the district (e.g., the estimated numbers of students in ELL programs of specified types) can better achieve reasonable levels of precision.</w:t>
      </w:r>
    </w:p>
    <w:p w:rsidR="00FD5955" w:rsidRDefault="00FD5955" w:rsidP="00753FB8">
      <w:pPr>
        <w:spacing w:after="120" w:line="23" w:lineRule="atLeast"/>
        <w:ind w:firstLine="576"/>
        <w:rPr>
          <w:rFonts w:ascii="Times New Roman" w:hAnsi="Times New Roman"/>
        </w:rPr>
      </w:pPr>
      <w:r>
        <w:rPr>
          <w:rFonts w:ascii="Times New Roman" w:hAnsi="Times New Roman"/>
        </w:rPr>
        <w:t xml:space="preserve">In view of the above considerations, we </w:t>
      </w:r>
      <w:r w:rsidR="006361F2">
        <w:rPr>
          <w:rFonts w:ascii="Times New Roman" w:hAnsi="Times New Roman"/>
        </w:rPr>
        <w:t>will</w:t>
      </w:r>
      <w:r>
        <w:rPr>
          <w:rFonts w:ascii="Times New Roman" w:hAnsi="Times New Roman"/>
        </w:rPr>
        <w:t xml:space="preserve"> select a stratified sample of 1,700 districts for the FRSS survey with strata defined by cross-classifying districts in the sampling frame by (a) enrollment size class (i.e., the following six size classes: [1] under 1,000 students; [2] 1,000 to 2,499; [3] 2,500 to 9,999; [4] 10,000 to 24,999; [5] 25,000 to 99,999; and [6] 100,000+) and (b) ELL status (e.g., [1] under 10% of students enrolled in ELL and [2] 10% or more students in ELL). The total sample size will be allocated to the strata in proportion to the aggregate square-root of the enrollment of the districts in the size class. Since most estimates to be derived from the survey will </w:t>
      </w:r>
      <w:r w:rsidR="00713D5A">
        <w:rPr>
          <w:rFonts w:ascii="Times New Roman" w:hAnsi="Times New Roman"/>
        </w:rPr>
        <w:t xml:space="preserve">be </w:t>
      </w:r>
      <w:r>
        <w:rPr>
          <w:rFonts w:ascii="Times New Roman" w:hAnsi="Times New Roman"/>
        </w:rPr>
        <w:t xml:space="preserve">categorical (e.g., the estimated proportion of districts with a specified characteristic), use of the square root of enrollment rather than enrollment as the measure of size for sample allocation will limit the design effects (and associated increased variances) arising from the use of varying sampling rates. Other variables such as type-of-locale and region will be used to sort districts in the sampling frame prior to sample selection. The sorting is a form of “implicit” stratification that helps ensure that districts with the given characteristics are appropriately represented in the sample. Within each sampling stratum, districts will be selected systematically and with equal probability from the sorted list of districts. Note that under the proposed stratification, all districts with 100,000 or more students will be included in the sample with certainty. Table </w:t>
      </w:r>
      <w:r w:rsidR="006F07D0">
        <w:rPr>
          <w:rFonts w:ascii="Times New Roman" w:hAnsi="Times New Roman"/>
        </w:rPr>
        <w:t>3</w:t>
      </w:r>
      <w:r>
        <w:rPr>
          <w:rFonts w:ascii="Times New Roman" w:hAnsi="Times New Roman"/>
        </w:rPr>
        <w:t xml:space="preserve"> summarizes the proposed allocation of the sample of 1,700 districts to strata.</w:t>
      </w:r>
    </w:p>
    <w:p w:rsidR="00A44231" w:rsidRPr="00927C84" w:rsidRDefault="00A44231" w:rsidP="00753FB8">
      <w:pPr>
        <w:spacing w:before="240" w:after="60" w:line="240" w:lineRule="auto"/>
        <w:ind w:left="994" w:hanging="994"/>
        <w:rPr>
          <w:rFonts w:ascii="Times New Roman" w:hAnsi="Times New Roman"/>
          <w:b/>
        </w:rPr>
      </w:pPr>
      <w:r w:rsidRPr="00927C84">
        <w:rPr>
          <w:rFonts w:ascii="Times New Roman" w:hAnsi="Times New Roman"/>
          <w:b/>
        </w:rPr>
        <w:t xml:space="preserve">Table </w:t>
      </w:r>
      <w:r w:rsidR="006F07D0" w:rsidRPr="00927C84">
        <w:rPr>
          <w:rFonts w:ascii="Times New Roman" w:hAnsi="Times New Roman"/>
          <w:b/>
        </w:rPr>
        <w:t>3</w:t>
      </w:r>
      <w:r w:rsidRPr="00927C84">
        <w:rPr>
          <w:rFonts w:ascii="Times New Roman" w:hAnsi="Times New Roman"/>
          <w:b/>
        </w:rPr>
        <w:t>.</w:t>
      </w:r>
      <w:r w:rsidR="00927C84">
        <w:rPr>
          <w:rFonts w:ascii="Times New Roman" w:hAnsi="Times New Roman"/>
          <w:b/>
        </w:rPr>
        <w:tab/>
      </w:r>
      <w:r w:rsidRPr="00927C84">
        <w:rPr>
          <w:rFonts w:ascii="Times New Roman" w:hAnsi="Times New Roman"/>
          <w:b/>
        </w:rPr>
        <w:t>Distribution of district sample by size class and percentage of students in ELL programs</w:t>
      </w:r>
    </w:p>
    <w:tbl>
      <w:tblPr>
        <w:tblW w:w="10275" w:type="dxa"/>
        <w:tblInd w:w="93" w:type="dxa"/>
        <w:tblLayout w:type="fixed"/>
        <w:tblLook w:val="04A0" w:firstRow="1" w:lastRow="0" w:firstColumn="1" w:lastColumn="0" w:noHBand="0" w:noVBand="1"/>
      </w:tblPr>
      <w:tblGrid>
        <w:gridCol w:w="4372"/>
        <w:gridCol w:w="1475"/>
        <w:gridCol w:w="1476"/>
        <w:gridCol w:w="1476"/>
        <w:gridCol w:w="1476"/>
      </w:tblGrid>
      <w:tr w:rsidR="00927C84" w:rsidRPr="00927C84" w:rsidTr="00927C84">
        <w:trPr>
          <w:trHeight w:val="20"/>
        </w:trPr>
        <w:tc>
          <w:tcPr>
            <w:tcW w:w="4372" w:type="dxa"/>
            <w:vMerge w:val="restart"/>
            <w:tcBorders>
              <w:top w:val="single" w:sz="4" w:space="0" w:color="auto"/>
              <w:left w:val="nil"/>
              <w:right w:val="nil"/>
            </w:tcBorders>
            <w:shd w:val="clear" w:color="auto" w:fill="auto"/>
            <w:vAlign w:val="bottom"/>
            <w:hideMark/>
          </w:tcPr>
          <w:p w:rsidR="00927C84" w:rsidRPr="00927C84" w:rsidRDefault="00927C84" w:rsidP="00AC4DEA">
            <w:pPr>
              <w:keepNext/>
              <w:keepLines/>
              <w:spacing w:after="0" w:line="240" w:lineRule="auto"/>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 Enrollment size class</w:t>
            </w:r>
          </w:p>
        </w:tc>
        <w:tc>
          <w:tcPr>
            <w:tcW w:w="5903" w:type="dxa"/>
            <w:gridSpan w:val="4"/>
            <w:tcBorders>
              <w:top w:val="single" w:sz="4" w:space="0" w:color="auto"/>
              <w:left w:val="nil"/>
              <w:bottom w:val="single" w:sz="4" w:space="0" w:color="auto"/>
              <w:right w:val="nil"/>
            </w:tcBorders>
            <w:shd w:val="clear" w:color="auto" w:fill="auto"/>
            <w:vAlign w:val="center"/>
            <w:hideMark/>
          </w:tcPr>
          <w:p w:rsidR="00927C84" w:rsidRPr="00927C84" w:rsidRDefault="00927C84" w:rsidP="00AC4DEA">
            <w:pPr>
              <w:keepNext/>
              <w:keepLines/>
              <w:spacing w:after="0" w:line="240" w:lineRule="auto"/>
              <w:jc w:val="center"/>
              <w:rPr>
                <w:rFonts w:ascii="Times New Roman" w:eastAsia="Times New Roman" w:hAnsi="Times New Roman"/>
                <w:sz w:val="18"/>
                <w:szCs w:val="18"/>
              </w:rPr>
            </w:pPr>
            <w:r w:rsidRPr="00927C84">
              <w:rPr>
                <w:rFonts w:ascii="Times New Roman" w:eastAsia="Times New Roman" w:hAnsi="Times New Roman"/>
                <w:sz w:val="18"/>
                <w:szCs w:val="18"/>
              </w:rPr>
              <w:t>Percent of district enrollment in ELL programs</w:t>
            </w:r>
          </w:p>
        </w:tc>
      </w:tr>
      <w:tr w:rsidR="00927C84" w:rsidRPr="00927C84" w:rsidTr="00927C84">
        <w:trPr>
          <w:trHeight w:val="20"/>
        </w:trPr>
        <w:tc>
          <w:tcPr>
            <w:tcW w:w="4372" w:type="dxa"/>
            <w:vMerge/>
            <w:tcBorders>
              <w:left w:val="nil"/>
              <w:bottom w:val="single" w:sz="4" w:space="0" w:color="auto"/>
              <w:right w:val="nil"/>
            </w:tcBorders>
            <w:shd w:val="clear" w:color="auto" w:fill="auto"/>
            <w:vAlign w:val="center"/>
            <w:hideMark/>
          </w:tcPr>
          <w:p w:rsidR="00927C84" w:rsidRPr="00927C84" w:rsidRDefault="00927C84" w:rsidP="00AC4DEA">
            <w:pPr>
              <w:keepNext/>
              <w:keepLines/>
              <w:spacing w:after="0" w:line="240" w:lineRule="auto"/>
              <w:jc w:val="center"/>
              <w:rPr>
                <w:rFonts w:ascii="Times New Roman" w:eastAsia="Times New Roman" w:hAnsi="Times New Roman"/>
                <w:color w:val="000000"/>
                <w:sz w:val="18"/>
                <w:szCs w:val="18"/>
              </w:rPr>
            </w:pPr>
          </w:p>
        </w:tc>
        <w:tc>
          <w:tcPr>
            <w:tcW w:w="1475" w:type="dxa"/>
            <w:tcBorders>
              <w:top w:val="nil"/>
              <w:left w:val="nil"/>
              <w:bottom w:val="single" w:sz="4" w:space="0" w:color="auto"/>
              <w:right w:val="nil"/>
            </w:tcBorders>
            <w:shd w:val="clear" w:color="auto" w:fill="auto"/>
            <w:noWrap/>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Missing*</w:t>
            </w:r>
          </w:p>
        </w:tc>
        <w:tc>
          <w:tcPr>
            <w:tcW w:w="1476" w:type="dxa"/>
            <w:tcBorders>
              <w:top w:val="nil"/>
              <w:left w:val="nil"/>
              <w:bottom w:val="single" w:sz="4" w:space="0" w:color="auto"/>
              <w:right w:val="nil"/>
            </w:tcBorders>
            <w:shd w:val="clear" w:color="auto" w:fill="auto"/>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Under</w:t>
            </w:r>
            <w:r w:rsidR="00AC4DEA">
              <w:rPr>
                <w:rFonts w:ascii="Times New Roman" w:eastAsia="Times New Roman" w:hAnsi="Times New Roman"/>
                <w:color w:val="000000"/>
                <w:sz w:val="18"/>
                <w:szCs w:val="18"/>
              </w:rPr>
              <w:t xml:space="preserve"> </w:t>
            </w:r>
            <w:r w:rsidRPr="00927C84">
              <w:rPr>
                <w:rFonts w:ascii="Times New Roman" w:eastAsia="Times New Roman" w:hAnsi="Times New Roman"/>
                <w:color w:val="000000"/>
                <w:sz w:val="18"/>
                <w:szCs w:val="18"/>
              </w:rPr>
              <w:t>10%</w:t>
            </w:r>
          </w:p>
        </w:tc>
        <w:tc>
          <w:tcPr>
            <w:tcW w:w="1476" w:type="dxa"/>
            <w:tcBorders>
              <w:top w:val="nil"/>
              <w:left w:val="nil"/>
              <w:bottom w:val="single" w:sz="4" w:space="0" w:color="auto"/>
              <w:right w:val="nil"/>
            </w:tcBorders>
            <w:shd w:val="clear" w:color="auto" w:fill="auto"/>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10%</w:t>
            </w:r>
            <w:r w:rsidR="00AC4DEA">
              <w:rPr>
                <w:rFonts w:ascii="Times New Roman" w:eastAsia="Times New Roman" w:hAnsi="Times New Roman"/>
                <w:color w:val="000000"/>
                <w:sz w:val="18"/>
                <w:szCs w:val="18"/>
              </w:rPr>
              <w:t xml:space="preserve"> </w:t>
            </w:r>
            <w:r w:rsidRPr="00927C84">
              <w:rPr>
                <w:rFonts w:ascii="Times New Roman" w:eastAsia="Times New Roman" w:hAnsi="Times New Roman"/>
                <w:color w:val="000000"/>
                <w:sz w:val="18"/>
                <w:szCs w:val="18"/>
              </w:rPr>
              <w:t>or more</w:t>
            </w:r>
          </w:p>
        </w:tc>
        <w:tc>
          <w:tcPr>
            <w:tcW w:w="1476" w:type="dxa"/>
            <w:tcBorders>
              <w:top w:val="nil"/>
              <w:left w:val="nil"/>
              <w:bottom w:val="single" w:sz="4" w:space="0" w:color="auto"/>
              <w:right w:val="nil"/>
            </w:tcBorders>
            <w:shd w:val="clear" w:color="auto" w:fill="auto"/>
            <w:noWrap/>
            <w:vAlign w:val="bottom"/>
            <w:hideMark/>
          </w:tcPr>
          <w:p w:rsidR="00927C84" w:rsidRPr="00927C84" w:rsidRDefault="00927C84" w:rsidP="00AC4DEA">
            <w:pPr>
              <w:keepNext/>
              <w:keepLines/>
              <w:spacing w:after="0" w:line="240" w:lineRule="auto"/>
              <w:jc w:val="right"/>
              <w:rPr>
                <w:rFonts w:ascii="Times New Roman" w:eastAsia="Times New Roman" w:hAnsi="Times New Roman"/>
                <w:color w:val="000000"/>
                <w:sz w:val="18"/>
                <w:szCs w:val="18"/>
              </w:rPr>
            </w:pPr>
            <w:r w:rsidRPr="00927C84">
              <w:rPr>
                <w:rFonts w:ascii="Times New Roman" w:eastAsia="Times New Roman" w:hAnsi="Times New Roman"/>
                <w:color w:val="000000"/>
                <w:sz w:val="18"/>
                <w:szCs w:val="18"/>
              </w:rPr>
              <w:t>Total</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AC4DEA">
            <w:pPr>
              <w:tabs>
                <w:tab w:val="right" w:leader="dot" w:pos="2862"/>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&lt;1,000</w:t>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296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24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323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0.7%</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91.8%</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7.6%</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1,000–2,499</w:t>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7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337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30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374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1.8%</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90.2%</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8.0%</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2,500–9,999</w:t>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16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489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89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594 </w:t>
            </w:r>
          </w:p>
        </w:tc>
      </w:tr>
      <w:tr w:rsidR="00927C84" w:rsidRPr="00E660F0" w:rsidTr="00927C84">
        <w:trPr>
          <w:trHeight w:val="20"/>
        </w:trPr>
        <w:tc>
          <w:tcPr>
            <w:tcW w:w="4372" w:type="dxa"/>
            <w:tcBorders>
              <w:top w:val="nil"/>
              <w:left w:val="nil"/>
              <w:bottom w:val="nil"/>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2.8%</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82.2%</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15.0%</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10,000</w:t>
            </w:r>
            <w:r>
              <w:rPr>
                <w:rFonts w:ascii="Times New Roman" w:eastAsiaTheme="minorHAnsi" w:hAnsi="Times New Roman"/>
                <w:b/>
                <w:sz w:val="18"/>
                <w:szCs w:val="18"/>
              </w:rPr>
              <w:t>–24,999</w:t>
            </w:r>
          </w:p>
        </w:tc>
        <w:tc>
          <w:tcPr>
            <w:tcW w:w="1475" w:type="dxa"/>
            <w:tcBorders>
              <w:top w:val="nil"/>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129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84 </w:t>
            </w:r>
          </w:p>
        </w:tc>
        <w:tc>
          <w:tcPr>
            <w:tcW w:w="1476" w:type="dxa"/>
            <w:tcBorders>
              <w:top w:val="nil"/>
              <w:left w:val="nil"/>
              <w:bottom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215 </w:t>
            </w:r>
          </w:p>
        </w:tc>
      </w:tr>
      <w:tr w:rsidR="00927C84" w:rsidRPr="00E660F0" w:rsidTr="00927C84">
        <w:trPr>
          <w:trHeight w:val="20"/>
        </w:trPr>
        <w:tc>
          <w:tcPr>
            <w:tcW w:w="4372" w:type="dxa"/>
            <w:tcBorders>
              <w:top w:val="nil"/>
              <w:left w:val="nil"/>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1.1%</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60.0%</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38.9%</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b/>
                <w:sz w:val="18"/>
                <w:szCs w:val="18"/>
              </w:rPr>
            </w:pPr>
            <w:r>
              <w:rPr>
                <w:rFonts w:ascii="Times New Roman" w:eastAsiaTheme="minorHAnsi" w:hAnsi="Times New Roman"/>
                <w:b/>
                <w:sz w:val="18"/>
                <w:szCs w:val="18"/>
              </w:rPr>
              <w:t>24,999–99,999</w:t>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4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86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78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167 </w:t>
            </w:r>
          </w:p>
        </w:tc>
      </w:tr>
      <w:tr w:rsidR="00927C84" w:rsidRPr="00E660F0" w:rsidTr="00927C84">
        <w:trPr>
          <w:trHeight w:val="20"/>
        </w:trPr>
        <w:tc>
          <w:tcPr>
            <w:tcW w:w="4372" w:type="dxa"/>
            <w:tcBorders>
              <w:top w:val="nil"/>
              <w:left w:val="nil"/>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2.1%</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51.3%</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46.6%</w:t>
            </w:r>
          </w:p>
        </w:tc>
        <w:tc>
          <w:tcPr>
            <w:tcW w:w="1476" w:type="dxa"/>
            <w:tcBorders>
              <w:top w:val="nil"/>
              <w:left w:val="nil"/>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r w:rsidR="00927C84" w:rsidRPr="00E660F0" w:rsidTr="00927C84">
        <w:trPr>
          <w:trHeight w:val="20"/>
        </w:trPr>
        <w:tc>
          <w:tcPr>
            <w:tcW w:w="4372" w:type="dxa"/>
            <w:tcBorders>
              <w:top w:val="nil"/>
              <w:left w:val="nil"/>
              <w:bottom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b/>
                <w:sz w:val="18"/>
                <w:szCs w:val="18"/>
              </w:rPr>
            </w:pPr>
            <w:r w:rsidRPr="00927C84">
              <w:rPr>
                <w:rFonts w:ascii="Times New Roman" w:eastAsiaTheme="minorHAnsi" w:hAnsi="Times New Roman"/>
                <w:b/>
                <w:sz w:val="18"/>
                <w:szCs w:val="18"/>
              </w:rPr>
              <w:t>100</w:t>
            </w:r>
            <w:r>
              <w:rPr>
                <w:rFonts w:ascii="Times New Roman" w:eastAsiaTheme="minorHAnsi" w:hAnsi="Times New Roman"/>
                <w:b/>
                <w:sz w:val="18"/>
                <w:szCs w:val="18"/>
              </w:rPr>
              <w:t>,0</w:t>
            </w:r>
            <w:r w:rsidRPr="00927C84">
              <w:rPr>
                <w:rFonts w:ascii="Times New Roman" w:eastAsiaTheme="minorHAnsi" w:hAnsi="Times New Roman"/>
                <w:b/>
                <w:sz w:val="18"/>
                <w:szCs w:val="18"/>
              </w:rPr>
              <w:t>00</w:t>
            </w:r>
            <w:r>
              <w:rPr>
                <w:rFonts w:ascii="Times New Roman" w:eastAsiaTheme="minorHAnsi" w:hAnsi="Times New Roman"/>
                <w:b/>
                <w:sz w:val="18"/>
                <w:szCs w:val="18"/>
              </w:rPr>
              <w:t>+</w:t>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top w:val="nil"/>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0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11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17 </w:t>
            </w:r>
          </w:p>
        </w:tc>
        <w:tc>
          <w:tcPr>
            <w:tcW w:w="1476" w:type="dxa"/>
            <w:tcBorders>
              <w:top w:val="nil"/>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28 </w:t>
            </w:r>
          </w:p>
        </w:tc>
      </w:tr>
      <w:tr w:rsidR="00927C84" w:rsidRPr="00E660F0" w:rsidTr="00927C84">
        <w:trPr>
          <w:trHeight w:val="20"/>
        </w:trPr>
        <w:tc>
          <w:tcPr>
            <w:tcW w:w="4372" w:type="dxa"/>
            <w:tcBorders>
              <w:top w:val="nil"/>
              <w:left w:val="nil"/>
              <w:bottom w:val="single" w:sz="4" w:space="0" w:color="auto"/>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0.0%</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6.6%</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10.2%</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16.8%</w:t>
            </w:r>
          </w:p>
        </w:tc>
      </w:tr>
      <w:tr w:rsidR="00927C84" w:rsidRPr="00E660F0" w:rsidTr="00927C84">
        <w:trPr>
          <w:trHeight w:val="20"/>
        </w:trPr>
        <w:tc>
          <w:tcPr>
            <w:tcW w:w="4372" w:type="dxa"/>
            <w:tcBorders>
              <w:top w:val="single" w:sz="4" w:space="0" w:color="auto"/>
              <w:left w:val="nil"/>
              <w:right w:val="nil"/>
            </w:tcBorders>
            <w:shd w:val="clear" w:color="auto" w:fill="auto"/>
            <w:noWrap/>
            <w:vAlign w:val="bottom"/>
            <w:hideMark/>
          </w:tcPr>
          <w:p w:rsidR="00927C84" w:rsidRPr="00927C84" w:rsidRDefault="00927C84" w:rsidP="00AC4DEA">
            <w:pPr>
              <w:tabs>
                <w:tab w:val="right" w:leader="dot" w:pos="4156"/>
              </w:tabs>
              <w:spacing w:after="0" w:line="240" w:lineRule="auto"/>
              <w:rPr>
                <w:rFonts w:ascii="Times New Roman" w:eastAsiaTheme="minorHAnsi" w:hAnsi="Times New Roman"/>
                <w:sz w:val="18"/>
                <w:szCs w:val="18"/>
              </w:rPr>
            </w:pPr>
            <w:r w:rsidRPr="00927C84">
              <w:rPr>
                <w:rFonts w:ascii="Times New Roman" w:eastAsiaTheme="minorHAnsi" w:hAnsi="Times New Roman"/>
                <w:sz w:val="18"/>
                <w:szCs w:val="18"/>
              </w:rPr>
              <w:t>TOTAL</w:t>
            </w:r>
          </w:p>
        </w:tc>
        <w:tc>
          <w:tcPr>
            <w:tcW w:w="1475" w:type="dxa"/>
            <w:tcBorders>
              <w:top w:val="single" w:sz="4" w:space="0" w:color="auto"/>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c>
          <w:tcPr>
            <w:tcW w:w="1476" w:type="dxa"/>
            <w:tcBorders>
              <w:top w:val="single" w:sz="4" w:space="0" w:color="auto"/>
              <w:left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p>
        </w:tc>
      </w:tr>
      <w:tr w:rsidR="00927C84" w:rsidRPr="00E660F0" w:rsidTr="00927C84">
        <w:trPr>
          <w:trHeight w:val="20"/>
        </w:trPr>
        <w:tc>
          <w:tcPr>
            <w:tcW w:w="4372" w:type="dxa"/>
            <w:tcBorders>
              <w:left w:val="nil"/>
              <w:bottom w:val="nil"/>
              <w:right w:val="nil"/>
            </w:tcBorders>
            <w:shd w:val="clear" w:color="auto" w:fill="auto"/>
            <w:noWrap/>
            <w:vAlign w:val="bottom"/>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Number</w:t>
            </w:r>
            <w:r>
              <w:rPr>
                <w:rFonts w:ascii="Times New Roman" w:eastAsiaTheme="minorHAnsi" w:hAnsi="Times New Roman"/>
                <w:sz w:val="18"/>
                <w:szCs w:val="18"/>
              </w:rPr>
              <w:tab/>
            </w:r>
          </w:p>
        </w:tc>
        <w:tc>
          <w:tcPr>
            <w:tcW w:w="1475" w:type="dxa"/>
            <w:tcBorders>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31 </w:t>
            </w:r>
          </w:p>
        </w:tc>
        <w:tc>
          <w:tcPr>
            <w:tcW w:w="1476" w:type="dxa"/>
            <w:tcBorders>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1,347 </w:t>
            </w:r>
          </w:p>
        </w:tc>
        <w:tc>
          <w:tcPr>
            <w:tcW w:w="1476" w:type="dxa"/>
            <w:tcBorders>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322 </w:t>
            </w:r>
          </w:p>
        </w:tc>
        <w:tc>
          <w:tcPr>
            <w:tcW w:w="1476" w:type="dxa"/>
            <w:tcBorders>
              <w:left w:val="nil"/>
              <w:bottom w:val="nil"/>
              <w:right w:val="nil"/>
            </w:tcBorders>
            <w:shd w:val="clear" w:color="auto" w:fill="auto"/>
            <w:noWrap/>
            <w:vAlign w:val="bottom"/>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 xml:space="preserve">1,700 </w:t>
            </w:r>
          </w:p>
        </w:tc>
      </w:tr>
      <w:tr w:rsidR="00927C84" w:rsidRPr="00E660F0" w:rsidTr="00927C84">
        <w:trPr>
          <w:trHeight w:val="20"/>
        </w:trPr>
        <w:tc>
          <w:tcPr>
            <w:tcW w:w="4372" w:type="dxa"/>
            <w:tcBorders>
              <w:top w:val="nil"/>
              <w:left w:val="nil"/>
              <w:bottom w:val="single" w:sz="4" w:space="0" w:color="auto"/>
              <w:right w:val="nil"/>
            </w:tcBorders>
            <w:shd w:val="clear" w:color="auto" w:fill="auto"/>
            <w:noWrap/>
            <w:hideMark/>
          </w:tcPr>
          <w:p w:rsidR="00927C84" w:rsidRPr="00927C84" w:rsidRDefault="00927C84" w:rsidP="00AC4DEA">
            <w:pPr>
              <w:tabs>
                <w:tab w:val="right" w:leader="dot" w:pos="4156"/>
              </w:tabs>
              <w:spacing w:after="0" w:line="240" w:lineRule="auto"/>
              <w:ind w:left="177"/>
              <w:rPr>
                <w:rFonts w:ascii="Times New Roman" w:eastAsiaTheme="minorHAnsi" w:hAnsi="Times New Roman"/>
                <w:sz w:val="18"/>
                <w:szCs w:val="18"/>
              </w:rPr>
            </w:pPr>
            <w:r w:rsidRPr="00927C84">
              <w:rPr>
                <w:rFonts w:ascii="Times New Roman" w:eastAsiaTheme="minorHAnsi" w:hAnsi="Times New Roman"/>
                <w:sz w:val="18"/>
                <w:szCs w:val="18"/>
              </w:rPr>
              <w:t>Row percent</w:t>
            </w:r>
            <w:r>
              <w:rPr>
                <w:rFonts w:ascii="Times New Roman" w:eastAsiaTheme="minorHAnsi" w:hAnsi="Times New Roman"/>
                <w:sz w:val="18"/>
                <w:szCs w:val="18"/>
              </w:rPr>
              <w:tab/>
            </w:r>
          </w:p>
        </w:tc>
        <w:tc>
          <w:tcPr>
            <w:tcW w:w="1475"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1.8%</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79.2%</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18.9%</w:t>
            </w:r>
          </w:p>
        </w:tc>
        <w:tc>
          <w:tcPr>
            <w:tcW w:w="1476" w:type="dxa"/>
            <w:tcBorders>
              <w:top w:val="nil"/>
              <w:left w:val="nil"/>
              <w:bottom w:val="single" w:sz="4" w:space="0" w:color="auto"/>
              <w:right w:val="nil"/>
            </w:tcBorders>
            <w:shd w:val="clear" w:color="auto" w:fill="auto"/>
            <w:noWrap/>
          </w:tcPr>
          <w:p w:rsidR="00927C84" w:rsidRPr="00927C84" w:rsidRDefault="00927C84" w:rsidP="00AC4DEA">
            <w:pPr>
              <w:keepNext/>
              <w:keepLines/>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100.0%</w:t>
            </w:r>
          </w:p>
        </w:tc>
      </w:tr>
    </w:tbl>
    <w:p w:rsidR="00377C61" w:rsidRDefault="00377C61" w:rsidP="00847D4A">
      <w:pPr>
        <w:spacing w:after="0" w:line="240" w:lineRule="atLeast"/>
        <w:ind w:firstLine="576"/>
        <w:rPr>
          <w:rFonts w:ascii="Times New Roman" w:hAnsi="Times New Roman"/>
        </w:rPr>
      </w:pPr>
    </w:p>
    <w:p w:rsidR="00927C84" w:rsidRPr="00847D4A" w:rsidRDefault="00927C84" w:rsidP="00847D4A">
      <w:pPr>
        <w:spacing w:after="0" w:line="240" w:lineRule="atLeast"/>
        <w:ind w:firstLine="576"/>
        <w:rPr>
          <w:rFonts w:ascii="Times New Roman" w:hAnsi="Times New Roman"/>
        </w:rPr>
      </w:pPr>
    </w:p>
    <w:p w:rsidR="00377C61" w:rsidRPr="00847D4A" w:rsidRDefault="00280DB2" w:rsidP="00753FB8">
      <w:pPr>
        <w:spacing w:after="120" w:line="23" w:lineRule="atLeast"/>
        <w:rPr>
          <w:rFonts w:ascii="Times New Roman" w:hAnsi="Times New Roman"/>
          <w:b/>
        </w:rPr>
      </w:pPr>
      <w:r>
        <w:rPr>
          <w:rFonts w:ascii="Times New Roman" w:hAnsi="Times New Roman"/>
          <w:b/>
        </w:rPr>
        <w:t>Expected Level of Precision</w:t>
      </w:r>
    </w:p>
    <w:p w:rsidR="00377C61" w:rsidRPr="00847D4A" w:rsidRDefault="00514F57" w:rsidP="00753FB8">
      <w:pPr>
        <w:spacing w:after="120" w:line="23" w:lineRule="atLeast"/>
        <w:ind w:firstLine="576"/>
        <w:rPr>
          <w:rFonts w:ascii="Times New Roman" w:hAnsi="Times New Roman"/>
        </w:rPr>
      </w:pPr>
      <w:r w:rsidRPr="00472616">
        <w:rPr>
          <w:rFonts w:ascii="Times New Roman" w:hAnsi="Times New Roman"/>
        </w:rPr>
        <w:t xml:space="preserve">Table </w:t>
      </w:r>
      <w:r w:rsidR="006F07D0">
        <w:rPr>
          <w:rFonts w:ascii="Times New Roman" w:hAnsi="Times New Roman"/>
        </w:rPr>
        <w:t>4</w:t>
      </w:r>
      <w:r w:rsidRPr="00472616">
        <w:rPr>
          <w:rFonts w:ascii="Times New Roman" w:hAnsi="Times New Roman"/>
        </w:rPr>
        <w:t xml:space="preserve"> summarizes the expected sample sizes and levels of precision for selected subgroup estimates derived from the proposed sample design. The number</w:t>
      </w:r>
      <w:r w:rsidR="003E74C4">
        <w:rPr>
          <w:rFonts w:ascii="Times New Roman" w:hAnsi="Times New Roman"/>
        </w:rPr>
        <w:t>s</w:t>
      </w:r>
      <w:r w:rsidRPr="00472616">
        <w:rPr>
          <w:rFonts w:ascii="Times New Roman" w:hAnsi="Times New Roman"/>
        </w:rPr>
        <w:t xml:space="preserve"> of “responding districts” shown in the table are calculated assuming an overall response rate of 90 percent. Also shown are 95% confidence bounds around an estimated percentage derived from the respondent samples. The confidence bounds </w:t>
      </w:r>
      <w:r>
        <w:rPr>
          <w:rFonts w:ascii="Times New Roman" w:hAnsi="Times New Roman"/>
        </w:rPr>
        <w:t xml:space="preserve">given in the table are for </w:t>
      </w:r>
      <w:r w:rsidRPr="00472616">
        <w:rPr>
          <w:rFonts w:ascii="Times New Roman" w:hAnsi="Times New Roman"/>
        </w:rPr>
        <w:t>reported respondent characteristics</w:t>
      </w:r>
      <w:r>
        <w:rPr>
          <w:rFonts w:ascii="Times New Roman" w:hAnsi="Times New Roman"/>
        </w:rPr>
        <w:t xml:space="preserve"> ranging from a </w:t>
      </w:r>
      <w:r w:rsidRPr="00472616">
        <w:rPr>
          <w:rFonts w:ascii="Times New Roman" w:hAnsi="Times New Roman"/>
        </w:rPr>
        <w:t>20% characteristic</w:t>
      </w:r>
      <w:r>
        <w:rPr>
          <w:rFonts w:ascii="Times New Roman" w:hAnsi="Times New Roman"/>
        </w:rPr>
        <w:t xml:space="preserve"> to </w:t>
      </w:r>
      <w:r w:rsidRPr="00472616">
        <w:rPr>
          <w:rFonts w:ascii="Times New Roman" w:hAnsi="Times New Roman"/>
        </w:rPr>
        <w:t>a 50% characteristic.</w:t>
      </w:r>
      <w:r>
        <w:rPr>
          <w:rFonts w:ascii="Times New Roman" w:hAnsi="Times New Roman"/>
        </w:rPr>
        <w:t xml:space="preserve"> As can be seen in the table, for subgroups with at least 300 respondents, estimates are expected to be relatively precise with 95% confidence bounds ranging from </w:t>
      </w:r>
      <w:r w:rsidRPr="00F727B5">
        <w:rPr>
          <w:rFonts w:ascii="Times New Roman" w:hAnsi="Times New Roman"/>
        </w:rPr>
        <w:t>±</w:t>
      </w:r>
      <w:r>
        <w:rPr>
          <w:rFonts w:ascii="Times New Roman" w:hAnsi="Times New Roman"/>
        </w:rPr>
        <w:t xml:space="preserve"> 2.5% to 6.6% depending on the magnitude of the proportion being estimated. Moreover, under the proposed sample design, </w:t>
      </w:r>
      <w:r w:rsidRPr="00F727B5">
        <w:rPr>
          <w:rFonts w:ascii="Times New Roman" w:hAnsi="Times New Roman"/>
        </w:rPr>
        <w:t>the minimum detectable difference (MDD) in estimated percentage</w:t>
      </w:r>
      <w:r>
        <w:rPr>
          <w:rFonts w:ascii="Times New Roman" w:hAnsi="Times New Roman"/>
        </w:rPr>
        <w:t>s</w:t>
      </w:r>
      <w:r w:rsidRPr="00F727B5">
        <w:rPr>
          <w:rFonts w:ascii="Times New Roman" w:hAnsi="Times New Roman"/>
        </w:rPr>
        <w:t xml:space="preserve"> between subgroups of approximately </w:t>
      </w:r>
      <w:r>
        <w:rPr>
          <w:rFonts w:ascii="Times New Roman" w:hAnsi="Times New Roman"/>
        </w:rPr>
        <w:t>300</w:t>
      </w:r>
      <w:r w:rsidRPr="00F727B5">
        <w:rPr>
          <w:rFonts w:ascii="Times New Roman" w:hAnsi="Times New Roman"/>
        </w:rPr>
        <w:t xml:space="preserve"> respondents each would be about </w:t>
      </w:r>
      <w:r>
        <w:rPr>
          <w:rFonts w:ascii="Times New Roman" w:hAnsi="Times New Roman"/>
        </w:rPr>
        <w:t>10</w:t>
      </w:r>
      <w:r w:rsidRPr="00F727B5">
        <w:rPr>
          <w:rFonts w:ascii="Times New Roman" w:hAnsi="Times New Roman"/>
        </w:rPr>
        <w:t>%</w:t>
      </w:r>
      <w:r>
        <w:rPr>
          <w:rFonts w:ascii="Times New Roman" w:hAnsi="Times New Roman"/>
        </w:rPr>
        <w:t xml:space="preserve"> (</w:t>
      </w:r>
      <w:r w:rsidRPr="00F727B5">
        <w:rPr>
          <w:rFonts w:ascii="Times New Roman" w:hAnsi="Times New Roman"/>
        </w:rPr>
        <w:t xml:space="preserve">e.g., using a </w:t>
      </w:r>
      <w:r w:rsidR="0017274D" w:rsidRPr="0017274D">
        <w:rPr>
          <w:rFonts w:ascii="Times New Roman" w:hAnsi="Times New Roman"/>
          <w:i/>
        </w:rPr>
        <w:t>t</w:t>
      </w:r>
      <w:r w:rsidR="0017274D">
        <w:rPr>
          <w:rFonts w:ascii="Times New Roman" w:hAnsi="Times New Roman"/>
        </w:rPr>
        <w:t xml:space="preserve"> </w:t>
      </w:r>
      <w:r w:rsidRPr="00F727B5">
        <w:rPr>
          <w:rFonts w:ascii="Times New Roman" w:hAnsi="Times New Roman"/>
        </w:rPr>
        <w:t>test to test for significance</w:t>
      </w:r>
      <w:r>
        <w:rPr>
          <w:rFonts w:ascii="Times New Roman" w:hAnsi="Times New Roman"/>
        </w:rPr>
        <w:t>)</w:t>
      </w:r>
      <w:r w:rsidRPr="00F727B5">
        <w:rPr>
          <w:rFonts w:ascii="Times New Roman" w:hAnsi="Times New Roman"/>
        </w:rPr>
        <w:t>.</w:t>
      </w:r>
    </w:p>
    <w:p w:rsidR="009D7748" w:rsidRPr="00927C84" w:rsidRDefault="009D7748" w:rsidP="00753FB8">
      <w:pPr>
        <w:spacing w:before="240" w:after="60" w:line="240" w:lineRule="auto"/>
        <w:ind w:left="994" w:hanging="994"/>
        <w:rPr>
          <w:rFonts w:ascii="Times New Roman" w:hAnsi="Times New Roman"/>
          <w:b/>
        </w:rPr>
      </w:pPr>
      <w:r w:rsidRPr="00927C84">
        <w:rPr>
          <w:rFonts w:ascii="Times New Roman" w:hAnsi="Times New Roman"/>
          <w:b/>
        </w:rPr>
        <w:lastRenderedPageBreak/>
        <w:t xml:space="preserve">Table </w:t>
      </w:r>
      <w:r w:rsidR="006F07D0" w:rsidRPr="00927C84">
        <w:rPr>
          <w:rFonts w:ascii="Times New Roman" w:hAnsi="Times New Roman"/>
          <w:b/>
        </w:rPr>
        <w:t>4</w:t>
      </w:r>
      <w:r w:rsidRPr="00927C84">
        <w:rPr>
          <w:rFonts w:ascii="Times New Roman" w:hAnsi="Times New Roman"/>
          <w:b/>
        </w:rPr>
        <w:t>.</w:t>
      </w:r>
      <w:r w:rsidR="00927C84">
        <w:rPr>
          <w:rFonts w:ascii="Times New Roman" w:hAnsi="Times New Roman"/>
          <w:b/>
        </w:rPr>
        <w:tab/>
      </w:r>
      <w:r w:rsidRPr="00927C84">
        <w:rPr>
          <w:rFonts w:ascii="Times New Roman" w:hAnsi="Times New Roman"/>
          <w:b/>
        </w:rPr>
        <w:t>Expected sample sizes (number of completed interviews) and 95% confidence bounds around an estimated proportion by selected subgroups under proposed design</w:t>
      </w:r>
    </w:p>
    <w:tbl>
      <w:tblPr>
        <w:tblW w:w="10185" w:type="dxa"/>
        <w:tblInd w:w="93" w:type="dxa"/>
        <w:tblLayout w:type="fixed"/>
        <w:tblLook w:val="04A0" w:firstRow="1" w:lastRow="0" w:firstColumn="1" w:lastColumn="0" w:noHBand="0" w:noVBand="1"/>
      </w:tblPr>
      <w:tblGrid>
        <w:gridCol w:w="3883"/>
        <w:gridCol w:w="1262"/>
        <w:gridCol w:w="1260"/>
        <w:gridCol w:w="1260"/>
        <w:gridCol w:w="1260"/>
        <w:gridCol w:w="1260"/>
      </w:tblGrid>
      <w:tr w:rsidR="000C441B" w:rsidRPr="00927C84" w:rsidTr="000C441B">
        <w:trPr>
          <w:trHeight w:val="20"/>
        </w:trPr>
        <w:tc>
          <w:tcPr>
            <w:tcW w:w="3883"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0C441B" w:rsidRPr="00927C84" w:rsidRDefault="000C441B" w:rsidP="000C441B">
            <w:pPr>
              <w:spacing w:after="0" w:line="240" w:lineRule="auto"/>
              <w:rPr>
                <w:rFonts w:ascii="Times New Roman" w:eastAsia="Times New Roman" w:hAnsi="Times New Roman"/>
                <w:sz w:val="18"/>
                <w:szCs w:val="18"/>
              </w:rPr>
            </w:pPr>
            <w:r w:rsidRPr="00927C84">
              <w:rPr>
                <w:rFonts w:ascii="Times New Roman" w:eastAsia="Times New Roman" w:hAnsi="Times New Roman"/>
                <w:sz w:val="18"/>
                <w:szCs w:val="18"/>
              </w:rPr>
              <w:t>Subgroup</w:t>
            </w:r>
          </w:p>
        </w:tc>
        <w:tc>
          <w:tcPr>
            <w:tcW w:w="1262" w:type="dxa"/>
            <w:vMerge w:val="restart"/>
            <w:tcBorders>
              <w:top w:val="single" w:sz="4" w:space="0" w:color="auto"/>
              <w:left w:val="single" w:sz="4" w:space="0" w:color="auto"/>
              <w:right w:val="single" w:sz="4" w:space="0" w:color="auto"/>
            </w:tcBorders>
            <w:shd w:val="clear" w:color="auto" w:fill="auto"/>
            <w:noWrap/>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No. selected</w:t>
            </w:r>
          </w:p>
        </w:tc>
        <w:tc>
          <w:tcPr>
            <w:tcW w:w="1260" w:type="dxa"/>
            <w:vMerge w:val="restart"/>
            <w:tcBorders>
              <w:top w:val="single" w:sz="4" w:space="0" w:color="auto"/>
              <w:left w:val="single" w:sz="4" w:space="0" w:color="auto"/>
              <w:right w:val="single" w:sz="4" w:space="0" w:color="auto"/>
            </w:tcBorders>
            <w:shd w:val="clear" w:color="auto" w:fill="auto"/>
            <w:vAlign w:val="bottom"/>
          </w:tcPr>
          <w:p w:rsidR="000C441B" w:rsidRPr="00927C84" w:rsidRDefault="000C441B"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No. resp. districts</w:t>
            </w:r>
          </w:p>
        </w:tc>
        <w:tc>
          <w:tcPr>
            <w:tcW w:w="3780" w:type="dxa"/>
            <w:gridSpan w:val="3"/>
            <w:tcBorders>
              <w:top w:val="single" w:sz="4" w:space="0" w:color="auto"/>
              <w:left w:val="single" w:sz="4" w:space="0" w:color="auto"/>
              <w:bottom w:val="single" w:sz="4" w:space="0" w:color="auto"/>
              <w:right w:val="nil"/>
            </w:tcBorders>
            <w:shd w:val="clear" w:color="auto" w:fill="auto"/>
            <w:noWrap/>
            <w:vAlign w:val="center"/>
            <w:hideMark/>
          </w:tcPr>
          <w:p w:rsidR="000C441B" w:rsidRPr="00927C84" w:rsidRDefault="000C441B" w:rsidP="00927C84">
            <w:pPr>
              <w:spacing w:after="0" w:line="240" w:lineRule="auto"/>
              <w:jc w:val="center"/>
              <w:rPr>
                <w:rFonts w:ascii="Times New Roman" w:eastAsia="Times New Roman" w:hAnsi="Times New Roman"/>
                <w:sz w:val="18"/>
                <w:szCs w:val="18"/>
              </w:rPr>
            </w:pPr>
            <w:r w:rsidRPr="00927C84">
              <w:rPr>
                <w:rFonts w:ascii="Times New Roman" w:eastAsia="Times New Roman" w:hAnsi="Times New Roman"/>
                <w:sz w:val="18"/>
                <w:szCs w:val="18"/>
              </w:rPr>
              <w:t>95% Conf. Bounds Around Estimated Percentage Equal To:</w:t>
            </w:r>
          </w:p>
        </w:tc>
      </w:tr>
      <w:tr w:rsidR="000C441B" w:rsidRPr="00927C84" w:rsidTr="000A6EB8">
        <w:trPr>
          <w:trHeight w:val="20"/>
        </w:trPr>
        <w:tc>
          <w:tcPr>
            <w:tcW w:w="3883" w:type="dxa"/>
            <w:vMerge/>
            <w:tcBorders>
              <w:top w:val="single" w:sz="4" w:space="0" w:color="auto"/>
              <w:left w:val="nil"/>
              <w:bottom w:val="single" w:sz="4" w:space="0" w:color="auto"/>
              <w:right w:val="single" w:sz="4" w:space="0" w:color="auto"/>
            </w:tcBorders>
            <w:shd w:val="clear" w:color="auto" w:fill="auto"/>
            <w:vAlign w:val="center"/>
            <w:hideMark/>
          </w:tcPr>
          <w:p w:rsidR="000C441B" w:rsidRPr="00927C84" w:rsidRDefault="000C441B" w:rsidP="00927C84">
            <w:pPr>
              <w:spacing w:after="0" w:line="240" w:lineRule="auto"/>
              <w:jc w:val="center"/>
              <w:rPr>
                <w:rFonts w:ascii="Times New Roman" w:eastAsia="Times New Roman" w:hAnsi="Times New Roman"/>
                <w:sz w:val="18"/>
                <w:szCs w:val="18"/>
              </w:rPr>
            </w:pPr>
          </w:p>
        </w:tc>
        <w:tc>
          <w:tcPr>
            <w:tcW w:w="1262" w:type="dxa"/>
            <w:vMerge/>
            <w:tcBorders>
              <w:left w:val="single" w:sz="4" w:space="0" w:color="auto"/>
              <w:bottom w:val="single" w:sz="4" w:space="0" w:color="auto"/>
              <w:right w:val="single" w:sz="4" w:space="0" w:color="auto"/>
            </w:tcBorders>
            <w:shd w:val="clear" w:color="auto" w:fill="auto"/>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p>
        </w:tc>
        <w:tc>
          <w:tcPr>
            <w:tcW w:w="1260" w:type="dxa"/>
            <w:vMerge/>
            <w:tcBorders>
              <w:left w:val="single" w:sz="4" w:space="0" w:color="auto"/>
              <w:bottom w:val="single" w:sz="4" w:space="0" w:color="auto"/>
              <w:right w:val="single" w:sz="4" w:space="0" w:color="auto"/>
            </w:tcBorders>
            <w:shd w:val="clear" w:color="auto" w:fill="auto"/>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P = 20%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P= 33%</w:t>
            </w:r>
          </w:p>
        </w:tc>
        <w:tc>
          <w:tcPr>
            <w:tcW w:w="1260" w:type="dxa"/>
            <w:tcBorders>
              <w:top w:val="single" w:sz="4" w:space="0" w:color="auto"/>
              <w:left w:val="single" w:sz="4" w:space="0" w:color="auto"/>
              <w:bottom w:val="single" w:sz="4" w:space="0" w:color="auto"/>
              <w:right w:val="nil"/>
            </w:tcBorders>
            <w:shd w:val="clear" w:color="auto" w:fill="auto"/>
            <w:vAlign w:val="bottom"/>
            <w:hideMark/>
          </w:tcPr>
          <w:p w:rsidR="000C441B" w:rsidRPr="00927C84" w:rsidRDefault="000C441B"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P = 50%</w:t>
            </w:r>
          </w:p>
        </w:tc>
      </w:tr>
      <w:tr w:rsidR="009D7748" w:rsidRPr="00927C84" w:rsidTr="000C441B">
        <w:trPr>
          <w:trHeight w:val="20"/>
        </w:trPr>
        <w:tc>
          <w:tcPr>
            <w:tcW w:w="3883" w:type="dxa"/>
            <w:tcBorders>
              <w:top w:val="single" w:sz="4" w:space="0" w:color="auto"/>
              <w:left w:val="nil"/>
              <w:bottom w:val="nil"/>
              <w:right w:val="nil"/>
            </w:tcBorders>
            <w:shd w:val="clear" w:color="auto" w:fill="auto"/>
            <w:noWrap/>
            <w:vAlign w:val="bottom"/>
            <w:hideMark/>
          </w:tcPr>
          <w:p w:rsidR="009D7748" w:rsidRPr="000C441B" w:rsidRDefault="009D7748"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Size class</w:t>
            </w:r>
          </w:p>
        </w:tc>
        <w:tc>
          <w:tcPr>
            <w:tcW w:w="1262" w:type="dxa"/>
            <w:tcBorders>
              <w:top w:val="single" w:sz="4" w:space="0" w:color="auto"/>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single" w:sz="4" w:space="0" w:color="auto"/>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single" w:sz="4" w:space="0" w:color="auto"/>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single" w:sz="4" w:space="0" w:color="auto"/>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single" w:sz="4" w:space="0" w:color="auto"/>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&lt;1,000</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323</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290</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±4.61%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±5.42%</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±5.76%</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1,000 to 2,499</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374</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336</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±4.28%</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±5.03%</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±5.34%</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2,500 to 9,999</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594</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535</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±3.40%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±3.99%</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±4.25%</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10,000 +</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410</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369</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±4.23%</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±4.98%</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±5.29%</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0C441B" w:rsidRDefault="009D7748"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 xml:space="preserve">ELL </w:t>
            </w:r>
            <w:r w:rsidR="000C441B">
              <w:rPr>
                <w:rFonts w:ascii="Times New Roman" w:eastAsia="Times New Roman" w:hAnsi="Times New Roman"/>
                <w:b/>
                <w:iCs/>
                <w:sz w:val="18"/>
                <w:szCs w:val="18"/>
              </w:rPr>
              <w:t>s</w:t>
            </w:r>
            <w:r w:rsidRPr="000C441B">
              <w:rPr>
                <w:rFonts w:ascii="Times New Roman" w:eastAsia="Times New Roman" w:hAnsi="Times New Roman"/>
                <w:b/>
                <w:iCs/>
                <w:sz w:val="18"/>
                <w:szCs w:val="18"/>
              </w:rPr>
              <w:t>tatus</w:t>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Low (&lt;10%)</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1,347</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1,212</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±2.64%</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±3.11%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±3.30%</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High (10%+</w:t>
            </w:r>
            <w:r>
              <w:rPr>
                <w:rFonts w:ascii="Times New Roman" w:eastAsia="Times New Roman" w:hAnsi="Times New Roman"/>
                <w:sz w:val="18"/>
                <w:szCs w:val="18"/>
              </w:rPr>
              <w:t>)</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322</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290</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±6.11%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±7.19%</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±7.64%</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0C441B" w:rsidRDefault="009D7748"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Locale</w:t>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City</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248</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223</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±5.91%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±6.95%</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±7.39%</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Suburb</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571</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514</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±3.92%</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±4.61%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±4.90%</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Town</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326</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293</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±4.84%</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±5.68%</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±6.04%</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Rural</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556</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500</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±3.82%</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±4.50%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±4.78%</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0C441B" w:rsidRDefault="009D7748"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Region</w:t>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Northeast</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351</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316</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±5.08%</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±5.97%</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±6.35%</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Southeast</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332</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299</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±5.30%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±6.23%</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±6.63%</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Central</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525</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473</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±4.09%</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±5.11%</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West</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492</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443</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±5.64%</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±6.00%</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0C441B" w:rsidRDefault="009D7748"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 xml:space="preserve">Poverty </w:t>
            </w:r>
            <w:r w:rsidR="000C441B">
              <w:rPr>
                <w:rFonts w:ascii="Times New Roman" w:eastAsia="Times New Roman" w:hAnsi="Times New Roman"/>
                <w:b/>
                <w:iCs/>
                <w:sz w:val="18"/>
                <w:szCs w:val="18"/>
              </w:rPr>
              <w:t>l</w:t>
            </w:r>
            <w:r w:rsidRPr="000C441B">
              <w:rPr>
                <w:rFonts w:ascii="Times New Roman" w:eastAsia="Times New Roman" w:hAnsi="Times New Roman"/>
                <w:b/>
                <w:iCs/>
                <w:sz w:val="18"/>
                <w:szCs w:val="18"/>
              </w:rPr>
              <w:t>evel</w:t>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&lt; 10%</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309</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278</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±5.53%</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±6.50%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±6.92%</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10 to 19.9%</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627</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564</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±3.91%</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±4.60%</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±4.89%</w:t>
            </w:r>
          </w:p>
        </w:tc>
      </w:tr>
      <w:tr w:rsidR="009D7748" w:rsidRPr="00927C84" w:rsidTr="000C441B">
        <w:trPr>
          <w:trHeight w:val="20"/>
        </w:trPr>
        <w:tc>
          <w:tcPr>
            <w:tcW w:w="3883" w:type="dxa"/>
            <w:tcBorders>
              <w:top w:val="nil"/>
              <w:left w:val="nil"/>
              <w:bottom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20 to 29.9%</w:t>
            </w:r>
            <w:r>
              <w:rPr>
                <w:rFonts w:ascii="Times New Roman" w:eastAsia="Times New Roman" w:hAnsi="Times New Roman"/>
                <w:sz w:val="18"/>
                <w:szCs w:val="18"/>
              </w:rPr>
              <w:tab/>
            </w:r>
          </w:p>
        </w:tc>
        <w:tc>
          <w:tcPr>
            <w:tcW w:w="1262"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485</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437</w:t>
            </w:r>
            <w:r w:rsidR="00784ECC">
              <w:rPr>
                <w:rFonts w:ascii="Times New Roman" w:eastAsia="Times New Roman" w:hAnsi="Times New Roman"/>
                <w:sz w:val="18"/>
                <w:szCs w:val="18"/>
              </w:rPr>
              <w:t xml:space="preserve"> </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±4.59%</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±5.39%</w:t>
            </w:r>
          </w:p>
        </w:tc>
        <w:tc>
          <w:tcPr>
            <w:tcW w:w="1260" w:type="dxa"/>
            <w:tcBorders>
              <w:top w:val="nil"/>
              <w:left w:val="nil"/>
              <w:bottom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±5.73%</w:t>
            </w:r>
          </w:p>
        </w:tc>
      </w:tr>
      <w:tr w:rsidR="009D7748" w:rsidRPr="00927C84" w:rsidTr="000C441B">
        <w:trPr>
          <w:trHeight w:val="20"/>
        </w:trPr>
        <w:tc>
          <w:tcPr>
            <w:tcW w:w="3883" w:type="dxa"/>
            <w:tcBorders>
              <w:top w:val="nil"/>
              <w:left w:val="nil"/>
              <w:right w:val="nil"/>
            </w:tcBorders>
            <w:shd w:val="clear" w:color="auto" w:fill="auto"/>
            <w:noWrap/>
            <w:vAlign w:val="bottom"/>
            <w:hideMark/>
          </w:tcPr>
          <w:p w:rsidR="009D7748" w:rsidRPr="00927C84" w:rsidRDefault="000C441B" w:rsidP="000C441B">
            <w:pPr>
              <w:tabs>
                <w:tab w:val="right" w:leader="dot" w:pos="3669"/>
              </w:tabs>
              <w:spacing w:after="0" w:line="240" w:lineRule="auto"/>
              <w:rPr>
                <w:rFonts w:ascii="Times New Roman" w:eastAsia="Times New Roman" w:hAnsi="Times New Roman"/>
                <w:sz w:val="18"/>
                <w:szCs w:val="18"/>
              </w:rPr>
            </w:pPr>
            <w:r>
              <w:rPr>
                <w:rFonts w:ascii="Times New Roman" w:eastAsia="Times New Roman" w:hAnsi="Times New Roman"/>
                <w:sz w:val="18"/>
                <w:szCs w:val="18"/>
              </w:rPr>
              <w:t> </w:t>
            </w:r>
            <w:r>
              <w:rPr>
                <w:rFonts w:ascii="Times New Roman" w:eastAsia="Times New Roman" w:hAnsi="Times New Roman"/>
                <w:sz w:val="18"/>
                <w:szCs w:val="18"/>
              </w:rPr>
              <w:t> </w:t>
            </w:r>
            <w:r>
              <w:rPr>
                <w:rFonts w:ascii="Times New Roman" w:eastAsia="Times New Roman" w:hAnsi="Times New Roman"/>
                <w:sz w:val="18"/>
                <w:szCs w:val="18"/>
              </w:rPr>
              <w:t> </w:t>
            </w:r>
            <w:r w:rsidR="009D7748" w:rsidRPr="00927C84">
              <w:rPr>
                <w:rFonts w:ascii="Times New Roman" w:eastAsia="Times New Roman" w:hAnsi="Times New Roman"/>
                <w:sz w:val="18"/>
                <w:szCs w:val="18"/>
              </w:rPr>
              <w:t>30% +</w:t>
            </w:r>
            <w:r>
              <w:rPr>
                <w:rFonts w:ascii="Times New Roman" w:eastAsia="Times New Roman" w:hAnsi="Times New Roman"/>
                <w:sz w:val="18"/>
                <w:szCs w:val="18"/>
              </w:rPr>
              <w:tab/>
            </w:r>
          </w:p>
        </w:tc>
        <w:tc>
          <w:tcPr>
            <w:tcW w:w="1262" w:type="dxa"/>
            <w:tcBorders>
              <w:top w:val="nil"/>
              <w:left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268</w:t>
            </w:r>
            <w:r w:rsidR="00784ECC">
              <w:rPr>
                <w:rFonts w:ascii="Times New Roman" w:eastAsia="Times New Roman" w:hAnsi="Times New Roman"/>
                <w:sz w:val="18"/>
                <w:szCs w:val="18"/>
              </w:rPr>
              <w:t xml:space="preserve"> </w:t>
            </w:r>
          </w:p>
        </w:tc>
        <w:tc>
          <w:tcPr>
            <w:tcW w:w="1260" w:type="dxa"/>
            <w:tcBorders>
              <w:top w:val="nil"/>
              <w:left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241</w:t>
            </w:r>
            <w:r w:rsidR="00784ECC">
              <w:rPr>
                <w:rFonts w:ascii="Times New Roman" w:eastAsia="Times New Roman" w:hAnsi="Times New Roman"/>
                <w:sz w:val="18"/>
                <w:szCs w:val="18"/>
              </w:rPr>
              <w:t xml:space="preserve"> </w:t>
            </w:r>
          </w:p>
        </w:tc>
        <w:tc>
          <w:tcPr>
            <w:tcW w:w="1260" w:type="dxa"/>
            <w:tcBorders>
              <w:top w:val="nil"/>
              <w:left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±6.11%</w:t>
            </w:r>
          </w:p>
        </w:tc>
        <w:tc>
          <w:tcPr>
            <w:tcW w:w="1260" w:type="dxa"/>
            <w:tcBorders>
              <w:top w:val="nil"/>
              <w:left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±7.18%</w:t>
            </w:r>
          </w:p>
        </w:tc>
        <w:tc>
          <w:tcPr>
            <w:tcW w:w="1260" w:type="dxa"/>
            <w:tcBorders>
              <w:top w:val="nil"/>
              <w:left w:val="nil"/>
              <w:right w:val="nil"/>
            </w:tcBorders>
            <w:shd w:val="clear" w:color="auto" w:fill="auto"/>
            <w:noWrap/>
            <w:vAlign w:val="bottom"/>
            <w:hideMark/>
          </w:tcPr>
          <w:p w:rsidR="009D7748" w:rsidRPr="00927C84" w:rsidRDefault="009D7748" w:rsidP="000C441B">
            <w:pPr>
              <w:spacing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±7.63%</w:t>
            </w:r>
          </w:p>
        </w:tc>
      </w:tr>
      <w:tr w:rsidR="009D7748" w:rsidRPr="00927C84" w:rsidTr="000C441B">
        <w:trPr>
          <w:trHeight w:val="20"/>
        </w:trPr>
        <w:tc>
          <w:tcPr>
            <w:tcW w:w="3883" w:type="dxa"/>
            <w:tcBorders>
              <w:top w:val="nil"/>
              <w:left w:val="nil"/>
              <w:bottom w:val="single" w:sz="4" w:space="0" w:color="auto"/>
              <w:right w:val="nil"/>
            </w:tcBorders>
            <w:shd w:val="clear" w:color="auto" w:fill="auto"/>
            <w:noWrap/>
            <w:vAlign w:val="bottom"/>
            <w:hideMark/>
          </w:tcPr>
          <w:p w:rsidR="009D7748" w:rsidRPr="000C441B" w:rsidRDefault="000C441B" w:rsidP="000C441B">
            <w:pPr>
              <w:tabs>
                <w:tab w:val="right" w:leader="dot" w:pos="3669"/>
              </w:tabs>
              <w:spacing w:before="120" w:after="0" w:line="240" w:lineRule="auto"/>
              <w:rPr>
                <w:rFonts w:ascii="Times New Roman" w:eastAsia="Times New Roman" w:hAnsi="Times New Roman"/>
                <w:b/>
                <w:iCs/>
                <w:sz w:val="18"/>
                <w:szCs w:val="18"/>
              </w:rPr>
            </w:pPr>
            <w:r w:rsidRPr="000C441B">
              <w:rPr>
                <w:rFonts w:ascii="Times New Roman" w:eastAsia="Times New Roman" w:hAnsi="Times New Roman"/>
                <w:b/>
                <w:iCs/>
                <w:sz w:val="18"/>
                <w:szCs w:val="18"/>
              </w:rPr>
              <w:t>All districts</w:t>
            </w:r>
            <w:r>
              <w:rPr>
                <w:rFonts w:ascii="Times New Roman" w:eastAsia="Times New Roman" w:hAnsi="Times New Roman"/>
                <w:sz w:val="18"/>
                <w:szCs w:val="18"/>
              </w:rPr>
              <w:tab/>
            </w:r>
          </w:p>
        </w:tc>
        <w:tc>
          <w:tcPr>
            <w:tcW w:w="1262" w:type="dxa"/>
            <w:tcBorders>
              <w:top w:val="nil"/>
              <w:left w:val="nil"/>
              <w:bottom w:val="single" w:sz="4" w:space="0" w:color="auto"/>
              <w:right w:val="nil"/>
            </w:tcBorders>
            <w:shd w:val="clear" w:color="auto" w:fill="auto"/>
            <w:noWrap/>
            <w:vAlign w:val="bottom"/>
            <w:hideMark/>
          </w:tcPr>
          <w:p w:rsidR="009D7748" w:rsidRPr="000C441B" w:rsidRDefault="009D7748" w:rsidP="000C441B">
            <w:pPr>
              <w:spacing w:before="120" w:after="0" w:line="240" w:lineRule="auto"/>
              <w:jc w:val="right"/>
              <w:rPr>
                <w:rFonts w:ascii="Times New Roman" w:eastAsia="Times New Roman" w:hAnsi="Times New Roman"/>
                <w:iCs/>
                <w:sz w:val="18"/>
                <w:szCs w:val="18"/>
              </w:rPr>
            </w:pPr>
            <w:r w:rsidRPr="000C441B">
              <w:rPr>
                <w:rFonts w:ascii="Times New Roman" w:eastAsia="Times New Roman" w:hAnsi="Times New Roman"/>
                <w:iCs/>
                <w:sz w:val="18"/>
                <w:szCs w:val="18"/>
              </w:rPr>
              <w:t>1,700</w:t>
            </w:r>
            <w:r w:rsidR="00784ECC">
              <w:rPr>
                <w:rFonts w:ascii="Times New Roman" w:eastAsia="Times New Roman" w:hAnsi="Times New Roman"/>
                <w:iCs/>
                <w:sz w:val="18"/>
                <w:szCs w:val="18"/>
              </w:rPr>
              <w:t xml:space="preserve"> </w:t>
            </w:r>
          </w:p>
        </w:tc>
        <w:tc>
          <w:tcPr>
            <w:tcW w:w="1260" w:type="dxa"/>
            <w:tcBorders>
              <w:top w:val="nil"/>
              <w:left w:val="nil"/>
              <w:bottom w:val="single" w:sz="4" w:space="0" w:color="auto"/>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i/>
                <w:iCs/>
                <w:sz w:val="18"/>
                <w:szCs w:val="18"/>
              </w:rPr>
            </w:pPr>
            <w:r w:rsidRPr="00927C84">
              <w:rPr>
                <w:rFonts w:ascii="Times New Roman" w:eastAsia="Times New Roman" w:hAnsi="Times New Roman"/>
                <w:i/>
                <w:iCs/>
                <w:sz w:val="18"/>
                <w:szCs w:val="18"/>
              </w:rPr>
              <w:t>1,530</w:t>
            </w:r>
            <w:r w:rsidR="00784ECC">
              <w:rPr>
                <w:rFonts w:ascii="Times New Roman" w:eastAsia="Times New Roman" w:hAnsi="Times New Roman"/>
                <w:i/>
                <w:iCs/>
                <w:sz w:val="18"/>
                <w:szCs w:val="18"/>
              </w:rPr>
              <w:t xml:space="preserve"> </w:t>
            </w:r>
          </w:p>
        </w:tc>
        <w:tc>
          <w:tcPr>
            <w:tcW w:w="1260" w:type="dxa"/>
            <w:tcBorders>
              <w:top w:val="nil"/>
              <w:left w:val="nil"/>
              <w:bottom w:val="single" w:sz="4" w:space="0" w:color="auto"/>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±2.41%</w:t>
            </w:r>
          </w:p>
        </w:tc>
        <w:tc>
          <w:tcPr>
            <w:tcW w:w="1260" w:type="dxa"/>
            <w:tcBorders>
              <w:top w:val="nil"/>
              <w:left w:val="nil"/>
              <w:bottom w:val="single" w:sz="4" w:space="0" w:color="auto"/>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±2.84%</w:t>
            </w:r>
          </w:p>
        </w:tc>
        <w:tc>
          <w:tcPr>
            <w:tcW w:w="1260" w:type="dxa"/>
            <w:tcBorders>
              <w:top w:val="nil"/>
              <w:left w:val="nil"/>
              <w:bottom w:val="single" w:sz="4" w:space="0" w:color="auto"/>
              <w:right w:val="nil"/>
            </w:tcBorders>
            <w:shd w:val="clear" w:color="auto" w:fill="auto"/>
            <w:noWrap/>
            <w:vAlign w:val="bottom"/>
            <w:hideMark/>
          </w:tcPr>
          <w:p w:rsidR="009D7748" w:rsidRPr="00927C84" w:rsidRDefault="009D7748" w:rsidP="000C441B">
            <w:pPr>
              <w:spacing w:before="120" w:after="0" w:line="240" w:lineRule="auto"/>
              <w:jc w:val="right"/>
              <w:rPr>
                <w:rFonts w:ascii="Times New Roman" w:eastAsia="Times New Roman" w:hAnsi="Times New Roman"/>
                <w:sz w:val="18"/>
                <w:szCs w:val="18"/>
              </w:rPr>
            </w:pPr>
            <w:r w:rsidRPr="00927C84">
              <w:rPr>
                <w:rFonts w:ascii="Times New Roman" w:eastAsia="Times New Roman" w:hAnsi="Times New Roman"/>
                <w:sz w:val="18"/>
                <w:szCs w:val="18"/>
              </w:rPr>
              <w:t>±3.02%</w:t>
            </w:r>
          </w:p>
        </w:tc>
      </w:tr>
    </w:tbl>
    <w:p w:rsidR="00421942" w:rsidRDefault="00421942" w:rsidP="00421942">
      <w:pPr>
        <w:spacing w:after="0" w:line="240" w:lineRule="auto"/>
        <w:rPr>
          <w:rFonts w:ascii="Times New Roman" w:hAnsi="Times New Roman"/>
        </w:rPr>
      </w:pPr>
    </w:p>
    <w:p w:rsidR="00421942" w:rsidRPr="009A38FE" w:rsidRDefault="00421942" w:rsidP="00753FB8">
      <w:pPr>
        <w:tabs>
          <w:tab w:val="left" w:pos="720"/>
        </w:tabs>
        <w:spacing w:after="120" w:line="23" w:lineRule="atLeast"/>
        <w:rPr>
          <w:rFonts w:ascii="Times New Roman" w:hAnsi="Times New Roman"/>
          <w:b/>
          <w:color w:val="000000"/>
        </w:rPr>
      </w:pPr>
      <w:r w:rsidRPr="009A38FE">
        <w:rPr>
          <w:rFonts w:ascii="Times New Roman" w:hAnsi="Times New Roman"/>
          <w:b/>
          <w:color w:val="000000"/>
        </w:rPr>
        <w:t>Estimation and Calculation of Sampling Errors</w:t>
      </w:r>
    </w:p>
    <w:p w:rsidR="00421942" w:rsidRPr="00AC4DEA" w:rsidRDefault="00421942" w:rsidP="00753FB8">
      <w:pPr>
        <w:spacing w:after="120" w:line="23" w:lineRule="atLeast"/>
        <w:ind w:firstLine="576"/>
        <w:rPr>
          <w:rFonts w:ascii="Times New Roman" w:hAnsi="Times New Roman"/>
        </w:rPr>
      </w:pPr>
      <w:r w:rsidRPr="00AC4DEA">
        <w:rPr>
          <w:rFonts w:ascii="Times New Roman" w:hAnsi="Times New Roman"/>
        </w:rPr>
        <w:t>For estimation purposes, sampling weights reflecting the overall probabilities of selection and adjustments for nonresponse will be attached to each data record. To properly reflect the complex features of the sample design, standard errors of the survey-based estimates will be calculated using jackknife replication. Under the jackknife replication approach, 50-100 subsamples or "replicates" will be formed in a way that preserves the basic features of the full sample design. A set of estimation weights (referred to as "replicate weights") will then be constructed for each jackknife replicate. Using the full sample weights and the replicate weights, estimates of any survey statistic can be calculated for the full sample and each of the jackknife replicates. The variability of the replicate estimates is used to obtain a measure of the variance (standard error) of the survey statistic. Previous surveys, using similar sample designs, have yielded relative standard errors (i.e., coefficients of variation) in the range of 2 to 10 percent for most national estimates. Similar results are expected for this survey.</w:t>
      </w:r>
    </w:p>
    <w:sectPr w:rsidR="00421942" w:rsidRPr="00AC4DEA" w:rsidSect="00AC4DEA">
      <w:type w:val="continuous"/>
      <w:pgSz w:w="12240" w:h="15840" w:code="1"/>
      <w:pgMar w:top="1008" w:right="1008" w:bottom="1008" w:left="1008" w:header="432"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B8" w:rsidRDefault="000A6EB8">
      <w:pPr>
        <w:spacing w:after="0" w:line="240" w:lineRule="auto"/>
      </w:pPr>
      <w:r>
        <w:separator/>
      </w:r>
    </w:p>
  </w:endnote>
  <w:endnote w:type="continuationSeparator" w:id="0">
    <w:p w:rsidR="000A6EB8" w:rsidRDefault="000A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B8" w:rsidRPr="00B84D2B" w:rsidRDefault="000A6EB8" w:rsidP="00B84D2B">
    <w:pPr>
      <w:pStyle w:val="Footer"/>
      <w:jc w:val="center"/>
      <w:rPr>
        <w:rFonts w:ascii="Times New Roman" w:hAnsi="Times New Roman"/>
      </w:rPr>
    </w:pPr>
    <w:r w:rsidRPr="00B84D2B">
      <w:rPr>
        <w:rFonts w:ascii="Times New Roman" w:hAnsi="Times New Roman"/>
      </w:rPr>
      <w:fldChar w:fldCharType="begin"/>
    </w:r>
    <w:r w:rsidRPr="00B84D2B">
      <w:rPr>
        <w:rFonts w:ascii="Times New Roman" w:hAnsi="Times New Roman"/>
      </w:rPr>
      <w:instrText xml:space="preserve"> PAGE   \* MERGEFORMAT </w:instrText>
    </w:r>
    <w:r w:rsidRPr="00B84D2B">
      <w:rPr>
        <w:rFonts w:ascii="Times New Roman" w:hAnsi="Times New Roman"/>
      </w:rPr>
      <w:fldChar w:fldCharType="separate"/>
    </w:r>
    <w:r>
      <w:rPr>
        <w:rFonts w:ascii="Times New Roman" w:hAnsi="Times New Roman"/>
        <w:noProof/>
      </w:rPr>
      <w:t>8</w:t>
    </w:r>
    <w:r w:rsidRPr="00B84D2B">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B8" w:rsidRPr="000C441B" w:rsidRDefault="000A6EB8" w:rsidP="005C119B">
    <w:pPr>
      <w:pStyle w:val="Footer"/>
      <w:tabs>
        <w:tab w:val="clear" w:pos="4680"/>
        <w:tab w:val="clear" w:pos="9360"/>
        <w:tab w:val="center" w:pos="5040"/>
        <w:tab w:val="right" w:pos="10170"/>
      </w:tabs>
      <w:jc w:val="center"/>
      <w:rPr>
        <w:rFonts w:ascii="Times New Roman" w:hAnsi="Times New Roman"/>
      </w:rPr>
    </w:pPr>
    <w:r w:rsidRPr="000C441B">
      <w:rPr>
        <w:rFonts w:ascii="Times New Roman" w:hAnsi="Times New Roman"/>
      </w:rPr>
      <w:fldChar w:fldCharType="begin"/>
    </w:r>
    <w:r w:rsidRPr="000C441B">
      <w:rPr>
        <w:rFonts w:ascii="Times New Roman" w:hAnsi="Times New Roman"/>
      </w:rPr>
      <w:instrText xml:space="preserve"> PAGE   \* MERGEFORMAT </w:instrText>
    </w:r>
    <w:r w:rsidRPr="000C441B">
      <w:rPr>
        <w:rFonts w:ascii="Times New Roman" w:hAnsi="Times New Roman"/>
      </w:rPr>
      <w:fldChar w:fldCharType="separate"/>
    </w:r>
    <w:r w:rsidR="0092238F">
      <w:rPr>
        <w:rFonts w:ascii="Times New Roman" w:hAnsi="Times New Roman"/>
        <w:noProof/>
      </w:rPr>
      <w:t>5</w:t>
    </w:r>
    <w:r w:rsidRPr="000C441B">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B8" w:rsidRDefault="000A6EB8">
      <w:pPr>
        <w:spacing w:after="0" w:line="240" w:lineRule="auto"/>
      </w:pPr>
      <w:r>
        <w:separator/>
      </w:r>
    </w:p>
  </w:footnote>
  <w:footnote w:type="continuationSeparator" w:id="0">
    <w:p w:rsidR="000A6EB8" w:rsidRDefault="000A6EB8">
      <w:pPr>
        <w:spacing w:after="0" w:line="240" w:lineRule="auto"/>
      </w:pPr>
      <w:r>
        <w:continuationSeparator/>
      </w:r>
    </w:p>
  </w:footnote>
  <w:footnote w:id="1">
    <w:p w:rsidR="000A6EB8" w:rsidRDefault="000A6EB8" w:rsidP="00F43B8C">
      <w:pPr>
        <w:pStyle w:val="FootnoteText"/>
        <w:spacing w:after="0" w:line="240" w:lineRule="auto"/>
      </w:pPr>
      <w:r w:rsidRPr="00250C79">
        <w:rPr>
          <w:rStyle w:val="FootnoteReference"/>
          <w:rFonts w:ascii="Times New Roman" w:hAnsi="Times New Roman"/>
          <w:sz w:val="18"/>
          <w:szCs w:val="18"/>
        </w:rPr>
        <w:footnoteRef/>
      </w:r>
      <w:r w:rsidRPr="00250C79">
        <w:rPr>
          <w:rFonts w:ascii="Times New Roman" w:hAnsi="Times New Roman"/>
          <w:sz w:val="18"/>
          <w:szCs w:val="18"/>
        </w:rPr>
        <w:t xml:space="preserve"> </w:t>
      </w:r>
      <w:r>
        <w:rPr>
          <w:rFonts w:ascii="Times New Roman" w:hAnsi="Times New Roman"/>
          <w:sz w:val="18"/>
          <w:szCs w:val="18"/>
        </w:rPr>
        <w:t>This e</w:t>
      </w:r>
      <w:r w:rsidRPr="00250C79">
        <w:rPr>
          <w:rFonts w:ascii="Times New Roman" w:hAnsi="Times New Roman"/>
          <w:sz w:val="18"/>
          <w:szCs w:val="18"/>
        </w:rPr>
        <w:t xml:space="preserve">stimate </w:t>
      </w:r>
      <w:r>
        <w:rPr>
          <w:rFonts w:ascii="Times New Roman" w:hAnsi="Times New Roman"/>
          <w:sz w:val="18"/>
          <w:szCs w:val="18"/>
        </w:rPr>
        <w:t>is</w:t>
      </w:r>
      <w:r w:rsidRPr="00250C79">
        <w:rPr>
          <w:rFonts w:ascii="Times New Roman" w:hAnsi="Times New Roman"/>
          <w:sz w:val="18"/>
          <w:szCs w:val="18"/>
        </w:rPr>
        <w:t xml:space="preserve"> the</w:t>
      </w:r>
      <w:r>
        <w:rPr>
          <w:rFonts w:ascii="Times New Roman" w:hAnsi="Times New Roman"/>
          <w:sz w:val="18"/>
          <w:szCs w:val="18"/>
        </w:rPr>
        <w:t xml:space="preserve"> average</w:t>
      </w:r>
      <w:r w:rsidRPr="00250C79">
        <w:rPr>
          <w:rFonts w:ascii="Times New Roman" w:hAnsi="Times New Roman"/>
          <w:sz w:val="18"/>
          <w:szCs w:val="18"/>
        </w:rPr>
        <w:t xml:space="preserve"> amount of time </w:t>
      </w:r>
      <w:r>
        <w:rPr>
          <w:rFonts w:ascii="Times New Roman" w:hAnsi="Times New Roman"/>
          <w:sz w:val="18"/>
          <w:szCs w:val="18"/>
        </w:rPr>
        <w:t xml:space="preserve">district staff </w:t>
      </w:r>
      <w:r w:rsidRPr="00250C79">
        <w:rPr>
          <w:rFonts w:ascii="Times New Roman" w:hAnsi="Times New Roman"/>
          <w:sz w:val="18"/>
          <w:szCs w:val="18"/>
        </w:rPr>
        <w:t>respondents</w:t>
      </w:r>
      <w:r>
        <w:rPr>
          <w:rFonts w:ascii="Times New Roman" w:hAnsi="Times New Roman"/>
          <w:sz w:val="18"/>
          <w:szCs w:val="18"/>
        </w:rPr>
        <w:t xml:space="preserve"> </w:t>
      </w:r>
      <w:r w:rsidRPr="00250C79">
        <w:rPr>
          <w:rFonts w:ascii="Times New Roman" w:hAnsi="Times New Roman"/>
          <w:sz w:val="18"/>
          <w:szCs w:val="18"/>
        </w:rPr>
        <w:t>reported the questionnaire took to complete during the pretest.</w:t>
      </w:r>
      <w:r>
        <w:t xml:space="preserve"> </w:t>
      </w:r>
    </w:p>
  </w:footnote>
  <w:footnote w:id="2">
    <w:p w:rsidR="000A6EB8" w:rsidRPr="00AC2311" w:rsidRDefault="000A6EB8" w:rsidP="00AC4DEA">
      <w:pPr>
        <w:pStyle w:val="FootnoteText"/>
        <w:spacing w:after="0" w:line="240" w:lineRule="auto"/>
        <w:rPr>
          <w:rFonts w:ascii="Times New Roman" w:hAnsi="Times New Roman"/>
        </w:rPr>
      </w:pPr>
      <w:r w:rsidRPr="00AC2311">
        <w:rPr>
          <w:rStyle w:val="FootnoteReference"/>
          <w:rFonts w:ascii="Times New Roman" w:hAnsi="Times New Roman"/>
        </w:rPr>
        <w:footnoteRef/>
      </w:r>
      <w:r w:rsidRPr="00AC2311">
        <w:rPr>
          <w:rFonts w:ascii="Times New Roman" w:hAnsi="Times New Roman"/>
        </w:rPr>
        <w:t xml:space="preserve"> For example, see Keaton, P. (2014). </w:t>
      </w:r>
      <w:r w:rsidRPr="00AC2311">
        <w:rPr>
          <w:rFonts w:ascii="Times New Roman" w:hAnsi="Times New Roman"/>
          <w:i/>
          <w:iCs/>
        </w:rPr>
        <w:t xml:space="preserve">Documentation to the NCES Common Core of Data Local Education Agency Universe Survey: School Year 2012-13 Provisional Version </w:t>
      </w:r>
      <w:r>
        <w:rPr>
          <w:rFonts w:ascii="Times New Roman" w:hAnsi="Times New Roman"/>
          <w:i/>
          <w:iCs/>
        </w:rPr>
        <w:t>1a</w:t>
      </w:r>
      <w:r w:rsidRPr="00AC2311">
        <w:rPr>
          <w:rFonts w:ascii="Times New Roman" w:hAnsi="Times New Roman"/>
          <w:i/>
          <w:iCs/>
        </w:rPr>
        <w:t xml:space="preserve"> </w:t>
      </w:r>
      <w:r w:rsidRPr="00AC2311">
        <w:rPr>
          <w:rFonts w:ascii="Times New Roman" w:hAnsi="Times New Roman"/>
        </w:rPr>
        <w:t xml:space="preserve">(NCES 2015-008). U.S. Department of Education. Washington, DC: National Center for Education Statistics. Retrieved from </w:t>
      </w:r>
      <w:r w:rsidRPr="00AC2311">
        <w:rPr>
          <w:rFonts w:ascii="Times New Roman" w:hAnsi="Times New Roman"/>
          <w:u w:val="single"/>
        </w:rPr>
        <w:t>http://nces.ed.gov/pubsearch/pubsinfo.asp?pubid=2015008.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EB8" w:rsidRPr="000C441B" w:rsidRDefault="000A6EB8" w:rsidP="00C16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563AB"/>
    <w:multiLevelType w:val="hybridMultilevel"/>
    <w:tmpl w:val="B284F372"/>
    <w:lvl w:ilvl="0" w:tplc="04090019">
      <w:start w:val="1"/>
      <w:numFmt w:val="bullet"/>
      <w:lvlText w:val=""/>
      <w:lvlJc w:val="left"/>
      <w:pPr>
        <w:tabs>
          <w:tab w:val="num" w:pos="936"/>
        </w:tabs>
        <w:ind w:left="936" w:hanging="360"/>
      </w:pPr>
      <w:rPr>
        <w:rFonts w:ascii="Symbol" w:hAnsi="Symbol" w:hint="default"/>
      </w:rPr>
    </w:lvl>
    <w:lvl w:ilvl="1" w:tplc="04090019" w:tentative="1">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5BF16362"/>
    <w:multiLevelType w:val="hybridMultilevel"/>
    <w:tmpl w:val="CB9C95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5C19630D"/>
    <w:multiLevelType w:val="hybridMultilevel"/>
    <w:tmpl w:val="53DC7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FA7560"/>
    <w:multiLevelType w:val="singleLevel"/>
    <w:tmpl w:val="04090011"/>
    <w:lvl w:ilvl="0">
      <w:start w:val="1"/>
      <w:numFmt w:val="decimal"/>
      <w:lvlText w:val="%1)"/>
      <w:lvlJc w:val="left"/>
      <w:pPr>
        <w:tabs>
          <w:tab w:val="num" w:pos="360"/>
        </w:tabs>
        <w:ind w:left="360" w:hanging="360"/>
      </w:pPr>
    </w:lvl>
  </w:abstractNum>
  <w:num w:numId="1">
    <w:abstractNumId w:val="3"/>
    <w:lvlOverride w:ilvl="0">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1F4"/>
    <w:rsid w:val="0000121D"/>
    <w:rsid w:val="00001E22"/>
    <w:rsid w:val="00001F4A"/>
    <w:rsid w:val="000027C9"/>
    <w:rsid w:val="0000325F"/>
    <w:rsid w:val="00004634"/>
    <w:rsid w:val="00010CE5"/>
    <w:rsid w:val="000120D3"/>
    <w:rsid w:val="00014787"/>
    <w:rsid w:val="0002211C"/>
    <w:rsid w:val="0002412A"/>
    <w:rsid w:val="00031DE6"/>
    <w:rsid w:val="00036EC8"/>
    <w:rsid w:val="0003770B"/>
    <w:rsid w:val="00037CC0"/>
    <w:rsid w:val="00054843"/>
    <w:rsid w:val="0006644B"/>
    <w:rsid w:val="00073C82"/>
    <w:rsid w:val="0007508C"/>
    <w:rsid w:val="000767BE"/>
    <w:rsid w:val="00077D51"/>
    <w:rsid w:val="00081336"/>
    <w:rsid w:val="0008629F"/>
    <w:rsid w:val="00090B18"/>
    <w:rsid w:val="00093F56"/>
    <w:rsid w:val="00094993"/>
    <w:rsid w:val="000951E5"/>
    <w:rsid w:val="000A0883"/>
    <w:rsid w:val="000A1043"/>
    <w:rsid w:val="000A54E2"/>
    <w:rsid w:val="000A6EB8"/>
    <w:rsid w:val="000A7381"/>
    <w:rsid w:val="000B027E"/>
    <w:rsid w:val="000B30AB"/>
    <w:rsid w:val="000B4212"/>
    <w:rsid w:val="000B50F2"/>
    <w:rsid w:val="000B6CA8"/>
    <w:rsid w:val="000C2C5B"/>
    <w:rsid w:val="000C441B"/>
    <w:rsid w:val="000C6D70"/>
    <w:rsid w:val="000D0804"/>
    <w:rsid w:val="000D1AF1"/>
    <w:rsid w:val="000D1EBF"/>
    <w:rsid w:val="000D456A"/>
    <w:rsid w:val="000D4F2F"/>
    <w:rsid w:val="000D6F2D"/>
    <w:rsid w:val="000E150F"/>
    <w:rsid w:val="000E29F8"/>
    <w:rsid w:val="000E790C"/>
    <w:rsid w:val="000F0A3B"/>
    <w:rsid w:val="000F208C"/>
    <w:rsid w:val="000F4818"/>
    <w:rsid w:val="000F4D06"/>
    <w:rsid w:val="00104A54"/>
    <w:rsid w:val="0010768B"/>
    <w:rsid w:val="00107E7E"/>
    <w:rsid w:val="001108C9"/>
    <w:rsid w:val="00112534"/>
    <w:rsid w:val="00112588"/>
    <w:rsid w:val="00112CE1"/>
    <w:rsid w:val="001130B6"/>
    <w:rsid w:val="00113752"/>
    <w:rsid w:val="00114DCB"/>
    <w:rsid w:val="001328E6"/>
    <w:rsid w:val="00134B2B"/>
    <w:rsid w:val="00142350"/>
    <w:rsid w:val="001476AC"/>
    <w:rsid w:val="00151BD6"/>
    <w:rsid w:val="0015344A"/>
    <w:rsid w:val="00153648"/>
    <w:rsid w:val="00157E07"/>
    <w:rsid w:val="00161DD1"/>
    <w:rsid w:val="00163C32"/>
    <w:rsid w:val="00165585"/>
    <w:rsid w:val="0017274D"/>
    <w:rsid w:val="001731CA"/>
    <w:rsid w:val="00174633"/>
    <w:rsid w:val="0017527C"/>
    <w:rsid w:val="00184935"/>
    <w:rsid w:val="0018537C"/>
    <w:rsid w:val="00196B72"/>
    <w:rsid w:val="001A4DD1"/>
    <w:rsid w:val="001B2338"/>
    <w:rsid w:val="001B3C6A"/>
    <w:rsid w:val="001B535D"/>
    <w:rsid w:val="001D0059"/>
    <w:rsid w:val="001D4A6B"/>
    <w:rsid w:val="001E7C26"/>
    <w:rsid w:val="001F18CB"/>
    <w:rsid w:val="001F1BE5"/>
    <w:rsid w:val="00201F41"/>
    <w:rsid w:val="00203668"/>
    <w:rsid w:val="00210390"/>
    <w:rsid w:val="00211660"/>
    <w:rsid w:val="00215775"/>
    <w:rsid w:val="00216940"/>
    <w:rsid w:val="00217C1C"/>
    <w:rsid w:val="00221C2D"/>
    <w:rsid w:val="00224F2F"/>
    <w:rsid w:val="00226EDC"/>
    <w:rsid w:val="002277C8"/>
    <w:rsid w:val="002318D8"/>
    <w:rsid w:val="002324C3"/>
    <w:rsid w:val="00245BC5"/>
    <w:rsid w:val="002529D0"/>
    <w:rsid w:val="00252A2C"/>
    <w:rsid w:val="00256830"/>
    <w:rsid w:val="00256BAF"/>
    <w:rsid w:val="00260C5E"/>
    <w:rsid w:val="002624E7"/>
    <w:rsid w:val="00270681"/>
    <w:rsid w:val="00275F82"/>
    <w:rsid w:val="00277162"/>
    <w:rsid w:val="0028052F"/>
    <w:rsid w:val="00280DB2"/>
    <w:rsid w:val="00281847"/>
    <w:rsid w:val="0028193C"/>
    <w:rsid w:val="002858D1"/>
    <w:rsid w:val="00290D7A"/>
    <w:rsid w:val="00291C0E"/>
    <w:rsid w:val="00296010"/>
    <w:rsid w:val="002A24AC"/>
    <w:rsid w:val="002A406B"/>
    <w:rsid w:val="002A5AE8"/>
    <w:rsid w:val="002B6086"/>
    <w:rsid w:val="002B79FC"/>
    <w:rsid w:val="002C19C5"/>
    <w:rsid w:val="002C266F"/>
    <w:rsid w:val="002C2D5D"/>
    <w:rsid w:val="002C455F"/>
    <w:rsid w:val="002C7FCD"/>
    <w:rsid w:val="002E2E3A"/>
    <w:rsid w:val="002E30A5"/>
    <w:rsid w:val="002E49A5"/>
    <w:rsid w:val="002E5A5A"/>
    <w:rsid w:val="002E5ACD"/>
    <w:rsid w:val="002E6FFD"/>
    <w:rsid w:val="002F0B28"/>
    <w:rsid w:val="002F27C1"/>
    <w:rsid w:val="002F661F"/>
    <w:rsid w:val="0030713F"/>
    <w:rsid w:val="00310298"/>
    <w:rsid w:val="00312768"/>
    <w:rsid w:val="00313DB1"/>
    <w:rsid w:val="0032206B"/>
    <w:rsid w:val="003237D2"/>
    <w:rsid w:val="00323831"/>
    <w:rsid w:val="0032664F"/>
    <w:rsid w:val="00331594"/>
    <w:rsid w:val="00332BFA"/>
    <w:rsid w:val="00333F93"/>
    <w:rsid w:val="00337A00"/>
    <w:rsid w:val="00341D07"/>
    <w:rsid w:val="0034203D"/>
    <w:rsid w:val="00357A01"/>
    <w:rsid w:val="00361E4C"/>
    <w:rsid w:val="00362ECD"/>
    <w:rsid w:val="00363605"/>
    <w:rsid w:val="00363A1E"/>
    <w:rsid w:val="00365BD8"/>
    <w:rsid w:val="0037132E"/>
    <w:rsid w:val="00376EDD"/>
    <w:rsid w:val="003771ED"/>
    <w:rsid w:val="00377C61"/>
    <w:rsid w:val="00382324"/>
    <w:rsid w:val="00382A03"/>
    <w:rsid w:val="00383E60"/>
    <w:rsid w:val="00390BAA"/>
    <w:rsid w:val="0039129F"/>
    <w:rsid w:val="0039224D"/>
    <w:rsid w:val="0039353A"/>
    <w:rsid w:val="003957C6"/>
    <w:rsid w:val="00395B94"/>
    <w:rsid w:val="00395C07"/>
    <w:rsid w:val="00395FBF"/>
    <w:rsid w:val="00396E39"/>
    <w:rsid w:val="00397E91"/>
    <w:rsid w:val="003A0775"/>
    <w:rsid w:val="003A1120"/>
    <w:rsid w:val="003A49DF"/>
    <w:rsid w:val="003A6F27"/>
    <w:rsid w:val="003B5887"/>
    <w:rsid w:val="003B61D7"/>
    <w:rsid w:val="003C06BC"/>
    <w:rsid w:val="003C4F47"/>
    <w:rsid w:val="003C5595"/>
    <w:rsid w:val="003D1604"/>
    <w:rsid w:val="003D267D"/>
    <w:rsid w:val="003D6AA6"/>
    <w:rsid w:val="003E1B02"/>
    <w:rsid w:val="003E51F9"/>
    <w:rsid w:val="003E74C4"/>
    <w:rsid w:val="003F17FE"/>
    <w:rsid w:val="003F5D02"/>
    <w:rsid w:val="004017A8"/>
    <w:rsid w:val="00401F7F"/>
    <w:rsid w:val="004104EA"/>
    <w:rsid w:val="00410C8B"/>
    <w:rsid w:val="0041340B"/>
    <w:rsid w:val="004147D0"/>
    <w:rsid w:val="00421942"/>
    <w:rsid w:val="00422BCD"/>
    <w:rsid w:val="00426C99"/>
    <w:rsid w:val="00431F90"/>
    <w:rsid w:val="00433F20"/>
    <w:rsid w:val="00436999"/>
    <w:rsid w:val="004407DB"/>
    <w:rsid w:val="00440BDA"/>
    <w:rsid w:val="00440C75"/>
    <w:rsid w:val="00447491"/>
    <w:rsid w:val="004522DE"/>
    <w:rsid w:val="00454C97"/>
    <w:rsid w:val="004654C9"/>
    <w:rsid w:val="00474045"/>
    <w:rsid w:val="00475B37"/>
    <w:rsid w:val="00481A67"/>
    <w:rsid w:val="004837EE"/>
    <w:rsid w:val="004865FF"/>
    <w:rsid w:val="00487BBC"/>
    <w:rsid w:val="00495928"/>
    <w:rsid w:val="004B1C3F"/>
    <w:rsid w:val="004C7BC7"/>
    <w:rsid w:val="004D05C8"/>
    <w:rsid w:val="004D0D80"/>
    <w:rsid w:val="004D1E72"/>
    <w:rsid w:val="004D2D1F"/>
    <w:rsid w:val="004D38DA"/>
    <w:rsid w:val="004D40AE"/>
    <w:rsid w:val="004D456D"/>
    <w:rsid w:val="004D54A4"/>
    <w:rsid w:val="004D7FC0"/>
    <w:rsid w:val="004E6E76"/>
    <w:rsid w:val="004F2B3D"/>
    <w:rsid w:val="004F3605"/>
    <w:rsid w:val="004F3D5D"/>
    <w:rsid w:val="004F6B2C"/>
    <w:rsid w:val="00504F0E"/>
    <w:rsid w:val="0050783C"/>
    <w:rsid w:val="00514F57"/>
    <w:rsid w:val="005150E7"/>
    <w:rsid w:val="0051627A"/>
    <w:rsid w:val="00523261"/>
    <w:rsid w:val="00524D2E"/>
    <w:rsid w:val="00531063"/>
    <w:rsid w:val="005332DD"/>
    <w:rsid w:val="00535680"/>
    <w:rsid w:val="005409A5"/>
    <w:rsid w:val="00540F5F"/>
    <w:rsid w:val="00543FB3"/>
    <w:rsid w:val="005458AB"/>
    <w:rsid w:val="00545F62"/>
    <w:rsid w:val="00551CA1"/>
    <w:rsid w:val="0056312F"/>
    <w:rsid w:val="00566755"/>
    <w:rsid w:val="005700AE"/>
    <w:rsid w:val="00573110"/>
    <w:rsid w:val="005740F0"/>
    <w:rsid w:val="00575287"/>
    <w:rsid w:val="005760BB"/>
    <w:rsid w:val="00582C7A"/>
    <w:rsid w:val="005914FD"/>
    <w:rsid w:val="00592010"/>
    <w:rsid w:val="0059423B"/>
    <w:rsid w:val="005943B7"/>
    <w:rsid w:val="005973A9"/>
    <w:rsid w:val="005A22AE"/>
    <w:rsid w:val="005A28D3"/>
    <w:rsid w:val="005A61F4"/>
    <w:rsid w:val="005B52C8"/>
    <w:rsid w:val="005C119B"/>
    <w:rsid w:val="005C60AB"/>
    <w:rsid w:val="005E05B4"/>
    <w:rsid w:val="005E6E04"/>
    <w:rsid w:val="005E7AE0"/>
    <w:rsid w:val="005E7D65"/>
    <w:rsid w:val="005F0FBC"/>
    <w:rsid w:val="005F4F39"/>
    <w:rsid w:val="005F69AC"/>
    <w:rsid w:val="00603083"/>
    <w:rsid w:val="006057EB"/>
    <w:rsid w:val="00605853"/>
    <w:rsid w:val="00611246"/>
    <w:rsid w:val="00614A9F"/>
    <w:rsid w:val="006239E2"/>
    <w:rsid w:val="00623B50"/>
    <w:rsid w:val="00633010"/>
    <w:rsid w:val="006361F2"/>
    <w:rsid w:val="00641F9B"/>
    <w:rsid w:val="00642AEB"/>
    <w:rsid w:val="00646656"/>
    <w:rsid w:val="00656613"/>
    <w:rsid w:val="00660311"/>
    <w:rsid w:val="00660B34"/>
    <w:rsid w:val="00662A33"/>
    <w:rsid w:val="006652FB"/>
    <w:rsid w:val="006830E9"/>
    <w:rsid w:val="006853BC"/>
    <w:rsid w:val="00686916"/>
    <w:rsid w:val="00686C5D"/>
    <w:rsid w:val="0069222D"/>
    <w:rsid w:val="00692B90"/>
    <w:rsid w:val="006A0261"/>
    <w:rsid w:val="006A037D"/>
    <w:rsid w:val="006A13D0"/>
    <w:rsid w:val="006A3B58"/>
    <w:rsid w:val="006A78AF"/>
    <w:rsid w:val="006B09C1"/>
    <w:rsid w:val="006B20F6"/>
    <w:rsid w:val="006B2314"/>
    <w:rsid w:val="006B5713"/>
    <w:rsid w:val="006C02E7"/>
    <w:rsid w:val="006C03C5"/>
    <w:rsid w:val="006C164B"/>
    <w:rsid w:val="006C4841"/>
    <w:rsid w:val="006C4BFC"/>
    <w:rsid w:val="006D0D42"/>
    <w:rsid w:val="006D3143"/>
    <w:rsid w:val="006D4806"/>
    <w:rsid w:val="006D4EFC"/>
    <w:rsid w:val="006E7F16"/>
    <w:rsid w:val="006F07D0"/>
    <w:rsid w:val="006F105E"/>
    <w:rsid w:val="00700535"/>
    <w:rsid w:val="00703162"/>
    <w:rsid w:val="00704101"/>
    <w:rsid w:val="00706BA8"/>
    <w:rsid w:val="00707D5F"/>
    <w:rsid w:val="00710D10"/>
    <w:rsid w:val="00711597"/>
    <w:rsid w:val="00713D5A"/>
    <w:rsid w:val="0071617B"/>
    <w:rsid w:val="007266CD"/>
    <w:rsid w:val="00727E53"/>
    <w:rsid w:val="00731613"/>
    <w:rsid w:val="00735884"/>
    <w:rsid w:val="00736674"/>
    <w:rsid w:val="00736CAB"/>
    <w:rsid w:val="00740FC8"/>
    <w:rsid w:val="00744EBC"/>
    <w:rsid w:val="00745A65"/>
    <w:rsid w:val="00746057"/>
    <w:rsid w:val="00746220"/>
    <w:rsid w:val="00751829"/>
    <w:rsid w:val="00753065"/>
    <w:rsid w:val="007534DB"/>
    <w:rsid w:val="00753A25"/>
    <w:rsid w:val="00753FB8"/>
    <w:rsid w:val="00766F21"/>
    <w:rsid w:val="007677F9"/>
    <w:rsid w:val="007732F3"/>
    <w:rsid w:val="00773466"/>
    <w:rsid w:val="0077576F"/>
    <w:rsid w:val="007763A5"/>
    <w:rsid w:val="0078257D"/>
    <w:rsid w:val="007844E9"/>
    <w:rsid w:val="00784ECC"/>
    <w:rsid w:val="00787432"/>
    <w:rsid w:val="007924FC"/>
    <w:rsid w:val="00792F35"/>
    <w:rsid w:val="00792F6B"/>
    <w:rsid w:val="00793A5B"/>
    <w:rsid w:val="00794FDD"/>
    <w:rsid w:val="00795F7E"/>
    <w:rsid w:val="00796219"/>
    <w:rsid w:val="0079689D"/>
    <w:rsid w:val="007A00E8"/>
    <w:rsid w:val="007A042A"/>
    <w:rsid w:val="007A2121"/>
    <w:rsid w:val="007A3371"/>
    <w:rsid w:val="007A598A"/>
    <w:rsid w:val="007B2298"/>
    <w:rsid w:val="007B27F8"/>
    <w:rsid w:val="007B389C"/>
    <w:rsid w:val="007C034D"/>
    <w:rsid w:val="007C08CA"/>
    <w:rsid w:val="007C2C23"/>
    <w:rsid w:val="007C710A"/>
    <w:rsid w:val="007D030C"/>
    <w:rsid w:val="007D04F2"/>
    <w:rsid w:val="007D1945"/>
    <w:rsid w:val="007D77F4"/>
    <w:rsid w:val="007D7AFB"/>
    <w:rsid w:val="007E0A92"/>
    <w:rsid w:val="007E0F72"/>
    <w:rsid w:val="007E1267"/>
    <w:rsid w:val="007E2C4A"/>
    <w:rsid w:val="007E4C8D"/>
    <w:rsid w:val="007F6454"/>
    <w:rsid w:val="00800A8A"/>
    <w:rsid w:val="00802DE1"/>
    <w:rsid w:val="00805AC9"/>
    <w:rsid w:val="008126EA"/>
    <w:rsid w:val="008157BC"/>
    <w:rsid w:val="00820953"/>
    <w:rsid w:val="00820B4D"/>
    <w:rsid w:val="00821791"/>
    <w:rsid w:val="00821875"/>
    <w:rsid w:val="008227A4"/>
    <w:rsid w:val="0082550F"/>
    <w:rsid w:val="008259DE"/>
    <w:rsid w:val="008360CA"/>
    <w:rsid w:val="0084228D"/>
    <w:rsid w:val="00842799"/>
    <w:rsid w:val="00843711"/>
    <w:rsid w:val="00845513"/>
    <w:rsid w:val="00847D4A"/>
    <w:rsid w:val="008514E9"/>
    <w:rsid w:val="0085279D"/>
    <w:rsid w:val="00862DE4"/>
    <w:rsid w:val="0086314A"/>
    <w:rsid w:val="00870917"/>
    <w:rsid w:val="0087381A"/>
    <w:rsid w:val="00880B9F"/>
    <w:rsid w:val="00885323"/>
    <w:rsid w:val="00886A4B"/>
    <w:rsid w:val="00887FDA"/>
    <w:rsid w:val="008939AD"/>
    <w:rsid w:val="00895012"/>
    <w:rsid w:val="00896847"/>
    <w:rsid w:val="008A1BF1"/>
    <w:rsid w:val="008A3557"/>
    <w:rsid w:val="008A6CF5"/>
    <w:rsid w:val="008B05F2"/>
    <w:rsid w:val="008B26FA"/>
    <w:rsid w:val="008B3E6A"/>
    <w:rsid w:val="008B5AA0"/>
    <w:rsid w:val="008B79F3"/>
    <w:rsid w:val="008B7DAF"/>
    <w:rsid w:val="008C1E91"/>
    <w:rsid w:val="008C32D2"/>
    <w:rsid w:val="008D1598"/>
    <w:rsid w:val="008F2715"/>
    <w:rsid w:val="008F2BE3"/>
    <w:rsid w:val="008F5162"/>
    <w:rsid w:val="00903C04"/>
    <w:rsid w:val="00911756"/>
    <w:rsid w:val="00911869"/>
    <w:rsid w:val="00912C21"/>
    <w:rsid w:val="0091412D"/>
    <w:rsid w:val="00917D72"/>
    <w:rsid w:val="00920759"/>
    <w:rsid w:val="00921D60"/>
    <w:rsid w:val="0092238F"/>
    <w:rsid w:val="00924F35"/>
    <w:rsid w:val="00927C84"/>
    <w:rsid w:val="00931BCF"/>
    <w:rsid w:val="00935999"/>
    <w:rsid w:val="0094184C"/>
    <w:rsid w:val="0094287D"/>
    <w:rsid w:val="00945437"/>
    <w:rsid w:val="00947FC4"/>
    <w:rsid w:val="009525B6"/>
    <w:rsid w:val="00955733"/>
    <w:rsid w:val="009564F0"/>
    <w:rsid w:val="00967CFE"/>
    <w:rsid w:val="00971072"/>
    <w:rsid w:val="0097434E"/>
    <w:rsid w:val="00977AF5"/>
    <w:rsid w:val="00983A01"/>
    <w:rsid w:val="00992777"/>
    <w:rsid w:val="0099371E"/>
    <w:rsid w:val="009A214F"/>
    <w:rsid w:val="009A5511"/>
    <w:rsid w:val="009B1D26"/>
    <w:rsid w:val="009B2705"/>
    <w:rsid w:val="009B2FA0"/>
    <w:rsid w:val="009B4A7C"/>
    <w:rsid w:val="009C03E7"/>
    <w:rsid w:val="009D4024"/>
    <w:rsid w:val="009D422B"/>
    <w:rsid w:val="009D7748"/>
    <w:rsid w:val="009E1D70"/>
    <w:rsid w:val="009E3175"/>
    <w:rsid w:val="009E41E1"/>
    <w:rsid w:val="009F3886"/>
    <w:rsid w:val="009F6EE2"/>
    <w:rsid w:val="00A057DA"/>
    <w:rsid w:val="00A10371"/>
    <w:rsid w:val="00A1117D"/>
    <w:rsid w:val="00A21D8E"/>
    <w:rsid w:val="00A27FDA"/>
    <w:rsid w:val="00A31612"/>
    <w:rsid w:val="00A32002"/>
    <w:rsid w:val="00A355D3"/>
    <w:rsid w:val="00A36AA0"/>
    <w:rsid w:val="00A41ECC"/>
    <w:rsid w:val="00A43B4E"/>
    <w:rsid w:val="00A44231"/>
    <w:rsid w:val="00A5433B"/>
    <w:rsid w:val="00A55106"/>
    <w:rsid w:val="00A61ADC"/>
    <w:rsid w:val="00A64233"/>
    <w:rsid w:val="00A708CE"/>
    <w:rsid w:val="00A72368"/>
    <w:rsid w:val="00A742E9"/>
    <w:rsid w:val="00A76403"/>
    <w:rsid w:val="00A778FE"/>
    <w:rsid w:val="00A827C6"/>
    <w:rsid w:val="00A835A1"/>
    <w:rsid w:val="00A83B17"/>
    <w:rsid w:val="00A85FAB"/>
    <w:rsid w:val="00A92054"/>
    <w:rsid w:val="00A92A3A"/>
    <w:rsid w:val="00A97E12"/>
    <w:rsid w:val="00AA18F5"/>
    <w:rsid w:val="00AA4F89"/>
    <w:rsid w:val="00AA5274"/>
    <w:rsid w:val="00AA6ED7"/>
    <w:rsid w:val="00AB492D"/>
    <w:rsid w:val="00AB6C98"/>
    <w:rsid w:val="00AC0657"/>
    <w:rsid w:val="00AC1448"/>
    <w:rsid w:val="00AC4790"/>
    <w:rsid w:val="00AC4DEA"/>
    <w:rsid w:val="00AD1189"/>
    <w:rsid w:val="00AD1AA1"/>
    <w:rsid w:val="00AD275C"/>
    <w:rsid w:val="00AE35AC"/>
    <w:rsid w:val="00AF08AD"/>
    <w:rsid w:val="00AF288D"/>
    <w:rsid w:val="00AF66CF"/>
    <w:rsid w:val="00B074B2"/>
    <w:rsid w:val="00B11A2C"/>
    <w:rsid w:val="00B1434A"/>
    <w:rsid w:val="00B1541E"/>
    <w:rsid w:val="00B16947"/>
    <w:rsid w:val="00B212B8"/>
    <w:rsid w:val="00B33FEE"/>
    <w:rsid w:val="00B37A0D"/>
    <w:rsid w:val="00B45E2C"/>
    <w:rsid w:val="00B50C99"/>
    <w:rsid w:val="00B5280F"/>
    <w:rsid w:val="00B61A82"/>
    <w:rsid w:val="00B645A0"/>
    <w:rsid w:val="00B654A2"/>
    <w:rsid w:val="00B70526"/>
    <w:rsid w:val="00B71511"/>
    <w:rsid w:val="00B71720"/>
    <w:rsid w:val="00B73048"/>
    <w:rsid w:val="00B76267"/>
    <w:rsid w:val="00B83694"/>
    <w:rsid w:val="00B84D2B"/>
    <w:rsid w:val="00B90AFA"/>
    <w:rsid w:val="00BA39A7"/>
    <w:rsid w:val="00BA71FC"/>
    <w:rsid w:val="00BB23CE"/>
    <w:rsid w:val="00BB4AE4"/>
    <w:rsid w:val="00BB4D0F"/>
    <w:rsid w:val="00BD1236"/>
    <w:rsid w:val="00BD5AAB"/>
    <w:rsid w:val="00BE6E78"/>
    <w:rsid w:val="00BF0B47"/>
    <w:rsid w:val="00BF34D8"/>
    <w:rsid w:val="00BF7A9E"/>
    <w:rsid w:val="00C020A6"/>
    <w:rsid w:val="00C05CED"/>
    <w:rsid w:val="00C06468"/>
    <w:rsid w:val="00C16D9B"/>
    <w:rsid w:val="00C17075"/>
    <w:rsid w:val="00C217F9"/>
    <w:rsid w:val="00C22E39"/>
    <w:rsid w:val="00C2682D"/>
    <w:rsid w:val="00C30C84"/>
    <w:rsid w:val="00C317FB"/>
    <w:rsid w:val="00C3274A"/>
    <w:rsid w:val="00C368FA"/>
    <w:rsid w:val="00C3737C"/>
    <w:rsid w:val="00C404F8"/>
    <w:rsid w:val="00C4077E"/>
    <w:rsid w:val="00C423D7"/>
    <w:rsid w:val="00C440FF"/>
    <w:rsid w:val="00C44AF0"/>
    <w:rsid w:val="00C45A0E"/>
    <w:rsid w:val="00C50836"/>
    <w:rsid w:val="00C52923"/>
    <w:rsid w:val="00C53E89"/>
    <w:rsid w:val="00C550BF"/>
    <w:rsid w:val="00C5571B"/>
    <w:rsid w:val="00C557B7"/>
    <w:rsid w:val="00C61CA3"/>
    <w:rsid w:val="00C61F11"/>
    <w:rsid w:val="00C7323B"/>
    <w:rsid w:val="00C73953"/>
    <w:rsid w:val="00C74547"/>
    <w:rsid w:val="00C74AFA"/>
    <w:rsid w:val="00C827E2"/>
    <w:rsid w:val="00C83856"/>
    <w:rsid w:val="00C83BE0"/>
    <w:rsid w:val="00C87933"/>
    <w:rsid w:val="00C92E0E"/>
    <w:rsid w:val="00C94FAE"/>
    <w:rsid w:val="00CA168A"/>
    <w:rsid w:val="00CA494E"/>
    <w:rsid w:val="00CA66DA"/>
    <w:rsid w:val="00CB3555"/>
    <w:rsid w:val="00CB7CF6"/>
    <w:rsid w:val="00CC2545"/>
    <w:rsid w:val="00CC5714"/>
    <w:rsid w:val="00CD58CF"/>
    <w:rsid w:val="00CD7614"/>
    <w:rsid w:val="00CD7E4C"/>
    <w:rsid w:val="00CE39C1"/>
    <w:rsid w:val="00CE4A84"/>
    <w:rsid w:val="00CF5878"/>
    <w:rsid w:val="00CF61E3"/>
    <w:rsid w:val="00CF7BCA"/>
    <w:rsid w:val="00D0535B"/>
    <w:rsid w:val="00D107CE"/>
    <w:rsid w:val="00D139C4"/>
    <w:rsid w:val="00D2290C"/>
    <w:rsid w:val="00D31957"/>
    <w:rsid w:val="00D3419D"/>
    <w:rsid w:val="00D3423C"/>
    <w:rsid w:val="00D344FE"/>
    <w:rsid w:val="00D34AA7"/>
    <w:rsid w:val="00D34DE2"/>
    <w:rsid w:val="00D359C1"/>
    <w:rsid w:val="00D36AEA"/>
    <w:rsid w:val="00D40448"/>
    <w:rsid w:val="00D4101F"/>
    <w:rsid w:val="00D41606"/>
    <w:rsid w:val="00D44A8B"/>
    <w:rsid w:val="00D4550E"/>
    <w:rsid w:val="00D5153D"/>
    <w:rsid w:val="00D550EA"/>
    <w:rsid w:val="00D573A1"/>
    <w:rsid w:val="00D6332F"/>
    <w:rsid w:val="00D734FD"/>
    <w:rsid w:val="00D7399B"/>
    <w:rsid w:val="00D7490C"/>
    <w:rsid w:val="00D75B02"/>
    <w:rsid w:val="00D82C1C"/>
    <w:rsid w:val="00D84057"/>
    <w:rsid w:val="00D870EF"/>
    <w:rsid w:val="00D94040"/>
    <w:rsid w:val="00D972FE"/>
    <w:rsid w:val="00DA091A"/>
    <w:rsid w:val="00DA0E21"/>
    <w:rsid w:val="00DB03B0"/>
    <w:rsid w:val="00DB195A"/>
    <w:rsid w:val="00DC0E9E"/>
    <w:rsid w:val="00DC30DB"/>
    <w:rsid w:val="00DC6D7C"/>
    <w:rsid w:val="00DC785E"/>
    <w:rsid w:val="00DC7965"/>
    <w:rsid w:val="00DD4D5E"/>
    <w:rsid w:val="00DE3802"/>
    <w:rsid w:val="00DF0C52"/>
    <w:rsid w:val="00DF6A46"/>
    <w:rsid w:val="00E01E8C"/>
    <w:rsid w:val="00E1798A"/>
    <w:rsid w:val="00E212DA"/>
    <w:rsid w:val="00E23E1C"/>
    <w:rsid w:val="00E25F0A"/>
    <w:rsid w:val="00E43EF0"/>
    <w:rsid w:val="00E4409E"/>
    <w:rsid w:val="00E44A18"/>
    <w:rsid w:val="00E45A7E"/>
    <w:rsid w:val="00E52B1A"/>
    <w:rsid w:val="00E60C30"/>
    <w:rsid w:val="00E643FE"/>
    <w:rsid w:val="00E762BC"/>
    <w:rsid w:val="00E772FF"/>
    <w:rsid w:val="00E77708"/>
    <w:rsid w:val="00E77B2F"/>
    <w:rsid w:val="00E8356E"/>
    <w:rsid w:val="00E84BD1"/>
    <w:rsid w:val="00E861B5"/>
    <w:rsid w:val="00E93984"/>
    <w:rsid w:val="00E95802"/>
    <w:rsid w:val="00EA1C23"/>
    <w:rsid w:val="00EA3124"/>
    <w:rsid w:val="00EB0705"/>
    <w:rsid w:val="00EB479A"/>
    <w:rsid w:val="00EB5C10"/>
    <w:rsid w:val="00EC3B3F"/>
    <w:rsid w:val="00EC478E"/>
    <w:rsid w:val="00ED1B9F"/>
    <w:rsid w:val="00ED1E92"/>
    <w:rsid w:val="00ED318C"/>
    <w:rsid w:val="00EE1B56"/>
    <w:rsid w:val="00EE2743"/>
    <w:rsid w:val="00EF0544"/>
    <w:rsid w:val="00EF1310"/>
    <w:rsid w:val="00EF1997"/>
    <w:rsid w:val="00EF1D29"/>
    <w:rsid w:val="00EF7BB4"/>
    <w:rsid w:val="00EF7DAB"/>
    <w:rsid w:val="00F00717"/>
    <w:rsid w:val="00F01A98"/>
    <w:rsid w:val="00F01E2C"/>
    <w:rsid w:val="00F06ED5"/>
    <w:rsid w:val="00F13E9C"/>
    <w:rsid w:val="00F17CE3"/>
    <w:rsid w:val="00F22C49"/>
    <w:rsid w:val="00F3520E"/>
    <w:rsid w:val="00F36E4E"/>
    <w:rsid w:val="00F40C98"/>
    <w:rsid w:val="00F42AED"/>
    <w:rsid w:val="00F43B8C"/>
    <w:rsid w:val="00F46340"/>
    <w:rsid w:val="00F476A0"/>
    <w:rsid w:val="00F53042"/>
    <w:rsid w:val="00F640A2"/>
    <w:rsid w:val="00F64F66"/>
    <w:rsid w:val="00F748B5"/>
    <w:rsid w:val="00F831EC"/>
    <w:rsid w:val="00F8385C"/>
    <w:rsid w:val="00F85EB0"/>
    <w:rsid w:val="00F91D82"/>
    <w:rsid w:val="00FA1661"/>
    <w:rsid w:val="00FA4A9A"/>
    <w:rsid w:val="00FB156C"/>
    <w:rsid w:val="00FB1AF5"/>
    <w:rsid w:val="00FB2645"/>
    <w:rsid w:val="00FB287A"/>
    <w:rsid w:val="00FB73CC"/>
    <w:rsid w:val="00FB7F0C"/>
    <w:rsid w:val="00FC7311"/>
    <w:rsid w:val="00FD2635"/>
    <w:rsid w:val="00FD2B8A"/>
    <w:rsid w:val="00FD531E"/>
    <w:rsid w:val="00FD5955"/>
    <w:rsid w:val="00FE578E"/>
    <w:rsid w:val="00FE7B57"/>
    <w:rsid w:val="00FF3419"/>
    <w:rsid w:val="00FF41ED"/>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A7E"/>
    <w:pPr>
      <w:spacing w:after="200" w:line="276" w:lineRule="auto"/>
    </w:pPr>
  </w:style>
  <w:style w:type="paragraph" w:styleId="Heading1">
    <w:name w:val="heading 1"/>
    <w:basedOn w:val="Normal"/>
    <w:next w:val="Normal"/>
    <w:link w:val="Heading1Char"/>
    <w:qFormat/>
    <w:locked/>
    <w:rsid w:val="00486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rsid w:val="00E45A7E"/>
    <w:rPr>
      <w:sz w:val="20"/>
      <w:szCs w:val="20"/>
    </w:rPr>
  </w:style>
  <w:style w:type="character" w:customStyle="1" w:styleId="FootnoteTextChar">
    <w:name w:val="Footnote Text Char"/>
    <w:basedOn w:val="DefaultParagraphFont"/>
    <w:link w:val="FootnoteText"/>
    <w:rsid w:val="00C227DF"/>
    <w:rPr>
      <w:sz w:val="20"/>
      <w:szCs w:val="20"/>
    </w:rPr>
  </w:style>
  <w:style w:type="character" w:styleId="FootnoteReference">
    <w:name w:val="footnote reference"/>
    <w:basedOn w:val="DefaultParagraphFont"/>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customStyle="1" w:styleId="N4-FlLftBullet">
    <w:name w:val="N4-Fl Lft Bullet"/>
    <w:rsid w:val="0015344A"/>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paragraph" w:styleId="ListParagraph">
    <w:name w:val="List Paragraph"/>
    <w:basedOn w:val="Normal"/>
    <w:uiPriority w:val="34"/>
    <w:qFormat/>
    <w:rsid w:val="0015344A"/>
    <w:pPr>
      <w:spacing w:after="0" w:line="240" w:lineRule="atLeast"/>
      <w:ind w:left="720"/>
      <w:contextualSpacing/>
      <w:jc w:val="both"/>
    </w:pPr>
    <w:rPr>
      <w:rFonts w:ascii="Times New Roman" w:eastAsia="Times New Roman" w:hAnsi="Times New Roman"/>
      <w:szCs w:val="20"/>
    </w:rPr>
  </w:style>
  <w:style w:type="table" w:styleId="TableGrid">
    <w:name w:val="Table Grid"/>
    <w:basedOn w:val="TableNormal"/>
    <w:uiPriority w:val="59"/>
    <w:locked/>
    <w:rsid w:val="00093F56"/>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4865FF"/>
    <w:rPr>
      <w:rFonts w:asciiTheme="majorHAnsi" w:eastAsiaTheme="majorEastAsia" w:hAnsiTheme="majorHAnsi" w:cstheme="majorBidi"/>
      <w:b/>
      <w:bCs/>
      <w:color w:val="365F91" w:themeColor="accent1" w:themeShade="BF"/>
      <w:sz w:val="28"/>
      <w:szCs w:val="28"/>
    </w:rPr>
  </w:style>
  <w:style w:type="paragraph" w:customStyle="1" w:styleId="SH-SglSpHead">
    <w:name w:val="SH-Sgl Sp Head"/>
    <w:rsid w:val="00377C61"/>
    <w:pPr>
      <w:keepNext/>
      <w:tabs>
        <w:tab w:val="left" w:pos="576"/>
      </w:tabs>
      <w:overflowPunct w:val="0"/>
      <w:autoSpaceDE w:val="0"/>
      <w:autoSpaceDN w:val="0"/>
      <w:adjustRightInd w:val="0"/>
      <w:spacing w:line="240" w:lineRule="atLeast"/>
      <w:ind w:left="576" w:hanging="576"/>
      <w:textAlignment w:val="baseline"/>
    </w:pPr>
    <w:rPr>
      <w:rFonts w:ascii="Times New Roman" w:eastAsia="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9EC50-61F8-4DCD-B58A-EE9BEC2C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4232</Words>
  <Characters>24127</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2015-07-16T16:22:00Z</dcterms:created>
  <dcterms:modified xsi:type="dcterms:W3CDTF">2015-07-16T16:22:00Z</dcterms:modified>
</cp:coreProperties>
</file>