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694ECB" w:rsidRDefault="00A01190" w:rsidP="000D740B">
      <w:pPr>
        <w:pStyle w:val="BodyText3"/>
        <w:spacing w:line="276" w:lineRule="auto"/>
        <w:rPr>
          <w:rFonts w:ascii="Times New Roman" w:hAnsi="Times New Roman"/>
          <w:b/>
          <w:bCs/>
          <w:sz w:val="24"/>
          <w:szCs w:val="24"/>
        </w:rPr>
      </w:pPr>
      <w:r w:rsidRPr="00694ECB">
        <w:rPr>
          <w:rFonts w:ascii="Times New Roman" w:hAnsi="Times New Roman"/>
          <w:b/>
          <w:bCs/>
          <w:sz w:val="24"/>
          <w:szCs w:val="24"/>
        </w:rPr>
        <w:t xml:space="preserve">Memorandum </w:t>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t>United States Department of Education</w:t>
      </w:r>
    </w:p>
    <w:p w14:paraId="5856B720" w14:textId="77777777" w:rsidR="00C2153D" w:rsidRPr="00694ECB" w:rsidRDefault="00A01190" w:rsidP="000D740B">
      <w:pPr>
        <w:pStyle w:val="BodyText3"/>
        <w:spacing w:line="276" w:lineRule="auto"/>
        <w:ind w:left="3600" w:firstLine="720"/>
        <w:rPr>
          <w:rFonts w:ascii="Times New Roman" w:hAnsi="Times New Roman"/>
          <w:b/>
          <w:bCs/>
          <w:sz w:val="24"/>
          <w:szCs w:val="24"/>
        </w:rPr>
      </w:pPr>
      <w:r w:rsidRPr="00694ECB">
        <w:rPr>
          <w:rFonts w:ascii="Times New Roman" w:hAnsi="Times New Roman"/>
          <w:b/>
          <w:bCs/>
          <w:sz w:val="24"/>
          <w:szCs w:val="24"/>
        </w:rPr>
        <w:tab/>
        <w:t>Institute of Education Sciences</w:t>
      </w:r>
    </w:p>
    <w:p w14:paraId="11BC288F" w14:textId="77777777" w:rsidR="00C2153D" w:rsidRPr="00694ECB" w:rsidRDefault="00A01190" w:rsidP="000D740B">
      <w:pPr>
        <w:pStyle w:val="Heading8"/>
        <w:pBdr>
          <w:bottom w:val="single" w:sz="12" w:space="1" w:color="auto"/>
        </w:pBdr>
        <w:spacing w:line="276" w:lineRule="auto"/>
      </w:pPr>
      <w:r w:rsidRPr="00694ECB">
        <w:tab/>
      </w:r>
      <w:r w:rsidRPr="00694ECB">
        <w:tab/>
      </w:r>
      <w:r w:rsidRPr="00694ECB">
        <w:tab/>
      </w:r>
      <w:r w:rsidRPr="00694ECB">
        <w:tab/>
      </w:r>
      <w:r w:rsidRPr="00694ECB">
        <w:tab/>
      </w:r>
      <w:r w:rsidRPr="00694ECB">
        <w:tab/>
      </w:r>
      <w:r w:rsidRPr="00694ECB">
        <w:tab/>
        <w:t>National Center for Education Statistics</w:t>
      </w:r>
    </w:p>
    <w:p w14:paraId="7A6CB8EF" w14:textId="77777777" w:rsidR="00C2153D" w:rsidRPr="00694ECB" w:rsidRDefault="00C2153D" w:rsidP="000D740B">
      <w:pPr>
        <w:spacing w:line="276" w:lineRule="auto"/>
      </w:pPr>
    </w:p>
    <w:p w14:paraId="6898DA05" w14:textId="377BD2D6" w:rsidR="00D90962" w:rsidRPr="00694ECB" w:rsidRDefault="00C2153D" w:rsidP="000D740B">
      <w:pPr>
        <w:spacing w:line="276" w:lineRule="auto"/>
      </w:pPr>
      <w:r w:rsidRPr="00694ECB">
        <w:t>DATE:</w:t>
      </w:r>
      <w:r w:rsidRPr="00694ECB">
        <w:tab/>
      </w:r>
      <w:r w:rsidR="00A14445" w:rsidRPr="00694ECB">
        <w:tab/>
      </w:r>
      <w:r w:rsidR="00211228" w:rsidRPr="00694ECB">
        <w:t xml:space="preserve">September </w:t>
      </w:r>
      <w:r w:rsidR="00F42DEB">
        <w:t>22</w:t>
      </w:r>
      <w:r w:rsidR="001B15CB" w:rsidRPr="00694ECB">
        <w:t>, 2016</w:t>
      </w:r>
    </w:p>
    <w:p w14:paraId="0A386C93" w14:textId="62DA37BB" w:rsidR="00C2153D" w:rsidRPr="00694ECB" w:rsidRDefault="00C2153D" w:rsidP="009B4A44">
      <w:pPr>
        <w:rPr>
          <w:sz w:val="14"/>
          <w:szCs w:val="14"/>
        </w:rPr>
      </w:pPr>
    </w:p>
    <w:p w14:paraId="31AA0AF6" w14:textId="77777777" w:rsidR="00D018C6" w:rsidRPr="00694ECB" w:rsidRDefault="00026D24" w:rsidP="000D740B">
      <w:pPr>
        <w:spacing w:line="276" w:lineRule="auto"/>
      </w:pPr>
      <w:r w:rsidRPr="00694ECB">
        <w:t>TO:</w:t>
      </w:r>
      <w:r w:rsidRPr="00694ECB">
        <w:tab/>
      </w:r>
      <w:r w:rsidRPr="00694ECB">
        <w:tab/>
      </w:r>
      <w:r w:rsidR="00D018C6" w:rsidRPr="00694ECB">
        <w:t xml:space="preserve">Robert </w:t>
      </w:r>
      <w:proofErr w:type="spellStart"/>
      <w:r w:rsidR="00D018C6" w:rsidRPr="00694ECB">
        <w:t>Sivinski</w:t>
      </w:r>
      <w:proofErr w:type="spellEnd"/>
      <w:r w:rsidR="00D018C6" w:rsidRPr="00694ECB">
        <w:t>, OMB</w:t>
      </w:r>
    </w:p>
    <w:p w14:paraId="128F7F3D" w14:textId="77777777" w:rsidR="009B4A44" w:rsidRPr="00694ECB" w:rsidRDefault="009B4A44" w:rsidP="009B4A44">
      <w:pPr>
        <w:rPr>
          <w:sz w:val="14"/>
          <w:szCs w:val="14"/>
        </w:rPr>
      </w:pPr>
    </w:p>
    <w:p w14:paraId="58215B3B" w14:textId="77777777" w:rsidR="00C2153D" w:rsidRPr="00694ECB" w:rsidRDefault="00026D24" w:rsidP="000D740B">
      <w:pPr>
        <w:spacing w:line="276" w:lineRule="auto"/>
      </w:pPr>
      <w:r w:rsidRPr="00694ECB">
        <w:t>THROUGH</w:t>
      </w:r>
      <w:r w:rsidR="00C2153D" w:rsidRPr="00694ECB">
        <w:t>:</w:t>
      </w:r>
      <w:r w:rsidRPr="00694ECB">
        <w:tab/>
      </w:r>
      <w:r w:rsidR="000E3482" w:rsidRPr="00694ECB">
        <w:t>Kashka Kubzdela</w:t>
      </w:r>
      <w:r w:rsidR="007D64A0" w:rsidRPr="00694ECB">
        <w:t xml:space="preserve">, OMB Liaison, </w:t>
      </w:r>
      <w:proofErr w:type="gramStart"/>
      <w:r w:rsidR="00C2153D" w:rsidRPr="00694ECB">
        <w:t>NCES</w:t>
      </w:r>
      <w:proofErr w:type="gramEnd"/>
    </w:p>
    <w:p w14:paraId="26110ECB" w14:textId="77777777" w:rsidR="009B4A44" w:rsidRPr="00694ECB" w:rsidRDefault="009B4A44" w:rsidP="009B4A44">
      <w:pPr>
        <w:rPr>
          <w:sz w:val="14"/>
          <w:szCs w:val="14"/>
        </w:rPr>
      </w:pPr>
    </w:p>
    <w:p w14:paraId="636CDA47" w14:textId="77777777" w:rsidR="00C2153D" w:rsidRPr="00694ECB" w:rsidRDefault="00C2153D" w:rsidP="000D740B">
      <w:pPr>
        <w:spacing w:line="276" w:lineRule="auto"/>
      </w:pPr>
      <w:r w:rsidRPr="00694ECB">
        <w:t>FROM:</w:t>
      </w:r>
      <w:r w:rsidRPr="00694ECB">
        <w:tab/>
      </w:r>
      <w:r w:rsidR="00F65EBC" w:rsidRPr="00694ECB">
        <w:t>Elise Christopher</w:t>
      </w:r>
      <w:r w:rsidR="007D64A0" w:rsidRPr="00694ECB">
        <w:t xml:space="preserve">, </w:t>
      </w:r>
      <w:r w:rsidR="00F65EBC" w:rsidRPr="00694ECB">
        <w:t>HSLS</w:t>
      </w:r>
      <w:proofErr w:type="gramStart"/>
      <w:r w:rsidR="00F65EBC" w:rsidRPr="00694ECB">
        <w:t>:09</w:t>
      </w:r>
      <w:proofErr w:type="gramEnd"/>
      <w:r w:rsidR="00D018C6" w:rsidRPr="00694ECB">
        <w:t xml:space="preserve"> Project Officer</w:t>
      </w:r>
      <w:r w:rsidRPr="00694ECB">
        <w:t>, NCES</w:t>
      </w:r>
    </w:p>
    <w:p w14:paraId="77714E18" w14:textId="77777777" w:rsidR="009B4A44" w:rsidRPr="00694ECB" w:rsidRDefault="009B4A44" w:rsidP="009B4A44">
      <w:pPr>
        <w:rPr>
          <w:sz w:val="14"/>
          <w:szCs w:val="14"/>
        </w:rPr>
      </w:pPr>
    </w:p>
    <w:p w14:paraId="6DEAD108" w14:textId="6E0BE115" w:rsidR="009B4A44" w:rsidRPr="00694ECB" w:rsidRDefault="00C2153D" w:rsidP="00FB296D">
      <w:pPr>
        <w:pStyle w:val="Heading1"/>
        <w:spacing w:line="276" w:lineRule="auto"/>
        <w:ind w:left="1440" w:hanging="1440"/>
        <w:rPr>
          <w:b w:val="0"/>
          <w:bCs w:val="0"/>
          <w:u w:val="none"/>
        </w:rPr>
      </w:pPr>
      <w:r w:rsidRPr="00694ECB">
        <w:rPr>
          <w:b w:val="0"/>
          <w:bCs w:val="0"/>
          <w:u w:val="none"/>
        </w:rPr>
        <w:t>SUBJECT:</w:t>
      </w:r>
      <w:r w:rsidRPr="00694ECB">
        <w:rPr>
          <w:b w:val="0"/>
          <w:bCs w:val="0"/>
          <w:u w:val="none"/>
        </w:rPr>
        <w:tab/>
      </w:r>
      <w:r w:rsidR="00FB296D" w:rsidRPr="00694ECB">
        <w:rPr>
          <w:b w:val="0"/>
          <w:bCs w:val="0"/>
          <w:u w:val="none"/>
        </w:rPr>
        <w:t xml:space="preserve">High School Longitudinal Study of 2009 (HSLS:09) Second Follow-up Main Study </w:t>
      </w:r>
      <w:r w:rsidR="004138CA">
        <w:rPr>
          <w:b w:val="0"/>
          <w:bCs w:val="0"/>
          <w:u w:val="none"/>
        </w:rPr>
        <w:t xml:space="preserve">Incentive Boost and Institutional Collection </w:t>
      </w:r>
      <w:r w:rsidR="00A95C35" w:rsidRPr="00694ECB">
        <w:rPr>
          <w:b w:val="0"/>
          <w:bCs w:val="0"/>
          <w:u w:val="none"/>
        </w:rPr>
        <w:t xml:space="preserve">Change Request </w:t>
      </w:r>
      <w:r w:rsidR="009B4A44" w:rsidRPr="00694ECB">
        <w:rPr>
          <w:b w:val="0"/>
          <w:bCs w:val="0"/>
          <w:u w:val="none"/>
        </w:rPr>
        <w:t xml:space="preserve">(OMB# 1850-0852 </w:t>
      </w:r>
      <w:r w:rsidR="00211228" w:rsidRPr="00694ECB">
        <w:rPr>
          <w:b w:val="0"/>
          <w:bCs w:val="0"/>
          <w:u w:val="none"/>
        </w:rPr>
        <w:t>v.23</w:t>
      </w:r>
      <w:r w:rsidR="009B4A44" w:rsidRPr="00694ECB">
        <w:rPr>
          <w:b w:val="0"/>
          <w:bCs w:val="0"/>
          <w:u w:val="none"/>
        </w:rPr>
        <w:t>)</w:t>
      </w:r>
      <w:r w:rsidR="00A95C35" w:rsidRPr="00694ECB">
        <w:rPr>
          <w:b w:val="0"/>
          <w:bCs w:val="0"/>
          <w:u w:val="none"/>
        </w:rPr>
        <w:t xml:space="preserve"> </w:t>
      </w:r>
      <w:r w:rsidR="00921B5D">
        <w:rPr>
          <w:b w:val="0"/>
          <w:bCs w:val="0"/>
          <w:u w:val="none"/>
        </w:rPr>
        <w:t>–</w:t>
      </w:r>
      <w:r w:rsidR="00A95C35" w:rsidRPr="00694ECB">
        <w:rPr>
          <w:b w:val="0"/>
          <w:bCs w:val="0"/>
          <w:u w:val="none"/>
        </w:rPr>
        <w:t xml:space="preserve"> </w:t>
      </w:r>
      <w:r w:rsidR="00921B5D">
        <w:rPr>
          <w:b w:val="0"/>
          <w:bCs w:val="0"/>
          <w:u w:val="none"/>
        </w:rPr>
        <w:t>Increased Incentive Boost Amount for High School Non-Completer Cases</w:t>
      </w:r>
      <w:r w:rsidR="00F42DEB">
        <w:rPr>
          <w:b w:val="0"/>
          <w:bCs w:val="0"/>
          <w:u w:val="none"/>
        </w:rPr>
        <w:t xml:space="preserve"> and Targeted Cases among Other High School Completers/Unknowns;</w:t>
      </w:r>
      <w:r w:rsidR="00BA553E">
        <w:rPr>
          <w:b w:val="0"/>
          <w:bCs w:val="0"/>
          <w:u w:val="none"/>
        </w:rPr>
        <w:t xml:space="preserve"> </w:t>
      </w:r>
      <w:r w:rsidR="00921B5D">
        <w:rPr>
          <w:b w:val="0"/>
          <w:bCs w:val="0"/>
          <w:u w:val="none"/>
        </w:rPr>
        <w:t>R</w:t>
      </w:r>
      <w:r w:rsidR="00755A6A" w:rsidRPr="00694ECB">
        <w:rPr>
          <w:b w:val="0"/>
          <w:bCs w:val="0"/>
          <w:u w:val="none"/>
        </w:rPr>
        <w:t>evis</w:t>
      </w:r>
      <w:r w:rsidR="00921B5D">
        <w:rPr>
          <w:b w:val="0"/>
          <w:bCs w:val="0"/>
          <w:u w:val="none"/>
        </w:rPr>
        <w:t>ions for Transcript and Student Records Collection Materials</w:t>
      </w:r>
    </w:p>
    <w:p w14:paraId="52FD3891" w14:textId="77777777" w:rsidR="00EA4F96" w:rsidRPr="00694ECB" w:rsidRDefault="00EA4F96" w:rsidP="004F4D11">
      <w:pPr>
        <w:pStyle w:val="Bodytextnoindent"/>
        <w:spacing w:before="0" w:after="0" w:line="276" w:lineRule="auto"/>
        <w:ind w:firstLine="720"/>
        <w:rPr>
          <w:szCs w:val="24"/>
        </w:rPr>
      </w:pPr>
    </w:p>
    <w:p w14:paraId="3F6F095E" w14:textId="1D7D9105" w:rsidR="004138CA" w:rsidRDefault="00ED4F7B" w:rsidP="000E6EF8">
      <w:pPr>
        <w:pStyle w:val="Bodytextnoindent"/>
        <w:spacing w:line="23" w:lineRule="atLeast"/>
        <w:rPr>
          <w:szCs w:val="24"/>
        </w:rPr>
      </w:pPr>
      <w:r w:rsidRPr="00694ECB">
        <w:rPr>
          <w:szCs w:val="24"/>
        </w:rPr>
        <w:t>The High School Longitudinal Study of 2009 (HSLS:09) Second Follow-up Main Study and 2018 Panel Maintenance request was approved by OMB in December 2015 (OMB# 1850-0852 v.1</w:t>
      </w:r>
      <w:r w:rsidRPr="00694ECB">
        <w:rPr>
          <w:bCs/>
        </w:rPr>
        <w:t>7</w:t>
      </w:r>
      <w:r w:rsidRPr="00694ECB">
        <w:rPr>
          <w:szCs w:val="24"/>
        </w:rPr>
        <w:t>) with updates in March</w:t>
      </w:r>
      <w:r w:rsidR="008C5D94" w:rsidRPr="00694ECB">
        <w:rPr>
          <w:szCs w:val="24"/>
        </w:rPr>
        <w:t>,</w:t>
      </w:r>
      <w:r w:rsidRPr="00694ECB">
        <w:rPr>
          <w:szCs w:val="24"/>
        </w:rPr>
        <w:t xml:space="preserve"> May</w:t>
      </w:r>
      <w:r w:rsidR="008C5D94" w:rsidRPr="00694ECB">
        <w:rPr>
          <w:szCs w:val="24"/>
        </w:rPr>
        <w:t xml:space="preserve">, </w:t>
      </w:r>
      <w:r w:rsidR="00695B48" w:rsidRPr="00694ECB">
        <w:rPr>
          <w:szCs w:val="24"/>
        </w:rPr>
        <w:t xml:space="preserve">June, </w:t>
      </w:r>
      <w:r w:rsidR="008C5D94" w:rsidRPr="00694ECB">
        <w:rPr>
          <w:szCs w:val="24"/>
        </w:rPr>
        <w:t xml:space="preserve">and </w:t>
      </w:r>
      <w:r w:rsidR="00921B5D">
        <w:rPr>
          <w:szCs w:val="24"/>
        </w:rPr>
        <w:t>July</w:t>
      </w:r>
      <w:r w:rsidR="00921B5D" w:rsidRPr="00694ECB">
        <w:rPr>
          <w:szCs w:val="24"/>
        </w:rPr>
        <w:t xml:space="preserve"> </w:t>
      </w:r>
      <w:r w:rsidRPr="00694ECB">
        <w:rPr>
          <w:szCs w:val="24"/>
        </w:rPr>
        <w:t>2016 (OMB# 1850-0852 v.18-2</w:t>
      </w:r>
      <w:r w:rsidR="00211228" w:rsidRPr="00694ECB">
        <w:rPr>
          <w:szCs w:val="24"/>
        </w:rPr>
        <w:t>2</w:t>
      </w:r>
      <w:r w:rsidRPr="00694ECB">
        <w:rPr>
          <w:szCs w:val="24"/>
        </w:rPr>
        <w:t xml:space="preserve">). </w:t>
      </w:r>
      <w:r w:rsidR="002519C7">
        <w:rPr>
          <w:szCs w:val="24"/>
        </w:rPr>
        <w:t>This request is to</w:t>
      </w:r>
      <w:r w:rsidR="00F42DEB">
        <w:rPr>
          <w:szCs w:val="24"/>
        </w:rPr>
        <w:t xml:space="preserve">: 1) </w:t>
      </w:r>
      <w:r w:rsidR="00F42DEB" w:rsidRPr="00694ECB">
        <w:rPr>
          <w:szCs w:val="24"/>
        </w:rPr>
        <w:t xml:space="preserve">increase </w:t>
      </w:r>
      <w:r w:rsidR="00F42DEB">
        <w:rPr>
          <w:szCs w:val="24"/>
        </w:rPr>
        <w:t xml:space="preserve">an additional </w:t>
      </w:r>
      <w:r w:rsidR="00F42DEB" w:rsidRPr="00694ECB">
        <w:rPr>
          <w:szCs w:val="24"/>
        </w:rPr>
        <w:t xml:space="preserve">incentive </w:t>
      </w:r>
      <w:r w:rsidR="00F42DEB">
        <w:rPr>
          <w:szCs w:val="24"/>
        </w:rPr>
        <w:t>boost 2b offer for Subgroup A (high school late/alternative/non-completer) main sample cases and boost-2-targeted Subgroup C (other high school completer and unknown cases) main sample cases,</w:t>
      </w:r>
      <w:r w:rsidR="00F42DEB" w:rsidRPr="009B5EE3">
        <w:rPr>
          <w:szCs w:val="24"/>
        </w:rPr>
        <w:t xml:space="preserve"> </w:t>
      </w:r>
      <w:r w:rsidR="00F42DEB">
        <w:rPr>
          <w:szCs w:val="24"/>
        </w:rPr>
        <w:t xml:space="preserve">2) increase the incentive offer for the originally selected but misclassified Subgroup A (high school late/alternative/non-completer cases) calibration cases, and 3) </w:t>
      </w:r>
      <w:r w:rsidR="002519C7">
        <w:rPr>
          <w:szCs w:val="24"/>
        </w:rPr>
        <w:t>revise</w:t>
      </w:r>
      <w:r w:rsidR="00F42DEB" w:rsidRPr="00274D7A">
        <w:rPr>
          <w:szCs w:val="24"/>
        </w:rPr>
        <w:t xml:space="preserve"> transcript and student records collection materials</w:t>
      </w:r>
      <w:r w:rsidR="00F42DEB">
        <w:rPr>
          <w:szCs w:val="24"/>
        </w:rPr>
        <w:t>.</w:t>
      </w:r>
    </w:p>
    <w:p w14:paraId="36BBD424" w14:textId="37FF4927" w:rsidR="006009C6" w:rsidRDefault="00F42DEB" w:rsidP="000E6EF8">
      <w:pPr>
        <w:pStyle w:val="Heading1"/>
        <w:numPr>
          <w:ilvl w:val="0"/>
          <w:numId w:val="22"/>
        </w:numPr>
        <w:spacing w:before="240" w:after="120"/>
      </w:pPr>
      <w:r>
        <w:t>Additional</w:t>
      </w:r>
      <w:r w:rsidR="00AE0545">
        <w:t xml:space="preserve"> i</w:t>
      </w:r>
      <w:r w:rsidR="006009C6">
        <w:t xml:space="preserve">ncentive </w:t>
      </w:r>
      <w:r>
        <w:t xml:space="preserve">boost 2 </w:t>
      </w:r>
      <w:r w:rsidR="00AE0545">
        <w:t>offer</w:t>
      </w:r>
    </w:p>
    <w:p w14:paraId="441AF698" w14:textId="77777777" w:rsidR="002519C7" w:rsidRDefault="00F42DEB" w:rsidP="00F42DEB">
      <w:pPr>
        <w:spacing w:before="120" w:after="120" w:line="23" w:lineRule="atLeast"/>
      </w:pPr>
      <w:r w:rsidRPr="006A406E">
        <w:t xml:space="preserve">In the last change memo </w:t>
      </w:r>
      <w:r w:rsidRPr="00D01851">
        <w:t>(OMB# 1850-0852 v.22)</w:t>
      </w:r>
      <w:r w:rsidRPr="006A406E">
        <w:t xml:space="preserve">, we recommended the $10 amount for incentive boost 2 for </w:t>
      </w:r>
      <w:r>
        <w:t xml:space="preserve">targeted cases (i.e., all of </w:t>
      </w:r>
      <w:r w:rsidRPr="006A406E">
        <w:t>Subgroup A</w:t>
      </w:r>
      <w:r>
        <w:t xml:space="preserve"> – High School Non-Completer (HSNC) cases – as well as targeted cases in Subgroup B (Ultra-Cooperative [UC]) and targeted cases in Subgroup C (all other high school completer and unknown cases)</w:t>
      </w:r>
      <w:r w:rsidRPr="006A406E">
        <w:t xml:space="preserve">, based on the </w:t>
      </w:r>
      <w:r>
        <w:t xml:space="preserve">4 week </w:t>
      </w:r>
      <w:r w:rsidRPr="006A406E">
        <w:t>results of the calibration sample experiment</w:t>
      </w:r>
      <w:r>
        <w:t xml:space="preserve"> that were available at that time</w:t>
      </w:r>
      <w:r w:rsidRPr="006A406E">
        <w:t>.</w:t>
      </w:r>
    </w:p>
    <w:p w14:paraId="7745FE41" w14:textId="2A88E404" w:rsidR="00F42DEB" w:rsidRDefault="00F42DEB" w:rsidP="00F42DEB">
      <w:pPr>
        <w:spacing w:before="120" w:after="120" w:line="23" w:lineRule="atLeast"/>
      </w:pPr>
      <w:r>
        <w:t xml:space="preserve">While </w:t>
      </w:r>
      <w:r w:rsidRPr="006A406E">
        <w:t>response rates between the $10 and $20 boost 2</w:t>
      </w:r>
      <w:r>
        <w:t xml:space="preserve"> incentive groups were equivalent </w:t>
      </w:r>
      <w:r w:rsidR="002519C7">
        <w:t xml:space="preserve">then </w:t>
      </w:r>
      <w:r>
        <w:t>for each of the subgroups, the differences</w:t>
      </w:r>
      <w:r w:rsidRPr="006A406E">
        <w:t xml:space="preserve"> ha</w:t>
      </w:r>
      <w:r>
        <w:t>ve</w:t>
      </w:r>
      <w:r w:rsidRPr="006A406E">
        <w:t xml:space="preserve"> </w:t>
      </w:r>
      <w:r>
        <w:t xml:space="preserve">since </w:t>
      </w:r>
      <w:r w:rsidRPr="006A406E">
        <w:t>become large and statistically significant</w:t>
      </w:r>
      <w:r>
        <w:t xml:space="preserve"> for subgroups A and C (</w:t>
      </w:r>
      <w:r w:rsidR="002519C7">
        <w:t>s</w:t>
      </w:r>
      <w:r>
        <w:t>ubgroup B had very small numbers and no observed difference)</w:t>
      </w:r>
      <w:r w:rsidR="002519C7">
        <w:t>.</w:t>
      </w:r>
      <w:r>
        <w:t xml:space="preserve"> </w:t>
      </w:r>
      <w:r w:rsidRPr="009D3C40">
        <w:t>For reference, those results (from 7/21/2016) are presented in Table</w:t>
      </w:r>
      <w:r>
        <w:t>s</w:t>
      </w:r>
      <w:r w:rsidRPr="009D3C40">
        <w:t xml:space="preserve"> 1</w:t>
      </w:r>
      <w:r>
        <w:t>, 2, and 3 (for Subgroups A, B, and C respectively)</w:t>
      </w:r>
      <w:r w:rsidRPr="009D3C40">
        <w:t xml:space="preserve"> along with the </w:t>
      </w:r>
      <w:r>
        <w:t>results</w:t>
      </w:r>
      <w:r w:rsidR="002519C7">
        <w:t xml:space="preserve"> as of 9/7/2016.</w:t>
      </w:r>
    </w:p>
    <w:p w14:paraId="5337FFEB" w14:textId="77777777" w:rsidR="00F42DEB" w:rsidRDefault="00F42DEB" w:rsidP="00F42DEB">
      <w:pPr>
        <w:spacing w:before="120" w:after="120" w:line="23" w:lineRule="atLeast"/>
      </w:pPr>
      <w:r>
        <w:t xml:space="preserve">Based on these results, we propose an adaptive component to our responsive design: offering an additional boost (incentive boost 2b) of $10 to Subgroup </w:t>
      </w:r>
      <w:proofErr w:type="gramStart"/>
      <w:r>
        <w:t>A</w:t>
      </w:r>
      <w:proofErr w:type="gramEnd"/>
      <w:r>
        <w:t xml:space="preserve"> (HSNC) and Subgroup C (all other high school completer and unknown) main sample cases. T</w:t>
      </w:r>
      <w:r w:rsidRPr="00D01851">
        <w:t>he additional time for the calibration sample cases in phase 4 has revealed an effect that was not evident at the end of the first 4 weeks of phase</w:t>
      </w:r>
      <w:r>
        <w:t xml:space="preserve"> 4</w:t>
      </w:r>
      <w:r w:rsidRPr="00D01851">
        <w:t xml:space="preserve">. In the intervening weeks, we have increased locating, prompting, and case review efforts for all pending cases (regardless of incentive amount assignment), and this has likely resulted in the location of cases that had not been previously located. </w:t>
      </w:r>
      <w:r w:rsidRPr="006F4ACE">
        <w:t xml:space="preserve">In light of the most recent calibration sample results, we request approval to offer the </w:t>
      </w:r>
      <w:r>
        <w:t xml:space="preserve">additional boost of $10 </w:t>
      </w:r>
      <w:r w:rsidRPr="006F4ACE">
        <w:t xml:space="preserve">to the remaining </w:t>
      </w:r>
      <w:proofErr w:type="spellStart"/>
      <w:r w:rsidRPr="006F4ACE">
        <w:t>nonrespondents</w:t>
      </w:r>
      <w:proofErr w:type="spellEnd"/>
      <w:r w:rsidRPr="006F4ACE">
        <w:t xml:space="preserve"> in the Subgroup A </w:t>
      </w:r>
      <w:r>
        <w:t xml:space="preserve">(HSNC) </w:t>
      </w:r>
      <w:r w:rsidRPr="006F4ACE">
        <w:t>main sample</w:t>
      </w:r>
      <w:r>
        <w:t xml:space="preserve"> (for a total incentive offer of $75 to these cases), given the importance of these cases and the effectiveness of the increased amount</w:t>
      </w:r>
      <w:r w:rsidRPr="006F4ACE">
        <w:t xml:space="preserve">. </w:t>
      </w:r>
      <w:r>
        <w:t xml:space="preserve">We also request approval to offer the additional boost (2b) of $10 to the targeted boost 2 </w:t>
      </w:r>
      <w:r>
        <w:lastRenderedPageBreak/>
        <w:t>cases in subgroup C (all other high school completer and unknown) main sample. We do not recommend modifying the boost amount for the subgroup B targeted cases.</w:t>
      </w:r>
    </w:p>
    <w:p w14:paraId="7250C6E8" w14:textId="77777777" w:rsidR="002519C7" w:rsidRDefault="00F42DEB" w:rsidP="00F42DEB">
      <w:pPr>
        <w:spacing w:before="120" w:after="120" w:line="23" w:lineRule="atLeast"/>
      </w:pPr>
      <w:r>
        <w:t>By treating this incentive boost 2b as an unscheduled adaptive boost for our responsive design, we can preserve the main sample results for the purpose of evaluating the boost as planned.</w:t>
      </w:r>
    </w:p>
    <w:p w14:paraId="17397759" w14:textId="560E0132" w:rsidR="00EC388E" w:rsidRPr="006F4ACE" w:rsidRDefault="00EC388E" w:rsidP="00D01851">
      <w:pPr>
        <w:ind w:left="720"/>
      </w:pPr>
    </w:p>
    <w:p w14:paraId="4AD9BE69" w14:textId="755F9298" w:rsidR="00F42FD5" w:rsidRPr="00694ECB" w:rsidRDefault="00F42FD5" w:rsidP="00085C42">
      <w:pPr>
        <w:ind w:left="900" w:hanging="900"/>
        <w:rPr>
          <w:b/>
          <w:bCs/>
        </w:rPr>
      </w:pPr>
      <w:proofErr w:type="gramStart"/>
      <w:r w:rsidRPr="00694ECB">
        <w:rPr>
          <w:b/>
          <w:bCs/>
        </w:rPr>
        <w:t>Table 1.</w:t>
      </w:r>
      <w:proofErr w:type="gramEnd"/>
      <w:r w:rsidRPr="00694ECB">
        <w:rPr>
          <w:b/>
          <w:bCs/>
        </w:rPr>
        <w:t xml:space="preserve"> </w:t>
      </w:r>
      <w:r w:rsidR="00F42DEB">
        <w:rPr>
          <w:b/>
          <w:bCs/>
        </w:rPr>
        <w:t xml:space="preserve">Subgroup </w:t>
      </w:r>
      <w:proofErr w:type="gramStart"/>
      <w:r w:rsidR="00F42DEB">
        <w:rPr>
          <w:b/>
          <w:bCs/>
        </w:rPr>
        <w:t>A</w:t>
      </w:r>
      <w:proofErr w:type="gramEnd"/>
      <w:r w:rsidRPr="00694ECB">
        <w:rPr>
          <w:b/>
          <w:bCs/>
        </w:rPr>
        <w:t xml:space="preserve"> (HSNC) </w:t>
      </w:r>
      <w:r>
        <w:rPr>
          <w:b/>
          <w:bCs/>
        </w:rPr>
        <w:t xml:space="preserve">Calibration </w:t>
      </w:r>
      <w:r w:rsidRPr="00694ECB">
        <w:rPr>
          <w:b/>
          <w:bCs/>
        </w:rPr>
        <w:t>Results</w:t>
      </w:r>
      <w:r>
        <w:rPr>
          <w:b/>
          <w:bCs/>
        </w:rPr>
        <w:t xml:space="preserve">, at 4 and </w:t>
      </w:r>
      <w:r w:rsidR="00921B5D">
        <w:rPr>
          <w:b/>
          <w:bCs/>
        </w:rPr>
        <w:t xml:space="preserve">11 </w:t>
      </w:r>
      <w:r>
        <w:rPr>
          <w:b/>
          <w:bCs/>
        </w:rPr>
        <w:t>weeks</w:t>
      </w:r>
      <w:r w:rsidR="00F42DEB">
        <w:rPr>
          <w:b/>
          <w:bCs/>
        </w:rPr>
        <w:t>, by boost 2 incentive amount</w:t>
      </w:r>
    </w:p>
    <w:tbl>
      <w:tblPr>
        <w:tblW w:w="4861" w:type="pct"/>
        <w:tblLayout w:type="fixed"/>
        <w:tblLook w:val="04A0" w:firstRow="1" w:lastRow="0" w:firstColumn="1" w:lastColumn="0" w:noHBand="0" w:noVBand="1"/>
      </w:tblPr>
      <w:tblGrid>
        <w:gridCol w:w="1287"/>
        <w:gridCol w:w="1103"/>
        <w:gridCol w:w="1653"/>
        <w:gridCol w:w="1747"/>
        <w:gridCol w:w="370"/>
        <w:gridCol w:w="1743"/>
        <w:gridCol w:w="1842"/>
        <w:gridCol w:w="545"/>
      </w:tblGrid>
      <w:tr w:rsidR="00BF760A" w:rsidRPr="006A406E" w14:paraId="10DA64C8" w14:textId="41CC1106" w:rsidTr="003E1D49">
        <w:trPr>
          <w:trHeight w:val="630"/>
        </w:trPr>
        <w:tc>
          <w:tcPr>
            <w:tcW w:w="625" w:type="pct"/>
            <w:tcBorders>
              <w:top w:val="single" w:sz="12" w:space="0" w:color="auto"/>
              <w:left w:val="nil"/>
              <w:bottom w:val="nil"/>
              <w:right w:val="nil"/>
            </w:tcBorders>
            <w:shd w:val="clear" w:color="auto" w:fill="auto"/>
            <w:vAlign w:val="center"/>
            <w:hideMark/>
          </w:tcPr>
          <w:p w14:paraId="254F4109" w14:textId="77777777" w:rsidR="00BF760A" w:rsidRPr="00D01851" w:rsidRDefault="00BF760A" w:rsidP="009D3C40">
            <w:pPr>
              <w:jc w:val="right"/>
              <w:rPr>
                <w:rFonts w:ascii="Arial" w:hAnsi="Arial" w:cs="Arial"/>
                <w:sz w:val="20"/>
              </w:rPr>
            </w:pPr>
            <w:r w:rsidRPr="00D01851">
              <w:rPr>
                <w:rFonts w:ascii="Arial" w:hAnsi="Arial" w:cs="Arial"/>
                <w:sz w:val="20"/>
              </w:rPr>
              <w:t>Boost 2 incentive amount</w:t>
            </w:r>
          </w:p>
        </w:tc>
        <w:tc>
          <w:tcPr>
            <w:tcW w:w="536" w:type="pct"/>
            <w:tcBorders>
              <w:top w:val="single" w:sz="12" w:space="0" w:color="auto"/>
              <w:left w:val="nil"/>
              <w:bottom w:val="nil"/>
              <w:right w:val="nil"/>
            </w:tcBorders>
            <w:shd w:val="clear" w:color="auto" w:fill="auto"/>
            <w:vAlign w:val="center"/>
            <w:hideMark/>
          </w:tcPr>
          <w:p w14:paraId="6C7EBE20" w14:textId="77777777" w:rsidR="00BF760A" w:rsidRPr="00D01851" w:rsidRDefault="00BF760A" w:rsidP="009D3C40">
            <w:pPr>
              <w:jc w:val="right"/>
              <w:rPr>
                <w:rFonts w:ascii="Arial" w:hAnsi="Arial" w:cs="Arial"/>
                <w:sz w:val="20"/>
              </w:rPr>
            </w:pPr>
            <w:r w:rsidRPr="00D01851">
              <w:rPr>
                <w:rFonts w:ascii="Arial" w:hAnsi="Arial" w:cs="Arial"/>
                <w:sz w:val="20"/>
              </w:rPr>
              <w:t>Sample members</w:t>
            </w:r>
            <w:r w:rsidRPr="00D01851">
              <w:rPr>
                <w:rFonts w:ascii="Arial" w:hAnsi="Arial" w:cs="Arial"/>
                <w:sz w:val="20"/>
              </w:rPr>
              <w:br/>
              <w:t>(n)</w:t>
            </w:r>
          </w:p>
        </w:tc>
        <w:tc>
          <w:tcPr>
            <w:tcW w:w="1652" w:type="pct"/>
            <w:gridSpan w:val="2"/>
            <w:tcBorders>
              <w:top w:val="single" w:sz="12" w:space="0" w:color="auto"/>
              <w:left w:val="nil"/>
              <w:bottom w:val="single" w:sz="4" w:space="0" w:color="auto"/>
              <w:right w:val="nil"/>
            </w:tcBorders>
            <w:shd w:val="clear" w:color="auto" w:fill="auto"/>
            <w:vAlign w:val="center"/>
            <w:hideMark/>
          </w:tcPr>
          <w:p w14:paraId="5550B2E2" w14:textId="30B1B4A8" w:rsidR="00BF760A" w:rsidRPr="00D01851" w:rsidRDefault="00BF760A" w:rsidP="00D01851">
            <w:pPr>
              <w:jc w:val="center"/>
              <w:rPr>
                <w:rFonts w:ascii="Arial" w:hAnsi="Arial" w:cs="Arial"/>
                <w:sz w:val="20"/>
              </w:rPr>
            </w:pPr>
            <w:r w:rsidRPr="00D01851">
              <w:rPr>
                <w:rFonts w:ascii="Arial" w:hAnsi="Arial" w:cs="Arial"/>
                <w:sz w:val="20"/>
              </w:rPr>
              <w:t xml:space="preserve">Boost 2 results </w:t>
            </w:r>
            <w:r>
              <w:rPr>
                <w:rFonts w:ascii="Arial" w:hAnsi="Arial" w:cs="Arial"/>
                <w:sz w:val="20"/>
              </w:rPr>
              <w:t>after 4 weeks (</w:t>
            </w:r>
            <w:r w:rsidRPr="00D01851">
              <w:rPr>
                <w:rFonts w:ascii="Arial" w:hAnsi="Arial" w:cs="Arial"/>
                <w:sz w:val="20"/>
              </w:rPr>
              <w:t>as of 7/21/2016</w:t>
            </w:r>
            <w:r>
              <w:rPr>
                <w:rFonts w:ascii="Arial" w:hAnsi="Arial" w:cs="Arial"/>
                <w:sz w:val="20"/>
              </w:rPr>
              <w:t>)</w:t>
            </w:r>
          </w:p>
        </w:tc>
        <w:tc>
          <w:tcPr>
            <w:tcW w:w="180" w:type="pct"/>
            <w:tcBorders>
              <w:top w:val="single" w:sz="12" w:space="0" w:color="auto"/>
              <w:left w:val="nil"/>
              <w:right w:val="nil"/>
            </w:tcBorders>
          </w:tcPr>
          <w:p w14:paraId="13EB5940" w14:textId="796CB8EB" w:rsidR="00BF760A" w:rsidRPr="00D01851" w:rsidRDefault="00BF760A" w:rsidP="00D01851">
            <w:pPr>
              <w:jc w:val="center"/>
              <w:rPr>
                <w:rFonts w:ascii="Arial" w:hAnsi="Arial" w:cs="Arial"/>
                <w:sz w:val="20"/>
              </w:rPr>
            </w:pPr>
          </w:p>
        </w:tc>
        <w:tc>
          <w:tcPr>
            <w:tcW w:w="1742" w:type="pct"/>
            <w:gridSpan w:val="2"/>
            <w:tcBorders>
              <w:top w:val="single" w:sz="12" w:space="0" w:color="auto"/>
              <w:left w:val="nil"/>
              <w:bottom w:val="single" w:sz="4" w:space="0" w:color="auto"/>
              <w:right w:val="nil"/>
            </w:tcBorders>
            <w:vAlign w:val="center"/>
          </w:tcPr>
          <w:p w14:paraId="46CBBB39" w14:textId="402D85D7" w:rsidR="00BF760A" w:rsidRPr="00D01851" w:rsidRDefault="00BF760A" w:rsidP="00921B5D">
            <w:pPr>
              <w:jc w:val="center"/>
              <w:rPr>
                <w:rFonts w:ascii="Arial" w:hAnsi="Arial" w:cs="Arial"/>
                <w:sz w:val="20"/>
              </w:rPr>
            </w:pPr>
            <w:r w:rsidRPr="00D01851">
              <w:rPr>
                <w:rFonts w:ascii="Arial" w:hAnsi="Arial" w:cs="Arial"/>
                <w:sz w:val="20"/>
              </w:rPr>
              <w:t>Boost 2 results</w:t>
            </w:r>
            <w:r>
              <w:rPr>
                <w:rFonts w:ascii="Arial" w:hAnsi="Arial" w:cs="Arial"/>
                <w:sz w:val="20"/>
              </w:rPr>
              <w:t xml:space="preserve"> after </w:t>
            </w:r>
            <w:r w:rsidR="00921B5D">
              <w:rPr>
                <w:rFonts w:ascii="Arial" w:hAnsi="Arial" w:cs="Arial"/>
                <w:sz w:val="20"/>
              </w:rPr>
              <w:t xml:space="preserve">11 </w:t>
            </w:r>
            <w:r>
              <w:rPr>
                <w:rFonts w:ascii="Arial" w:hAnsi="Arial" w:cs="Arial"/>
                <w:sz w:val="20"/>
              </w:rPr>
              <w:t>weeks</w:t>
            </w:r>
            <w:r w:rsidRPr="00D01851">
              <w:rPr>
                <w:rFonts w:ascii="Arial" w:hAnsi="Arial" w:cs="Arial"/>
                <w:sz w:val="20"/>
              </w:rPr>
              <w:t xml:space="preserve"> </w:t>
            </w:r>
            <w:r>
              <w:rPr>
                <w:rFonts w:ascii="Arial" w:hAnsi="Arial" w:cs="Arial"/>
                <w:sz w:val="20"/>
              </w:rPr>
              <w:t>(</w:t>
            </w:r>
            <w:r w:rsidRPr="00D01851">
              <w:rPr>
                <w:rFonts w:ascii="Arial" w:hAnsi="Arial" w:cs="Arial"/>
                <w:sz w:val="20"/>
              </w:rPr>
              <w:t>as of as of 9/7/2016</w:t>
            </w:r>
            <w:r>
              <w:rPr>
                <w:rFonts w:ascii="Arial" w:hAnsi="Arial" w:cs="Arial"/>
                <w:sz w:val="20"/>
              </w:rPr>
              <w:t>)</w:t>
            </w:r>
          </w:p>
        </w:tc>
        <w:tc>
          <w:tcPr>
            <w:tcW w:w="265" w:type="pct"/>
            <w:tcBorders>
              <w:top w:val="single" w:sz="12" w:space="0" w:color="auto"/>
              <w:left w:val="nil"/>
              <w:bottom w:val="single" w:sz="4" w:space="0" w:color="auto"/>
              <w:right w:val="nil"/>
            </w:tcBorders>
          </w:tcPr>
          <w:p w14:paraId="4CB5DC3C" w14:textId="77777777" w:rsidR="00BF760A" w:rsidRPr="006A406E" w:rsidRDefault="00BF760A" w:rsidP="001D5BC1">
            <w:pPr>
              <w:jc w:val="center"/>
              <w:rPr>
                <w:rFonts w:ascii="Arial" w:hAnsi="Arial" w:cs="Arial"/>
                <w:sz w:val="20"/>
              </w:rPr>
            </w:pPr>
          </w:p>
        </w:tc>
      </w:tr>
      <w:tr w:rsidR="00BF760A" w:rsidRPr="006A406E" w14:paraId="20F9E4F9" w14:textId="77CEC774" w:rsidTr="003E1D49">
        <w:trPr>
          <w:trHeight w:val="144"/>
        </w:trPr>
        <w:tc>
          <w:tcPr>
            <w:tcW w:w="625" w:type="pct"/>
            <w:tcBorders>
              <w:top w:val="nil"/>
              <w:left w:val="nil"/>
              <w:bottom w:val="nil"/>
              <w:right w:val="nil"/>
            </w:tcBorders>
            <w:shd w:val="clear" w:color="auto" w:fill="auto"/>
            <w:noWrap/>
            <w:vAlign w:val="bottom"/>
            <w:hideMark/>
          </w:tcPr>
          <w:p w14:paraId="255915CA" w14:textId="77777777" w:rsidR="00BF760A" w:rsidRPr="00D01851" w:rsidRDefault="00BF760A" w:rsidP="009D3C40">
            <w:pPr>
              <w:rPr>
                <w:rFonts w:ascii="Arial" w:hAnsi="Arial" w:cs="Arial"/>
                <w:sz w:val="20"/>
              </w:rPr>
            </w:pPr>
          </w:p>
        </w:tc>
        <w:tc>
          <w:tcPr>
            <w:tcW w:w="536" w:type="pct"/>
            <w:tcBorders>
              <w:top w:val="nil"/>
              <w:left w:val="nil"/>
              <w:bottom w:val="nil"/>
              <w:right w:val="nil"/>
            </w:tcBorders>
            <w:shd w:val="clear" w:color="auto" w:fill="auto"/>
            <w:noWrap/>
            <w:vAlign w:val="bottom"/>
            <w:hideMark/>
          </w:tcPr>
          <w:p w14:paraId="65A5A4A5" w14:textId="77777777" w:rsidR="00BF760A" w:rsidRPr="00D01851" w:rsidRDefault="00BF760A" w:rsidP="009D3C40">
            <w:pPr>
              <w:rPr>
                <w:rFonts w:ascii="Arial" w:hAnsi="Arial" w:cs="Arial"/>
                <w:sz w:val="20"/>
                <w:szCs w:val="20"/>
              </w:rPr>
            </w:pPr>
          </w:p>
        </w:tc>
        <w:tc>
          <w:tcPr>
            <w:tcW w:w="803" w:type="pct"/>
            <w:tcBorders>
              <w:top w:val="single" w:sz="4" w:space="0" w:color="auto"/>
              <w:left w:val="nil"/>
              <w:bottom w:val="single" w:sz="4" w:space="0" w:color="auto"/>
              <w:right w:val="nil"/>
            </w:tcBorders>
            <w:shd w:val="clear" w:color="auto" w:fill="auto"/>
            <w:noWrap/>
            <w:vAlign w:val="bottom"/>
            <w:hideMark/>
          </w:tcPr>
          <w:p w14:paraId="1EAA4BF9" w14:textId="77777777" w:rsidR="00BF760A" w:rsidRPr="00D01851" w:rsidRDefault="00BF760A" w:rsidP="00D01851">
            <w:pPr>
              <w:jc w:val="center"/>
              <w:rPr>
                <w:rFonts w:ascii="Arial" w:hAnsi="Arial" w:cs="Arial"/>
                <w:sz w:val="20"/>
                <w:szCs w:val="20"/>
              </w:rPr>
            </w:pPr>
            <w:r w:rsidRPr="00D01851">
              <w:rPr>
                <w:rFonts w:ascii="Arial" w:hAnsi="Arial" w:cs="Arial"/>
                <w:sz w:val="20"/>
              </w:rPr>
              <w:t>Number of respondents</w:t>
            </w:r>
          </w:p>
        </w:tc>
        <w:tc>
          <w:tcPr>
            <w:tcW w:w="849" w:type="pct"/>
            <w:tcBorders>
              <w:top w:val="single" w:sz="4" w:space="0" w:color="auto"/>
              <w:left w:val="nil"/>
              <w:bottom w:val="single" w:sz="4" w:space="0" w:color="auto"/>
              <w:right w:val="nil"/>
            </w:tcBorders>
            <w:shd w:val="clear" w:color="auto" w:fill="auto"/>
            <w:noWrap/>
            <w:vAlign w:val="bottom"/>
            <w:hideMark/>
          </w:tcPr>
          <w:p w14:paraId="063156DE" w14:textId="77777777" w:rsidR="00BF760A" w:rsidRPr="00D01851" w:rsidRDefault="00BF760A" w:rsidP="00D01851">
            <w:pPr>
              <w:jc w:val="center"/>
              <w:rPr>
                <w:rFonts w:ascii="Arial" w:hAnsi="Arial" w:cs="Arial"/>
                <w:sz w:val="20"/>
                <w:szCs w:val="20"/>
              </w:rPr>
            </w:pPr>
            <w:r w:rsidRPr="00D01851">
              <w:rPr>
                <w:rFonts w:ascii="Arial" w:hAnsi="Arial" w:cs="Arial"/>
                <w:sz w:val="20"/>
                <w:szCs w:val="20"/>
              </w:rPr>
              <w:t>Response rate (%)</w:t>
            </w:r>
          </w:p>
        </w:tc>
        <w:tc>
          <w:tcPr>
            <w:tcW w:w="180" w:type="pct"/>
            <w:tcBorders>
              <w:left w:val="nil"/>
              <w:right w:val="nil"/>
            </w:tcBorders>
          </w:tcPr>
          <w:p w14:paraId="2DDE3A19" w14:textId="030E6E4C" w:rsidR="00BF760A" w:rsidRPr="00D01851" w:rsidRDefault="00BF760A" w:rsidP="00D01851">
            <w:pPr>
              <w:jc w:val="center"/>
              <w:rPr>
                <w:rFonts w:ascii="Arial" w:hAnsi="Arial" w:cs="Arial"/>
                <w:sz w:val="20"/>
              </w:rPr>
            </w:pPr>
          </w:p>
        </w:tc>
        <w:tc>
          <w:tcPr>
            <w:tcW w:w="847" w:type="pct"/>
            <w:tcBorders>
              <w:top w:val="single" w:sz="4" w:space="0" w:color="auto"/>
              <w:left w:val="nil"/>
              <w:bottom w:val="single" w:sz="4" w:space="0" w:color="auto"/>
              <w:right w:val="nil"/>
            </w:tcBorders>
            <w:vAlign w:val="bottom"/>
          </w:tcPr>
          <w:p w14:paraId="41679471" w14:textId="77777777" w:rsidR="00BF760A" w:rsidRPr="00D01851" w:rsidRDefault="00BF760A" w:rsidP="00D01851">
            <w:pPr>
              <w:jc w:val="center"/>
              <w:rPr>
                <w:rFonts w:ascii="Arial" w:hAnsi="Arial" w:cs="Arial"/>
                <w:sz w:val="20"/>
                <w:szCs w:val="20"/>
              </w:rPr>
            </w:pPr>
            <w:r w:rsidRPr="00D01851">
              <w:rPr>
                <w:rFonts w:ascii="Arial" w:hAnsi="Arial" w:cs="Arial"/>
                <w:sz w:val="20"/>
              </w:rPr>
              <w:t>Number of respondents</w:t>
            </w:r>
          </w:p>
        </w:tc>
        <w:tc>
          <w:tcPr>
            <w:tcW w:w="895" w:type="pct"/>
            <w:tcBorders>
              <w:top w:val="single" w:sz="4" w:space="0" w:color="auto"/>
              <w:left w:val="nil"/>
              <w:bottom w:val="single" w:sz="4" w:space="0" w:color="auto"/>
              <w:right w:val="nil"/>
            </w:tcBorders>
            <w:vAlign w:val="bottom"/>
          </w:tcPr>
          <w:p w14:paraId="3DB69834" w14:textId="77777777" w:rsidR="00BF760A" w:rsidRPr="00D01851" w:rsidRDefault="00BF760A" w:rsidP="00D01851">
            <w:pPr>
              <w:jc w:val="center"/>
              <w:rPr>
                <w:rFonts w:ascii="Arial" w:hAnsi="Arial" w:cs="Arial"/>
                <w:sz w:val="20"/>
                <w:szCs w:val="20"/>
              </w:rPr>
            </w:pPr>
            <w:r w:rsidRPr="00D01851">
              <w:rPr>
                <w:rFonts w:ascii="Arial" w:hAnsi="Arial" w:cs="Arial"/>
                <w:sz w:val="20"/>
                <w:szCs w:val="20"/>
              </w:rPr>
              <w:t>Response rate (%)</w:t>
            </w:r>
          </w:p>
        </w:tc>
        <w:tc>
          <w:tcPr>
            <w:tcW w:w="265" w:type="pct"/>
            <w:tcBorders>
              <w:top w:val="single" w:sz="4" w:space="0" w:color="auto"/>
              <w:left w:val="nil"/>
              <w:bottom w:val="single" w:sz="4" w:space="0" w:color="auto"/>
              <w:right w:val="nil"/>
            </w:tcBorders>
          </w:tcPr>
          <w:p w14:paraId="52C6AF4A" w14:textId="77777777" w:rsidR="00BF760A" w:rsidRPr="006A406E" w:rsidRDefault="00BF760A" w:rsidP="001D5BC1">
            <w:pPr>
              <w:jc w:val="center"/>
              <w:rPr>
                <w:rFonts w:ascii="Arial" w:hAnsi="Arial" w:cs="Arial"/>
                <w:sz w:val="20"/>
                <w:szCs w:val="20"/>
              </w:rPr>
            </w:pPr>
          </w:p>
        </w:tc>
      </w:tr>
      <w:tr w:rsidR="00BF760A" w:rsidRPr="006A406E" w14:paraId="575A2754" w14:textId="2B3F975B" w:rsidTr="003E1D49">
        <w:trPr>
          <w:trHeight w:val="300"/>
        </w:trPr>
        <w:tc>
          <w:tcPr>
            <w:tcW w:w="625" w:type="pct"/>
            <w:tcBorders>
              <w:top w:val="nil"/>
              <w:left w:val="nil"/>
              <w:bottom w:val="nil"/>
              <w:right w:val="nil"/>
            </w:tcBorders>
            <w:shd w:val="clear" w:color="auto" w:fill="auto"/>
            <w:noWrap/>
            <w:vAlign w:val="center"/>
            <w:hideMark/>
          </w:tcPr>
          <w:p w14:paraId="2DD1F562"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 xml:space="preserve">$10 </w:t>
            </w:r>
          </w:p>
        </w:tc>
        <w:tc>
          <w:tcPr>
            <w:tcW w:w="536" w:type="pct"/>
            <w:tcBorders>
              <w:top w:val="nil"/>
              <w:left w:val="nil"/>
              <w:bottom w:val="nil"/>
              <w:right w:val="nil"/>
            </w:tcBorders>
            <w:shd w:val="clear" w:color="auto" w:fill="auto"/>
            <w:noWrap/>
            <w:vAlign w:val="center"/>
            <w:hideMark/>
          </w:tcPr>
          <w:p w14:paraId="6ABF6AAB"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152</w:t>
            </w:r>
          </w:p>
        </w:tc>
        <w:tc>
          <w:tcPr>
            <w:tcW w:w="803" w:type="pct"/>
            <w:tcBorders>
              <w:top w:val="single" w:sz="4" w:space="0" w:color="auto"/>
              <w:left w:val="nil"/>
              <w:bottom w:val="nil"/>
              <w:right w:val="nil"/>
            </w:tcBorders>
            <w:shd w:val="clear" w:color="auto" w:fill="auto"/>
            <w:noWrap/>
            <w:vAlign w:val="center"/>
          </w:tcPr>
          <w:p w14:paraId="4C6C198E"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8</w:t>
            </w:r>
          </w:p>
        </w:tc>
        <w:tc>
          <w:tcPr>
            <w:tcW w:w="849" w:type="pct"/>
            <w:tcBorders>
              <w:top w:val="single" w:sz="4" w:space="0" w:color="auto"/>
              <w:left w:val="nil"/>
              <w:bottom w:val="nil"/>
              <w:right w:val="nil"/>
            </w:tcBorders>
            <w:shd w:val="clear" w:color="auto" w:fill="auto"/>
            <w:noWrap/>
            <w:vAlign w:val="bottom"/>
          </w:tcPr>
          <w:p w14:paraId="6A1D4AF4"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5.3</w:t>
            </w:r>
          </w:p>
        </w:tc>
        <w:tc>
          <w:tcPr>
            <w:tcW w:w="180" w:type="pct"/>
            <w:tcBorders>
              <w:left w:val="nil"/>
              <w:bottom w:val="nil"/>
              <w:right w:val="nil"/>
            </w:tcBorders>
          </w:tcPr>
          <w:p w14:paraId="00D161D7" w14:textId="231015D6" w:rsidR="00BF760A" w:rsidRPr="00D01851" w:rsidRDefault="00BF760A" w:rsidP="003E1D49">
            <w:pPr>
              <w:spacing w:beforeLines="60" w:before="144"/>
              <w:jc w:val="right"/>
              <w:rPr>
                <w:rFonts w:ascii="Arial" w:hAnsi="Arial" w:cs="Arial"/>
                <w:sz w:val="20"/>
              </w:rPr>
            </w:pPr>
          </w:p>
        </w:tc>
        <w:tc>
          <w:tcPr>
            <w:tcW w:w="847" w:type="pct"/>
            <w:tcBorders>
              <w:top w:val="single" w:sz="4" w:space="0" w:color="auto"/>
              <w:left w:val="nil"/>
              <w:bottom w:val="nil"/>
              <w:right w:val="nil"/>
            </w:tcBorders>
            <w:vAlign w:val="center"/>
          </w:tcPr>
          <w:p w14:paraId="7BA3177F"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12</w:t>
            </w:r>
          </w:p>
        </w:tc>
        <w:tc>
          <w:tcPr>
            <w:tcW w:w="895" w:type="pct"/>
            <w:tcBorders>
              <w:top w:val="single" w:sz="4" w:space="0" w:color="auto"/>
              <w:left w:val="nil"/>
              <w:bottom w:val="nil"/>
              <w:right w:val="nil"/>
            </w:tcBorders>
            <w:vAlign w:val="bottom"/>
          </w:tcPr>
          <w:p w14:paraId="3AC94B4A"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7.9</w:t>
            </w:r>
          </w:p>
        </w:tc>
        <w:tc>
          <w:tcPr>
            <w:tcW w:w="265" w:type="pct"/>
            <w:tcBorders>
              <w:top w:val="single" w:sz="4" w:space="0" w:color="auto"/>
              <w:left w:val="nil"/>
              <w:bottom w:val="nil"/>
              <w:right w:val="nil"/>
            </w:tcBorders>
          </w:tcPr>
          <w:p w14:paraId="419E3FFF" w14:textId="77777777" w:rsidR="00BF760A" w:rsidRPr="006A406E" w:rsidRDefault="00BF760A" w:rsidP="003E1D49">
            <w:pPr>
              <w:spacing w:beforeLines="60" w:before="144"/>
              <w:jc w:val="right"/>
              <w:rPr>
                <w:rFonts w:ascii="Arial" w:hAnsi="Arial" w:cs="Arial"/>
                <w:sz w:val="20"/>
              </w:rPr>
            </w:pPr>
          </w:p>
        </w:tc>
      </w:tr>
      <w:tr w:rsidR="00BF760A" w:rsidRPr="006A406E" w14:paraId="28402A33" w14:textId="6F09ED7B" w:rsidTr="003E1D49">
        <w:trPr>
          <w:trHeight w:val="300"/>
        </w:trPr>
        <w:tc>
          <w:tcPr>
            <w:tcW w:w="625" w:type="pct"/>
            <w:tcBorders>
              <w:top w:val="nil"/>
              <w:left w:val="nil"/>
              <w:bottom w:val="nil"/>
              <w:right w:val="nil"/>
            </w:tcBorders>
            <w:shd w:val="clear" w:color="auto" w:fill="auto"/>
            <w:noWrap/>
            <w:vAlign w:val="center"/>
            <w:hideMark/>
          </w:tcPr>
          <w:p w14:paraId="38A3AC5D"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 xml:space="preserve">$20 </w:t>
            </w:r>
          </w:p>
        </w:tc>
        <w:tc>
          <w:tcPr>
            <w:tcW w:w="536" w:type="pct"/>
            <w:tcBorders>
              <w:top w:val="nil"/>
              <w:left w:val="nil"/>
              <w:bottom w:val="nil"/>
              <w:right w:val="nil"/>
            </w:tcBorders>
            <w:shd w:val="clear" w:color="auto" w:fill="auto"/>
            <w:noWrap/>
            <w:vAlign w:val="center"/>
            <w:hideMark/>
          </w:tcPr>
          <w:p w14:paraId="7A18465F"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156</w:t>
            </w:r>
          </w:p>
        </w:tc>
        <w:tc>
          <w:tcPr>
            <w:tcW w:w="803" w:type="pct"/>
            <w:tcBorders>
              <w:top w:val="nil"/>
              <w:left w:val="nil"/>
              <w:bottom w:val="nil"/>
              <w:right w:val="nil"/>
            </w:tcBorders>
            <w:shd w:val="clear" w:color="auto" w:fill="auto"/>
            <w:noWrap/>
            <w:vAlign w:val="center"/>
          </w:tcPr>
          <w:p w14:paraId="10509B82"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9</w:t>
            </w:r>
          </w:p>
        </w:tc>
        <w:tc>
          <w:tcPr>
            <w:tcW w:w="849" w:type="pct"/>
            <w:tcBorders>
              <w:top w:val="nil"/>
              <w:left w:val="nil"/>
              <w:bottom w:val="nil"/>
              <w:right w:val="nil"/>
            </w:tcBorders>
            <w:shd w:val="clear" w:color="auto" w:fill="auto"/>
            <w:noWrap/>
            <w:vAlign w:val="bottom"/>
          </w:tcPr>
          <w:p w14:paraId="7F6A7A67"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5.8</w:t>
            </w:r>
          </w:p>
        </w:tc>
        <w:tc>
          <w:tcPr>
            <w:tcW w:w="180" w:type="pct"/>
            <w:tcBorders>
              <w:top w:val="nil"/>
              <w:left w:val="nil"/>
              <w:bottom w:val="nil"/>
              <w:right w:val="nil"/>
            </w:tcBorders>
          </w:tcPr>
          <w:p w14:paraId="32E6B9C1" w14:textId="3475A476" w:rsidR="00BF760A" w:rsidRPr="00D01851" w:rsidRDefault="00BF760A" w:rsidP="003E1D49">
            <w:pPr>
              <w:spacing w:beforeLines="60" w:before="144"/>
              <w:jc w:val="right"/>
              <w:rPr>
                <w:rFonts w:ascii="Arial" w:hAnsi="Arial" w:cs="Arial"/>
                <w:sz w:val="20"/>
              </w:rPr>
            </w:pPr>
          </w:p>
        </w:tc>
        <w:tc>
          <w:tcPr>
            <w:tcW w:w="847" w:type="pct"/>
            <w:tcBorders>
              <w:top w:val="nil"/>
              <w:left w:val="nil"/>
              <w:bottom w:val="nil"/>
              <w:right w:val="nil"/>
            </w:tcBorders>
            <w:vAlign w:val="center"/>
          </w:tcPr>
          <w:p w14:paraId="5870F029"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28</w:t>
            </w:r>
          </w:p>
        </w:tc>
        <w:tc>
          <w:tcPr>
            <w:tcW w:w="895" w:type="pct"/>
            <w:tcBorders>
              <w:top w:val="nil"/>
              <w:left w:val="nil"/>
              <w:bottom w:val="nil"/>
              <w:right w:val="nil"/>
            </w:tcBorders>
            <w:vAlign w:val="bottom"/>
          </w:tcPr>
          <w:p w14:paraId="7FBA46EF"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17.9</w:t>
            </w:r>
          </w:p>
        </w:tc>
        <w:tc>
          <w:tcPr>
            <w:tcW w:w="265" w:type="pct"/>
            <w:tcBorders>
              <w:top w:val="nil"/>
              <w:left w:val="nil"/>
              <w:bottom w:val="nil"/>
              <w:right w:val="nil"/>
            </w:tcBorders>
          </w:tcPr>
          <w:p w14:paraId="6AE86B56" w14:textId="22EFD191" w:rsidR="00BF760A" w:rsidRPr="006A406E" w:rsidRDefault="00BF760A" w:rsidP="003E1D49">
            <w:pPr>
              <w:spacing w:beforeLines="60" w:before="144"/>
              <w:rPr>
                <w:rFonts w:ascii="Arial" w:hAnsi="Arial" w:cs="Arial"/>
                <w:sz w:val="20"/>
              </w:rPr>
            </w:pPr>
            <w:r w:rsidRPr="00D75C53">
              <w:rPr>
                <w:rFonts w:ascii="Arial" w:hAnsi="Arial" w:cs="Arial"/>
                <w:sz w:val="18"/>
              </w:rPr>
              <w:t>***</w:t>
            </w:r>
          </w:p>
        </w:tc>
      </w:tr>
      <w:tr w:rsidR="00BF760A" w:rsidRPr="006A406E" w14:paraId="4DFBDC78" w14:textId="58594BA2" w:rsidTr="003E1D49">
        <w:trPr>
          <w:trHeight w:val="315"/>
        </w:trPr>
        <w:tc>
          <w:tcPr>
            <w:tcW w:w="625" w:type="pct"/>
            <w:tcBorders>
              <w:top w:val="nil"/>
              <w:left w:val="nil"/>
              <w:bottom w:val="single" w:sz="12" w:space="0" w:color="auto"/>
              <w:right w:val="nil"/>
            </w:tcBorders>
            <w:shd w:val="clear" w:color="auto" w:fill="auto"/>
            <w:noWrap/>
            <w:vAlign w:val="center"/>
            <w:hideMark/>
          </w:tcPr>
          <w:p w14:paraId="3964CB77" w14:textId="77777777" w:rsidR="00BF760A" w:rsidRPr="00D01851" w:rsidRDefault="00BF760A" w:rsidP="003E1D49">
            <w:pPr>
              <w:spacing w:beforeLines="60" w:before="144"/>
              <w:rPr>
                <w:rFonts w:ascii="Arial" w:hAnsi="Arial" w:cs="Arial"/>
                <w:sz w:val="20"/>
              </w:rPr>
            </w:pPr>
            <w:r w:rsidRPr="00D01851">
              <w:rPr>
                <w:rFonts w:ascii="Arial" w:hAnsi="Arial" w:cs="Arial"/>
                <w:sz w:val="20"/>
              </w:rPr>
              <w:t>Total</w:t>
            </w:r>
          </w:p>
        </w:tc>
        <w:tc>
          <w:tcPr>
            <w:tcW w:w="536" w:type="pct"/>
            <w:tcBorders>
              <w:top w:val="nil"/>
              <w:left w:val="nil"/>
              <w:bottom w:val="single" w:sz="12" w:space="0" w:color="auto"/>
              <w:right w:val="nil"/>
            </w:tcBorders>
            <w:shd w:val="clear" w:color="auto" w:fill="auto"/>
            <w:noWrap/>
            <w:vAlign w:val="center"/>
            <w:hideMark/>
          </w:tcPr>
          <w:p w14:paraId="6ADE7449"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308</w:t>
            </w:r>
          </w:p>
        </w:tc>
        <w:tc>
          <w:tcPr>
            <w:tcW w:w="803" w:type="pct"/>
            <w:tcBorders>
              <w:top w:val="nil"/>
              <w:left w:val="nil"/>
              <w:bottom w:val="single" w:sz="12" w:space="0" w:color="auto"/>
              <w:right w:val="nil"/>
            </w:tcBorders>
            <w:shd w:val="clear" w:color="auto" w:fill="auto"/>
            <w:noWrap/>
            <w:vAlign w:val="center"/>
            <w:hideMark/>
          </w:tcPr>
          <w:p w14:paraId="73200F79"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17</w:t>
            </w:r>
          </w:p>
        </w:tc>
        <w:tc>
          <w:tcPr>
            <w:tcW w:w="849" w:type="pct"/>
            <w:tcBorders>
              <w:top w:val="nil"/>
              <w:left w:val="nil"/>
              <w:bottom w:val="single" w:sz="12" w:space="0" w:color="auto"/>
              <w:right w:val="nil"/>
            </w:tcBorders>
            <w:shd w:val="clear" w:color="auto" w:fill="auto"/>
            <w:noWrap/>
            <w:vAlign w:val="center"/>
            <w:hideMark/>
          </w:tcPr>
          <w:p w14:paraId="2FFE9802"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5.5</w:t>
            </w:r>
          </w:p>
        </w:tc>
        <w:tc>
          <w:tcPr>
            <w:tcW w:w="180" w:type="pct"/>
            <w:tcBorders>
              <w:top w:val="nil"/>
              <w:left w:val="nil"/>
              <w:bottom w:val="single" w:sz="12" w:space="0" w:color="auto"/>
              <w:right w:val="nil"/>
            </w:tcBorders>
          </w:tcPr>
          <w:p w14:paraId="551A52BA" w14:textId="703EA93C" w:rsidR="00BF760A" w:rsidRPr="00D01851" w:rsidRDefault="00BF760A" w:rsidP="003E1D49">
            <w:pPr>
              <w:spacing w:beforeLines="60" w:before="144"/>
              <w:jc w:val="right"/>
              <w:rPr>
                <w:rFonts w:ascii="Arial" w:hAnsi="Arial" w:cs="Arial"/>
                <w:sz w:val="20"/>
              </w:rPr>
            </w:pPr>
          </w:p>
        </w:tc>
        <w:tc>
          <w:tcPr>
            <w:tcW w:w="847" w:type="pct"/>
            <w:tcBorders>
              <w:top w:val="nil"/>
              <w:left w:val="nil"/>
              <w:bottom w:val="single" w:sz="12" w:space="0" w:color="auto"/>
              <w:right w:val="nil"/>
            </w:tcBorders>
          </w:tcPr>
          <w:p w14:paraId="6DE486C7"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40</w:t>
            </w:r>
          </w:p>
        </w:tc>
        <w:tc>
          <w:tcPr>
            <w:tcW w:w="895" w:type="pct"/>
            <w:tcBorders>
              <w:top w:val="nil"/>
              <w:left w:val="nil"/>
              <w:bottom w:val="single" w:sz="12" w:space="0" w:color="auto"/>
              <w:right w:val="nil"/>
            </w:tcBorders>
          </w:tcPr>
          <w:p w14:paraId="73137EFE" w14:textId="77777777" w:rsidR="00BF760A" w:rsidRPr="00D01851" w:rsidRDefault="00BF760A" w:rsidP="003E1D49">
            <w:pPr>
              <w:spacing w:beforeLines="60" w:before="144"/>
              <w:jc w:val="right"/>
              <w:rPr>
                <w:rFonts w:ascii="Arial" w:hAnsi="Arial" w:cs="Arial"/>
                <w:sz w:val="20"/>
              </w:rPr>
            </w:pPr>
            <w:r w:rsidRPr="00D01851">
              <w:rPr>
                <w:rFonts w:ascii="Arial" w:hAnsi="Arial" w:cs="Arial"/>
                <w:sz w:val="20"/>
              </w:rPr>
              <w:t>13.0</w:t>
            </w:r>
          </w:p>
        </w:tc>
        <w:tc>
          <w:tcPr>
            <w:tcW w:w="265" w:type="pct"/>
            <w:tcBorders>
              <w:top w:val="nil"/>
              <w:left w:val="nil"/>
              <w:bottom w:val="single" w:sz="12" w:space="0" w:color="auto"/>
              <w:right w:val="nil"/>
            </w:tcBorders>
          </w:tcPr>
          <w:p w14:paraId="74B76FF2" w14:textId="77777777" w:rsidR="00BF760A" w:rsidRPr="006A406E" w:rsidRDefault="00BF760A" w:rsidP="003E1D49">
            <w:pPr>
              <w:spacing w:beforeLines="60" w:before="144"/>
              <w:jc w:val="right"/>
              <w:rPr>
                <w:rFonts w:ascii="Arial" w:hAnsi="Arial" w:cs="Arial"/>
                <w:sz w:val="20"/>
              </w:rPr>
            </w:pPr>
          </w:p>
        </w:tc>
      </w:tr>
    </w:tbl>
    <w:p w14:paraId="719ECC76" w14:textId="449DEE6E" w:rsidR="00A2357D" w:rsidRPr="00A2357D" w:rsidRDefault="00A2357D" w:rsidP="00C204FB">
      <w:pPr>
        <w:rPr>
          <w:rFonts w:ascii="Arial" w:hAnsi="Arial"/>
          <w:sz w:val="16"/>
        </w:rPr>
      </w:pPr>
      <w:r>
        <w:rPr>
          <w:rFonts w:ascii="Arial" w:hAnsi="Arial"/>
          <w:sz w:val="16"/>
        </w:rPr>
        <w:t xml:space="preserve">*** </w:t>
      </w:r>
      <w:proofErr w:type="gramStart"/>
      <w:r>
        <w:rPr>
          <w:rFonts w:ascii="Arial" w:hAnsi="Arial"/>
          <w:i/>
          <w:sz w:val="16"/>
        </w:rPr>
        <w:t>p</w:t>
      </w:r>
      <w:proofErr w:type="gramEnd"/>
      <w:r>
        <w:rPr>
          <w:rFonts w:ascii="Arial" w:hAnsi="Arial"/>
          <w:sz w:val="16"/>
        </w:rPr>
        <w:t xml:space="preserve"> &lt; .01</w:t>
      </w:r>
    </w:p>
    <w:p w14:paraId="1EE1AE0B" w14:textId="7416CB4B" w:rsidR="005F6B2B" w:rsidRPr="00D01851" w:rsidRDefault="006F4ACE" w:rsidP="00C204FB">
      <w:r>
        <w:rPr>
          <w:rFonts w:ascii="Arial" w:hAnsi="Arial"/>
          <w:sz w:val="16"/>
        </w:rPr>
        <w:t>SOURCE: U.S. Department of Education, National Center for Education Statistics. High School Longitudinal Study of 2009 (HSLS</w:t>
      </w:r>
      <w:proofErr w:type="gramStart"/>
      <w:r>
        <w:rPr>
          <w:rFonts w:ascii="Arial" w:hAnsi="Arial"/>
          <w:sz w:val="16"/>
        </w:rPr>
        <w:t>:09</w:t>
      </w:r>
      <w:proofErr w:type="gramEnd"/>
      <w:r>
        <w:rPr>
          <w:rFonts w:ascii="Arial" w:hAnsi="Arial"/>
          <w:sz w:val="16"/>
        </w:rPr>
        <w:t>) Second Follow-up Main Study.</w:t>
      </w:r>
    </w:p>
    <w:p w14:paraId="684600F9" w14:textId="77777777" w:rsidR="00F42DEB" w:rsidRDefault="00F42DEB" w:rsidP="00F42DEB">
      <w:pPr>
        <w:rPr>
          <w:i/>
        </w:rPr>
      </w:pPr>
    </w:p>
    <w:p w14:paraId="60A051EE" w14:textId="77777777" w:rsidR="00F42DEB" w:rsidRPr="00694ECB" w:rsidRDefault="00F42DEB" w:rsidP="00085C42">
      <w:pPr>
        <w:ind w:left="900" w:hanging="900"/>
        <w:rPr>
          <w:b/>
          <w:bCs/>
        </w:rPr>
      </w:pPr>
      <w:proofErr w:type="gramStart"/>
      <w:r>
        <w:rPr>
          <w:b/>
          <w:bCs/>
        </w:rPr>
        <w:t>Table 2</w:t>
      </w:r>
      <w:r w:rsidRPr="00694ECB">
        <w:rPr>
          <w:b/>
          <w:bCs/>
        </w:rPr>
        <w:t>.</w:t>
      </w:r>
      <w:proofErr w:type="gramEnd"/>
      <w:r w:rsidRPr="00694ECB">
        <w:rPr>
          <w:b/>
          <w:bCs/>
        </w:rPr>
        <w:t xml:space="preserve"> </w:t>
      </w:r>
      <w:r>
        <w:rPr>
          <w:b/>
          <w:bCs/>
        </w:rPr>
        <w:t>Subgroup B</w:t>
      </w:r>
      <w:r w:rsidRPr="00694ECB">
        <w:rPr>
          <w:b/>
          <w:bCs/>
        </w:rPr>
        <w:t xml:space="preserve"> </w:t>
      </w:r>
      <w:r>
        <w:rPr>
          <w:b/>
          <w:bCs/>
        </w:rPr>
        <w:t xml:space="preserve">Calibration </w:t>
      </w:r>
      <w:r w:rsidRPr="00694ECB">
        <w:rPr>
          <w:b/>
          <w:bCs/>
        </w:rPr>
        <w:t>Results</w:t>
      </w:r>
      <w:r>
        <w:rPr>
          <w:b/>
          <w:bCs/>
        </w:rPr>
        <w:t>, at 4 and 11 weeks, by boost 2 incentive amount</w:t>
      </w:r>
    </w:p>
    <w:tbl>
      <w:tblPr>
        <w:tblW w:w="4861" w:type="pct"/>
        <w:tblLayout w:type="fixed"/>
        <w:tblLook w:val="04A0" w:firstRow="1" w:lastRow="0" w:firstColumn="1" w:lastColumn="0" w:noHBand="0" w:noVBand="1"/>
      </w:tblPr>
      <w:tblGrid>
        <w:gridCol w:w="1287"/>
        <w:gridCol w:w="1103"/>
        <w:gridCol w:w="1653"/>
        <w:gridCol w:w="1747"/>
        <w:gridCol w:w="370"/>
        <w:gridCol w:w="1743"/>
        <w:gridCol w:w="1842"/>
        <w:gridCol w:w="545"/>
      </w:tblGrid>
      <w:tr w:rsidR="00F42DEB" w:rsidRPr="006A406E" w14:paraId="1A215CFD" w14:textId="77777777" w:rsidTr="00C660A4">
        <w:trPr>
          <w:trHeight w:val="630"/>
        </w:trPr>
        <w:tc>
          <w:tcPr>
            <w:tcW w:w="625" w:type="pct"/>
            <w:tcBorders>
              <w:top w:val="single" w:sz="12" w:space="0" w:color="auto"/>
              <w:left w:val="nil"/>
              <w:bottom w:val="nil"/>
              <w:right w:val="nil"/>
            </w:tcBorders>
            <w:shd w:val="clear" w:color="auto" w:fill="auto"/>
            <w:vAlign w:val="center"/>
            <w:hideMark/>
          </w:tcPr>
          <w:p w14:paraId="017412DF" w14:textId="77777777" w:rsidR="00F42DEB" w:rsidRPr="00D01851" w:rsidRDefault="00F42DEB" w:rsidP="00C660A4">
            <w:pPr>
              <w:jc w:val="right"/>
              <w:rPr>
                <w:rFonts w:ascii="Arial" w:hAnsi="Arial" w:cs="Arial"/>
                <w:sz w:val="20"/>
              </w:rPr>
            </w:pPr>
            <w:r w:rsidRPr="00D01851">
              <w:rPr>
                <w:rFonts w:ascii="Arial" w:hAnsi="Arial" w:cs="Arial"/>
                <w:sz w:val="20"/>
              </w:rPr>
              <w:t>Boost 2 incentive amount</w:t>
            </w:r>
          </w:p>
        </w:tc>
        <w:tc>
          <w:tcPr>
            <w:tcW w:w="536" w:type="pct"/>
            <w:tcBorders>
              <w:top w:val="single" w:sz="12" w:space="0" w:color="auto"/>
              <w:left w:val="nil"/>
              <w:bottom w:val="nil"/>
              <w:right w:val="nil"/>
            </w:tcBorders>
            <w:shd w:val="clear" w:color="auto" w:fill="auto"/>
            <w:vAlign w:val="center"/>
            <w:hideMark/>
          </w:tcPr>
          <w:p w14:paraId="5D04AEB4" w14:textId="77777777" w:rsidR="00F42DEB" w:rsidRPr="00D01851" w:rsidRDefault="00F42DEB" w:rsidP="00C660A4">
            <w:pPr>
              <w:jc w:val="right"/>
              <w:rPr>
                <w:rFonts w:ascii="Arial" w:hAnsi="Arial" w:cs="Arial"/>
                <w:sz w:val="20"/>
              </w:rPr>
            </w:pPr>
            <w:r w:rsidRPr="00D01851">
              <w:rPr>
                <w:rFonts w:ascii="Arial" w:hAnsi="Arial" w:cs="Arial"/>
                <w:sz w:val="20"/>
              </w:rPr>
              <w:t>Sample members</w:t>
            </w:r>
            <w:r w:rsidRPr="00D01851">
              <w:rPr>
                <w:rFonts w:ascii="Arial" w:hAnsi="Arial" w:cs="Arial"/>
                <w:sz w:val="20"/>
              </w:rPr>
              <w:br/>
              <w:t>(n)</w:t>
            </w:r>
          </w:p>
        </w:tc>
        <w:tc>
          <w:tcPr>
            <w:tcW w:w="1652" w:type="pct"/>
            <w:gridSpan w:val="2"/>
            <w:tcBorders>
              <w:top w:val="single" w:sz="12" w:space="0" w:color="auto"/>
              <w:left w:val="nil"/>
              <w:bottom w:val="single" w:sz="4" w:space="0" w:color="auto"/>
              <w:right w:val="nil"/>
            </w:tcBorders>
            <w:shd w:val="clear" w:color="auto" w:fill="auto"/>
            <w:vAlign w:val="center"/>
            <w:hideMark/>
          </w:tcPr>
          <w:p w14:paraId="17AF2A5A" w14:textId="77777777" w:rsidR="00F42DEB" w:rsidRPr="00D01851" w:rsidRDefault="00F42DEB" w:rsidP="00C660A4">
            <w:pPr>
              <w:jc w:val="center"/>
              <w:rPr>
                <w:rFonts w:ascii="Arial" w:hAnsi="Arial" w:cs="Arial"/>
                <w:sz w:val="20"/>
              </w:rPr>
            </w:pPr>
            <w:r w:rsidRPr="00D01851">
              <w:rPr>
                <w:rFonts w:ascii="Arial" w:hAnsi="Arial" w:cs="Arial"/>
                <w:sz w:val="20"/>
              </w:rPr>
              <w:t xml:space="preserve">Boost 2 results </w:t>
            </w:r>
            <w:r>
              <w:rPr>
                <w:rFonts w:ascii="Arial" w:hAnsi="Arial" w:cs="Arial"/>
                <w:sz w:val="20"/>
              </w:rPr>
              <w:t>after 4 weeks (</w:t>
            </w:r>
            <w:r w:rsidRPr="00D01851">
              <w:rPr>
                <w:rFonts w:ascii="Arial" w:hAnsi="Arial" w:cs="Arial"/>
                <w:sz w:val="20"/>
              </w:rPr>
              <w:t>as of 7/21/2016</w:t>
            </w:r>
            <w:r>
              <w:rPr>
                <w:rFonts w:ascii="Arial" w:hAnsi="Arial" w:cs="Arial"/>
                <w:sz w:val="20"/>
              </w:rPr>
              <w:t>)</w:t>
            </w:r>
          </w:p>
        </w:tc>
        <w:tc>
          <w:tcPr>
            <w:tcW w:w="180" w:type="pct"/>
            <w:tcBorders>
              <w:top w:val="single" w:sz="12" w:space="0" w:color="auto"/>
              <w:left w:val="nil"/>
              <w:right w:val="nil"/>
            </w:tcBorders>
          </w:tcPr>
          <w:p w14:paraId="35F88069" w14:textId="77777777" w:rsidR="00F42DEB" w:rsidRPr="00D01851" w:rsidRDefault="00F42DEB" w:rsidP="00C660A4">
            <w:pPr>
              <w:jc w:val="center"/>
              <w:rPr>
                <w:rFonts w:ascii="Arial" w:hAnsi="Arial" w:cs="Arial"/>
                <w:sz w:val="20"/>
              </w:rPr>
            </w:pPr>
          </w:p>
        </w:tc>
        <w:tc>
          <w:tcPr>
            <w:tcW w:w="1742" w:type="pct"/>
            <w:gridSpan w:val="2"/>
            <w:tcBorders>
              <w:top w:val="single" w:sz="12" w:space="0" w:color="auto"/>
              <w:left w:val="nil"/>
              <w:bottom w:val="single" w:sz="4" w:space="0" w:color="auto"/>
              <w:right w:val="nil"/>
            </w:tcBorders>
            <w:vAlign w:val="center"/>
          </w:tcPr>
          <w:p w14:paraId="1962FB16" w14:textId="77777777" w:rsidR="00F42DEB" w:rsidRPr="00D01851" w:rsidRDefault="00F42DEB" w:rsidP="00C660A4">
            <w:pPr>
              <w:jc w:val="center"/>
              <w:rPr>
                <w:rFonts w:ascii="Arial" w:hAnsi="Arial" w:cs="Arial"/>
                <w:sz w:val="20"/>
              </w:rPr>
            </w:pPr>
            <w:r w:rsidRPr="00D01851">
              <w:rPr>
                <w:rFonts w:ascii="Arial" w:hAnsi="Arial" w:cs="Arial"/>
                <w:sz w:val="20"/>
              </w:rPr>
              <w:t>Boost 2 results</w:t>
            </w:r>
            <w:r>
              <w:rPr>
                <w:rFonts w:ascii="Arial" w:hAnsi="Arial" w:cs="Arial"/>
                <w:sz w:val="20"/>
              </w:rPr>
              <w:t xml:space="preserve"> after 11 weeks</w:t>
            </w:r>
            <w:r w:rsidRPr="00D01851">
              <w:rPr>
                <w:rFonts w:ascii="Arial" w:hAnsi="Arial" w:cs="Arial"/>
                <w:sz w:val="20"/>
              </w:rPr>
              <w:t xml:space="preserve"> </w:t>
            </w:r>
            <w:r>
              <w:rPr>
                <w:rFonts w:ascii="Arial" w:hAnsi="Arial" w:cs="Arial"/>
                <w:sz w:val="20"/>
              </w:rPr>
              <w:t>(</w:t>
            </w:r>
            <w:r w:rsidRPr="00D01851">
              <w:rPr>
                <w:rFonts w:ascii="Arial" w:hAnsi="Arial" w:cs="Arial"/>
                <w:sz w:val="20"/>
              </w:rPr>
              <w:t>as of as of 9/7/2016</w:t>
            </w:r>
            <w:r>
              <w:rPr>
                <w:rFonts w:ascii="Arial" w:hAnsi="Arial" w:cs="Arial"/>
                <w:sz w:val="20"/>
              </w:rPr>
              <w:t>)</w:t>
            </w:r>
          </w:p>
        </w:tc>
        <w:tc>
          <w:tcPr>
            <w:tcW w:w="265" w:type="pct"/>
            <w:tcBorders>
              <w:top w:val="single" w:sz="12" w:space="0" w:color="auto"/>
              <w:left w:val="nil"/>
              <w:bottom w:val="single" w:sz="4" w:space="0" w:color="auto"/>
              <w:right w:val="nil"/>
            </w:tcBorders>
          </w:tcPr>
          <w:p w14:paraId="054744A7" w14:textId="77777777" w:rsidR="00F42DEB" w:rsidRPr="006A406E" w:rsidRDefault="00F42DEB" w:rsidP="00C660A4">
            <w:pPr>
              <w:jc w:val="center"/>
              <w:rPr>
                <w:rFonts w:ascii="Arial" w:hAnsi="Arial" w:cs="Arial"/>
                <w:sz w:val="20"/>
              </w:rPr>
            </w:pPr>
          </w:p>
        </w:tc>
      </w:tr>
      <w:tr w:rsidR="00F42DEB" w:rsidRPr="006A406E" w14:paraId="4A930BBE" w14:textId="77777777" w:rsidTr="00C660A4">
        <w:trPr>
          <w:trHeight w:val="144"/>
        </w:trPr>
        <w:tc>
          <w:tcPr>
            <w:tcW w:w="625" w:type="pct"/>
            <w:tcBorders>
              <w:top w:val="nil"/>
              <w:left w:val="nil"/>
              <w:bottom w:val="nil"/>
              <w:right w:val="nil"/>
            </w:tcBorders>
            <w:shd w:val="clear" w:color="auto" w:fill="auto"/>
            <w:noWrap/>
            <w:vAlign w:val="bottom"/>
            <w:hideMark/>
          </w:tcPr>
          <w:p w14:paraId="0CF910BB" w14:textId="77777777" w:rsidR="00F42DEB" w:rsidRPr="00D01851" w:rsidRDefault="00F42DEB" w:rsidP="00C660A4">
            <w:pPr>
              <w:rPr>
                <w:rFonts w:ascii="Arial" w:hAnsi="Arial" w:cs="Arial"/>
                <w:sz w:val="20"/>
              </w:rPr>
            </w:pPr>
          </w:p>
        </w:tc>
        <w:tc>
          <w:tcPr>
            <w:tcW w:w="536" w:type="pct"/>
            <w:tcBorders>
              <w:top w:val="nil"/>
              <w:left w:val="nil"/>
              <w:bottom w:val="nil"/>
              <w:right w:val="nil"/>
            </w:tcBorders>
            <w:shd w:val="clear" w:color="auto" w:fill="auto"/>
            <w:noWrap/>
            <w:vAlign w:val="bottom"/>
            <w:hideMark/>
          </w:tcPr>
          <w:p w14:paraId="4A039FF6" w14:textId="77777777" w:rsidR="00F42DEB" w:rsidRPr="00D01851" w:rsidRDefault="00F42DEB" w:rsidP="00C660A4">
            <w:pPr>
              <w:rPr>
                <w:rFonts w:ascii="Arial" w:hAnsi="Arial" w:cs="Arial"/>
                <w:sz w:val="20"/>
                <w:szCs w:val="20"/>
              </w:rPr>
            </w:pPr>
          </w:p>
        </w:tc>
        <w:tc>
          <w:tcPr>
            <w:tcW w:w="803" w:type="pct"/>
            <w:tcBorders>
              <w:top w:val="single" w:sz="4" w:space="0" w:color="auto"/>
              <w:left w:val="nil"/>
              <w:bottom w:val="single" w:sz="4" w:space="0" w:color="auto"/>
              <w:right w:val="nil"/>
            </w:tcBorders>
            <w:shd w:val="clear" w:color="auto" w:fill="auto"/>
            <w:noWrap/>
            <w:vAlign w:val="bottom"/>
            <w:hideMark/>
          </w:tcPr>
          <w:p w14:paraId="081C8BE5" w14:textId="77777777" w:rsidR="00F42DEB" w:rsidRPr="00D01851" w:rsidRDefault="00F42DEB" w:rsidP="00C660A4">
            <w:pPr>
              <w:jc w:val="center"/>
              <w:rPr>
                <w:rFonts w:ascii="Arial" w:hAnsi="Arial" w:cs="Arial"/>
                <w:sz w:val="20"/>
                <w:szCs w:val="20"/>
              </w:rPr>
            </w:pPr>
            <w:r w:rsidRPr="00D01851">
              <w:rPr>
                <w:rFonts w:ascii="Arial" w:hAnsi="Arial" w:cs="Arial"/>
                <w:sz w:val="20"/>
              </w:rPr>
              <w:t>Number of respondents</w:t>
            </w:r>
          </w:p>
        </w:tc>
        <w:tc>
          <w:tcPr>
            <w:tcW w:w="849" w:type="pct"/>
            <w:tcBorders>
              <w:top w:val="single" w:sz="4" w:space="0" w:color="auto"/>
              <w:left w:val="nil"/>
              <w:bottom w:val="single" w:sz="4" w:space="0" w:color="auto"/>
              <w:right w:val="nil"/>
            </w:tcBorders>
            <w:shd w:val="clear" w:color="auto" w:fill="auto"/>
            <w:noWrap/>
            <w:vAlign w:val="bottom"/>
            <w:hideMark/>
          </w:tcPr>
          <w:p w14:paraId="4A2F7668"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Response rate (%)</w:t>
            </w:r>
          </w:p>
        </w:tc>
        <w:tc>
          <w:tcPr>
            <w:tcW w:w="180" w:type="pct"/>
            <w:tcBorders>
              <w:left w:val="nil"/>
              <w:right w:val="nil"/>
            </w:tcBorders>
          </w:tcPr>
          <w:p w14:paraId="19DE3FB0" w14:textId="77777777" w:rsidR="00F42DEB" w:rsidRPr="00D01851" w:rsidRDefault="00F42DEB" w:rsidP="00C660A4">
            <w:pPr>
              <w:jc w:val="center"/>
              <w:rPr>
                <w:rFonts w:ascii="Arial" w:hAnsi="Arial" w:cs="Arial"/>
                <w:sz w:val="20"/>
              </w:rPr>
            </w:pPr>
          </w:p>
        </w:tc>
        <w:tc>
          <w:tcPr>
            <w:tcW w:w="847" w:type="pct"/>
            <w:tcBorders>
              <w:top w:val="single" w:sz="4" w:space="0" w:color="auto"/>
              <w:left w:val="nil"/>
              <w:bottom w:val="single" w:sz="4" w:space="0" w:color="auto"/>
              <w:right w:val="nil"/>
            </w:tcBorders>
            <w:vAlign w:val="bottom"/>
          </w:tcPr>
          <w:p w14:paraId="7E3DF67C" w14:textId="77777777" w:rsidR="00F42DEB" w:rsidRPr="00D01851" w:rsidRDefault="00F42DEB" w:rsidP="00C660A4">
            <w:pPr>
              <w:jc w:val="center"/>
              <w:rPr>
                <w:rFonts w:ascii="Arial" w:hAnsi="Arial" w:cs="Arial"/>
                <w:sz w:val="20"/>
                <w:szCs w:val="20"/>
              </w:rPr>
            </w:pPr>
            <w:r w:rsidRPr="00D01851">
              <w:rPr>
                <w:rFonts w:ascii="Arial" w:hAnsi="Arial" w:cs="Arial"/>
                <w:sz w:val="20"/>
              </w:rPr>
              <w:t>Number of respondents</w:t>
            </w:r>
          </w:p>
        </w:tc>
        <w:tc>
          <w:tcPr>
            <w:tcW w:w="895" w:type="pct"/>
            <w:tcBorders>
              <w:top w:val="single" w:sz="4" w:space="0" w:color="auto"/>
              <w:left w:val="nil"/>
              <w:bottom w:val="single" w:sz="4" w:space="0" w:color="auto"/>
              <w:right w:val="nil"/>
            </w:tcBorders>
            <w:vAlign w:val="bottom"/>
          </w:tcPr>
          <w:p w14:paraId="2A25F20D"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Response rate (%)</w:t>
            </w:r>
          </w:p>
        </w:tc>
        <w:tc>
          <w:tcPr>
            <w:tcW w:w="265" w:type="pct"/>
            <w:tcBorders>
              <w:top w:val="single" w:sz="4" w:space="0" w:color="auto"/>
              <w:left w:val="nil"/>
              <w:bottom w:val="single" w:sz="4" w:space="0" w:color="auto"/>
              <w:right w:val="nil"/>
            </w:tcBorders>
          </w:tcPr>
          <w:p w14:paraId="0CC3B212" w14:textId="77777777" w:rsidR="00F42DEB" w:rsidRPr="006A406E" w:rsidRDefault="00F42DEB" w:rsidP="00C660A4">
            <w:pPr>
              <w:jc w:val="center"/>
              <w:rPr>
                <w:rFonts w:ascii="Arial" w:hAnsi="Arial" w:cs="Arial"/>
                <w:sz w:val="20"/>
                <w:szCs w:val="20"/>
              </w:rPr>
            </w:pPr>
          </w:p>
        </w:tc>
      </w:tr>
      <w:tr w:rsidR="00F42DEB" w:rsidRPr="006A406E" w14:paraId="4D114270" w14:textId="77777777" w:rsidTr="00C660A4">
        <w:trPr>
          <w:trHeight w:val="300"/>
        </w:trPr>
        <w:tc>
          <w:tcPr>
            <w:tcW w:w="625" w:type="pct"/>
            <w:tcBorders>
              <w:top w:val="nil"/>
              <w:left w:val="nil"/>
              <w:bottom w:val="nil"/>
              <w:right w:val="nil"/>
            </w:tcBorders>
            <w:shd w:val="clear" w:color="auto" w:fill="auto"/>
            <w:noWrap/>
            <w:vAlign w:val="center"/>
            <w:hideMark/>
          </w:tcPr>
          <w:p w14:paraId="06366280" w14:textId="77777777" w:rsidR="00F42DEB" w:rsidRPr="00D01851" w:rsidRDefault="00F42DEB" w:rsidP="00C660A4">
            <w:pPr>
              <w:spacing w:beforeLines="60" w:before="144"/>
              <w:jc w:val="right"/>
              <w:rPr>
                <w:rFonts w:ascii="Arial" w:hAnsi="Arial" w:cs="Arial"/>
                <w:sz w:val="20"/>
              </w:rPr>
            </w:pPr>
            <w:r w:rsidRPr="00D01851">
              <w:rPr>
                <w:rFonts w:ascii="Arial" w:hAnsi="Arial" w:cs="Arial"/>
                <w:sz w:val="20"/>
              </w:rPr>
              <w:t xml:space="preserve">$10 </w:t>
            </w:r>
          </w:p>
        </w:tc>
        <w:tc>
          <w:tcPr>
            <w:tcW w:w="536" w:type="pct"/>
            <w:tcBorders>
              <w:top w:val="nil"/>
              <w:left w:val="nil"/>
              <w:bottom w:val="nil"/>
              <w:right w:val="nil"/>
            </w:tcBorders>
            <w:shd w:val="clear" w:color="auto" w:fill="auto"/>
            <w:noWrap/>
            <w:vAlign w:val="center"/>
            <w:hideMark/>
          </w:tcPr>
          <w:p w14:paraId="6F6D803E" w14:textId="77777777" w:rsidR="00F42DEB" w:rsidRPr="00D01851" w:rsidRDefault="00F42DEB" w:rsidP="00C660A4">
            <w:pPr>
              <w:spacing w:beforeLines="60" w:before="144"/>
              <w:jc w:val="right"/>
              <w:rPr>
                <w:rFonts w:ascii="Arial" w:hAnsi="Arial" w:cs="Arial"/>
                <w:sz w:val="20"/>
              </w:rPr>
            </w:pPr>
            <w:r>
              <w:rPr>
                <w:rFonts w:ascii="Arial" w:hAnsi="Arial" w:cs="Arial"/>
                <w:sz w:val="20"/>
              </w:rPr>
              <w:t>7</w:t>
            </w:r>
          </w:p>
        </w:tc>
        <w:tc>
          <w:tcPr>
            <w:tcW w:w="803" w:type="pct"/>
            <w:tcBorders>
              <w:top w:val="single" w:sz="4" w:space="0" w:color="auto"/>
              <w:left w:val="nil"/>
              <w:bottom w:val="nil"/>
              <w:right w:val="nil"/>
            </w:tcBorders>
            <w:shd w:val="clear" w:color="auto" w:fill="auto"/>
            <w:noWrap/>
            <w:vAlign w:val="center"/>
          </w:tcPr>
          <w:p w14:paraId="56DDD01F" w14:textId="77777777" w:rsidR="00F42DEB" w:rsidRPr="00D01851" w:rsidRDefault="00F42DEB" w:rsidP="00C660A4">
            <w:pPr>
              <w:spacing w:beforeLines="60" w:before="144"/>
              <w:jc w:val="right"/>
              <w:rPr>
                <w:rFonts w:ascii="Arial" w:hAnsi="Arial" w:cs="Arial"/>
                <w:sz w:val="20"/>
              </w:rPr>
            </w:pPr>
            <w:r>
              <w:rPr>
                <w:rFonts w:ascii="Arial" w:hAnsi="Arial" w:cs="Arial"/>
                <w:sz w:val="20"/>
              </w:rPr>
              <w:t>1</w:t>
            </w:r>
          </w:p>
        </w:tc>
        <w:tc>
          <w:tcPr>
            <w:tcW w:w="849" w:type="pct"/>
            <w:tcBorders>
              <w:top w:val="single" w:sz="4" w:space="0" w:color="auto"/>
              <w:left w:val="nil"/>
              <w:bottom w:val="nil"/>
              <w:right w:val="nil"/>
            </w:tcBorders>
            <w:shd w:val="clear" w:color="auto" w:fill="auto"/>
            <w:noWrap/>
            <w:vAlign w:val="bottom"/>
          </w:tcPr>
          <w:p w14:paraId="16860A02" w14:textId="77777777" w:rsidR="00F42DEB" w:rsidRPr="00D01851" w:rsidRDefault="00F42DEB" w:rsidP="00C660A4">
            <w:pPr>
              <w:spacing w:beforeLines="60" w:before="144"/>
              <w:jc w:val="right"/>
              <w:rPr>
                <w:rFonts w:ascii="Arial" w:hAnsi="Arial" w:cs="Arial"/>
                <w:sz w:val="20"/>
              </w:rPr>
            </w:pPr>
            <w:r>
              <w:rPr>
                <w:rFonts w:ascii="Arial" w:hAnsi="Arial" w:cs="Arial"/>
                <w:sz w:val="20"/>
              </w:rPr>
              <w:t>14</w:t>
            </w:r>
            <w:r w:rsidRPr="00D01851">
              <w:rPr>
                <w:rFonts w:ascii="Arial" w:hAnsi="Arial" w:cs="Arial"/>
                <w:sz w:val="20"/>
              </w:rPr>
              <w:t>.3</w:t>
            </w:r>
          </w:p>
        </w:tc>
        <w:tc>
          <w:tcPr>
            <w:tcW w:w="180" w:type="pct"/>
            <w:tcBorders>
              <w:left w:val="nil"/>
              <w:bottom w:val="nil"/>
              <w:right w:val="nil"/>
            </w:tcBorders>
          </w:tcPr>
          <w:p w14:paraId="2F3AB2EA" w14:textId="77777777" w:rsidR="00F42DEB" w:rsidRPr="00D01851" w:rsidRDefault="00F42DEB" w:rsidP="00C660A4">
            <w:pPr>
              <w:spacing w:beforeLines="60" w:before="144"/>
              <w:jc w:val="right"/>
              <w:rPr>
                <w:rFonts w:ascii="Arial" w:hAnsi="Arial" w:cs="Arial"/>
                <w:sz w:val="20"/>
              </w:rPr>
            </w:pPr>
          </w:p>
        </w:tc>
        <w:tc>
          <w:tcPr>
            <w:tcW w:w="847" w:type="pct"/>
            <w:tcBorders>
              <w:top w:val="single" w:sz="4" w:space="0" w:color="auto"/>
              <w:left w:val="nil"/>
              <w:bottom w:val="nil"/>
              <w:right w:val="nil"/>
            </w:tcBorders>
            <w:vAlign w:val="center"/>
          </w:tcPr>
          <w:p w14:paraId="79EE79B8" w14:textId="77777777" w:rsidR="00F42DEB" w:rsidRPr="00D01851" w:rsidRDefault="00F42DEB" w:rsidP="00C660A4">
            <w:pPr>
              <w:spacing w:beforeLines="60" w:before="144"/>
              <w:jc w:val="right"/>
              <w:rPr>
                <w:rFonts w:ascii="Arial" w:hAnsi="Arial" w:cs="Arial"/>
                <w:sz w:val="20"/>
              </w:rPr>
            </w:pPr>
            <w:r>
              <w:rPr>
                <w:rFonts w:ascii="Arial" w:hAnsi="Arial" w:cs="Arial"/>
                <w:sz w:val="20"/>
              </w:rPr>
              <w:t>2</w:t>
            </w:r>
          </w:p>
        </w:tc>
        <w:tc>
          <w:tcPr>
            <w:tcW w:w="895" w:type="pct"/>
            <w:tcBorders>
              <w:top w:val="single" w:sz="4" w:space="0" w:color="auto"/>
              <w:left w:val="nil"/>
              <w:bottom w:val="nil"/>
              <w:right w:val="nil"/>
            </w:tcBorders>
            <w:vAlign w:val="bottom"/>
          </w:tcPr>
          <w:p w14:paraId="4CC08952" w14:textId="77777777" w:rsidR="00F42DEB" w:rsidRPr="00D01851" w:rsidRDefault="00F42DEB" w:rsidP="00C660A4">
            <w:pPr>
              <w:spacing w:beforeLines="60" w:before="144"/>
              <w:jc w:val="right"/>
              <w:rPr>
                <w:rFonts w:ascii="Arial" w:hAnsi="Arial" w:cs="Arial"/>
                <w:sz w:val="20"/>
              </w:rPr>
            </w:pPr>
            <w:r>
              <w:rPr>
                <w:rFonts w:ascii="Arial" w:hAnsi="Arial" w:cs="Arial"/>
                <w:sz w:val="20"/>
              </w:rPr>
              <w:t>28.6</w:t>
            </w:r>
          </w:p>
        </w:tc>
        <w:tc>
          <w:tcPr>
            <w:tcW w:w="265" w:type="pct"/>
            <w:tcBorders>
              <w:top w:val="single" w:sz="4" w:space="0" w:color="auto"/>
              <w:left w:val="nil"/>
              <w:bottom w:val="nil"/>
              <w:right w:val="nil"/>
            </w:tcBorders>
          </w:tcPr>
          <w:p w14:paraId="1160E3D6" w14:textId="77777777" w:rsidR="00F42DEB" w:rsidRPr="006A406E" w:rsidRDefault="00F42DEB" w:rsidP="00C660A4">
            <w:pPr>
              <w:spacing w:beforeLines="60" w:before="144"/>
              <w:jc w:val="right"/>
              <w:rPr>
                <w:rFonts w:ascii="Arial" w:hAnsi="Arial" w:cs="Arial"/>
                <w:sz w:val="20"/>
              </w:rPr>
            </w:pPr>
          </w:p>
        </w:tc>
      </w:tr>
      <w:tr w:rsidR="00F42DEB" w:rsidRPr="006A406E" w14:paraId="63F5477A" w14:textId="77777777" w:rsidTr="00C660A4">
        <w:trPr>
          <w:trHeight w:val="300"/>
        </w:trPr>
        <w:tc>
          <w:tcPr>
            <w:tcW w:w="625" w:type="pct"/>
            <w:tcBorders>
              <w:top w:val="nil"/>
              <w:left w:val="nil"/>
              <w:bottom w:val="nil"/>
              <w:right w:val="nil"/>
            </w:tcBorders>
            <w:shd w:val="clear" w:color="auto" w:fill="auto"/>
            <w:noWrap/>
            <w:vAlign w:val="center"/>
            <w:hideMark/>
          </w:tcPr>
          <w:p w14:paraId="2A2E9748" w14:textId="77777777" w:rsidR="00F42DEB" w:rsidRPr="00D01851" w:rsidRDefault="00F42DEB" w:rsidP="00C660A4">
            <w:pPr>
              <w:spacing w:beforeLines="60" w:before="144"/>
              <w:jc w:val="right"/>
              <w:rPr>
                <w:rFonts w:ascii="Arial" w:hAnsi="Arial" w:cs="Arial"/>
                <w:sz w:val="20"/>
              </w:rPr>
            </w:pPr>
            <w:r w:rsidRPr="00D01851">
              <w:rPr>
                <w:rFonts w:ascii="Arial" w:hAnsi="Arial" w:cs="Arial"/>
                <w:sz w:val="20"/>
              </w:rPr>
              <w:t xml:space="preserve">$20 </w:t>
            </w:r>
          </w:p>
        </w:tc>
        <w:tc>
          <w:tcPr>
            <w:tcW w:w="536" w:type="pct"/>
            <w:tcBorders>
              <w:top w:val="nil"/>
              <w:left w:val="nil"/>
              <w:bottom w:val="nil"/>
              <w:right w:val="nil"/>
            </w:tcBorders>
            <w:shd w:val="clear" w:color="auto" w:fill="auto"/>
            <w:noWrap/>
            <w:vAlign w:val="center"/>
            <w:hideMark/>
          </w:tcPr>
          <w:p w14:paraId="586E81C4" w14:textId="77777777" w:rsidR="00F42DEB" w:rsidRPr="00D01851" w:rsidRDefault="00F42DEB" w:rsidP="00C660A4">
            <w:pPr>
              <w:spacing w:beforeLines="60" w:before="144"/>
              <w:jc w:val="right"/>
              <w:rPr>
                <w:rFonts w:ascii="Arial" w:hAnsi="Arial" w:cs="Arial"/>
                <w:sz w:val="20"/>
              </w:rPr>
            </w:pPr>
            <w:r w:rsidRPr="00D01851">
              <w:rPr>
                <w:rFonts w:ascii="Arial" w:hAnsi="Arial" w:cs="Arial"/>
                <w:sz w:val="20"/>
              </w:rPr>
              <w:t>6</w:t>
            </w:r>
          </w:p>
        </w:tc>
        <w:tc>
          <w:tcPr>
            <w:tcW w:w="803" w:type="pct"/>
            <w:tcBorders>
              <w:top w:val="nil"/>
              <w:left w:val="nil"/>
              <w:bottom w:val="nil"/>
              <w:right w:val="nil"/>
            </w:tcBorders>
            <w:shd w:val="clear" w:color="auto" w:fill="auto"/>
            <w:noWrap/>
            <w:vAlign w:val="center"/>
          </w:tcPr>
          <w:p w14:paraId="22752987" w14:textId="77777777" w:rsidR="00F42DEB" w:rsidRPr="00D01851" w:rsidRDefault="00F42DEB" w:rsidP="00C660A4">
            <w:pPr>
              <w:spacing w:beforeLines="60" w:before="144"/>
              <w:jc w:val="right"/>
              <w:rPr>
                <w:rFonts w:ascii="Arial" w:hAnsi="Arial" w:cs="Arial"/>
                <w:sz w:val="20"/>
              </w:rPr>
            </w:pPr>
            <w:r>
              <w:rPr>
                <w:rFonts w:ascii="Arial" w:hAnsi="Arial" w:cs="Arial"/>
                <w:sz w:val="20"/>
              </w:rPr>
              <w:t>1</w:t>
            </w:r>
          </w:p>
        </w:tc>
        <w:tc>
          <w:tcPr>
            <w:tcW w:w="849" w:type="pct"/>
            <w:tcBorders>
              <w:top w:val="nil"/>
              <w:left w:val="nil"/>
              <w:bottom w:val="nil"/>
              <w:right w:val="nil"/>
            </w:tcBorders>
            <w:shd w:val="clear" w:color="auto" w:fill="auto"/>
            <w:noWrap/>
            <w:vAlign w:val="bottom"/>
          </w:tcPr>
          <w:p w14:paraId="03C6D40C" w14:textId="77777777" w:rsidR="00F42DEB" w:rsidRPr="00D01851" w:rsidRDefault="00F42DEB" w:rsidP="00C660A4">
            <w:pPr>
              <w:spacing w:beforeLines="60" w:before="144"/>
              <w:jc w:val="right"/>
              <w:rPr>
                <w:rFonts w:ascii="Arial" w:hAnsi="Arial" w:cs="Arial"/>
                <w:sz w:val="20"/>
              </w:rPr>
            </w:pPr>
            <w:r>
              <w:rPr>
                <w:rFonts w:ascii="Arial" w:hAnsi="Arial" w:cs="Arial"/>
                <w:sz w:val="20"/>
              </w:rPr>
              <w:t>16.7</w:t>
            </w:r>
          </w:p>
        </w:tc>
        <w:tc>
          <w:tcPr>
            <w:tcW w:w="180" w:type="pct"/>
            <w:tcBorders>
              <w:top w:val="nil"/>
              <w:left w:val="nil"/>
              <w:bottom w:val="nil"/>
              <w:right w:val="nil"/>
            </w:tcBorders>
          </w:tcPr>
          <w:p w14:paraId="7DC18614" w14:textId="77777777" w:rsidR="00F42DEB" w:rsidRPr="00D01851" w:rsidRDefault="00F42DEB" w:rsidP="00C660A4">
            <w:pPr>
              <w:spacing w:beforeLines="60" w:before="144"/>
              <w:jc w:val="right"/>
              <w:rPr>
                <w:rFonts w:ascii="Arial" w:hAnsi="Arial" w:cs="Arial"/>
                <w:sz w:val="20"/>
              </w:rPr>
            </w:pPr>
          </w:p>
        </w:tc>
        <w:tc>
          <w:tcPr>
            <w:tcW w:w="847" w:type="pct"/>
            <w:tcBorders>
              <w:top w:val="nil"/>
              <w:left w:val="nil"/>
              <w:bottom w:val="nil"/>
              <w:right w:val="nil"/>
            </w:tcBorders>
            <w:vAlign w:val="center"/>
          </w:tcPr>
          <w:p w14:paraId="0441B68A" w14:textId="77777777" w:rsidR="00F42DEB" w:rsidRPr="00D01851" w:rsidRDefault="00F42DEB" w:rsidP="00C660A4">
            <w:pPr>
              <w:spacing w:beforeLines="60" w:before="144"/>
              <w:jc w:val="right"/>
              <w:rPr>
                <w:rFonts w:ascii="Arial" w:hAnsi="Arial" w:cs="Arial"/>
                <w:sz w:val="20"/>
              </w:rPr>
            </w:pPr>
            <w:r>
              <w:rPr>
                <w:rFonts w:ascii="Arial" w:hAnsi="Arial" w:cs="Arial"/>
                <w:sz w:val="20"/>
              </w:rPr>
              <w:t>2</w:t>
            </w:r>
          </w:p>
        </w:tc>
        <w:tc>
          <w:tcPr>
            <w:tcW w:w="895" w:type="pct"/>
            <w:tcBorders>
              <w:top w:val="nil"/>
              <w:left w:val="nil"/>
              <w:bottom w:val="nil"/>
              <w:right w:val="nil"/>
            </w:tcBorders>
            <w:vAlign w:val="bottom"/>
          </w:tcPr>
          <w:p w14:paraId="6804769D" w14:textId="77777777" w:rsidR="00F42DEB" w:rsidRPr="00D01851" w:rsidRDefault="00F42DEB" w:rsidP="00C660A4">
            <w:pPr>
              <w:spacing w:beforeLines="60" w:before="144"/>
              <w:jc w:val="right"/>
              <w:rPr>
                <w:rFonts w:ascii="Arial" w:hAnsi="Arial" w:cs="Arial"/>
                <w:sz w:val="20"/>
              </w:rPr>
            </w:pPr>
            <w:r>
              <w:rPr>
                <w:rFonts w:ascii="Arial" w:hAnsi="Arial" w:cs="Arial"/>
                <w:sz w:val="20"/>
              </w:rPr>
              <w:t>33.3</w:t>
            </w:r>
          </w:p>
        </w:tc>
        <w:tc>
          <w:tcPr>
            <w:tcW w:w="265" w:type="pct"/>
            <w:tcBorders>
              <w:top w:val="nil"/>
              <w:left w:val="nil"/>
              <w:bottom w:val="nil"/>
              <w:right w:val="nil"/>
            </w:tcBorders>
          </w:tcPr>
          <w:p w14:paraId="0E4764DE" w14:textId="77777777" w:rsidR="00F42DEB" w:rsidRPr="006A406E" w:rsidRDefault="00F42DEB" w:rsidP="00C660A4">
            <w:pPr>
              <w:spacing w:beforeLines="60" w:before="144"/>
              <w:rPr>
                <w:rFonts w:ascii="Arial" w:hAnsi="Arial" w:cs="Arial"/>
                <w:sz w:val="20"/>
              </w:rPr>
            </w:pPr>
          </w:p>
        </w:tc>
      </w:tr>
      <w:tr w:rsidR="00F42DEB" w:rsidRPr="006A406E" w14:paraId="7041BA90" w14:textId="77777777" w:rsidTr="00C660A4">
        <w:trPr>
          <w:trHeight w:val="315"/>
        </w:trPr>
        <w:tc>
          <w:tcPr>
            <w:tcW w:w="625" w:type="pct"/>
            <w:tcBorders>
              <w:top w:val="nil"/>
              <w:left w:val="nil"/>
              <w:bottom w:val="single" w:sz="12" w:space="0" w:color="auto"/>
              <w:right w:val="nil"/>
            </w:tcBorders>
            <w:shd w:val="clear" w:color="auto" w:fill="auto"/>
            <w:noWrap/>
            <w:vAlign w:val="center"/>
            <w:hideMark/>
          </w:tcPr>
          <w:p w14:paraId="53C40150" w14:textId="77777777" w:rsidR="00F42DEB" w:rsidRPr="00D01851" w:rsidRDefault="00F42DEB" w:rsidP="00C660A4">
            <w:pPr>
              <w:spacing w:beforeLines="60" w:before="144"/>
              <w:rPr>
                <w:rFonts w:ascii="Arial" w:hAnsi="Arial" w:cs="Arial"/>
                <w:sz w:val="20"/>
              </w:rPr>
            </w:pPr>
            <w:r w:rsidRPr="00D01851">
              <w:rPr>
                <w:rFonts w:ascii="Arial" w:hAnsi="Arial" w:cs="Arial"/>
                <w:sz w:val="20"/>
              </w:rPr>
              <w:t>Total</w:t>
            </w:r>
          </w:p>
        </w:tc>
        <w:tc>
          <w:tcPr>
            <w:tcW w:w="536" w:type="pct"/>
            <w:tcBorders>
              <w:top w:val="nil"/>
              <w:left w:val="nil"/>
              <w:bottom w:val="single" w:sz="12" w:space="0" w:color="auto"/>
              <w:right w:val="nil"/>
            </w:tcBorders>
            <w:shd w:val="clear" w:color="auto" w:fill="auto"/>
            <w:noWrap/>
            <w:vAlign w:val="center"/>
            <w:hideMark/>
          </w:tcPr>
          <w:p w14:paraId="21734CC8" w14:textId="77777777" w:rsidR="00F42DEB" w:rsidRPr="00D01851" w:rsidRDefault="00F42DEB" w:rsidP="00C660A4">
            <w:pPr>
              <w:spacing w:beforeLines="60" w:before="144"/>
              <w:jc w:val="right"/>
              <w:rPr>
                <w:rFonts w:ascii="Arial" w:hAnsi="Arial" w:cs="Arial"/>
                <w:sz w:val="20"/>
              </w:rPr>
            </w:pPr>
            <w:r>
              <w:rPr>
                <w:rFonts w:ascii="Arial" w:hAnsi="Arial" w:cs="Arial"/>
                <w:sz w:val="20"/>
              </w:rPr>
              <w:t>13</w:t>
            </w:r>
          </w:p>
        </w:tc>
        <w:tc>
          <w:tcPr>
            <w:tcW w:w="803" w:type="pct"/>
            <w:tcBorders>
              <w:top w:val="nil"/>
              <w:left w:val="nil"/>
              <w:bottom w:val="single" w:sz="12" w:space="0" w:color="auto"/>
              <w:right w:val="nil"/>
            </w:tcBorders>
            <w:shd w:val="clear" w:color="auto" w:fill="auto"/>
            <w:noWrap/>
            <w:vAlign w:val="center"/>
            <w:hideMark/>
          </w:tcPr>
          <w:p w14:paraId="5F554BA7" w14:textId="77777777" w:rsidR="00F42DEB" w:rsidRPr="00D01851" w:rsidRDefault="00F42DEB" w:rsidP="00C660A4">
            <w:pPr>
              <w:spacing w:beforeLines="60" w:before="144"/>
              <w:jc w:val="right"/>
              <w:rPr>
                <w:rFonts w:ascii="Arial" w:hAnsi="Arial" w:cs="Arial"/>
                <w:sz w:val="20"/>
              </w:rPr>
            </w:pPr>
            <w:r>
              <w:rPr>
                <w:rFonts w:ascii="Arial" w:hAnsi="Arial" w:cs="Arial"/>
                <w:sz w:val="20"/>
              </w:rPr>
              <w:t>2</w:t>
            </w:r>
          </w:p>
        </w:tc>
        <w:tc>
          <w:tcPr>
            <w:tcW w:w="849" w:type="pct"/>
            <w:tcBorders>
              <w:top w:val="nil"/>
              <w:left w:val="nil"/>
              <w:bottom w:val="single" w:sz="12" w:space="0" w:color="auto"/>
              <w:right w:val="nil"/>
            </w:tcBorders>
            <w:shd w:val="clear" w:color="auto" w:fill="auto"/>
            <w:noWrap/>
            <w:vAlign w:val="center"/>
            <w:hideMark/>
          </w:tcPr>
          <w:p w14:paraId="66442BF1" w14:textId="77777777" w:rsidR="00F42DEB" w:rsidRPr="00D01851" w:rsidRDefault="00F42DEB" w:rsidP="00C660A4">
            <w:pPr>
              <w:spacing w:beforeLines="60" w:before="144"/>
              <w:jc w:val="right"/>
              <w:rPr>
                <w:rFonts w:ascii="Arial" w:hAnsi="Arial" w:cs="Arial"/>
                <w:sz w:val="20"/>
              </w:rPr>
            </w:pPr>
            <w:r>
              <w:rPr>
                <w:rFonts w:ascii="Arial" w:hAnsi="Arial" w:cs="Arial"/>
                <w:sz w:val="20"/>
              </w:rPr>
              <w:t>15.4</w:t>
            </w:r>
          </w:p>
        </w:tc>
        <w:tc>
          <w:tcPr>
            <w:tcW w:w="180" w:type="pct"/>
            <w:tcBorders>
              <w:top w:val="nil"/>
              <w:left w:val="nil"/>
              <w:bottom w:val="single" w:sz="12" w:space="0" w:color="auto"/>
              <w:right w:val="nil"/>
            </w:tcBorders>
          </w:tcPr>
          <w:p w14:paraId="6056BA6E" w14:textId="77777777" w:rsidR="00F42DEB" w:rsidRPr="00D01851" w:rsidRDefault="00F42DEB" w:rsidP="00C660A4">
            <w:pPr>
              <w:spacing w:beforeLines="60" w:before="144"/>
              <w:jc w:val="right"/>
              <w:rPr>
                <w:rFonts w:ascii="Arial" w:hAnsi="Arial" w:cs="Arial"/>
                <w:sz w:val="20"/>
              </w:rPr>
            </w:pPr>
          </w:p>
        </w:tc>
        <w:tc>
          <w:tcPr>
            <w:tcW w:w="847" w:type="pct"/>
            <w:tcBorders>
              <w:top w:val="nil"/>
              <w:left w:val="nil"/>
              <w:bottom w:val="single" w:sz="12" w:space="0" w:color="auto"/>
              <w:right w:val="nil"/>
            </w:tcBorders>
          </w:tcPr>
          <w:p w14:paraId="7A3AEDCA" w14:textId="77777777" w:rsidR="00F42DEB" w:rsidRPr="00D01851" w:rsidRDefault="00F42DEB" w:rsidP="00C660A4">
            <w:pPr>
              <w:spacing w:beforeLines="60" w:before="144"/>
              <w:jc w:val="right"/>
              <w:rPr>
                <w:rFonts w:ascii="Arial" w:hAnsi="Arial" w:cs="Arial"/>
                <w:sz w:val="20"/>
              </w:rPr>
            </w:pPr>
            <w:r>
              <w:rPr>
                <w:rFonts w:ascii="Arial" w:hAnsi="Arial" w:cs="Arial"/>
                <w:sz w:val="20"/>
              </w:rPr>
              <w:t>4</w:t>
            </w:r>
          </w:p>
        </w:tc>
        <w:tc>
          <w:tcPr>
            <w:tcW w:w="895" w:type="pct"/>
            <w:tcBorders>
              <w:top w:val="nil"/>
              <w:left w:val="nil"/>
              <w:bottom w:val="single" w:sz="12" w:space="0" w:color="auto"/>
              <w:right w:val="nil"/>
            </w:tcBorders>
          </w:tcPr>
          <w:p w14:paraId="41C16ACC" w14:textId="77777777" w:rsidR="00F42DEB" w:rsidRPr="00D01851" w:rsidRDefault="00F42DEB" w:rsidP="00C660A4">
            <w:pPr>
              <w:spacing w:beforeLines="60" w:before="144"/>
              <w:jc w:val="right"/>
              <w:rPr>
                <w:rFonts w:ascii="Arial" w:hAnsi="Arial" w:cs="Arial"/>
                <w:sz w:val="20"/>
              </w:rPr>
            </w:pPr>
            <w:r>
              <w:rPr>
                <w:rFonts w:ascii="Arial" w:hAnsi="Arial" w:cs="Arial"/>
                <w:sz w:val="20"/>
              </w:rPr>
              <w:t>30.8</w:t>
            </w:r>
          </w:p>
        </w:tc>
        <w:tc>
          <w:tcPr>
            <w:tcW w:w="265" w:type="pct"/>
            <w:tcBorders>
              <w:top w:val="nil"/>
              <w:left w:val="nil"/>
              <w:bottom w:val="single" w:sz="12" w:space="0" w:color="auto"/>
              <w:right w:val="nil"/>
            </w:tcBorders>
          </w:tcPr>
          <w:p w14:paraId="342AFD3C" w14:textId="77777777" w:rsidR="00F42DEB" w:rsidRPr="006A406E" w:rsidRDefault="00F42DEB" w:rsidP="00C660A4">
            <w:pPr>
              <w:spacing w:beforeLines="60" w:before="144"/>
              <w:jc w:val="right"/>
              <w:rPr>
                <w:rFonts w:ascii="Arial" w:hAnsi="Arial" w:cs="Arial"/>
                <w:sz w:val="20"/>
              </w:rPr>
            </w:pPr>
          </w:p>
        </w:tc>
      </w:tr>
    </w:tbl>
    <w:p w14:paraId="249F295D" w14:textId="77777777" w:rsidR="00F42DEB" w:rsidRPr="00D01851" w:rsidRDefault="00F42DEB" w:rsidP="00F42DEB">
      <w:r>
        <w:rPr>
          <w:rFonts w:ascii="Arial" w:hAnsi="Arial"/>
          <w:sz w:val="16"/>
        </w:rPr>
        <w:t>SOURCE: U.S. Department of Education, National Center for Education Statistics. High School Longitudinal Study of 2009 (HSLS</w:t>
      </w:r>
      <w:proofErr w:type="gramStart"/>
      <w:r>
        <w:rPr>
          <w:rFonts w:ascii="Arial" w:hAnsi="Arial"/>
          <w:sz w:val="16"/>
        </w:rPr>
        <w:t>:09</w:t>
      </w:r>
      <w:proofErr w:type="gramEnd"/>
      <w:r>
        <w:rPr>
          <w:rFonts w:ascii="Arial" w:hAnsi="Arial"/>
          <w:sz w:val="16"/>
        </w:rPr>
        <w:t>) Second Follow-up Main Study.</w:t>
      </w:r>
    </w:p>
    <w:p w14:paraId="0902A2CA" w14:textId="77777777" w:rsidR="00F42DEB" w:rsidRDefault="00F42DEB" w:rsidP="00F42DEB">
      <w:pPr>
        <w:rPr>
          <w:i/>
        </w:rPr>
      </w:pPr>
    </w:p>
    <w:p w14:paraId="452BD63B" w14:textId="77777777" w:rsidR="00F42DEB" w:rsidRPr="00694ECB" w:rsidRDefault="00F42DEB" w:rsidP="00085C42">
      <w:pPr>
        <w:ind w:left="900" w:hanging="900"/>
        <w:rPr>
          <w:b/>
          <w:bCs/>
        </w:rPr>
      </w:pPr>
      <w:proofErr w:type="gramStart"/>
      <w:r>
        <w:rPr>
          <w:b/>
          <w:bCs/>
        </w:rPr>
        <w:t>Table 3</w:t>
      </w:r>
      <w:r w:rsidRPr="00694ECB">
        <w:rPr>
          <w:b/>
          <w:bCs/>
        </w:rPr>
        <w:t>.</w:t>
      </w:r>
      <w:proofErr w:type="gramEnd"/>
      <w:r w:rsidRPr="00694ECB">
        <w:rPr>
          <w:b/>
          <w:bCs/>
        </w:rPr>
        <w:t xml:space="preserve"> </w:t>
      </w:r>
      <w:r>
        <w:rPr>
          <w:b/>
          <w:bCs/>
        </w:rPr>
        <w:t>Subgroup C</w:t>
      </w:r>
      <w:r w:rsidRPr="00694ECB">
        <w:rPr>
          <w:b/>
          <w:bCs/>
        </w:rPr>
        <w:t xml:space="preserve"> </w:t>
      </w:r>
      <w:r>
        <w:rPr>
          <w:b/>
          <w:bCs/>
        </w:rPr>
        <w:t xml:space="preserve">Calibration </w:t>
      </w:r>
      <w:r w:rsidRPr="00694ECB">
        <w:rPr>
          <w:b/>
          <w:bCs/>
        </w:rPr>
        <w:t>Results</w:t>
      </w:r>
      <w:r>
        <w:rPr>
          <w:b/>
          <w:bCs/>
        </w:rPr>
        <w:t>, at 4 and 11 weeks, by boost 2 incentive amount</w:t>
      </w:r>
    </w:p>
    <w:tbl>
      <w:tblPr>
        <w:tblW w:w="4861" w:type="pct"/>
        <w:tblLayout w:type="fixed"/>
        <w:tblLook w:val="04A0" w:firstRow="1" w:lastRow="0" w:firstColumn="1" w:lastColumn="0" w:noHBand="0" w:noVBand="1"/>
      </w:tblPr>
      <w:tblGrid>
        <w:gridCol w:w="1287"/>
        <w:gridCol w:w="1103"/>
        <w:gridCol w:w="1653"/>
        <w:gridCol w:w="1747"/>
        <w:gridCol w:w="370"/>
        <w:gridCol w:w="1743"/>
        <w:gridCol w:w="1842"/>
        <w:gridCol w:w="545"/>
      </w:tblGrid>
      <w:tr w:rsidR="00F42DEB" w:rsidRPr="006A406E" w14:paraId="0795B14C" w14:textId="77777777" w:rsidTr="00C660A4">
        <w:trPr>
          <w:trHeight w:val="630"/>
        </w:trPr>
        <w:tc>
          <w:tcPr>
            <w:tcW w:w="625" w:type="pct"/>
            <w:tcBorders>
              <w:top w:val="single" w:sz="12" w:space="0" w:color="auto"/>
              <w:left w:val="nil"/>
              <w:bottom w:val="nil"/>
              <w:right w:val="nil"/>
            </w:tcBorders>
            <w:shd w:val="clear" w:color="auto" w:fill="auto"/>
            <w:vAlign w:val="center"/>
            <w:hideMark/>
          </w:tcPr>
          <w:p w14:paraId="3DC66DC6" w14:textId="77777777" w:rsidR="00F42DEB" w:rsidRPr="00D01851" w:rsidRDefault="00F42DEB" w:rsidP="00C660A4">
            <w:pPr>
              <w:jc w:val="right"/>
              <w:rPr>
                <w:rFonts w:ascii="Arial" w:hAnsi="Arial" w:cs="Arial"/>
                <w:sz w:val="20"/>
              </w:rPr>
            </w:pPr>
            <w:r w:rsidRPr="00D01851">
              <w:rPr>
                <w:rFonts w:ascii="Arial" w:hAnsi="Arial" w:cs="Arial"/>
                <w:sz w:val="20"/>
              </w:rPr>
              <w:t>Boost 2 incentive amount</w:t>
            </w:r>
          </w:p>
        </w:tc>
        <w:tc>
          <w:tcPr>
            <w:tcW w:w="536" w:type="pct"/>
            <w:tcBorders>
              <w:top w:val="single" w:sz="12" w:space="0" w:color="auto"/>
              <w:left w:val="nil"/>
              <w:bottom w:val="nil"/>
              <w:right w:val="nil"/>
            </w:tcBorders>
            <w:shd w:val="clear" w:color="auto" w:fill="auto"/>
            <w:vAlign w:val="center"/>
            <w:hideMark/>
          </w:tcPr>
          <w:p w14:paraId="006E24B1" w14:textId="77777777" w:rsidR="00F42DEB" w:rsidRPr="00D01851" w:rsidRDefault="00F42DEB" w:rsidP="00C660A4">
            <w:pPr>
              <w:jc w:val="right"/>
              <w:rPr>
                <w:rFonts w:ascii="Arial" w:hAnsi="Arial" w:cs="Arial"/>
                <w:sz w:val="20"/>
              </w:rPr>
            </w:pPr>
            <w:r w:rsidRPr="00D01851">
              <w:rPr>
                <w:rFonts w:ascii="Arial" w:hAnsi="Arial" w:cs="Arial"/>
                <w:sz w:val="20"/>
              </w:rPr>
              <w:t>Sample members</w:t>
            </w:r>
            <w:r w:rsidRPr="00D01851">
              <w:rPr>
                <w:rFonts w:ascii="Arial" w:hAnsi="Arial" w:cs="Arial"/>
                <w:sz w:val="20"/>
              </w:rPr>
              <w:br/>
              <w:t>(n)</w:t>
            </w:r>
          </w:p>
        </w:tc>
        <w:tc>
          <w:tcPr>
            <w:tcW w:w="1652" w:type="pct"/>
            <w:gridSpan w:val="2"/>
            <w:tcBorders>
              <w:top w:val="single" w:sz="12" w:space="0" w:color="auto"/>
              <w:left w:val="nil"/>
              <w:bottom w:val="single" w:sz="4" w:space="0" w:color="auto"/>
              <w:right w:val="nil"/>
            </w:tcBorders>
            <w:shd w:val="clear" w:color="auto" w:fill="auto"/>
            <w:vAlign w:val="center"/>
            <w:hideMark/>
          </w:tcPr>
          <w:p w14:paraId="1C825306" w14:textId="77777777" w:rsidR="00F42DEB" w:rsidRPr="00D01851" w:rsidRDefault="00F42DEB" w:rsidP="00C660A4">
            <w:pPr>
              <w:jc w:val="center"/>
              <w:rPr>
                <w:rFonts w:ascii="Arial" w:hAnsi="Arial" w:cs="Arial"/>
                <w:sz w:val="20"/>
              </w:rPr>
            </w:pPr>
            <w:r w:rsidRPr="00D01851">
              <w:rPr>
                <w:rFonts w:ascii="Arial" w:hAnsi="Arial" w:cs="Arial"/>
                <w:sz w:val="20"/>
              </w:rPr>
              <w:t xml:space="preserve">Boost 2 results </w:t>
            </w:r>
            <w:r>
              <w:rPr>
                <w:rFonts w:ascii="Arial" w:hAnsi="Arial" w:cs="Arial"/>
                <w:sz w:val="20"/>
              </w:rPr>
              <w:t>after 4 weeks (</w:t>
            </w:r>
            <w:r w:rsidRPr="00D01851">
              <w:rPr>
                <w:rFonts w:ascii="Arial" w:hAnsi="Arial" w:cs="Arial"/>
                <w:sz w:val="20"/>
              </w:rPr>
              <w:t>as of 7/21/2016</w:t>
            </w:r>
            <w:r>
              <w:rPr>
                <w:rFonts w:ascii="Arial" w:hAnsi="Arial" w:cs="Arial"/>
                <w:sz w:val="20"/>
              </w:rPr>
              <w:t>)</w:t>
            </w:r>
          </w:p>
        </w:tc>
        <w:tc>
          <w:tcPr>
            <w:tcW w:w="180" w:type="pct"/>
            <w:tcBorders>
              <w:top w:val="single" w:sz="12" w:space="0" w:color="auto"/>
              <w:left w:val="nil"/>
              <w:right w:val="nil"/>
            </w:tcBorders>
          </w:tcPr>
          <w:p w14:paraId="4EB7D3EA" w14:textId="77777777" w:rsidR="00F42DEB" w:rsidRPr="00D01851" w:rsidRDefault="00F42DEB" w:rsidP="00C660A4">
            <w:pPr>
              <w:jc w:val="center"/>
              <w:rPr>
                <w:rFonts w:ascii="Arial" w:hAnsi="Arial" w:cs="Arial"/>
                <w:sz w:val="20"/>
              </w:rPr>
            </w:pPr>
          </w:p>
        </w:tc>
        <w:tc>
          <w:tcPr>
            <w:tcW w:w="1742" w:type="pct"/>
            <w:gridSpan w:val="2"/>
            <w:tcBorders>
              <w:top w:val="single" w:sz="12" w:space="0" w:color="auto"/>
              <w:left w:val="nil"/>
              <w:bottom w:val="single" w:sz="4" w:space="0" w:color="auto"/>
              <w:right w:val="nil"/>
            </w:tcBorders>
            <w:vAlign w:val="center"/>
          </w:tcPr>
          <w:p w14:paraId="7D4988F7" w14:textId="77777777" w:rsidR="00F42DEB" w:rsidRPr="00D01851" w:rsidRDefault="00F42DEB" w:rsidP="00C660A4">
            <w:pPr>
              <w:jc w:val="center"/>
              <w:rPr>
                <w:rFonts w:ascii="Arial" w:hAnsi="Arial" w:cs="Arial"/>
                <w:sz w:val="20"/>
              </w:rPr>
            </w:pPr>
            <w:r w:rsidRPr="00D01851">
              <w:rPr>
                <w:rFonts w:ascii="Arial" w:hAnsi="Arial" w:cs="Arial"/>
                <w:sz w:val="20"/>
              </w:rPr>
              <w:t>Boost 2 results</w:t>
            </w:r>
            <w:r>
              <w:rPr>
                <w:rFonts w:ascii="Arial" w:hAnsi="Arial" w:cs="Arial"/>
                <w:sz w:val="20"/>
              </w:rPr>
              <w:t xml:space="preserve"> after 11 weeks</w:t>
            </w:r>
            <w:r w:rsidRPr="00D01851">
              <w:rPr>
                <w:rFonts w:ascii="Arial" w:hAnsi="Arial" w:cs="Arial"/>
                <w:sz w:val="20"/>
              </w:rPr>
              <w:t xml:space="preserve"> </w:t>
            </w:r>
            <w:r>
              <w:rPr>
                <w:rFonts w:ascii="Arial" w:hAnsi="Arial" w:cs="Arial"/>
                <w:sz w:val="20"/>
              </w:rPr>
              <w:t>(</w:t>
            </w:r>
            <w:r w:rsidRPr="00D01851">
              <w:rPr>
                <w:rFonts w:ascii="Arial" w:hAnsi="Arial" w:cs="Arial"/>
                <w:sz w:val="20"/>
              </w:rPr>
              <w:t>as of as of 9/7/2016</w:t>
            </w:r>
            <w:r>
              <w:rPr>
                <w:rFonts w:ascii="Arial" w:hAnsi="Arial" w:cs="Arial"/>
                <w:sz w:val="20"/>
              </w:rPr>
              <w:t>)</w:t>
            </w:r>
          </w:p>
        </w:tc>
        <w:tc>
          <w:tcPr>
            <w:tcW w:w="265" w:type="pct"/>
            <w:tcBorders>
              <w:top w:val="single" w:sz="12" w:space="0" w:color="auto"/>
              <w:left w:val="nil"/>
              <w:bottom w:val="single" w:sz="4" w:space="0" w:color="auto"/>
              <w:right w:val="nil"/>
            </w:tcBorders>
          </w:tcPr>
          <w:p w14:paraId="091862DF" w14:textId="77777777" w:rsidR="00F42DEB" w:rsidRPr="006A406E" w:rsidRDefault="00F42DEB" w:rsidP="00C660A4">
            <w:pPr>
              <w:jc w:val="center"/>
              <w:rPr>
                <w:rFonts w:ascii="Arial" w:hAnsi="Arial" w:cs="Arial"/>
                <w:sz w:val="20"/>
              </w:rPr>
            </w:pPr>
          </w:p>
        </w:tc>
      </w:tr>
      <w:tr w:rsidR="00F42DEB" w:rsidRPr="006A406E" w14:paraId="7575F412" w14:textId="77777777" w:rsidTr="00C660A4">
        <w:trPr>
          <w:trHeight w:val="144"/>
        </w:trPr>
        <w:tc>
          <w:tcPr>
            <w:tcW w:w="625" w:type="pct"/>
            <w:tcBorders>
              <w:top w:val="nil"/>
              <w:left w:val="nil"/>
              <w:bottom w:val="nil"/>
              <w:right w:val="nil"/>
            </w:tcBorders>
            <w:shd w:val="clear" w:color="auto" w:fill="auto"/>
            <w:noWrap/>
            <w:vAlign w:val="bottom"/>
            <w:hideMark/>
          </w:tcPr>
          <w:p w14:paraId="14BF7180" w14:textId="77777777" w:rsidR="00F42DEB" w:rsidRPr="00D01851" w:rsidRDefault="00F42DEB" w:rsidP="00C660A4">
            <w:pPr>
              <w:rPr>
                <w:rFonts w:ascii="Arial" w:hAnsi="Arial" w:cs="Arial"/>
                <w:sz w:val="20"/>
              </w:rPr>
            </w:pPr>
          </w:p>
        </w:tc>
        <w:tc>
          <w:tcPr>
            <w:tcW w:w="536" w:type="pct"/>
            <w:tcBorders>
              <w:top w:val="nil"/>
              <w:left w:val="nil"/>
              <w:bottom w:val="nil"/>
              <w:right w:val="nil"/>
            </w:tcBorders>
            <w:shd w:val="clear" w:color="auto" w:fill="auto"/>
            <w:noWrap/>
            <w:vAlign w:val="bottom"/>
            <w:hideMark/>
          </w:tcPr>
          <w:p w14:paraId="0F71FA85" w14:textId="77777777" w:rsidR="00F42DEB" w:rsidRPr="00D01851" w:rsidRDefault="00F42DEB" w:rsidP="00C660A4">
            <w:pPr>
              <w:rPr>
                <w:rFonts w:ascii="Arial" w:hAnsi="Arial" w:cs="Arial"/>
                <w:sz w:val="20"/>
                <w:szCs w:val="20"/>
              </w:rPr>
            </w:pPr>
          </w:p>
        </w:tc>
        <w:tc>
          <w:tcPr>
            <w:tcW w:w="803" w:type="pct"/>
            <w:tcBorders>
              <w:top w:val="single" w:sz="4" w:space="0" w:color="auto"/>
              <w:left w:val="nil"/>
              <w:bottom w:val="single" w:sz="4" w:space="0" w:color="auto"/>
              <w:right w:val="nil"/>
            </w:tcBorders>
            <w:shd w:val="clear" w:color="auto" w:fill="auto"/>
            <w:noWrap/>
            <w:vAlign w:val="bottom"/>
            <w:hideMark/>
          </w:tcPr>
          <w:p w14:paraId="22A46A94" w14:textId="77777777" w:rsidR="00F42DEB" w:rsidRPr="00D01851" w:rsidRDefault="00F42DEB" w:rsidP="00C660A4">
            <w:pPr>
              <w:jc w:val="center"/>
              <w:rPr>
                <w:rFonts w:ascii="Arial" w:hAnsi="Arial" w:cs="Arial"/>
                <w:sz w:val="20"/>
                <w:szCs w:val="20"/>
              </w:rPr>
            </w:pPr>
            <w:r w:rsidRPr="00D01851">
              <w:rPr>
                <w:rFonts w:ascii="Arial" w:hAnsi="Arial" w:cs="Arial"/>
                <w:sz w:val="20"/>
              </w:rPr>
              <w:t>Number of respondents</w:t>
            </w:r>
          </w:p>
        </w:tc>
        <w:tc>
          <w:tcPr>
            <w:tcW w:w="849" w:type="pct"/>
            <w:tcBorders>
              <w:top w:val="single" w:sz="4" w:space="0" w:color="auto"/>
              <w:left w:val="nil"/>
              <w:bottom w:val="single" w:sz="4" w:space="0" w:color="auto"/>
              <w:right w:val="nil"/>
            </w:tcBorders>
            <w:shd w:val="clear" w:color="auto" w:fill="auto"/>
            <w:noWrap/>
            <w:vAlign w:val="bottom"/>
            <w:hideMark/>
          </w:tcPr>
          <w:p w14:paraId="18997454"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Response rate (%)</w:t>
            </w:r>
          </w:p>
        </w:tc>
        <w:tc>
          <w:tcPr>
            <w:tcW w:w="180" w:type="pct"/>
            <w:tcBorders>
              <w:left w:val="nil"/>
              <w:right w:val="nil"/>
            </w:tcBorders>
          </w:tcPr>
          <w:p w14:paraId="521075B5" w14:textId="77777777" w:rsidR="00F42DEB" w:rsidRPr="00D01851" w:rsidRDefault="00F42DEB" w:rsidP="00C660A4">
            <w:pPr>
              <w:jc w:val="center"/>
              <w:rPr>
                <w:rFonts w:ascii="Arial" w:hAnsi="Arial" w:cs="Arial"/>
                <w:sz w:val="20"/>
              </w:rPr>
            </w:pPr>
          </w:p>
        </w:tc>
        <w:tc>
          <w:tcPr>
            <w:tcW w:w="847" w:type="pct"/>
            <w:tcBorders>
              <w:top w:val="single" w:sz="4" w:space="0" w:color="auto"/>
              <w:left w:val="nil"/>
              <w:bottom w:val="single" w:sz="4" w:space="0" w:color="auto"/>
              <w:right w:val="nil"/>
            </w:tcBorders>
            <w:vAlign w:val="bottom"/>
          </w:tcPr>
          <w:p w14:paraId="5C808DA0" w14:textId="77777777" w:rsidR="00F42DEB" w:rsidRPr="00D01851" w:rsidRDefault="00F42DEB" w:rsidP="00C660A4">
            <w:pPr>
              <w:jc w:val="center"/>
              <w:rPr>
                <w:rFonts w:ascii="Arial" w:hAnsi="Arial" w:cs="Arial"/>
                <w:sz w:val="20"/>
                <w:szCs w:val="20"/>
              </w:rPr>
            </w:pPr>
            <w:r w:rsidRPr="00D01851">
              <w:rPr>
                <w:rFonts w:ascii="Arial" w:hAnsi="Arial" w:cs="Arial"/>
                <w:sz w:val="20"/>
              </w:rPr>
              <w:t>Number of respondents</w:t>
            </w:r>
          </w:p>
        </w:tc>
        <w:tc>
          <w:tcPr>
            <w:tcW w:w="895" w:type="pct"/>
            <w:tcBorders>
              <w:top w:val="single" w:sz="4" w:space="0" w:color="auto"/>
              <w:left w:val="nil"/>
              <w:bottom w:val="single" w:sz="4" w:space="0" w:color="auto"/>
              <w:right w:val="nil"/>
            </w:tcBorders>
            <w:vAlign w:val="bottom"/>
          </w:tcPr>
          <w:p w14:paraId="4AC60A0B"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Response rate (%)</w:t>
            </w:r>
          </w:p>
        </w:tc>
        <w:tc>
          <w:tcPr>
            <w:tcW w:w="265" w:type="pct"/>
            <w:tcBorders>
              <w:top w:val="single" w:sz="4" w:space="0" w:color="auto"/>
              <w:left w:val="nil"/>
              <w:bottom w:val="single" w:sz="4" w:space="0" w:color="auto"/>
              <w:right w:val="nil"/>
            </w:tcBorders>
          </w:tcPr>
          <w:p w14:paraId="2A7C1673" w14:textId="77777777" w:rsidR="00F42DEB" w:rsidRPr="006A406E" w:rsidRDefault="00F42DEB" w:rsidP="00C660A4">
            <w:pPr>
              <w:jc w:val="center"/>
              <w:rPr>
                <w:rFonts w:ascii="Arial" w:hAnsi="Arial" w:cs="Arial"/>
                <w:sz w:val="20"/>
                <w:szCs w:val="20"/>
              </w:rPr>
            </w:pPr>
          </w:p>
        </w:tc>
      </w:tr>
      <w:tr w:rsidR="00F42DEB" w:rsidRPr="006A406E" w14:paraId="334E219A" w14:textId="77777777" w:rsidTr="00C660A4">
        <w:trPr>
          <w:trHeight w:val="300"/>
        </w:trPr>
        <w:tc>
          <w:tcPr>
            <w:tcW w:w="625" w:type="pct"/>
            <w:tcBorders>
              <w:top w:val="nil"/>
              <w:left w:val="nil"/>
              <w:bottom w:val="nil"/>
              <w:right w:val="nil"/>
            </w:tcBorders>
            <w:shd w:val="clear" w:color="auto" w:fill="auto"/>
            <w:noWrap/>
            <w:vAlign w:val="center"/>
            <w:hideMark/>
          </w:tcPr>
          <w:p w14:paraId="49213C84" w14:textId="77777777" w:rsidR="00F42DEB" w:rsidRPr="00D01851" w:rsidRDefault="00F42DEB" w:rsidP="00C660A4">
            <w:pPr>
              <w:spacing w:beforeLines="60" w:before="144"/>
              <w:jc w:val="right"/>
              <w:rPr>
                <w:rFonts w:ascii="Arial" w:hAnsi="Arial" w:cs="Arial"/>
                <w:sz w:val="20"/>
              </w:rPr>
            </w:pPr>
            <w:r w:rsidRPr="00D01851">
              <w:rPr>
                <w:rFonts w:ascii="Arial" w:hAnsi="Arial" w:cs="Arial"/>
                <w:sz w:val="20"/>
              </w:rPr>
              <w:t xml:space="preserve">$10 </w:t>
            </w:r>
          </w:p>
        </w:tc>
        <w:tc>
          <w:tcPr>
            <w:tcW w:w="536" w:type="pct"/>
            <w:tcBorders>
              <w:top w:val="nil"/>
              <w:left w:val="nil"/>
              <w:bottom w:val="nil"/>
              <w:right w:val="nil"/>
            </w:tcBorders>
            <w:shd w:val="clear" w:color="auto" w:fill="auto"/>
            <w:noWrap/>
            <w:vAlign w:val="center"/>
            <w:hideMark/>
          </w:tcPr>
          <w:p w14:paraId="1B1B7609" w14:textId="77777777" w:rsidR="00F42DEB" w:rsidRPr="00D01851" w:rsidRDefault="00F42DEB" w:rsidP="00C660A4">
            <w:pPr>
              <w:spacing w:beforeLines="60" w:before="144"/>
              <w:jc w:val="right"/>
              <w:rPr>
                <w:rFonts w:ascii="Arial" w:hAnsi="Arial" w:cs="Arial"/>
                <w:sz w:val="20"/>
              </w:rPr>
            </w:pPr>
            <w:r>
              <w:rPr>
                <w:rFonts w:ascii="Arial" w:hAnsi="Arial" w:cs="Arial"/>
                <w:sz w:val="20"/>
              </w:rPr>
              <w:t>285</w:t>
            </w:r>
          </w:p>
        </w:tc>
        <w:tc>
          <w:tcPr>
            <w:tcW w:w="803" w:type="pct"/>
            <w:tcBorders>
              <w:top w:val="single" w:sz="4" w:space="0" w:color="auto"/>
              <w:left w:val="nil"/>
              <w:bottom w:val="nil"/>
              <w:right w:val="nil"/>
            </w:tcBorders>
            <w:shd w:val="clear" w:color="auto" w:fill="auto"/>
            <w:noWrap/>
            <w:vAlign w:val="center"/>
          </w:tcPr>
          <w:p w14:paraId="078C0832" w14:textId="77777777" w:rsidR="00F42DEB" w:rsidRPr="00D01851" w:rsidRDefault="00F42DEB" w:rsidP="00C660A4">
            <w:pPr>
              <w:spacing w:beforeLines="60" w:before="144"/>
              <w:jc w:val="right"/>
              <w:rPr>
                <w:rFonts w:ascii="Arial" w:hAnsi="Arial" w:cs="Arial"/>
                <w:sz w:val="20"/>
              </w:rPr>
            </w:pPr>
            <w:r>
              <w:rPr>
                <w:rFonts w:ascii="Arial" w:hAnsi="Arial" w:cs="Arial"/>
                <w:sz w:val="20"/>
              </w:rPr>
              <w:t>17</w:t>
            </w:r>
          </w:p>
        </w:tc>
        <w:tc>
          <w:tcPr>
            <w:tcW w:w="849" w:type="pct"/>
            <w:tcBorders>
              <w:top w:val="single" w:sz="4" w:space="0" w:color="auto"/>
              <w:left w:val="nil"/>
              <w:bottom w:val="nil"/>
              <w:right w:val="nil"/>
            </w:tcBorders>
            <w:shd w:val="clear" w:color="auto" w:fill="auto"/>
            <w:noWrap/>
            <w:vAlign w:val="bottom"/>
          </w:tcPr>
          <w:p w14:paraId="2223203C" w14:textId="77777777" w:rsidR="00F42DEB" w:rsidRPr="00D01851" w:rsidRDefault="00F42DEB" w:rsidP="00C660A4">
            <w:pPr>
              <w:spacing w:beforeLines="60" w:before="144"/>
              <w:jc w:val="right"/>
              <w:rPr>
                <w:rFonts w:ascii="Arial" w:hAnsi="Arial" w:cs="Arial"/>
                <w:sz w:val="20"/>
              </w:rPr>
            </w:pPr>
            <w:r>
              <w:rPr>
                <w:rFonts w:ascii="Arial" w:hAnsi="Arial" w:cs="Arial"/>
                <w:sz w:val="20"/>
              </w:rPr>
              <w:t>6.0</w:t>
            </w:r>
          </w:p>
        </w:tc>
        <w:tc>
          <w:tcPr>
            <w:tcW w:w="180" w:type="pct"/>
            <w:tcBorders>
              <w:left w:val="nil"/>
              <w:bottom w:val="nil"/>
              <w:right w:val="nil"/>
            </w:tcBorders>
          </w:tcPr>
          <w:p w14:paraId="38986EDF" w14:textId="77777777" w:rsidR="00F42DEB" w:rsidRPr="00D01851" w:rsidRDefault="00F42DEB" w:rsidP="00C660A4">
            <w:pPr>
              <w:spacing w:beforeLines="60" w:before="144"/>
              <w:jc w:val="right"/>
              <w:rPr>
                <w:rFonts w:ascii="Arial" w:hAnsi="Arial" w:cs="Arial"/>
                <w:sz w:val="20"/>
              </w:rPr>
            </w:pPr>
          </w:p>
        </w:tc>
        <w:tc>
          <w:tcPr>
            <w:tcW w:w="847" w:type="pct"/>
            <w:tcBorders>
              <w:top w:val="single" w:sz="4" w:space="0" w:color="auto"/>
              <w:left w:val="nil"/>
              <w:bottom w:val="nil"/>
              <w:right w:val="nil"/>
            </w:tcBorders>
            <w:vAlign w:val="center"/>
          </w:tcPr>
          <w:p w14:paraId="4AE22904" w14:textId="77777777" w:rsidR="00F42DEB" w:rsidRPr="00D01851" w:rsidRDefault="00F42DEB" w:rsidP="00C660A4">
            <w:pPr>
              <w:spacing w:beforeLines="60" w:before="144"/>
              <w:jc w:val="right"/>
              <w:rPr>
                <w:rFonts w:ascii="Arial" w:hAnsi="Arial" w:cs="Arial"/>
                <w:sz w:val="20"/>
              </w:rPr>
            </w:pPr>
            <w:r>
              <w:rPr>
                <w:rFonts w:ascii="Arial" w:hAnsi="Arial" w:cs="Arial"/>
                <w:sz w:val="20"/>
              </w:rPr>
              <w:t>30</w:t>
            </w:r>
          </w:p>
        </w:tc>
        <w:tc>
          <w:tcPr>
            <w:tcW w:w="895" w:type="pct"/>
            <w:tcBorders>
              <w:top w:val="single" w:sz="4" w:space="0" w:color="auto"/>
              <w:left w:val="nil"/>
              <w:bottom w:val="nil"/>
              <w:right w:val="nil"/>
            </w:tcBorders>
            <w:vAlign w:val="bottom"/>
          </w:tcPr>
          <w:p w14:paraId="614C6DA5" w14:textId="77777777" w:rsidR="00F42DEB" w:rsidRPr="00D01851" w:rsidRDefault="00F42DEB" w:rsidP="00C660A4">
            <w:pPr>
              <w:spacing w:beforeLines="60" w:before="144"/>
              <w:jc w:val="right"/>
              <w:rPr>
                <w:rFonts w:ascii="Arial" w:hAnsi="Arial" w:cs="Arial"/>
                <w:sz w:val="20"/>
              </w:rPr>
            </w:pPr>
            <w:r>
              <w:rPr>
                <w:rFonts w:ascii="Arial" w:hAnsi="Arial" w:cs="Arial"/>
                <w:sz w:val="20"/>
              </w:rPr>
              <w:t>10.5</w:t>
            </w:r>
          </w:p>
        </w:tc>
        <w:tc>
          <w:tcPr>
            <w:tcW w:w="265" w:type="pct"/>
            <w:tcBorders>
              <w:top w:val="single" w:sz="4" w:space="0" w:color="auto"/>
              <w:left w:val="nil"/>
              <w:bottom w:val="nil"/>
              <w:right w:val="nil"/>
            </w:tcBorders>
          </w:tcPr>
          <w:p w14:paraId="4C17420F" w14:textId="77777777" w:rsidR="00F42DEB" w:rsidRPr="006A406E" w:rsidRDefault="00F42DEB" w:rsidP="00C660A4">
            <w:pPr>
              <w:spacing w:beforeLines="60" w:before="144"/>
              <w:jc w:val="right"/>
              <w:rPr>
                <w:rFonts w:ascii="Arial" w:hAnsi="Arial" w:cs="Arial"/>
                <w:sz w:val="20"/>
              </w:rPr>
            </w:pPr>
          </w:p>
        </w:tc>
      </w:tr>
      <w:tr w:rsidR="00F42DEB" w:rsidRPr="006A406E" w14:paraId="1D601E7C" w14:textId="77777777" w:rsidTr="00C660A4">
        <w:trPr>
          <w:trHeight w:val="300"/>
        </w:trPr>
        <w:tc>
          <w:tcPr>
            <w:tcW w:w="625" w:type="pct"/>
            <w:tcBorders>
              <w:top w:val="nil"/>
              <w:left w:val="nil"/>
              <w:bottom w:val="nil"/>
              <w:right w:val="nil"/>
            </w:tcBorders>
            <w:shd w:val="clear" w:color="auto" w:fill="auto"/>
            <w:noWrap/>
            <w:vAlign w:val="center"/>
            <w:hideMark/>
          </w:tcPr>
          <w:p w14:paraId="576BD6DA" w14:textId="77777777" w:rsidR="00F42DEB" w:rsidRPr="00D01851" w:rsidRDefault="00F42DEB" w:rsidP="00C660A4">
            <w:pPr>
              <w:spacing w:beforeLines="60" w:before="144"/>
              <w:jc w:val="right"/>
              <w:rPr>
                <w:rFonts w:ascii="Arial" w:hAnsi="Arial" w:cs="Arial"/>
                <w:sz w:val="20"/>
              </w:rPr>
            </w:pPr>
            <w:r w:rsidRPr="00D01851">
              <w:rPr>
                <w:rFonts w:ascii="Arial" w:hAnsi="Arial" w:cs="Arial"/>
                <w:sz w:val="20"/>
              </w:rPr>
              <w:t xml:space="preserve">$20 </w:t>
            </w:r>
          </w:p>
        </w:tc>
        <w:tc>
          <w:tcPr>
            <w:tcW w:w="536" w:type="pct"/>
            <w:tcBorders>
              <w:top w:val="nil"/>
              <w:left w:val="nil"/>
              <w:bottom w:val="nil"/>
              <w:right w:val="nil"/>
            </w:tcBorders>
            <w:shd w:val="clear" w:color="auto" w:fill="auto"/>
            <w:noWrap/>
            <w:vAlign w:val="center"/>
            <w:hideMark/>
          </w:tcPr>
          <w:p w14:paraId="5F1E5517" w14:textId="77777777" w:rsidR="00F42DEB" w:rsidRPr="00D01851" w:rsidRDefault="00F42DEB" w:rsidP="00C660A4">
            <w:pPr>
              <w:spacing w:beforeLines="60" w:before="144"/>
              <w:jc w:val="right"/>
              <w:rPr>
                <w:rFonts w:ascii="Arial" w:hAnsi="Arial" w:cs="Arial"/>
                <w:sz w:val="20"/>
              </w:rPr>
            </w:pPr>
            <w:r>
              <w:rPr>
                <w:rFonts w:ascii="Arial" w:hAnsi="Arial" w:cs="Arial"/>
                <w:sz w:val="20"/>
              </w:rPr>
              <w:t>288</w:t>
            </w:r>
          </w:p>
        </w:tc>
        <w:tc>
          <w:tcPr>
            <w:tcW w:w="803" w:type="pct"/>
            <w:tcBorders>
              <w:top w:val="nil"/>
              <w:left w:val="nil"/>
              <w:bottom w:val="nil"/>
              <w:right w:val="nil"/>
            </w:tcBorders>
            <w:shd w:val="clear" w:color="auto" w:fill="auto"/>
            <w:noWrap/>
            <w:vAlign w:val="center"/>
          </w:tcPr>
          <w:p w14:paraId="29B342C7" w14:textId="77777777" w:rsidR="00F42DEB" w:rsidRPr="00D01851" w:rsidRDefault="00F42DEB" w:rsidP="00C660A4">
            <w:pPr>
              <w:spacing w:beforeLines="60" w:before="144"/>
              <w:jc w:val="right"/>
              <w:rPr>
                <w:rFonts w:ascii="Arial" w:hAnsi="Arial" w:cs="Arial"/>
                <w:sz w:val="20"/>
              </w:rPr>
            </w:pPr>
            <w:r>
              <w:rPr>
                <w:rFonts w:ascii="Arial" w:hAnsi="Arial" w:cs="Arial"/>
                <w:sz w:val="20"/>
              </w:rPr>
              <w:t>1</w:t>
            </w:r>
            <w:r w:rsidRPr="00D01851">
              <w:rPr>
                <w:rFonts w:ascii="Arial" w:hAnsi="Arial" w:cs="Arial"/>
                <w:sz w:val="20"/>
              </w:rPr>
              <w:t>9</w:t>
            </w:r>
          </w:p>
        </w:tc>
        <w:tc>
          <w:tcPr>
            <w:tcW w:w="849" w:type="pct"/>
            <w:tcBorders>
              <w:top w:val="nil"/>
              <w:left w:val="nil"/>
              <w:bottom w:val="nil"/>
              <w:right w:val="nil"/>
            </w:tcBorders>
            <w:shd w:val="clear" w:color="auto" w:fill="auto"/>
            <w:noWrap/>
            <w:vAlign w:val="bottom"/>
          </w:tcPr>
          <w:p w14:paraId="5D158397" w14:textId="77777777" w:rsidR="00F42DEB" w:rsidRPr="00D01851" w:rsidRDefault="00F42DEB" w:rsidP="00C660A4">
            <w:pPr>
              <w:spacing w:beforeLines="60" w:before="144"/>
              <w:jc w:val="right"/>
              <w:rPr>
                <w:rFonts w:ascii="Arial" w:hAnsi="Arial" w:cs="Arial"/>
                <w:sz w:val="20"/>
              </w:rPr>
            </w:pPr>
            <w:r>
              <w:rPr>
                <w:rFonts w:ascii="Arial" w:hAnsi="Arial" w:cs="Arial"/>
                <w:sz w:val="20"/>
              </w:rPr>
              <w:t>6.6</w:t>
            </w:r>
          </w:p>
        </w:tc>
        <w:tc>
          <w:tcPr>
            <w:tcW w:w="180" w:type="pct"/>
            <w:tcBorders>
              <w:top w:val="nil"/>
              <w:left w:val="nil"/>
              <w:bottom w:val="nil"/>
              <w:right w:val="nil"/>
            </w:tcBorders>
          </w:tcPr>
          <w:p w14:paraId="1D6613A5" w14:textId="77777777" w:rsidR="00F42DEB" w:rsidRPr="00D01851" w:rsidRDefault="00F42DEB" w:rsidP="00C660A4">
            <w:pPr>
              <w:spacing w:beforeLines="60" w:before="144"/>
              <w:jc w:val="right"/>
              <w:rPr>
                <w:rFonts w:ascii="Arial" w:hAnsi="Arial" w:cs="Arial"/>
                <w:sz w:val="20"/>
              </w:rPr>
            </w:pPr>
          </w:p>
        </w:tc>
        <w:tc>
          <w:tcPr>
            <w:tcW w:w="847" w:type="pct"/>
            <w:tcBorders>
              <w:top w:val="nil"/>
              <w:left w:val="nil"/>
              <w:bottom w:val="nil"/>
              <w:right w:val="nil"/>
            </w:tcBorders>
            <w:vAlign w:val="center"/>
          </w:tcPr>
          <w:p w14:paraId="700C67F9" w14:textId="77777777" w:rsidR="00F42DEB" w:rsidRPr="00D01851" w:rsidRDefault="00F42DEB" w:rsidP="00C660A4">
            <w:pPr>
              <w:spacing w:beforeLines="60" w:before="144"/>
              <w:jc w:val="right"/>
              <w:rPr>
                <w:rFonts w:ascii="Arial" w:hAnsi="Arial" w:cs="Arial"/>
                <w:sz w:val="20"/>
              </w:rPr>
            </w:pPr>
            <w:r>
              <w:rPr>
                <w:rFonts w:ascii="Arial" w:hAnsi="Arial" w:cs="Arial"/>
                <w:sz w:val="20"/>
              </w:rPr>
              <w:t>49</w:t>
            </w:r>
          </w:p>
        </w:tc>
        <w:tc>
          <w:tcPr>
            <w:tcW w:w="895" w:type="pct"/>
            <w:tcBorders>
              <w:top w:val="nil"/>
              <w:left w:val="nil"/>
              <w:bottom w:val="nil"/>
              <w:right w:val="nil"/>
            </w:tcBorders>
            <w:vAlign w:val="bottom"/>
          </w:tcPr>
          <w:p w14:paraId="26FD9CCA" w14:textId="77777777" w:rsidR="00F42DEB" w:rsidRPr="00D01851" w:rsidRDefault="00F42DEB" w:rsidP="00C660A4">
            <w:pPr>
              <w:spacing w:beforeLines="60" w:before="144"/>
              <w:jc w:val="right"/>
              <w:rPr>
                <w:rFonts w:ascii="Arial" w:hAnsi="Arial" w:cs="Arial"/>
                <w:sz w:val="20"/>
              </w:rPr>
            </w:pPr>
            <w:r>
              <w:rPr>
                <w:rFonts w:ascii="Arial" w:hAnsi="Arial" w:cs="Arial"/>
                <w:sz w:val="20"/>
              </w:rPr>
              <w:t>17.0</w:t>
            </w:r>
          </w:p>
        </w:tc>
        <w:tc>
          <w:tcPr>
            <w:tcW w:w="265" w:type="pct"/>
            <w:tcBorders>
              <w:top w:val="nil"/>
              <w:left w:val="nil"/>
              <w:bottom w:val="nil"/>
              <w:right w:val="nil"/>
            </w:tcBorders>
          </w:tcPr>
          <w:p w14:paraId="6A74C96C" w14:textId="77777777" w:rsidR="00F42DEB" w:rsidRPr="006A406E" w:rsidRDefault="00F42DEB" w:rsidP="00C660A4">
            <w:pPr>
              <w:spacing w:beforeLines="60" w:before="144"/>
              <w:rPr>
                <w:rFonts w:ascii="Arial" w:hAnsi="Arial" w:cs="Arial"/>
                <w:sz w:val="20"/>
              </w:rPr>
            </w:pPr>
            <w:r w:rsidRPr="00D75C53">
              <w:rPr>
                <w:rFonts w:ascii="Arial" w:hAnsi="Arial" w:cs="Arial"/>
                <w:sz w:val="18"/>
              </w:rPr>
              <w:t>***</w:t>
            </w:r>
          </w:p>
        </w:tc>
      </w:tr>
      <w:tr w:rsidR="00F42DEB" w:rsidRPr="006A406E" w14:paraId="75D51B3A" w14:textId="77777777" w:rsidTr="00C660A4">
        <w:trPr>
          <w:trHeight w:val="315"/>
        </w:trPr>
        <w:tc>
          <w:tcPr>
            <w:tcW w:w="625" w:type="pct"/>
            <w:tcBorders>
              <w:top w:val="nil"/>
              <w:left w:val="nil"/>
              <w:bottom w:val="single" w:sz="12" w:space="0" w:color="auto"/>
              <w:right w:val="nil"/>
            </w:tcBorders>
            <w:shd w:val="clear" w:color="auto" w:fill="auto"/>
            <w:noWrap/>
            <w:vAlign w:val="center"/>
            <w:hideMark/>
          </w:tcPr>
          <w:p w14:paraId="0B7E4441" w14:textId="77777777" w:rsidR="00F42DEB" w:rsidRPr="00D01851" w:rsidRDefault="00F42DEB" w:rsidP="00C660A4">
            <w:pPr>
              <w:spacing w:beforeLines="60" w:before="144"/>
              <w:rPr>
                <w:rFonts w:ascii="Arial" w:hAnsi="Arial" w:cs="Arial"/>
                <w:sz w:val="20"/>
              </w:rPr>
            </w:pPr>
            <w:r w:rsidRPr="00D01851">
              <w:rPr>
                <w:rFonts w:ascii="Arial" w:hAnsi="Arial" w:cs="Arial"/>
                <w:sz w:val="20"/>
              </w:rPr>
              <w:t>Total</w:t>
            </w:r>
          </w:p>
        </w:tc>
        <w:tc>
          <w:tcPr>
            <w:tcW w:w="536" w:type="pct"/>
            <w:tcBorders>
              <w:top w:val="nil"/>
              <w:left w:val="nil"/>
              <w:bottom w:val="single" w:sz="12" w:space="0" w:color="auto"/>
              <w:right w:val="nil"/>
            </w:tcBorders>
            <w:shd w:val="clear" w:color="auto" w:fill="auto"/>
            <w:noWrap/>
            <w:vAlign w:val="center"/>
            <w:hideMark/>
          </w:tcPr>
          <w:p w14:paraId="060D36DA" w14:textId="77777777" w:rsidR="00F42DEB" w:rsidRPr="00D01851" w:rsidRDefault="00F42DEB" w:rsidP="00C660A4">
            <w:pPr>
              <w:spacing w:beforeLines="60" w:before="144"/>
              <w:jc w:val="right"/>
              <w:rPr>
                <w:rFonts w:ascii="Arial" w:hAnsi="Arial" w:cs="Arial"/>
                <w:sz w:val="20"/>
              </w:rPr>
            </w:pPr>
            <w:r>
              <w:rPr>
                <w:rFonts w:ascii="Arial" w:hAnsi="Arial" w:cs="Arial"/>
                <w:sz w:val="20"/>
              </w:rPr>
              <w:t>573</w:t>
            </w:r>
          </w:p>
        </w:tc>
        <w:tc>
          <w:tcPr>
            <w:tcW w:w="803" w:type="pct"/>
            <w:tcBorders>
              <w:top w:val="nil"/>
              <w:left w:val="nil"/>
              <w:bottom w:val="single" w:sz="12" w:space="0" w:color="auto"/>
              <w:right w:val="nil"/>
            </w:tcBorders>
            <w:shd w:val="clear" w:color="auto" w:fill="auto"/>
            <w:noWrap/>
            <w:vAlign w:val="center"/>
            <w:hideMark/>
          </w:tcPr>
          <w:p w14:paraId="43FDF661" w14:textId="77777777" w:rsidR="00F42DEB" w:rsidRPr="00D01851" w:rsidRDefault="00F42DEB" w:rsidP="00C660A4">
            <w:pPr>
              <w:spacing w:beforeLines="60" w:before="144"/>
              <w:jc w:val="right"/>
              <w:rPr>
                <w:rFonts w:ascii="Arial" w:hAnsi="Arial" w:cs="Arial"/>
                <w:sz w:val="20"/>
              </w:rPr>
            </w:pPr>
            <w:r>
              <w:rPr>
                <w:rFonts w:ascii="Arial" w:hAnsi="Arial" w:cs="Arial"/>
                <w:sz w:val="20"/>
              </w:rPr>
              <w:t>36</w:t>
            </w:r>
          </w:p>
        </w:tc>
        <w:tc>
          <w:tcPr>
            <w:tcW w:w="849" w:type="pct"/>
            <w:tcBorders>
              <w:top w:val="nil"/>
              <w:left w:val="nil"/>
              <w:bottom w:val="single" w:sz="12" w:space="0" w:color="auto"/>
              <w:right w:val="nil"/>
            </w:tcBorders>
            <w:shd w:val="clear" w:color="auto" w:fill="auto"/>
            <w:noWrap/>
            <w:vAlign w:val="center"/>
            <w:hideMark/>
          </w:tcPr>
          <w:p w14:paraId="00E1AF06" w14:textId="77777777" w:rsidR="00F42DEB" w:rsidRPr="00D01851" w:rsidRDefault="00F42DEB" w:rsidP="00C660A4">
            <w:pPr>
              <w:spacing w:beforeLines="60" w:before="144"/>
              <w:jc w:val="right"/>
              <w:rPr>
                <w:rFonts w:ascii="Arial" w:hAnsi="Arial" w:cs="Arial"/>
                <w:sz w:val="20"/>
              </w:rPr>
            </w:pPr>
            <w:r>
              <w:rPr>
                <w:rFonts w:ascii="Arial" w:hAnsi="Arial" w:cs="Arial"/>
                <w:sz w:val="20"/>
              </w:rPr>
              <w:t>6.3</w:t>
            </w:r>
          </w:p>
        </w:tc>
        <w:tc>
          <w:tcPr>
            <w:tcW w:w="180" w:type="pct"/>
            <w:tcBorders>
              <w:top w:val="nil"/>
              <w:left w:val="nil"/>
              <w:bottom w:val="single" w:sz="12" w:space="0" w:color="auto"/>
              <w:right w:val="nil"/>
            </w:tcBorders>
          </w:tcPr>
          <w:p w14:paraId="6D042D1A" w14:textId="77777777" w:rsidR="00F42DEB" w:rsidRPr="00D01851" w:rsidRDefault="00F42DEB" w:rsidP="00C660A4">
            <w:pPr>
              <w:spacing w:beforeLines="60" w:before="144"/>
              <w:jc w:val="right"/>
              <w:rPr>
                <w:rFonts w:ascii="Arial" w:hAnsi="Arial" w:cs="Arial"/>
                <w:sz w:val="20"/>
              </w:rPr>
            </w:pPr>
          </w:p>
        </w:tc>
        <w:tc>
          <w:tcPr>
            <w:tcW w:w="847" w:type="pct"/>
            <w:tcBorders>
              <w:top w:val="nil"/>
              <w:left w:val="nil"/>
              <w:bottom w:val="single" w:sz="12" w:space="0" w:color="auto"/>
              <w:right w:val="nil"/>
            </w:tcBorders>
          </w:tcPr>
          <w:p w14:paraId="544339ED" w14:textId="77777777" w:rsidR="00F42DEB" w:rsidRPr="00D01851" w:rsidRDefault="00F42DEB" w:rsidP="00C660A4">
            <w:pPr>
              <w:spacing w:beforeLines="60" w:before="144"/>
              <w:jc w:val="right"/>
              <w:rPr>
                <w:rFonts w:ascii="Arial" w:hAnsi="Arial" w:cs="Arial"/>
                <w:sz w:val="20"/>
              </w:rPr>
            </w:pPr>
            <w:r>
              <w:rPr>
                <w:rFonts w:ascii="Arial" w:hAnsi="Arial" w:cs="Arial"/>
                <w:sz w:val="20"/>
              </w:rPr>
              <w:t>79</w:t>
            </w:r>
          </w:p>
        </w:tc>
        <w:tc>
          <w:tcPr>
            <w:tcW w:w="895" w:type="pct"/>
            <w:tcBorders>
              <w:top w:val="nil"/>
              <w:left w:val="nil"/>
              <w:bottom w:val="single" w:sz="12" w:space="0" w:color="auto"/>
              <w:right w:val="nil"/>
            </w:tcBorders>
          </w:tcPr>
          <w:p w14:paraId="32122BAA" w14:textId="77777777" w:rsidR="00F42DEB" w:rsidRPr="00D01851" w:rsidRDefault="00F42DEB" w:rsidP="00C660A4">
            <w:pPr>
              <w:spacing w:beforeLines="60" w:before="144"/>
              <w:jc w:val="right"/>
              <w:rPr>
                <w:rFonts w:ascii="Arial" w:hAnsi="Arial" w:cs="Arial"/>
                <w:sz w:val="20"/>
              </w:rPr>
            </w:pPr>
            <w:r>
              <w:rPr>
                <w:rFonts w:ascii="Arial" w:hAnsi="Arial" w:cs="Arial"/>
                <w:sz w:val="20"/>
              </w:rPr>
              <w:t>13.8</w:t>
            </w:r>
          </w:p>
        </w:tc>
        <w:tc>
          <w:tcPr>
            <w:tcW w:w="265" w:type="pct"/>
            <w:tcBorders>
              <w:top w:val="nil"/>
              <w:left w:val="nil"/>
              <w:bottom w:val="single" w:sz="12" w:space="0" w:color="auto"/>
              <w:right w:val="nil"/>
            </w:tcBorders>
          </w:tcPr>
          <w:p w14:paraId="7E21E82E" w14:textId="77777777" w:rsidR="00F42DEB" w:rsidRPr="006A406E" w:rsidRDefault="00F42DEB" w:rsidP="00C660A4">
            <w:pPr>
              <w:spacing w:beforeLines="60" w:before="144"/>
              <w:jc w:val="right"/>
              <w:rPr>
                <w:rFonts w:ascii="Arial" w:hAnsi="Arial" w:cs="Arial"/>
                <w:sz w:val="20"/>
              </w:rPr>
            </w:pPr>
          </w:p>
        </w:tc>
      </w:tr>
    </w:tbl>
    <w:p w14:paraId="0B827D47" w14:textId="77777777" w:rsidR="00F42DEB" w:rsidRPr="00A2357D" w:rsidRDefault="00F42DEB" w:rsidP="00F42DEB">
      <w:pPr>
        <w:rPr>
          <w:rFonts w:ascii="Arial" w:hAnsi="Arial"/>
          <w:sz w:val="16"/>
        </w:rPr>
      </w:pPr>
      <w:r>
        <w:rPr>
          <w:rFonts w:ascii="Arial" w:hAnsi="Arial"/>
          <w:sz w:val="16"/>
        </w:rPr>
        <w:t xml:space="preserve">*** </w:t>
      </w:r>
      <w:proofErr w:type="gramStart"/>
      <w:r>
        <w:rPr>
          <w:rFonts w:ascii="Arial" w:hAnsi="Arial"/>
          <w:i/>
          <w:sz w:val="16"/>
        </w:rPr>
        <w:t>p</w:t>
      </w:r>
      <w:proofErr w:type="gramEnd"/>
      <w:r>
        <w:rPr>
          <w:rFonts w:ascii="Arial" w:hAnsi="Arial"/>
          <w:sz w:val="16"/>
        </w:rPr>
        <w:t xml:space="preserve"> &lt; .05</w:t>
      </w:r>
    </w:p>
    <w:p w14:paraId="280CD45A" w14:textId="77777777" w:rsidR="00F42DEB" w:rsidRPr="00D01851" w:rsidRDefault="00F42DEB" w:rsidP="00F42DEB">
      <w:r>
        <w:rPr>
          <w:rFonts w:ascii="Arial" w:hAnsi="Arial"/>
          <w:sz w:val="16"/>
        </w:rPr>
        <w:t>SOURCE: U.S. Department of Education, National Center for Education Statistics. High School Longitudinal Study of 2009 (HSLS</w:t>
      </w:r>
      <w:proofErr w:type="gramStart"/>
      <w:r>
        <w:rPr>
          <w:rFonts w:ascii="Arial" w:hAnsi="Arial"/>
          <w:sz w:val="16"/>
        </w:rPr>
        <w:t>:09</w:t>
      </w:r>
      <w:proofErr w:type="gramEnd"/>
      <w:r>
        <w:rPr>
          <w:rFonts w:ascii="Arial" w:hAnsi="Arial"/>
          <w:sz w:val="16"/>
        </w:rPr>
        <w:t>) Second Follow-up Main Study.</w:t>
      </w:r>
    </w:p>
    <w:p w14:paraId="709A7C6F" w14:textId="77777777" w:rsidR="00F42DEB" w:rsidRDefault="00F42DEB" w:rsidP="00F42DEB">
      <w:pPr>
        <w:rPr>
          <w:i/>
        </w:rPr>
      </w:pPr>
    </w:p>
    <w:p w14:paraId="71A4ACBA" w14:textId="77777777" w:rsidR="00F42DEB" w:rsidRDefault="00F42DEB" w:rsidP="00F42DEB">
      <w:pPr>
        <w:pStyle w:val="Heading1"/>
        <w:numPr>
          <w:ilvl w:val="0"/>
          <w:numId w:val="22"/>
        </w:numPr>
      </w:pPr>
      <w:r>
        <w:t xml:space="preserve">Increased incentive offer for Subgroup </w:t>
      </w:r>
      <w:proofErr w:type="gramStart"/>
      <w:r>
        <w:t>A</w:t>
      </w:r>
      <w:proofErr w:type="gramEnd"/>
      <w:r>
        <w:t xml:space="preserve"> Calibration Cases that Did Not Receive Baseline Incentive Offer</w:t>
      </w:r>
    </w:p>
    <w:p w14:paraId="3150439B" w14:textId="77777777" w:rsidR="002519C7" w:rsidRDefault="00F42DEB" w:rsidP="00F42DEB">
      <w:r w:rsidRPr="00694ECB">
        <w:t>The HSLS</w:t>
      </w:r>
      <w:proofErr w:type="gramStart"/>
      <w:r w:rsidRPr="00694ECB">
        <w:t>:09</w:t>
      </w:r>
      <w:proofErr w:type="gramEnd"/>
      <w:r w:rsidRPr="00694ECB">
        <w:t xml:space="preserve"> calibration High School Non-Completer (HSNC) subsample </w:t>
      </w:r>
      <w:r>
        <w:t>was intended to receive</w:t>
      </w:r>
      <w:r w:rsidRPr="00694ECB">
        <w:t xml:space="preserve"> a baseline incentive offer ($30, $40, or $50)</w:t>
      </w:r>
      <w:r>
        <w:t xml:space="preserve"> whereas Ultra-Cooperative (UC) calibration cases were intended not to be offered a baseline incentive. In the original selection of calibration cases, the HSNC cases and UC cases were misclassified such that 154 HSNC cases were not offered a baseline incentive while 509 UC cases were offered a baseline incentive ($30, $40, or $50). Upon discovery of this error, 509 additional HSNC and 154 additional UC cases were redrawn for the calibration sample and have been the basis for </w:t>
      </w:r>
      <w:r>
        <w:lastRenderedPageBreak/>
        <w:t xml:space="preserve">calibration sample analysis and reporting. </w:t>
      </w:r>
      <w:proofErr w:type="gramStart"/>
      <w:r>
        <w:t>Although the incorrectly-drawn HSNC and UC cases continued to be worked during the calibration study through phase 2 and through the boosts in phases 3 and 4 in their correct groups, their results were not included in the reports of the results from the calibration study.</w:t>
      </w:r>
      <w:proofErr w:type="gramEnd"/>
      <w:r>
        <w:t xml:space="preserve"> The misclassified HSNC calibration cases should have received the $40 baseline incentive for HSNC cases at the start of Phase 2 in the calibration study (even though they were no longer included in the calibration results). Now, since the $40 HSNC baseline incentive was never offered to the incorrectly-assigned HSNC cases and 111 (72.1 percent) of them have not yet responded, we request approval to add the HSNC baseline incentive to the incentive offer being made to these 111 cases. </w:t>
      </w:r>
      <w:r w:rsidRPr="00694ECB">
        <w:t xml:space="preserve">Both </w:t>
      </w:r>
      <w:r>
        <w:t xml:space="preserve">HSNC calibration </w:t>
      </w:r>
      <w:r w:rsidRPr="00694ECB">
        <w:t xml:space="preserve">groups have been offered two incentive boosts as part of responsive design phases 3 and 4. However, the total incentive offer for the incorrect group is less than the total incentive offered to the correct group ($25-$45 vs. $55-$95). After </w:t>
      </w:r>
      <w:r>
        <w:t>approximately 11 weeks</w:t>
      </w:r>
      <w:r w:rsidRPr="00694ECB">
        <w:t xml:space="preserve"> of production since the start of </w:t>
      </w:r>
      <w:r>
        <w:t>phase 4 (implementation of the second incentive boost)</w:t>
      </w:r>
      <w:r w:rsidRPr="00694ECB">
        <w:t xml:space="preserve">, the response rate for the </w:t>
      </w:r>
      <w:r>
        <w:t>calibration HSNC cases that did not receive a baseline incentive offer</w:t>
      </w:r>
      <w:r w:rsidRPr="00694ECB">
        <w:t xml:space="preserve"> (</w:t>
      </w:r>
      <w:r>
        <w:t>27.9 percent</w:t>
      </w:r>
      <w:r w:rsidRPr="00694ECB">
        <w:t xml:space="preserve">) continues to lag far behind the </w:t>
      </w:r>
      <w:r>
        <w:t>calibration HSNC cases that did</w:t>
      </w:r>
      <w:r w:rsidRPr="00694ECB">
        <w:t xml:space="preserve"> (</w:t>
      </w:r>
      <w:r>
        <w:t>47.4 percent</w:t>
      </w:r>
      <w:r w:rsidRPr="00694ECB">
        <w:t>) and the main sample HSNC</w:t>
      </w:r>
      <w:r>
        <w:t xml:space="preserve"> case</w:t>
      </w:r>
      <w:r w:rsidRPr="00694ECB">
        <w:t>s (</w:t>
      </w:r>
      <w:r>
        <w:t>42.9 percent</w:t>
      </w:r>
      <w:r w:rsidRPr="00694ECB">
        <w:t xml:space="preserve">). Table </w:t>
      </w:r>
      <w:r>
        <w:t>4</w:t>
      </w:r>
      <w:r w:rsidRPr="00694ECB">
        <w:t xml:space="preserve"> illustrates the response rates for HSNCs by subgroup. We propose to increase the incentive offered to the pending </w:t>
      </w:r>
      <w:r>
        <w:t xml:space="preserve">calibration HSNC </w:t>
      </w:r>
      <w:r w:rsidRPr="00694ECB">
        <w:t xml:space="preserve">cases </w:t>
      </w:r>
      <w:r>
        <w:t>that did not receive a baseline incentive offer</w:t>
      </w:r>
      <w:r w:rsidRPr="00694ECB">
        <w:t xml:space="preserve"> (n=</w:t>
      </w:r>
      <w:r>
        <w:t>111</w:t>
      </w:r>
      <w:r w:rsidRPr="00694ECB">
        <w:t xml:space="preserve">) </w:t>
      </w:r>
      <w:r>
        <w:t xml:space="preserve">by $40 </w:t>
      </w:r>
      <w:r w:rsidRPr="00694ECB">
        <w:t xml:space="preserve">to match the </w:t>
      </w:r>
      <w:r>
        <w:t xml:space="preserve">baseline </w:t>
      </w:r>
      <w:r w:rsidRPr="00694ECB">
        <w:t xml:space="preserve">incentive being offered to the main sample HSNCs. The rationale for increasing the incentive at this time is to </w:t>
      </w:r>
      <w:r>
        <w:t>make up for the “missed” baseline incentive offer, to encourage participation, and to reduce</w:t>
      </w:r>
      <w:r w:rsidRPr="00694ECB">
        <w:t xml:space="preserve"> the </w:t>
      </w:r>
      <w:r>
        <w:t xml:space="preserve">significant response rate </w:t>
      </w:r>
      <w:r w:rsidRPr="00694ECB">
        <w:t>gap for</w:t>
      </w:r>
      <w:r>
        <w:t xml:space="preserve"> the </w:t>
      </w:r>
      <w:r w:rsidRPr="00694ECB">
        <w:t xml:space="preserve">HSNC </w:t>
      </w:r>
      <w:r>
        <w:t>group that was not offered an incentive at baseline.</w:t>
      </w:r>
    </w:p>
    <w:p w14:paraId="281D3271" w14:textId="1FEBBA21" w:rsidR="00F42DEB" w:rsidRPr="00694ECB" w:rsidRDefault="00F42DEB" w:rsidP="00F42DEB">
      <w:pPr>
        <w:rPr>
          <w:b/>
          <w:bCs/>
        </w:rPr>
      </w:pPr>
    </w:p>
    <w:p w14:paraId="0324E123" w14:textId="77777777" w:rsidR="00F42DEB" w:rsidRPr="00694ECB" w:rsidRDefault="00F42DEB" w:rsidP="002519C7">
      <w:pPr>
        <w:ind w:left="900" w:hanging="900"/>
        <w:rPr>
          <w:b/>
          <w:bCs/>
        </w:rPr>
      </w:pPr>
      <w:proofErr w:type="gramStart"/>
      <w:r w:rsidRPr="00694ECB">
        <w:rPr>
          <w:b/>
          <w:bCs/>
        </w:rPr>
        <w:t xml:space="preserve">Table </w:t>
      </w:r>
      <w:r>
        <w:rPr>
          <w:b/>
          <w:bCs/>
        </w:rPr>
        <w:t>4</w:t>
      </w:r>
      <w:r w:rsidRPr="00694ECB">
        <w:rPr>
          <w:b/>
          <w:bCs/>
        </w:rPr>
        <w:t>.</w:t>
      </w:r>
      <w:proofErr w:type="gramEnd"/>
      <w:r w:rsidRPr="00694ECB">
        <w:rPr>
          <w:b/>
          <w:bCs/>
        </w:rPr>
        <w:t xml:space="preserve"> HSLS</w:t>
      </w:r>
      <w:proofErr w:type="gramStart"/>
      <w:r w:rsidRPr="00694ECB">
        <w:rPr>
          <w:b/>
          <w:bCs/>
        </w:rPr>
        <w:t>:09</w:t>
      </w:r>
      <w:proofErr w:type="gramEnd"/>
      <w:r w:rsidRPr="00694ECB">
        <w:rPr>
          <w:b/>
          <w:bCs/>
        </w:rPr>
        <w:t xml:space="preserve"> High School Non-Completer (HSNC) </w:t>
      </w:r>
      <w:r>
        <w:rPr>
          <w:b/>
          <w:bCs/>
        </w:rPr>
        <w:t xml:space="preserve">Calibration and Main Samples: Data Collection </w:t>
      </w:r>
      <w:r w:rsidRPr="00694ECB">
        <w:rPr>
          <w:b/>
          <w:bCs/>
        </w:rPr>
        <w:t>Results</w:t>
      </w:r>
      <w:r>
        <w:rPr>
          <w:b/>
          <w:bCs/>
        </w:rPr>
        <w:t xml:space="preserve"> as of 9/7/2016,</w:t>
      </w:r>
      <w:r w:rsidRPr="00694ECB">
        <w:rPr>
          <w:b/>
          <w:bCs/>
        </w:rPr>
        <w:t xml:space="preserve"> by </w:t>
      </w:r>
      <w:r>
        <w:rPr>
          <w:b/>
          <w:bCs/>
        </w:rPr>
        <w:t>Baseline Incentive Offer</w:t>
      </w:r>
    </w:p>
    <w:tbl>
      <w:tblPr>
        <w:tblW w:w="0" w:type="auto"/>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1796"/>
        <w:gridCol w:w="1260"/>
        <w:gridCol w:w="1151"/>
        <w:gridCol w:w="1151"/>
        <w:gridCol w:w="1482"/>
        <w:gridCol w:w="1530"/>
        <w:gridCol w:w="1620"/>
      </w:tblGrid>
      <w:tr w:rsidR="00F42DEB" w:rsidRPr="006F4ACE" w14:paraId="25FF2F29" w14:textId="77777777" w:rsidTr="00C660A4">
        <w:tc>
          <w:tcPr>
            <w:tcW w:w="1796" w:type="dxa"/>
            <w:tcBorders>
              <w:top w:val="single" w:sz="8" w:space="0" w:color="auto"/>
              <w:bottom w:val="single" w:sz="4" w:space="0" w:color="auto"/>
            </w:tcBorders>
            <w:tcMar>
              <w:top w:w="0" w:type="dxa"/>
              <w:left w:w="108" w:type="dxa"/>
              <w:bottom w:w="0" w:type="dxa"/>
              <w:right w:w="108" w:type="dxa"/>
            </w:tcMar>
            <w:hideMark/>
          </w:tcPr>
          <w:p w14:paraId="38DDA527" w14:textId="77777777" w:rsidR="00F42DEB" w:rsidRPr="00D01851" w:rsidRDefault="00F42DEB" w:rsidP="00C660A4">
            <w:pPr>
              <w:rPr>
                <w:rFonts w:ascii="Arial" w:hAnsi="Arial" w:cs="Arial"/>
                <w:b/>
                <w:bCs/>
                <w:sz w:val="20"/>
                <w:szCs w:val="20"/>
              </w:rPr>
            </w:pPr>
            <w:r w:rsidRPr="00D01851">
              <w:rPr>
                <w:rFonts w:ascii="Arial" w:hAnsi="Arial" w:cs="Arial"/>
                <w:b/>
                <w:bCs/>
                <w:sz w:val="20"/>
                <w:szCs w:val="20"/>
              </w:rPr>
              <w:t>Group</w:t>
            </w:r>
          </w:p>
        </w:tc>
        <w:tc>
          <w:tcPr>
            <w:tcW w:w="1260" w:type="dxa"/>
            <w:tcBorders>
              <w:top w:val="single" w:sz="8" w:space="0" w:color="auto"/>
              <w:bottom w:val="single" w:sz="4" w:space="0" w:color="auto"/>
            </w:tcBorders>
            <w:tcMar>
              <w:top w:w="0" w:type="dxa"/>
              <w:left w:w="108" w:type="dxa"/>
              <w:bottom w:w="0" w:type="dxa"/>
              <w:right w:w="108" w:type="dxa"/>
            </w:tcMar>
            <w:hideMark/>
          </w:tcPr>
          <w:p w14:paraId="2A158DCE" w14:textId="77777777" w:rsidR="00F42DEB" w:rsidRPr="00D01851" w:rsidRDefault="00F42DEB" w:rsidP="00C660A4">
            <w:pPr>
              <w:jc w:val="center"/>
              <w:rPr>
                <w:rFonts w:ascii="Arial" w:hAnsi="Arial" w:cs="Arial"/>
                <w:b/>
                <w:bCs/>
                <w:sz w:val="20"/>
                <w:szCs w:val="20"/>
              </w:rPr>
            </w:pPr>
            <w:r w:rsidRPr="00D01851">
              <w:rPr>
                <w:rFonts w:ascii="Arial" w:hAnsi="Arial" w:cs="Arial"/>
                <w:b/>
                <w:bCs/>
                <w:sz w:val="20"/>
                <w:szCs w:val="20"/>
              </w:rPr>
              <w:t>Baseline incentive</w:t>
            </w:r>
            <w:r>
              <w:rPr>
                <w:rFonts w:ascii="Arial" w:hAnsi="Arial" w:cs="Arial"/>
                <w:b/>
                <w:bCs/>
                <w:sz w:val="20"/>
                <w:szCs w:val="20"/>
              </w:rPr>
              <w:t xml:space="preserve"> offer</w:t>
            </w:r>
          </w:p>
        </w:tc>
        <w:tc>
          <w:tcPr>
            <w:tcW w:w="1151" w:type="dxa"/>
            <w:tcBorders>
              <w:top w:val="single" w:sz="8" w:space="0" w:color="auto"/>
              <w:bottom w:val="single" w:sz="4" w:space="0" w:color="auto"/>
            </w:tcBorders>
            <w:tcMar>
              <w:top w:w="0" w:type="dxa"/>
              <w:left w:w="108" w:type="dxa"/>
              <w:bottom w:w="0" w:type="dxa"/>
              <w:right w:w="108" w:type="dxa"/>
            </w:tcMar>
            <w:hideMark/>
          </w:tcPr>
          <w:p w14:paraId="17EDF101" w14:textId="77777777" w:rsidR="00F42DEB" w:rsidRPr="00D01851" w:rsidRDefault="00F42DEB" w:rsidP="00C660A4">
            <w:pPr>
              <w:jc w:val="center"/>
              <w:rPr>
                <w:rFonts w:ascii="Arial" w:hAnsi="Arial" w:cs="Arial"/>
                <w:b/>
                <w:bCs/>
                <w:sz w:val="20"/>
                <w:szCs w:val="20"/>
              </w:rPr>
            </w:pPr>
            <w:r w:rsidRPr="00D01851">
              <w:rPr>
                <w:rFonts w:ascii="Arial" w:hAnsi="Arial" w:cs="Arial"/>
                <w:b/>
                <w:bCs/>
                <w:sz w:val="20"/>
                <w:szCs w:val="20"/>
              </w:rPr>
              <w:t>Boost 1 offer start</w:t>
            </w:r>
          </w:p>
        </w:tc>
        <w:tc>
          <w:tcPr>
            <w:tcW w:w="1151" w:type="dxa"/>
            <w:tcBorders>
              <w:top w:val="single" w:sz="8" w:space="0" w:color="auto"/>
              <w:bottom w:val="single" w:sz="4" w:space="0" w:color="auto"/>
            </w:tcBorders>
            <w:tcMar>
              <w:top w:w="0" w:type="dxa"/>
              <w:left w:w="108" w:type="dxa"/>
              <w:bottom w:w="0" w:type="dxa"/>
              <w:right w:w="108" w:type="dxa"/>
            </w:tcMar>
            <w:hideMark/>
          </w:tcPr>
          <w:p w14:paraId="1E436CB0" w14:textId="77777777" w:rsidR="00F42DEB" w:rsidRPr="00D01851" w:rsidRDefault="00F42DEB" w:rsidP="00C660A4">
            <w:pPr>
              <w:jc w:val="center"/>
              <w:rPr>
                <w:rFonts w:ascii="Arial" w:hAnsi="Arial" w:cs="Arial"/>
                <w:b/>
                <w:bCs/>
                <w:sz w:val="20"/>
                <w:szCs w:val="20"/>
              </w:rPr>
            </w:pPr>
            <w:r w:rsidRPr="00D01851">
              <w:rPr>
                <w:rFonts w:ascii="Arial" w:hAnsi="Arial" w:cs="Arial"/>
                <w:b/>
                <w:bCs/>
                <w:sz w:val="20"/>
                <w:szCs w:val="20"/>
              </w:rPr>
              <w:t>Boost 2 offer start</w:t>
            </w:r>
          </w:p>
        </w:tc>
        <w:tc>
          <w:tcPr>
            <w:tcW w:w="1482" w:type="dxa"/>
            <w:tcBorders>
              <w:top w:val="single" w:sz="8" w:space="0" w:color="auto"/>
              <w:bottom w:val="single" w:sz="4" w:space="0" w:color="auto"/>
            </w:tcBorders>
            <w:tcMar>
              <w:top w:w="0" w:type="dxa"/>
              <w:left w:w="108" w:type="dxa"/>
              <w:bottom w:w="0" w:type="dxa"/>
              <w:right w:w="108" w:type="dxa"/>
            </w:tcMar>
            <w:hideMark/>
          </w:tcPr>
          <w:p w14:paraId="1BAD4DB1" w14:textId="77777777" w:rsidR="00F42DEB" w:rsidRPr="00D01851" w:rsidRDefault="00F42DEB" w:rsidP="00C660A4">
            <w:pPr>
              <w:jc w:val="center"/>
              <w:rPr>
                <w:rFonts w:ascii="Arial" w:hAnsi="Arial" w:cs="Arial"/>
                <w:b/>
                <w:bCs/>
                <w:sz w:val="20"/>
                <w:szCs w:val="20"/>
              </w:rPr>
            </w:pPr>
            <w:r w:rsidRPr="00D01851">
              <w:rPr>
                <w:rFonts w:ascii="Arial" w:hAnsi="Arial" w:cs="Arial"/>
                <w:b/>
                <w:bCs/>
                <w:sz w:val="20"/>
                <w:szCs w:val="20"/>
              </w:rPr>
              <w:t>Total current incentive offer</w:t>
            </w:r>
          </w:p>
        </w:tc>
        <w:tc>
          <w:tcPr>
            <w:tcW w:w="1530" w:type="dxa"/>
            <w:tcBorders>
              <w:top w:val="single" w:sz="8" w:space="0" w:color="auto"/>
              <w:bottom w:val="single" w:sz="4" w:space="0" w:color="auto"/>
            </w:tcBorders>
            <w:tcMar>
              <w:top w:w="0" w:type="dxa"/>
              <w:left w:w="108" w:type="dxa"/>
              <w:bottom w:w="0" w:type="dxa"/>
              <w:right w:w="108" w:type="dxa"/>
            </w:tcMar>
            <w:hideMark/>
          </w:tcPr>
          <w:p w14:paraId="628A4A27" w14:textId="77777777" w:rsidR="00F42DEB" w:rsidRPr="00D01851" w:rsidRDefault="00F42DEB" w:rsidP="00C660A4">
            <w:pPr>
              <w:jc w:val="center"/>
              <w:rPr>
                <w:rFonts w:ascii="Arial" w:hAnsi="Arial" w:cs="Arial"/>
                <w:b/>
                <w:bCs/>
                <w:sz w:val="20"/>
                <w:szCs w:val="20"/>
              </w:rPr>
            </w:pPr>
            <w:r w:rsidRPr="00D01851">
              <w:rPr>
                <w:rFonts w:ascii="Arial" w:hAnsi="Arial" w:cs="Arial"/>
                <w:b/>
                <w:bCs/>
                <w:sz w:val="20"/>
                <w:szCs w:val="20"/>
              </w:rPr>
              <w:t>Response rate</w:t>
            </w:r>
          </w:p>
          <w:p w14:paraId="6E4BA59D" w14:textId="77777777" w:rsidR="00F42DEB" w:rsidRPr="00D01851" w:rsidRDefault="00F42DEB" w:rsidP="00C660A4">
            <w:pPr>
              <w:jc w:val="center"/>
              <w:rPr>
                <w:rFonts w:ascii="Arial" w:hAnsi="Arial" w:cs="Arial"/>
                <w:b/>
                <w:bCs/>
                <w:sz w:val="20"/>
                <w:szCs w:val="20"/>
              </w:rPr>
            </w:pPr>
            <w:r w:rsidRPr="00D01851">
              <w:rPr>
                <w:rFonts w:ascii="Arial" w:hAnsi="Arial" w:cs="Arial"/>
                <w:b/>
                <w:bCs/>
                <w:sz w:val="20"/>
                <w:szCs w:val="20"/>
              </w:rPr>
              <w:t>(as of 9/7/16)</w:t>
            </w:r>
          </w:p>
        </w:tc>
        <w:tc>
          <w:tcPr>
            <w:tcW w:w="1620" w:type="dxa"/>
            <w:tcBorders>
              <w:top w:val="single" w:sz="8" w:space="0" w:color="auto"/>
              <w:bottom w:val="single" w:sz="4" w:space="0" w:color="auto"/>
            </w:tcBorders>
            <w:tcMar>
              <w:top w:w="0" w:type="dxa"/>
              <w:left w:w="108" w:type="dxa"/>
              <w:bottom w:w="0" w:type="dxa"/>
              <w:right w:w="108" w:type="dxa"/>
            </w:tcMar>
            <w:hideMark/>
          </w:tcPr>
          <w:p w14:paraId="671D6401" w14:textId="77777777" w:rsidR="00F42DEB" w:rsidRPr="00D01851" w:rsidRDefault="00F42DEB" w:rsidP="00C660A4">
            <w:pPr>
              <w:jc w:val="center"/>
              <w:rPr>
                <w:rFonts w:ascii="Arial" w:hAnsi="Arial" w:cs="Arial"/>
                <w:b/>
                <w:bCs/>
                <w:sz w:val="20"/>
                <w:szCs w:val="20"/>
              </w:rPr>
            </w:pPr>
            <w:r w:rsidRPr="00D01851">
              <w:rPr>
                <w:rFonts w:ascii="Arial" w:hAnsi="Arial" w:cs="Arial"/>
                <w:b/>
                <w:bCs/>
                <w:sz w:val="20"/>
                <w:szCs w:val="20"/>
              </w:rPr>
              <w:t>Number of pending cases</w:t>
            </w:r>
          </w:p>
          <w:p w14:paraId="6D9270D3" w14:textId="77777777" w:rsidR="00F42DEB" w:rsidRPr="00D01851" w:rsidRDefault="00F42DEB" w:rsidP="00C660A4">
            <w:pPr>
              <w:jc w:val="center"/>
              <w:rPr>
                <w:rFonts w:ascii="Arial" w:hAnsi="Arial" w:cs="Arial"/>
                <w:b/>
                <w:bCs/>
                <w:sz w:val="20"/>
                <w:szCs w:val="20"/>
              </w:rPr>
            </w:pPr>
            <w:r w:rsidRPr="00D01851">
              <w:rPr>
                <w:rFonts w:ascii="Arial" w:hAnsi="Arial" w:cs="Arial"/>
                <w:b/>
                <w:bCs/>
                <w:sz w:val="20"/>
                <w:szCs w:val="20"/>
              </w:rPr>
              <w:t>(as of 9/7/16)</w:t>
            </w:r>
          </w:p>
        </w:tc>
      </w:tr>
      <w:tr w:rsidR="00F42DEB" w:rsidRPr="006F4ACE" w14:paraId="6BC76FBF" w14:textId="77777777" w:rsidTr="00C660A4">
        <w:trPr>
          <w:trHeight w:val="504"/>
        </w:trPr>
        <w:tc>
          <w:tcPr>
            <w:tcW w:w="1796" w:type="dxa"/>
            <w:tcBorders>
              <w:top w:val="single" w:sz="4" w:space="0" w:color="auto"/>
            </w:tcBorders>
            <w:tcMar>
              <w:top w:w="0" w:type="dxa"/>
              <w:left w:w="108" w:type="dxa"/>
              <w:bottom w:w="0" w:type="dxa"/>
              <w:right w:w="108" w:type="dxa"/>
            </w:tcMar>
            <w:vAlign w:val="bottom"/>
            <w:hideMark/>
          </w:tcPr>
          <w:p w14:paraId="49C10FEF" w14:textId="77777777" w:rsidR="00F42DEB" w:rsidRPr="00D01851" w:rsidRDefault="00F42DEB" w:rsidP="00C660A4">
            <w:pPr>
              <w:rPr>
                <w:rFonts w:ascii="Arial" w:hAnsi="Arial" w:cs="Arial"/>
                <w:sz w:val="20"/>
                <w:szCs w:val="20"/>
              </w:rPr>
            </w:pPr>
            <w:r>
              <w:rPr>
                <w:rFonts w:ascii="Arial" w:hAnsi="Arial" w:cs="Arial"/>
                <w:sz w:val="20"/>
                <w:szCs w:val="20"/>
              </w:rPr>
              <w:t>Calibration HSNC</w:t>
            </w:r>
            <w:r w:rsidRPr="00D01851">
              <w:rPr>
                <w:rFonts w:ascii="Arial" w:hAnsi="Arial" w:cs="Arial"/>
                <w:sz w:val="20"/>
                <w:szCs w:val="20"/>
              </w:rPr>
              <w:t xml:space="preserve"> </w:t>
            </w:r>
            <w:r>
              <w:rPr>
                <w:rFonts w:ascii="Arial" w:hAnsi="Arial" w:cs="Arial"/>
                <w:sz w:val="20"/>
                <w:szCs w:val="20"/>
              </w:rPr>
              <w:t xml:space="preserve">no baseline </w:t>
            </w:r>
            <w:r w:rsidRPr="00D01851">
              <w:rPr>
                <w:rFonts w:ascii="Arial" w:hAnsi="Arial" w:cs="Arial"/>
                <w:sz w:val="20"/>
                <w:szCs w:val="20"/>
              </w:rPr>
              <w:t xml:space="preserve">incentive </w:t>
            </w:r>
          </w:p>
        </w:tc>
        <w:tc>
          <w:tcPr>
            <w:tcW w:w="1260" w:type="dxa"/>
            <w:tcBorders>
              <w:top w:val="single" w:sz="4" w:space="0" w:color="auto"/>
            </w:tcBorders>
            <w:tcMar>
              <w:top w:w="0" w:type="dxa"/>
              <w:left w:w="108" w:type="dxa"/>
              <w:bottom w:w="0" w:type="dxa"/>
              <w:right w:w="108" w:type="dxa"/>
            </w:tcMar>
            <w:vAlign w:val="bottom"/>
            <w:hideMark/>
          </w:tcPr>
          <w:p w14:paraId="0E8D2E13"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$0</w:t>
            </w:r>
          </w:p>
        </w:tc>
        <w:tc>
          <w:tcPr>
            <w:tcW w:w="1151" w:type="dxa"/>
            <w:tcBorders>
              <w:top w:val="single" w:sz="4" w:space="0" w:color="auto"/>
            </w:tcBorders>
            <w:tcMar>
              <w:top w:w="0" w:type="dxa"/>
              <w:left w:w="108" w:type="dxa"/>
              <w:bottom w:w="0" w:type="dxa"/>
              <w:right w:w="108" w:type="dxa"/>
            </w:tcMar>
            <w:vAlign w:val="bottom"/>
            <w:hideMark/>
          </w:tcPr>
          <w:p w14:paraId="592D581B"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5/4/16</w:t>
            </w:r>
          </w:p>
        </w:tc>
        <w:tc>
          <w:tcPr>
            <w:tcW w:w="1151" w:type="dxa"/>
            <w:tcBorders>
              <w:top w:val="single" w:sz="4" w:space="0" w:color="auto"/>
            </w:tcBorders>
            <w:tcMar>
              <w:top w:w="0" w:type="dxa"/>
              <w:left w:w="108" w:type="dxa"/>
              <w:bottom w:w="0" w:type="dxa"/>
              <w:right w:w="108" w:type="dxa"/>
            </w:tcMar>
            <w:vAlign w:val="bottom"/>
            <w:hideMark/>
          </w:tcPr>
          <w:p w14:paraId="3B99EF68"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6/15/16</w:t>
            </w:r>
          </w:p>
        </w:tc>
        <w:tc>
          <w:tcPr>
            <w:tcW w:w="1482" w:type="dxa"/>
            <w:tcBorders>
              <w:top w:val="single" w:sz="4" w:space="0" w:color="auto"/>
            </w:tcBorders>
            <w:tcMar>
              <w:top w:w="0" w:type="dxa"/>
              <w:left w:w="108" w:type="dxa"/>
              <w:bottom w:w="0" w:type="dxa"/>
              <w:right w:w="108" w:type="dxa"/>
            </w:tcMar>
            <w:vAlign w:val="bottom"/>
            <w:hideMark/>
          </w:tcPr>
          <w:p w14:paraId="1B823C54"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$25-$45</w:t>
            </w:r>
          </w:p>
        </w:tc>
        <w:tc>
          <w:tcPr>
            <w:tcW w:w="1530" w:type="dxa"/>
            <w:tcBorders>
              <w:top w:val="single" w:sz="4" w:space="0" w:color="auto"/>
            </w:tcBorders>
            <w:tcMar>
              <w:top w:w="0" w:type="dxa"/>
              <w:left w:w="108" w:type="dxa"/>
              <w:bottom w:w="0" w:type="dxa"/>
              <w:right w:w="108" w:type="dxa"/>
            </w:tcMar>
            <w:vAlign w:val="bottom"/>
            <w:hideMark/>
          </w:tcPr>
          <w:p w14:paraId="6E512A4B"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27.9%</w:t>
            </w:r>
          </w:p>
        </w:tc>
        <w:tc>
          <w:tcPr>
            <w:tcW w:w="1620" w:type="dxa"/>
            <w:tcBorders>
              <w:top w:val="single" w:sz="4" w:space="0" w:color="auto"/>
            </w:tcBorders>
            <w:tcMar>
              <w:top w:w="0" w:type="dxa"/>
              <w:left w:w="108" w:type="dxa"/>
              <w:bottom w:w="0" w:type="dxa"/>
              <w:right w:w="108" w:type="dxa"/>
            </w:tcMar>
            <w:vAlign w:val="bottom"/>
            <w:hideMark/>
          </w:tcPr>
          <w:p w14:paraId="3AD07FE6"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111</w:t>
            </w:r>
          </w:p>
        </w:tc>
      </w:tr>
      <w:tr w:rsidR="00F42DEB" w:rsidRPr="006F4ACE" w14:paraId="4C4D887A" w14:textId="77777777" w:rsidTr="00C660A4">
        <w:trPr>
          <w:trHeight w:val="504"/>
        </w:trPr>
        <w:tc>
          <w:tcPr>
            <w:tcW w:w="1796" w:type="dxa"/>
            <w:tcMar>
              <w:top w:w="0" w:type="dxa"/>
              <w:left w:w="108" w:type="dxa"/>
              <w:bottom w:w="0" w:type="dxa"/>
              <w:right w:w="108" w:type="dxa"/>
            </w:tcMar>
            <w:vAlign w:val="bottom"/>
            <w:hideMark/>
          </w:tcPr>
          <w:p w14:paraId="5D16E061" w14:textId="77777777" w:rsidR="00F42DEB" w:rsidRPr="00D01851" w:rsidRDefault="00F42DEB" w:rsidP="00C660A4">
            <w:pPr>
              <w:rPr>
                <w:rFonts w:ascii="Arial" w:hAnsi="Arial" w:cs="Arial"/>
                <w:sz w:val="20"/>
                <w:szCs w:val="20"/>
              </w:rPr>
            </w:pPr>
            <w:r>
              <w:rPr>
                <w:rFonts w:ascii="Arial" w:hAnsi="Arial" w:cs="Arial"/>
                <w:sz w:val="20"/>
                <w:szCs w:val="20"/>
              </w:rPr>
              <w:t>Calibration HSNC</w:t>
            </w:r>
            <w:r w:rsidRPr="00D01851">
              <w:rPr>
                <w:rFonts w:ascii="Arial" w:hAnsi="Arial" w:cs="Arial"/>
                <w:sz w:val="20"/>
                <w:szCs w:val="20"/>
              </w:rPr>
              <w:t xml:space="preserve"> </w:t>
            </w:r>
            <w:r>
              <w:rPr>
                <w:rFonts w:ascii="Arial" w:hAnsi="Arial" w:cs="Arial"/>
                <w:sz w:val="20"/>
                <w:szCs w:val="20"/>
              </w:rPr>
              <w:t xml:space="preserve">baseline </w:t>
            </w:r>
            <w:r w:rsidRPr="00D01851">
              <w:rPr>
                <w:rFonts w:ascii="Arial" w:hAnsi="Arial" w:cs="Arial"/>
                <w:sz w:val="20"/>
                <w:szCs w:val="20"/>
              </w:rPr>
              <w:t xml:space="preserve">incentive </w:t>
            </w:r>
          </w:p>
        </w:tc>
        <w:tc>
          <w:tcPr>
            <w:tcW w:w="1260" w:type="dxa"/>
            <w:tcMar>
              <w:top w:w="0" w:type="dxa"/>
              <w:left w:w="108" w:type="dxa"/>
              <w:bottom w:w="0" w:type="dxa"/>
              <w:right w:w="108" w:type="dxa"/>
            </w:tcMar>
            <w:vAlign w:val="bottom"/>
            <w:hideMark/>
          </w:tcPr>
          <w:p w14:paraId="51AADBF4"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$30-50</w:t>
            </w:r>
          </w:p>
        </w:tc>
        <w:tc>
          <w:tcPr>
            <w:tcW w:w="1151" w:type="dxa"/>
            <w:tcMar>
              <w:top w:w="0" w:type="dxa"/>
              <w:left w:w="108" w:type="dxa"/>
              <w:bottom w:w="0" w:type="dxa"/>
              <w:right w:w="108" w:type="dxa"/>
            </w:tcMar>
            <w:vAlign w:val="bottom"/>
            <w:hideMark/>
          </w:tcPr>
          <w:p w14:paraId="22C4FD01"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5/4/16</w:t>
            </w:r>
          </w:p>
        </w:tc>
        <w:tc>
          <w:tcPr>
            <w:tcW w:w="1151" w:type="dxa"/>
            <w:tcMar>
              <w:top w:w="0" w:type="dxa"/>
              <w:left w:w="108" w:type="dxa"/>
              <w:bottom w:w="0" w:type="dxa"/>
              <w:right w:w="108" w:type="dxa"/>
            </w:tcMar>
            <w:vAlign w:val="bottom"/>
            <w:hideMark/>
          </w:tcPr>
          <w:p w14:paraId="7A2ACF46"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6/15/16</w:t>
            </w:r>
          </w:p>
        </w:tc>
        <w:tc>
          <w:tcPr>
            <w:tcW w:w="1482" w:type="dxa"/>
            <w:tcMar>
              <w:top w:w="0" w:type="dxa"/>
              <w:left w:w="108" w:type="dxa"/>
              <w:bottom w:w="0" w:type="dxa"/>
              <w:right w:w="108" w:type="dxa"/>
            </w:tcMar>
            <w:vAlign w:val="bottom"/>
            <w:hideMark/>
          </w:tcPr>
          <w:p w14:paraId="575EAE4F"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$55-$95</w:t>
            </w:r>
          </w:p>
        </w:tc>
        <w:tc>
          <w:tcPr>
            <w:tcW w:w="1530" w:type="dxa"/>
            <w:tcMar>
              <w:top w:w="0" w:type="dxa"/>
              <w:left w:w="108" w:type="dxa"/>
              <w:bottom w:w="0" w:type="dxa"/>
              <w:right w:w="108" w:type="dxa"/>
            </w:tcMar>
            <w:vAlign w:val="bottom"/>
            <w:hideMark/>
          </w:tcPr>
          <w:p w14:paraId="6651EC88"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47.4%</w:t>
            </w:r>
          </w:p>
        </w:tc>
        <w:tc>
          <w:tcPr>
            <w:tcW w:w="1620" w:type="dxa"/>
            <w:tcMar>
              <w:top w:w="0" w:type="dxa"/>
              <w:left w:w="108" w:type="dxa"/>
              <w:bottom w:w="0" w:type="dxa"/>
              <w:right w:w="108" w:type="dxa"/>
            </w:tcMar>
            <w:vAlign w:val="bottom"/>
            <w:hideMark/>
          </w:tcPr>
          <w:p w14:paraId="6FEC0375"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268</w:t>
            </w:r>
          </w:p>
        </w:tc>
      </w:tr>
      <w:tr w:rsidR="00F42DEB" w:rsidRPr="006F4ACE" w14:paraId="1361BEBF" w14:textId="77777777" w:rsidTr="00C660A4">
        <w:trPr>
          <w:trHeight w:val="504"/>
        </w:trPr>
        <w:tc>
          <w:tcPr>
            <w:tcW w:w="1796" w:type="dxa"/>
            <w:tcMar>
              <w:top w:w="0" w:type="dxa"/>
              <w:left w:w="108" w:type="dxa"/>
              <w:bottom w:w="0" w:type="dxa"/>
              <w:right w:w="108" w:type="dxa"/>
            </w:tcMar>
            <w:vAlign w:val="bottom"/>
            <w:hideMark/>
          </w:tcPr>
          <w:p w14:paraId="55799C97" w14:textId="77777777" w:rsidR="00F42DEB" w:rsidRPr="00D01851" w:rsidRDefault="00F42DEB" w:rsidP="00C660A4">
            <w:pPr>
              <w:rPr>
                <w:rFonts w:ascii="Arial" w:hAnsi="Arial" w:cs="Arial"/>
                <w:sz w:val="20"/>
                <w:szCs w:val="20"/>
              </w:rPr>
            </w:pPr>
            <w:r w:rsidRPr="00D01851">
              <w:rPr>
                <w:rFonts w:ascii="Arial" w:hAnsi="Arial" w:cs="Arial"/>
                <w:sz w:val="20"/>
                <w:szCs w:val="20"/>
              </w:rPr>
              <w:t xml:space="preserve">Main </w:t>
            </w:r>
            <w:r>
              <w:rPr>
                <w:rFonts w:ascii="Arial" w:hAnsi="Arial" w:cs="Arial"/>
                <w:sz w:val="20"/>
                <w:szCs w:val="20"/>
              </w:rPr>
              <w:t>Sample HSNC</w:t>
            </w:r>
          </w:p>
        </w:tc>
        <w:tc>
          <w:tcPr>
            <w:tcW w:w="1260" w:type="dxa"/>
            <w:tcMar>
              <w:top w:w="0" w:type="dxa"/>
              <w:left w:w="108" w:type="dxa"/>
              <w:bottom w:w="0" w:type="dxa"/>
              <w:right w:w="108" w:type="dxa"/>
            </w:tcMar>
            <w:vAlign w:val="bottom"/>
            <w:hideMark/>
          </w:tcPr>
          <w:p w14:paraId="357938C1"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$40</w:t>
            </w:r>
          </w:p>
        </w:tc>
        <w:tc>
          <w:tcPr>
            <w:tcW w:w="1151" w:type="dxa"/>
            <w:tcMar>
              <w:top w:w="0" w:type="dxa"/>
              <w:left w:w="108" w:type="dxa"/>
              <w:bottom w:w="0" w:type="dxa"/>
              <w:right w:w="108" w:type="dxa"/>
            </w:tcMar>
            <w:vAlign w:val="bottom"/>
            <w:hideMark/>
          </w:tcPr>
          <w:p w14:paraId="06830D2C"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6/20/16</w:t>
            </w:r>
          </w:p>
        </w:tc>
        <w:tc>
          <w:tcPr>
            <w:tcW w:w="1151" w:type="dxa"/>
            <w:tcMar>
              <w:top w:w="0" w:type="dxa"/>
              <w:left w:w="108" w:type="dxa"/>
              <w:bottom w:w="0" w:type="dxa"/>
              <w:right w:w="108" w:type="dxa"/>
            </w:tcMar>
            <w:vAlign w:val="bottom"/>
            <w:hideMark/>
          </w:tcPr>
          <w:p w14:paraId="6C9D0847"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8/1/16</w:t>
            </w:r>
          </w:p>
        </w:tc>
        <w:tc>
          <w:tcPr>
            <w:tcW w:w="1482" w:type="dxa"/>
            <w:tcMar>
              <w:top w:w="0" w:type="dxa"/>
              <w:left w:w="108" w:type="dxa"/>
              <w:bottom w:w="0" w:type="dxa"/>
              <w:right w:w="108" w:type="dxa"/>
            </w:tcMar>
            <w:vAlign w:val="bottom"/>
            <w:hideMark/>
          </w:tcPr>
          <w:p w14:paraId="5F538DF1"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w:t>
            </w:r>
            <w:r>
              <w:rPr>
                <w:rFonts w:ascii="Arial" w:hAnsi="Arial" w:cs="Arial"/>
                <w:sz w:val="20"/>
                <w:szCs w:val="20"/>
              </w:rPr>
              <w:t>6</w:t>
            </w:r>
            <w:r w:rsidRPr="00D01851">
              <w:rPr>
                <w:rFonts w:ascii="Arial" w:hAnsi="Arial" w:cs="Arial"/>
                <w:sz w:val="20"/>
                <w:szCs w:val="20"/>
              </w:rPr>
              <w:t>5</w:t>
            </w:r>
            <w:r w:rsidRPr="00D01851">
              <w:rPr>
                <w:rStyle w:val="FootnoteReference"/>
                <w:rFonts w:ascii="Arial" w:hAnsi="Arial" w:cs="Arial"/>
                <w:sz w:val="20"/>
                <w:szCs w:val="20"/>
              </w:rPr>
              <w:footnoteReference w:id="2"/>
            </w:r>
          </w:p>
        </w:tc>
        <w:tc>
          <w:tcPr>
            <w:tcW w:w="1530" w:type="dxa"/>
            <w:tcMar>
              <w:top w:w="0" w:type="dxa"/>
              <w:left w:w="108" w:type="dxa"/>
              <w:bottom w:w="0" w:type="dxa"/>
              <w:right w:w="108" w:type="dxa"/>
            </w:tcMar>
            <w:vAlign w:val="bottom"/>
            <w:hideMark/>
          </w:tcPr>
          <w:p w14:paraId="23794406"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42.9%</w:t>
            </w:r>
          </w:p>
        </w:tc>
        <w:tc>
          <w:tcPr>
            <w:tcW w:w="1620" w:type="dxa"/>
            <w:tcMar>
              <w:top w:w="0" w:type="dxa"/>
              <w:left w:w="108" w:type="dxa"/>
              <w:bottom w:w="0" w:type="dxa"/>
              <w:right w:w="108" w:type="dxa"/>
            </w:tcMar>
            <w:vAlign w:val="bottom"/>
            <w:hideMark/>
          </w:tcPr>
          <w:p w14:paraId="7E335C1D" w14:textId="77777777" w:rsidR="00F42DEB" w:rsidRPr="00D01851" w:rsidRDefault="00F42DEB" w:rsidP="00C660A4">
            <w:pPr>
              <w:jc w:val="center"/>
              <w:rPr>
                <w:rFonts w:ascii="Arial" w:hAnsi="Arial" w:cs="Arial"/>
                <w:sz w:val="20"/>
                <w:szCs w:val="20"/>
              </w:rPr>
            </w:pPr>
            <w:r w:rsidRPr="00D01851">
              <w:rPr>
                <w:rFonts w:ascii="Arial" w:hAnsi="Arial" w:cs="Arial"/>
                <w:sz w:val="20"/>
                <w:szCs w:val="20"/>
              </w:rPr>
              <w:t>1,074</w:t>
            </w:r>
          </w:p>
        </w:tc>
      </w:tr>
    </w:tbl>
    <w:p w14:paraId="27DF62C1" w14:textId="77777777" w:rsidR="00F42DEB" w:rsidRDefault="00F42DEB" w:rsidP="00F42DEB">
      <w:pPr>
        <w:pStyle w:val="Heading1"/>
        <w:rPr>
          <w:rFonts w:ascii="Arial" w:hAnsi="Arial"/>
          <w:b w:val="0"/>
          <w:sz w:val="16"/>
          <w:u w:val="none"/>
        </w:rPr>
      </w:pPr>
      <w:r w:rsidRPr="00D01851">
        <w:rPr>
          <w:rFonts w:ascii="Arial" w:hAnsi="Arial"/>
          <w:b w:val="0"/>
          <w:sz w:val="16"/>
          <w:u w:val="none"/>
        </w:rPr>
        <w:t>SOURCE: U.S. Department of Education, National Center for Education Statistics. High School Longitudinal Study of 2009 (HSLS</w:t>
      </w:r>
      <w:proofErr w:type="gramStart"/>
      <w:r w:rsidRPr="00D01851">
        <w:rPr>
          <w:rFonts w:ascii="Arial" w:hAnsi="Arial"/>
          <w:b w:val="0"/>
          <w:sz w:val="16"/>
          <w:u w:val="none"/>
        </w:rPr>
        <w:t>:09</w:t>
      </w:r>
      <w:proofErr w:type="gramEnd"/>
      <w:r w:rsidRPr="00D01851">
        <w:rPr>
          <w:rFonts w:ascii="Arial" w:hAnsi="Arial"/>
          <w:b w:val="0"/>
          <w:sz w:val="16"/>
          <w:u w:val="none"/>
        </w:rPr>
        <w:t>) Second Follow-up Main Study.</w:t>
      </w:r>
    </w:p>
    <w:p w14:paraId="3FDC56E3" w14:textId="77777777" w:rsidR="00F42DEB" w:rsidRPr="00D01851" w:rsidRDefault="00F42DEB" w:rsidP="00F42DEB"/>
    <w:p w14:paraId="40C1996A" w14:textId="2937E8A8" w:rsidR="00AE0545" w:rsidRDefault="009B5F71" w:rsidP="009B5F71">
      <w:pPr>
        <w:pStyle w:val="Heading1"/>
        <w:numPr>
          <w:ilvl w:val="0"/>
          <w:numId w:val="22"/>
        </w:numPr>
      </w:pPr>
      <w:r>
        <w:t>Revisions to</w:t>
      </w:r>
      <w:r w:rsidRPr="009B5F71">
        <w:t xml:space="preserve"> </w:t>
      </w:r>
      <w:r>
        <w:t>burden estimate</w:t>
      </w:r>
      <w:r w:rsidR="00E2551A">
        <w:t>,</w:t>
      </w:r>
      <w:r>
        <w:t xml:space="preserve"> </w:t>
      </w:r>
      <w:r w:rsidRPr="009B5F71">
        <w:t>contacting materials for student records and transcript collections</w:t>
      </w:r>
      <w:r w:rsidR="00E2551A">
        <w:t>, and student records facsimile</w:t>
      </w:r>
    </w:p>
    <w:p w14:paraId="3BB942C1" w14:textId="1888DD7F" w:rsidR="004138CA" w:rsidRDefault="001301E8" w:rsidP="009B5F71">
      <w:pPr>
        <w:pStyle w:val="NoSpacing"/>
        <w:spacing w:before="120" w:after="120" w:line="23" w:lineRule="atLeast"/>
      </w:pPr>
      <w:r>
        <w:t xml:space="preserve">As described in </w:t>
      </w:r>
      <w:r w:rsidR="001207DC">
        <w:t>the last change memo (OMB# 1850-0852 v.22)</w:t>
      </w:r>
      <w:r>
        <w:t>, HSLS</w:t>
      </w:r>
      <w:proofErr w:type="gramStart"/>
      <w:r>
        <w:t>:09</w:t>
      </w:r>
      <w:proofErr w:type="gramEnd"/>
      <w:r>
        <w:t xml:space="preserve"> and BPS:12/17 are combining efforts for transcript and student records collections. The HSLS</w:t>
      </w:r>
      <w:proofErr w:type="gramStart"/>
      <w:r>
        <w:t>:09</w:t>
      </w:r>
      <w:proofErr w:type="gramEnd"/>
      <w:r>
        <w:t xml:space="preserve"> second follow-up package has been revised to incorporate changes needed to be consistent with BPS:12/17.</w:t>
      </w:r>
    </w:p>
    <w:p w14:paraId="14748932" w14:textId="60C8A5AA" w:rsidR="004138CA" w:rsidRDefault="006E5079" w:rsidP="004138CA">
      <w:pPr>
        <w:pStyle w:val="NoSpacing"/>
        <w:spacing w:before="120" w:after="120" w:line="23" w:lineRule="atLeast"/>
        <w:ind w:left="360"/>
      </w:pPr>
      <w:r w:rsidRPr="00D01851">
        <w:rPr>
          <w:i/>
        </w:rPr>
        <w:t xml:space="preserve">Changes to </w:t>
      </w:r>
      <w:r w:rsidR="0022079E">
        <w:rPr>
          <w:i/>
        </w:rPr>
        <w:t xml:space="preserve">estimated </w:t>
      </w:r>
      <w:r w:rsidR="00E2551A">
        <w:rPr>
          <w:i/>
        </w:rPr>
        <w:t xml:space="preserve">burden </w:t>
      </w:r>
      <w:r w:rsidR="003027D5">
        <w:rPr>
          <w:i/>
        </w:rPr>
        <w:t xml:space="preserve">time </w:t>
      </w:r>
      <w:r w:rsidR="00E2551A">
        <w:rPr>
          <w:i/>
        </w:rPr>
        <w:t>rate</w:t>
      </w:r>
      <w:r w:rsidRPr="00D01851">
        <w:rPr>
          <w:i/>
        </w:rPr>
        <w:t>.</w:t>
      </w:r>
      <w:r>
        <w:t xml:space="preserve"> </w:t>
      </w:r>
      <w:r w:rsidR="009B5F71">
        <w:t>Part A</w:t>
      </w:r>
      <w:r w:rsidR="0022079E">
        <w:t>.12</w:t>
      </w:r>
      <w:r w:rsidR="009B5F71">
        <w:t xml:space="preserve"> has been modified to </w:t>
      </w:r>
      <w:r w:rsidR="0022079E">
        <w:t xml:space="preserve">reflect the </w:t>
      </w:r>
      <w:r w:rsidR="001301E8">
        <w:t>update</w:t>
      </w:r>
      <w:r w:rsidR="0022079E">
        <w:t>d</w:t>
      </w:r>
      <w:r w:rsidR="001301E8">
        <w:t xml:space="preserve"> </w:t>
      </w:r>
      <w:r w:rsidR="009B5F71">
        <w:t xml:space="preserve">burden </w:t>
      </w:r>
      <w:r w:rsidR="003027D5">
        <w:t xml:space="preserve">time </w:t>
      </w:r>
      <w:r w:rsidR="009B5F71">
        <w:t xml:space="preserve">rate </w:t>
      </w:r>
      <w:r w:rsidR="0022079E">
        <w:t xml:space="preserve">for </w:t>
      </w:r>
      <w:r w:rsidR="00C775EB">
        <w:t xml:space="preserve">postsecondary </w:t>
      </w:r>
      <w:r w:rsidR="0022079E">
        <w:t xml:space="preserve">institution </w:t>
      </w:r>
      <w:r w:rsidR="00C775EB">
        <w:t xml:space="preserve">personnel </w:t>
      </w:r>
      <w:r w:rsidR="00AB4053">
        <w:t xml:space="preserve">($40.47) </w:t>
      </w:r>
      <w:r w:rsidR="009B5F71">
        <w:t xml:space="preserve">and </w:t>
      </w:r>
      <w:r w:rsidR="00C775EB">
        <w:t xml:space="preserve">associated </w:t>
      </w:r>
      <w:r w:rsidR="0022079E">
        <w:t xml:space="preserve">source </w:t>
      </w:r>
      <w:r w:rsidR="009B5F71">
        <w:t>citation</w:t>
      </w:r>
      <w:r w:rsidR="001301E8">
        <w:t>.</w:t>
      </w:r>
    </w:p>
    <w:p w14:paraId="419C3548" w14:textId="77777777" w:rsidR="004138CA" w:rsidRDefault="00E2551A" w:rsidP="004138CA">
      <w:pPr>
        <w:pStyle w:val="NoSpacing"/>
        <w:spacing w:before="120" w:after="120" w:line="23" w:lineRule="atLeast"/>
        <w:ind w:left="360"/>
      </w:pPr>
      <w:proofErr w:type="gramStart"/>
      <w:r w:rsidRPr="009D3C40">
        <w:rPr>
          <w:i/>
        </w:rPr>
        <w:t>Changes to contacting materials.</w:t>
      </w:r>
      <w:proofErr w:type="gramEnd"/>
      <w:r>
        <w:t xml:space="preserve"> </w:t>
      </w:r>
      <w:r w:rsidR="009B5F71">
        <w:t>The contacting materials</w:t>
      </w:r>
      <w:r w:rsidR="009D1DEC">
        <w:t>, shown in Appendix F-G,</w:t>
      </w:r>
      <w:r w:rsidR="009B5F71">
        <w:t xml:space="preserve"> have been revised to add the PRA statement to the letters on pages </w:t>
      </w:r>
      <w:r w:rsidR="00AB4053">
        <w:t>F-12</w:t>
      </w:r>
      <w:r w:rsidR="009B5F71">
        <w:t xml:space="preserve">, </w:t>
      </w:r>
      <w:r w:rsidR="00AB4053">
        <w:t>F-14</w:t>
      </w:r>
      <w:r w:rsidR="009B5F71">
        <w:t xml:space="preserve">, and </w:t>
      </w:r>
      <w:r w:rsidR="00AB4053">
        <w:t>F-16</w:t>
      </w:r>
      <w:r w:rsidR="009B5F71">
        <w:t xml:space="preserve">, and the abbreviated PRA reference text to the emails on page </w:t>
      </w:r>
      <w:r w:rsidR="00AB4053">
        <w:t>F-34</w:t>
      </w:r>
      <w:r w:rsidR="009B5F71">
        <w:t xml:space="preserve">, </w:t>
      </w:r>
      <w:r w:rsidR="00AB4053">
        <w:t>G-10</w:t>
      </w:r>
      <w:r w:rsidR="009B5F71">
        <w:t xml:space="preserve">, and </w:t>
      </w:r>
      <w:r w:rsidR="00AB4053">
        <w:t>G-11</w:t>
      </w:r>
      <w:r w:rsidR="009B5F71">
        <w:t xml:space="preserve">. </w:t>
      </w:r>
      <w:r w:rsidR="009D1DEC">
        <w:t>Additionally</w:t>
      </w:r>
      <w:r w:rsidR="009B5F71">
        <w:t>, a document entitled “</w:t>
      </w:r>
      <w:r w:rsidR="0092247C" w:rsidRPr="0092247C">
        <w:t>Student Records Item Overview Handout</w:t>
      </w:r>
      <w:r w:rsidR="009B5F71">
        <w:t>” has been added to the website text beginning on page G-</w:t>
      </w:r>
      <w:r w:rsidR="00AB4053">
        <w:t>18</w:t>
      </w:r>
      <w:r w:rsidR="009B5F71">
        <w:t>.</w:t>
      </w:r>
    </w:p>
    <w:p w14:paraId="792BA5D7" w14:textId="1CB525AF" w:rsidR="00681949" w:rsidRPr="00694ECB" w:rsidRDefault="006E5079" w:rsidP="004138CA">
      <w:pPr>
        <w:pStyle w:val="NoSpacing"/>
        <w:spacing w:before="120" w:after="120" w:line="23" w:lineRule="atLeast"/>
        <w:ind w:left="360"/>
      </w:pPr>
      <w:proofErr w:type="gramStart"/>
      <w:r w:rsidRPr="00D01851">
        <w:rPr>
          <w:i/>
        </w:rPr>
        <w:lastRenderedPageBreak/>
        <w:t>Changes to the student records facsimile.</w:t>
      </w:r>
      <w:proofErr w:type="gramEnd"/>
      <w:r>
        <w:t xml:space="preserve"> </w:t>
      </w:r>
      <w:r w:rsidR="009D1DEC">
        <w:t xml:space="preserve">Appendix H contains the student records </w:t>
      </w:r>
      <w:r w:rsidR="00E2551A" w:rsidRPr="00E2551A">
        <w:t xml:space="preserve">facsimile </w:t>
      </w:r>
      <w:r w:rsidR="009D1DEC">
        <w:t>and reflects</w:t>
      </w:r>
      <w:r w:rsidR="00E2551A" w:rsidRPr="00E2551A">
        <w:t xml:space="preserve"> updates made based on the results of the </w:t>
      </w:r>
      <w:r w:rsidR="00706DFD" w:rsidRPr="00E2551A">
        <w:t>BPS</w:t>
      </w:r>
      <w:proofErr w:type="gramStart"/>
      <w:r w:rsidR="00706DFD" w:rsidRPr="00E2551A">
        <w:t>:12</w:t>
      </w:r>
      <w:proofErr w:type="gramEnd"/>
      <w:r w:rsidR="00706DFD" w:rsidRPr="00E2551A">
        <w:t xml:space="preserve">/17 </w:t>
      </w:r>
      <w:r w:rsidR="00E2551A" w:rsidRPr="00E2551A">
        <w:t>qualitative evaluation, and is consistent with the student records instrument submitted as part of the BPS:12/17 full-scale package (OMB #1850-0631 v.10)</w:t>
      </w:r>
      <w:r w:rsidR="003027D5">
        <w:t>, which is currently in the 60-day public comment period (due to be submitted to OMB on October 25, 2016)</w:t>
      </w:r>
      <w:r w:rsidR="00E2551A" w:rsidRPr="00E2551A">
        <w:t xml:space="preserve">. Table 1 </w:t>
      </w:r>
      <w:r w:rsidR="006A18C9">
        <w:t xml:space="preserve">within Appendix H </w:t>
      </w:r>
      <w:r w:rsidR="00E2551A" w:rsidRPr="00E2551A">
        <w:t>provides a summary of the changes to the content of the instrument when compared to the instrument originally cleared for HSLS</w:t>
      </w:r>
      <w:proofErr w:type="gramStart"/>
      <w:r w:rsidR="00E2551A" w:rsidRPr="00E2551A">
        <w:t>:09</w:t>
      </w:r>
      <w:proofErr w:type="gramEnd"/>
      <w:r w:rsidR="00E2551A" w:rsidRPr="00E2551A">
        <w:t xml:space="preserve">. The table includes color coding to indicate whether items have remained the same (black), were revised (purple), removed (red), or added (green). Changes </w:t>
      </w:r>
      <w:r w:rsidR="003027D5">
        <w:t>to</w:t>
      </w:r>
      <w:r w:rsidR="00E2551A" w:rsidRPr="00E2551A">
        <w:t xml:space="preserve"> the previously approved instrument are intended to reduce respondent burden and improve data quality. The instrument was also revised to include data elements for the 2011-2012</w:t>
      </w:r>
      <w:r w:rsidR="006A18C9">
        <w:t xml:space="preserve"> academic year</w:t>
      </w:r>
      <w:r w:rsidR="00E2551A" w:rsidRPr="00E2551A">
        <w:t xml:space="preserve">; these items are exact duplicates of the parallel items from academic years 2012-2013 through 2016-2017. This academic year was added for </w:t>
      </w:r>
      <w:r w:rsidR="006A18C9">
        <w:t>three</w:t>
      </w:r>
      <w:r w:rsidR="006A18C9" w:rsidRPr="00E2551A">
        <w:t xml:space="preserve"> </w:t>
      </w:r>
      <w:r w:rsidR="00E2551A" w:rsidRPr="00E2551A">
        <w:t>reasons: first, to make the HSLS</w:t>
      </w:r>
      <w:proofErr w:type="gramStart"/>
      <w:r w:rsidR="00E2551A" w:rsidRPr="00E2551A">
        <w:t>:09</w:t>
      </w:r>
      <w:proofErr w:type="gramEnd"/>
      <w:r w:rsidR="00E2551A" w:rsidRPr="00E2551A">
        <w:t xml:space="preserve"> and BPS instruments completely consistent; second, to reduce potential confusion for institutions that are participating in HSLS:09 and BPS student record collections simultaneously; and third, to allow for the collection of postsecondary data for HSLS:09 </w:t>
      </w:r>
      <w:r w:rsidR="006A18C9">
        <w:t xml:space="preserve">cohort members </w:t>
      </w:r>
      <w:r w:rsidR="00E2551A" w:rsidRPr="00E2551A">
        <w:t>that beg</w:t>
      </w:r>
      <w:r w:rsidR="00F12BD3">
        <w:t>a</w:t>
      </w:r>
      <w:r w:rsidR="00E2551A" w:rsidRPr="00E2551A">
        <w:t xml:space="preserve">n their postsecondary </w:t>
      </w:r>
      <w:r w:rsidR="006A18C9">
        <w:t>education</w:t>
      </w:r>
      <w:r w:rsidR="006A18C9" w:rsidRPr="00E2551A">
        <w:t xml:space="preserve"> </w:t>
      </w:r>
      <w:r w:rsidR="00E2551A" w:rsidRPr="00E2551A">
        <w:t>earlier than most other students in their cohort.</w:t>
      </w:r>
    </w:p>
    <w:sectPr w:rsidR="00681949" w:rsidRPr="00694ECB" w:rsidSect="003027D5">
      <w:headerReference w:type="even" r:id="rId9"/>
      <w:footerReference w:type="default" r:id="rId10"/>
      <w:pgSz w:w="12240" w:h="15840" w:code="1"/>
      <w:pgMar w:top="936" w:right="936" w:bottom="864"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4EAF0" w14:textId="77777777" w:rsidR="005422A2" w:rsidRDefault="005422A2">
      <w:r>
        <w:separator/>
      </w:r>
    </w:p>
  </w:endnote>
  <w:endnote w:type="continuationSeparator" w:id="0">
    <w:p w14:paraId="6B55F951" w14:textId="77777777" w:rsidR="005422A2" w:rsidRDefault="005422A2">
      <w:r>
        <w:continuationSeparator/>
      </w:r>
    </w:p>
  </w:endnote>
  <w:endnote w:type="continuationNotice" w:id="1">
    <w:p w14:paraId="2FA9A578" w14:textId="77777777" w:rsidR="005422A2" w:rsidRDefault="00542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D27686" w:rsidRDefault="00D27686">
        <w:pPr>
          <w:pStyle w:val="Footer"/>
          <w:jc w:val="center"/>
        </w:pPr>
        <w:r>
          <w:fldChar w:fldCharType="begin"/>
        </w:r>
        <w:r>
          <w:instrText xml:space="preserve"> PAGE   \* MERGEFORMAT </w:instrText>
        </w:r>
        <w:r>
          <w:fldChar w:fldCharType="separate"/>
        </w:r>
        <w:r w:rsidR="00085C42">
          <w:rPr>
            <w:noProof/>
          </w:rPr>
          <w:t>3</w:t>
        </w:r>
        <w:r>
          <w:rPr>
            <w:noProof/>
          </w:rPr>
          <w:fldChar w:fldCharType="end"/>
        </w:r>
      </w:p>
    </w:sdtContent>
  </w:sdt>
  <w:p w14:paraId="4E522FBF" w14:textId="5858BCA6" w:rsidR="00D27686" w:rsidRDefault="00D2768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89CF8" w14:textId="77777777" w:rsidR="005422A2" w:rsidRDefault="005422A2">
      <w:r>
        <w:separator/>
      </w:r>
    </w:p>
  </w:footnote>
  <w:footnote w:type="continuationSeparator" w:id="0">
    <w:p w14:paraId="62E08019" w14:textId="77777777" w:rsidR="005422A2" w:rsidRDefault="005422A2">
      <w:r>
        <w:continuationSeparator/>
      </w:r>
    </w:p>
  </w:footnote>
  <w:footnote w:type="continuationNotice" w:id="1">
    <w:p w14:paraId="4C20B2A4" w14:textId="77777777" w:rsidR="005422A2" w:rsidRDefault="005422A2"/>
  </w:footnote>
  <w:footnote w:id="2">
    <w:p w14:paraId="02FE14F7" w14:textId="77777777" w:rsidR="00F42DEB" w:rsidRDefault="00F42DEB" w:rsidP="00085C42">
      <w:pPr>
        <w:pStyle w:val="FootnoteText"/>
        <w:ind w:left="180" w:hanging="180"/>
      </w:pPr>
      <w:r>
        <w:rPr>
          <w:rStyle w:val="FootnoteReference"/>
        </w:rPr>
        <w:footnoteRef/>
      </w:r>
      <w:r>
        <w:t xml:space="preserve"> The current approved total incentive offer for the H</w:t>
      </w:r>
      <w:bookmarkStart w:id="0" w:name="_GoBack"/>
      <w:bookmarkEnd w:id="0"/>
      <w:r>
        <w:t xml:space="preserve">SNC main sample is $65, however it will be $75 if request 1 to increase boost 2 to $20 for remaining Subgroup </w:t>
      </w:r>
      <w:proofErr w:type="gramStart"/>
      <w:r>
        <w:t>A</w:t>
      </w:r>
      <w:proofErr w:type="gramEnd"/>
      <w:r>
        <w:t xml:space="preserve"> pending </w:t>
      </w:r>
      <w:proofErr w:type="spellStart"/>
      <w:r>
        <w:t>nonrespondents</w:t>
      </w:r>
      <w:proofErr w:type="spellEnd"/>
      <w:r>
        <w:t xml:space="preserve"> is approved.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D27686" w:rsidRDefault="00D2768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F15"/>
    <w:multiLevelType w:val="hybridMultilevel"/>
    <w:tmpl w:val="28C6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1AEA"/>
    <w:multiLevelType w:val="hybridMultilevel"/>
    <w:tmpl w:val="A6A22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DB6B6A"/>
    <w:multiLevelType w:val="hybridMultilevel"/>
    <w:tmpl w:val="36C8EF50"/>
    <w:lvl w:ilvl="0" w:tplc="60F61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0">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32A6DEB"/>
    <w:multiLevelType w:val="hybridMultilevel"/>
    <w:tmpl w:val="C302B5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10566FC"/>
    <w:multiLevelType w:val="hybridMultilevel"/>
    <w:tmpl w:val="44B2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58685584"/>
    <w:multiLevelType w:val="hybridMultilevel"/>
    <w:tmpl w:val="0066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340915"/>
    <w:multiLevelType w:val="hybridMultilevel"/>
    <w:tmpl w:val="244A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1E05EC"/>
    <w:multiLevelType w:val="hybridMultilevel"/>
    <w:tmpl w:val="58CA9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3"/>
  </w:num>
  <w:num w:numId="3">
    <w:abstractNumId w:val="4"/>
  </w:num>
  <w:num w:numId="4">
    <w:abstractNumId w:val="19"/>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7"/>
  </w:num>
  <w:num w:numId="9">
    <w:abstractNumId w:val="17"/>
  </w:num>
  <w:num w:numId="10">
    <w:abstractNumId w:val="0"/>
  </w:num>
  <w:num w:numId="11">
    <w:abstractNumId w:val="1"/>
  </w:num>
  <w:num w:numId="12">
    <w:abstractNumId w:val="2"/>
  </w:num>
  <w:num w:numId="13">
    <w:abstractNumId w:val="14"/>
  </w:num>
  <w:num w:numId="14">
    <w:abstractNumId w:val="9"/>
  </w:num>
  <w:num w:numId="15">
    <w:abstractNumId w:val="11"/>
  </w:num>
  <w:num w:numId="16">
    <w:abstractNumId w:val="10"/>
  </w:num>
  <w:num w:numId="17">
    <w:abstractNumId w:val="5"/>
  </w:num>
  <w:num w:numId="18">
    <w:abstractNumId w:val="21"/>
  </w:num>
  <w:num w:numId="19">
    <w:abstractNumId w:val="8"/>
  </w:num>
  <w:num w:numId="20">
    <w:abstractNumId w:val="16"/>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37B6"/>
    <w:rsid w:val="00026D24"/>
    <w:rsid w:val="0003157E"/>
    <w:rsid w:val="00034BCE"/>
    <w:rsid w:val="00041DBD"/>
    <w:rsid w:val="00043BAF"/>
    <w:rsid w:val="000520EB"/>
    <w:rsid w:val="0005249A"/>
    <w:rsid w:val="00054505"/>
    <w:rsid w:val="0005595A"/>
    <w:rsid w:val="0006440F"/>
    <w:rsid w:val="000650B2"/>
    <w:rsid w:val="00071633"/>
    <w:rsid w:val="00075654"/>
    <w:rsid w:val="0007600F"/>
    <w:rsid w:val="000768D9"/>
    <w:rsid w:val="00081A1A"/>
    <w:rsid w:val="0008530A"/>
    <w:rsid w:val="00085C42"/>
    <w:rsid w:val="00085D18"/>
    <w:rsid w:val="00086510"/>
    <w:rsid w:val="00087219"/>
    <w:rsid w:val="000A2EB9"/>
    <w:rsid w:val="000A625B"/>
    <w:rsid w:val="000A64CB"/>
    <w:rsid w:val="000A65A0"/>
    <w:rsid w:val="000B0168"/>
    <w:rsid w:val="000B3F93"/>
    <w:rsid w:val="000D00E3"/>
    <w:rsid w:val="000D1B8B"/>
    <w:rsid w:val="000D2D03"/>
    <w:rsid w:val="000D740B"/>
    <w:rsid w:val="000E3482"/>
    <w:rsid w:val="000E3EE7"/>
    <w:rsid w:val="000E6B74"/>
    <w:rsid w:val="000E6EF8"/>
    <w:rsid w:val="000E7626"/>
    <w:rsid w:val="000F1D53"/>
    <w:rsid w:val="0010095E"/>
    <w:rsid w:val="0010117D"/>
    <w:rsid w:val="0010135B"/>
    <w:rsid w:val="001022E0"/>
    <w:rsid w:val="00104FEC"/>
    <w:rsid w:val="00107263"/>
    <w:rsid w:val="0011040D"/>
    <w:rsid w:val="001107AC"/>
    <w:rsid w:val="001115AC"/>
    <w:rsid w:val="0011603C"/>
    <w:rsid w:val="001207DC"/>
    <w:rsid w:val="00120E05"/>
    <w:rsid w:val="00122462"/>
    <w:rsid w:val="0012347F"/>
    <w:rsid w:val="001263B1"/>
    <w:rsid w:val="001301E8"/>
    <w:rsid w:val="00132128"/>
    <w:rsid w:val="00134806"/>
    <w:rsid w:val="00146B69"/>
    <w:rsid w:val="001502A3"/>
    <w:rsid w:val="00150A36"/>
    <w:rsid w:val="00153D6A"/>
    <w:rsid w:val="00156F2C"/>
    <w:rsid w:val="001618B3"/>
    <w:rsid w:val="00164B62"/>
    <w:rsid w:val="00174A49"/>
    <w:rsid w:val="00176A2F"/>
    <w:rsid w:val="0019187E"/>
    <w:rsid w:val="00193553"/>
    <w:rsid w:val="001A0238"/>
    <w:rsid w:val="001A269D"/>
    <w:rsid w:val="001A471E"/>
    <w:rsid w:val="001A60C7"/>
    <w:rsid w:val="001A7C89"/>
    <w:rsid w:val="001B15CB"/>
    <w:rsid w:val="001B6BD2"/>
    <w:rsid w:val="001B7ECC"/>
    <w:rsid w:val="001C0B62"/>
    <w:rsid w:val="001C2531"/>
    <w:rsid w:val="001C443B"/>
    <w:rsid w:val="001C4603"/>
    <w:rsid w:val="001C4FA2"/>
    <w:rsid w:val="001D0A3D"/>
    <w:rsid w:val="001D0B88"/>
    <w:rsid w:val="001D47F9"/>
    <w:rsid w:val="001D48CF"/>
    <w:rsid w:val="001D5696"/>
    <w:rsid w:val="001D5BC1"/>
    <w:rsid w:val="001E3C6D"/>
    <w:rsid w:val="001E474A"/>
    <w:rsid w:val="001F4030"/>
    <w:rsid w:val="001F7CE5"/>
    <w:rsid w:val="001F7E7E"/>
    <w:rsid w:val="002007C9"/>
    <w:rsid w:val="002008EF"/>
    <w:rsid w:val="00201B4E"/>
    <w:rsid w:val="00204DC8"/>
    <w:rsid w:val="00204EC3"/>
    <w:rsid w:val="0020523C"/>
    <w:rsid w:val="00211228"/>
    <w:rsid w:val="00215302"/>
    <w:rsid w:val="0021582D"/>
    <w:rsid w:val="00220776"/>
    <w:rsid w:val="0022079E"/>
    <w:rsid w:val="00221822"/>
    <w:rsid w:val="002265C8"/>
    <w:rsid w:val="0022784E"/>
    <w:rsid w:val="002305F8"/>
    <w:rsid w:val="0023083F"/>
    <w:rsid w:val="002312D7"/>
    <w:rsid w:val="00235CA6"/>
    <w:rsid w:val="00241713"/>
    <w:rsid w:val="0025009B"/>
    <w:rsid w:val="002519C7"/>
    <w:rsid w:val="002526C7"/>
    <w:rsid w:val="00263498"/>
    <w:rsid w:val="00264E7F"/>
    <w:rsid w:val="00267F0C"/>
    <w:rsid w:val="002717E7"/>
    <w:rsid w:val="00274D7A"/>
    <w:rsid w:val="00276F00"/>
    <w:rsid w:val="002968A9"/>
    <w:rsid w:val="00296BF9"/>
    <w:rsid w:val="002A1203"/>
    <w:rsid w:val="002A32B5"/>
    <w:rsid w:val="002A3CB7"/>
    <w:rsid w:val="002A3FA1"/>
    <w:rsid w:val="002B3840"/>
    <w:rsid w:val="002B665B"/>
    <w:rsid w:val="002C18AE"/>
    <w:rsid w:val="002C3312"/>
    <w:rsid w:val="002D2609"/>
    <w:rsid w:val="002D30E6"/>
    <w:rsid w:val="002D627D"/>
    <w:rsid w:val="002D7224"/>
    <w:rsid w:val="002D7F37"/>
    <w:rsid w:val="002E1919"/>
    <w:rsid w:val="002E5E18"/>
    <w:rsid w:val="002E6593"/>
    <w:rsid w:val="002F059C"/>
    <w:rsid w:val="002F4659"/>
    <w:rsid w:val="003027D5"/>
    <w:rsid w:val="003029B7"/>
    <w:rsid w:val="003051F0"/>
    <w:rsid w:val="00307255"/>
    <w:rsid w:val="00307F6F"/>
    <w:rsid w:val="00310D00"/>
    <w:rsid w:val="003200C7"/>
    <w:rsid w:val="00323B85"/>
    <w:rsid w:val="00324044"/>
    <w:rsid w:val="003308B7"/>
    <w:rsid w:val="00332A11"/>
    <w:rsid w:val="00335504"/>
    <w:rsid w:val="003440C3"/>
    <w:rsid w:val="00344A28"/>
    <w:rsid w:val="003479C8"/>
    <w:rsid w:val="00353DD7"/>
    <w:rsid w:val="00355F38"/>
    <w:rsid w:val="00357F44"/>
    <w:rsid w:val="00363842"/>
    <w:rsid w:val="003805C1"/>
    <w:rsid w:val="00383320"/>
    <w:rsid w:val="00384346"/>
    <w:rsid w:val="00386497"/>
    <w:rsid w:val="00392434"/>
    <w:rsid w:val="003A2D62"/>
    <w:rsid w:val="003A797A"/>
    <w:rsid w:val="003B1A71"/>
    <w:rsid w:val="003B36CE"/>
    <w:rsid w:val="003B783D"/>
    <w:rsid w:val="003C6FF3"/>
    <w:rsid w:val="003D0EE1"/>
    <w:rsid w:val="003D4730"/>
    <w:rsid w:val="003D5E60"/>
    <w:rsid w:val="003D737C"/>
    <w:rsid w:val="003E1D49"/>
    <w:rsid w:val="003E65C9"/>
    <w:rsid w:val="003E7348"/>
    <w:rsid w:val="003F14B1"/>
    <w:rsid w:val="003F4077"/>
    <w:rsid w:val="003F4DB8"/>
    <w:rsid w:val="003F6A72"/>
    <w:rsid w:val="003F6EF4"/>
    <w:rsid w:val="00404267"/>
    <w:rsid w:val="00405948"/>
    <w:rsid w:val="00410846"/>
    <w:rsid w:val="004138CA"/>
    <w:rsid w:val="00416CCB"/>
    <w:rsid w:val="00421D9B"/>
    <w:rsid w:val="00423961"/>
    <w:rsid w:val="00426EBB"/>
    <w:rsid w:val="00433F7B"/>
    <w:rsid w:val="00441959"/>
    <w:rsid w:val="004451B5"/>
    <w:rsid w:val="00450CC6"/>
    <w:rsid w:val="00457590"/>
    <w:rsid w:val="00463F87"/>
    <w:rsid w:val="00464456"/>
    <w:rsid w:val="00473DB3"/>
    <w:rsid w:val="0047422C"/>
    <w:rsid w:val="004770ED"/>
    <w:rsid w:val="004772D8"/>
    <w:rsid w:val="00482476"/>
    <w:rsid w:val="004862BB"/>
    <w:rsid w:val="0048745F"/>
    <w:rsid w:val="0048758A"/>
    <w:rsid w:val="004961A0"/>
    <w:rsid w:val="004974C5"/>
    <w:rsid w:val="004A25B4"/>
    <w:rsid w:val="004C105F"/>
    <w:rsid w:val="004C1457"/>
    <w:rsid w:val="004C4CBD"/>
    <w:rsid w:val="004C58AF"/>
    <w:rsid w:val="004C730D"/>
    <w:rsid w:val="004D2FA4"/>
    <w:rsid w:val="004E0012"/>
    <w:rsid w:val="004E366D"/>
    <w:rsid w:val="004F3308"/>
    <w:rsid w:val="004F373B"/>
    <w:rsid w:val="004F41C5"/>
    <w:rsid w:val="004F4D11"/>
    <w:rsid w:val="004F6A0B"/>
    <w:rsid w:val="00501AD8"/>
    <w:rsid w:val="00510018"/>
    <w:rsid w:val="00510645"/>
    <w:rsid w:val="005113A0"/>
    <w:rsid w:val="00524287"/>
    <w:rsid w:val="00524385"/>
    <w:rsid w:val="00525932"/>
    <w:rsid w:val="00531C04"/>
    <w:rsid w:val="00532594"/>
    <w:rsid w:val="00532758"/>
    <w:rsid w:val="00534700"/>
    <w:rsid w:val="00536DEA"/>
    <w:rsid w:val="00540294"/>
    <w:rsid w:val="005422A2"/>
    <w:rsid w:val="00543E99"/>
    <w:rsid w:val="005472FC"/>
    <w:rsid w:val="00562224"/>
    <w:rsid w:val="005703D8"/>
    <w:rsid w:val="005742B4"/>
    <w:rsid w:val="0057478E"/>
    <w:rsid w:val="005767ED"/>
    <w:rsid w:val="005779C8"/>
    <w:rsid w:val="00582611"/>
    <w:rsid w:val="005842FA"/>
    <w:rsid w:val="00584B04"/>
    <w:rsid w:val="005872CC"/>
    <w:rsid w:val="00591368"/>
    <w:rsid w:val="005966E0"/>
    <w:rsid w:val="005A04EC"/>
    <w:rsid w:val="005A13AF"/>
    <w:rsid w:val="005A6173"/>
    <w:rsid w:val="005B0D6F"/>
    <w:rsid w:val="005B3D5C"/>
    <w:rsid w:val="005C2E26"/>
    <w:rsid w:val="005D4E22"/>
    <w:rsid w:val="005F499A"/>
    <w:rsid w:val="005F6B2B"/>
    <w:rsid w:val="005F7386"/>
    <w:rsid w:val="005F7402"/>
    <w:rsid w:val="006009C6"/>
    <w:rsid w:val="00602EA4"/>
    <w:rsid w:val="006056BC"/>
    <w:rsid w:val="00606621"/>
    <w:rsid w:val="00606EDA"/>
    <w:rsid w:val="00611991"/>
    <w:rsid w:val="006219D2"/>
    <w:rsid w:val="0062790F"/>
    <w:rsid w:val="00627E50"/>
    <w:rsid w:val="00633C76"/>
    <w:rsid w:val="006400CC"/>
    <w:rsid w:val="00642580"/>
    <w:rsid w:val="0064599C"/>
    <w:rsid w:val="00650E68"/>
    <w:rsid w:val="00656B8E"/>
    <w:rsid w:val="00680FF6"/>
    <w:rsid w:val="00681949"/>
    <w:rsid w:val="006852AD"/>
    <w:rsid w:val="00687548"/>
    <w:rsid w:val="00694ECB"/>
    <w:rsid w:val="00695B48"/>
    <w:rsid w:val="00696340"/>
    <w:rsid w:val="006A1613"/>
    <w:rsid w:val="006A167F"/>
    <w:rsid w:val="006A18C9"/>
    <w:rsid w:val="006A3425"/>
    <w:rsid w:val="006A406E"/>
    <w:rsid w:val="006B1269"/>
    <w:rsid w:val="006B433D"/>
    <w:rsid w:val="006B787D"/>
    <w:rsid w:val="006B7A51"/>
    <w:rsid w:val="006C2929"/>
    <w:rsid w:val="006C4B87"/>
    <w:rsid w:val="006C6733"/>
    <w:rsid w:val="006E02B4"/>
    <w:rsid w:val="006E0A9E"/>
    <w:rsid w:val="006E292A"/>
    <w:rsid w:val="006E5079"/>
    <w:rsid w:val="006F1827"/>
    <w:rsid w:val="006F4ACE"/>
    <w:rsid w:val="006F605E"/>
    <w:rsid w:val="0070407A"/>
    <w:rsid w:val="007054CC"/>
    <w:rsid w:val="00706349"/>
    <w:rsid w:val="00706DFD"/>
    <w:rsid w:val="007116AA"/>
    <w:rsid w:val="00711D1A"/>
    <w:rsid w:val="00713704"/>
    <w:rsid w:val="00715D8F"/>
    <w:rsid w:val="00717268"/>
    <w:rsid w:val="00724ADF"/>
    <w:rsid w:val="00726185"/>
    <w:rsid w:val="00735F3E"/>
    <w:rsid w:val="00736CA1"/>
    <w:rsid w:val="00737D4C"/>
    <w:rsid w:val="00737E25"/>
    <w:rsid w:val="007451A6"/>
    <w:rsid w:val="007517A3"/>
    <w:rsid w:val="00755A6A"/>
    <w:rsid w:val="00760990"/>
    <w:rsid w:val="00760CD9"/>
    <w:rsid w:val="00761660"/>
    <w:rsid w:val="0076259A"/>
    <w:rsid w:val="00763E2A"/>
    <w:rsid w:val="007664E6"/>
    <w:rsid w:val="00770A91"/>
    <w:rsid w:val="0077427A"/>
    <w:rsid w:val="00781B23"/>
    <w:rsid w:val="00783191"/>
    <w:rsid w:val="007978E6"/>
    <w:rsid w:val="007A035A"/>
    <w:rsid w:val="007A10B5"/>
    <w:rsid w:val="007A2F9B"/>
    <w:rsid w:val="007B1682"/>
    <w:rsid w:val="007B22AF"/>
    <w:rsid w:val="007B541A"/>
    <w:rsid w:val="007B7257"/>
    <w:rsid w:val="007C4E0F"/>
    <w:rsid w:val="007C6FC7"/>
    <w:rsid w:val="007C73ED"/>
    <w:rsid w:val="007D2586"/>
    <w:rsid w:val="007D517B"/>
    <w:rsid w:val="007D637B"/>
    <w:rsid w:val="007D64A0"/>
    <w:rsid w:val="007E131D"/>
    <w:rsid w:val="007E68D0"/>
    <w:rsid w:val="007E69AE"/>
    <w:rsid w:val="007F05A3"/>
    <w:rsid w:val="008027A9"/>
    <w:rsid w:val="00805799"/>
    <w:rsid w:val="00810D0E"/>
    <w:rsid w:val="008111EC"/>
    <w:rsid w:val="00812345"/>
    <w:rsid w:val="00812778"/>
    <w:rsid w:val="0081647D"/>
    <w:rsid w:val="008210EE"/>
    <w:rsid w:val="008251CC"/>
    <w:rsid w:val="00825402"/>
    <w:rsid w:val="00833193"/>
    <w:rsid w:val="00834859"/>
    <w:rsid w:val="008412D6"/>
    <w:rsid w:val="00841D7F"/>
    <w:rsid w:val="008434AB"/>
    <w:rsid w:val="0084372C"/>
    <w:rsid w:val="0084454C"/>
    <w:rsid w:val="0084562A"/>
    <w:rsid w:val="00845B02"/>
    <w:rsid w:val="00850AAE"/>
    <w:rsid w:val="008559CA"/>
    <w:rsid w:val="008562D9"/>
    <w:rsid w:val="00856A8B"/>
    <w:rsid w:val="00860449"/>
    <w:rsid w:val="00865F2D"/>
    <w:rsid w:val="00867CAE"/>
    <w:rsid w:val="0087130D"/>
    <w:rsid w:val="00876579"/>
    <w:rsid w:val="00881396"/>
    <w:rsid w:val="00883F68"/>
    <w:rsid w:val="00884ED6"/>
    <w:rsid w:val="0089162D"/>
    <w:rsid w:val="0089658D"/>
    <w:rsid w:val="00897DF7"/>
    <w:rsid w:val="008A023A"/>
    <w:rsid w:val="008A290B"/>
    <w:rsid w:val="008A7CE5"/>
    <w:rsid w:val="008C5D94"/>
    <w:rsid w:val="008D268A"/>
    <w:rsid w:val="008E34D2"/>
    <w:rsid w:val="008F3E6E"/>
    <w:rsid w:val="008F77D6"/>
    <w:rsid w:val="00900196"/>
    <w:rsid w:val="00900919"/>
    <w:rsid w:val="009051BA"/>
    <w:rsid w:val="00905A84"/>
    <w:rsid w:val="00905C1F"/>
    <w:rsid w:val="009104AD"/>
    <w:rsid w:val="0091161A"/>
    <w:rsid w:val="00920369"/>
    <w:rsid w:val="0092090F"/>
    <w:rsid w:val="00921113"/>
    <w:rsid w:val="00921B5D"/>
    <w:rsid w:val="0092247C"/>
    <w:rsid w:val="009271E1"/>
    <w:rsid w:val="009329EC"/>
    <w:rsid w:val="00936D1D"/>
    <w:rsid w:val="0094072D"/>
    <w:rsid w:val="00947596"/>
    <w:rsid w:val="00950A26"/>
    <w:rsid w:val="00954A86"/>
    <w:rsid w:val="00955759"/>
    <w:rsid w:val="00961E2D"/>
    <w:rsid w:val="00970A9E"/>
    <w:rsid w:val="00971BA6"/>
    <w:rsid w:val="00973AEC"/>
    <w:rsid w:val="0097484C"/>
    <w:rsid w:val="009757ED"/>
    <w:rsid w:val="00977F6A"/>
    <w:rsid w:val="0098436B"/>
    <w:rsid w:val="009A16A9"/>
    <w:rsid w:val="009A1FEF"/>
    <w:rsid w:val="009A5A10"/>
    <w:rsid w:val="009A6863"/>
    <w:rsid w:val="009A6F75"/>
    <w:rsid w:val="009B0A84"/>
    <w:rsid w:val="009B0AEC"/>
    <w:rsid w:val="009B4A44"/>
    <w:rsid w:val="009B5EE3"/>
    <w:rsid w:val="009B5F71"/>
    <w:rsid w:val="009C4893"/>
    <w:rsid w:val="009D1DEC"/>
    <w:rsid w:val="009D23A9"/>
    <w:rsid w:val="009D5B14"/>
    <w:rsid w:val="009E06C0"/>
    <w:rsid w:val="009E7F49"/>
    <w:rsid w:val="009F35D0"/>
    <w:rsid w:val="009F504E"/>
    <w:rsid w:val="00A01190"/>
    <w:rsid w:val="00A014B3"/>
    <w:rsid w:val="00A104D5"/>
    <w:rsid w:val="00A14445"/>
    <w:rsid w:val="00A20C61"/>
    <w:rsid w:val="00A20F68"/>
    <w:rsid w:val="00A2357D"/>
    <w:rsid w:val="00A24A66"/>
    <w:rsid w:val="00A27030"/>
    <w:rsid w:val="00A47692"/>
    <w:rsid w:val="00A47FD7"/>
    <w:rsid w:val="00A54EBE"/>
    <w:rsid w:val="00A55535"/>
    <w:rsid w:val="00A5639F"/>
    <w:rsid w:val="00A62835"/>
    <w:rsid w:val="00A71BD3"/>
    <w:rsid w:val="00A7338B"/>
    <w:rsid w:val="00A74B90"/>
    <w:rsid w:val="00A75303"/>
    <w:rsid w:val="00A7716F"/>
    <w:rsid w:val="00A77AFB"/>
    <w:rsid w:val="00A803EA"/>
    <w:rsid w:val="00A857B6"/>
    <w:rsid w:val="00A86020"/>
    <w:rsid w:val="00A91F2B"/>
    <w:rsid w:val="00A95C35"/>
    <w:rsid w:val="00A963BC"/>
    <w:rsid w:val="00AB165B"/>
    <w:rsid w:val="00AB4053"/>
    <w:rsid w:val="00AB72F9"/>
    <w:rsid w:val="00AC1706"/>
    <w:rsid w:val="00AC42BD"/>
    <w:rsid w:val="00AD6427"/>
    <w:rsid w:val="00AE04C7"/>
    <w:rsid w:val="00AE0545"/>
    <w:rsid w:val="00AE20C8"/>
    <w:rsid w:val="00AE4148"/>
    <w:rsid w:val="00AE47B5"/>
    <w:rsid w:val="00AE6CF1"/>
    <w:rsid w:val="00AE7E1E"/>
    <w:rsid w:val="00AF45BB"/>
    <w:rsid w:val="00B034B6"/>
    <w:rsid w:val="00B2664A"/>
    <w:rsid w:val="00B26977"/>
    <w:rsid w:val="00B30CEF"/>
    <w:rsid w:val="00B33C7F"/>
    <w:rsid w:val="00B42518"/>
    <w:rsid w:val="00B43076"/>
    <w:rsid w:val="00B452EF"/>
    <w:rsid w:val="00B525C4"/>
    <w:rsid w:val="00B52FB6"/>
    <w:rsid w:val="00B613DB"/>
    <w:rsid w:val="00B6159B"/>
    <w:rsid w:val="00B70610"/>
    <w:rsid w:val="00B8553D"/>
    <w:rsid w:val="00B909A2"/>
    <w:rsid w:val="00B93AB5"/>
    <w:rsid w:val="00B95A8E"/>
    <w:rsid w:val="00B9753D"/>
    <w:rsid w:val="00BA1CB4"/>
    <w:rsid w:val="00BA21ED"/>
    <w:rsid w:val="00BA4CD1"/>
    <w:rsid w:val="00BA553E"/>
    <w:rsid w:val="00BB2467"/>
    <w:rsid w:val="00BD1078"/>
    <w:rsid w:val="00BD2503"/>
    <w:rsid w:val="00BD2A45"/>
    <w:rsid w:val="00BD55E9"/>
    <w:rsid w:val="00BD7A89"/>
    <w:rsid w:val="00BE11F5"/>
    <w:rsid w:val="00BE14C6"/>
    <w:rsid w:val="00BE24F7"/>
    <w:rsid w:val="00BE400B"/>
    <w:rsid w:val="00BE526A"/>
    <w:rsid w:val="00BE77A9"/>
    <w:rsid w:val="00BF3D7C"/>
    <w:rsid w:val="00BF760A"/>
    <w:rsid w:val="00C037FF"/>
    <w:rsid w:val="00C1044C"/>
    <w:rsid w:val="00C204FB"/>
    <w:rsid w:val="00C2153D"/>
    <w:rsid w:val="00C24AAB"/>
    <w:rsid w:val="00C2639F"/>
    <w:rsid w:val="00C311CF"/>
    <w:rsid w:val="00C32AF0"/>
    <w:rsid w:val="00C36A1E"/>
    <w:rsid w:val="00C40078"/>
    <w:rsid w:val="00C40B43"/>
    <w:rsid w:val="00C436F5"/>
    <w:rsid w:val="00C44EC5"/>
    <w:rsid w:val="00C46BC0"/>
    <w:rsid w:val="00C46C9D"/>
    <w:rsid w:val="00C46DD6"/>
    <w:rsid w:val="00C55CAB"/>
    <w:rsid w:val="00C5614D"/>
    <w:rsid w:val="00C56A4A"/>
    <w:rsid w:val="00C57216"/>
    <w:rsid w:val="00C64734"/>
    <w:rsid w:val="00C67A06"/>
    <w:rsid w:val="00C707D1"/>
    <w:rsid w:val="00C719D7"/>
    <w:rsid w:val="00C729FA"/>
    <w:rsid w:val="00C74747"/>
    <w:rsid w:val="00C749F7"/>
    <w:rsid w:val="00C775EB"/>
    <w:rsid w:val="00C8430A"/>
    <w:rsid w:val="00C90410"/>
    <w:rsid w:val="00CA190D"/>
    <w:rsid w:val="00CA712C"/>
    <w:rsid w:val="00CA754B"/>
    <w:rsid w:val="00CA7D9A"/>
    <w:rsid w:val="00CB3F15"/>
    <w:rsid w:val="00CC5C68"/>
    <w:rsid w:val="00CC7499"/>
    <w:rsid w:val="00CD4E94"/>
    <w:rsid w:val="00CD513B"/>
    <w:rsid w:val="00CD5B1F"/>
    <w:rsid w:val="00CD7F4B"/>
    <w:rsid w:val="00CE19E9"/>
    <w:rsid w:val="00CE3026"/>
    <w:rsid w:val="00CE7988"/>
    <w:rsid w:val="00CF140A"/>
    <w:rsid w:val="00CF418E"/>
    <w:rsid w:val="00CF4648"/>
    <w:rsid w:val="00CF5132"/>
    <w:rsid w:val="00CF7CCF"/>
    <w:rsid w:val="00D011E4"/>
    <w:rsid w:val="00D01851"/>
    <w:rsid w:val="00D018C6"/>
    <w:rsid w:val="00D06678"/>
    <w:rsid w:val="00D07FA6"/>
    <w:rsid w:val="00D10131"/>
    <w:rsid w:val="00D1192E"/>
    <w:rsid w:val="00D24D0D"/>
    <w:rsid w:val="00D2509B"/>
    <w:rsid w:val="00D27686"/>
    <w:rsid w:val="00D3014C"/>
    <w:rsid w:val="00D323D0"/>
    <w:rsid w:val="00D331F7"/>
    <w:rsid w:val="00D3527D"/>
    <w:rsid w:val="00D41CAA"/>
    <w:rsid w:val="00D46398"/>
    <w:rsid w:val="00D51340"/>
    <w:rsid w:val="00D55096"/>
    <w:rsid w:val="00D5570C"/>
    <w:rsid w:val="00D574CE"/>
    <w:rsid w:val="00D615B8"/>
    <w:rsid w:val="00D75C53"/>
    <w:rsid w:val="00D7644A"/>
    <w:rsid w:val="00D81FC1"/>
    <w:rsid w:val="00D84196"/>
    <w:rsid w:val="00D8492D"/>
    <w:rsid w:val="00D90962"/>
    <w:rsid w:val="00D964E4"/>
    <w:rsid w:val="00D96B2D"/>
    <w:rsid w:val="00DA1673"/>
    <w:rsid w:val="00DB0B39"/>
    <w:rsid w:val="00DB3D44"/>
    <w:rsid w:val="00DB6394"/>
    <w:rsid w:val="00DB6824"/>
    <w:rsid w:val="00DB7738"/>
    <w:rsid w:val="00DB7C18"/>
    <w:rsid w:val="00DC738C"/>
    <w:rsid w:val="00DC77AA"/>
    <w:rsid w:val="00DD1B66"/>
    <w:rsid w:val="00DD2458"/>
    <w:rsid w:val="00DD2710"/>
    <w:rsid w:val="00DD3FFC"/>
    <w:rsid w:val="00DE39F0"/>
    <w:rsid w:val="00DE55BC"/>
    <w:rsid w:val="00DF1D08"/>
    <w:rsid w:val="00DF4952"/>
    <w:rsid w:val="00DF5E64"/>
    <w:rsid w:val="00DF6873"/>
    <w:rsid w:val="00E047BE"/>
    <w:rsid w:val="00E06602"/>
    <w:rsid w:val="00E07688"/>
    <w:rsid w:val="00E0786F"/>
    <w:rsid w:val="00E10578"/>
    <w:rsid w:val="00E12822"/>
    <w:rsid w:val="00E1424D"/>
    <w:rsid w:val="00E1456F"/>
    <w:rsid w:val="00E2062A"/>
    <w:rsid w:val="00E20802"/>
    <w:rsid w:val="00E237BA"/>
    <w:rsid w:val="00E2391B"/>
    <w:rsid w:val="00E2551A"/>
    <w:rsid w:val="00E317C4"/>
    <w:rsid w:val="00E31BD9"/>
    <w:rsid w:val="00E32781"/>
    <w:rsid w:val="00E32E16"/>
    <w:rsid w:val="00E4059E"/>
    <w:rsid w:val="00E537AF"/>
    <w:rsid w:val="00E54656"/>
    <w:rsid w:val="00E56FFB"/>
    <w:rsid w:val="00E60B9E"/>
    <w:rsid w:val="00E633F9"/>
    <w:rsid w:val="00E77498"/>
    <w:rsid w:val="00E82959"/>
    <w:rsid w:val="00E83A8D"/>
    <w:rsid w:val="00E852AF"/>
    <w:rsid w:val="00E92D07"/>
    <w:rsid w:val="00E95109"/>
    <w:rsid w:val="00EA4F96"/>
    <w:rsid w:val="00EA52D5"/>
    <w:rsid w:val="00EB0F89"/>
    <w:rsid w:val="00EB1D0F"/>
    <w:rsid w:val="00EB4E9B"/>
    <w:rsid w:val="00EB7058"/>
    <w:rsid w:val="00EC0068"/>
    <w:rsid w:val="00EC2A2D"/>
    <w:rsid w:val="00EC312D"/>
    <w:rsid w:val="00EC31BC"/>
    <w:rsid w:val="00EC388E"/>
    <w:rsid w:val="00EC4172"/>
    <w:rsid w:val="00EC7658"/>
    <w:rsid w:val="00EC76A0"/>
    <w:rsid w:val="00ED0120"/>
    <w:rsid w:val="00ED040A"/>
    <w:rsid w:val="00ED4F7B"/>
    <w:rsid w:val="00EE0269"/>
    <w:rsid w:val="00EE4434"/>
    <w:rsid w:val="00EF0525"/>
    <w:rsid w:val="00EF0887"/>
    <w:rsid w:val="00EF1C3E"/>
    <w:rsid w:val="00EF1D7D"/>
    <w:rsid w:val="00EF2EC7"/>
    <w:rsid w:val="00F07F99"/>
    <w:rsid w:val="00F11A5F"/>
    <w:rsid w:val="00F1251E"/>
    <w:rsid w:val="00F12BD3"/>
    <w:rsid w:val="00F23426"/>
    <w:rsid w:val="00F2558D"/>
    <w:rsid w:val="00F33B51"/>
    <w:rsid w:val="00F354F7"/>
    <w:rsid w:val="00F40625"/>
    <w:rsid w:val="00F407FB"/>
    <w:rsid w:val="00F42DEB"/>
    <w:rsid w:val="00F42FD5"/>
    <w:rsid w:val="00F43220"/>
    <w:rsid w:val="00F516BD"/>
    <w:rsid w:val="00F62981"/>
    <w:rsid w:val="00F6376D"/>
    <w:rsid w:val="00F63E5C"/>
    <w:rsid w:val="00F65EBC"/>
    <w:rsid w:val="00F7318B"/>
    <w:rsid w:val="00F754E4"/>
    <w:rsid w:val="00F83547"/>
    <w:rsid w:val="00F83D55"/>
    <w:rsid w:val="00F83DE3"/>
    <w:rsid w:val="00F86CAD"/>
    <w:rsid w:val="00F91716"/>
    <w:rsid w:val="00F91D72"/>
    <w:rsid w:val="00FA4ED2"/>
    <w:rsid w:val="00FB296D"/>
    <w:rsid w:val="00FC0F0E"/>
    <w:rsid w:val="00FD080F"/>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 w:type="character" w:customStyle="1" w:styleId="Heading1Char">
    <w:name w:val="Heading 1 Char"/>
    <w:basedOn w:val="DefaultParagraphFont"/>
    <w:link w:val="Heading1"/>
    <w:uiPriority w:val="1"/>
    <w:rsid w:val="006009C6"/>
    <w:rPr>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 w:type="character" w:customStyle="1" w:styleId="Heading1Char">
    <w:name w:val="Heading 1 Char"/>
    <w:basedOn w:val="DefaultParagraphFont"/>
    <w:link w:val="Heading1"/>
    <w:uiPriority w:val="1"/>
    <w:rsid w:val="006009C6"/>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9710">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00383094">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14962161">
      <w:bodyDiv w:val="1"/>
      <w:marLeft w:val="0"/>
      <w:marRight w:val="0"/>
      <w:marTop w:val="0"/>
      <w:marBottom w:val="0"/>
      <w:divBdr>
        <w:top w:val="none" w:sz="0" w:space="0" w:color="auto"/>
        <w:left w:val="none" w:sz="0" w:space="0" w:color="auto"/>
        <w:bottom w:val="none" w:sz="0" w:space="0" w:color="auto"/>
        <w:right w:val="none" w:sz="0" w:space="0" w:color="auto"/>
      </w:divBdr>
    </w:div>
    <w:div w:id="81155456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10364725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2563582">
      <w:bodyDiv w:val="1"/>
      <w:marLeft w:val="0"/>
      <w:marRight w:val="0"/>
      <w:marTop w:val="0"/>
      <w:marBottom w:val="0"/>
      <w:divBdr>
        <w:top w:val="none" w:sz="0" w:space="0" w:color="auto"/>
        <w:left w:val="none" w:sz="0" w:space="0" w:color="auto"/>
        <w:bottom w:val="none" w:sz="0" w:space="0" w:color="auto"/>
        <w:right w:val="none" w:sz="0" w:space="0" w:color="auto"/>
      </w:divBdr>
    </w:div>
    <w:div w:id="1259293046">
      <w:bodyDiv w:val="1"/>
      <w:marLeft w:val="0"/>
      <w:marRight w:val="0"/>
      <w:marTop w:val="0"/>
      <w:marBottom w:val="0"/>
      <w:divBdr>
        <w:top w:val="none" w:sz="0" w:space="0" w:color="auto"/>
        <w:left w:val="none" w:sz="0" w:space="0" w:color="auto"/>
        <w:bottom w:val="none" w:sz="0" w:space="0" w:color="auto"/>
        <w:right w:val="none" w:sz="0" w:space="0" w:color="auto"/>
      </w:divBdr>
    </w:div>
    <w:div w:id="1316911189">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EA4D4-5167-49E5-A9B4-2EF41B26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U.S. Department of Education</cp:lastModifiedBy>
  <cp:revision>8</cp:revision>
  <cp:lastPrinted>2016-09-09T14:21:00Z</cp:lastPrinted>
  <dcterms:created xsi:type="dcterms:W3CDTF">2016-09-09T15:20:00Z</dcterms:created>
  <dcterms:modified xsi:type="dcterms:W3CDTF">2016-09-23T13:58:00Z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