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3038-00</w:t>
      </w:r>
      <w:r w:rsidR="0044799F">
        <w:rPr>
          <w:rFonts w:eastAsia="Times New Roman" w:cs="Times New Roman"/>
          <w:b/>
          <w:szCs w:val="24"/>
        </w:rPr>
        <w:t>24</w:t>
      </w:r>
    </w:p>
    <w:p w:rsidR="00D12FEB" w:rsidRPr="00642B6A" w:rsidRDefault="00D12FEB" w:rsidP="00642B6A">
      <w:pPr>
        <w:tabs>
          <w:tab w:val="center" w:pos="4680"/>
        </w:tabs>
        <w:suppressAutoHyphens/>
        <w:spacing w:after="240"/>
        <w:jc w:val="center"/>
        <w:rPr>
          <w:rFonts w:eastAsia="Times New Roman" w:cs="Times New Roman"/>
          <w:b/>
          <w:szCs w:val="24"/>
        </w:rPr>
      </w:pP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w:t>
      </w:r>
      <w:r w:rsidR="00577F1F" w:rsidRPr="00642B6A">
        <w:rPr>
          <w:rFonts w:eastAsia="Times New Roman" w:cs="Times New Roman"/>
          <w:color w:val="000000"/>
          <w:szCs w:val="24"/>
        </w:rPr>
        <w:t>7</w:t>
      </w:r>
      <w:r w:rsidR="00577F1F">
        <w:rPr>
          <w:rFonts w:eastAsia="Times New Roman" w:cs="Times New Roman"/>
          <w:color w:val="000000"/>
          <w:szCs w:val="24"/>
        </w:rPr>
        <w:t>31</w:t>
      </w:r>
      <w:r w:rsidRPr="00642B6A">
        <w:rPr>
          <w:rFonts w:eastAsia="Times New Roman" w:cs="Times New Roman"/>
          <w:color w:val="000000"/>
          <w:szCs w:val="24"/>
        </w:rPr>
        <w:t xml:space="preserve"> of the Dodd-Frank Wall Street Reform and Consumer Protection Act</w:t>
      </w:r>
      <w:r w:rsidR="00F02CC0">
        <w:rPr>
          <w:rFonts w:eastAsia="Times New Roman" w:cs="Times New Roman"/>
          <w:color w:val="000000"/>
          <w:szCs w:val="24"/>
        </w:rPr>
        <w:t xml:space="preserve"> (“Dodd-Frank Act”)</w:t>
      </w:r>
      <w:r w:rsidRPr="00642B6A">
        <w:rPr>
          <w:rFonts w:eastAsia="Times New Roman" w:cs="Times New Roman"/>
          <w:color w:val="000000"/>
          <w:szCs w:val="24"/>
        </w:rPr>
        <w:t>, P.L. 111-023, 124 stat. 1376, amend</w:t>
      </w:r>
      <w:r w:rsidR="00577F1F">
        <w:rPr>
          <w:rFonts w:eastAsia="Times New Roman" w:cs="Times New Roman"/>
          <w:color w:val="000000"/>
          <w:szCs w:val="24"/>
        </w:rPr>
        <w:t>ed</w:t>
      </w:r>
      <w:r w:rsidRPr="00642B6A">
        <w:rPr>
          <w:rFonts w:eastAsia="Times New Roman" w:cs="Times New Roman"/>
          <w:color w:val="000000"/>
          <w:szCs w:val="24"/>
        </w:rPr>
        <w:t xml:space="preserve">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to add, as section 4</w:t>
      </w:r>
      <w:r w:rsidR="0074122B">
        <w:rPr>
          <w:rFonts w:eastAsia="Times New Roman" w:cs="Times New Roman"/>
          <w:color w:val="000000"/>
          <w:szCs w:val="24"/>
        </w:rPr>
        <w:t>s</w:t>
      </w:r>
      <w:r w:rsidRPr="00642B6A">
        <w:rPr>
          <w:rFonts w:eastAsia="Times New Roman" w:cs="Times New Roman"/>
          <w:color w:val="000000"/>
          <w:szCs w:val="24"/>
        </w:rPr>
        <w:t>(</w:t>
      </w:r>
      <w:r w:rsidR="0074122B">
        <w:rPr>
          <w:rFonts w:eastAsia="Times New Roman" w:cs="Times New Roman"/>
          <w:color w:val="000000"/>
          <w:szCs w:val="24"/>
        </w:rPr>
        <w:t>e</w:t>
      </w:r>
      <w:r w:rsidRPr="00642B6A">
        <w:rPr>
          <w:rFonts w:eastAsia="Times New Roman" w:cs="Times New Roman"/>
          <w:color w:val="000000"/>
          <w:szCs w:val="24"/>
        </w:rPr>
        <w:t xml:space="preserve">) thereof, provisions concerning </w:t>
      </w:r>
      <w:r w:rsidR="0074122B">
        <w:rPr>
          <w:rFonts w:eastAsia="Times New Roman" w:cs="Times New Roman"/>
          <w:color w:val="000000"/>
          <w:szCs w:val="24"/>
        </w:rPr>
        <w:t xml:space="preserve">the setting of initial and variation margin requirements for swap dealers (“SDs”) and major swap participants (“MSPs”).  The Commission is proposing </w:t>
      </w:r>
      <w:r w:rsidR="007C5B3F">
        <w:rPr>
          <w:rFonts w:eastAsia="Times New Roman" w:cs="Times New Roman"/>
          <w:color w:val="000000"/>
          <w:szCs w:val="24"/>
        </w:rPr>
        <w:t>the margin rule</w:t>
      </w:r>
      <w:r w:rsidR="00557EF2">
        <w:rPr>
          <w:rFonts w:eastAsia="Times New Roman" w:cs="Times New Roman"/>
          <w:color w:val="000000"/>
          <w:szCs w:val="24"/>
        </w:rPr>
        <w:t xml:space="preserve"> to implement those requirements</w:t>
      </w:r>
      <w:r w:rsidR="00751B4D">
        <w:rPr>
          <w:rFonts w:eastAsia="Times New Roman" w:cs="Times New Roman"/>
          <w:color w:val="000000"/>
          <w:szCs w:val="24"/>
        </w:rPr>
        <w:t>.</w:t>
      </w:r>
    </w:p>
    <w:p w:rsidR="007C5B3F" w:rsidRDefault="007C5B3F" w:rsidP="00642B6A">
      <w:pPr>
        <w:autoSpaceDE w:val="0"/>
        <w:autoSpaceDN w:val="0"/>
        <w:adjustRightInd w:val="0"/>
        <w:rPr>
          <w:rFonts w:eastAsia="Times New Roman" w:cs="Times New Roman"/>
          <w:color w:val="000000"/>
          <w:szCs w:val="24"/>
        </w:rPr>
      </w:pPr>
    </w:p>
    <w:p w:rsidR="0044799F" w:rsidRDefault="007C5B3F" w:rsidP="00642B6A">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Specifically, the </w:t>
      </w:r>
      <w:r w:rsidR="0044799F">
        <w:rPr>
          <w:rFonts w:eastAsia="Times New Roman" w:cs="Times New Roman"/>
          <w:color w:val="000000"/>
          <w:szCs w:val="24"/>
        </w:rPr>
        <w:t>Proposed Regulation 23.154(b)</w:t>
      </w:r>
      <w:r>
        <w:rPr>
          <w:rFonts w:eastAsia="Times New Roman" w:cs="Times New Roman"/>
          <w:color w:val="000000"/>
          <w:szCs w:val="24"/>
        </w:rPr>
        <w:t xml:space="preserve"> would require SDs and MSPs that are using a model to compute</w:t>
      </w:r>
      <w:r w:rsidR="0044799F">
        <w:rPr>
          <w:rFonts w:eastAsia="Times New Roman" w:cs="Times New Roman"/>
          <w:color w:val="000000"/>
          <w:szCs w:val="24"/>
        </w:rPr>
        <w:t xml:space="preserve"> initial</w:t>
      </w:r>
      <w:r>
        <w:rPr>
          <w:rFonts w:eastAsia="Times New Roman" w:cs="Times New Roman"/>
          <w:color w:val="000000"/>
          <w:szCs w:val="24"/>
        </w:rPr>
        <w:t xml:space="preserve"> margin requirements to submit the model for review and approval by the Commission.  The SDs and MSPs must also notify the Commission upon making certain changes to the model, including modifying material modeling assumptions</w:t>
      </w:r>
      <w:r w:rsidR="0044799F">
        <w:rPr>
          <w:rFonts w:eastAsia="Times New Roman" w:cs="Times New Roman"/>
          <w:color w:val="000000"/>
          <w:szCs w:val="24"/>
        </w:rPr>
        <w:t xml:space="preserve"> and extending the model to additional product types</w:t>
      </w:r>
      <w:r>
        <w:rPr>
          <w:rFonts w:eastAsia="Times New Roman" w:cs="Times New Roman"/>
          <w:color w:val="000000"/>
          <w:szCs w:val="24"/>
        </w:rPr>
        <w:t xml:space="preserve">.  The SDs and MSPs must also meet various other requirements, including validating and demonstrating the reasonableness of the process for modeling and measuring hedging benefits.  </w:t>
      </w:r>
    </w:p>
    <w:p w:rsidR="0044799F" w:rsidRDefault="0044799F" w:rsidP="00642B6A">
      <w:pPr>
        <w:autoSpaceDE w:val="0"/>
        <w:autoSpaceDN w:val="0"/>
        <w:adjustRightInd w:val="0"/>
        <w:rPr>
          <w:rFonts w:eastAsia="Times New Roman" w:cs="Times New Roman"/>
          <w:color w:val="000000"/>
          <w:szCs w:val="24"/>
        </w:rPr>
      </w:pPr>
    </w:p>
    <w:p w:rsidR="007C5B3F" w:rsidRPr="00642B6A" w:rsidRDefault="0044799F" w:rsidP="0044799F">
      <w:pPr>
        <w:autoSpaceDE w:val="0"/>
        <w:autoSpaceDN w:val="0"/>
        <w:adjustRightInd w:val="0"/>
        <w:rPr>
          <w:rFonts w:eastAsia="Times New Roman" w:cs="Times New Roman"/>
          <w:color w:val="000000"/>
          <w:szCs w:val="24"/>
        </w:rPr>
      </w:pPr>
      <w:r>
        <w:rPr>
          <w:rFonts w:eastAsia="Times New Roman" w:cs="Times New Roman"/>
          <w:color w:val="000000"/>
          <w:szCs w:val="24"/>
        </w:rPr>
        <w:tab/>
        <w:t xml:space="preserve">Proposed Regulation 23.159(d) would allow an SD or MSP to request the Commission to make a determination that the SD or MSP could comply with the margin requirements in a foreign jurisdiction rather than the margin rules promulgated by the Commission (a “substituted compliance determination”).  A request for substituted compliance determination must include a submission to the Commission describing a variety of factors, including a description of the scope and objectives of the foreign regulatory framework for non-cleared swaps; the specific provisions of the foreign regulatory framework for non-cleared swaps; the supervisory compliance program and enforcement authority exercised by the foreign regulatory authority or authorities in such system to support its oversight of the application of the non-cleared swap regulatory framework; and any other descriptions and documentation that the Commission determine are appropriate.  </w:t>
      </w:r>
    </w:p>
    <w:p w:rsidR="00642B6A" w:rsidRPr="00642B6A" w:rsidRDefault="00642B6A" w:rsidP="00642B6A">
      <w:pPr>
        <w:autoSpaceDE w:val="0"/>
        <w:autoSpaceDN w:val="0"/>
        <w:adjustRightInd w:val="0"/>
        <w:rPr>
          <w:rFonts w:eastAsia="Times New Roman" w:cs="Times New Roman"/>
          <w:color w:val="000000"/>
          <w:szCs w:val="24"/>
        </w:rPr>
      </w:pPr>
    </w:p>
    <w:p w:rsid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r>
      <w:r w:rsidR="004A5F11" w:rsidRPr="004A5F11">
        <w:rPr>
          <w:rFonts w:eastAsia="Times New Roman" w:cs="Times New Roman"/>
          <w:color w:val="000000"/>
          <w:szCs w:val="24"/>
        </w:rPr>
        <w:t xml:space="preserve">The collections of information that are proposed by this rulemaking are necessary to implement Section </w:t>
      </w:r>
      <w:proofErr w:type="gramStart"/>
      <w:r w:rsidR="004A5F11" w:rsidRPr="004A5F11">
        <w:rPr>
          <w:rFonts w:eastAsia="Times New Roman" w:cs="Times New Roman"/>
          <w:color w:val="000000"/>
          <w:szCs w:val="24"/>
        </w:rPr>
        <w:t>4s(</w:t>
      </w:r>
      <w:proofErr w:type="gramEnd"/>
      <w:r w:rsidR="004A5F11" w:rsidRPr="004A5F11">
        <w:rPr>
          <w:rFonts w:eastAsia="Times New Roman" w:cs="Times New Roman"/>
          <w:color w:val="000000"/>
          <w:szCs w:val="24"/>
        </w:rPr>
        <w:t xml:space="preserve">e) of the CEA, which expressly requires the Commission to adopt rules governing margin requirements for SDs and MSPs.  </w:t>
      </w:r>
      <w:r w:rsidR="00EB0FA7">
        <w:rPr>
          <w:rFonts w:eastAsia="Times New Roman" w:cs="Times New Roman"/>
          <w:color w:val="000000"/>
          <w:szCs w:val="24"/>
        </w:rPr>
        <w:t xml:space="preserve">The </w:t>
      </w:r>
      <w:r w:rsidR="00DB00E1">
        <w:rPr>
          <w:rFonts w:eastAsia="Times New Roman" w:cs="Times New Roman"/>
          <w:color w:val="000000"/>
          <w:szCs w:val="24"/>
        </w:rPr>
        <w:t>information required for the prior written approval of</w:t>
      </w:r>
      <w:r w:rsidR="00882745">
        <w:rPr>
          <w:rFonts w:eastAsia="Times New Roman" w:cs="Times New Roman"/>
          <w:color w:val="000000"/>
          <w:szCs w:val="24"/>
        </w:rPr>
        <w:t xml:space="preserve"> the</w:t>
      </w:r>
      <w:r w:rsidR="00DB00E1">
        <w:rPr>
          <w:rFonts w:eastAsia="Times New Roman" w:cs="Times New Roman"/>
          <w:color w:val="000000"/>
          <w:szCs w:val="24"/>
        </w:rPr>
        <w:t xml:space="preserve"> margin model</w:t>
      </w:r>
      <w:r w:rsidR="00882745">
        <w:rPr>
          <w:rFonts w:eastAsia="Times New Roman" w:cs="Times New Roman"/>
          <w:color w:val="000000"/>
          <w:szCs w:val="24"/>
        </w:rPr>
        <w:t xml:space="preserve"> is</w:t>
      </w:r>
      <w:r w:rsidR="00DB00E1">
        <w:rPr>
          <w:rFonts w:eastAsia="Times New Roman" w:cs="Times New Roman"/>
          <w:color w:val="000000"/>
          <w:szCs w:val="24"/>
        </w:rPr>
        <w:t xml:space="preserve"> needed to</w:t>
      </w:r>
      <w:r w:rsidR="00DB00E1" w:rsidRPr="00DB00E1">
        <w:rPr>
          <w:rFonts w:eastAsia="Times New Roman" w:cs="Times New Roman"/>
          <w:color w:val="000000"/>
          <w:szCs w:val="24"/>
        </w:rPr>
        <w:t xml:space="preserve"> demonstrate that the model satisfied all of the requirements of </w:t>
      </w:r>
      <w:r w:rsidR="00DB00E1">
        <w:rPr>
          <w:rFonts w:eastAsia="Times New Roman" w:cs="Times New Roman"/>
          <w:color w:val="000000"/>
          <w:szCs w:val="24"/>
        </w:rPr>
        <w:t xml:space="preserve">proposed Regulation 23.154(b).  </w:t>
      </w:r>
      <w:r w:rsidR="00EB0FA7">
        <w:rPr>
          <w:rFonts w:eastAsia="Times New Roman" w:cs="Times New Roman"/>
          <w:color w:val="000000"/>
          <w:szCs w:val="24"/>
        </w:rPr>
        <w:t xml:space="preserve">Also, </w:t>
      </w:r>
      <w:r w:rsidR="00882745">
        <w:rPr>
          <w:rFonts w:eastAsia="Times New Roman" w:cs="Times New Roman"/>
          <w:color w:val="000000"/>
          <w:szCs w:val="24"/>
        </w:rPr>
        <w:t>as noted above, t</w:t>
      </w:r>
      <w:r w:rsidR="00DB00E1">
        <w:rPr>
          <w:rFonts w:eastAsia="Times New Roman" w:cs="Times New Roman"/>
          <w:color w:val="000000"/>
          <w:szCs w:val="24"/>
        </w:rPr>
        <w:t>he information and documentation requ</w:t>
      </w:r>
      <w:r w:rsidR="00882745">
        <w:rPr>
          <w:rFonts w:eastAsia="Times New Roman" w:cs="Times New Roman"/>
          <w:color w:val="000000"/>
          <w:szCs w:val="24"/>
        </w:rPr>
        <w:t>irements of proposed Regulation 23.159(d)</w:t>
      </w:r>
      <w:r w:rsidR="00EB0FA7" w:rsidRPr="00EB0FA7">
        <w:rPr>
          <w:rFonts w:eastAsia="Times New Roman" w:cs="Times New Roman"/>
          <w:color w:val="000000"/>
          <w:szCs w:val="24"/>
        </w:rPr>
        <w:t xml:space="preserve"> would </w:t>
      </w:r>
      <w:r w:rsidR="00882745">
        <w:rPr>
          <w:rFonts w:eastAsia="Times New Roman" w:cs="Times New Roman"/>
          <w:color w:val="000000"/>
          <w:szCs w:val="24"/>
        </w:rPr>
        <w:t>be necessary for</w:t>
      </w:r>
      <w:r w:rsidR="00DB00E1">
        <w:rPr>
          <w:rFonts w:eastAsia="Times New Roman" w:cs="Times New Roman"/>
          <w:color w:val="000000"/>
          <w:szCs w:val="24"/>
        </w:rPr>
        <w:t xml:space="preserve"> the </w:t>
      </w:r>
      <w:r w:rsidR="00DB00E1">
        <w:rPr>
          <w:rFonts w:eastAsia="Times New Roman" w:cs="Times New Roman"/>
          <w:color w:val="000000"/>
          <w:szCs w:val="24"/>
        </w:rPr>
        <w:lastRenderedPageBreak/>
        <w:t xml:space="preserve">Commission to </w:t>
      </w:r>
      <w:r w:rsidR="00EB0FA7" w:rsidRPr="00EB0FA7">
        <w:rPr>
          <w:rFonts w:eastAsia="Times New Roman" w:cs="Times New Roman"/>
          <w:color w:val="000000"/>
          <w:szCs w:val="24"/>
        </w:rPr>
        <w:t xml:space="preserve">consider whether the requirements of the foreign rules </w:t>
      </w:r>
      <w:r w:rsidR="00DB00E1">
        <w:rPr>
          <w:rFonts w:eastAsia="Times New Roman" w:cs="Times New Roman"/>
          <w:color w:val="000000"/>
          <w:szCs w:val="24"/>
        </w:rPr>
        <w:t>are</w:t>
      </w:r>
      <w:r w:rsidR="00EB0FA7" w:rsidRPr="00EB0FA7">
        <w:rPr>
          <w:rFonts w:eastAsia="Times New Roman" w:cs="Times New Roman"/>
          <w:color w:val="000000"/>
          <w:szCs w:val="24"/>
        </w:rPr>
        <w:t xml:space="preserve"> comparable to the applicable requirements of the Commission’s rules and </w:t>
      </w:r>
      <w:r w:rsidR="00DB00E1">
        <w:rPr>
          <w:rFonts w:eastAsia="Times New Roman" w:cs="Times New Roman"/>
          <w:color w:val="000000"/>
          <w:szCs w:val="24"/>
        </w:rPr>
        <w:t>are</w:t>
      </w:r>
      <w:r w:rsidR="00EB0FA7" w:rsidRPr="00EB0FA7">
        <w:rPr>
          <w:rFonts w:eastAsia="Times New Roman" w:cs="Times New Roman"/>
          <w:color w:val="000000"/>
          <w:szCs w:val="24"/>
        </w:rPr>
        <w:t xml:space="preserve"> appropriate for the safe and sound operation of the CSE taking into account the risks associated with the swaps.</w:t>
      </w:r>
    </w:p>
    <w:p w:rsidR="00C032F4" w:rsidRPr="00B86819" w:rsidRDefault="00C032F4" w:rsidP="00642B6A">
      <w:pPr>
        <w:autoSpaceDE w:val="0"/>
        <w:autoSpaceDN w:val="0"/>
        <w:adjustRightInd w:val="0"/>
        <w:rPr>
          <w:rFonts w:eastAsia="Times New Roman" w:cs="Times New Roman"/>
          <w:color w:val="000000"/>
          <w:szCs w:val="24"/>
        </w:rPr>
      </w:pPr>
    </w:p>
    <w:p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Default="00233D65" w:rsidP="003677B4">
      <w:pPr>
        <w:ind w:firstLine="720"/>
        <w:rPr>
          <w:rFonts w:eastAsia="Times New Roman" w:cs="Times New Roman"/>
          <w:color w:val="000000"/>
          <w:szCs w:val="24"/>
        </w:rPr>
      </w:pPr>
      <w:r>
        <w:rPr>
          <w:rFonts w:eastAsia="Times New Roman" w:cs="Times New Roman"/>
          <w:szCs w:val="24"/>
        </w:rPr>
        <w:t xml:space="preserve">The </w:t>
      </w:r>
      <w:r w:rsidR="001577B2">
        <w:rPr>
          <w:rFonts w:eastAsia="Times New Roman" w:cs="Times New Roman"/>
          <w:szCs w:val="24"/>
        </w:rPr>
        <w:t xml:space="preserve">margin </w:t>
      </w:r>
      <w:r>
        <w:rPr>
          <w:rFonts w:eastAsia="Times New Roman" w:cs="Times New Roman"/>
          <w:szCs w:val="24"/>
        </w:rPr>
        <w:t xml:space="preserve">information will be submitted to the Commission by SDs and MSPs that wish to use models to compute initial margin requirements for </w:t>
      </w:r>
      <w:proofErr w:type="spellStart"/>
      <w:r>
        <w:rPr>
          <w:rFonts w:eastAsia="Times New Roman" w:cs="Times New Roman"/>
          <w:szCs w:val="24"/>
        </w:rPr>
        <w:t>uncleared</w:t>
      </w:r>
      <w:proofErr w:type="spellEnd"/>
      <w:r w:rsidR="001577B2">
        <w:rPr>
          <w:rFonts w:eastAsia="Times New Roman" w:cs="Times New Roman"/>
          <w:szCs w:val="24"/>
        </w:rPr>
        <w:t xml:space="preserve"> swap transactions in lieu of </w:t>
      </w:r>
      <w:r>
        <w:rPr>
          <w:rFonts w:eastAsia="Times New Roman" w:cs="Times New Roman"/>
          <w:szCs w:val="24"/>
        </w:rPr>
        <w:t xml:space="preserve">standard table-based margin requirements.  The information may be submitted electronically or by hard copy to the Commission.  </w:t>
      </w:r>
      <w:r w:rsidR="00642B6A" w:rsidRPr="00B86819">
        <w:rPr>
          <w:rFonts w:eastAsia="Times New Roman" w:cs="Times New Roman"/>
          <w:szCs w:val="24"/>
        </w:rPr>
        <w:t xml:space="preserve">The </w:t>
      </w:r>
      <w:r w:rsidR="00836741">
        <w:rPr>
          <w:rFonts w:eastAsia="Times New Roman" w:cs="Times New Roman"/>
          <w:szCs w:val="24"/>
        </w:rPr>
        <w:t>collection of information</w:t>
      </w:r>
      <w:r w:rsidR="00642B6A" w:rsidRPr="00B86819">
        <w:rPr>
          <w:rFonts w:eastAsia="Times New Roman" w:cs="Times New Roman"/>
          <w:szCs w:val="24"/>
        </w:rPr>
        <w:t xml:space="preserve"> </w:t>
      </w:r>
      <w:r w:rsidR="003677B4">
        <w:rPr>
          <w:rFonts w:eastAsia="Times New Roman" w:cs="Times New Roman"/>
          <w:szCs w:val="24"/>
        </w:rPr>
        <w:t xml:space="preserve">will </w:t>
      </w:r>
      <w:r w:rsidR="00882745">
        <w:rPr>
          <w:rFonts w:eastAsia="Times New Roman" w:cs="Times New Roman"/>
          <w:szCs w:val="24"/>
        </w:rPr>
        <w:t xml:space="preserve">be used by </w:t>
      </w:r>
      <w:r w:rsidR="0037312F">
        <w:rPr>
          <w:rFonts w:eastAsia="Times New Roman" w:cs="Times New Roman"/>
          <w:szCs w:val="24"/>
        </w:rPr>
        <w:t>the Commission to eval</w:t>
      </w:r>
      <w:r w:rsidR="007724B6">
        <w:rPr>
          <w:rFonts w:eastAsia="Times New Roman" w:cs="Times New Roman"/>
          <w:szCs w:val="24"/>
        </w:rPr>
        <w:t xml:space="preserve">uate whether </w:t>
      </w:r>
      <w:r>
        <w:rPr>
          <w:rFonts w:eastAsia="Times New Roman" w:cs="Times New Roman"/>
          <w:szCs w:val="24"/>
        </w:rPr>
        <w:t xml:space="preserve">the SDs and MSPs </w:t>
      </w:r>
      <w:r w:rsidR="007724B6">
        <w:rPr>
          <w:rFonts w:eastAsia="Times New Roman" w:cs="Times New Roman"/>
          <w:szCs w:val="24"/>
        </w:rPr>
        <w:t>initial margin models satisfy the regulatory standards and other requirements</w:t>
      </w:r>
      <w:r>
        <w:rPr>
          <w:rFonts w:eastAsia="Times New Roman" w:cs="Times New Roman"/>
          <w:szCs w:val="24"/>
        </w:rPr>
        <w:t xml:space="preserve"> established by the regulations.  </w:t>
      </w:r>
      <w:r w:rsidR="007724B6">
        <w:rPr>
          <w:rFonts w:eastAsia="Times New Roman" w:cs="Times New Roman"/>
          <w:szCs w:val="24"/>
        </w:rPr>
        <w:t xml:space="preserve">The initial margin requirements </w:t>
      </w:r>
      <w:r>
        <w:rPr>
          <w:rFonts w:eastAsia="Times New Roman" w:cs="Times New Roman"/>
          <w:szCs w:val="24"/>
        </w:rPr>
        <w:t xml:space="preserve">for models are </w:t>
      </w:r>
      <w:r w:rsidR="007724B6">
        <w:rPr>
          <w:rFonts w:eastAsia="Times New Roman" w:cs="Times New Roman"/>
          <w:szCs w:val="24"/>
        </w:rPr>
        <w:t xml:space="preserve">designed to </w:t>
      </w:r>
      <w:r w:rsidR="001577B2">
        <w:rPr>
          <w:rFonts w:eastAsia="Times New Roman" w:cs="Times New Roman"/>
          <w:szCs w:val="24"/>
        </w:rPr>
        <w:t>require</w:t>
      </w:r>
      <w:r w:rsidR="007724B6">
        <w:rPr>
          <w:rFonts w:eastAsia="Times New Roman" w:cs="Times New Roman"/>
          <w:szCs w:val="24"/>
        </w:rPr>
        <w:t xml:space="preserve"> SDs and MSPs </w:t>
      </w:r>
      <w:r w:rsidR="001577B2">
        <w:rPr>
          <w:rFonts w:eastAsia="Times New Roman" w:cs="Times New Roman"/>
          <w:szCs w:val="24"/>
        </w:rPr>
        <w:t xml:space="preserve">to </w:t>
      </w:r>
      <w:r w:rsidR="007724B6">
        <w:rPr>
          <w:rFonts w:eastAsia="Times New Roman" w:cs="Times New Roman"/>
          <w:szCs w:val="24"/>
        </w:rPr>
        <w:t xml:space="preserve">collect sufficient amounts of </w:t>
      </w:r>
      <w:r>
        <w:rPr>
          <w:rFonts w:eastAsia="Times New Roman" w:cs="Times New Roman"/>
          <w:szCs w:val="24"/>
        </w:rPr>
        <w:t xml:space="preserve">collateral </w:t>
      </w:r>
      <w:r w:rsidR="007724B6">
        <w:rPr>
          <w:rFonts w:eastAsia="Times New Roman" w:cs="Times New Roman"/>
          <w:szCs w:val="24"/>
        </w:rPr>
        <w:t xml:space="preserve">from counterparties to </w:t>
      </w:r>
      <w:r>
        <w:rPr>
          <w:rFonts w:eastAsia="Times New Roman" w:cs="Times New Roman"/>
          <w:szCs w:val="24"/>
        </w:rPr>
        <w:t xml:space="preserve">protect against the </w:t>
      </w:r>
      <w:r w:rsidR="001577B2">
        <w:rPr>
          <w:rFonts w:eastAsia="Times New Roman" w:cs="Times New Roman"/>
          <w:szCs w:val="24"/>
        </w:rPr>
        <w:t xml:space="preserve">possible </w:t>
      </w:r>
      <w:r>
        <w:rPr>
          <w:rFonts w:eastAsia="Times New Roman" w:cs="Times New Roman"/>
          <w:szCs w:val="24"/>
        </w:rPr>
        <w:t xml:space="preserve">default of the counterparty.  The </w:t>
      </w:r>
      <w:r w:rsidR="003677B4">
        <w:rPr>
          <w:rFonts w:eastAsia="Times New Roman" w:cs="Times New Roman"/>
          <w:szCs w:val="24"/>
        </w:rPr>
        <w:t xml:space="preserve">soundness and adequacy of margin models promote the </w:t>
      </w:r>
      <w:r w:rsidR="00A54471">
        <w:rPr>
          <w:rFonts w:eastAsia="Times New Roman" w:cs="Times New Roman"/>
          <w:szCs w:val="24"/>
        </w:rPr>
        <w:t>financial integrity</w:t>
      </w:r>
      <w:r w:rsidR="003677B4">
        <w:rPr>
          <w:rFonts w:eastAsia="Times New Roman" w:cs="Times New Roman"/>
          <w:szCs w:val="24"/>
        </w:rPr>
        <w:t xml:space="preserve"> of the SDs and MSPs and </w:t>
      </w:r>
      <w:r w:rsidR="00836741">
        <w:rPr>
          <w:rFonts w:eastAsia="Times New Roman" w:cs="Times New Roman"/>
          <w:szCs w:val="24"/>
        </w:rPr>
        <w:t>the swap</w:t>
      </w:r>
      <w:r w:rsidR="001577B2">
        <w:rPr>
          <w:rFonts w:eastAsia="Times New Roman" w:cs="Times New Roman"/>
          <w:szCs w:val="24"/>
        </w:rPr>
        <w:t>s</w:t>
      </w:r>
      <w:r w:rsidR="00836741">
        <w:rPr>
          <w:rFonts w:eastAsia="Times New Roman" w:cs="Times New Roman"/>
          <w:szCs w:val="24"/>
        </w:rPr>
        <w:t xml:space="preserve"> market</w:t>
      </w:r>
      <w:r w:rsidR="00642B6A" w:rsidRPr="00B86819">
        <w:rPr>
          <w:rFonts w:eastAsia="Times New Roman" w:cs="Times New Roman"/>
          <w:color w:val="000000"/>
          <w:szCs w:val="24"/>
        </w:rPr>
        <w:t>.</w:t>
      </w:r>
    </w:p>
    <w:p w:rsidR="001577B2" w:rsidRDefault="001577B2" w:rsidP="003677B4">
      <w:pPr>
        <w:ind w:firstLine="720"/>
        <w:rPr>
          <w:rFonts w:eastAsia="Times New Roman" w:cs="Times New Roman"/>
          <w:color w:val="000000"/>
          <w:szCs w:val="24"/>
        </w:rPr>
      </w:pPr>
    </w:p>
    <w:p w:rsidR="001577B2" w:rsidRPr="00B86819" w:rsidRDefault="001577B2" w:rsidP="003677B4">
      <w:pPr>
        <w:ind w:firstLine="720"/>
        <w:rPr>
          <w:rFonts w:eastAsia="Times New Roman" w:cs="Times New Roman"/>
          <w:color w:val="000000"/>
          <w:szCs w:val="24"/>
        </w:rPr>
      </w:pPr>
      <w:r>
        <w:rPr>
          <w:rFonts w:eastAsia="Times New Roman" w:cs="Times New Roman"/>
          <w:color w:val="000000"/>
          <w:szCs w:val="24"/>
        </w:rPr>
        <w:t>The substituted compliance documentation will be submitted to the Commission by SDs and MSPs that wish to seek a determination by the Commission</w:t>
      </w:r>
      <w:r w:rsidR="00882745">
        <w:rPr>
          <w:rFonts w:eastAsia="Times New Roman" w:cs="Times New Roman"/>
          <w:color w:val="000000"/>
          <w:szCs w:val="24"/>
        </w:rPr>
        <w:t>.  The Commission will use this information</w:t>
      </w:r>
      <w:r>
        <w:rPr>
          <w:rFonts w:eastAsia="Times New Roman" w:cs="Times New Roman"/>
          <w:color w:val="000000"/>
          <w:szCs w:val="24"/>
        </w:rPr>
        <w:t xml:space="preserve"> </w:t>
      </w:r>
      <w:r w:rsidR="00882745">
        <w:rPr>
          <w:rFonts w:eastAsia="Times New Roman" w:cs="Times New Roman"/>
          <w:color w:val="000000"/>
          <w:szCs w:val="24"/>
        </w:rPr>
        <w:t xml:space="preserve">to determine whether </w:t>
      </w:r>
      <w:r>
        <w:rPr>
          <w:rFonts w:eastAsia="Times New Roman" w:cs="Times New Roman"/>
          <w:color w:val="000000"/>
          <w:szCs w:val="24"/>
        </w:rPr>
        <w:t xml:space="preserve">such entities operate in a foreign jurisdiction that has comparable regulatory requirements to the Commission for initial margin requirements for </w:t>
      </w:r>
      <w:proofErr w:type="spellStart"/>
      <w:r>
        <w:rPr>
          <w:rFonts w:eastAsia="Times New Roman" w:cs="Times New Roman"/>
          <w:color w:val="000000"/>
          <w:szCs w:val="24"/>
        </w:rPr>
        <w:t>uncleared</w:t>
      </w:r>
      <w:proofErr w:type="spellEnd"/>
      <w:r>
        <w:rPr>
          <w:rFonts w:eastAsia="Times New Roman" w:cs="Times New Roman"/>
          <w:color w:val="000000"/>
          <w:szCs w:val="24"/>
        </w:rPr>
        <w:t xml:space="preserve"> swap transactions.  The SDs and MSPs may submit the substituted compliance documentation electronically or by hard copy.  The substituted compliance documentation will provide an analysis and comparison of the foreign jurisdictions regulations to the Commission’s regulations for the purpose of </w:t>
      </w:r>
      <w:r w:rsidR="002F1E80">
        <w:rPr>
          <w:rFonts w:eastAsia="Times New Roman" w:cs="Times New Roman"/>
          <w:color w:val="000000"/>
          <w:szCs w:val="24"/>
        </w:rPr>
        <w:t xml:space="preserve">providing the Commission with information necessary </w:t>
      </w:r>
      <w:r>
        <w:rPr>
          <w:rFonts w:eastAsia="Times New Roman" w:cs="Times New Roman"/>
          <w:color w:val="000000"/>
          <w:szCs w:val="24"/>
        </w:rPr>
        <w:t xml:space="preserve">to </w:t>
      </w:r>
      <w:r w:rsidR="002F1E80">
        <w:rPr>
          <w:rFonts w:eastAsia="Times New Roman" w:cs="Times New Roman"/>
          <w:color w:val="000000"/>
          <w:szCs w:val="24"/>
        </w:rPr>
        <w:t xml:space="preserve">make a determination </w:t>
      </w:r>
      <w:r>
        <w:rPr>
          <w:rFonts w:eastAsia="Times New Roman" w:cs="Times New Roman"/>
          <w:color w:val="000000"/>
          <w:szCs w:val="24"/>
        </w:rPr>
        <w:t>that the Commission’s regulatory objectives would not be compromised if the Commission authorized the SDs and MSPs to satisfy its regulatory obligations under the Commission’s regulations by complying with the rules and regulations of the foreign jurisdiction.</w:t>
      </w:r>
    </w:p>
    <w:p w:rsidR="00642B6A" w:rsidRPr="00B86819" w:rsidRDefault="00642B6A" w:rsidP="001577B2">
      <w:pPr>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836741" w:rsidP="00642B6A">
      <w:pPr>
        <w:tabs>
          <w:tab w:val="left" w:pos="-720"/>
          <w:tab w:val="left" w:pos="0"/>
        </w:tabs>
        <w:spacing w:after="240"/>
        <w:rPr>
          <w:rFonts w:eastAsia="Times New Roman" w:cs="Times New Roman"/>
          <w:szCs w:val="24"/>
        </w:rPr>
      </w:pPr>
      <w:r>
        <w:rPr>
          <w:rFonts w:eastAsia="Times New Roman" w:cs="Times New Roman"/>
          <w:szCs w:val="24"/>
        </w:rPr>
        <w:tab/>
        <w:t>The collection</w:t>
      </w:r>
      <w:r w:rsidR="00642B6A" w:rsidRPr="00642B6A">
        <w:rPr>
          <w:rFonts w:eastAsia="Times New Roman" w:cs="Times New Roman"/>
          <w:szCs w:val="24"/>
        </w:rPr>
        <w:t xml:space="preserve"> of information may be reported electronically.  </w:t>
      </w:r>
      <w:r w:rsidR="002F1E80">
        <w:rPr>
          <w:rFonts w:eastAsia="Times New Roman" w:cs="Times New Roman"/>
          <w:szCs w:val="24"/>
        </w:rPr>
        <w:t xml:space="preserve">The Commission would permit SDs and MSPs to submit initial margin model information and substituted compliance information to the Commission electronically.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lastRenderedPageBreak/>
        <w:tab/>
        <w:t xml:space="preserve">The collection of information </w:t>
      </w:r>
      <w:r w:rsidR="00176391">
        <w:rPr>
          <w:rFonts w:eastAsia="Times New Roman" w:cs="Times New Roman"/>
          <w:szCs w:val="24"/>
        </w:rPr>
        <w:t xml:space="preserve">includes the submission of information from new registrants, the SDs and MSPs </w:t>
      </w:r>
      <w:r w:rsidR="00836741">
        <w:rPr>
          <w:rFonts w:eastAsia="Times New Roman" w:cs="Times New Roman"/>
          <w:szCs w:val="24"/>
        </w:rPr>
        <w:t xml:space="preserve">that are engaged in activities that implicate new regulatory requirements.  </w:t>
      </w:r>
      <w:r w:rsidR="00554929">
        <w:rPr>
          <w:rFonts w:eastAsia="Times New Roman" w:cs="Times New Roman"/>
          <w:szCs w:val="24"/>
        </w:rPr>
        <w:t>T</w:t>
      </w:r>
      <w:r w:rsidR="00836741">
        <w:rPr>
          <w:rFonts w:eastAsia="Times New Roman" w:cs="Times New Roman"/>
          <w:szCs w:val="24"/>
        </w:rPr>
        <w:t>hese new registrants would not have</w:t>
      </w:r>
      <w:r w:rsidR="00176391">
        <w:rPr>
          <w:rFonts w:eastAsia="Times New Roman" w:cs="Times New Roman"/>
          <w:szCs w:val="24"/>
        </w:rPr>
        <w:t xml:space="preserve"> previously submitted such information to the Commission</w:t>
      </w:r>
      <w:r w:rsidRPr="00642B6A">
        <w:rPr>
          <w:rFonts w:eastAsia="Times New Roman" w:cs="Times New Roman"/>
          <w:szCs w:val="24"/>
        </w:rPr>
        <w:t xml:space="preserve">.  </w:t>
      </w:r>
      <w:r w:rsidR="00554929">
        <w:rPr>
          <w:rFonts w:eastAsia="Times New Roman" w:cs="Times New Roman"/>
          <w:szCs w:val="24"/>
        </w:rPr>
        <w:t>Therefore, t</w:t>
      </w:r>
      <w:r w:rsidR="00554929" w:rsidRPr="00554929">
        <w:rPr>
          <w:rFonts w:eastAsia="Times New Roman" w:cs="Times New Roman"/>
          <w:szCs w:val="24"/>
        </w:rPr>
        <w:t>he required information is not already collected by the Commission for any other purpose, collected by any other agency, or available for public disclosure through any other source.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w:t>
      </w:r>
      <w:r w:rsidR="00747BF5">
        <w:rPr>
          <w:rFonts w:eastAsia="Times New Roman" w:cs="Times New Roman"/>
          <w:szCs w:val="24"/>
        </w:rPr>
        <w:t>s</w:t>
      </w:r>
      <w:r w:rsidRPr="00642B6A">
        <w:rPr>
          <w:rFonts w:eastAsia="Times New Roman" w:cs="Times New Roman"/>
          <w:szCs w:val="24"/>
        </w:rPr>
        <w:t xml:space="preserve"> of information will not have a significant impact on small ent</w:t>
      </w:r>
      <w:r w:rsidR="005D34A0">
        <w:rPr>
          <w:rFonts w:eastAsia="Times New Roman" w:cs="Times New Roman"/>
          <w:szCs w:val="24"/>
        </w:rPr>
        <w:t>ities.</w:t>
      </w:r>
      <w:r w:rsidR="00836741">
        <w:rPr>
          <w:rFonts w:eastAsia="Times New Roman" w:cs="Times New Roman"/>
          <w:szCs w:val="24"/>
        </w:rPr>
        <w:t xml:space="preserve">  The Commission notes that only sophisticated parties, such as SDs and MSPs, as well as eligible contract participants (who must meet certain net worth requirements), may participate in un-cleared swaps.  The Commission has determined that those participants are not small entities.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Default="00116FC7" w:rsidP="003607A6">
      <w:pPr>
        <w:ind w:firstLine="720"/>
        <w:rPr>
          <w:rFonts w:eastAsia="Times New Roman" w:cs="Times New Roman"/>
          <w:szCs w:val="24"/>
        </w:rPr>
      </w:pPr>
      <w:r>
        <w:rPr>
          <w:rFonts w:eastAsia="Times New Roman" w:cs="Times New Roman"/>
          <w:szCs w:val="24"/>
        </w:rPr>
        <w:t>An SD or MSP is required to submit a proposed initial margin model to the Commission for approval prior to the use of the model.  Thereafter, the SD or MSP is required to submit any material changes to the initial margin models to the Commission</w:t>
      </w:r>
      <w:r w:rsidR="00F568E5">
        <w:rPr>
          <w:rFonts w:eastAsia="Times New Roman" w:cs="Times New Roman"/>
          <w:szCs w:val="24"/>
        </w:rPr>
        <w:t xml:space="preserve">, including changes to the asset types that will be margined using the initial margin model.  </w:t>
      </w:r>
      <w:r w:rsidR="00642B6A" w:rsidRPr="00642B6A">
        <w:rPr>
          <w:rFonts w:eastAsia="Times New Roman" w:cs="Times New Roman"/>
          <w:szCs w:val="24"/>
        </w:rPr>
        <w:t xml:space="preserve">If the </w:t>
      </w:r>
      <w:r w:rsidR="00836741">
        <w:rPr>
          <w:rFonts w:eastAsia="Times New Roman" w:cs="Times New Roman"/>
          <w:szCs w:val="24"/>
        </w:rPr>
        <w:t xml:space="preserve">Commission did not </w:t>
      </w:r>
      <w:r w:rsidR="00F568E5">
        <w:rPr>
          <w:rFonts w:eastAsia="Times New Roman" w:cs="Times New Roman"/>
          <w:szCs w:val="24"/>
        </w:rPr>
        <w:t>receive</w:t>
      </w:r>
      <w:r w:rsidR="00836741">
        <w:rPr>
          <w:rFonts w:eastAsia="Times New Roman" w:cs="Times New Roman"/>
          <w:szCs w:val="24"/>
        </w:rPr>
        <w:t xml:space="preserve"> information </w:t>
      </w:r>
      <w:r w:rsidR="003607A6">
        <w:rPr>
          <w:rFonts w:eastAsia="Times New Roman" w:cs="Times New Roman"/>
          <w:szCs w:val="24"/>
        </w:rPr>
        <w:t xml:space="preserve">regarding proposed modifications the models, the Commission could not assess the SD’s or MSP’s continued compliance with the margin requirements.  </w:t>
      </w:r>
    </w:p>
    <w:p w:rsidR="003607A6" w:rsidRDefault="003607A6" w:rsidP="003607A6">
      <w:pPr>
        <w:ind w:firstLine="720"/>
        <w:rPr>
          <w:rFonts w:eastAsia="Times New Roman" w:cs="Times New Roman"/>
          <w:szCs w:val="24"/>
        </w:rPr>
      </w:pPr>
    </w:p>
    <w:p w:rsidR="003607A6" w:rsidRPr="003607A6" w:rsidRDefault="003607A6" w:rsidP="003607A6">
      <w:pPr>
        <w:ind w:firstLine="720"/>
        <w:rPr>
          <w:rFonts w:eastAsia="Times New Roman" w:cs="Times New Roman"/>
          <w:szCs w:val="24"/>
        </w:rPr>
      </w:pPr>
      <w:r>
        <w:rPr>
          <w:rFonts w:eastAsia="Times New Roman" w:cs="Times New Roman"/>
          <w:szCs w:val="24"/>
        </w:rPr>
        <w:t xml:space="preserve">An SD or MSP is required to submit documentation in support of a substituted compliance determination only once.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37421B">
        <w:rPr>
          <w:rFonts w:eastAsia="Times New Roman" w:cs="Times New Roman"/>
          <w:szCs w:val="24"/>
        </w:rPr>
        <w:t xml:space="preserve">Not applicable.  Currently the margin rule requires the SDs and MSPs to document and submit to the Commission margin models prior to their use, and to notify the Commission upon making certain modifications to margin models, which the Commission does not expect to occur </w:t>
      </w:r>
      <w:r w:rsidR="007F27F5">
        <w:rPr>
          <w:rFonts w:eastAsia="Times New Roman" w:cs="Times New Roman"/>
          <w:szCs w:val="24"/>
        </w:rPr>
        <w:t>more often than quarterly</w:t>
      </w:r>
      <w:r w:rsidR="0037421B">
        <w:rPr>
          <w:rFonts w:eastAsia="Times New Roman" w:cs="Times New Roman"/>
          <w:szCs w:val="24"/>
        </w:rPr>
        <w:t xml:space="preserve">.  </w:t>
      </w:r>
      <w:r w:rsidR="003607A6">
        <w:rPr>
          <w:rFonts w:eastAsia="Times New Roman" w:cs="Times New Roman"/>
          <w:szCs w:val="24"/>
        </w:rPr>
        <w:t>In addition, an SD or MSP is required to submit documentation in support of a substituted compliance determination only once.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lastRenderedPageBreak/>
        <w:tab/>
      </w:r>
      <w:r w:rsidR="00642B6A"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rsidR="00697065" w:rsidRPr="00642B6A" w:rsidRDefault="00697065" w:rsidP="00902356">
      <w:pPr>
        <w:tabs>
          <w:tab w:val="left" w:pos="-720"/>
          <w:tab w:val="left" w:pos="0"/>
          <w:tab w:val="left" w:pos="720"/>
        </w:tabs>
        <w:spacing w:after="240"/>
        <w:ind w:left="936"/>
        <w:contextualSpacing/>
        <w:rPr>
          <w:rFonts w:eastAsia="Times New Roman" w:cs="Times New Roman"/>
        </w:rPr>
      </w:pP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3607A6"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497A" w:rsidRDefault="00642B6A" w:rsidP="00C9497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3547" w:rsidRPr="00642B6A"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 xml:space="preserve">In the proposing Federal Register release, the Commission seeks public comment on any aspect of the proposed collection of information.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lastRenderedPageBreak/>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p>
    <w:p w:rsidR="00642B6A" w:rsidRPr="00642B6A" w:rsidRDefault="00642B6A" w:rsidP="00642B6A">
      <w:pPr>
        <w:ind w:firstLine="720"/>
        <w:rPr>
          <w:rFonts w:eastAsia="Times New Roman" w:cs="Times New Roman"/>
          <w:szCs w:val="24"/>
        </w:rPr>
      </w:pPr>
      <w:r w:rsidRPr="00642B6A">
        <w:rPr>
          <w:rFonts w:eastAsia="Times New Roman" w:cs="Times New Roman"/>
          <w:szCs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lastRenderedPageBreak/>
        <w:t>See Attachment A.</w:t>
      </w:r>
      <w:r w:rsidR="00B328FB" w:rsidRPr="00B328FB">
        <w:t xml:space="preserve"> </w:t>
      </w:r>
      <w:r w:rsidR="00B328FB" w:rsidRPr="00B328FB">
        <w:rPr>
          <w:rFonts w:eastAsia="Times New Roman" w:cs="Times New Roman"/>
          <w:color w:val="000000"/>
          <w:szCs w:val="24"/>
        </w:rPr>
        <w:t xml:space="preserve">The Commission estimates that the collection of information required by the regulations will impose a burden of 250 annual hours on an estimated 60 entities.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9B1E93" w:rsidP="00642B6A">
      <w:pPr>
        <w:ind w:firstLine="720"/>
        <w:rPr>
          <w:rFonts w:eastAsia="Times New Roman" w:cs="Times New Roman"/>
          <w:color w:val="000000"/>
          <w:szCs w:val="24"/>
        </w:rPr>
      </w:pPr>
      <w:r w:rsidRPr="009B1E93">
        <w:t xml:space="preserve"> </w:t>
      </w:r>
      <w:r w:rsidRPr="009B1E93">
        <w:rPr>
          <w:rFonts w:eastAsia="Times New Roman" w:cs="Times New Roman"/>
          <w:color w:val="000000"/>
          <w:szCs w:val="24"/>
        </w:rPr>
        <w:t xml:space="preserve">It is expected that </w:t>
      </w:r>
      <w:r w:rsidR="00C032F4">
        <w:rPr>
          <w:rFonts w:eastAsia="Times New Roman" w:cs="Times New Roman"/>
          <w:color w:val="000000"/>
          <w:szCs w:val="24"/>
        </w:rPr>
        <w:t>SDs and MSPs will utilize existing</w:t>
      </w:r>
      <w:r w:rsidRPr="009B1E93">
        <w:rPr>
          <w:rFonts w:eastAsia="Times New Roman" w:cs="Times New Roman"/>
          <w:color w:val="000000"/>
          <w:szCs w:val="24"/>
        </w:rPr>
        <w:t xml:space="preserve"> software, information technology and systems</w:t>
      </w:r>
      <w:r w:rsidR="00C032F4">
        <w:rPr>
          <w:rFonts w:eastAsia="Times New Roman" w:cs="Times New Roman"/>
          <w:color w:val="000000"/>
          <w:szCs w:val="24"/>
        </w:rPr>
        <w:t xml:space="preserve">.  Thus, the Commission believes that there will not be additional </w:t>
      </w:r>
      <w:r w:rsidR="00C032F4" w:rsidRPr="00C032F4">
        <w:rPr>
          <w:rFonts w:eastAsia="Times New Roman" w:cs="Times New Roman"/>
          <w:color w:val="000000"/>
          <w:szCs w:val="24"/>
        </w:rPr>
        <w:t>capital</w:t>
      </w:r>
      <w:r w:rsidR="00C032F4">
        <w:rPr>
          <w:rFonts w:eastAsia="Times New Roman" w:cs="Times New Roman"/>
          <w:color w:val="000000"/>
          <w:szCs w:val="24"/>
        </w:rPr>
        <w:t>/</w:t>
      </w:r>
      <w:r w:rsidR="00C032F4" w:rsidRPr="00C032F4">
        <w:rPr>
          <w:rFonts w:eastAsia="Times New Roman" w:cs="Times New Roman"/>
          <w:color w:val="000000"/>
          <w:szCs w:val="24"/>
        </w:rPr>
        <w:t>startup costs</w:t>
      </w:r>
      <w:r w:rsidR="00C032F4">
        <w:rPr>
          <w:rFonts w:eastAsia="Times New Roman" w:cs="Times New Roman"/>
          <w:color w:val="000000"/>
          <w:szCs w:val="24"/>
        </w:rPr>
        <w:t xml:space="preserve"> or operational/maintenance costs incurred by SDs and MSPs </w:t>
      </w:r>
      <w:r w:rsidRPr="009B1E93">
        <w:rPr>
          <w:rFonts w:eastAsia="Times New Roman" w:cs="Times New Roman"/>
          <w:color w:val="000000"/>
          <w:szCs w:val="24"/>
        </w:rPr>
        <w:t xml:space="preserve">to report the information required by the regulations to the Commission.   </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lastRenderedPageBreak/>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w:t>
      </w:r>
      <w:r w:rsidR="007F27F5">
        <w:rPr>
          <w:rFonts w:eastAsia="Times New Roman" w:cs="Times New Roman"/>
          <w:szCs w:val="24"/>
        </w:rPr>
        <w:t>regulations associated with Collection 3038-0024 are</w:t>
      </w:r>
      <w:r w:rsidRPr="00642B6A">
        <w:rPr>
          <w:rFonts w:eastAsia="Times New Roman" w:cs="Times New Roman"/>
          <w:szCs w:val="24"/>
        </w:rPr>
        <w:t xml:space="preserve"> designed to enhance the </w:t>
      </w:r>
      <w:r w:rsidR="00F02CC0">
        <w:rPr>
          <w:rFonts w:eastAsia="Times New Roman" w:cs="Times New Roman"/>
          <w:szCs w:val="24"/>
        </w:rPr>
        <w:t>safety and soundness of the market</w:t>
      </w:r>
      <w:r w:rsidR="007F27F5">
        <w:rPr>
          <w:rFonts w:eastAsia="Times New Roman" w:cs="Times New Roman"/>
          <w:szCs w:val="24"/>
        </w:rPr>
        <w:t>s</w:t>
      </w:r>
      <w:r w:rsidR="00F02CC0">
        <w:rPr>
          <w:rFonts w:eastAsia="Times New Roman" w:cs="Times New Roman"/>
          <w:szCs w:val="24"/>
        </w:rPr>
        <w:t xml:space="preserve"> </w:t>
      </w:r>
      <w:r w:rsidR="007F27F5">
        <w:rPr>
          <w:rFonts w:eastAsia="Times New Roman" w:cs="Times New Roman"/>
          <w:szCs w:val="24"/>
        </w:rPr>
        <w:t xml:space="preserve">which the Commission oversees </w:t>
      </w:r>
      <w:r w:rsidR="00F02CC0">
        <w:rPr>
          <w:rFonts w:eastAsia="Times New Roman" w:cs="Times New Roman"/>
          <w:szCs w:val="24"/>
        </w:rPr>
        <w:t>and</w:t>
      </w:r>
      <w:r w:rsidRPr="00642B6A">
        <w:rPr>
          <w:rFonts w:eastAsia="Times New Roman" w:cs="Times New Roman"/>
          <w:szCs w:val="24"/>
        </w:rPr>
        <w:t xml:space="preserve"> to enable the Commission </w:t>
      </w:r>
      <w:r w:rsidR="00F02CC0">
        <w:rPr>
          <w:rFonts w:eastAsia="Times New Roman" w:cs="Times New Roman"/>
          <w:szCs w:val="24"/>
        </w:rPr>
        <w:t xml:space="preserve">to evaluate the soundness of the </w:t>
      </w:r>
      <w:r w:rsidR="007F27F5">
        <w:rPr>
          <w:rFonts w:eastAsia="Times New Roman" w:cs="Times New Roman"/>
          <w:szCs w:val="24"/>
        </w:rPr>
        <w:t>participants in those markets</w:t>
      </w:r>
      <w:r w:rsidRPr="00642B6A">
        <w:rPr>
          <w:rFonts w:eastAsia="Times New Roman" w:cs="Times New Roman"/>
          <w:szCs w:val="24"/>
        </w:rPr>
        <w:t>.</w:t>
      </w:r>
      <w:r w:rsidR="00FE1133">
        <w:rPr>
          <w:rFonts w:eastAsia="Times New Roman" w:cs="Times New Roman"/>
          <w:szCs w:val="24"/>
        </w:rPr>
        <w:t xml:space="preserve"> </w:t>
      </w:r>
      <w:r w:rsidR="00F02CC0">
        <w:rPr>
          <w:rFonts w:eastAsia="Times New Roman" w:cs="Times New Roman"/>
          <w:szCs w:val="24"/>
        </w:rPr>
        <w:t xml:space="preserve"> </w:t>
      </w:r>
      <w:r w:rsidR="00BA0A82" w:rsidRPr="00BA0A82">
        <w:rPr>
          <w:rFonts w:eastAsia="Times New Roman" w:cs="Times New Roman"/>
          <w:szCs w:val="24"/>
        </w:rPr>
        <w:t xml:space="preserve">Section 731 of the Dodd-Frank Wall Street Reform and Consumer Protection Act ("Dodd-Frank Act"), P.L. 111-023, 124 stat. 1376, amended the Commodity Exchange Act ("CEA"), 7 U.S.C. §§ 1 et seq., to add, as section 4s(e) thereof, provisions concerning the setting of initial and variation margin requirements for swap dealers ("SDs") and major swap participants ("MSPs").  The Commission is proposing the margin rule to implement </w:t>
      </w:r>
      <w:bookmarkStart w:id="0" w:name="_GoBack"/>
      <w:bookmarkEnd w:id="0"/>
      <w:r w:rsidR="00BA0A82" w:rsidRPr="00BA0A82">
        <w:rPr>
          <w:rFonts w:eastAsia="Times New Roman" w:cs="Times New Roman"/>
          <w:szCs w:val="24"/>
        </w:rPr>
        <w:t>section 4s of the CEA to require SDs and MSPs that are using a model to compute initial margin requirements to submit the model for review and approval by the Commission.   Also, the proposal would allow an SD or MSP to request the Commission to make a determination that the SD or MSP could comply with the margin requirements in a foreign jurisdiction rather than the margin rules promulgated by the Commission.  This collection of information will add additional burdens on an estimated 60 entities for a total of 15,000 hours annually.</w:t>
      </w:r>
      <w:r w:rsidR="00BA0A82">
        <w:rPr>
          <w:rFonts w:eastAsia="Times New Roman" w:cs="Times New Roman"/>
          <w:szCs w:val="24"/>
        </w:rPr>
        <w:t xml:space="preserve">  </w:t>
      </w:r>
      <w:r w:rsidR="007F27F5">
        <w:rPr>
          <w:rFonts w:eastAsia="Times New Roman" w:cs="Times New Roman"/>
          <w:szCs w:val="24"/>
        </w:rPr>
        <w:t xml:space="preserve">This collection of information will add additional burdens on </w:t>
      </w:r>
      <w:r w:rsidR="00180982">
        <w:rPr>
          <w:rFonts w:eastAsia="Times New Roman" w:cs="Times New Roman"/>
          <w:szCs w:val="24"/>
        </w:rPr>
        <w:t xml:space="preserve">an estimated </w:t>
      </w:r>
      <w:r w:rsidR="007F27F5">
        <w:rPr>
          <w:rFonts w:eastAsia="Times New Roman" w:cs="Times New Roman"/>
          <w:szCs w:val="24"/>
        </w:rPr>
        <w:t>60</w:t>
      </w:r>
      <w:r w:rsidR="00F02CC0">
        <w:rPr>
          <w:rFonts w:eastAsia="Times New Roman" w:cs="Times New Roman"/>
          <w:szCs w:val="24"/>
        </w:rPr>
        <w:t xml:space="preserve"> entities</w:t>
      </w:r>
      <w:r w:rsidR="00AC59BE">
        <w:rPr>
          <w:rFonts w:eastAsia="Times New Roman" w:cs="Times New Roman"/>
          <w:szCs w:val="24"/>
        </w:rPr>
        <w:t xml:space="preserve"> for a total of </w:t>
      </w:r>
      <w:r w:rsidR="007F27F5">
        <w:rPr>
          <w:rFonts w:eastAsia="Times New Roman" w:cs="Times New Roman"/>
          <w:szCs w:val="24"/>
        </w:rPr>
        <w:t>15,000 hours</w:t>
      </w:r>
      <w:r w:rsidR="00AC59BE">
        <w:rPr>
          <w:rFonts w:eastAsia="Times New Roman" w:cs="Times New Roman"/>
          <w:szCs w:val="24"/>
        </w:rPr>
        <w:t xml:space="preserve"> annually.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Does not apply.</w:t>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t>Does not apply.</w:t>
      </w:r>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w:t>
      </w:r>
      <w:r w:rsidR="00180982">
        <w:rPr>
          <w:rFonts w:eastAsia="Times New Roman" w:cs="Times New Roman"/>
          <w:b/>
          <w:szCs w:val="24"/>
        </w:rPr>
        <w:t>3</w:t>
      </w:r>
      <w:r w:rsidRPr="00642B6A">
        <w:rPr>
          <w:rFonts w:eastAsia="Times New Roman" w:cs="Times New Roman"/>
          <w:b/>
          <w:szCs w:val="24"/>
        </w:rPr>
        <w:t xml:space="preserve"> –</w:t>
      </w:r>
      <w:r w:rsidR="00180982">
        <w:rPr>
          <w:rFonts w:eastAsia="Times New Roman" w:cs="Times New Roman"/>
          <w:b/>
          <w:szCs w:val="24"/>
        </w:rPr>
        <w:t xml:space="preserve"> Reporting of </w:t>
      </w:r>
      <w:r w:rsidRPr="00642B6A">
        <w:rPr>
          <w:rFonts w:eastAsia="Times New Roman" w:cs="Times New Roman"/>
          <w:b/>
          <w:szCs w:val="24"/>
        </w:rPr>
        <w:t>Information Relating to</w:t>
      </w:r>
      <w:r w:rsidR="00180982">
        <w:rPr>
          <w:rFonts w:eastAsia="Times New Roman" w:cs="Times New Roman"/>
          <w:b/>
          <w:szCs w:val="24"/>
        </w:rPr>
        <w:t xml:space="preserve"> Initial Margin Models for </w:t>
      </w:r>
      <w:proofErr w:type="spellStart"/>
      <w:r w:rsidR="00180982">
        <w:rPr>
          <w:rFonts w:eastAsia="Times New Roman" w:cs="Times New Roman"/>
          <w:b/>
          <w:szCs w:val="24"/>
        </w:rPr>
        <w:t>Uncleared</w:t>
      </w:r>
      <w:proofErr w:type="spellEnd"/>
      <w:r w:rsidR="00180982">
        <w:rPr>
          <w:rFonts w:eastAsia="Times New Roman" w:cs="Times New Roman"/>
          <w:b/>
          <w:szCs w:val="24"/>
        </w:rPr>
        <w:t xml:space="preserve"> Swaps</w:t>
      </w:r>
    </w:p>
    <w:p w:rsidR="00642B6A" w:rsidRPr="00642B6A" w:rsidRDefault="00180982" w:rsidP="00642B6A">
      <w:pPr>
        <w:jc w:val="center"/>
        <w:rPr>
          <w:rFonts w:eastAsia="Times New Roman" w:cs="Times New Roman"/>
          <w:b/>
          <w:szCs w:val="24"/>
        </w:rPr>
      </w:pPr>
      <w:r>
        <w:rPr>
          <w:rFonts w:eastAsia="Times New Roman" w:cs="Times New Roman"/>
          <w:b/>
          <w:szCs w:val="24"/>
        </w:rPr>
        <w:t>And Documentation for Substituted Compliance Determinations</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w:t>
      </w:r>
      <w:r w:rsidR="00180982">
        <w:rPr>
          <w:rFonts w:eastAsia="Times New Roman" w:cs="Times New Roman"/>
          <w:b/>
          <w:szCs w:val="24"/>
        </w:rPr>
        <w:t>24</w:t>
      </w:r>
    </w:p>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5310" w:type="pct"/>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8"/>
        <w:gridCol w:w="1532"/>
        <w:gridCol w:w="1530"/>
        <w:gridCol w:w="1261"/>
        <w:gridCol w:w="1440"/>
        <w:gridCol w:w="1259"/>
        <w:gridCol w:w="1172"/>
        <w:gridCol w:w="1078"/>
      </w:tblGrid>
      <w:tr w:rsidR="00FC54D4" w:rsidRPr="00642B6A" w:rsidTr="002600FA">
        <w:trPr>
          <w:trHeight w:val="1457"/>
        </w:trPr>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Report</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 xml:space="preserve">Estimated Number of Respondents </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Reports</w:t>
            </w:r>
          </w:p>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by Each Respondent</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 Annual</w:t>
            </w:r>
          </w:p>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Responses</w:t>
            </w:r>
          </w:p>
        </w:tc>
        <w:tc>
          <w:tcPr>
            <w:tcW w:w="708"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Estimated Average Number of Hours per Response</w:t>
            </w:r>
          </w:p>
        </w:tc>
        <w:tc>
          <w:tcPr>
            <w:tcW w:w="619" w:type="pct"/>
          </w:tcPr>
          <w:p w:rsidR="009C6DB4" w:rsidRPr="002600FA" w:rsidRDefault="009C6DB4" w:rsidP="009C6DB4">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Estimated Total Annual  Number of Hours</w:t>
            </w:r>
          </w:p>
        </w:tc>
        <w:tc>
          <w:tcPr>
            <w:tcW w:w="576" w:type="pct"/>
          </w:tcPr>
          <w:p w:rsidR="009C6DB4" w:rsidRPr="002600FA" w:rsidRDefault="009C6DB4" w:rsidP="004917AF">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 xml:space="preserve"> Cost per response</w:t>
            </w:r>
          </w:p>
        </w:tc>
        <w:tc>
          <w:tcPr>
            <w:tcW w:w="530" w:type="pct"/>
          </w:tcPr>
          <w:p w:rsidR="009C6DB4" w:rsidRPr="002600FA" w:rsidDel="009C6DB4" w:rsidRDefault="009C6DB4" w:rsidP="004917AF">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 Annual cost of all responses</w:t>
            </w:r>
          </w:p>
        </w:tc>
      </w:tr>
      <w:tr w:rsidR="00FC54D4" w:rsidRPr="00642B6A" w:rsidTr="002600FA">
        <w:trPr>
          <w:trHeight w:val="998"/>
        </w:trPr>
        <w:tc>
          <w:tcPr>
            <w:tcW w:w="442" w:type="pct"/>
          </w:tcPr>
          <w:p w:rsidR="009C6DB4" w:rsidRPr="002600FA" w:rsidRDefault="009C6DB4" w:rsidP="00557EF2">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23.158</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08" w:type="pct"/>
          </w:tcPr>
          <w:p w:rsidR="009C6DB4" w:rsidRPr="002600FA" w:rsidRDefault="00C9497A" w:rsidP="004C2276">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240</w:t>
            </w:r>
          </w:p>
        </w:tc>
        <w:tc>
          <w:tcPr>
            <w:tcW w:w="619" w:type="pct"/>
          </w:tcPr>
          <w:p w:rsidR="009C6DB4" w:rsidRPr="002600FA" w:rsidRDefault="009C6DB4" w:rsidP="004C2276">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14,400</w:t>
            </w:r>
          </w:p>
        </w:tc>
        <w:tc>
          <w:tcPr>
            <w:tcW w:w="576" w:type="pct"/>
          </w:tcPr>
          <w:p w:rsidR="009C6DB4" w:rsidRPr="002600FA" w:rsidRDefault="00C9497A" w:rsidP="007B7CE3">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7B7CE3">
              <w:rPr>
                <w:rFonts w:ascii="Arial" w:eastAsia="Times New Roman" w:hAnsi="Arial" w:cs="Times New Roman"/>
                <w:b/>
                <w:sz w:val="16"/>
                <w:szCs w:val="16"/>
              </w:rPr>
              <w:t>70</w:t>
            </w:r>
            <w:r w:rsidR="007B7CE3" w:rsidRPr="002600FA">
              <w:rPr>
                <w:rFonts w:ascii="Arial" w:eastAsia="Times New Roman" w:hAnsi="Arial" w:cs="Times New Roman"/>
                <w:b/>
                <w:sz w:val="16"/>
                <w:szCs w:val="16"/>
              </w:rPr>
              <w:t xml:space="preserve"> </w:t>
            </w:r>
            <w:r w:rsidRPr="002600FA">
              <w:rPr>
                <w:rFonts w:ascii="Arial" w:eastAsia="Times New Roman" w:hAnsi="Arial" w:cs="Times New Roman"/>
                <w:b/>
                <w:sz w:val="16"/>
                <w:szCs w:val="16"/>
              </w:rPr>
              <w:t>per hour for a total of $</w:t>
            </w:r>
            <w:r w:rsidR="007B7CE3">
              <w:rPr>
                <w:rFonts w:ascii="Arial" w:eastAsia="Times New Roman" w:hAnsi="Arial" w:cs="Times New Roman"/>
                <w:b/>
                <w:sz w:val="16"/>
                <w:szCs w:val="16"/>
              </w:rPr>
              <w:t>16,800</w:t>
            </w:r>
            <w:r w:rsidR="007B7CE3">
              <w:rPr>
                <w:rStyle w:val="FootnoteReference"/>
                <w:rFonts w:ascii="Arial" w:eastAsia="Times New Roman" w:hAnsi="Arial" w:cs="Times New Roman"/>
                <w:b/>
                <w:sz w:val="16"/>
                <w:szCs w:val="16"/>
              </w:rPr>
              <w:footnoteReference w:id="1"/>
            </w:r>
          </w:p>
        </w:tc>
        <w:tc>
          <w:tcPr>
            <w:tcW w:w="530" w:type="pct"/>
          </w:tcPr>
          <w:p w:rsidR="009C6DB4" w:rsidRPr="002600FA" w:rsidRDefault="00C9497A" w:rsidP="007B7CE3">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r w:rsidR="0012080B">
              <w:rPr>
                <w:rFonts w:ascii="Arial" w:eastAsia="Times New Roman" w:hAnsi="Arial" w:cs="Times New Roman"/>
                <w:b/>
                <w:sz w:val="16"/>
                <w:szCs w:val="16"/>
              </w:rPr>
              <w:t>0</w:t>
            </w:r>
            <w:r w:rsidR="007B7CE3">
              <w:rPr>
                <w:rFonts w:ascii="Arial" w:eastAsia="Times New Roman" w:hAnsi="Arial" w:cs="Times New Roman"/>
                <w:b/>
                <w:sz w:val="16"/>
                <w:szCs w:val="16"/>
              </w:rPr>
              <w:t>08</w:t>
            </w:r>
            <w:r w:rsidRPr="002600FA">
              <w:rPr>
                <w:rFonts w:ascii="Arial" w:eastAsia="Times New Roman" w:hAnsi="Arial" w:cs="Times New Roman"/>
                <w:b/>
                <w:sz w:val="16"/>
                <w:szCs w:val="16"/>
              </w:rPr>
              <w:t>,000</w:t>
            </w:r>
          </w:p>
        </w:tc>
      </w:tr>
      <w:tr w:rsidR="00FC54D4" w:rsidRPr="00642B6A" w:rsidTr="002600FA">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23.159</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5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w:t>
            </w:r>
          </w:p>
        </w:tc>
        <w:tc>
          <w:tcPr>
            <w:tcW w:w="708" w:type="pct"/>
          </w:tcPr>
          <w:p w:rsidR="009C6DB4" w:rsidRPr="002600FA" w:rsidRDefault="00C9497A"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10</w:t>
            </w:r>
          </w:p>
        </w:tc>
        <w:tc>
          <w:tcPr>
            <w:tcW w:w="619"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600</w:t>
            </w:r>
          </w:p>
        </w:tc>
        <w:tc>
          <w:tcPr>
            <w:tcW w:w="576"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800</w:t>
            </w:r>
            <w:r w:rsidR="00EC238C">
              <w:rPr>
                <w:rStyle w:val="FootnoteReference"/>
                <w:rFonts w:ascii="Arial" w:eastAsia="Times New Roman" w:hAnsi="Arial" w:cs="Times New Roman"/>
                <w:b/>
                <w:sz w:val="16"/>
                <w:szCs w:val="16"/>
              </w:rPr>
              <w:footnoteReference w:id="2"/>
            </w:r>
          </w:p>
        </w:tc>
        <w:tc>
          <w:tcPr>
            <w:tcW w:w="530"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48,000</w:t>
            </w:r>
          </w:p>
        </w:tc>
      </w:tr>
      <w:tr w:rsidR="00FC54D4" w:rsidRPr="00642B6A" w:rsidTr="002600FA">
        <w:tc>
          <w:tcPr>
            <w:tcW w:w="442"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53"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52"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2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708"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619"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c>
          <w:tcPr>
            <w:tcW w:w="576" w:type="pct"/>
          </w:tcPr>
          <w:p w:rsidR="00FC54D4" w:rsidRPr="00FC54D4" w:rsidRDefault="00FC54D4" w:rsidP="00F4707F">
            <w:pPr>
              <w:tabs>
                <w:tab w:val="left" w:pos="-720"/>
                <w:tab w:val="left" w:pos="0"/>
              </w:tabs>
              <w:suppressAutoHyphens/>
              <w:jc w:val="center"/>
              <w:rPr>
                <w:rFonts w:ascii="Arial" w:eastAsia="Times New Roman" w:hAnsi="Arial" w:cs="Times New Roman"/>
                <w:b/>
                <w:sz w:val="16"/>
                <w:szCs w:val="16"/>
              </w:rPr>
            </w:pPr>
          </w:p>
        </w:tc>
        <w:tc>
          <w:tcPr>
            <w:tcW w:w="530" w:type="pct"/>
          </w:tcPr>
          <w:p w:rsidR="00FC54D4" w:rsidRPr="00FC54D4" w:rsidRDefault="00FC54D4" w:rsidP="00642B6A">
            <w:pPr>
              <w:tabs>
                <w:tab w:val="left" w:pos="-720"/>
                <w:tab w:val="left" w:pos="0"/>
              </w:tabs>
              <w:suppressAutoHyphens/>
              <w:jc w:val="center"/>
              <w:rPr>
                <w:rFonts w:ascii="Arial" w:eastAsia="Times New Roman" w:hAnsi="Arial" w:cs="Times New Roman"/>
                <w:b/>
                <w:sz w:val="16"/>
                <w:szCs w:val="16"/>
              </w:rPr>
            </w:pPr>
          </w:p>
        </w:tc>
      </w:tr>
      <w:tr w:rsidR="00FC54D4" w:rsidRPr="00642B6A" w:rsidTr="002600FA">
        <w:tc>
          <w:tcPr>
            <w:tcW w:w="442"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TOTAL</w:t>
            </w:r>
          </w:p>
        </w:tc>
        <w:tc>
          <w:tcPr>
            <w:tcW w:w="753"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p>
        </w:tc>
        <w:tc>
          <w:tcPr>
            <w:tcW w:w="752" w:type="pct"/>
          </w:tcPr>
          <w:p w:rsidR="009C6DB4" w:rsidRPr="002600FA" w:rsidRDefault="00BA0A82" w:rsidP="00642B6A">
            <w:pPr>
              <w:tabs>
                <w:tab w:val="left" w:pos="-720"/>
                <w:tab w:val="left" w:pos="0"/>
              </w:tabs>
              <w:suppressAutoHyphens/>
              <w:jc w:val="center"/>
              <w:rPr>
                <w:rFonts w:ascii="Arial" w:eastAsia="Times New Roman" w:hAnsi="Arial" w:cs="Times New Roman"/>
                <w:b/>
                <w:sz w:val="16"/>
                <w:szCs w:val="16"/>
              </w:rPr>
            </w:pPr>
            <w:r>
              <w:rPr>
                <w:rFonts w:ascii="Arial" w:eastAsia="Times New Roman" w:hAnsi="Arial" w:cs="Times New Roman"/>
                <w:b/>
                <w:sz w:val="16"/>
                <w:szCs w:val="16"/>
              </w:rPr>
              <w:t>2</w:t>
            </w:r>
          </w:p>
        </w:tc>
        <w:tc>
          <w:tcPr>
            <w:tcW w:w="620"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120</w:t>
            </w:r>
          </w:p>
        </w:tc>
        <w:tc>
          <w:tcPr>
            <w:tcW w:w="708" w:type="pct"/>
          </w:tcPr>
          <w:p w:rsidR="009C6DB4" w:rsidRPr="002600FA" w:rsidRDefault="00C9497A"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250</w:t>
            </w:r>
          </w:p>
        </w:tc>
        <w:tc>
          <w:tcPr>
            <w:tcW w:w="619" w:type="pct"/>
          </w:tcPr>
          <w:p w:rsidR="009C6DB4" w:rsidRPr="002600FA" w:rsidRDefault="009C6DB4" w:rsidP="00642B6A">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15,000</w:t>
            </w:r>
          </w:p>
        </w:tc>
        <w:tc>
          <w:tcPr>
            <w:tcW w:w="576"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w:t>
            </w:r>
            <w:r w:rsidR="0012080B">
              <w:rPr>
                <w:rFonts w:ascii="Arial" w:eastAsia="Times New Roman" w:hAnsi="Arial" w:cs="Times New Roman"/>
                <w:b/>
                <w:sz w:val="16"/>
                <w:szCs w:val="16"/>
              </w:rPr>
              <w:t>1</w:t>
            </w:r>
            <w:r w:rsidR="0012080B" w:rsidRPr="002600FA">
              <w:rPr>
                <w:rFonts w:ascii="Arial" w:eastAsia="Times New Roman" w:hAnsi="Arial" w:cs="Times New Roman"/>
                <w:b/>
                <w:sz w:val="16"/>
                <w:szCs w:val="16"/>
              </w:rPr>
              <w:t>7</w:t>
            </w:r>
            <w:r w:rsidRPr="002600FA">
              <w:rPr>
                <w:rFonts w:ascii="Arial" w:eastAsia="Times New Roman" w:hAnsi="Arial" w:cs="Times New Roman"/>
                <w:b/>
                <w:sz w:val="16"/>
                <w:szCs w:val="16"/>
              </w:rPr>
              <w:t>,</w:t>
            </w:r>
            <w:r w:rsidR="0012080B">
              <w:rPr>
                <w:rFonts w:ascii="Arial" w:eastAsia="Times New Roman" w:hAnsi="Arial" w:cs="Times New Roman"/>
                <w:b/>
                <w:sz w:val="16"/>
                <w:szCs w:val="16"/>
              </w:rPr>
              <w:t>6</w:t>
            </w:r>
            <w:r w:rsidR="0012080B" w:rsidRPr="002600FA">
              <w:rPr>
                <w:rFonts w:ascii="Arial" w:eastAsia="Times New Roman" w:hAnsi="Arial" w:cs="Times New Roman"/>
                <w:b/>
                <w:sz w:val="16"/>
                <w:szCs w:val="16"/>
              </w:rPr>
              <w:t>00</w:t>
            </w:r>
          </w:p>
        </w:tc>
        <w:tc>
          <w:tcPr>
            <w:tcW w:w="530" w:type="pct"/>
          </w:tcPr>
          <w:p w:rsidR="009C6DB4" w:rsidRPr="002600FA" w:rsidRDefault="00F4707F" w:rsidP="0012080B">
            <w:pPr>
              <w:tabs>
                <w:tab w:val="left" w:pos="-720"/>
                <w:tab w:val="left" w:pos="0"/>
              </w:tabs>
              <w:suppressAutoHyphens/>
              <w:jc w:val="center"/>
              <w:rPr>
                <w:rFonts w:ascii="Arial" w:eastAsia="Times New Roman" w:hAnsi="Arial" w:cs="Times New Roman"/>
                <w:b/>
                <w:sz w:val="16"/>
                <w:szCs w:val="16"/>
              </w:rPr>
            </w:pPr>
            <w:r w:rsidRPr="002600FA">
              <w:rPr>
                <w:rFonts w:ascii="Arial" w:eastAsia="Times New Roman" w:hAnsi="Arial" w:cs="Times New Roman"/>
                <w:b/>
                <w:sz w:val="16"/>
                <w:szCs w:val="16"/>
              </w:rPr>
              <w:t>$1,</w:t>
            </w:r>
            <w:r w:rsidR="0012080B">
              <w:rPr>
                <w:rFonts w:ascii="Arial" w:eastAsia="Times New Roman" w:hAnsi="Arial" w:cs="Times New Roman"/>
                <w:b/>
                <w:sz w:val="16"/>
                <w:szCs w:val="16"/>
              </w:rPr>
              <w:t>056</w:t>
            </w:r>
            <w:r w:rsidRPr="002600FA">
              <w:rPr>
                <w:rFonts w:ascii="Arial" w:eastAsia="Times New Roman" w:hAnsi="Arial" w:cs="Times New Roman"/>
                <w:b/>
                <w:sz w:val="16"/>
                <w:szCs w:val="16"/>
              </w:rPr>
              <w:t>,000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DB4" w:rsidRDefault="009C6DB4" w:rsidP="009C6DB4">
      <w:r>
        <w:separator/>
      </w:r>
    </w:p>
  </w:endnote>
  <w:endnote w:type="continuationSeparator" w:id="0">
    <w:p w:rsidR="009C6DB4" w:rsidRDefault="009C6DB4" w:rsidP="009C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DB4" w:rsidRDefault="009C6DB4" w:rsidP="009C6DB4">
      <w:r>
        <w:separator/>
      </w:r>
    </w:p>
  </w:footnote>
  <w:footnote w:type="continuationSeparator" w:id="0">
    <w:p w:rsidR="009C6DB4" w:rsidRDefault="009C6DB4" w:rsidP="009C6DB4">
      <w:r>
        <w:continuationSeparator/>
      </w:r>
    </w:p>
  </w:footnote>
  <w:footnote w:id="1">
    <w:p w:rsidR="007B7CE3" w:rsidRDefault="007B7CE3">
      <w:pPr>
        <w:pStyle w:val="FootnoteText"/>
      </w:pPr>
      <w:r>
        <w:rPr>
          <w:rStyle w:val="FootnoteReference"/>
        </w:rPr>
        <w:footnoteRef/>
      </w:r>
      <w:r>
        <w:t xml:space="preserve"> Average salary for a risk management specialist is </w:t>
      </w:r>
      <w:r w:rsidR="002600FA">
        <w:t>$</w:t>
      </w:r>
      <w:r>
        <w:t xml:space="preserve">144,000 per year according to the </w:t>
      </w:r>
      <w:proofErr w:type="spellStart"/>
      <w:r>
        <w:t>Sifma</w:t>
      </w:r>
      <w:proofErr w:type="spellEnd"/>
      <w:r>
        <w:t xml:space="preserve"> Report on Management and Professional Earnings in the Securities Industry.  Divide </w:t>
      </w:r>
      <w:r w:rsidR="002600FA">
        <w:t>$</w:t>
      </w:r>
      <w:r>
        <w:t xml:space="preserve">144,000 per year by 80 hours per 2 weeks for 26 pay periods yields $70 per hour.  Multiply $70 per hour by 240 hours to come up with </w:t>
      </w:r>
      <w:r w:rsidR="00EC238C">
        <w:t>$16,800.</w:t>
      </w:r>
    </w:p>
  </w:footnote>
  <w:footnote w:id="2">
    <w:p w:rsidR="00EC238C" w:rsidRDefault="00EC238C">
      <w:pPr>
        <w:pStyle w:val="FootnoteText"/>
      </w:pPr>
      <w:r>
        <w:rPr>
          <w:rStyle w:val="FootnoteReference"/>
        </w:rPr>
        <w:footnoteRef/>
      </w:r>
      <w:r>
        <w:t xml:space="preserve"> Average salary for an attorney is $166,487 per year according to the same report.  Divide </w:t>
      </w:r>
      <w:r w:rsidR="002600FA">
        <w:t>$</w:t>
      </w:r>
      <w:r>
        <w:t>166</w:t>
      </w:r>
      <w:r w:rsidR="002600FA">
        <w:t>,</w:t>
      </w:r>
      <w:r>
        <w:t xml:space="preserve">487 per year by 80 hours per 2 weeks for 26 pay periods yields $80 per hour.  Multiply $8- per hour by 10 hours yields $800 per respondent.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0835FF"/>
    <w:rsid w:val="00083F72"/>
    <w:rsid w:val="000E0987"/>
    <w:rsid w:val="00116FC7"/>
    <w:rsid w:val="0012080B"/>
    <w:rsid w:val="001577B2"/>
    <w:rsid w:val="00176391"/>
    <w:rsid w:val="00180982"/>
    <w:rsid w:val="00200207"/>
    <w:rsid w:val="00233D65"/>
    <w:rsid w:val="00243435"/>
    <w:rsid w:val="002600FA"/>
    <w:rsid w:val="00260C07"/>
    <w:rsid w:val="0027708A"/>
    <w:rsid w:val="002879E8"/>
    <w:rsid w:val="002C7E70"/>
    <w:rsid w:val="002D0489"/>
    <w:rsid w:val="002E05BD"/>
    <w:rsid w:val="002F1E80"/>
    <w:rsid w:val="00307E70"/>
    <w:rsid w:val="003607A6"/>
    <w:rsid w:val="003677B4"/>
    <w:rsid w:val="0037312F"/>
    <w:rsid w:val="0037421B"/>
    <w:rsid w:val="003755F4"/>
    <w:rsid w:val="00443D7B"/>
    <w:rsid w:val="0044799F"/>
    <w:rsid w:val="00476AB6"/>
    <w:rsid w:val="004917AF"/>
    <w:rsid w:val="004A5F11"/>
    <w:rsid w:val="004C2276"/>
    <w:rsid w:val="004D4BEA"/>
    <w:rsid w:val="005503C6"/>
    <w:rsid w:val="00554929"/>
    <w:rsid w:val="00557EF2"/>
    <w:rsid w:val="00577F1F"/>
    <w:rsid w:val="00585718"/>
    <w:rsid w:val="005D34A0"/>
    <w:rsid w:val="005E4E5C"/>
    <w:rsid w:val="00607D38"/>
    <w:rsid w:val="006243BC"/>
    <w:rsid w:val="0063622E"/>
    <w:rsid w:val="00637711"/>
    <w:rsid w:val="00640784"/>
    <w:rsid w:val="00642B6A"/>
    <w:rsid w:val="00653547"/>
    <w:rsid w:val="00667CD6"/>
    <w:rsid w:val="00697065"/>
    <w:rsid w:val="006B2A40"/>
    <w:rsid w:val="007029A9"/>
    <w:rsid w:val="00715F21"/>
    <w:rsid w:val="0074122B"/>
    <w:rsid w:val="00747BF5"/>
    <w:rsid w:val="00751B4D"/>
    <w:rsid w:val="00755826"/>
    <w:rsid w:val="0076443A"/>
    <w:rsid w:val="007724B6"/>
    <w:rsid w:val="007B7CE3"/>
    <w:rsid w:val="007C5B3F"/>
    <w:rsid w:val="007E10D4"/>
    <w:rsid w:val="007F27F5"/>
    <w:rsid w:val="00836741"/>
    <w:rsid w:val="008435FA"/>
    <w:rsid w:val="00843603"/>
    <w:rsid w:val="00882745"/>
    <w:rsid w:val="008F2F98"/>
    <w:rsid w:val="00902356"/>
    <w:rsid w:val="009138D7"/>
    <w:rsid w:val="00917AF2"/>
    <w:rsid w:val="009309EC"/>
    <w:rsid w:val="0099690D"/>
    <w:rsid w:val="009B1E93"/>
    <w:rsid w:val="009B2F52"/>
    <w:rsid w:val="009C6DB4"/>
    <w:rsid w:val="009D00FB"/>
    <w:rsid w:val="00A34FBC"/>
    <w:rsid w:val="00A54471"/>
    <w:rsid w:val="00A708B1"/>
    <w:rsid w:val="00AC2529"/>
    <w:rsid w:val="00AC59BE"/>
    <w:rsid w:val="00AD0B9F"/>
    <w:rsid w:val="00B1090B"/>
    <w:rsid w:val="00B328FB"/>
    <w:rsid w:val="00B33652"/>
    <w:rsid w:val="00B86819"/>
    <w:rsid w:val="00B91704"/>
    <w:rsid w:val="00BA0A82"/>
    <w:rsid w:val="00BE3923"/>
    <w:rsid w:val="00BE6AC8"/>
    <w:rsid w:val="00C032F4"/>
    <w:rsid w:val="00C173E1"/>
    <w:rsid w:val="00C2000F"/>
    <w:rsid w:val="00C23A3C"/>
    <w:rsid w:val="00C9497A"/>
    <w:rsid w:val="00CF1C34"/>
    <w:rsid w:val="00D12FEB"/>
    <w:rsid w:val="00D25BD2"/>
    <w:rsid w:val="00D27AE8"/>
    <w:rsid w:val="00DB00E1"/>
    <w:rsid w:val="00DB1AD1"/>
    <w:rsid w:val="00DB7297"/>
    <w:rsid w:val="00DD51EE"/>
    <w:rsid w:val="00E87F36"/>
    <w:rsid w:val="00E87F90"/>
    <w:rsid w:val="00EB0FA7"/>
    <w:rsid w:val="00EC238C"/>
    <w:rsid w:val="00F02CC0"/>
    <w:rsid w:val="00F21958"/>
    <w:rsid w:val="00F378A6"/>
    <w:rsid w:val="00F4707F"/>
    <w:rsid w:val="00F568E5"/>
    <w:rsid w:val="00FB0145"/>
    <w:rsid w:val="00FC54D4"/>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basedOn w:val="Normal"/>
    <w:link w:val="FootnoteTextChar"/>
    <w:uiPriority w:val="99"/>
    <w:semiHidden/>
    <w:unhideWhenUsed/>
    <w:rsid w:val="009C6DB4"/>
    <w:rPr>
      <w:sz w:val="20"/>
      <w:szCs w:val="20"/>
    </w:rPr>
  </w:style>
  <w:style w:type="character" w:customStyle="1" w:styleId="FootnoteTextChar">
    <w:name w:val="Footnote Tex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
    <w:rsid w:val="009C6D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5EFFE-3B8C-4256-821B-61AF4C9A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2895</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2013-09-19T13:07:00Z</cp:lastPrinted>
  <dcterms:created xsi:type="dcterms:W3CDTF">2014-09-15T16:45:00Z</dcterms:created>
  <dcterms:modified xsi:type="dcterms:W3CDTF">2014-09-15T16:45:00Z</dcterms:modified>
</cp:coreProperties>
</file>