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14" w:rsidRPr="00A97E8E" w:rsidRDefault="00264C05" w:rsidP="006725B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Use of Spectrum Bands Above 24 GHz for Mobile Radio Services                 </w:t>
      </w:r>
      <w:r w:rsidR="0029309D">
        <w:rPr>
          <w:rFonts w:ascii="Times New Roman" w:hAnsi="Times New Roman" w:cs="Times New Roman"/>
          <w:sz w:val="24"/>
          <w:szCs w:val="24"/>
        </w:rPr>
        <w:t xml:space="preserve">    </w:t>
      </w:r>
      <w:r>
        <w:rPr>
          <w:rFonts w:ascii="Times New Roman" w:hAnsi="Times New Roman" w:cs="Times New Roman"/>
          <w:sz w:val="24"/>
          <w:szCs w:val="24"/>
        </w:rPr>
        <w:t xml:space="preserve">  </w:t>
      </w:r>
      <w:r w:rsidR="00F658BC">
        <w:rPr>
          <w:rFonts w:ascii="Times New Roman" w:hAnsi="Times New Roman" w:cs="Times New Roman"/>
          <w:sz w:val="24"/>
          <w:szCs w:val="24"/>
        </w:rPr>
        <w:tab/>
        <w:t xml:space="preserve">      </w:t>
      </w:r>
      <w:r w:rsidR="00A97E8E" w:rsidRPr="008A7632">
        <w:rPr>
          <w:rFonts w:ascii="Times New Roman" w:hAnsi="Times New Roman" w:cs="Times New Roman"/>
          <w:b/>
          <w:sz w:val="24"/>
          <w:szCs w:val="24"/>
        </w:rPr>
        <w:t>3060-</w:t>
      </w:r>
      <w:r w:rsidR="006C5848">
        <w:rPr>
          <w:rFonts w:ascii="Times New Roman" w:hAnsi="Times New Roman" w:cs="Times New Roman"/>
          <w:b/>
          <w:sz w:val="24"/>
          <w:szCs w:val="24"/>
        </w:rPr>
        <w:t>1215</w:t>
      </w:r>
    </w:p>
    <w:p w:rsidR="00C0329D" w:rsidRDefault="005D2F8A" w:rsidP="00061F1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May 2017</w:t>
      </w:r>
    </w:p>
    <w:p w:rsidR="00061F14" w:rsidRDefault="00061F14" w:rsidP="00061F14">
      <w:pPr>
        <w:spacing w:after="0" w:line="240" w:lineRule="auto"/>
        <w:jc w:val="right"/>
        <w:rPr>
          <w:rFonts w:ascii="Times New Roman" w:hAnsi="Times New Roman" w:cs="Times New Roman"/>
          <w:sz w:val="24"/>
          <w:szCs w:val="24"/>
        </w:rPr>
      </w:pPr>
    </w:p>
    <w:p w:rsidR="00061F14" w:rsidRDefault="00061F14" w:rsidP="00061F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061F14" w:rsidRDefault="00061F14" w:rsidP="00061F14">
      <w:pPr>
        <w:spacing w:after="0" w:line="240" w:lineRule="auto"/>
        <w:jc w:val="center"/>
        <w:rPr>
          <w:rFonts w:ascii="Times New Roman" w:hAnsi="Times New Roman" w:cs="Times New Roman"/>
          <w:sz w:val="24"/>
          <w:szCs w:val="24"/>
        </w:rPr>
      </w:pPr>
    </w:p>
    <w:p w:rsidR="00FF4EAA" w:rsidRPr="008A7632" w:rsidRDefault="00FF4EAA" w:rsidP="00FF4EAA">
      <w:pPr>
        <w:pStyle w:val="ListParagraph"/>
        <w:numPr>
          <w:ilvl w:val="0"/>
          <w:numId w:val="2"/>
        </w:numPr>
        <w:spacing w:after="0" w:line="240" w:lineRule="auto"/>
        <w:rPr>
          <w:rFonts w:ascii="Times New Roman" w:hAnsi="Times New Roman" w:cs="Times New Roman"/>
          <w:b/>
          <w:sz w:val="24"/>
          <w:szCs w:val="24"/>
          <w:u w:val="single"/>
        </w:rPr>
      </w:pPr>
      <w:r w:rsidRPr="008A7632">
        <w:rPr>
          <w:rFonts w:ascii="Times New Roman" w:hAnsi="Times New Roman" w:cs="Times New Roman"/>
          <w:b/>
          <w:sz w:val="24"/>
          <w:szCs w:val="24"/>
          <w:u w:val="single"/>
        </w:rPr>
        <w:t>Justification:</w:t>
      </w:r>
    </w:p>
    <w:p w:rsidR="00FF4EAA" w:rsidRDefault="00FF4EAA" w:rsidP="00FF4EAA">
      <w:pPr>
        <w:spacing w:after="0" w:line="240" w:lineRule="auto"/>
        <w:rPr>
          <w:rFonts w:ascii="Times New Roman" w:hAnsi="Times New Roman" w:cs="Times New Roman"/>
          <w:sz w:val="24"/>
          <w:szCs w:val="24"/>
        </w:rPr>
      </w:pPr>
    </w:p>
    <w:p w:rsidR="00E00BB2" w:rsidRDefault="00A64B82" w:rsidP="00A64B8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64B82">
        <w:rPr>
          <w:rFonts w:ascii="Times New Roman" w:hAnsi="Times New Roman" w:cs="Times New Roman"/>
          <w:sz w:val="24"/>
          <w:szCs w:val="24"/>
        </w:rPr>
        <w:t>Federal Communications Commission</w:t>
      </w:r>
      <w:r>
        <w:rPr>
          <w:rFonts w:ascii="Times New Roman" w:hAnsi="Times New Roman" w:cs="Times New Roman"/>
          <w:sz w:val="24"/>
          <w:szCs w:val="24"/>
        </w:rPr>
        <w:t xml:space="preserve"> (Comm</w:t>
      </w:r>
      <w:r w:rsidR="00062C97">
        <w:rPr>
          <w:rFonts w:ascii="Times New Roman" w:hAnsi="Times New Roman" w:cs="Times New Roman"/>
          <w:sz w:val="24"/>
          <w:szCs w:val="24"/>
        </w:rPr>
        <w:t>ission</w:t>
      </w:r>
      <w:r w:rsidR="00E00BB2">
        <w:rPr>
          <w:rFonts w:ascii="Times New Roman" w:hAnsi="Times New Roman" w:cs="Times New Roman"/>
          <w:sz w:val="24"/>
          <w:szCs w:val="24"/>
        </w:rPr>
        <w:t xml:space="preserve"> or FCC</w:t>
      </w:r>
      <w:r w:rsidR="00062C97">
        <w:rPr>
          <w:rFonts w:ascii="Times New Roman" w:hAnsi="Times New Roman" w:cs="Times New Roman"/>
          <w:sz w:val="24"/>
          <w:szCs w:val="24"/>
        </w:rPr>
        <w:t xml:space="preserve">) adopted Use of </w:t>
      </w:r>
    </w:p>
    <w:p w:rsidR="003C496D" w:rsidRPr="00475DBB" w:rsidRDefault="00062C97" w:rsidP="00475DBB">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Spectrum</w:t>
      </w:r>
      <w:r w:rsidR="00E00BB2">
        <w:rPr>
          <w:rFonts w:ascii="Times New Roman" w:hAnsi="Times New Roman" w:cs="Times New Roman"/>
          <w:sz w:val="24"/>
          <w:szCs w:val="24"/>
        </w:rPr>
        <w:t xml:space="preserve"> </w:t>
      </w:r>
      <w:r w:rsidR="00A64B82" w:rsidRPr="00062C97">
        <w:rPr>
          <w:rFonts w:ascii="Times New Roman" w:hAnsi="Times New Roman" w:cs="Times New Roman"/>
          <w:sz w:val="24"/>
          <w:szCs w:val="24"/>
        </w:rPr>
        <w:t>Bands</w:t>
      </w:r>
      <w:r w:rsidRPr="00062C97">
        <w:rPr>
          <w:rFonts w:ascii="Times New Roman" w:hAnsi="Times New Roman" w:cs="Times New Roman"/>
          <w:sz w:val="24"/>
          <w:szCs w:val="24"/>
        </w:rPr>
        <w:t xml:space="preserve"> </w:t>
      </w:r>
      <w:r w:rsidR="00A64B82" w:rsidRPr="00A64B82">
        <w:rPr>
          <w:rFonts w:ascii="Times New Roman" w:hAnsi="Times New Roman" w:cs="Times New Roman"/>
          <w:sz w:val="24"/>
          <w:szCs w:val="24"/>
        </w:rPr>
        <w:t xml:space="preserve">Above 24 GHz for Mobile Radio Services </w:t>
      </w:r>
      <w:r w:rsidR="00554601">
        <w:rPr>
          <w:rFonts w:ascii="Times New Roman" w:hAnsi="Times New Roman" w:cs="Times New Roman"/>
          <w:sz w:val="24"/>
          <w:szCs w:val="24"/>
        </w:rPr>
        <w:t xml:space="preserve">in a </w:t>
      </w:r>
      <w:r w:rsidR="003256CF">
        <w:rPr>
          <w:rFonts w:ascii="Times New Roman" w:hAnsi="Times New Roman" w:cs="Times New Roman"/>
          <w:sz w:val="24"/>
          <w:szCs w:val="24"/>
        </w:rPr>
        <w:t>Report and Order (R&amp;O</w:t>
      </w:r>
      <w:r w:rsidR="003C496D" w:rsidRPr="00A64B82">
        <w:rPr>
          <w:rFonts w:ascii="Times New Roman" w:hAnsi="Times New Roman" w:cs="Times New Roman"/>
          <w:sz w:val="24"/>
          <w:szCs w:val="24"/>
        </w:rPr>
        <w:t xml:space="preserve">, </w:t>
      </w:r>
      <w:r w:rsidR="00475DBB" w:rsidRPr="00D82C08">
        <w:rPr>
          <w:rFonts w:ascii="Times New Roman" w:hAnsi="Times New Roman" w:cs="Times New Roman"/>
          <w:sz w:val="24"/>
          <w:szCs w:val="24"/>
        </w:rPr>
        <w:t>Docket No. 14</w:t>
      </w:r>
      <w:r w:rsidR="00D82C08">
        <w:rPr>
          <w:rFonts w:ascii="Times New Roman" w:hAnsi="Times New Roman" w:cs="Times New Roman"/>
          <w:sz w:val="24"/>
          <w:szCs w:val="24"/>
        </w:rPr>
        <w:t>-</w:t>
      </w:r>
      <w:r w:rsidR="00A64B82">
        <w:rPr>
          <w:rFonts w:ascii="Times New Roman" w:hAnsi="Times New Roman" w:cs="Times New Roman"/>
          <w:sz w:val="24"/>
          <w:szCs w:val="24"/>
        </w:rPr>
        <w:t xml:space="preserve">177, FCC </w:t>
      </w:r>
      <w:r w:rsidR="003256CF">
        <w:rPr>
          <w:rFonts w:ascii="Times New Roman" w:hAnsi="Times New Roman" w:cs="Times New Roman"/>
          <w:sz w:val="24"/>
          <w:szCs w:val="24"/>
        </w:rPr>
        <w:t>16-89</w:t>
      </w:r>
      <w:r w:rsidR="00A64B82">
        <w:rPr>
          <w:rFonts w:ascii="Times New Roman" w:hAnsi="Times New Roman" w:cs="Times New Roman"/>
          <w:sz w:val="24"/>
          <w:szCs w:val="24"/>
        </w:rPr>
        <w:t xml:space="preserve">, on </w:t>
      </w:r>
      <w:r w:rsidR="003256CF">
        <w:rPr>
          <w:rFonts w:ascii="Times New Roman" w:hAnsi="Times New Roman" w:cs="Times New Roman"/>
          <w:sz w:val="24"/>
          <w:szCs w:val="24"/>
        </w:rPr>
        <w:t>July 14, 2016</w:t>
      </w:r>
      <w:r w:rsidR="00A64B82">
        <w:rPr>
          <w:rFonts w:ascii="Times New Roman" w:hAnsi="Times New Roman" w:cs="Times New Roman"/>
          <w:sz w:val="24"/>
          <w:szCs w:val="24"/>
        </w:rPr>
        <w:t xml:space="preserve">, </w:t>
      </w:r>
      <w:r w:rsidR="00A64B82" w:rsidRPr="00C97D79">
        <w:rPr>
          <w:rFonts w:ascii="Times New Roman" w:hAnsi="Times New Roman" w:cs="Times New Roman"/>
          <w:sz w:val="24"/>
          <w:szCs w:val="24"/>
        </w:rPr>
        <w:t xml:space="preserve">published in </w:t>
      </w:r>
      <w:r w:rsidR="00C97D79" w:rsidRPr="00C97D79">
        <w:rPr>
          <w:rFonts w:ascii="Times New Roman" w:hAnsi="Times New Roman" w:cs="Times New Roman"/>
          <w:sz w:val="24"/>
          <w:szCs w:val="24"/>
        </w:rPr>
        <w:t>81</w:t>
      </w:r>
      <w:r w:rsidR="00A64B82" w:rsidRPr="00C97D79">
        <w:rPr>
          <w:rFonts w:ascii="Times New Roman" w:hAnsi="Times New Roman" w:cs="Times New Roman"/>
          <w:sz w:val="24"/>
          <w:szCs w:val="24"/>
        </w:rPr>
        <w:t xml:space="preserve"> FR </w:t>
      </w:r>
      <w:r w:rsidR="00C97D79" w:rsidRPr="00C97D79">
        <w:rPr>
          <w:rFonts w:ascii="Times New Roman" w:hAnsi="Times New Roman" w:cs="Times New Roman"/>
          <w:sz w:val="24"/>
          <w:szCs w:val="24"/>
        </w:rPr>
        <w:t>79894</w:t>
      </w:r>
      <w:r w:rsidR="00A64B82" w:rsidRPr="00C97D79">
        <w:rPr>
          <w:rFonts w:ascii="Times New Roman" w:hAnsi="Times New Roman" w:cs="Times New Roman"/>
          <w:sz w:val="24"/>
          <w:szCs w:val="24"/>
        </w:rPr>
        <w:t xml:space="preserve"> </w:t>
      </w:r>
      <w:r w:rsidR="00C97D79" w:rsidRPr="00C97D79">
        <w:rPr>
          <w:rFonts w:ascii="Times New Roman" w:hAnsi="Times New Roman" w:cs="Times New Roman"/>
          <w:sz w:val="24"/>
          <w:szCs w:val="24"/>
        </w:rPr>
        <w:t>on November 14, 2016</w:t>
      </w:r>
      <w:r w:rsidR="00A64B82" w:rsidRPr="00C97D79">
        <w:rPr>
          <w:rFonts w:ascii="Times New Roman" w:hAnsi="Times New Roman" w:cs="Times New Roman"/>
          <w:sz w:val="24"/>
          <w:szCs w:val="24"/>
        </w:rPr>
        <w:t>.</w:t>
      </w:r>
      <w:r w:rsidR="00A64B82">
        <w:rPr>
          <w:rFonts w:ascii="Times New Roman" w:hAnsi="Times New Roman" w:cs="Times New Roman"/>
          <w:sz w:val="24"/>
          <w:szCs w:val="24"/>
        </w:rPr>
        <w:t xml:space="preserve">  In this </w:t>
      </w:r>
      <w:r w:rsidR="003256CF">
        <w:rPr>
          <w:rFonts w:ascii="Times New Roman" w:hAnsi="Times New Roman" w:cs="Times New Roman"/>
          <w:sz w:val="24"/>
          <w:szCs w:val="24"/>
        </w:rPr>
        <w:t>R&amp;O</w:t>
      </w:r>
      <w:r w:rsidR="00A64B82">
        <w:rPr>
          <w:rFonts w:ascii="Times New Roman" w:hAnsi="Times New Roman" w:cs="Times New Roman"/>
          <w:sz w:val="24"/>
          <w:szCs w:val="24"/>
        </w:rPr>
        <w:t>,</w:t>
      </w:r>
      <w:r>
        <w:rPr>
          <w:rFonts w:ascii="Times New Roman" w:hAnsi="Times New Roman" w:cs="Times New Roman"/>
          <w:sz w:val="24"/>
          <w:szCs w:val="24"/>
        </w:rPr>
        <w:t xml:space="preserve"> </w:t>
      </w:r>
      <w:r w:rsidR="00841B6A" w:rsidRPr="00475DBB">
        <w:rPr>
          <w:rFonts w:ascii="Times New Roman" w:hAnsi="Times New Roman" w:cs="Times New Roman"/>
          <w:sz w:val="24"/>
          <w:szCs w:val="24"/>
        </w:rPr>
        <w:t xml:space="preserve">the Commission </w:t>
      </w:r>
      <w:r w:rsidR="00BA5532">
        <w:rPr>
          <w:rFonts w:ascii="Times New Roman" w:hAnsi="Times New Roman" w:cs="Times New Roman"/>
          <w:sz w:val="24"/>
          <w:szCs w:val="24"/>
        </w:rPr>
        <w:t xml:space="preserve">adopted </w:t>
      </w:r>
      <w:r w:rsidR="00EB2B80">
        <w:rPr>
          <w:rFonts w:ascii="Times New Roman" w:hAnsi="Times New Roman" w:cs="Times New Roman"/>
          <w:sz w:val="24"/>
          <w:szCs w:val="24"/>
        </w:rPr>
        <w:t xml:space="preserve">service rules for licensing of mobile and other uses </w:t>
      </w:r>
      <w:r w:rsidR="00841B6A" w:rsidRPr="00475DBB">
        <w:rPr>
          <w:rFonts w:ascii="Times New Roman" w:hAnsi="Times New Roman" w:cs="Times New Roman"/>
          <w:sz w:val="24"/>
          <w:szCs w:val="24"/>
        </w:rPr>
        <w:t>for</w:t>
      </w:r>
      <w:r w:rsidR="00D82C08">
        <w:rPr>
          <w:rFonts w:ascii="Times New Roman" w:hAnsi="Times New Roman" w:cs="Times New Roman"/>
          <w:sz w:val="24"/>
          <w:szCs w:val="24"/>
        </w:rPr>
        <w:t xml:space="preserve"> </w:t>
      </w:r>
      <w:r w:rsidR="006E0156" w:rsidRPr="00475DBB">
        <w:rPr>
          <w:rFonts w:ascii="Times New Roman" w:hAnsi="Times New Roman" w:cs="Times New Roman"/>
          <w:sz w:val="24"/>
          <w:szCs w:val="24"/>
        </w:rPr>
        <w:t>millimeter wave (mmW) bands</w:t>
      </w:r>
      <w:r w:rsidR="00CF797D">
        <w:rPr>
          <w:rFonts w:ascii="Times New Roman" w:hAnsi="Times New Roman" w:cs="Times New Roman"/>
          <w:sz w:val="24"/>
          <w:szCs w:val="24"/>
        </w:rPr>
        <w:t xml:space="preserve">.  </w:t>
      </w:r>
      <w:r w:rsidR="006C146C">
        <w:rPr>
          <w:rFonts w:ascii="Times New Roman" w:hAnsi="Times New Roman" w:cs="Times New Roman"/>
          <w:sz w:val="24"/>
          <w:szCs w:val="24"/>
        </w:rPr>
        <w:t xml:space="preserve">This </w:t>
      </w:r>
      <w:r w:rsidR="008C12A0">
        <w:rPr>
          <w:rFonts w:ascii="Times New Roman" w:hAnsi="Times New Roman" w:cs="Times New Roman"/>
          <w:sz w:val="24"/>
          <w:szCs w:val="24"/>
        </w:rPr>
        <w:t>R&amp;O</w:t>
      </w:r>
      <w:r w:rsidR="006C146C">
        <w:rPr>
          <w:rFonts w:ascii="Times New Roman" w:hAnsi="Times New Roman" w:cs="Times New Roman"/>
          <w:sz w:val="24"/>
          <w:szCs w:val="24"/>
        </w:rPr>
        <w:t xml:space="preserve"> </w:t>
      </w:r>
      <w:r w:rsidR="004C453B">
        <w:rPr>
          <w:rFonts w:ascii="Times New Roman" w:hAnsi="Times New Roman" w:cs="Times New Roman"/>
          <w:sz w:val="24"/>
          <w:szCs w:val="24"/>
        </w:rPr>
        <w:t>will help facilitate Fifth Generation mobile services</w:t>
      </w:r>
      <w:r w:rsidR="00EB2B80">
        <w:rPr>
          <w:rFonts w:ascii="Times New Roman" w:hAnsi="Times New Roman" w:cs="Times New Roman"/>
          <w:sz w:val="24"/>
          <w:szCs w:val="24"/>
        </w:rPr>
        <w:t xml:space="preserve"> and other mobile services</w:t>
      </w:r>
      <w:r w:rsidR="004C453B">
        <w:rPr>
          <w:rFonts w:ascii="Times New Roman" w:hAnsi="Times New Roman" w:cs="Times New Roman"/>
          <w:sz w:val="24"/>
          <w:szCs w:val="24"/>
        </w:rPr>
        <w:t>.</w:t>
      </w:r>
      <w:r w:rsidR="006C146C">
        <w:rPr>
          <w:rFonts w:ascii="Times New Roman" w:hAnsi="Times New Roman" w:cs="Times New Roman"/>
          <w:sz w:val="24"/>
          <w:szCs w:val="24"/>
        </w:rPr>
        <w:t xml:space="preserve"> In developing service rules for mmW bands, the Commission will facilitate access to spectrum, develop a flexible spectrum policy, and encourage wireless innovation. </w:t>
      </w:r>
    </w:p>
    <w:p w:rsidR="00D82C08" w:rsidRDefault="00D82C08" w:rsidP="00D82C08">
      <w:pPr>
        <w:spacing w:after="0" w:line="240" w:lineRule="auto"/>
        <w:rPr>
          <w:rFonts w:ascii="Times New Roman" w:hAnsi="Times New Roman" w:cs="Times New Roman"/>
          <w:sz w:val="24"/>
          <w:szCs w:val="24"/>
        </w:rPr>
      </w:pPr>
    </w:p>
    <w:p w:rsidR="00A64B82" w:rsidRPr="00143BA2" w:rsidRDefault="005E1E2A" w:rsidP="003C496D">
      <w:pPr>
        <w:spacing w:after="0" w:line="240" w:lineRule="auto"/>
        <w:rPr>
          <w:rFonts w:ascii="Times New Roman" w:hAnsi="Times New Roman" w:cs="Times New Roman"/>
          <w:sz w:val="24"/>
          <w:szCs w:val="24"/>
        </w:rPr>
      </w:pPr>
      <w:r w:rsidRPr="00143BA2">
        <w:rPr>
          <w:rFonts w:ascii="Times New Roman" w:hAnsi="Times New Roman" w:cs="Times New Roman"/>
          <w:sz w:val="24"/>
          <w:szCs w:val="24"/>
        </w:rPr>
        <w:t>On March 17, 2016</w:t>
      </w:r>
      <w:r w:rsidR="003256CF" w:rsidRPr="00143BA2">
        <w:rPr>
          <w:rFonts w:ascii="Times New Roman" w:hAnsi="Times New Roman" w:cs="Times New Roman"/>
          <w:sz w:val="24"/>
          <w:szCs w:val="24"/>
        </w:rPr>
        <w:t xml:space="preserve">, the Commission </w:t>
      </w:r>
      <w:r w:rsidRPr="00143BA2">
        <w:rPr>
          <w:rFonts w:ascii="Times New Roman" w:hAnsi="Times New Roman" w:cs="Times New Roman"/>
          <w:sz w:val="24"/>
          <w:szCs w:val="24"/>
        </w:rPr>
        <w:t xml:space="preserve">received </w:t>
      </w:r>
      <w:r w:rsidR="003256CF" w:rsidRPr="00143BA2">
        <w:rPr>
          <w:rFonts w:ascii="Times New Roman" w:hAnsi="Times New Roman" w:cs="Times New Roman"/>
          <w:sz w:val="24"/>
          <w:szCs w:val="24"/>
        </w:rPr>
        <w:t>a pre-approval from</w:t>
      </w:r>
      <w:r w:rsidR="00F62DF6" w:rsidRPr="00143BA2">
        <w:rPr>
          <w:rFonts w:ascii="Times New Roman" w:hAnsi="Times New Roman" w:cs="Times New Roman"/>
          <w:sz w:val="24"/>
          <w:szCs w:val="24"/>
        </w:rPr>
        <w:t xml:space="preserve"> the Office of Management and Budget (OMB) for information</w:t>
      </w:r>
      <w:r w:rsidR="00EB3559" w:rsidRPr="00143BA2">
        <w:rPr>
          <w:rFonts w:ascii="Times New Roman" w:hAnsi="Times New Roman" w:cs="Times New Roman"/>
          <w:sz w:val="24"/>
          <w:szCs w:val="24"/>
        </w:rPr>
        <w:t xml:space="preserve"> collection</w:t>
      </w:r>
      <w:r w:rsidR="00F564AC" w:rsidRPr="00143BA2">
        <w:rPr>
          <w:rFonts w:ascii="Times New Roman" w:hAnsi="Times New Roman" w:cs="Times New Roman"/>
          <w:sz w:val="24"/>
          <w:szCs w:val="24"/>
        </w:rPr>
        <w:t xml:space="preserve"> proposed for </w:t>
      </w:r>
      <w:r w:rsidR="000A3891" w:rsidRPr="00143BA2">
        <w:rPr>
          <w:rFonts w:ascii="Times New Roman" w:hAnsi="Times New Roman" w:cs="Times New Roman"/>
          <w:sz w:val="24"/>
          <w:szCs w:val="24"/>
        </w:rPr>
        <w:t>47 C</w:t>
      </w:r>
      <w:r w:rsidR="00F62DF6" w:rsidRPr="00143BA2">
        <w:rPr>
          <w:rFonts w:ascii="Times New Roman" w:hAnsi="Times New Roman" w:cs="Times New Roman"/>
          <w:sz w:val="24"/>
          <w:szCs w:val="24"/>
        </w:rPr>
        <w:t>.</w:t>
      </w:r>
      <w:r w:rsidR="000A3891" w:rsidRPr="00143BA2">
        <w:rPr>
          <w:rFonts w:ascii="Times New Roman" w:hAnsi="Times New Roman" w:cs="Times New Roman"/>
          <w:sz w:val="24"/>
          <w:szCs w:val="24"/>
        </w:rPr>
        <w:t>F</w:t>
      </w:r>
      <w:r w:rsidR="00F62DF6" w:rsidRPr="00143BA2">
        <w:rPr>
          <w:rFonts w:ascii="Times New Roman" w:hAnsi="Times New Roman" w:cs="Times New Roman"/>
          <w:sz w:val="24"/>
          <w:szCs w:val="24"/>
        </w:rPr>
        <w:t>.</w:t>
      </w:r>
      <w:r w:rsidR="000A3891" w:rsidRPr="00143BA2">
        <w:rPr>
          <w:rFonts w:ascii="Times New Roman" w:hAnsi="Times New Roman" w:cs="Times New Roman"/>
          <w:sz w:val="24"/>
          <w:szCs w:val="24"/>
        </w:rPr>
        <w:t>R</w:t>
      </w:r>
      <w:r w:rsidR="00F62DF6" w:rsidRPr="00143BA2">
        <w:rPr>
          <w:rFonts w:ascii="Times New Roman" w:hAnsi="Times New Roman" w:cs="Times New Roman"/>
          <w:sz w:val="24"/>
          <w:szCs w:val="24"/>
        </w:rPr>
        <w:t>.</w:t>
      </w:r>
      <w:r w:rsidR="000A3891" w:rsidRPr="00143BA2">
        <w:rPr>
          <w:rFonts w:ascii="Times New Roman" w:hAnsi="Times New Roman" w:cs="Times New Roman"/>
          <w:sz w:val="24"/>
          <w:szCs w:val="24"/>
        </w:rPr>
        <w:t xml:space="preserve"> </w:t>
      </w:r>
      <w:r w:rsidR="00F564AC" w:rsidRPr="00143BA2">
        <w:rPr>
          <w:rFonts w:ascii="Times New Roman" w:hAnsi="Times New Roman" w:cs="Times New Roman"/>
          <w:sz w:val="24"/>
          <w:szCs w:val="24"/>
        </w:rPr>
        <w:t>Part 30 – Upper Microwave Flexible Use Service.  Part 30 is a new collection</w:t>
      </w:r>
      <w:r w:rsidR="000E6635" w:rsidRPr="00143BA2">
        <w:rPr>
          <w:rFonts w:ascii="Times New Roman" w:hAnsi="Times New Roman" w:cs="Times New Roman"/>
          <w:sz w:val="24"/>
          <w:szCs w:val="24"/>
        </w:rPr>
        <w:t xml:space="preserve"> under </w:t>
      </w:r>
      <w:r w:rsidR="00554601" w:rsidRPr="00143BA2">
        <w:rPr>
          <w:rFonts w:ascii="Times New Roman" w:hAnsi="Times New Roman" w:cs="Times New Roman"/>
          <w:sz w:val="24"/>
          <w:szCs w:val="24"/>
        </w:rPr>
        <w:t xml:space="preserve">this </w:t>
      </w:r>
      <w:r w:rsidR="003256CF" w:rsidRPr="00143BA2">
        <w:rPr>
          <w:rFonts w:ascii="Times New Roman" w:hAnsi="Times New Roman" w:cs="Times New Roman"/>
          <w:sz w:val="24"/>
          <w:szCs w:val="24"/>
        </w:rPr>
        <w:t>Notice of Proposed Rulemaking (</w:t>
      </w:r>
      <w:r w:rsidR="006C146C" w:rsidRPr="00143BA2">
        <w:rPr>
          <w:rFonts w:ascii="Times New Roman" w:hAnsi="Times New Roman" w:cs="Times New Roman"/>
          <w:sz w:val="24"/>
          <w:szCs w:val="24"/>
        </w:rPr>
        <w:t>NPRM</w:t>
      </w:r>
      <w:r w:rsidR="003256CF" w:rsidRPr="00143BA2">
        <w:rPr>
          <w:rFonts w:ascii="Times New Roman" w:hAnsi="Times New Roman" w:cs="Times New Roman"/>
          <w:sz w:val="24"/>
          <w:szCs w:val="24"/>
        </w:rPr>
        <w:t>)</w:t>
      </w:r>
      <w:r w:rsidR="003E7D20" w:rsidRPr="00143BA2">
        <w:rPr>
          <w:rFonts w:ascii="Times New Roman" w:hAnsi="Times New Roman" w:cs="Times New Roman"/>
          <w:sz w:val="24"/>
          <w:szCs w:val="24"/>
        </w:rPr>
        <w:t xml:space="preserve"> </w:t>
      </w:r>
      <w:r w:rsidR="00554601" w:rsidRPr="00143BA2">
        <w:rPr>
          <w:rFonts w:ascii="Times New Roman" w:hAnsi="Times New Roman" w:cs="Times New Roman"/>
          <w:sz w:val="24"/>
          <w:szCs w:val="24"/>
        </w:rPr>
        <w:t xml:space="preserve">titled </w:t>
      </w:r>
      <w:r w:rsidR="003E7D20" w:rsidRPr="00143BA2">
        <w:rPr>
          <w:rFonts w:ascii="Times New Roman" w:hAnsi="Times New Roman" w:cs="Times New Roman"/>
          <w:sz w:val="24"/>
          <w:szCs w:val="24"/>
        </w:rPr>
        <w:t>Use of Spectrum Bands Above 2</w:t>
      </w:r>
      <w:r w:rsidR="00EB3559" w:rsidRPr="00143BA2">
        <w:rPr>
          <w:rFonts w:ascii="Times New Roman" w:hAnsi="Times New Roman" w:cs="Times New Roman"/>
          <w:sz w:val="24"/>
          <w:szCs w:val="24"/>
        </w:rPr>
        <w:t>4 GHz for Mobile Radio Services, GN Docket No. 14-177, IB Docket Nos. 15-256 and 97-9</w:t>
      </w:r>
      <w:r w:rsidR="00EB2B80" w:rsidRPr="00143BA2">
        <w:rPr>
          <w:rFonts w:ascii="Times New Roman" w:hAnsi="Times New Roman" w:cs="Times New Roman"/>
          <w:sz w:val="24"/>
          <w:szCs w:val="24"/>
        </w:rPr>
        <w:t>5</w:t>
      </w:r>
      <w:r w:rsidR="00EB3559" w:rsidRPr="00143BA2">
        <w:rPr>
          <w:rFonts w:ascii="Times New Roman" w:hAnsi="Times New Roman" w:cs="Times New Roman"/>
          <w:sz w:val="24"/>
          <w:szCs w:val="24"/>
        </w:rPr>
        <w:t>, RM-11664, WT Docket No. 10-112, and FCC 15-138.</w:t>
      </w:r>
      <w:r w:rsidR="000C523B" w:rsidRPr="00143BA2">
        <w:rPr>
          <w:rFonts w:ascii="Times New Roman" w:hAnsi="Times New Roman" w:cs="Times New Roman"/>
          <w:sz w:val="24"/>
          <w:szCs w:val="24"/>
        </w:rPr>
        <w:t xml:space="preserve">  </w:t>
      </w:r>
    </w:p>
    <w:p w:rsidR="008C12A0" w:rsidRPr="00143BA2" w:rsidRDefault="008C12A0" w:rsidP="003C496D">
      <w:pPr>
        <w:spacing w:after="0" w:line="240" w:lineRule="auto"/>
        <w:rPr>
          <w:rFonts w:ascii="Times New Roman" w:hAnsi="Times New Roman" w:cs="Times New Roman"/>
          <w:sz w:val="24"/>
          <w:szCs w:val="24"/>
        </w:rPr>
      </w:pPr>
    </w:p>
    <w:p w:rsidR="00061F14" w:rsidRDefault="008C2323" w:rsidP="003C496D">
      <w:pPr>
        <w:spacing w:after="0" w:line="240" w:lineRule="auto"/>
        <w:rPr>
          <w:rFonts w:ascii="Times New Roman" w:hAnsi="Times New Roman" w:cs="Times New Roman"/>
          <w:sz w:val="24"/>
          <w:szCs w:val="24"/>
        </w:rPr>
      </w:pPr>
      <w:r w:rsidRPr="00EA2884">
        <w:rPr>
          <w:rFonts w:ascii="Times New Roman" w:hAnsi="Times New Roman" w:cs="Times New Roman"/>
          <w:sz w:val="24"/>
          <w:szCs w:val="24"/>
        </w:rPr>
        <w:t xml:space="preserve">The Commission now seeks final approval from </w:t>
      </w:r>
      <w:r w:rsidR="00FD3395" w:rsidRPr="00EA2884">
        <w:rPr>
          <w:rFonts w:ascii="Times New Roman" w:hAnsi="Times New Roman" w:cs="Times New Roman"/>
          <w:sz w:val="24"/>
          <w:szCs w:val="24"/>
        </w:rPr>
        <w:t xml:space="preserve">the </w:t>
      </w:r>
      <w:r w:rsidRPr="00EA2884">
        <w:rPr>
          <w:rFonts w:ascii="Times New Roman" w:hAnsi="Times New Roman" w:cs="Times New Roman"/>
          <w:sz w:val="24"/>
          <w:szCs w:val="24"/>
        </w:rPr>
        <w:t>OMB for the following information collection requirements:</w:t>
      </w:r>
      <w:r>
        <w:rPr>
          <w:rFonts w:ascii="Times New Roman" w:hAnsi="Times New Roman" w:cs="Times New Roman"/>
          <w:sz w:val="24"/>
          <w:szCs w:val="24"/>
        </w:rPr>
        <w:t xml:space="preserve">  </w:t>
      </w:r>
    </w:p>
    <w:p w:rsidR="00D82C08" w:rsidRDefault="00D82C08" w:rsidP="003C496D">
      <w:pPr>
        <w:spacing w:after="0" w:line="240" w:lineRule="auto"/>
        <w:rPr>
          <w:rFonts w:ascii="Times New Roman" w:hAnsi="Times New Roman" w:cs="Times New Roman"/>
          <w:sz w:val="24"/>
          <w:szCs w:val="24"/>
        </w:rPr>
      </w:pPr>
    </w:p>
    <w:p w:rsidR="00291B84" w:rsidRDefault="00291B84" w:rsidP="00061F14">
      <w:pPr>
        <w:pStyle w:val="ListParagraph"/>
        <w:spacing w:after="0" w:line="240" w:lineRule="auto"/>
        <w:ind w:left="0"/>
        <w:rPr>
          <w:rFonts w:ascii="Times New Roman" w:hAnsi="Times New Roman" w:cs="Times New Roman"/>
          <w:sz w:val="24"/>
          <w:szCs w:val="24"/>
        </w:rPr>
      </w:pPr>
      <w:r w:rsidRPr="00291B84">
        <w:rPr>
          <w:rFonts w:ascii="Times New Roman" w:hAnsi="Times New Roman" w:cs="Times New Roman"/>
          <w:b/>
          <w:sz w:val="24"/>
          <w:szCs w:val="24"/>
        </w:rPr>
        <w:t>§ 25.136</w:t>
      </w:r>
      <w:r w:rsidR="00C81C6E">
        <w:rPr>
          <w:rFonts w:ascii="Times New Roman" w:hAnsi="Times New Roman" w:cs="Times New Roman"/>
          <w:sz w:val="24"/>
          <w:szCs w:val="24"/>
        </w:rPr>
        <w:t xml:space="preserve"> </w:t>
      </w:r>
      <w:r w:rsidRPr="00291B84">
        <w:rPr>
          <w:rFonts w:ascii="Times New Roman" w:hAnsi="Times New Roman" w:cs="Times New Roman"/>
          <w:sz w:val="24"/>
          <w:szCs w:val="24"/>
        </w:rPr>
        <w:t xml:space="preserve">– </w:t>
      </w:r>
      <w:r w:rsidR="009252FB">
        <w:rPr>
          <w:rFonts w:ascii="Times New Roman" w:hAnsi="Times New Roman" w:cs="Times New Roman"/>
          <w:i/>
          <w:sz w:val="24"/>
          <w:szCs w:val="24"/>
        </w:rPr>
        <w:t>Earth Stations in the 27.5-28.35 GHz and 37.5-40 GHz bands</w:t>
      </w:r>
      <w:r w:rsidRPr="00291B84">
        <w:rPr>
          <w:rFonts w:ascii="Times New Roman" w:hAnsi="Times New Roman" w:cs="Times New Roman"/>
          <w:i/>
          <w:sz w:val="24"/>
          <w:szCs w:val="24"/>
        </w:rPr>
        <w:t>.</w:t>
      </w:r>
    </w:p>
    <w:p w:rsidR="00291B84" w:rsidRDefault="00291B84" w:rsidP="00061F14">
      <w:pPr>
        <w:pStyle w:val="ListParagraph"/>
        <w:spacing w:after="0" w:line="240" w:lineRule="auto"/>
        <w:ind w:left="0"/>
        <w:rPr>
          <w:rFonts w:ascii="Times New Roman" w:hAnsi="Times New Roman" w:cs="Times New Roman"/>
          <w:sz w:val="24"/>
          <w:szCs w:val="24"/>
        </w:rPr>
      </w:pPr>
    </w:p>
    <w:p w:rsidR="00744B19" w:rsidRPr="00751168" w:rsidRDefault="00744B19" w:rsidP="00751168">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Fixed Satellite Service (</w:t>
      </w:r>
      <w:r w:rsidR="009252FB" w:rsidRPr="00751168">
        <w:rPr>
          <w:rFonts w:ascii="Times New Roman" w:hAnsi="Times New Roman" w:cs="Times New Roman"/>
          <w:sz w:val="24"/>
          <w:szCs w:val="24"/>
        </w:rPr>
        <w:t>FSS</w:t>
      </w:r>
      <w:r w:rsidRPr="00751168">
        <w:rPr>
          <w:rFonts w:ascii="Times New Roman" w:hAnsi="Times New Roman" w:cs="Times New Roman"/>
          <w:sz w:val="24"/>
          <w:szCs w:val="24"/>
        </w:rPr>
        <w:t>)</w:t>
      </w:r>
      <w:r w:rsidR="009252FB" w:rsidRPr="00751168">
        <w:rPr>
          <w:rFonts w:ascii="Times New Roman" w:hAnsi="Times New Roman" w:cs="Times New Roman"/>
          <w:sz w:val="24"/>
          <w:szCs w:val="24"/>
        </w:rPr>
        <w:t xml:space="preserve"> is secondary to the Upper Microwave Flexible Use Service</w:t>
      </w:r>
    </w:p>
    <w:p w:rsidR="009252FB" w:rsidRPr="00751168" w:rsidRDefault="00744B19" w:rsidP="00751168">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(UMFUS)</w:t>
      </w:r>
      <w:r w:rsidR="009252FB" w:rsidRPr="00751168">
        <w:rPr>
          <w:rFonts w:ascii="Times New Roman" w:hAnsi="Times New Roman" w:cs="Times New Roman"/>
          <w:sz w:val="24"/>
          <w:szCs w:val="24"/>
        </w:rPr>
        <w:t xml:space="preserve"> in</w:t>
      </w:r>
      <w:r w:rsidRPr="00751168">
        <w:rPr>
          <w:rFonts w:ascii="Times New Roman" w:hAnsi="Times New Roman" w:cs="Times New Roman"/>
          <w:sz w:val="24"/>
          <w:szCs w:val="24"/>
        </w:rPr>
        <w:t xml:space="preserve"> </w:t>
      </w:r>
      <w:r w:rsidR="009252FB" w:rsidRPr="00751168">
        <w:rPr>
          <w:rFonts w:ascii="Times New Roman" w:hAnsi="Times New Roman" w:cs="Times New Roman"/>
          <w:sz w:val="24"/>
          <w:szCs w:val="24"/>
        </w:rPr>
        <w:t xml:space="preserve">the 27.5-28.35 GHz band.  Notwithstanding that secondary status, an earth station in the 27.5-28.35 GHz band that meets one of the criteria listed below may operate consistent with the terms of its authorization without providing any additional interference protection to stations in the </w:t>
      </w:r>
      <w:r w:rsidRPr="00751168">
        <w:rPr>
          <w:rFonts w:ascii="Times New Roman" w:hAnsi="Times New Roman" w:cs="Times New Roman"/>
          <w:sz w:val="24"/>
          <w:szCs w:val="24"/>
        </w:rPr>
        <w:t>UMFUS</w:t>
      </w:r>
      <w:r w:rsidR="009252FB" w:rsidRPr="00751168">
        <w:rPr>
          <w:rFonts w:ascii="Times New Roman" w:hAnsi="Times New Roman" w:cs="Times New Roman"/>
          <w:sz w:val="24"/>
          <w:szCs w:val="24"/>
        </w:rPr>
        <w:t>:(1) The FSS licensee also holds the relevant U</w:t>
      </w:r>
      <w:r w:rsidRPr="00751168">
        <w:rPr>
          <w:rFonts w:ascii="Times New Roman" w:hAnsi="Times New Roman" w:cs="Times New Roman"/>
          <w:sz w:val="24"/>
          <w:szCs w:val="24"/>
        </w:rPr>
        <w:t>MFUS</w:t>
      </w:r>
      <w:r w:rsidR="009252FB" w:rsidRPr="00751168">
        <w:rPr>
          <w:rFonts w:ascii="Times New Roman" w:hAnsi="Times New Roman" w:cs="Times New Roman"/>
          <w:sz w:val="24"/>
          <w:szCs w:val="24"/>
        </w:rPr>
        <w:t xml:space="preserve"> license(s) for the area in which the earth station generates a power flux density (PFD), at 10 meters above ground level, of greater than or equal to -77.6 dBm/m2/MHz;</w:t>
      </w:r>
    </w:p>
    <w:p w:rsidR="009252FB" w:rsidRPr="00751168" w:rsidRDefault="009252FB" w:rsidP="009252FB">
      <w:pPr>
        <w:pStyle w:val="ListParagraph"/>
        <w:spacing w:after="0" w:line="240" w:lineRule="auto"/>
        <w:ind w:left="0"/>
        <w:rPr>
          <w:rFonts w:ascii="Times New Roman" w:hAnsi="Times New Roman" w:cs="Times New Roman"/>
          <w:sz w:val="24"/>
          <w:szCs w:val="24"/>
        </w:rPr>
      </w:pPr>
      <w:r w:rsidRPr="00751168">
        <w:rPr>
          <w:rFonts w:ascii="Times New Roman" w:hAnsi="Times New Roman" w:cs="Times New Roman"/>
          <w:sz w:val="24"/>
          <w:szCs w:val="24"/>
        </w:rPr>
        <w:t>(2) The FSS earth station was authorized prior to July 14, 2016; or</w:t>
      </w:r>
    </w:p>
    <w:p w:rsidR="009252FB" w:rsidRPr="00751168" w:rsidRDefault="009252FB" w:rsidP="009252FB">
      <w:pPr>
        <w:pStyle w:val="ListParagraph"/>
        <w:spacing w:after="0" w:line="240" w:lineRule="auto"/>
        <w:ind w:left="0"/>
        <w:rPr>
          <w:rFonts w:ascii="Times New Roman" w:hAnsi="Times New Roman" w:cs="Times New Roman"/>
          <w:sz w:val="24"/>
          <w:szCs w:val="24"/>
        </w:rPr>
      </w:pPr>
      <w:r w:rsidRPr="00751168">
        <w:rPr>
          <w:rFonts w:ascii="Times New Roman" w:hAnsi="Times New Roman" w:cs="Times New Roman"/>
          <w:sz w:val="24"/>
          <w:szCs w:val="24"/>
        </w:rPr>
        <w:t>(3) The application for the FSS earth station was filed prior to July 14, 2016 and has been subsequently granted; or</w:t>
      </w:r>
    </w:p>
    <w:p w:rsidR="009252FB" w:rsidRPr="00751168" w:rsidRDefault="009252FB" w:rsidP="009252FB">
      <w:pPr>
        <w:pStyle w:val="ListParagraph"/>
        <w:spacing w:after="0" w:line="240" w:lineRule="auto"/>
        <w:ind w:left="0"/>
        <w:rPr>
          <w:rFonts w:ascii="Times New Roman" w:hAnsi="Times New Roman" w:cs="Times New Roman"/>
          <w:sz w:val="24"/>
          <w:szCs w:val="24"/>
        </w:rPr>
      </w:pPr>
      <w:r w:rsidRPr="00751168">
        <w:rPr>
          <w:rFonts w:ascii="Times New Roman" w:hAnsi="Times New Roman" w:cs="Times New Roman"/>
          <w:sz w:val="24"/>
          <w:szCs w:val="24"/>
        </w:rPr>
        <w:t>(4) The applicant demonstrates compliance with all of the following criteria in its application:</w:t>
      </w:r>
    </w:p>
    <w:p w:rsidR="00F231A1" w:rsidRPr="00751168" w:rsidRDefault="00F231A1" w:rsidP="009252FB">
      <w:pPr>
        <w:pStyle w:val="ListParagraph"/>
        <w:spacing w:after="0" w:line="240" w:lineRule="auto"/>
        <w:ind w:left="0"/>
        <w:rPr>
          <w:rFonts w:ascii="Times New Roman" w:hAnsi="Times New Roman" w:cs="Times New Roman"/>
          <w:sz w:val="24"/>
          <w:szCs w:val="24"/>
        </w:rPr>
      </w:pPr>
    </w:p>
    <w:p w:rsidR="00F231A1" w:rsidRPr="00751168" w:rsidRDefault="009252FB" w:rsidP="008A0E22">
      <w:pPr>
        <w:pStyle w:val="ListParagraph"/>
        <w:spacing w:after="0" w:line="240" w:lineRule="auto"/>
        <w:rPr>
          <w:rFonts w:ascii="Times New Roman" w:hAnsi="Times New Roman" w:cs="Times New Roman"/>
          <w:sz w:val="24"/>
          <w:szCs w:val="24"/>
        </w:rPr>
      </w:pPr>
      <w:r w:rsidRPr="00751168">
        <w:rPr>
          <w:rFonts w:ascii="Times New Roman" w:hAnsi="Times New Roman" w:cs="Times New Roman"/>
          <w:sz w:val="24"/>
          <w:szCs w:val="24"/>
        </w:rPr>
        <w:t>(i)  There are no more than two other authorized earth stations operating in the 27.5-28.35</w:t>
      </w:r>
    </w:p>
    <w:p w:rsidR="009252FB" w:rsidRPr="00751168" w:rsidRDefault="009252FB" w:rsidP="008A0E22">
      <w:pPr>
        <w:pStyle w:val="ListParagraph"/>
        <w:spacing w:after="0" w:line="240" w:lineRule="auto"/>
        <w:rPr>
          <w:rFonts w:ascii="Times New Roman" w:hAnsi="Times New Roman" w:cs="Times New Roman"/>
          <w:sz w:val="24"/>
          <w:szCs w:val="24"/>
        </w:rPr>
      </w:pPr>
      <w:r w:rsidRPr="00751168">
        <w:rPr>
          <w:rFonts w:ascii="Times New Roman" w:hAnsi="Times New Roman" w:cs="Times New Roman"/>
          <w:sz w:val="24"/>
          <w:szCs w:val="24"/>
        </w:rPr>
        <w:t xml:space="preserve"> GHz band within the county where the proposed earth station is located  that meet the criteria contained in either paragraphs (a)(1), (2), (3), or (4) of this section.  For purposes of this requirement, multiple earth stations that are collocated with or at a location contiguous to each other shall be considered as one earth station;</w:t>
      </w:r>
    </w:p>
    <w:p w:rsidR="009252FB" w:rsidRPr="00751168" w:rsidRDefault="009252FB" w:rsidP="008A0E22">
      <w:pPr>
        <w:pStyle w:val="ListParagraph"/>
        <w:spacing w:after="0" w:line="240" w:lineRule="auto"/>
        <w:rPr>
          <w:rFonts w:ascii="Times New Roman" w:hAnsi="Times New Roman" w:cs="Times New Roman"/>
          <w:sz w:val="24"/>
          <w:szCs w:val="24"/>
        </w:rPr>
      </w:pPr>
      <w:r w:rsidRPr="00751168">
        <w:rPr>
          <w:rFonts w:ascii="Times New Roman" w:hAnsi="Times New Roman" w:cs="Times New Roman"/>
          <w:sz w:val="24"/>
          <w:szCs w:val="24"/>
        </w:rPr>
        <w:lastRenderedPageBreak/>
        <w:t>(ii) The area in which the earth station generates a power flux density (PFD), at 10 meters above ground level, of greater than or equal to -77.6 dBm/m2/MHz, together with the similar area of any other earth station authorized pursuant to section (a) of this rule, does not cover, in the aggregate, more than 0.1 percent of the population of the county within which the earth station is located;</w:t>
      </w:r>
    </w:p>
    <w:p w:rsidR="009252FB" w:rsidRPr="00751168" w:rsidRDefault="009252FB" w:rsidP="008A0E22">
      <w:pPr>
        <w:pStyle w:val="ListParagraph"/>
        <w:spacing w:after="0" w:line="240" w:lineRule="auto"/>
        <w:rPr>
          <w:rFonts w:ascii="Times New Roman" w:hAnsi="Times New Roman" w:cs="Times New Roman"/>
          <w:sz w:val="24"/>
          <w:szCs w:val="24"/>
        </w:rPr>
      </w:pPr>
      <w:r w:rsidRPr="00751168">
        <w:rPr>
          <w:rFonts w:ascii="Times New Roman" w:hAnsi="Times New Roman" w:cs="Times New Roman"/>
          <w:sz w:val="24"/>
          <w:szCs w:val="24"/>
        </w:rPr>
        <w:t xml:space="preserve">(iii) The area in which the earth station generates a PFD, at 10 meters above ground level, of greater than or equal to -77.6 dBm/m2/MHz does not contain any major event venue, arterial street, interstate or U.S. highway, urban mass transit route, passenger railroad, or cruise ship port; and </w:t>
      </w:r>
    </w:p>
    <w:p w:rsidR="009252FB" w:rsidRPr="00751168" w:rsidRDefault="009252FB" w:rsidP="008A0E22">
      <w:pPr>
        <w:pStyle w:val="ListParagraph"/>
        <w:spacing w:after="0" w:line="240" w:lineRule="auto"/>
        <w:rPr>
          <w:rFonts w:ascii="Times New Roman" w:hAnsi="Times New Roman" w:cs="Times New Roman"/>
          <w:sz w:val="24"/>
          <w:szCs w:val="24"/>
        </w:rPr>
      </w:pPr>
      <w:r w:rsidRPr="00751168">
        <w:rPr>
          <w:rFonts w:ascii="Times New Roman" w:hAnsi="Times New Roman" w:cs="Times New Roman"/>
          <w:sz w:val="24"/>
          <w:szCs w:val="24"/>
        </w:rPr>
        <w:t>(iv) The applicant has successfully completed frequency coordination with the UMFUS licensees within the area in which the earth station generates a PFD, at 10 meters above ground level, of greater than or equal to -77.6 dBm/m2/MHz with respect to existing facilities constructed and in operation by the UMFUS licensee.  In coordinating with UMFUS licensees, the applicant shall use the applicable processes contained in § 101.103(d) of this part.</w:t>
      </w:r>
    </w:p>
    <w:p w:rsidR="009252FB" w:rsidRPr="00751168" w:rsidRDefault="009252FB" w:rsidP="009252FB">
      <w:pPr>
        <w:pStyle w:val="ListParagraph"/>
        <w:spacing w:after="0" w:line="240" w:lineRule="auto"/>
        <w:ind w:left="0"/>
        <w:rPr>
          <w:rFonts w:ascii="Times New Roman" w:hAnsi="Times New Roman" w:cs="Times New Roman"/>
          <w:sz w:val="24"/>
          <w:szCs w:val="24"/>
        </w:rPr>
      </w:pPr>
    </w:p>
    <w:p w:rsidR="00F231A1" w:rsidRPr="00751168" w:rsidRDefault="009252FB" w:rsidP="00F231A1">
      <w:pPr>
        <w:pStyle w:val="ListParagraph"/>
        <w:numPr>
          <w:ilvl w:val="0"/>
          <w:numId w:val="12"/>
        </w:num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 xml:space="preserve">Applications for earth stations in the 37.5-40 GHz band shall provide an exhibit </w:t>
      </w:r>
      <w:r w:rsidR="00F231A1" w:rsidRPr="00751168">
        <w:rPr>
          <w:rFonts w:ascii="Times New Roman" w:hAnsi="Times New Roman" w:cs="Times New Roman"/>
          <w:sz w:val="24"/>
          <w:szCs w:val="24"/>
        </w:rPr>
        <w:t>describing</w:t>
      </w:r>
    </w:p>
    <w:p w:rsidR="009252FB" w:rsidRPr="00751168" w:rsidRDefault="009252FB" w:rsidP="00F231A1">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the zone within which the earth station will require protection from transmissions of U</w:t>
      </w:r>
      <w:r w:rsidR="00744B19">
        <w:rPr>
          <w:rFonts w:ascii="Times New Roman" w:hAnsi="Times New Roman" w:cs="Times New Roman"/>
          <w:sz w:val="24"/>
          <w:szCs w:val="24"/>
        </w:rPr>
        <w:t>MFUS</w:t>
      </w:r>
      <w:r w:rsidRPr="00751168">
        <w:rPr>
          <w:rFonts w:ascii="Times New Roman" w:hAnsi="Times New Roman" w:cs="Times New Roman"/>
          <w:sz w:val="24"/>
          <w:szCs w:val="24"/>
        </w:rPr>
        <w:t xml:space="preserve"> licensees.  For purposes of this rule, the protection zone shall consist of the area where UMFUS licensees may not locate facilities without the consent of the earth station licensee.  The earth station applicant shall demonstrate in its application, using reasonable engineering methods, that the requested protection zone is necessary in order to protect its proposed earth station.</w:t>
      </w:r>
    </w:p>
    <w:p w:rsidR="009252FB" w:rsidRPr="00751168" w:rsidRDefault="009252FB" w:rsidP="009252FB">
      <w:pPr>
        <w:pStyle w:val="ListParagraph"/>
        <w:spacing w:after="0" w:line="240" w:lineRule="auto"/>
        <w:ind w:left="0"/>
        <w:rPr>
          <w:rFonts w:ascii="Times New Roman" w:hAnsi="Times New Roman" w:cs="Times New Roman"/>
          <w:sz w:val="24"/>
          <w:szCs w:val="24"/>
        </w:rPr>
      </w:pPr>
    </w:p>
    <w:p w:rsidR="00F231A1" w:rsidRPr="00751168" w:rsidRDefault="009252FB" w:rsidP="00F231A1">
      <w:pPr>
        <w:pStyle w:val="ListParagraph"/>
        <w:numPr>
          <w:ilvl w:val="0"/>
          <w:numId w:val="12"/>
        </w:num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The protection zone (as defined in paragraph (b) of this section) shall comply with the</w:t>
      </w:r>
    </w:p>
    <w:p w:rsidR="009252FB" w:rsidRPr="00751168" w:rsidRDefault="009252FB" w:rsidP="00F231A1">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following criteria.  The applicant shall demonstrate compliance with all of the following criteria in its application:</w:t>
      </w:r>
    </w:p>
    <w:p w:rsidR="00A17D1F" w:rsidRPr="00751168" w:rsidRDefault="00A17D1F" w:rsidP="009252FB">
      <w:pPr>
        <w:pStyle w:val="ListParagraph"/>
        <w:spacing w:after="0" w:line="240" w:lineRule="auto"/>
        <w:ind w:left="0"/>
        <w:rPr>
          <w:rFonts w:ascii="Times New Roman" w:hAnsi="Times New Roman" w:cs="Times New Roman"/>
          <w:sz w:val="24"/>
          <w:szCs w:val="24"/>
        </w:rPr>
      </w:pPr>
    </w:p>
    <w:p w:rsidR="009252FB" w:rsidRPr="00751168" w:rsidRDefault="009252FB" w:rsidP="009252FB">
      <w:pPr>
        <w:pStyle w:val="ListParagraph"/>
        <w:spacing w:after="0" w:line="240" w:lineRule="auto"/>
        <w:ind w:left="0"/>
        <w:rPr>
          <w:rFonts w:ascii="Times New Roman" w:hAnsi="Times New Roman" w:cs="Times New Roman"/>
          <w:sz w:val="24"/>
          <w:szCs w:val="24"/>
        </w:rPr>
      </w:pPr>
      <w:r w:rsidRPr="00751168">
        <w:rPr>
          <w:rFonts w:ascii="Times New Roman" w:hAnsi="Times New Roman" w:cs="Times New Roman"/>
          <w:sz w:val="24"/>
          <w:szCs w:val="24"/>
        </w:rPr>
        <w:t xml:space="preserve">(1)  There are no more than two other authorized earth stations operating in the 37.5-40 GHz band within the Partial Economic Area </w:t>
      </w:r>
      <w:r w:rsidR="00744B19">
        <w:rPr>
          <w:rFonts w:ascii="Times New Roman" w:hAnsi="Times New Roman" w:cs="Times New Roman"/>
          <w:sz w:val="24"/>
          <w:szCs w:val="24"/>
        </w:rPr>
        <w:t xml:space="preserve">(PEA) </w:t>
      </w:r>
      <w:r w:rsidRPr="00751168">
        <w:rPr>
          <w:rFonts w:ascii="Times New Roman" w:hAnsi="Times New Roman" w:cs="Times New Roman"/>
          <w:sz w:val="24"/>
          <w:szCs w:val="24"/>
        </w:rPr>
        <w:t>within which the proposed earth station is located that meet the criteria contained in paragraph (c) of this section.  For purposes of this requirement, multiple earth stations that are collocated with or at a location contiguous to each other shall be considered as one earth station;</w:t>
      </w:r>
    </w:p>
    <w:p w:rsidR="009252FB" w:rsidRPr="00751168" w:rsidRDefault="009252FB" w:rsidP="009252FB">
      <w:pPr>
        <w:pStyle w:val="ListParagraph"/>
        <w:spacing w:after="0" w:line="240" w:lineRule="auto"/>
        <w:ind w:left="0"/>
        <w:rPr>
          <w:rFonts w:ascii="Times New Roman" w:hAnsi="Times New Roman" w:cs="Times New Roman"/>
          <w:sz w:val="24"/>
          <w:szCs w:val="24"/>
        </w:rPr>
      </w:pPr>
      <w:r w:rsidRPr="00751168">
        <w:rPr>
          <w:rFonts w:ascii="Times New Roman" w:hAnsi="Times New Roman" w:cs="Times New Roman"/>
          <w:sz w:val="24"/>
          <w:szCs w:val="24"/>
        </w:rPr>
        <w:t>(2)  The protection zone, together with the protection zone of other earth stations in the same P</w:t>
      </w:r>
      <w:r w:rsidR="00744B19">
        <w:rPr>
          <w:rFonts w:ascii="Times New Roman" w:hAnsi="Times New Roman" w:cs="Times New Roman"/>
          <w:sz w:val="24"/>
          <w:szCs w:val="24"/>
        </w:rPr>
        <w:t>EA</w:t>
      </w:r>
      <w:r w:rsidRPr="00751168">
        <w:rPr>
          <w:rFonts w:ascii="Times New Roman" w:hAnsi="Times New Roman" w:cs="Times New Roman"/>
          <w:sz w:val="24"/>
          <w:szCs w:val="24"/>
        </w:rPr>
        <w:t xml:space="preserve"> authorized pursuant to this section, does not cover, in the aggregate, more than 0.1 percent of the population of the P</w:t>
      </w:r>
      <w:r w:rsidR="00CF3137">
        <w:rPr>
          <w:rFonts w:ascii="Times New Roman" w:hAnsi="Times New Roman" w:cs="Times New Roman"/>
          <w:sz w:val="24"/>
          <w:szCs w:val="24"/>
        </w:rPr>
        <w:t>EA</w:t>
      </w:r>
      <w:r w:rsidRPr="00751168">
        <w:rPr>
          <w:rFonts w:ascii="Times New Roman" w:hAnsi="Times New Roman" w:cs="Times New Roman"/>
          <w:sz w:val="24"/>
          <w:szCs w:val="24"/>
        </w:rPr>
        <w:t xml:space="preserve"> within which the earth station is located;</w:t>
      </w:r>
    </w:p>
    <w:p w:rsidR="009252FB" w:rsidRPr="009252FB" w:rsidRDefault="009252FB" w:rsidP="009252FB">
      <w:pPr>
        <w:pStyle w:val="ListParagraph"/>
        <w:spacing w:after="0" w:line="240" w:lineRule="auto"/>
        <w:ind w:left="0"/>
        <w:rPr>
          <w:rFonts w:ascii="Times New Roman" w:hAnsi="Times New Roman" w:cs="Times New Roman"/>
          <w:sz w:val="24"/>
          <w:szCs w:val="24"/>
        </w:rPr>
      </w:pPr>
      <w:r w:rsidRPr="009252FB">
        <w:rPr>
          <w:rFonts w:ascii="Times New Roman" w:hAnsi="Times New Roman" w:cs="Times New Roman"/>
          <w:sz w:val="24"/>
          <w:szCs w:val="24"/>
        </w:rPr>
        <w:t xml:space="preserve">(3)  The protection zone does not contain any major event venue, arterial street, interstate or U.S. highway, urban mass transit route, passenger railroad, or cruise ship port; and </w:t>
      </w:r>
    </w:p>
    <w:p w:rsidR="009252FB" w:rsidRDefault="009252FB" w:rsidP="009252FB">
      <w:pPr>
        <w:pStyle w:val="ListParagraph"/>
        <w:spacing w:after="0" w:line="240" w:lineRule="auto"/>
        <w:ind w:left="0"/>
        <w:rPr>
          <w:rFonts w:ascii="Times New Roman" w:hAnsi="Times New Roman" w:cs="Times New Roman"/>
          <w:sz w:val="24"/>
          <w:szCs w:val="24"/>
        </w:rPr>
      </w:pPr>
      <w:r w:rsidRPr="009252FB">
        <w:rPr>
          <w:rFonts w:ascii="Times New Roman" w:hAnsi="Times New Roman" w:cs="Times New Roman"/>
          <w:sz w:val="24"/>
          <w:szCs w:val="24"/>
        </w:rPr>
        <w:t>(4)  The applicant has successfully completed frequency coordination with the UMFUS licensees within the protection zone with respect to existing facilities constructed and in operation by the UMFUS licensee.  In coordinating with UMFUS licensees, the applicant shall use the applicable processes contained in § 101.103(d) of this part.</w:t>
      </w:r>
    </w:p>
    <w:p w:rsidR="0089476A" w:rsidRPr="009252FB" w:rsidRDefault="0089476A" w:rsidP="009252FB">
      <w:pPr>
        <w:pStyle w:val="ListParagraph"/>
        <w:spacing w:after="0" w:line="240" w:lineRule="auto"/>
        <w:ind w:left="0"/>
        <w:rPr>
          <w:rFonts w:ascii="Times New Roman" w:hAnsi="Times New Roman" w:cs="Times New Roman"/>
          <w:sz w:val="24"/>
          <w:szCs w:val="24"/>
        </w:rPr>
      </w:pPr>
    </w:p>
    <w:p w:rsidR="002C094A" w:rsidRDefault="009252FB" w:rsidP="00751168">
      <w:pPr>
        <w:pStyle w:val="ListParagraph"/>
        <w:numPr>
          <w:ilvl w:val="0"/>
          <w:numId w:val="12"/>
        </w:numPr>
        <w:spacing w:after="0" w:line="240" w:lineRule="auto"/>
        <w:rPr>
          <w:rFonts w:ascii="Times New Roman" w:hAnsi="Times New Roman" w:cs="Times New Roman"/>
          <w:sz w:val="24"/>
          <w:szCs w:val="24"/>
        </w:rPr>
      </w:pPr>
      <w:r w:rsidRPr="009252FB">
        <w:rPr>
          <w:rFonts w:ascii="Times New Roman" w:hAnsi="Times New Roman" w:cs="Times New Roman"/>
          <w:sz w:val="24"/>
          <w:szCs w:val="24"/>
        </w:rPr>
        <w:t>If an earth station applicant or licensee in the 27.5-28.35 GHz or 37. 5-40 GHz bands enters into an agreement with an UMFUS licensee, their operations shall be governed by that agreement, except to the extent that the agreement is inconsistent with the Commission’s rules or the Communications Act.</w:t>
      </w:r>
    </w:p>
    <w:p w:rsidR="00E00BB2" w:rsidRDefault="00E00BB2" w:rsidP="00751168">
      <w:pPr>
        <w:spacing w:after="0" w:line="240" w:lineRule="auto"/>
        <w:rPr>
          <w:rFonts w:ascii="Times New Roman" w:hAnsi="Times New Roman" w:cs="Times New Roman"/>
          <w:sz w:val="24"/>
          <w:szCs w:val="24"/>
        </w:rPr>
      </w:pPr>
    </w:p>
    <w:p w:rsidR="00E00BB2" w:rsidRPr="00E00BB2" w:rsidRDefault="00E00BB2" w:rsidP="00E00BB2">
      <w:pPr>
        <w:spacing w:after="0" w:line="240" w:lineRule="auto"/>
        <w:rPr>
          <w:rFonts w:ascii="Times New Roman" w:hAnsi="Times New Roman" w:cs="Times New Roman"/>
          <w:sz w:val="24"/>
          <w:szCs w:val="24"/>
        </w:rPr>
      </w:pPr>
      <w:r w:rsidRPr="00751168">
        <w:rPr>
          <w:rFonts w:ascii="Times New Roman" w:hAnsi="Times New Roman" w:cs="Times New Roman"/>
          <w:b/>
          <w:sz w:val="24"/>
          <w:szCs w:val="24"/>
        </w:rPr>
        <w:t>§ 30.3</w:t>
      </w:r>
      <w:r w:rsidRPr="00751168">
        <w:rPr>
          <w:rFonts w:ascii="Times New Roman" w:hAnsi="Times New Roman" w:cs="Times New Roman"/>
          <w:b/>
          <w:sz w:val="24"/>
          <w:szCs w:val="24"/>
        </w:rPr>
        <w:tab/>
        <w:t>Eligibility ‒</w:t>
      </w:r>
      <w:r w:rsidRPr="00E00BB2">
        <w:rPr>
          <w:rFonts w:ascii="Times New Roman" w:hAnsi="Times New Roman" w:cs="Times New Roman"/>
          <w:sz w:val="24"/>
          <w:szCs w:val="24"/>
        </w:rPr>
        <w:t xml:space="preserve"> </w:t>
      </w:r>
      <w:r w:rsidRPr="00751168">
        <w:rPr>
          <w:rFonts w:ascii="Times New Roman" w:hAnsi="Times New Roman" w:cs="Times New Roman"/>
          <w:i/>
          <w:sz w:val="24"/>
          <w:szCs w:val="24"/>
        </w:rPr>
        <w:t>Foreign Ownership Reports.</w:t>
      </w:r>
      <w:r w:rsidRPr="00E00BB2">
        <w:rPr>
          <w:rFonts w:ascii="Times New Roman" w:hAnsi="Times New Roman" w:cs="Times New Roman"/>
          <w:sz w:val="24"/>
          <w:szCs w:val="24"/>
        </w:rPr>
        <w:t xml:space="preserve"> </w:t>
      </w:r>
    </w:p>
    <w:p w:rsidR="00E00BB2" w:rsidRPr="00E00BB2" w:rsidRDefault="00E00BB2" w:rsidP="00E00BB2">
      <w:pPr>
        <w:spacing w:after="0" w:line="240" w:lineRule="auto"/>
        <w:rPr>
          <w:rFonts w:ascii="Times New Roman" w:hAnsi="Times New Roman" w:cs="Times New Roman"/>
          <w:sz w:val="24"/>
          <w:szCs w:val="24"/>
        </w:rPr>
      </w:pPr>
    </w:p>
    <w:p w:rsidR="00E00BB2" w:rsidRPr="00751168" w:rsidRDefault="00E00BB2" w:rsidP="00751168">
      <w:pPr>
        <w:spacing w:after="0" w:line="240" w:lineRule="auto"/>
        <w:rPr>
          <w:rFonts w:ascii="Times New Roman" w:hAnsi="Times New Roman" w:cs="Times New Roman"/>
          <w:sz w:val="24"/>
          <w:szCs w:val="24"/>
        </w:rPr>
      </w:pPr>
      <w:r w:rsidRPr="00E00BB2">
        <w:rPr>
          <w:rFonts w:ascii="Times New Roman" w:hAnsi="Times New Roman" w:cs="Times New Roman"/>
          <w:sz w:val="24"/>
          <w:szCs w:val="24"/>
        </w:rPr>
        <w:t>Any entity who meets the technical, financial, character, and citizenship qualifications that the Commission may require in accordance with such Act, other than those precluded by section 310 of the Communications Act of 1934, as amended, 47 U.S.C. 310, is eligible to hold a license under this part.</w:t>
      </w:r>
      <w:r>
        <w:rPr>
          <w:rStyle w:val="FootnoteReference"/>
          <w:rFonts w:ascii="Times New Roman" w:hAnsi="Times New Roman" w:cs="Times New Roman"/>
          <w:sz w:val="24"/>
          <w:szCs w:val="24"/>
        </w:rPr>
        <w:footnoteReference w:id="1"/>
      </w:r>
      <w:r w:rsidRPr="00E00BB2">
        <w:rPr>
          <w:rFonts w:ascii="Times New Roman" w:hAnsi="Times New Roman" w:cs="Times New Roman"/>
          <w:sz w:val="24"/>
          <w:szCs w:val="24"/>
        </w:rPr>
        <w:t xml:space="preserve">  </w:t>
      </w:r>
    </w:p>
    <w:p w:rsidR="00B63B2C" w:rsidRDefault="00B63B2C" w:rsidP="00D82C08">
      <w:pPr>
        <w:spacing w:after="0" w:line="240" w:lineRule="auto"/>
        <w:rPr>
          <w:rFonts w:ascii="Times New Roman" w:hAnsi="Times New Roman" w:cs="Times New Roman"/>
          <w:b/>
          <w:sz w:val="24"/>
          <w:szCs w:val="24"/>
        </w:rPr>
      </w:pPr>
    </w:p>
    <w:p w:rsidR="00CF797D" w:rsidRDefault="00F52225" w:rsidP="00DB2785">
      <w:pPr>
        <w:pStyle w:val="ListParagraph"/>
        <w:spacing w:after="0" w:line="240" w:lineRule="auto"/>
        <w:ind w:left="0"/>
        <w:rPr>
          <w:rFonts w:ascii="Times New Roman" w:hAnsi="Times New Roman" w:cs="Times New Roman"/>
          <w:i/>
          <w:sz w:val="24"/>
          <w:szCs w:val="24"/>
        </w:rPr>
      </w:pPr>
      <w:r w:rsidRPr="00D82C08">
        <w:rPr>
          <w:rFonts w:ascii="Times New Roman" w:hAnsi="Times New Roman" w:cs="Times New Roman"/>
          <w:b/>
          <w:sz w:val="24"/>
          <w:szCs w:val="24"/>
        </w:rPr>
        <w:t>§</w:t>
      </w:r>
      <w:r w:rsidR="00CF2ACE">
        <w:rPr>
          <w:rFonts w:ascii="Times New Roman" w:hAnsi="Times New Roman" w:cs="Times New Roman"/>
          <w:b/>
          <w:sz w:val="24"/>
          <w:szCs w:val="24"/>
        </w:rPr>
        <w:t xml:space="preserve"> </w:t>
      </w:r>
      <w:r w:rsidRPr="00D82C08">
        <w:rPr>
          <w:rFonts w:ascii="Times New Roman" w:hAnsi="Times New Roman" w:cs="Times New Roman"/>
          <w:b/>
          <w:sz w:val="24"/>
          <w:szCs w:val="24"/>
        </w:rPr>
        <w:t>30.105</w:t>
      </w:r>
      <w:r w:rsidR="00384C00" w:rsidRPr="00D82C08">
        <w:rPr>
          <w:rFonts w:ascii="Times New Roman" w:hAnsi="Times New Roman" w:cs="Times New Roman"/>
          <w:b/>
          <w:sz w:val="24"/>
          <w:szCs w:val="24"/>
        </w:rPr>
        <w:t>, Subpart B – Applications and Licenses</w:t>
      </w:r>
      <w:r w:rsidR="00CF797D">
        <w:rPr>
          <w:rFonts w:ascii="Times New Roman" w:hAnsi="Times New Roman" w:cs="Times New Roman"/>
          <w:b/>
          <w:sz w:val="24"/>
          <w:szCs w:val="24"/>
        </w:rPr>
        <w:t xml:space="preserve"> </w:t>
      </w:r>
      <w:r w:rsidR="00D82C08">
        <w:rPr>
          <w:rFonts w:ascii="Times New Roman" w:hAnsi="Times New Roman" w:cs="Times New Roman"/>
          <w:b/>
          <w:sz w:val="24"/>
          <w:szCs w:val="24"/>
        </w:rPr>
        <w:t>‒</w:t>
      </w:r>
      <w:r w:rsidR="00CF797D">
        <w:rPr>
          <w:rFonts w:ascii="Times New Roman" w:hAnsi="Times New Roman" w:cs="Times New Roman"/>
          <w:b/>
          <w:sz w:val="24"/>
          <w:szCs w:val="24"/>
        </w:rPr>
        <w:t xml:space="preserve"> </w:t>
      </w:r>
      <w:r w:rsidR="00DB2785" w:rsidRPr="00D82C08">
        <w:rPr>
          <w:rFonts w:ascii="Times New Roman" w:hAnsi="Times New Roman" w:cs="Times New Roman"/>
          <w:i/>
          <w:sz w:val="24"/>
          <w:szCs w:val="24"/>
        </w:rPr>
        <w:t>Construction Requirements</w:t>
      </w:r>
      <w:r w:rsidR="00D82C08" w:rsidRPr="00D82C08">
        <w:rPr>
          <w:rFonts w:ascii="Times New Roman" w:hAnsi="Times New Roman" w:cs="Times New Roman"/>
          <w:i/>
          <w:sz w:val="24"/>
          <w:szCs w:val="24"/>
        </w:rPr>
        <w:t>.</w:t>
      </w:r>
      <w:r w:rsidR="00D82C08">
        <w:rPr>
          <w:rFonts w:ascii="Times New Roman" w:hAnsi="Times New Roman" w:cs="Times New Roman"/>
          <w:i/>
          <w:sz w:val="24"/>
          <w:szCs w:val="24"/>
        </w:rPr>
        <w:t xml:space="preserve">  </w:t>
      </w:r>
    </w:p>
    <w:p w:rsidR="00CF3137" w:rsidRDefault="00CF3137" w:rsidP="00DB2785">
      <w:pPr>
        <w:pStyle w:val="ListParagraph"/>
        <w:spacing w:after="0" w:line="240" w:lineRule="auto"/>
        <w:ind w:left="0"/>
        <w:rPr>
          <w:rFonts w:ascii="Times New Roman" w:hAnsi="Times New Roman" w:cs="Times New Roman"/>
          <w:i/>
          <w:sz w:val="24"/>
          <w:szCs w:val="24"/>
        </w:rPr>
      </w:pPr>
    </w:p>
    <w:p w:rsidR="00CF3137" w:rsidRDefault="00A17D1F" w:rsidP="0075116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UMFUS </w:t>
      </w:r>
      <w:r w:rsidR="00D3709A" w:rsidRPr="008E7D62">
        <w:rPr>
          <w:rFonts w:ascii="Times New Roman" w:hAnsi="Times New Roman" w:cs="Times New Roman"/>
          <w:sz w:val="24"/>
          <w:szCs w:val="24"/>
        </w:rPr>
        <w:t xml:space="preserve">licensees must make a buildout showing </w:t>
      </w:r>
      <w:r w:rsidR="00D3709A" w:rsidRPr="00751168">
        <w:rPr>
          <w:rFonts w:ascii="Times New Roman" w:hAnsi="Times New Roman" w:cs="Times New Roman"/>
          <w:sz w:val="24"/>
          <w:szCs w:val="24"/>
        </w:rPr>
        <w:t>as part of their renewal applications.</w:t>
      </w:r>
    </w:p>
    <w:p w:rsidR="00DB2785" w:rsidRPr="00751168" w:rsidRDefault="00D3709A" w:rsidP="00751168">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Licensees relying on mobile or point-to-multipoint service must show that they are providing reliable signal coverage and service to at least 40 percent of the population within the service area of the licensee, and that they are using facilities to provide service in that area either to customers or for internal use.  Licensees relying on point-to-point service must demonstrate that they have four links operating and providing service, either to customers or for internal use, if the population within the license area is equal to or less than 268,000.  If the population within the license area is greater than 268,000, a licensee relying on point-to-point service must demonstrate it has at least one link in operation and is providing service for each 67,000 population within the license area.</w:t>
      </w:r>
    </w:p>
    <w:p w:rsidR="00276E69" w:rsidRDefault="00276E69" w:rsidP="00DB2785">
      <w:pPr>
        <w:pStyle w:val="ListParagraph"/>
        <w:spacing w:after="0" w:line="240" w:lineRule="auto"/>
        <w:ind w:left="0"/>
        <w:rPr>
          <w:rFonts w:ascii="Times New Roman" w:hAnsi="Times New Roman" w:cs="Times New Roman"/>
          <w:sz w:val="24"/>
          <w:szCs w:val="24"/>
        </w:rPr>
      </w:pPr>
    </w:p>
    <w:p w:rsidR="00A17D1F" w:rsidRPr="008A0E22" w:rsidRDefault="00DB2785" w:rsidP="00A17D1F">
      <w:pPr>
        <w:pStyle w:val="ListParagraph"/>
        <w:numPr>
          <w:ilvl w:val="0"/>
          <w:numId w:val="10"/>
        </w:numPr>
        <w:spacing w:after="0" w:line="240" w:lineRule="auto"/>
        <w:rPr>
          <w:rFonts w:ascii="Times New Roman" w:hAnsi="Times New Roman" w:cs="Times New Roman"/>
          <w:sz w:val="24"/>
          <w:szCs w:val="24"/>
        </w:rPr>
      </w:pPr>
      <w:r w:rsidRPr="00DB2785">
        <w:rPr>
          <w:rFonts w:ascii="Times New Roman" w:hAnsi="Times New Roman" w:cs="Times New Roman"/>
          <w:sz w:val="24"/>
          <w:szCs w:val="24"/>
        </w:rPr>
        <w:t>Existing 39 GHz licensees shall not be required to make a showing pursuant to this rule and</w:t>
      </w:r>
    </w:p>
    <w:p w:rsidR="00DB2785" w:rsidRDefault="00DB2785" w:rsidP="008A0E22">
      <w:pPr>
        <w:spacing w:after="0" w:line="240" w:lineRule="auto"/>
        <w:rPr>
          <w:rFonts w:ascii="Times New Roman" w:hAnsi="Times New Roman" w:cs="Times New Roman"/>
          <w:sz w:val="24"/>
          <w:szCs w:val="24"/>
        </w:rPr>
      </w:pPr>
      <w:r w:rsidRPr="00420B18">
        <w:rPr>
          <w:rFonts w:ascii="Times New Roman" w:hAnsi="Times New Roman" w:cs="Times New Roman"/>
          <w:sz w:val="24"/>
          <w:szCs w:val="24"/>
        </w:rPr>
        <w:t>shall be governed by the provisions of § 101.17 of this chapter if the expiration date of their license is prior to March 1, 2021.</w:t>
      </w:r>
      <w:r w:rsidR="00D3709A" w:rsidRPr="00D3709A">
        <w:rPr>
          <w:rFonts w:ascii="Times New Roman" w:hAnsi="Times New Roman" w:cs="Times New Roman"/>
          <w:sz w:val="24"/>
          <w:szCs w:val="24"/>
        </w:rPr>
        <w:t>Showings that rely on a combination of multiple types of service will be evaluated on a case-by-case basis.</w:t>
      </w:r>
    </w:p>
    <w:p w:rsidR="00D3709A" w:rsidRDefault="00D3709A" w:rsidP="00420B18">
      <w:pPr>
        <w:spacing w:after="0" w:line="240" w:lineRule="auto"/>
        <w:ind w:left="360"/>
        <w:rPr>
          <w:rFonts w:ascii="Times New Roman" w:hAnsi="Times New Roman" w:cs="Times New Roman"/>
          <w:sz w:val="24"/>
          <w:szCs w:val="24"/>
        </w:rPr>
      </w:pPr>
    </w:p>
    <w:p w:rsidR="008A0E22" w:rsidRDefault="00D3709A" w:rsidP="008A0E22">
      <w:pPr>
        <w:pStyle w:val="ListParagraph"/>
        <w:numPr>
          <w:ilvl w:val="0"/>
          <w:numId w:val="10"/>
        </w:numPr>
        <w:spacing w:after="0" w:line="240" w:lineRule="auto"/>
        <w:rPr>
          <w:rFonts w:ascii="Times New Roman" w:hAnsi="Times New Roman" w:cs="Times New Roman"/>
          <w:sz w:val="24"/>
          <w:szCs w:val="24"/>
        </w:rPr>
      </w:pPr>
      <w:r w:rsidRPr="00D3709A">
        <w:rPr>
          <w:rFonts w:ascii="Times New Roman" w:hAnsi="Times New Roman" w:cs="Times New Roman"/>
          <w:sz w:val="24"/>
          <w:szCs w:val="24"/>
        </w:rPr>
        <w:t xml:space="preserve">If a licensee in this service is also a Fixed-Satellite Service </w:t>
      </w:r>
      <w:r w:rsidR="008A0E22">
        <w:rPr>
          <w:rFonts w:ascii="Times New Roman" w:hAnsi="Times New Roman" w:cs="Times New Roman"/>
          <w:sz w:val="24"/>
          <w:szCs w:val="24"/>
        </w:rPr>
        <w:t xml:space="preserve">(FSS) </w:t>
      </w:r>
      <w:r w:rsidRPr="00D3709A">
        <w:rPr>
          <w:rFonts w:ascii="Times New Roman" w:hAnsi="Times New Roman" w:cs="Times New Roman"/>
          <w:sz w:val="24"/>
          <w:szCs w:val="24"/>
        </w:rPr>
        <w:t>licensee and uses th</w:t>
      </w:r>
      <w:r w:rsidR="008E7D62">
        <w:rPr>
          <w:rFonts w:ascii="Times New Roman" w:hAnsi="Times New Roman" w:cs="Times New Roman"/>
          <w:sz w:val="24"/>
          <w:szCs w:val="24"/>
        </w:rPr>
        <w:t>e</w:t>
      </w:r>
    </w:p>
    <w:p w:rsidR="00D3709A" w:rsidRPr="008A0E22" w:rsidRDefault="008E7D62" w:rsidP="008A0E22">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3709A" w:rsidRPr="008A0E22">
        <w:rPr>
          <w:rFonts w:ascii="Times New Roman" w:hAnsi="Times New Roman" w:cs="Times New Roman"/>
          <w:sz w:val="24"/>
          <w:szCs w:val="24"/>
        </w:rPr>
        <w:t>pectrum</w:t>
      </w:r>
      <w:r>
        <w:rPr>
          <w:rFonts w:ascii="Times New Roman" w:hAnsi="Times New Roman" w:cs="Times New Roman"/>
          <w:sz w:val="24"/>
          <w:szCs w:val="24"/>
        </w:rPr>
        <w:t xml:space="preserve"> </w:t>
      </w:r>
      <w:r w:rsidR="00D3709A" w:rsidRPr="008A0E22">
        <w:rPr>
          <w:rFonts w:ascii="Times New Roman" w:hAnsi="Times New Roman" w:cs="Times New Roman"/>
          <w:sz w:val="24"/>
          <w:szCs w:val="24"/>
        </w:rPr>
        <w:t xml:space="preserve">covered under its UMFUS license in connection with a satellite earth station, it can demonstrate compliance with the requirements of this section by demonstrating that the earth station in question is in service, operational, and using the spectrum associated with the license.  This provision can only be used to demonstrate compliance for the county in which the earth station is located. </w:t>
      </w:r>
    </w:p>
    <w:p w:rsidR="00D3709A" w:rsidRPr="00D3709A" w:rsidRDefault="00D3709A" w:rsidP="00D3709A">
      <w:pPr>
        <w:spacing w:after="0" w:line="240" w:lineRule="auto"/>
        <w:ind w:left="360"/>
        <w:rPr>
          <w:rFonts w:ascii="Times New Roman" w:hAnsi="Times New Roman" w:cs="Times New Roman"/>
          <w:sz w:val="24"/>
          <w:szCs w:val="24"/>
        </w:rPr>
      </w:pPr>
    </w:p>
    <w:p w:rsidR="00A17D1F" w:rsidRPr="008A0E22" w:rsidRDefault="00D3709A" w:rsidP="008A0E22">
      <w:pPr>
        <w:pStyle w:val="ListParagraph"/>
        <w:numPr>
          <w:ilvl w:val="0"/>
          <w:numId w:val="10"/>
        </w:numPr>
        <w:spacing w:after="0" w:line="240" w:lineRule="auto"/>
        <w:rPr>
          <w:rFonts w:ascii="Times New Roman" w:hAnsi="Times New Roman" w:cs="Times New Roman"/>
          <w:sz w:val="24"/>
          <w:szCs w:val="24"/>
        </w:rPr>
      </w:pPr>
      <w:r w:rsidRPr="008A0E22">
        <w:rPr>
          <w:rFonts w:ascii="Times New Roman" w:hAnsi="Times New Roman" w:cs="Times New Roman"/>
          <w:sz w:val="24"/>
          <w:szCs w:val="24"/>
        </w:rPr>
        <w:t>Failure to meet this requirement will result in automatic cancellation of the license.  In</w:t>
      </w:r>
    </w:p>
    <w:p w:rsidR="00D3709A" w:rsidRPr="008A0E22" w:rsidRDefault="00D3709A" w:rsidP="008A0E22">
      <w:pPr>
        <w:spacing w:after="0" w:line="240" w:lineRule="auto"/>
        <w:rPr>
          <w:rFonts w:ascii="Times New Roman" w:hAnsi="Times New Roman" w:cs="Times New Roman"/>
          <w:sz w:val="24"/>
          <w:szCs w:val="24"/>
        </w:rPr>
      </w:pPr>
      <w:r w:rsidRPr="008A0E22">
        <w:rPr>
          <w:rFonts w:ascii="Times New Roman" w:hAnsi="Times New Roman" w:cs="Times New Roman"/>
          <w:sz w:val="24"/>
          <w:szCs w:val="24"/>
        </w:rPr>
        <w:t>bands licensed on a Partial Economic Area basis, licensees will have the option of partitioning a license on a county basis in order to reduce the population within the license area to a level where the licensee’s buildout would meet one of the applicable performance metrics.</w:t>
      </w:r>
    </w:p>
    <w:p w:rsidR="00D3709A" w:rsidRPr="00D3709A" w:rsidRDefault="00D3709A" w:rsidP="00D3709A">
      <w:pPr>
        <w:spacing w:after="0" w:line="240" w:lineRule="auto"/>
        <w:ind w:left="360"/>
        <w:rPr>
          <w:rFonts w:ascii="Times New Roman" w:hAnsi="Times New Roman" w:cs="Times New Roman"/>
          <w:sz w:val="24"/>
          <w:szCs w:val="24"/>
        </w:rPr>
      </w:pPr>
    </w:p>
    <w:p w:rsidR="00A17D1F" w:rsidRPr="008A0E22" w:rsidRDefault="00D3709A" w:rsidP="008A0E22">
      <w:pPr>
        <w:pStyle w:val="ListParagraph"/>
        <w:numPr>
          <w:ilvl w:val="0"/>
          <w:numId w:val="10"/>
        </w:numPr>
        <w:spacing w:after="0" w:line="240" w:lineRule="auto"/>
        <w:rPr>
          <w:rFonts w:ascii="Times New Roman" w:hAnsi="Times New Roman" w:cs="Times New Roman"/>
          <w:sz w:val="24"/>
          <w:szCs w:val="24"/>
        </w:rPr>
      </w:pPr>
      <w:r w:rsidRPr="008A0E22">
        <w:rPr>
          <w:rFonts w:ascii="Times New Roman" w:hAnsi="Times New Roman" w:cs="Times New Roman"/>
          <w:sz w:val="24"/>
          <w:szCs w:val="24"/>
        </w:rPr>
        <w:t>Existing 28 GHz and 39 GHz licensees shall be required to make a showing pursuant to</w:t>
      </w:r>
    </w:p>
    <w:p w:rsidR="00D3709A" w:rsidRDefault="00D3709A" w:rsidP="008A0E22">
      <w:pPr>
        <w:spacing w:after="0" w:line="240" w:lineRule="auto"/>
        <w:rPr>
          <w:rFonts w:ascii="Times New Roman" w:hAnsi="Times New Roman" w:cs="Times New Roman"/>
          <w:sz w:val="24"/>
          <w:szCs w:val="24"/>
        </w:rPr>
      </w:pPr>
      <w:r w:rsidRPr="008A0E22">
        <w:rPr>
          <w:rFonts w:ascii="Times New Roman" w:hAnsi="Times New Roman" w:cs="Times New Roman"/>
          <w:sz w:val="24"/>
          <w:szCs w:val="24"/>
        </w:rPr>
        <w:t>this rule by June 1, 2024.</w:t>
      </w:r>
    </w:p>
    <w:p w:rsidR="008C2323" w:rsidRDefault="008C2323" w:rsidP="008A0E22">
      <w:pPr>
        <w:spacing w:after="0" w:line="240" w:lineRule="auto"/>
        <w:rPr>
          <w:rFonts w:ascii="Times New Roman" w:hAnsi="Times New Roman" w:cs="Times New Roman"/>
          <w:sz w:val="24"/>
          <w:szCs w:val="24"/>
        </w:rPr>
      </w:pPr>
    </w:p>
    <w:p w:rsidR="008C2323" w:rsidRPr="008A0E22" w:rsidRDefault="008C2323" w:rsidP="008A0E22">
      <w:pPr>
        <w:spacing w:after="0" w:line="240" w:lineRule="auto"/>
        <w:rPr>
          <w:rFonts w:ascii="Times New Roman" w:hAnsi="Times New Roman" w:cs="Times New Roman"/>
          <w:sz w:val="24"/>
          <w:szCs w:val="24"/>
        </w:rPr>
      </w:pPr>
    </w:p>
    <w:p w:rsidR="00D82C08" w:rsidRDefault="00D82C08" w:rsidP="00061F14">
      <w:pPr>
        <w:pStyle w:val="ListParagraph"/>
        <w:spacing w:after="0" w:line="240" w:lineRule="auto"/>
        <w:ind w:left="0"/>
        <w:rPr>
          <w:rFonts w:ascii="Times New Roman" w:hAnsi="Times New Roman" w:cs="Times New Roman"/>
          <w:b/>
          <w:sz w:val="24"/>
          <w:szCs w:val="24"/>
        </w:rPr>
      </w:pPr>
    </w:p>
    <w:p w:rsidR="00CF797D" w:rsidRDefault="00F52225" w:rsidP="00CF797D">
      <w:pPr>
        <w:pStyle w:val="ListParagraph"/>
        <w:spacing w:after="0" w:line="240" w:lineRule="auto"/>
        <w:ind w:left="0"/>
        <w:rPr>
          <w:rFonts w:ascii="Times New Roman" w:hAnsi="Times New Roman" w:cs="Times New Roman"/>
          <w:sz w:val="24"/>
          <w:szCs w:val="24"/>
        </w:rPr>
      </w:pPr>
      <w:r w:rsidRPr="00D82C08">
        <w:rPr>
          <w:rFonts w:ascii="Times New Roman" w:hAnsi="Times New Roman" w:cs="Times New Roman"/>
          <w:b/>
          <w:sz w:val="24"/>
          <w:szCs w:val="24"/>
        </w:rPr>
        <w:lastRenderedPageBreak/>
        <w:t>§</w:t>
      </w:r>
      <w:r w:rsidR="00554601">
        <w:rPr>
          <w:rFonts w:ascii="Times New Roman" w:hAnsi="Times New Roman" w:cs="Times New Roman"/>
          <w:b/>
          <w:sz w:val="24"/>
          <w:szCs w:val="24"/>
        </w:rPr>
        <w:t xml:space="preserve"> </w:t>
      </w:r>
      <w:r w:rsidRPr="00D82C08">
        <w:rPr>
          <w:rFonts w:ascii="Times New Roman" w:hAnsi="Times New Roman" w:cs="Times New Roman"/>
          <w:b/>
          <w:sz w:val="24"/>
          <w:szCs w:val="24"/>
        </w:rPr>
        <w:t>30.107</w:t>
      </w:r>
      <w:r w:rsidR="00384C00" w:rsidRPr="00D82C08">
        <w:rPr>
          <w:rFonts w:ascii="Times New Roman" w:hAnsi="Times New Roman" w:cs="Times New Roman"/>
          <w:b/>
          <w:sz w:val="24"/>
          <w:szCs w:val="24"/>
        </w:rPr>
        <w:t>, Subpart B – Applications and Licenses</w:t>
      </w:r>
      <w:r w:rsidR="00CF797D">
        <w:rPr>
          <w:rFonts w:ascii="Times New Roman" w:hAnsi="Times New Roman" w:cs="Times New Roman"/>
          <w:b/>
          <w:sz w:val="24"/>
          <w:szCs w:val="24"/>
        </w:rPr>
        <w:t xml:space="preserve"> </w:t>
      </w:r>
      <w:r w:rsidR="00D82C08">
        <w:rPr>
          <w:rFonts w:ascii="Times New Roman" w:hAnsi="Times New Roman" w:cs="Times New Roman"/>
          <w:b/>
          <w:sz w:val="24"/>
          <w:szCs w:val="24"/>
        </w:rPr>
        <w:t>‒</w:t>
      </w:r>
      <w:r w:rsidR="00CF797D">
        <w:rPr>
          <w:rFonts w:ascii="Times New Roman" w:hAnsi="Times New Roman" w:cs="Times New Roman"/>
          <w:b/>
          <w:sz w:val="24"/>
          <w:szCs w:val="24"/>
        </w:rPr>
        <w:t xml:space="preserve"> </w:t>
      </w:r>
      <w:r w:rsidR="00DB2785" w:rsidRPr="00D82C08">
        <w:rPr>
          <w:rFonts w:ascii="Times New Roman" w:hAnsi="Times New Roman" w:cs="Times New Roman"/>
          <w:i/>
          <w:sz w:val="24"/>
          <w:szCs w:val="24"/>
        </w:rPr>
        <w:t>Discontinuance of Service.</w:t>
      </w:r>
      <w:r w:rsidR="00CF797D">
        <w:rPr>
          <w:rFonts w:ascii="Times New Roman" w:hAnsi="Times New Roman" w:cs="Times New Roman"/>
          <w:sz w:val="24"/>
          <w:szCs w:val="24"/>
        </w:rPr>
        <w:t xml:space="preserve">  </w:t>
      </w:r>
    </w:p>
    <w:p w:rsidR="00CF3137" w:rsidRDefault="00CF3137" w:rsidP="00CF797D">
      <w:pPr>
        <w:pStyle w:val="ListParagraph"/>
        <w:spacing w:after="0" w:line="240" w:lineRule="auto"/>
        <w:ind w:left="0"/>
        <w:rPr>
          <w:rFonts w:ascii="Times New Roman" w:hAnsi="Times New Roman" w:cs="Times New Roman"/>
          <w:sz w:val="24"/>
          <w:szCs w:val="24"/>
        </w:rPr>
      </w:pPr>
    </w:p>
    <w:p w:rsidR="008A0E22" w:rsidRPr="00751168" w:rsidRDefault="00DB2785" w:rsidP="00751168">
      <w:pPr>
        <w:spacing w:after="0" w:line="240" w:lineRule="auto"/>
        <w:rPr>
          <w:rFonts w:ascii="Times New Roman" w:hAnsi="Times New Roman" w:cs="Times New Roman"/>
          <w:sz w:val="24"/>
          <w:szCs w:val="24"/>
        </w:rPr>
      </w:pPr>
      <w:r w:rsidRPr="00751168">
        <w:rPr>
          <w:rFonts w:ascii="Times New Roman" w:hAnsi="Times New Roman" w:cs="Times New Roman"/>
          <w:sz w:val="24"/>
          <w:szCs w:val="24"/>
        </w:rPr>
        <w:t>An Upper Microwave Flexible Use License authorization will automatically terminate,</w:t>
      </w:r>
    </w:p>
    <w:p w:rsidR="00DB2785" w:rsidRPr="008E7D62" w:rsidRDefault="00DB2785" w:rsidP="008E7D62">
      <w:pPr>
        <w:spacing w:after="0" w:line="240" w:lineRule="auto"/>
        <w:rPr>
          <w:rFonts w:ascii="Times New Roman" w:hAnsi="Times New Roman" w:cs="Times New Roman"/>
          <w:sz w:val="24"/>
          <w:szCs w:val="24"/>
        </w:rPr>
      </w:pPr>
      <w:r w:rsidRPr="008E7D62">
        <w:rPr>
          <w:rFonts w:ascii="Times New Roman" w:hAnsi="Times New Roman" w:cs="Times New Roman"/>
          <w:sz w:val="24"/>
          <w:szCs w:val="24"/>
        </w:rPr>
        <w:t>without specific Commission action, if the licensee permanently discontinues service after the initial license term.</w:t>
      </w:r>
    </w:p>
    <w:p w:rsidR="00276E69" w:rsidRDefault="00276E69" w:rsidP="00DB2785">
      <w:pPr>
        <w:spacing w:after="0" w:line="240" w:lineRule="auto"/>
        <w:rPr>
          <w:rFonts w:ascii="Times New Roman" w:hAnsi="Times New Roman" w:cs="Times New Roman"/>
          <w:sz w:val="24"/>
          <w:szCs w:val="24"/>
        </w:rPr>
      </w:pPr>
    </w:p>
    <w:p w:rsidR="008E7D62" w:rsidRDefault="00DB2785" w:rsidP="00420B18">
      <w:pPr>
        <w:pStyle w:val="ListParagraph"/>
        <w:numPr>
          <w:ilvl w:val="0"/>
          <w:numId w:val="9"/>
        </w:numPr>
        <w:spacing w:after="0" w:line="240" w:lineRule="auto"/>
        <w:rPr>
          <w:rFonts w:ascii="Times New Roman" w:hAnsi="Times New Roman" w:cs="Times New Roman"/>
          <w:sz w:val="24"/>
          <w:szCs w:val="24"/>
        </w:rPr>
      </w:pPr>
      <w:r w:rsidRPr="00420B18">
        <w:rPr>
          <w:rFonts w:ascii="Times New Roman" w:hAnsi="Times New Roman" w:cs="Times New Roman"/>
          <w:sz w:val="24"/>
          <w:szCs w:val="24"/>
        </w:rPr>
        <w:t xml:space="preserve">For licensees with common carrier regulatory status, permanent discontinuance of service is </w:t>
      </w:r>
    </w:p>
    <w:p w:rsidR="00DB2785" w:rsidRPr="008E7D62" w:rsidRDefault="008E7D62" w:rsidP="008E7D62">
      <w:pPr>
        <w:spacing w:after="0" w:line="240" w:lineRule="auto"/>
        <w:rPr>
          <w:rFonts w:ascii="Times New Roman" w:hAnsi="Times New Roman" w:cs="Times New Roman"/>
          <w:sz w:val="24"/>
          <w:szCs w:val="24"/>
        </w:rPr>
      </w:pPr>
      <w:r w:rsidRPr="008E7D62">
        <w:rPr>
          <w:rFonts w:ascii="Times New Roman" w:hAnsi="Times New Roman" w:cs="Times New Roman"/>
          <w:sz w:val="24"/>
          <w:szCs w:val="24"/>
        </w:rPr>
        <w:t>d</w:t>
      </w:r>
      <w:r w:rsidR="00DB2785" w:rsidRPr="008E7D62">
        <w:rPr>
          <w:rFonts w:ascii="Times New Roman" w:hAnsi="Times New Roman" w:cs="Times New Roman"/>
          <w:sz w:val="24"/>
          <w:szCs w:val="24"/>
        </w:rPr>
        <w:t>efined as 180 consecutive days during which a licensee does not provide service to at least one subscriber that is not affiliated with, controlled by, or related to the licensee in the individual license area. For licensees with non-common carrier status, permanent discontinuance of service is defined as 180 consecutive days during which a licensee does not operate.</w:t>
      </w:r>
    </w:p>
    <w:p w:rsidR="00276E69" w:rsidRDefault="00276E69" w:rsidP="00DB2785">
      <w:pPr>
        <w:pStyle w:val="ListParagraph"/>
        <w:spacing w:after="0" w:line="240" w:lineRule="auto"/>
        <w:ind w:left="0"/>
        <w:rPr>
          <w:rFonts w:ascii="Times New Roman" w:hAnsi="Times New Roman" w:cs="Times New Roman"/>
          <w:sz w:val="24"/>
          <w:szCs w:val="24"/>
        </w:rPr>
      </w:pPr>
    </w:p>
    <w:p w:rsidR="008E7D62" w:rsidRDefault="00D3709A" w:rsidP="00A01F5A">
      <w:pPr>
        <w:pStyle w:val="ListParagraph"/>
        <w:numPr>
          <w:ilvl w:val="0"/>
          <w:numId w:val="9"/>
        </w:numPr>
        <w:spacing w:after="0" w:line="240" w:lineRule="auto"/>
        <w:rPr>
          <w:rFonts w:ascii="Times New Roman" w:hAnsi="Times New Roman" w:cs="Times New Roman"/>
          <w:sz w:val="24"/>
          <w:szCs w:val="24"/>
        </w:rPr>
      </w:pPr>
      <w:r w:rsidRPr="00D3709A">
        <w:rPr>
          <w:rFonts w:ascii="Times New Roman" w:hAnsi="Times New Roman" w:cs="Times New Roman"/>
          <w:sz w:val="24"/>
          <w:szCs w:val="24"/>
        </w:rPr>
        <w:t xml:space="preserve">A licensee that permanently discontinues service as defined in this section must notify the </w:t>
      </w:r>
    </w:p>
    <w:p w:rsidR="00DB2785" w:rsidRPr="008E7D62" w:rsidRDefault="00D3709A" w:rsidP="008E7D62">
      <w:pPr>
        <w:spacing w:after="0" w:line="240" w:lineRule="auto"/>
        <w:rPr>
          <w:rFonts w:ascii="Times New Roman" w:hAnsi="Times New Roman" w:cs="Times New Roman"/>
          <w:sz w:val="24"/>
          <w:szCs w:val="24"/>
        </w:rPr>
      </w:pPr>
      <w:r w:rsidRPr="008E7D62">
        <w:rPr>
          <w:rFonts w:ascii="Times New Roman" w:hAnsi="Times New Roman" w:cs="Times New Roman"/>
          <w:sz w:val="24"/>
          <w:szCs w:val="24"/>
        </w:rPr>
        <w:t>Commission of the discontinuance within 10 days by filing FCC Form 601 or 605 requesting license cancellation. An authorization will automatically terminate, without specific Commission action, if service is permanently discontinued as defined in this section, even if a licensee fails to file the required form requesting license cancellation</w:t>
      </w:r>
      <w:r w:rsidR="00DB2785" w:rsidRPr="008E7D62">
        <w:rPr>
          <w:rFonts w:ascii="Times New Roman" w:hAnsi="Times New Roman" w:cs="Times New Roman"/>
          <w:sz w:val="24"/>
          <w:szCs w:val="24"/>
        </w:rPr>
        <w:t>.</w:t>
      </w:r>
    </w:p>
    <w:p w:rsidR="00475DBB" w:rsidRDefault="00475DBB" w:rsidP="00DB2785">
      <w:pPr>
        <w:pStyle w:val="ListParagraph"/>
        <w:spacing w:after="0" w:line="240" w:lineRule="auto"/>
        <w:ind w:left="0"/>
        <w:rPr>
          <w:rFonts w:ascii="Times New Roman" w:hAnsi="Times New Roman" w:cs="Times New Roman"/>
          <w:sz w:val="24"/>
          <w:szCs w:val="24"/>
        </w:rPr>
      </w:pPr>
    </w:p>
    <w:p w:rsidR="008C2323" w:rsidRDefault="008C2323" w:rsidP="008C2323">
      <w:pPr>
        <w:spacing w:after="0" w:line="240" w:lineRule="auto"/>
        <w:rPr>
          <w:rFonts w:ascii="Times New Roman" w:hAnsi="Times New Roman" w:cs="Times New Roman"/>
          <w:sz w:val="24"/>
          <w:szCs w:val="24"/>
        </w:rPr>
      </w:pPr>
      <w:r w:rsidRPr="00A64B82">
        <w:rPr>
          <w:rFonts w:ascii="Times New Roman" w:hAnsi="Times New Roman" w:cs="Times New Roman"/>
          <w:sz w:val="24"/>
          <w:szCs w:val="24"/>
        </w:rPr>
        <w:t>Statutory authority for th</w:t>
      </w:r>
      <w:r>
        <w:rPr>
          <w:rFonts w:ascii="Times New Roman" w:hAnsi="Times New Roman" w:cs="Times New Roman"/>
          <w:sz w:val="24"/>
          <w:szCs w:val="24"/>
        </w:rPr>
        <w:t>is collection are contained in s</w:t>
      </w:r>
      <w:r w:rsidRPr="00A64B82">
        <w:rPr>
          <w:rFonts w:ascii="Times New Roman" w:hAnsi="Times New Roman" w:cs="Times New Roman"/>
          <w:sz w:val="24"/>
          <w:szCs w:val="24"/>
        </w:rPr>
        <w:t>ections 1, 2, 3, 4, 5, 7, 10, 201, 225, 227, 301, 302, 302a, 303, 304, 307, 309, 310, 316, 319, 332, and 336 of the Communications Act of 1934, 47 U.S.C. §§ 151, 152, 153, 154, 155, 157, 160, 201, 225, 227, 301, 302, 302a, 303, 304, 307, 309, 310, 316, 319, 332, 336, Section 706 of the Telecommunications Act of 1996, as amended, 47 U.S.C. § 1302.</w:t>
      </w:r>
    </w:p>
    <w:p w:rsidR="008C2323" w:rsidRDefault="008C2323" w:rsidP="008C2323">
      <w:pPr>
        <w:spacing w:after="0" w:line="240" w:lineRule="auto"/>
        <w:rPr>
          <w:rFonts w:ascii="Times New Roman" w:hAnsi="Times New Roman" w:cs="Times New Roman"/>
          <w:sz w:val="24"/>
          <w:szCs w:val="24"/>
        </w:rPr>
      </w:pPr>
    </w:p>
    <w:p w:rsidR="008C2323" w:rsidRDefault="008C2323" w:rsidP="008C2323">
      <w:pPr>
        <w:spacing w:after="0" w:line="240" w:lineRule="auto"/>
        <w:rPr>
          <w:rFonts w:ascii="Times New Roman" w:hAnsi="Times New Roman" w:cs="Times New Roman"/>
          <w:sz w:val="24"/>
          <w:szCs w:val="24"/>
        </w:rPr>
      </w:pPr>
      <w:r w:rsidRPr="00276E69">
        <w:rPr>
          <w:rFonts w:ascii="Times New Roman" w:hAnsi="Times New Roman" w:cs="Times New Roman"/>
          <w:sz w:val="24"/>
          <w:szCs w:val="24"/>
        </w:rPr>
        <w:t>This information collection does not affect individuals or households; thus, there are no impacts under the Privacy Act.</w:t>
      </w:r>
    </w:p>
    <w:p w:rsidR="008C2323" w:rsidRDefault="008C2323" w:rsidP="00DB2785">
      <w:pPr>
        <w:pStyle w:val="ListParagraph"/>
        <w:spacing w:after="0" w:line="240" w:lineRule="auto"/>
        <w:ind w:left="0"/>
        <w:rPr>
          <w:rFonts w:ascii="Times New Roman" w:hAnsi="Times New Roman" w:cs="Times New Roman"/>
          <w:sz w:val="24"/>
          <w:szCs w:val="24"/>
        </w:rPr>
      </w:pPr>
    </w:p>
    <w:p w:rsidR="008773C2" w:rsidRDefault="008773C2" w:rsidP="0075116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adopted in the</w:t>
      </w:r>
      <w:r w:rsidR="00914F19" w:rsidRPr="008773C2">
        <w:rPr>
          <w:rFonts w:ascii="Times New Roman" w:hAnsi="Times New Roman" w:cs="Times New Roman"/>
          <w:sz w:val="24"/>
          <w:szCs w:val="24"/>
        </w:rPr>
        <w:t xml:space="preserve"> R&amp;O </w:t>
      </w:r>
      <w:r w:rsidR="00EA3B94" w:rsidRPr="008773C2">
        <w:rPr>
          <w:rFonts w:ascii="Times New Roman" w:hAnsi="Times New Roman" w:cs="Times New Roman"/>
          <w:sz w:val="24"/>
          <w:szCs w:val="24"/>
        </w:rPr>
        <w:t>will apply t</w:t>
      </w:r>
      <w:r>
        <w:rPr>
          <w:rFonts w:ascii="Times New Roman" w:hAnsi="Times New Roman" w:cs="Times New Roman"/>
          <w:sz w:val="24"/>
          <w:szCs w:val="24"/>
        </w:rPr>
        <w:t>o all entities in</w:t>
      </w:r>
    </w:p>
    <w:p w:rsidR="00EA3B94" w:rsidRPr="008773C2" w:rsidRDefault="00EA3B94" w:rsidP="008773C2">
      <w:pPr>
        <w:spacing w:after="0" w:line="240" w:lineRule="auto"/>
        <w:rPr>
          <w:rFonts w:ascii="Times New Roman" w:hAnsi="Times New Roman" w:cs="Times New Roman"/>
          <w:sz w:val="24"/>
          <w:szCs w:val="24"/>
        </w:rPr>
      </w:pPr>
      <w:r w:rsidRPr="008773C2">
        <w:rPr>
          <w:rFonts w:ascii="Times New Roman" w:hAnsi="Times New Roman" w:cs="Times New Roman"/>
          <w:sz w:val="24"/>
          <w:szCs w:val="24"/>
        </w:rPr>
        <w:t xml:space="preserve">the same manner.  The Commission believes that applying the same rules equally to all entities in this context promotes fairness.  The Commission does not believe that the costs and/or administrative burdens associated with the proposed rules will unduly burden small entities, as discussed below.  The revisions the Commission adopts should benefit small entities by giving them more information, more flexibility, and more options for gaining access to wireless spectrum.  </w:t>
      </w:r>
    </w:p>
    <w:p w:rsidR="00096043" w:rsidRPr="00096043" w:rsidRDefault="00096043" w:rsidP="00EA3B94">
      <w:pPr>
        <w:spacing w:after="0" w:line="240" w:lineRule="auto"/>
        <w:rPr>
          <w:rFonts w:ascii="Times New Roman" w:hAnsi="Times New Roman" w:cs="Times New Roman"/>
          <w:sz w:val="24"/>
          <w:szCs w:val="24"/>
        </w:rPr>
      </w:pPr>
    </w:p>
    <w:p w:rsidR="00EA3B94" w:rsidRPr="00096043" w:rsidRDefault="00EA3B94" w:rsidP="00EA3B94">
      <w:pPr>
        <w:spacing w:after="0" w:line="240" w:lineRule="auto"/>
        <w:rPr>
          <w:rFonts w:ascii="Times New Roman" w:hAnsi="Times New Roman" w:cs="Times New Roman"/>
          <w:sz w:val="24"/>
          <w:szCs w:val="24"/>
        </w:rPr>
      </w:pPr>
      <w:r w:rsidRPr="00096043">
        <w:rPr>
          <w:rFonts w:ascii="Times New Roman" w:hAnsi="Times New Roman" w:cs="Times New Roman"/>
          <w:sz w:val="24"/>
          <w:szCs w:val="24"/>
        </w:rPr>
        <w:t>Any a</w:t>
      </w:r>
      <w:r w:rsidR="00975F6D">
        <w:rPr>
          <w:rFonts w:ascii="Times New Roman" w:hAnsi="Times New Roman" w:cs="Times New Roman"/>
          <w:sz w:val="24"/>
          <w:szCs w:val="24"/>
        </w:rPr>
        <w:t>pplicants for UMFUS</w:t>
      </w:r>
      <w:r w:rsidRPr="00096043">
        <w:rPr>
          <w:rFonts w:ascii="Times New Roman" w:hAnsi="Times New Roman" w:cs="Times New Roman"/>
          <w:sz w:val="24"/>
          <w:szCs w:val="24"/>
        </w:rPr>
        <w:t xml:space="preserve"> licenses will be required to file license applications using the Commission’s automated Universal Licensing System (ULS).  ULS is an online electronic filing system that also serves as a powerful information tool, one that enables potential licensees to research applications, licenses, and antenna structures.  It also keeps the public informed with weekly public notices, FCC rulemakings, processing utilities, and a telecommunications glossary.  </w:t>
      </w:r>
      <w:r w:rsidR="00E00BB2">
        <w:rPr>
          <w:rFonts w:ascii="Times New Roman" w:hAnsi="Times New Roman" w:cs="Times New Roman"/>
          <w:sz w:val="24"/>
          <w:szCs w:val="24"/>
        </w:rPr>
        <w:t xml:space="preserve">UMFUS </w:t>
      </w:r>
      <w:r w:rsidRPr="00096043">
        <w:rPr>
          <w:rFonts w:ascii="Times New Roman" w:hAnsi="Times New Roman" w:cs="Times New Roman"/>
          <w:sz w:val="24"/>
          <w:szCs w:val="24"/>
        </w:rPr>
        <w:t xml:space="preserve">applicants that must submit long-form license applications must do </w:t>
      </w:r>
      <w:r w:rsidR="00096043">
        <w:rPr>
          <w:rFonts w:ascii="Times New Roman" w:hAnsi="Times New Roman" w:cs="Times New Roman"/>
          <w:sz w:val="24"/>
          <w:szCs w:val="24"/>
        </w:rPr>
        <w:t xml:space="preserve">so through ULS using Form 601, </w:t>
      </w:r>
      <w:r w:rsidRPr="00096043">
        <w:rPr>
          <w:rFonts w:ascii="Times New Roman" w:hAnsi="Times New Roman" w:cs="Times New Roman"/>
          <w:sz w:val="24"/>
          <w:szCs w:val="24"/>
        </w:rPr>
        <w:t>FCC Ownership Disclosure Information for the Wireless Telecommunications Services using FCC Form 602</w:t>
      </w:r>
      <w:r w:rsidR="008A7632" w:rsidRPr="00096043">
        <w:rPr>
          <w:rFonts w:ascii="Times New Roman" w:hAnsi="Times New Roman" w:cs="Times New Roman"/>
          <w:sz w:val="24"/>
          <w:szCs w:val="24"/>
        </w:rPr>
        <w:t>, and</w:t>
      </w:r>
      <w:r w:rsidRPr="00096043">
        <w:rPr>
          <w:rFonts w:ascii="Times New Roman" w:hAnsi="Times New Roman" w:cs="Times New Roman"/>
          <w:sz w:val="24"/>
          <w:szCs w:val="24"/>
        </w:rPr>
        <w:t xml:space="preserve"> other appropriate forms.   </w:t>
      </w:r>
    </w:p>
    <w:p w:rsidR="00096043" w:rsidRPr="00096043" w:rsidRDefault="00096043" w:rsidP="00EA3B94">
      <w:pPr>
        <w:spacing w:after="0" w:line="240" w:lineRule="auto"/>
        <w:rPr>
          <w:rFonts w:ascii="Times New Roman" w:hAnsi="Times New Roman" w:cs="Times New Roman"/>
          <w:sz w:val="24"/>
          <w:szCs w:val="24"/>
        </w:rPr>
      </w:pPr>
    </w:p>
    <w:p w:rsidR="00EA3B94" w:rsidRPr="00096043" w:rsidRDefault="00975F6D" w:rsidP="00EA3B94">
      <w:pPr>
        <w:spacing w:after="0" w:line="240" w:lineRule="auto"/>
        <w:rPr>
          <w:rFonts w:ascii="Times New Roman" w:hAnsi="Times New Roman" w:cs="Times New Roman"/>
          <w:sz w:val="24"/>
          <w:szCs w:val="24"/>
        </w:rPr>
      </w:pPr>
      <w:r>
        <w:rPr>
          <w:rFonts w:ascii="Times New Roman" w:hAnsi="Times New Roman" w:cs="Times New Roman"/>
          <w:sz w:val="24"/>
          <w:szCs w:val="24"/>
        </w:rPr>
        <w:t>Applicants in the UMFUS</w:t>
      </w:r>
      <w:r w:rsidR="00EA3B94" w:rsidRPr="00096043">
        <w:rPr>
          <w:rFonts w:ascii="Times New Roman" w:hAnsi="Times New Roman" w:cs="Times New Roman"/>
          <w:sz w:val="24"/>
          <w:szCs w:val="24"/>
        </w:rPr>
        <w:t xml:space="preserve"> will be required to meet buildout requirements.  In doing do, they will be required to provide information to the Commission on the facilities they have constructed, the </w:t>
      </w:r>
      <w:r w:rsidR="00EA3B94" w:rsidRPr="00096043">
        <w:rPr>
          <w:rFonts w:ascii="Times New Roman" w:hAnsi="Times New Roman" w:cs="Times New Roman"/>
          <w:sz w:val="24"/>
          <w:szCs w:val="24"/>
        </w:rPr>
        <w:lastRenderedPageBreak/>
        <w:t>nature of the</w:t>
      </w:r>
      <w:r w:rsidR="00EA3B94" w:rsidRPr="00EA3B94">
        <w:rPr>
          <w:rFonts w:ascii="Times New Roman" w:hAnsi="Times New Roman" w:cs="Times New Roman"/>
          <w:sz w:val="24"/>
          <w:szCs w:val="24"/>
          <w:u w:val="single"/>
        </w:rPr>
        <w:t xml:space="preserve"> </w:t>
      </w:r>
      <w:r w:rsidR="00EA3B94" w:rsidRPr="00096043">
        <w:rPr>
          <w:rFonts w:ascii="Times New Roman" w:hAnsi="Times New Roman" w:cs="Times New Roman"/>
          <w:sz w:val="24"/>
          <w:szCs w:val="24"/>
        </w:rPr>
        <w:t xml:space="preserve">service they are providing, and the extent to which they are providing coverage in their license area.  </w:t>
      </w:r>
    </w:p>
    <w:p w:rsidR="00096043" w:rsidRPr="00096043" w:rsidRDefault="00096043" w:rsidP="00EA3B94">
      <w:pPr>
        <w:spacing w:after="0" w:line="240" w:lineRule="auto"/>
        <w:rPr>
          <w:rFonts w:ascii="Times New Roman" w:hAnsi="Times New Roman" w:cs="Times New Roman"/>
          <w:sz w:val="24"/>
          <w:szCs w:val="24"/>
        </w:rPr>
      </w:pPr>
    </w:p>
    <w:p w:rsidR="001F2CA5" w:rsidRPr="00062C97" w:rsidRDefault="008F28EC" w:rsidP="00975F6D">
      <w:pPr>
        <w:pStyle w:val="ListParagraph"/>
        <w:numPr>
          <w:ilvl w:val="0"/>
          <w:numId w:val="4"/>
        </w:numPr>
        <w:spacing w:after="0" w:line="240" w:lineRule="auto"/>
        <w:rPr>
          <w:rFonts w:ascii="Times New Roman" w:hAnsi="Times New Roman" w:cs="Times New Roman"/>
          <w:sz w:val="24"/>
          <w:szCs w:val="24"/>
        </w:rPr>
      </w:pPr>
      <w:r w:rsidRPr="00062C97">
        <w:rPr>
          <w:rFonts w:ascii="Times New Roman" w:hAnsi="Times New Roman" w:cs="Times New Roman"/>
          <w:sz w:val="24"/>
          <w:szCs w:val="24"/>
        </w:rPr>
        <w:t xml:space="preserve">The Commission’s rules provide for electronic filing, </w:t>
      </w:r>
      <w:r w:rsidR="001F2CA5" w:rsidRPr="00062C97">
        <w:rPr>
          <w:rFonts w:ascii="Times New Roman" w:hAnsi="Times New Roman" w:cs="Times New Roman"/>
          <w:sz w:val="24"/>
          <w:szCs w:val="24"/>
        </w:rPr>
        <w:t xml:space="preserve">as stated in No. 2, </w:t>
      </w:r>
      <w:r w:rsidRPr="00062C97">
        <w:rPr>
          <w:rFonts w:ascii="Times New Roman" w:hAnsi="Times New Roman" w:cs="Times New Roman"/>
          <w:sz w:val="24"/>
          <w:szCs w:val="24"/>
        </w:rPr>
        <w:t xml:space="preserve">and it is the </w:t>
      </w:r>
    </w:p>
    <w:p w:rsidR="00127F11" w:rsidRPr="001F2CA5" w:rsidRDefault="008F28EC" w:rsidP="001F2CA5">
      <w:p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Commission’s goal to eliminate, to the greatest extent possible, the filing of paper applications.</w:t>
      </w:r>
    </w:p>
    <w:p w:rsidR="008F28EC" w:rsidRDefault="008F28EC" w:rsidP="00061F14">
      <w:pPr>
        <w:pStyle w:val="ListParagraph"/>
        <w:spacing w:after="0" w:line="240" w:lineRule="auto"/>
        <w:ind w:left="0"/>
        <w:rPr>
          <w:rFonts w:ascii="Times New Roman" w:hAnsi="Times New Roman" w:cs="Times New Roman"/>
          <w:sz w:val="24"/>
          <w:szCs w:val="24"/>
        </w:rPr>
      </w:pPr>
    </w:p>
    <w:p w:rsidR="001F2CA5" w:rsidRDefault="00464116" w:rsidP="00975F6D">
      <w:pPr>
        <w:pStyle w:val="ListParagraph"/>
        <w:numPr>
          <w:ilvl w:val="0"/>
          <w:numId w:val="4"/>
        </w:num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 xml:space="preserve">The Commission </w:t>
      </w:r>
      <w:r w:rsidR="001F2CA5">
        <w:rPr>
          <w:rFonts w:ascii="Times New Roman" w:hAnsi="Times New Roman" w:cs="Times New Roman"/>
          <w:sz w:val="24"/>
          <w:szCs w:val="24"/>
        </w:rPr>
        <w:t>does not impose a similar information requirements on the respondents;</w:t>
      </w:r>
    </w:p>
    <w:p w:rsidR="00464116" w:rsidRPr="001F2CA5" w:rsidRDefault="001F2CA5" w:rsidP="001F2CA5">
      <w:p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 xml:space="preserve">therefore, the </w:t>
      </w:r>
      <w:r w:rsidR="00914F19">
        <w:rPr>
          <w:rFonts w:ascii="Times New Roman" w:hAnsi="Times New Roman" w:cs="Times New Roman"/>
          <w:sz w:val="24"/>
          <w:szCs w:val="24"/>
        </w:rPr>
        <w:t xml:space="preserve">R&amp;O </w:t>
      </w:r>
      <w:r w:rsidRPr="001F2CA5">
        <w:rPr>
          <w:rFonts w:ascii="Times New Roman" w:hAnsi="Times New Roman" w:cs="Times New Roman"/>
          <w:sz w:val="24"/>
          <w:szCs w:val="24"/>
        </w:rPr>
        <w:t>does not impose duplicative information to be collected. S</w:t>
      </w:r>
      <w:r w:rsidR="00464116" w:rsidRPr="001F2CA5">
        <w:rPr>
          <w:rFonts w:ascii="Times New Roman" w:hAnsi="Times New Roman" w:cs="Times New Roman"/>
          <w:sz w:val="24"/>
          <w:szCs w:val="24"/>
        </w:rPr>
        <w:t xml:space="preserve">imilar data is </w:t>
      </w:r>
      <w:r w:rsidRPr="001F2CA5">
        <w:rPr>
          <w:rFonts w:ascii="Times New Roman" w:hAnsi="Times New Roman" w:cs="Times New Roman"/>
          <w:sz w:val="24"/>
          <w:szCs w:val="24"/>
        </w:rPr>
        <w:t xml:space="preserve">not </w:t>
      </w:r>
      <w:r w:rsidR="00464116" w:rsidRPr="001F2CA5">
        <w:rPr>
          <w:rFonts w:ascii="Times New Roman" w:hAnsi="Times New Roman" w:cs="Times New Roman"/>
          <w:sz w:val="24"/>
          <w:szCs w:val="24"/>
        </w:rPr>
        <w:t>available elsewhere</w:t>
      </w:r>
      <w:r w:rsidRPr="001F2CA5">
        <w:rPr>
          <w:rFonts w:ascii="Times New Roman" w:hAnsi="Times New Roman" w:cs="Times New Roman"/>
          <w:sz w:val="24"/>
          <w:szCs w:val="24"/>
        </w:rPr>
        <w:t>.</w:t>
      </w:r>
    </w:p>
    <w:p w:rsidR="004804D0" w:rsidRDefault="004804D0" w:rsidP="00061F14">
      <w:pPr>
        <w:pStyle w:val="ListParagraph"/>
        <w:spacing w:after="0" w:line="240" w:lineRule="auto"/>
        <w:ind w:left="0"/>
        <w:rPr>
          <w:rFonts w:ascii="Times New Roman" w:hAnsi="Times New Roman" w:cs="Times New Roman"/>
          <w:sz w:val="24"/>
          <w:szCs w:val="24"/>
        </w:rPr>
      </w:pPr>
    </w:p>
    <w:p w:rsidR="00975F6D" w:rsidRDefault="00975F6D" w:rsidP="008A763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Commission will</w:t>
      </w:r>
      <w:r w:rsidR="00914F19">
        <w:rPr>
          <w:rFonts w:ascii="Times New Roman" w:hAnsi="Times New Roman" w:cs="Times New Roman"/>
          <w:sz w:val="24"/>
          <w:szCs w:val="24"/>
        </w:rPr>
        <w:t xml:space="preserve"> </w:t>
      </w:r>
      <w:r w:rsidR="00EB539F" w:rsidRPr="00EB539F">
        <w:rPr>
          <w:rFonts w:ascii="Times New Roman" w:hAnsi="Times New Roman" w:cs="Times New Roman"/>
          <w:sz w:val="24"/>
          <w:szCs w:val="24"/>
        </w:rPr>
        <w:t>license the 28 GHz</w:t>
      </w:r>
      <w:r w:rsidR="00F658BC">
        <w:rPr>
          <w:rFonts w:ascii="Times New Roman" w:hAnsi="Times New Roman" w:cs="Times New Roman"/>
          <w:sz w:val="24"/>
          <w:szCs w:val="24"/>
        </w:rPr>
        <w:t xml:space="preserve"> </w:t>
      </w:r>
      <w:r w:rsidR="008A7632">
        <w:rPr>
          <w:rFonts w:ascii="Times New Roman" w:hAnsi="Times New Roman" w:cs="Times New Roman"/>
          <w:sz w:val="24"/>
          <w:szCs w:val="24"/>
        </w:rPr>
        <w:t>band using county-sized</w:t>
      </w:r>
      <w:r>
        <w:rPr>
          <w:rFonts w:ascii="Times New Roman" w:hAnsi="Times New Roman" w:cs="Times New Roman"/>
          <w:sz w:val="24"/>
          <w:szCs w:val="24"/>
        </w:rPr>
        <w:t xml:space="preserve"> </w:t>
      </w:r>
      <w:r w:rsidR="007B6326" w:rsidRPr="00975F6D">
        <w:rPr>
          <w:rFonts w:ascii="Times New Roman" w:hAnsi="Times New Roman" w:cs="Times New Roman"/>
          <w:sz w:val="24"/>
          <w:szCs w:val="24"/>
        </w:rPr>
        <w:t>licenses.</w:t>
      </w:r>
      <w:r w:rsidR="00EB539F" w:rsidRPr="00975F6D">
        <w:rPr>
          <w:rFonts w:ascii="Times New Roman" w:hAnsi="Times New Roman" w:cs="Times New Roman"/>
          <w:sz w:val="24"/>
          <w:szCs w:val="24"/>
        </w:rPr>
        <w:t xml:space="preserve">  </w:t>
      </w:r>
      <w:r w:rsidR="00914F19" w:rsidRPr="00975F6D">
        <w:rPr>
          <w:rFonts w:ascii="Times New Roman" w:hAnsi="Times New Roman" w:cs="Times New Roman"/>
          <w:sz w:val="24"/>
          <w:szCs w:val="24"/>
        </w:rPr>
        <w:t xml:space="preserve">The </w:t>
      </w:r>
      <w:r w:rsidR="00921AC5" w:rsidRPr="00975F6D">
        <w:rPr>
          <w:rFonts w:ascii="Times New Roman" w:hAnsi="Times New Roman" w:cs="Times New Roman"/>
          <w:sz w:val="24"/>
          <w:szCs w:val="24"/>
        </w:rPr>
        <w:t>39 GHz</w:t>
      </w:r>
    </w:p>
    <w:p w:rsidR="00EB539F" w:rsidRPr="00975F6D" w:rsidRDefault="00921AC5" w:rsidP="00975F6D">
      <w:pPr>
        <w:spacing w:after="0" w:line="240" w:lineRule="auto"/>
        <w:rPr>
          <w:rFonts w:ascii="Times New Roman" w:hAnsi="Times New Roman" w:cs="Times New Roman"/>
          <w:sz w:val="24"/>
          <w:szCs w:val="24"/>
        </w:rPr>
      </w:pPr>
      <w:r w:rsidRPr="00975F6D">
        <w:rPr>
          <w:rFonts w:ascii="Times New Roman" w:hAnsi="Times New Roman" w:cs="Times New Roman"/>
          <w:sz w:val="24"/>
          <w:szCs w:val="24"/>
        </w:rPr>
        <w:t>band and the 37.6-38.6 GHz band will be licensed</w:t>
      </w:r>
      <w:r w:rsidR="00975F6D" w:rsidRPr="00975F6D">
        <w:rPr>
          <w:rFonts w:ascii="Times New Roman" w:hAnsi="Times New Roman" w:cs="Times New Roman"/>
          <w:sz w:val="24"/>
          <w:szCs w:val="24"/>
        </w:rPr>
        <w:t xml:space="preserve"> using Partial Economic Areas. </w:t>
      </w:r>
      <w:r w:rsidR="00EB539F" w:rsidRPr="00975F6D">
        <w:rPr>
          <w:rFonts w:ascii="Times New Roman" w:hAnsi="Times New Roman" w:cs="Times New Roman"/>
          <w:sz w:val="24"/>
          <w:szCs w:val="24"/>
        </w:rPr>
        <w:t xml:space="preserve">These license areas are small enough to provide spectrum access opportunities for smaller carriers.  County license areas also nest within and may be aggregated up to larger license areas.  Therefore, the benefits and burdens resulting from assigning spectrum in county license areas are equivalent for small and large businesses.  </w:t>
      </w:r>
      <w:r w:rsidRPr="00975F6D">
        <w:rPr>
          <w:rFonts w:ascii="Times New Roman" w:hAnsi="Times New Roman" w:cs="Times New Roman"/>
          <w:sz w:val="24"/>
          <w:szCs w:val="24"/>
        </w:rPr>
        <w:t>L</w:t>
      </w:r>
      <w:r w:rsidR="00EB539F" w:rsidRPr="00975F6D">
        <w:rPr>
          <w:rFonts w:ascii="Times New Roman" w:hAnsi="Times New Roman" w:cs="Times New Roman"/>
          <w:sz w:val="24"/>
          <w:szCs w:val="24"/>
        </w:rPr>
        <w:t xml:space="preserve">icensees may adjust their geographic coverage through auction or through secondary markets.  This </w:t>
      </w:r>
      <w:r w:rsidRPr="00975F6D">
        <w:rPr>
          <w:rFonts w:ascii="Times New Roman" w:hAnsi="Times New Roman" w:cs="Times New Roman"/>
          <w:sz w:val="24"/>
          <w:szCs w:val="24"/>
        </w:rPr>
        <w:t xml:space="preserve">rule </w:t>
      </w:r>
      <w:r w:rsidR="00EB539F" w:rsidRPr="00975F6D">
        <w:rPr>
          <w:rFonts w:ascii="Times New Roman" w:hAnsi="Times New Roman" w:cs="Times New Roman"/>
          <w:sz w:val="24"/>
          <w:szCs w:val="24"/>
        </w:rPr>
        <w:t>should enable providers, or any entities, whether large or small, providing service in the mmW bands to more easily adjust their spectrum to build their networks pursuant to individual business plans.  As a result, we believe the ability of licensees to adjust spectrum holdings will provide an economic benefit by making it easier for small entities to acquire spectrum or access spectrum.</w:t>
      </w:r>
    </w:p>
    <w:p w:rsidR="00EB539F" w:rsidRDefault="00EB539F" w:rsidP="00EB539F">
      <w:pPr>
        <w:spacing w:after="0" w:line="240" w:lineRule="auto"/>
        <w:rPr>
          <w:rFonts w:ascii="Times New Roman" w:hAnsi="Times New Roman" w:cs="Times New Roman"/>
          <w:sz w:val="24"/>
          <w:szCs w:val="24"/>
        </w:rPr>
      </w:pPr>
    </w:p>
    <w:p w:rsidR="00EB539F" w:rsidRPr="00EB539F" w:rsidRDefault="00EB539F" w:rsidP="00EB539F">
      <w:pPr>
        <w:spacing w:after="0" w:line="240" w:lineRule="auto"/>
        <w:rPr>
          <w:rFonts w:ascii="Times New Roman" w:hAnsi="Times New Roman" w:cs="Times New Roman"/>
          <w:sz w:val="24"/>
          <w:szCs w:val="24"/>
        </w:rPr>
      </w:pPr>
      <w:r w:rsidRPr="00EB539F">
        <w:rPr>
          <w:rFonts w:ascii="Times New Roman" w:hAnsi="Times New Roman" w:cs="Times New Roman"/>
          <w:sz w:val="24"/>
          <w:szCs w:val="24"/>
        </w:rPr>
        <w:t xml:space="preserve">The proposals to facilitate satellite service in the 28 GHz, 39 GHz, and 37 GHz </w:t>
      </w:r>
      <w:r w:rsidR="00921AC5">
        <w:rPr>
          <w:rFonts w:ascii="Times New Roman" w:hAnsi="Times New Roman" w:cs="Times New Roman"/>
          <w:sz w:val="24"/>
          <w:szCs w:val="24"/>
        </w:rPr>
        <w:t xml:space="preserve">bands </w:t>
      </w:r>
      <w:r w:rsidRPr="00EB539F">
        <w:rPr>
          <w:rFonts w:ascii="Times New Roman" w:hAnsi="Times New Roman" w:cs="Times New Roman"/>
          <w:sz w:val="24"/>
          <w:szCs w:val="24"/>
        </w:rPr>
        <w:t>would facilitate service by all Fixed Satellite Service entities, including small entities.</w:t>
      </w:r>
    </w:p>
    <w:p w:rsidR="00EB539F" w:rsidRDefault="00EB539F" w:rsidP="00EB539F">
      <w:pPr>
        <w:spacing w:after="0" w:line="240" w:lineRule="auto"/>
        <w:rPr>
          <w:rFonts w:ascii="Times New Roman" w:hAnsi="Times New Roman" w:cs="Times New Roman"/>
          <w:sz w:val="24"/>
          <w:szCs w:val="24"/>
        </w:rPr>
      </w:pPr>
    </w:p>
    <w:p w:rsidR="00EB539F" w:rsidRPr="00EB539F" w:rsidRDefault="00921AC5" w:rsidP="00EB539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B539F" w:rsidRPr="00EB539F">
        <w:rPr>
          <w:rFonts w:ascii="Times New Roman" w:hAnsi="Times New Roman" w:cs="Times New Roman"/>
          <w:sz w:val="24"/>
          <w:szCs w:val="24"/>
        </w:rPr>
        <w:t xml:space="preserve">he Commission </w:t>
      </w:r>
      <w:r>
        <w:rPr>
          <w:rFonts w:ascii="Times New Roman" w:hAnsi="Times New Roman" w:cs="Times New Roman"/>
          <w:sz w:val="24"/>
          <w:szCs w:val="24"/>
        </w:rPr>
        <w:t xml:space="preserve">will </w:t>
      </w:r>
      <w:r w:rsidR="00EB539F" w:rsidRPr="00EB539F">
        <w:rPr>
          <w:rFonts w:ascii="Times New Roman" w:hAnsi="Times New Roman" w:cs="Times New Roman"/>
          <w:sz w:val="24"/>
          <w:szCs w:val="24"/>
        </w:rPr>
        <w:t xml:space="preserve">conduct any auction for licenses for spectrum in the mmW bands in conformity with the general competitive bidding rules set forth in Part 1, Subpart Q, of the Commission’s rules, and substantially consistent with the competitive bidding procedures that have been employed in previous auctions.   Specifically, we employ the Part 1 rules governing competitive bidding design, designated entity preferences, unjust enrichment, application and payment procedures, reporting requirements, and the prohibition on certain communications between auction applicants.  Specifically, small entities will benefit from the proposal to provide small businesses with a bidding credit of 15 percent and very small businesses with a bidding credit of 25 percent.  Providing small businesses and very small businesses with bidding credits will provide an economic benefit to small entities by making it easier for small entities to acquire spectrum or access to spectrum in these bands.    </w:t>
      </w:r>
    </w:p>
    <w:p w:rsidR="00EB539F" w:rsidRDefault="00EB539F" w:rsidP="00EB539F">
      <w:pPr>
        <w:spacing w:after="0" w:line="240" w:lineRule="auto"/>
        <w:rPr>
          <w:rFonts w:ascii="Times New Roman" w:hAnsi="Times New Roman" w:cs="Times New Roman"/>
          <w:sz w:val="24"/>
          <w:szCs w:val="24"/>
        </w:rPr>
      </w:pPr>
    </w:p>
    <w:p w:rsidR="00EB539F" w:rsidRPr="00EB539F" w:rsidRDefault="00921AC5" w:rsidP="00EB539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B539F" w:rsidRPr="00EB539F">
        <w:rPr>
          <w:rFonts w:ascii="Times New Roman" w:hAnsi="Times New Roman" w:cs="Times New Roman"/>
          <w:sz w:val="24"/>
          <w:szCs w:val="24"/>
        </w:rPr>
        <w:t xml:space="preserve">he Commission permit a licensee to employ the spectrum for any non-Federal fixed or mobile use, subject to the Commission’s proposed Part 30 flexible use and other applicable rules (including service rules to avoid harmful interference).  The technical rules we propose or seek comment on will allow licensees of mmW band spectrum to operate while also protecting licensees of nearby spectrum, some of whom are small entities, from harmful interference. </w:t>
      </w:r>
    </w:p>
    <w:p w:rsidR="00EB539F" w:rsidRDefault="00EB539F" w:rsidP="00EB539F">
      <w:pPr>
        <w:pStyle w:val="ListParagraph"/>
        <w:spacing w:after="0" w:line="240" w:lineRule="auto"/>
        <w:ind w:left="0"/>
        <w:rPr>
          <w:rFonts w:ascii="Times New Roman" w:hAnsi="Times New Roman" w:cs="Times New Roman"/>
          <w:sz w:val="24"/>
          <w:szCs w:val="24"/>
        </w:rPr>
      </w:pPr>
    </w:p>
    <w:p w:rsidR="00023673" w:rsidRDefault="00EB539F" w:rsidP="00EB539F">
      <w:pPr>
        <w:pStyle w:val="ListParagraph"/>
        <w:spacing w:after="0" w:line="240" w:lineRule="auto"/>
        <w:ind w:left="0"/>
        <w:rPr>
          <w:rFonts w:ascii="Times New Roman" w:hAnsi="Times New Roman" w:cs="Times New Roman"/>
          <w:sz w:val="24"/>
          <w:szCs w:val="24"/>
        </w:rPr>
      </w:pPr>
      <w:r w:rsidRPr="00EB539F">
        <w:rPr>
          <w:rFonts w:ascii="Times New Roman" w:hAnsi="Times New Roman" w:cs="Times New Roman"/>
          <w:sz w:val="24"/>
          <w:szCs w:val="24"/>
        </w:rPr>
        <w:t xml:space="preserve">We </w:t>
      </w:r>
      <w:r w:rsidR="00921AC5">
        <w:rPr>
          <w:rFonts w:ascii="Times New Roman" w:hAnsi="Times New Roman" w:cs="Times New Roman"/>
          <w:sz w:val="24"/>
          <w:szCs w:val="24"/>
        </w:rPr>
        <w:t xml:space="preserve">also </w:t>
      </w:r>
      <w:r w:rsidRPr="00EB539F">
        <w:rPr>
          <w:rFonts w:ascii="Times New Roman" w:hAnsi="Times New Roman" w:cs="Times New Roman"/>
          <w:sz w:val="24"/>
          <w:szCs w:val="24"/>
        </w:rPr>
        <w:t xml:space="preserve">permit partitioning and disaggregation by licensees in the mmW bands.   These secondary market rules apply equally to all entities, whether small or large.  We believe the opportunity to enter into secondary market agreements for mmW band spectrum will provide an </w:t>
      </w:r>
      <w:r w:rsidRPr="00EB539F">
        <w:rPr>
          <w:rFonts w:ascii="Times New Roman" w:hAnsi="Times New Roman" w:cs="Times New Roman"/>
          <w:sz w:val="24"/>
          <w:szCs w:val="24"/>
        </w:rPr>
        <w:lastRenderedPageBreak/>
        <w:t xml:space="preserve">economic benefit to all entities, whether large or small.  Therefore, the benefits and burdens resulting from secondary market agreements for spectrum are equivalent for small and large businesses.    </w:t>
      </w:r>
    </w:p>
    <w:p w:rsidR="00EB539F" w:rsidRDefault="00EB539F" w:rsidP="00061F14">
      <w:pPr>
        <w:pStyle w:val="ListParagraph"/>
        <w:spacing w:after="0" w:line="240" w:lineRule="auto"/>
        <w:ind w:left="0"/>
        <w:rPr>
          <w:rFonts w:ascii="Times New Roman" w:hAnsi="Times New Roman" w:cs="Times New Roman"/>
          <w:sz w:val="24"/>
          <w:szCs w:val="24"/>
        </w:rPr>
      </w:pPr>
    </w:p>
    <w:p w:rsidR="00975F6D" w:rsidRDefault="008A7632" w:rsidP="00975F6D">
      <w:pPr>
        <w:pStyle w:val="ListParagraph"/>
        <w:numPr>
          <w:ilvl w:val="0"/>
          <w:numId w:val="4"/>
        </w:numPr>
        <w:spacing w:after="0" w:line="240" w:lineRule="auto"/>
        <w:rPr>
          <w:rFonts w:ascii="Times New Roman" w:hAnsi="Times New Roman" w:cs="Times New Roman"/>
          <w:sz w:val="24"/>
          <w:szCs w:val="24"/>
        </w:rPr>
      </w:pPr>
      <w:r w:rsidRPr="004C4110">
        <w:rPr>
          <w:rFonts w:ascii="Times New Roman" w:hAnsi="Times New Roman" w:cs="Times New Roman"/>
          <w:sz w:val="24"/>
          <w:szCs w:val="24"/>
        </w:rPr>
        <w:t xml:space="preserve"> </w:t>
      </w:r>
      <w:r w:rsidR="00DF713F" w:rsidRPr="004C4110">
        <w:rPr>
          <w:rFonts w:ascii="Times New Roman" w:hAnsi="Times New Roman" w:cs="Times New Roman"/>
          <w:sz w:val="24"/>
          <w:szCs w:val="24"/>
        </w:rPr>
        <w:t>Information collection is required when an applicant seeks</w:t>
      </w:r>
      <w:r w:rsidRPr="004C4110">
        <w:rPr>
          <w:rFonts w:ascii="Times New Roman" w:hAnsi="Times New Roman" w:cs="Times New Roman"/>
          <w:sz w:val="24"/>
          <w:szCs w:val="24"/>
        </w:rPr>
        <w:t xml:space="preserve"> Commission approval for</w:t>
      </w:r>
    </w:p>
    <w:p w:rsidR="00B862BA" w:rsidRPr="00975F6D" w:rsidRDefault="008A7632" w:rsidP="00975F6D">
      <w:pPr>
        <w:spacing w:after="0" w:line="240" w:lineRule="auto"/>
        <w:rPr>
          <w:rFonts w:ascii="Times New Roman" w:hAnsi="Times New Roman" w:cs="Times New Roman"/>
          <w:sz w:val="24"/>
          <w:szCs w:val="24"/>
        </w:rPr>
      </w:pPr>
      <w:r w:rsidRPr="00975F6D">
        <w:rPr>
          <w:rFonts w:ascii="Times New Roman" w:hAnsi="Times New Roman" w:cs="Times New Roman"/>
          <w:sz w:val="24"/>
          <w:szCs w:val="24"/>
        </w:rPr>
        <w:t>new or</w:t>
      </w:r>
      <w:r w:rsidR="004C4110" w:rsidRPr="00975F6D">
        <w:rPr>
          <w:rFonts w:ascii="Times New Roman" w:hAnsi="Times New Roman" w:cs="Times New Roman"/>
          <w:sz w:val="24"/>
          <w:szCs w:val="24"/>
        </w:rPr>
        <w:t xml:space="preserve"> </w:t>
      </w:r>
      <w:r w:rsidR="00DF713F" w:rsidRPr="00975F6D">
        <w:rPr>
          <w:rFonts w:ascii="Times New Roman" w:hAnsi="Times New Roman" w:cs="Times New Roman"/>
          <w:sz w:val="24"/>
          <w:szCs w:val="24"/>
        </w:rPr>
        <w:t>modified facilities</w:t>
      </w:r>
      <w:r w:rsidR="00B862BA" w:rsidRPr="00975F6D">
        <w:rPr>
          <w:rFonts w:ascii="Times New Roman" w:hAnsi="Times New Roman" w:cs="Times New Roman"/>
          <w:sz w:val="24"/>
          <w:szCs w:val="24"/>
        </w:rPr>
        <w:t>, or for an assignment or transfer of control.  The frequency of the filing is generally determined by the applicant.  Renewal applications must be filed once every ten years.</w:t>
      </w:r>
      <w:r w:rsidR="004B562B">
        <w:rPr>
          <w:rFonts w:ascii="Times New Roman" w:hAnsi="Times New Roman" w:cs="Times New Roman"/>
          <w:sz w:val="24"/>
          <w:szCs w:val="24"/>
        </w:rPr>
        <w:t xml:space="preserve"> </w:t>
      </w:r>
      <w:r w:rsidR="00BA089C">
        <w:rPr>
          <w:rFonts w:ascii="Times New Roman" w:hAnsi="Times New Roman" w:cs="Times New Roman"/>
          <w:sz w:val="24"/>
          <w:szCs w:val="24"/>
        </w:rPr>
        <w:t>If this collection were not conducted, the Commission could not carry out its statutory responsibilities under Section 310(d) of the Communications Act of 1934, as amended</w:t>
      </w:r>
      <w:r w:rsidR="000E77DF">
        <w:rPr>
          <w:rFonts w:ascii="Times New Roman" w:hAnsi="Times New Roman" w:cs="Times New Roman"/>
          <w:sz w:val="24"/>
          <w:szCs w:val="24"/>
        </w:rPr>
        <w:t>.</w:t>
      </w:r>
    </w:p>
    <w:p w:rsidR="00B862BA" w:rsidRDefault="00B862BA" w:rsidP="00061F14">
      <w:pPr>
        <w:pStyle w:val="ListParagraph"/>
        <w:spacing w:after="0" w:line="240" w:lineRule="auto"/>
        <w:ind w:left="0"/>
        <w:rPr>
          <w:rFonts w:ascii="Times New Roman" w:hAnsi="Times New Roman" w:cs="Times New Roman"/>
          <w:sz w:val="24"/>
          <w:szCs w:val="24"/>
        </w:rPr>
      </w:pPr>
    </w:p>
    <w:p w:rsidR="00CF2ACE" w:rsidRPr="00A01F5A" w:rsidRDefault="00B862BA" w:rsidP="00975F6D">
      <w:pPr>
        <w:pStyle w:val="ListParagraph"/>
        <w:numPr>
          <w:ilvl w:val="0"/>
          <w:numId w:val="4"/>
        </w:numPr>
        <w:spacing w:after="0" w:line="240" w:lineRule="auto"/>
        <w:rPr>
          <w:rFonts w:ascii="Times New Roman" w:hAnsi="Times New Roman" w:cs="Times New Roman"/>
          <w:sz w:val="24"/>
          <w:szCs w:val="24"/>
        </w:rPr>
      </w:pPr>
      <w:r w:rsidRPr="00A01F5A">
        <w:rPr>
          <w:rFonts w:ascii="Times New Roman" w:hAnsi="Times New Roman" w:cs="Times New Roman"/>
          <w:sz w:val="24"/>
          <w:szCs w:val="24"/>
        </w:rPr>
        <w:t xml:space="preserve">No special circumstances are associated with </w:t>
      </w:r>
      <w:r w:rsidR="001F2CA5" w:rsidRPr="00A01F5A">
        <w:rPr>
          <w:rFonts w:ascii="Times New Roman" w:hAnsi="Times New Roman" w:cs="Times New Roman"/>
          <w:sz w:val="24"/>
          <w:szCs w:val="24"/>
        </w:rPr>
        <w:t>this colle</w:t>
      </w:r>
      <w:r w:rsidR="00CF2ACE" w:rsidRPr="00A01F5A">
        <w:rPr>
          <w:rFonts w:ascii="Times New Roman" w:hAnsi="Times New Roman" w:cs="Times New Roman"/>
          <w:sz w:val="24"/>
          <w:szCs w:val="24"/>
        </w:rPr>
        <w:t>ction of information that would</w:t>
      </w:r>
    </w:p>
    <w:p w:rsidR="00023673" w:rsidRPr="00CF2ACE" w:rsidRDefault="001F2CA5" w:rsidP="00A01F5A">
      <w:pPr>
        <w:spacing w:after="0" w:line="240" w:lineRule="auto"/>
        <w:rPr>
          <w:rFonts w:ascii="Times New Roman" w:hAnsi="Times New Roman" w:cs="Times New Roman"/>
          <w:sz w:val="24"/>
          <w:szCs w:val="24"/>
        </w:rPr>
      </w:pPr>
      <w:r w:rsidRPr="00CF2ACE">
        <w:rPr>
          <w:rFonts w:ascii="Times New Roman" w:hAnsi="Times New Roman" w:cs="Times New Roman"/>
          <w:sz w:val="24"/>
          <w:szCs w:val="24"/>
        </w:rPr>
        <w:t>make the current data collection in</w:t>
      </w:r>
      <w:r w:rsidR="00B862BA" w:rsidRPr="00CF2ACE">
        <w:rPr>
          <w:rFonts w:ascii="Times New Roman" w:hAnsi="Times New Roman" w:cs="Times New Roman"/>
          <w:sz w:val="24"/>
          <w:szCs w:val="24"/>
        </w:rPr>
        <w:t>consistent with 5 C</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F</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R</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 xml:space="preserve"> § 1320.5.</w:t>
      </w:r>
    </w:p>
    <w:p w:rsidR="00B862BA" w:rsidRDefault="00B862BA" w:rsidP="00061F14">
      <w:pPr>
        <w:pStyle w:val="ListParagraph"/>
        <w:spacing w:after="0" w:line="240" w:lineRule="auto"/>
        <w:ind w:left="0"/>
        <w:rPr>
          <w:rFonts w:ascii="Times New Roman" w:hAnsi="Times New Roman" w:cs="Times New Roman"/>
          <w:sz w:val="24"/>
          <w:szCs w:val="24"/>
        </w:rPr>
      </w:pPr>
    </w:p>
    <w:p w:rsidR="00E50B53" w:rsidRDefault="00B862BA"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C2323" w:rsidRPr="008C2323">
        <w:rPr>
          <w:rFonts w:ascii="Times New Roman" w:hAnsi="Times New Roman" w:cs="Times New Roman"/>
          <w:sz w:val="24"/>
          <w:szCs w:val="24"/>
        </w:rPr>
        <w:t xml:space="preserve">The 60-day notice soliciting public comments on this collection was published in the </w:t>
      </w:r>
      <w:r w:rsidR="008C2323" w:rsidRPr="008C2323">
        <w:rPr>
          <w:rFonts w:ascii="Times New Roman" w:hAnsi="Times New Roman" w:cs="Times New Roman"/>
          <w:sz w:val="24"/>
          <w:szCs w:val="24"/>
          <w:u w:val="single"/>
        </w:rPr>
        <w:t>Federal Register</w:t>
      </w:r>
      <w:r w:rsidR="008C2323" w:rsidRPr="008C2323">
        <w:rPr>
          <w:rFonts w:ascii="Times New Roman" w:hAnsi="Times New Roman" w:cs="Times New Roman"/>
          <w:sz w:val="24"/>
          <w:szCs w:val="24"/>
        </w:rPr>
        <w:t xml:space="preserve"> as required under 5 C.F.R. § 1320.8(d) on September 22, 2016 (81 FR 65358).  In response to the 30-day notice, the Commission received a comment from NCTA – The Internet and Television Association.</w:t>
      </w:r>
      <w:r w:rsidR="008C2323" w:rsidRPr="008C2323">
        <w:rPr>
          <w:rFonts w:ascii="Times New Roman" w:hAnsi="Times New Roman" w:cs="Times New Roman"/>
          <w:sz w:val="24"/>
          <w:szCs w:val="24"/>
          <w:vertAlign w:val="superscript"/>
        </w:rPr>
        <w:footnoteReference w:id="2"/>
      </w:r>
      <w:r w:rsidR="008C2323" w:rsidRPr="008C2323">
        <w:rPr>
          <w:rFonts w:ascii="Times New Roman" w:hAnsi="Times New Roman" w:cs="Times New Roman"/>
          <w:sz w:val="24"/>
          <w:szCs w:val="24"/>
        </w:rPr>
        <w:t>  The Commission has revised the collection to address the comment.</w:t>
      </w:r>
      <w:r w:rsidR="000013EF" w:rsidRPr="00194902" w:rsidDel="000013EF">
        <w:rPr>
          <w:rFonts w:ascii="Times New Roman" w:hAnsi="Times New Roman" w:cs="Times New Roman"/>
          <w:sz w:val="24"/>
          <w:szCs w:val="24"/>
        </w:rPr>
        <w:t xml:space="preserve"> </w:t>
      </w:r>
    </w:p>
    <w:p w:rsidR="00CE2785" w:rsidRDefault="00CE2785" w:rsidP="00061F14">
      <w:pPr>
        <w:pStyle w:val="ListParagraph"/>
        <w:spacing w:after="0" w:line="240" w:lineRule="auto"/>
        <w:ind w:left="0"/>
        <w:rPr>
          <w:rFonts w:ascii="Times New Roman" w:hAnsi="Times New Roman" w:cs="Times New Roman"/>
          <w:sz w:val="24"/>
          <w:szCs w:val="24"/>
        </w:rPr>
      </w:pPr>
    </w:p>
    <w:p w:rsidR="00E50B53" w:rsidRDefault="00E50B53"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Respondents will not receive any payments in connection with collection of information.</w:t>
      </w:r>
    </w:p>
    <w:p w:rsidR="00E50B53" w:rsidRDefault="00E50B53" w:rsidP="00061F14">
      <w:pPr>
        <w:pStyle w:val="ListParagraph"/>
        <w:spacing w:after="0" w:line="240" w:lineRule="auto"/>
        <w:ind w:left="0"/>
        <w:rPr>
          <w:rFonts w:ascii="Times New Roman" w:hAnsi="Times New Roman" w:cs="Times New Roman"/>
          <w:sz w:val="24"/>
          <w:szCs w:val="24"/>
        </w:rPr>
      </w:pPr>
    </w:p>
    <w:p w:rsidR="00E50B53" w:rsidRDefault="00E50B53"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B2B57">
        <w:rPr>
          <w:rFonts w:ascii="Times New Roman" w:hAnsi="Times New Roman" w:cs="Times New Roman"/>
          <w:sz w:val="24"/>
          <w:szCs w:val="24"/>
        </w:rPr>
        <w:t>No need for confidentiality with this information collection.</w:t>
      </w:r>
    </w:p>
    <w:p w:rsidR="00DB2B57" w:rsidRDefault="00DB2B57" w:rsidP="00061F14">
      <w:pPr>
        <w:pStyle w:val="ListParagraph"/>
        <w:spacing w:after="0" w:line="240" w:lineRule="auto"/>
        <w:ind w:left="0"/>
        <w:rPr>
          <w:rFonts w:ascii="Times New Roman" w:hAnsi="Times New Roman" w:cs="Times New Roman"/>
          <w:sz w:val="24"/>
          <w:szCs w:val="24"/>
        </w:rPr>
      </w:pPr>
    </w:p>
    <w:p w:rsidR="00DB2B57" w:rsidRDefault="00DB2B57"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9A4A4B">
        <w:rPr>
          <w:rFonts w:ascii="Times New Roman" w:hAnsi="Times New Roman" w:cs="Times New Roman"/>
          <w:sz w:val="24"/>
          <w:szCs w:val="24"/>
        </w:rPr>
        <w:t>This collection of information does not address private matters or questions of a sensitive nature.</w:t>
      </w:r>
    </w:p>
    <w:p w:rsidR="009A4A4B" w:rsidRDefault="009A4A4B" w:rsidP="00061F14">
      <w:pPr>
        <w:pStyle w:val="ListParagraph"/>
        <w:spacing w:after="0" w:line="240" w:lineRule="auto"/>
        <w:ind w:left="0"/>
        <w:rPr>
          <w:rFonts w:ascii="Times New Roman" w:hAnsi="Times New Roman" w:cs="Times New Roman"/>
          <w:sz w:val="24"/>
          <w:szCs w:val="24"/>
        </w:rPr>
      </w:pPr>
    </w:p>
    <w:p w:rsidR="00FD1CAC" w:rsidRDefault="009A4A4B" w:rsidP="002771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Annual Burden</w:t>
      </w:r>
      <w:r w:rsidR="00E50D07">
        <w:rPr>
          <w:rFonts w:ascii="Times New Roman" w:hAnsi="Times New Roman" w:cs="Times New Roman"/>
          <w:sz w:val="24"/>
          <w:szCs w:val="24"/>
        </w:rPr>
        <w:t xml:space="preserve"> Cost (In-House)</w:t>
      </w:r>
      <w:r w:rsidR="002771CE">
        <w:rPr>
          <w:rFonts w:ascii="Times New Roman" w:hAnsi="Times New Roman" w:cs="Times New Roman"/>
          <w:sz w:val="24"/>
          <w:szCs w:val="24"/>
        </w:rPr>
        <w:t>:  For the purpose of this supporting statement, the Commission estimates the number of respondent burden hours for</w:t>
      </w:r>
      <w:r>
        <w:rPr>
          <w:rFonts w:ascii="Times New Roman" w:hAnsi="Times New Roman" w:cs="Times New Roman"/>
          <w:sz w:val="24"/>
          <w:szCs w:val="24"/>
        </w:rPr>
        <w:t xml:space="preserve"> each rule section</w:t>
      </w:r>
      <w:r w:rsidR="00CE2785">
        <w:rPr>
          <w:rFonts w:ascii="Times New Roman" w:hAnsi="Times New Roman" w:cs="Times New Roman"/>
          <w:sz w:val="24"/>
          <w:szCs w:val="24"/>
        </w:rPr>
        <w:t xml:space="preserve"> which contains information collection requirements</w:t>
      </w:r>
      <w:r w:rsidR="002771CE">
        <w:rPr>
          <w:rFonts w:ascii="Times New Roman" w:hAnsi="Times New Roman" w:cs="Times New Roman"/>
          <w:sz w:val="24"/>
          <w:szCs w:val="24"/>
        </w:rPr>
        <w:t xml:space="preserve">. </w:t>
      </w:r>
      <w:r w:rsidR="00E3492F">
        <w:rPr>
          <w:rFonts w:ascii="Times New Roman" w:hAnsi="Times New Roman" w:cs="Times New Roman"/>
          <w:sz w:val="24"/>
          <w:szCs w:val="24"/>
        </w:rPr>
        <w:t xml:space="preserve"> </w:t>
      </w:r>
      <w:r w:rsidR="002771CE" w:rsidRPr="002771CE">
        <w:rPr>
          <w:rFonts w:ascii="Times New Roman" w:hAnsi="Times New Roman" w:cs="Times New Roman"/>
          <w:sz w:val="24"/>
          <w:szCs w:val="24"/>
        </w:rPr>
        <w:t xml:space="preserve">The chart below outlines the number of respondents, frequency of response, time per response, </w:t>
      </w:r>
      <w:r w:rsidR="00FE594B" w:rsidRPr="002771CE">
        <w:rPr>
          <w:rFonts w:ascii="Times New Roman" w:hAnsi="Times New Roman" w:cs="Times New Roman"/>
          <w:sz w:val="24"/>
          <w:szCs w:val="24"/>
        </w:rPr>
        <w:t>and total</w:t>
      </w:r>
      <w:r w:rsidR="002771CE" w:rsidRPr="002771CE">
        <w:rPr>
          <w:rFonts w:ascii="Times New Roman" w:hAnsi="Times New Roman" w:cs="Times New Roman"/>
          <w:sz w:val="24"/>
          <w:szCs w:val="24"/>
        </w:rPr>
        <w:t xml:space="preserve"> annual burden hours for each new collection.</w:t>
      </w:r>
      <w:r w:rsidR="00FE594B">
        <w:rPr>
          <w:rFonts w:ascii="Times New Roman" w:hAnsi="Times New Roman" w:cs="Times New Roman"/>
          <w:sz w:val="24"/>
          <w:szCs w:val="24"/>
        </w:rPr>
        <w:t xml:space="preserve">  </w:t>
      </w:r>
    </w:p>
    <w:p w:rsidR="00466DD7" w:rsidRDefault="00466DD7" w:rsidP="002771CE">
      <w:pPr>
        <w:pStyle w:val="ListParagraph"/>
        <w:spacing w:after="0" w:line="240" w:lineRule="auto"/>
        <w:ind w:left="0"/>
        <w:rPr>
          <w:rFonts w:ascii="Times New Roman" w:hAnsi="Times New Roman" w:cs="Times New Roman"/>
          <w:sz w:val="24"/>
          <w:szCs w:val="24"/>
        </w:rPr>
      </w:pPr>
    </w:p>
    <w:p w:rsidR="00FD1CAC" w:rsidRDefault="00341D88" w:rsidP="002771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For Section</w:t>
      </w:r>
      <w:r w:rsidR="00A01F5A">
        <w:rPr>
          <w:rFonts w:ascii="Times New Roman" w:hAnsi="Times New Roman" w:cs="Times New Roman"/>
          <w:sz w:val="24"/>
          <w:szCs w:val="24"/>
        </w:rPr>
        <w:t>s</w:t>
      </w:r>
      <w:r>
        <w:rPr>
          <w:rFonts w:ascii="Times New Roman" w:hAnsi="Times New Roman" w:cs="Times New Roman"/>
          <w:sz w:val="24"/>
          <w:szCs w:val="24"/>
        </w:rPr>
        <w:t xml:space="preserve"> 30.105 </w:t>
      </w:r>
      <w:r w:rsidR="00A01F5A">
        <w:rPr>
          <w:rFonts w:ascii="Times New Roman" w:hAnsi="Times New Roman" w:cs="Times New Roman"/>
          <w:sz w:val="24"/>
          <w:szCs w:val="24"/>
        </w:rPr>
        <w:t>and 25.136</w:t>
      </w:r>
      <w:r w:rsidR="00E00BB2">
        <w:rPr>
          <w:rFonts w:ascii="Times New Roman" w:hAnsi="Times New Roman" w:cs="Times New Roman"/>
          <w:sz w:val="24"/>
          <w:szCs w:val="24"/>
        </w:rPr>
        <w:t xml:space="preserve"> a,</w:t>
      </w:r>
      <w:r w:rsidR="00E50D07">
        <w:rPr>
          <w:rFonts w:ascii="Times New Roman" w:hAnsi="Times New Roman" w:cs="Times New Roman"/>
          <w:sz w:val="24"/>
          <w:szCs w:val="24"/>
        </w:rPr>
        <w:t xml:space="preserve"> b</w:t>
      </w:r>
      <w:r w:rsidR="00A01F5A">
        <w:rPr>
          <w:rFonts w:ascii="Times New Roman" w:hAnsi="Times New Roman" w:cs="Times New Roman"/>
          <w:sz w:val="24"/>
          <w:szCs w:val="24"/>
        </w:rPr>
        <w:t xml:space="preserve"> (Third Party Disclosure) </w:t>
      </w:r>
      <w:r>
        <w:rPr>
          <w:rFonts w:ascii="Times New Roman" w:hAnsi="Times New Roman" w:cs="Times New Roman"/>
          <w:sz w:val="24"/>
          <w:szCs w:val="24"/>
        </w:rPr>
        <w:t>of the Commission’s rules,</w:t>
      </w:r>
      <w:r w:rsidR="00791977">
        <w:rPr>
          <w:rFonts w:ascii="Times New Roman" w:hAnsi="Times New Roman" w:cs="Times New Roman"/>
          <w:color w:val="FF0000"/>
          <w:sz w:val="24"/>
          <w:szCs w:val="24"/>
        </w:rPr>
        <w:t xml:space="preserve"> </w:t>
      </w:r>
      <w:r w:rsidR="00E00BB2">
        <w:rPr>
          <w:rFonts w:ascii="Times New Roman" w:hAnsi="Times New Roman" w:cs="Times New Roman"/>
          <w:sz w:val="24"/>
          <w:szCs w:val="24"/>
        </w:rPr>
        <w:t>the Commission</w:t>
      </w:r>
      <w:r w:rsidR="00A903AD" w:rsidRPr="00791977">
        <w:rPr>
          <w:rFonts w:ascii="Times New Roman" w:hAnsi="Times New Roman" w:cs="Times New Roman"/>
          <w:sz w:val="24"/>
          <w:szCs w:val="24"/>
        </w:rPr>
        <w:t xml:space="preserve"> </w:t>
      </w:r>
      <w:r w:rsidR="009B1741">
        <w:rPr>
          <w:rFonts w:ascii="Times New Roman" w:hAnsi="Times New Roman" w:cs="Times New Roman"/>
          <w:sz w:val="24"/>
          <w:szCs w:val="24"/>
        </w:rPr>
        <w:t>assume</w:t>
      </w:r>
      <w:r w:rsidR="00E00BB2">
        <w:rPr>
          <w:rFonts w:ascii="Times New Roman" w:hAnsi="Times New Roman" w:cs="Times New Roman"/>
          <w:sz w:val="24"/>
          <w:szCs w:val="24"/>
        </w:rPr>
        <w:t>s</w:t>
      </w:r>
      <w:r w:rsidR="009B1741">
        <w:rPr>
          <w:rFonts w:ascii="Times New Roman" w:hAnsi="Times New Roman" w:cs="Times New Roman"/>
          <w:sz w:val="24"/>
          <w:szCs w:val="24"/>
        </w:rPr>
        <w:t xml:space="preserve"> 100 respondents will each respond on occasion, and of the 100 respondents</w:t>
      </w:r>
      <w:r w:rsidR="00963796">
        <w:rPr>
          <w:rFonts w:ascii="Times New Roman" w:hAnsi="Times New Roman" w:cs="Times New Roman"/>
          <w:sz w:val="24"/>
          <w:szCs w:val="24"/>
        </w:rPr>
        <w:t xml:space="preserve"> </w:t>
      </w:r>
      <w:r w:rsidR="00E50D07" w:rsidRPr="00751168">
        <w:rPr>
          <w:rFonts w:ascii="Times New Roman" w:hAnsi="Times New Roman" w:cs="Times New Roman"/>
          <w:sz w:val="24"/>
          <w:szCs w:val="24"/>
        </w:rPr>
        <w:t>75</w:t>
      </w:r>
      <w:r w:rsidR="00E00BB2">
        <w:rPr>
          <w:rFonts w:ascii="Times New Roman" w:hAnsi="Times New Roman" w:cs="Times New Roman"/>
          <w:sz w:val="24"/>
          <w:szCs w:val="24"/>
        </w:rPr>
        <w:t xml:space="preserve"> percent</w:t>
      </w:r>
      <w:r w:rsidR="00466DD7" w:rsidRPr="00751168">
        <w:rPr>
          <w:rFonts w:ascii="Times New Roman" w:hAnsi="Times New Roman" w:cs="Times New Roman"/>
          <w:sz w:val="24"/>
          <w:szCs w:val="24"/>
        </w:rPr>
        <w:t xml:space="preserve"> of the respondents will contract consultants </w:t>
      </w:r>
      <w:r w:rsidR="00243C15">
        <w:rPr>
          <w:rFonts w:ascii="Times New Roman" w:hAnsi="Times New Roman" w:cs="Times New Roman"/>
          <w:sz w:val="24"/>
          <w:szCs w:val="24"/>
        </w:rPr>
        <w:t xml:space="preserve">(see #13, Annual Burden Cost – Consultant) </w:t>
      </w:r>
      <w:r w:rsidR="00466DD7" w:rsidRPr="00751168">
        <w:rPr>
          <w:rFonts w:ascii="Times New Roman" w:hAnsi="Times New Roman" w:cs="Times New Roman"/>
          <w:sz w:val="24"/>
          <w:szCs w:val="24"/>
        </w:rPr>
        <w:t xml:space="preserve">to handle the burden of reporting; the remaining </w:t>
      </w:r>
      <w:r w:rsidR="00E50D07" w:rsidRPr="00751168">
        <w:rPr>
          <w:rFonts w:ascii="Times New Roman" w:hAnsi="Times New Roman" w:cs="Times New Roman"/>
          <w:sz w:val="24"/>
          <w:szCs w:val="24"/>
        </w:rPr>
        <w:t>25</w:t>
      </w:r>
      <w:r w:rsidR="00E00BB2">
        <w:rPr>
          <w:rFonts w:ascii="Times New Roman" w:hAnsi="Times New Roman" w:cs="Times New Roman"/>
          <w:sz w:val="24"/>
          <w:szCs w:val="24"/>
        </w:rPr>
        <w:t xml:space="preserve"> percent</w:t>
      </w:r>
      <w:r w:rsidR="00466DD7" w:rsidRPr="00751168">
        <w:rPr>
          <w:rFonts w:ascii="Times New Roman" w:hAnsi="Times New Roman" w:cs="Times New Roman"/>
          <w:sz w:val="24"/>
          <w:szCs w:val="24"/>
        </w:rPr>
        <w:t xml:space="preserve"> of respondents will employ in-house staff to respond</w:t>
      </w:r>
      <w:r w:rsidR="00E50D07">
        <w:rPr>
          <w:rFonts w:ascii="Times New Roman" w:hAnsi="Times New Roman" w:cs="Times New Roman"/>
          <w:sz w:val="24"/>
          <w:szCs w:val="24"/>
        </w:rPr>
        <w:t>.</w:t>
      </w:r>
      <w:r w:rsidR="00466DD7" w:rsidRPr="00466DD7">
        <w:rPr>
          <w:rFonts w:ascii="Times New Roman" w:hAnsi="Times New Roman" w:cs="Times New Roman"/>
          <w:sz w:val="24"/>
          <w:szCs w:val="24"/>
        </w:rPr>
        <w:t xml:space="preserve"> </w:t>
      </w:r>
      <w:r w:rsidR="00E50D07">
        <w:rPr>
          <w:rFonts w:ascii="Times New Roman" w:hAnsi="Times New Roman" w:cs="Times New Roman"/>
          <w:sz w:val="24"/>
          <w:szCs w:val="24"/>
        </w:rPr>
        <w:t xml:space="preserve"> The </w:t>
      </w:r>
      <w:r w:rsidR="00243C15">
        <w:rPr>
          <w:rFonts w:ascii="Times New Roman" w:hAnsi="Times New Roman" w:cs="Times New Roman"/>
          <w:sz w:val="24"/>
          <w:szCs w:val="24"/>
        </w:rPr>
        <w:t>in-house cost</w:t>
      </w:r>
      <w:r w:rsidR="00963796">
        <w:rPr>
          <w:rFonts w:ascii="Times New Roman" w:hAnsi="Times New Roman" w:cs="Times New Roman"/>
          <w:sz w:val="24"/>
          <w:szCs w:val="24"/>
        </w:rPr>
        <w:t xml:space="preserve"> </w:t>
      </w:r>
      <w:r w:rsidR="00E50D07">
        <w:rPr>
          <w:rFonts w:ascii="Times New Roman" w:hAnsi="Times New Roman" w:cs="Times New Roman"/>
          <w:sz w:val="24"/>
          <w:szCs w:val="24"/>
        </w:rPr>
        <w:t xml:space="preserve">is reflective in the table below titled “Annual Burden”.  </w:t>
      </w:r>
      <w:r>
        <w:rPr>
          <w:rFonts w:ascii="Times New Roman" w:hAnsi="Times New Roman" w:cs="Times New Roman"/>
          <w:sz w:val="24"/>
          <w:szCs w:val="24"/>
        </w:rPr>
        <w:t xml:space="preserve">For the other rules, </w:t>
      </w:r>
      <w:r w:rsidR="00303DA0">
        <w:rPr>
          <w:rFonts w:ascii="Times New Roman" w:hAnsi="Times New Roman" w:cs="Times New Roman"/>
          <w:sz w:val="24"/>
          <w:szCs w:val="24"/>
        </w:rPr>
        <w:t>the Commission</w:t>
      </w:r>
      <w:r>
        <w:rPr>
          <w:rFonts w:ascii="Times New Roman" w:hAnsi="Times New Roman" w:cs="Times New Roman"/>
          <w:sz w:val="24"/>
          <w:szCs w:val="24"/>
        </w:rPr>
        <w:t xml:space="preserve"> estimate that in-house staff will comply with the reporting requirements.  </w:t>
      </w:r>
      <w:r w:rsidR="00466DD7" w:rsidRPr="00466DD7">
        <w:rPr>
          <w:rFonts w:ascii="Times New Roman" w:hAnsi="Times New Roman" w:cs="Times New Roman"/>
          <w:sz w:val="24"/>
          <w:szCs w:val="24"/>
        </w:rPr>
        <w:t>We assume that th</w:t>
      </w:r>
      <w:r w:rsidR="007F6F1D">
        <w:rPr>
          <w:rFonts w:ascii="Times New Roman" w:hAnsi="Times New Roman" w:cs="Times New Roman"/>
          <w:sz w:val="24"/>
          <w:szCs w:val="24"/>
        </w:rPr>
        <w:t>e respondents will use in-house staff attorney ($66.88/hour) or engineer ($44.24</w:t>
      </w:r>
      <w:r w:rsidR="00466DD7" w:rsidRPr="00466DD7">
        <w:rPr>
          <w:rFonts w:ascii="Times New Roman" w:hAnsi="Times New Roman" w:cs="Times New Roman"/>
          <w:sz w:val="24"/>
          <w:szCs w:val="24"/>
        </w:rPr>
        <w:t>/hour) to consult and prepare information</w:t>
      </w:r>
      <w:r w:rsidR="00E8016D" w:rsidRPr="00E8016D">
        <w:rPr>
          <w:rFonts w:ascii="Times New Roman" w:hAnsi="Times New Roman" w:cs="Times New Roman"/>
          <w:sz w:val="24"/>
          <w:szCs w:val="24"/>
        </w:rPr>
        <w:t>.</w:t>
      </w:r>
      <w:r w:rsidR="00E8016D">
        <w:rPr>
          <w:rStyle w:val="FootnoteReference"/>
          <w:rFonts w:ascii="Times New Roman" w:hAnsi="Times New Roman" w:cs="Times New Roman"/>
          <w:sz w:val="24"/>
          <w:szCs w:val="24"/>
        </w:rPr>
        <w:footnoteReference w:id="3"/>
      </w:r>
      <w:r w:rsidR="00466DD7" w:rsidRPr="00466DD7">
        <w:rPr>
          <w:rFonts w:ascii="Times New Roman" w:hAnsi="Times New Roman" w:cs="Times New Roman"/>
          <w:sz w:val="24"/>
          <w:szCs w:val="24"/>
        </w:rPr>
        <w:t xml:space="preserve"> </w:t>
      </w:r>
    </w:p>
    <w:p w:rsidR="00466DD7" w:rsidRDefault="00466DD7" w:rsidP="002771CE">
      <w:pPr>
        <w:pStyle w:val="ListParagraph"/>
        <w:spacing w:after="0" w:line="240" w:lineRule="auto"/>
        <w:ind w:left="0"/>
        <w:rPr>
          <w:rFonts w:ascii="Times New Roman" w:hAnsi="Times New Roman" w:cs="Times New Roman"/>
          <w:sz w:val="24"/>
          <w:szCs w:val="24"/>
        </w:rPr>
      </w:pPr>
    </w:p>
    <w:p w:rsidR="009A4A4B" w:rsidRDefault="00FD1CAC" w:rsidP="00061F14">
      <w:pPr>
        <w:pStyle w:val="ListParagraph"/>
        <w:spacing w:after="0" w:line="240" w:lineRule="auto"/>
        <w:ind w:left="0"/>
        <w:rPr>
          <w:rFonts w:ascii="Times New Roman" w:hAnsi="Times New Roman" w:cs="Times New Roman"/>
          <w:sz w:val="24"/>
          <w:szCs w:val="24"/>
        </w:rPr>
      </w:pPr>
      <w:r w:rsidRPr="00FD1CAC">
        <w:rPr>
          <w:rFonts w:ascii="Times New Roman" w:hAnsi="Times New Roman" w:cs="Times New Roman"/>
          <w:sz w:val="24"/>
          <w:szCs w:val="24"/>
        </w:rPr>
        <w:t xml:space="preserve">The Commission </w:t>
      </w:r>
      <w:r w:rsidR="00341D88">
        <w:rPr>
          <w:rFonts w:ascii="Times New Roman" w:hAnsi="Times New Roman" w:cs="Times New Roman"/>
          <w:sz w:val="24"/>
          <w:szCs w:val="24"/>
        </w:rPr>
        <w:t xml:space="preserve">calculates the burden from each proposed rule to be as follows: </w:t>
      </w:r>
    </w:p>
    <w:p w:rsidR="00D869B8" w:rsidRDefault="00D869B8" w:rsidP="00061F14">
      <w:pPr>
        <w:pStyle w:val="ListParagraph"/>
        <w:spacing w:after="0" w:line="240" w:lineRule="auto"/>
        <w:ind w:left="0"/>
        <w:rPr>
          <w:rFonts w:ascii="Times New Roman" w:hAnsi="Times New Roman" w:cs="Times New Roman"/>
          <w:sz w:val="24"/>
          <w:szCs w:val="24"/>
        </w:rPr>
      </w:pPr>
    </w:p>
    <w:p w:rsidR="004836A0" w:rsidRDefault="00723344" w:rsidP="008A7632">
      <w:pPr>
        <w:pStyle w:val="ListParagraph"/>
        <w:spacing w:after="0" w:line="240" w:lineRule="auto"/>
        <w:ind w:left="0"/>
        <w:jc w:val="center"/>
        <w:rPr>
          <w:rFonts w:ascii="Times New Roman" w:hAnsi="Times New Roman" w:cs="Times New Roman"/>
          <w:b/>
          <w:sz w:val="24"/>
          <w:szCs w:val="24"/>
        </w:rPr>
      </w:pPr>
      <w:r w:rsidRPr="00723344">
        <w:rPr>
          <w:rFonts w:ascii="Times New Roman" w:hAnsi="Times New Roman" w:cs="Times New Roman"/>
          <w:b/>
          <w:sz w:val="24"/>
          <w:szCs w:val="24"/>
        </w:rPr>
        <w:t>Annual Burden</w:t>
      </w:r>
      <w:r>
        <w:rPr>
          <w:rFonts w:ascii="Times New Roman" w:hAnsi="Times New Roman" w:cs="Times New Roman"/>
          <w:b/>
          <w:sz w:val="24"/>
          <w:szCs w:val="24"/>
        </w:rPr>
        <w:t xml:space="preserve"> </w:t>
      </w:r>
    </w:p>
    <w:p w:rsidR="00D869B8" w:rsidRDefault="00D869B8" w:rsidP="008A7632">
      <w:pPr>
        <w:pStyle w:val="ListParagraph"/>
        <w:spacing w:after="0" w:line="240" w:lineRule="auto"/>
        <w:ind w:left="0"/>
        <w:jc w:val="center"/>
        <w:rPr>
          <w:rFonts w:ascii="Times New Roman" w:hAnsi="Times New Roman" w:cs="Times New Roman"/>
          <w:b/>
          <w:sz w:val="24"/>
          <w:szCs w:val="24"/>
        </w:rPr>
      </w:pPr>
    </w:p>
    <w:tbl>
      <w:tblPr>
        <w:tblStyle w:val="TableGrid"/>
        <w:tblW w:w="9535" w:type="dxa"/>
        <w:tblLayout w:type="fixed"/>
        <w:tblLook w:val="04A0" w:firstRow="1" w:lastRow="0" w:firstColumn="1" w:lastColumn="0" w:noHBand="0" w:noVBand="1"/>
      </w:tblPr>
      <w:tblGrid>
        <w:gridCol w:w="393"/>
        <w:gridCol w:w="1672"/>
        <w:gridCol w:w="1440"/>
        <w:gridCol w:w="1440"/>
        <w:gridCol w:w="1530"/>
        <w:gridCol w:w="1080"/>
        <w:gridCol w:w="900"/>
        <w:gridCol w:w="1080"/>
      </w:tblGrid>
      <w:tr w:rsidR="00445530" w:rsidTr="00143BA2">
        <w:tc>
          <w:tcPr>
            <w:tcW w:w="393" w:type="dxa"/>
          </w:tcPr>
          <w:p w:rsidR="00445530" w:rsidRPr="0095623D" w:rsidRDefault="00445530" w:rsidP="00303DA0">
            <w:pPr>
              <w:pStyle w:val="ListParagraph"/>
              <w:ind w:left="0"/>
              <w:rPr>
                <w:rFonts w:ascii="Times New Roman" w:hAnsi="Times New Roman" w:cs="Times New Roman"/>
              </w:rPr>
            </w:pPr>
          </w:p>
        </w:tc>
        <w:tc>
          <w:tcPr>
            <w:tcW w:w="1672"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Respondents</w:t>
            </w:r>
          </w:p>
        </w:tc>
        <w:tc>
          <w:tcPr>
            <w:tcW w:w="144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Estimated Number of Respondents</w:t>
            </w:r>
          </w:p>
        </w:tc>
        <w:tc>
          <w:tcPr>
            <w:tcW w:w="144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Estimated Frequency of Responses</w:t>
            </w:r>
          </w:p>
        </w:tc>
        <w:tc>
          <w:tcPr>
            <w:tcW w:w="153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Total Number of</w:t>
            </w:r>
            <w:bookmarkStart w:id="0" w:name="_GoBack"/>
            <w:bookmarkEnd w:id="0"/>
            <w:r w:rsidRPr="0095623D">
              <w:rPr>
                <w:rFonts w:ascii="Times New Roman" w:hAnsi="Times New Roman" w:cs="Times New Roman"/>
              </w:rPr>
              <w:t xml:space="preserve"> Responses</w:t>
            </w:r>
          </w:p>
        </w:tc>
        <w:tc>
          <w:tcPr>
            <w:tcW w:w="108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Time per Response (Hours)</w:t>
            </w:r>
          </w:p>
        </w:tc>
        <w:tc>
          <w:tcPr>
            <w:tcW w:w="90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Total Annual Burden Hours</w:t>
            </w:r>
          </w:p>
        </w:tc>
        <w:tc>
          <w:tcPr>
            <w:tcW w:w="108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Effective Date</w:t>
            </w:r>
          </w:p>
        </w:tc>
      </w:tr>
      <w:tr w:rsidR="00C81C6E" w:rsidTr="00143BA2">
        <w:tc>
          <w:tcPr>
            <w:tcW w:w="393" w:type="dxa"/>
          </w:tcPr>
          <w:p w:rsidR="00C81C6E" w:rsidRPr="0095623D" w:rsidRDefault="00C81C6E" w:rsidP="00303DA0">
            <w:pPr>
              <w:pStyle w:val="ListParagraph"/>
              <w:ind w:left="0"/>
              <w:rPr>
                <w:rFonts w:ascii="Times New Roman" w:hAnsi="Times New Roman" w:cs="Times New Roman"/>
              </w:rPr>
            </w:pPr>
            <w:r>
              <w:rPr>
                <w:rFonts w:ascii="Times New Roman" w:hAnsi="Times New Roman" w:cs="Times New Roman"/>
              </w:rPr>
              <w:t>a</w:t>
            </w:r>
          </w:p>
        </w:tc>
        <w:tc>
          <w:tcPr>
            <w:tcW w:w="1672" w:type="dxa"/>
          </w:tcPr>
          <w:p w:rsidR="00C81C6E" w:rsidRDefault="00C81C6E" w:rsidP="00303DA0">
            <w:pPr>
              <w:pStyle w:val="ListParagraph"/>
              <w:ind w:left="0"/>
              <w:rPr>
                <w:rFonts w:ascii="Times New Roman" w:hAnsi="Times New Roman" w:cs="Times New Roman"/>
              </w:rPr>
            </w:pPr>
            <w:r>
              <w:rPr>
                <w:rFonts w:ascii="Times New Roman" w:hAnsi="Times New Roman" w:cs="Times New Roman"/>
              </w:rPr>
              <w:t>§25.136, Concerning Satellite Stations -</w:t>
            </w:r>
          </w:p>
          <w:p w:rsidR="00C81C6E" w:rsidRPr="0095623D" w:rsidRDefault="00C81C6E" w:rsidP="00303DA0">
            <w:pPr>
              <w:pStyle w:val="ListParagraph"/>
              <w:ind w:left="0"/>
              <w:rPr>
                <w:rFonts w:ascii="Times New Roman" w:hAnsi="Times New Roman" w:cs="Times New Roman"/>
              </w:rPr>
            </w:pPr>
            <w:r>
              <w:rPr>
                <w:rFonts w:ascii="Times New Roman" w:hAnsi="Times New Roman" w:cs="Times New Roman"/>
              </w:rPr>
              <w:t>Third Party Disclosure</w:t>
            </w:r>
          </w:p>
        </w:tc>
        <w:tc>
          <w:tcPr>
            <w:tcW w:w="1440" w:type="dxa"/>
          </w:tcPr>
          <w:p w:rsidR="00C81C6E" w:rsidRPr="0095623D" w:rsidRDefault="006061DD" w:rsidP="00303DA0">
            <w:pPr>
              <w:pStyle w:val="ListParagraph"/>
              <w:ind w:left="0"/>
              <w:rPr>
                <w:rFonts w:ascii="Times New Roman" w:hAnsi="Times New Roman" w:cs="Times New Roman"/>
              </w:rPr>
            </w:pPr>
            <w:r>
              <w:rPr>
                <w:rFonts w:ascii="Times New Roman" w:hAnsi="Times New Roman" w:cs="Times New Roman"/>
              </w:rPr>
              <w:t>25</w:t>
            </w:r>
          </w:p>
        </w:tc>
        <w:tc>
          <w:tcPr>
            <w:tcW w:w="1440" w:type="dxa"/>
          </w:tcPr>
          <w:p w:rsidR="00C81C6E" w:rsidRPr="0095623D" w:rsidRDefault="00A95C27" w:rsidP="00303DA0">
            <w:pPr>
              <w:pStyle w:val="ListParagraph"/>
              <w:ind w:left="0"/>
              <w:rPr>
                <w:rFonts w:ascii="Times New Roman" w:hAnsi="Times New Roman" w:cs="Times New Roman"/>
              </w:rPr>
            </w:pPr>
            <w:r>
              <w:rPr>
                <w:rFonts w:ascii="Times New Roman" w:hAnsi="Times New Roman" w:cs="Times New Roman"/>
              </w:rPr>
              <w:t>On occasion</w:t>
            </w:r>
          </w:p>
        </w:tc>
        <w:tc>
          <w:tcPr>
            <w:tcW w:w="1530" w:type="dxa"/>
          </w:tcPr>
          <w:p w:rsidR="00C81C6E" w:rsidRPr="0095623D" w:rsidRDefault="006061DD" w:rsidP="00303DA0">
            <w:pPr>
              <w:pStyle w:val="ListParagraph"/>
              <w:ind w:left="0"/>
              <w:rPr>
                <w:rFonts w:ascii="Times New Roman" w:hAnsi="Times New Roman" w:cs="Times New Roman"/>
              </w:rPr>
            </w:pPr>
            <w:r>
              <w:rPr>
                <w:rFonts w:ascii="Times New Roman" w:hAnsi="Times New Roman" w:cs="Times New Roman"/>
              </w:rPr>
              <w:t>25</w:t>
            </w:r>
          </w:p>
        </w:tc>
        <w:tc>
          <w:tcPr>
            <w:tcW w:w="1080" w:type="dxa"/>
          </w:tcPr>
          <w:p w:rsidR="00C81C6E" w:rsidRPr="0095623D" w:rsidRDefault="00CE2785" w:rsidP="00303DA0">
            <w:pPr>
              <w:pStyle w:val="ListParagraph"/>
              <w:ind w:left="0"/>
              <w:rPr>
                <w:rFonts w:ascii="Times New Roman" w:hAnsi="Times New Roman" w:cs="Times New Roman"/>
              </w:rPr>
            </w:pPr>
            <w:r>
              <w:rPr>
                <w:rFonts w:ascii="Times New Roman" w:hAnsi="Times New Roman" w:cs="Times New Roman"/>
              </w:rPr>
              <w:t>0</w:t>
            </w:r>
            <w:r w:rsidR="002C176A">
              <w:rPr>
                <w:rFonts w:ascii="Times New Roman" w:hAnsi="Times New Roman" w:cs="Times New Roman"/>
              </w:rPr>
              <w:t>.5</w:t>
            </w:r>
          </w:p>
        </w:tc>
        <w:tc>
          <w:tcPr>
            <w:tcW w:w="900" w:type="dxa"/>
          </w:tcPr>
          <w:p w:rsidR="0097773B" w:rsidRDefault="0097773B" w:rsidP="0097773B">
            <w:pPr>
              <w:pStyle w:val="ListParagraph"/>
              <w:ind w:left="0"/>
              <w:rPr>
                <w:rFonts w:ascii="Times New Roman" w:hAnsi="Times New Roman" w:cs="Times New Roman"/>
              </w:rPr>
            </w:pPr>
            <w:r>
              <w:rPr>
                <w:rFonts w:ascii="Times New Roman" w:hAnsi="Times New Roman" w:cs="Times New Roman"/>
              </w:rPr>
              <w:t>13</w:t>
            </w:r>
          </w:p>
          <w:p w:rsidR="00C81C6E" w:rsidRPr="0095623D" w:rsidRDefault="0097773B" w:rsidP="0097773B">
            <w:pPr>
              <w:pStyle w:val="ListParagraph"/>
              <w:ind w:left="0"/>
              <w:rPr>
                <w:rFonts w:ascii="Times New Roman" w:hAnsi="Times New Roman" w:cs="Times New Roman"/>
              </w:rPr>
            </w:pPr>
            <w:r>
              <w:rPr>
                <w:rFonts w:ascii="Times New Roman" w:hAnsi="Times New Roman" w:cs="Times New Roman"/>
              </w:rPr>
              <w:t>(</w:t>
            </w:r>
            <w:r w:rsidR="006061DD">
              <w:rPr>
                <w:rFonts w:ascii="Times New Roman" w:hAnsi="Times New Roman" w:cs="Times New Roman"/>
              </w:rPr>
              <w:t>12.5</w:t>
            </w:r>
            <w:r>
              <w:rPr>
                <w:rFonts w:ascii="Times New Roman" w:hAnsi="Times New Roman" w:cs="Times New Roman"/>
              </w:rPr>
              <w:t>)</w:t>
            </w:r>
            <w:r w:rsidR="00E279B2">
              <w:rPr>
                <w:rFonts w:ascii="Times New Roman" w:hAnsi="Times New Roman" w:cs="Times New Roman"/>
              </w:rPr>
              <w:t xml:space="preserve"> </w:t>
            </w:r>
          </w:p>
        </w:tc>
        <w:tc>
          <w:tcPr>
            <w:tcW w:w="1080" w:type="dxa"/>
          </w:tcPr>
          <w:p w:rsidR="00C81C6E" w:rsidRPr="0095623D" w:rsidRDefault="002C176A" w:rsidP="00303DA0">
            <w:pPr>
              <w:pStyle w:val="ListParagraph"/>
              <w:ind w:left="0"/>
              <w:rPr>
                <w:rFonts w:ascii="Times New Roman" w:hAnsi="Times New Roman" w:cs="Times New Roman"/>
              </w:rPr>
            </w:pPr>
            <w:r>
              <w:rPr>
                <w:rFonts w:ascii="Times New Roman" w:hAnsi="Times New Roman" w:cs="Times New Roman"/>
              </w:rPr>
              <w:t>Upon OMB Approval</w:t>
            </w:r>
          </w:p>
        </w:tc>
      </w:tr>
      <w:tr w:rsidR="00C81C6E" w:rsidTr="00143BA2">
        <w:tc>
          <w:tcPr>
            <w:tcW w:w="393" w:type="dxa"/>
          </w:tcPr>
          <w:p w:rsidR="00C81C6E" w:rsidRDefault="00C81C6E" w:rsidP="00303DA0">
            <w:pPr>
              <w:pStyle w:val="ListParagraph"/>
              <w:ind w:left="0"/>
              <w:rPr>
                <w:rFonts w:ascii="Times New Roman" w:hAnsi="Times New Roman" w:cs="Times New Roman"/>
              </w:rPr>
            </w:pPr>
            <w:r>
              <w:rPr>
                <w:rFonts w:ascii="Times New Roman" w:hAnsi="Times New Roman" w:cs="Times New Roman"/>
              </w:rPr>
              <w:t>b.</w:t>
            </w:r>
          </w:p>
        </w:tc>
        <w:tc>
          <w:tcPr>
            <w:tcW w:w="1672" w:type="dxa"/>
          </w:tcPr>
          <w:p w:rsidR="00C81C6E" w:rsidRDefault="00C81C6E" w:rsidP="00303DA0">
            <w:pPr>
              <w:pStyle w:val="ListParagraph"/>
              <w:ind w:left="0"/>
              <w:rPr>
                <w:rFonts w:ascii="Times New Roman" w:hAnsi="Times New Roman" w:cs="Times New Roman"/>
              </w:rPr>
            </w:pPr>
            <w:r w:rsidRPr="00C81C6E">
              <w:rPr>
                <w:rFonts w:ascii="Times New Roman" w:hAnsi="Times New Roman" w:cs="Times New Roman"/>
              </w:rPr>
              <w:t>§25.136, Concerning Satellite Stations</w:t>
            </w:r>
            <w:r>
              <w:rPr>
                <w:rFonts w:ascii="Times New Roman" w:hAnsi="Times New Roman" w:cs="Times New Roman"/>
              </w:rPr>
              <w:t xml:space="preserve"> -</w:t>
            </w:r>
          </w:p>
          <w:p w:rsidR="00C81C6E" w:rsidRDefault="00C81C6E" w:rsidP="00303DA0">
            <w:pPr>
              <w:pStyle w:val="ListParagraph"/>
              <w:ind w:left="0"/>
              <w:rPr>
                <w:rFonts w:ascii="Times New Roman" w:hAnsi="Times New Roman" w:cs="Times New Roman"/>
              </w:rPr>
            </w:pPr>
            <w:r>
              <w:rPr>
                <w:rFonts w:ascii="Times New Roman" w:hAnsi="Times New Roman" w:cs="Times New Roman"/>
              </w:rPr>
              <w:t>Filing Requirement</w:t>
            </w:r>
          </w:p>
        </w:tc>
        <w:tc>
          <w:tcPr>
            <w:tcW w:w="1440" w:type="dxa"/>
          </w:tcPr>
          <w:p w:rsidR="00C81C6E" w:rsidRPr="0095623D" w:rsidRDefault="006061DD" w:rsidP="00303DA0">
            <w:pPr>
              <w:pStyle w:val="ListParagraph"/>
              <w:ind w:left="0"/>
              <w:rPr>
                <w:rFonts w:ascii="Times New Roman" w:hAnsi="Times New Roman" w:cs="Times New Roman"/>
              </w:rPr>
            </w:pPr>
            <w:r>
              <w:rPr>
                <w:rFonts w:ascii="Times New Roman" w:hAnsi="Times New Roman" w:cs="Times New Roman"/>
              </w:rPr>
              <w:t>25</w:t>
            </w:r>
          </w:p>
        </w:tc>
        <w:tc>
          <w:tcPr>
            <w:tcW w:w="1440" w:type="dxa"/>
          </w:tcPr>
          <w:p w:rsidR="00C81C6E" w:rsidRPr="0095623D" w:rsidRDefault="006061DD" w:rsidP="00303DA0">
            <w:pPr>
              <w:pStyle w:val="ListParagraph"/>
              <w:ind w:left="0"/>
              <w:rPr>
                <w:rFonts w:ascii="Times New Roman" w:hAnsi="Times New Roman" w:cs="Times New Roman"/>
              </w:rPr>
            </w:pPr>
            <w:r>
              <w:rPr>
                <w:rFonts w:ascii="Times New Roman" w:hAnsi="Times New Roman" w:cs="Times New Roman"/>
              </w:rPr>
              <w:t>On occasion</w:t>
            </w:r>
          </w:p>
        </w:tc>
        <w:tc>
          <w:tcPr>
            <w:tcW w:w="1530" w:type="dxa"/>
          </w:tcPr>
          <w:p w:rsidR="00C81C6E" w:rsidRPr="0095623D" w:rsidRDefault="006061DD" w:rsidP="00303DA0">
            <w:pPr>
              <w:pStyle w:val="ListParagraph"/>
              <w:ind w:left="0"/>
              <w:rPr>
                <w:rFonts w:ascii="Times New Roman" w:hAnsi="Times New Roman" w:cs="Times New Roman"/>
              </w:rPr>
            </w:pPr>
            <w:r>
              <w:rPr>
                <w:rFonts w:ascii="Times New Roman" w:hAnsi="Times New Roman" w:cs="Times New Roman"/>
              </w:rPr>
              <w:t>25</w:t>
            </w:r>
          </w:p>
        </w:tc>
        <w:tc>
          <w:tcPr>
            <w:tcW w:w="1080" w:type="dxa"/>
          </w:tcPr>
          <w:p w:rsidR="00C81C6E" w:rsidRPr="0095623D" w:rsidRDefault="002C176A" w:rsidP="00303DA0">
            <w:pPr>
              <w:pStyle w:val="ListParagraph"/>
              <w:ind w:left="0"/>
              <w:rPr>
                <w:rFonts w:ascii="Times New Roman" w:hAnsi="Times New Roman" w:cs="Times New Roman"/>
              </w:rPr>
            </w:pPr>
            <w:r>
              <w:rPr>
                <w:rFonts w:ascii="Times New Roman" w:hAnsi="Times New Roman" w:cs="Times New Roman"/>
              </w:rPr>
              <w:t>10</w:t>
            </w:r>
          </w:p>
        </w:tc>
        <w:tc>
          <w:tcPr>
            <w:tcW w:w="900" w:type="dxa"/>
          </w:tcPr>
          <w:p w:rsidR="00C81C6E" w:rsidRPr="0095623D" w:rsidRDefault="006061DD" w:rsidP="006D7032">
            <w:pPr>
              <w:pStyle w:val="ListParagraph"/>
              <w:ind w:left="0"/>
              <w:rPr>
                <w:rFonts w:ascii="Times New Roman" w:hAnsi="Times New Roman" w:cs="Times New Roman"/>
              </w:rPr>
            </w:pPr>
            <w:r>
              <w:rPr>
                <w:rFonts w:ascii="Times New Roman" w:hAnsi="Times New Roman" w:cs="Times New Roman"/>
              </w:rPr>
              <w:t>250</w:t>
            </w:r>
          </w:p>
        </w:tc>
        <w:tc>
          <w:tcPr>
            <w:tcW w:w="1080" w:type="dxa"/>
          </w:tcPr>
          <w:p w:rsidR="00C81C6E" w:rsidRPr="0095623D" w:rsidRDefault="002C176A" w:rsidP="00303DA0">
            <w:pPr>
              <w:pStyle w:val="ListParagraph"/>
              <w:ind w:left="0"/>
              <w:rPr>
                <w:rFonts w:ascii="Times New Roman" w:hAnsi="Times New Roman" w:cs="Times New Roman"/>
              </w:rPr>
            </w:pPr>
            <w:r w:rsidRPr="002C176A">
              <w:rPr>
                <w:rFonts w:ascii="Times New Roman" w:hAnsi="Times New Roman" w:cs="Times New Roman"/>
              </w:rPr>
              <w:t>Upon OMB Approval</w:t>
            </w:r>
          </w:p>
        </w:tc>
      </w:tr>
      <w:tr w:rsidR="00445530" w:rsidTr="00143BA2">
        <w:tc>
          <w:tcPr>
            <w:tcW w:w="393" w:type="dxa"/>
          </w:tcPr>
          <w:p w:rsidR="00445530" w:rsidRPr="0095623D" w:rsidRDefault="00A61B5B" w:rsidP="00303DA0">
            <w:pPr>
              <w:pStyle w:val="ListParagraph"/>
              <w:ind w:left="0"/>
              <w:rPr>
                <w:rFonts w:ascii="Times New Roman" w:hAnsi="Times New Roman" w:cs="Times New Roman"/>
              </w:rPr>
            </w:pPr>
            <w:r>
              <w:rPr>
                <w:rFonts w:ascii="Times New Roman" w:hAnsi="Times New Roman" w:cs="Times New Roman"/>
              </w:rPr>
              <w:t>c</w:t>
            </w:r>
            <w:r w:rsidR="00445530" w:rsidRPr="0095623D">
              <w:rPr>
                <w:rFonts w:ascii="Times New Roman" w:hAnsi="Times New Roman" w:cs="Times New Roman"/>
              </w:rPr>
              <w:t>.</w:t>
            </w:r>
          </w:p>
        </w:tc>
        <w:tc>
          <w:tcPr>
            <w:tcW w:w="1672"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§30.3, Eligibility, Foreign ownership reports</w:t>
            </w:r>
          </w:p>
        </w:tc>
        <w:tc>
          <w:tcPr>
            <w:tcW w:w="1440" w:type="dxa"/>
          </w:tcPr>
          <w:p w:rsidR="00E8016D" w:rsidRPr="0095623D" w:rsidRDefault="00E8016D" w:rsidP="007F6F1D">
            <w:pPr>
              <w:pStyle w:val="ListParagraph"/>
              <w:ind w:left="0"/>
              <w:rPr>
                <w:rFonts w:ascii="Times New Roman" w:hAnsi="Times New Roman" w:cs="Times New Roman"/>
              </w:rPr>
            </w:pPr>
            <w:r w:rsidRPr="0095623D">
              <w:rPr>
                <w:rFonts w:ascii="Times New Roman" w:hAnsi="Times New Roman" w:cs="Times New Roman"/>
              </w:rPr>
              <w:t xml:space="preserve">30 </w:t>
            </w:r>
          </w:p>
        </w:tc>
        <w:tc>
          <w:tcPr>
            <w:tcW w:w="1440" w:type="dxa"/>
          </w:tcPr>
          <w:p w:rsidR="00445530" w:rsidRPr="0095623D" w:rsidRDefault="004C4110" w:rsidP="00FE594B">
            <w:pPr>
              <w:pStyle w:val="ListParagraph"/>
              <w:ind w:left="0"/>
              <w:rPr>
                <w:rFonts w:ascii="Times New Roman" w:hAnsi="Times New Roman" w:cs="Times New Roman"/>
              </w:rPr>
            </w:pPr>
            <w:r w:rsidRPr="0095623D">
              <w:rPr>
                <w:rFonts w:ascii="Times New Roman" w:hAnsi="Times New Roman" w:cs="Times New Roman"/>
              </w:rPr>
              <w:t>Once</w:t>
            </w:r>
          </w:p>
        </w:tc>
        <w:tc>
          <w:tcPr>
            <w:tcW w:w="1530" w:type="dxa"/>
          </w:tcPr>
          <w:p w:rsidR="00E8016D" w:rsidRPr="0095623D" w:rsidRDefault="007F6F1D" w:rsidP="00E8016D">
            <w:pPr>
              <w:pStyle w:val="ListParagraph"/>
              <w:ind w:left="0"/>
              <w:rPr>
                <w:rFonts w:ascii="Times New Roman" w:hAnsi="Times New Roman" w:cs="Times New Roman"/>
              </w:rPr>
            </w:pPr>
            <w:r w:rsidRPr="0095623D">
              <w:rPr>
                <w:rFonts w:ascii="Times New Roman" w:hAnsi="Times New Roman" w:cs="Times New Roman"/>
              </w:rPr>
              <w:t>30</w:t>
            </w:r>
          </w:p>
        </w:tc>
        <w:tc>
          <w:tcPr>
            <w:tcW w:w="108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0.5</w:t>
            </w:r>
          </w:p>
        </w:tc>
        <w:tc>
          <w:tcPr>
            <w:tcW w:w="900" w:type="dxa"/>
          </w:tcPr>
          <w:p w:rsidR="00445530" w:rsidRPr="0095623D" w:rsidRDefault="007F6F1D" w:rsidP="00303DA0">
            <w:pPr>
              <w:pStyle w:val="ListParagraph"/>
              <w:ind w:left="0"/>
              <w:rPr>
                <w:rFonts w:ascii="Times New Roman" w:hAnsi="Times New Roman" w:cs="Times New Roman"/>
              </w:rPr>
            </w:pPr>
            <w:r w:rsidRPr="0095623D">
              <w:rPr>
                <w:rFonts w:ascii="Times New Roman" w:hAnsi="Times New Roman" w:cs="Times New Roman"/>
              </w:rPr>
              <w:t>15</w:t>
            </w:r>
          </w:p>
        </w:tc>
        <w:tc>
          <w:tcPr>
            <w:tcW w:w="1080" w:type="dxa"/>
          </w:tcPr>
          <w:p w:rsidR="00445530" w:rsidRPr="0095623D" w:rsidRDefault="002C176A" w:rsidP="00303DA0">
            <w:pPr>
              <w:pStyle w:val="ListParagraph"/>
              <w:ind w:left="0"/>
              <w:rPr>
                <w:rFonts w:ascii="Times New Roman" w:hAnsi="Times New Roman" w:cs="Times New Roman"/>
              </w:rPr>
            </w:pPr>
            <w:r w:rsidRPr="002C176A">
              <w:rPr>
                <w:rFonts w:ascii="Times New Roman" w:hAnsi="Times New Roman" w:cs="Times New Roman"/>
              </w:rPr>
              <w:t>Upon OMB Approval</w:t>
            </w:r>
          </w:p>
        </w:tc>
      </w:tr>
      <w:tr w:rsidR="00445530" w:rsidTr="00143BA2">
        <w:tc>
          <w:tcPr>
            <w:tcW w:w="393" w:type="dxa"/>
          </w:tcPr>
          <w:p w:rsidR="00445530" w:rsidRPr="0095623D" w:rsidRDefault="00D63AC9" w:rsidP="00303DA0">
            <w:pPr>
              <w:rPr>
                <w:rFonts w:ascii="Times New Roman" w:hAnsi="Times New Roman" w:cs="Times New Roman"/>
              </w:rPr>
            </w:pPr>
            <w:r>
              <w:rPr>
                <w:rFonts w:ascii="Times New Roman" w:hAnsi="Times New Roman" w:cs="Times New Roman"/>
              </w:rPr>
              <w:t>d</w:t>
            </w:r>
            <w:r w:rsidR="00445530" w:rsidRPr="0095623D">
              <w:rPr>
                <w:rFonts w:ascii="Times New Roman" w:hAnsi="Times New Roman" w:cs="Times New Roman"/>
              </w:rPr>
              <w:t>.</w:t>
            </w:r>
          </w:p>
        </w:tc>
        <w:tc>
          <w:tcPr>
            <w:tcW w:w="1672" w:type="dxa"/>
          </w:tcPr>
          <w:p w:rsidR="00445530" w:rsidRPr="0095623D" w:rsidRDefault="00445530" w:rsidP="00303DA0">
            <w:pPr>
              <w:rPr>
                <w:rFonts w:ascii="Times New Roman" w:hAnsi="Times New Roman" w:cs="Times New Roman"/>
              </w:rPr>
            </w:pPr>
            <w:r w:rsidRPr="0095623D">
              <w:rPr>
                <w:rFonts w:ascii="Times New Roman" w:hAnsi="Times New Roman" w:cs="Times New Roman"/>
              </w:rPr>
              <w:t>§30.105, Subpart B – Applications and Licenses</w:t>
            </w:r>
          </w:p>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Construction requirements</w:t>
            </w:r>
          </w:p>
        </w:tc>
        <w:tc>
          <w:tcPr>
            <w:tcW w:w="144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440" w:type="dxa"/>
          </w:tcPr>
          <w:p w:rsidR="00E8016D" w:rsidRPr="0095623D" w:rsidRDefault="004C4110" w:rsidP="00303DA0">
            <w:pPr>
              <w:pStyle w:val="ListParagraph"/>
              <w:ind w:left="0"/>
              <w:rPr>
                <w:rFonts w:ascii="Times New Roman" w:hAnsi="Times New Roman" w:cs="Times New Roman"/>
              </w:rPr>
            </w:pPr>
            <w:r w:rsidRPr="0095623D">
              <w:rPr>
                <w:rFonts w:ascii="Times New Roman" w:hAnsi="Times New Roman" w:cs="Times New Roman"/>
              </w:rPr>
              <w:t>At end</w:t>
            </w:r>
          </w:p>
          <w:p w:rsidR="00445530" w:rsidRPr="0095623D" w:rsidRDefault="004C4110" w:rsidP="002C176A">
            <w:pPr>
              <w:pStyle w:val="ListParagraph"/>
              <w:ind w:left="0"/>
              <w:rPr>
                <w:rFonts w:ascii="Times New Roman" w:hAnsi="Times New Roman" w:cs="Times New Roman"/>
              </w:rPr>
            </w:pPr>
            <w:r w:rsidRPr="0095623D">
              <w:rPr>
                <w:rFonts w:ascii="Times New Roman" w:hAnsi="Times New Roman" w:cs="Times New Roman"/>
              </w:rPr>
              <w:t>of license term</w:t>
            </w:r>
            <w:r w:rsidR="002C176A">
              <w:rPr>
                <w:rFonts w:ascii="Times New Roman" w:hAnsi="Times New Roman" w:cs="Times New Roman"/>
              </w:rPr>
              <w:t>, or 2024 for incumbent licensees</w:t>
            </w:r>
          </w:p>
        </w:tc>
        <w:tc>
          <w:tcPr>
            <w:tcW w:w="1530" w:type="dxa"/>
          </w:tcPr>
          <w:p w:rsidR="00445530" w:rsidRPr="0095623D" w:rsidRDefault="003660A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rsidR="00445530" w:rsidRPr="0095623D" w:rsidRDefault="004C4110" w:rsidP="004C4110">
            <w:pPr>
              <w:pStyle w:val="ListParagraph"/>
              <w:ind w:left="0"/>
              <w:rPr>
                <w:rFonts w:ascii="Times New Roman" w:hAnsi="Times New Roman" w:cs="Times New Roman"/>
              </w:rPr>
            </w:pPr>
            <w:r w:rsidRPr="0095623D">
              <w:rPr>
                <w:rFonts w:ascii="Times New Roman" w:hAnsi="Times New Roman" w:cs="Times New Roman"/>
              </w:rPr>
              <w:t>2</w:t>
            </w:r>
          </w:p>
        </w:tc>
        <w:tc>
          <w:tcPr>
            <w:tcW w:w="90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N/A during current 3-year approval period</w:t>
            </w:r>
          </w:p>
        </w:tc>
      </w:tr>
      <w:tr w:rsidR="00445530" w:rsidTr="00143BA2">
        <w:tc>
          <w:tcPr>
            <w:tcW w:w="393" w:type="dxa"/>
          </w:tcPr>
          <w:p w:rsidR="00445530" w:rsidRPr="0095623D" w:rsidRDefault="00D63AC9" w:rsidP="00303DA0">
            <w:pPr>
              <w:rPr>
                <w:rFonts w:ascii="Times New Roman" w:hAnsi="Times New Roman" w:cs="Times New Roman"/>
              </w:rPr>
            </w:pPr>
            <w:r>
              <w:rPr>
                <w:rFonts w:ascii="Times New Roman" w:hAnsi="Times New Roman" w:cs="Times New Roman"/>
              </w:rPr>
              <w:t>e</w:t>
            </w:r>
            <w:r w:rsidR="00445530" w:rsidRPr="0095623D">
              <w:rPr>
                <w:rFonts w:ascii="Times New Roman" w:hAnsi="Times New Roman" w:cs="Times New Roman"/>
              </w:rPr>
              <w:t>.</w:t>
            </w:r>
          </w:p>
        </w:tc>
        <w:tc>
          <w:tcPr>
            <w:tcW w:w="1672" w:type="dxa"/>
          </w:tcPr>
          <w:p w:rsidR="00445530" w:rsidRPr="0095623D" w:rsidRDefault="00445530" w:rsidP="00303DA0">
            <w:pPr>
              <w:rPr>
                <w:rFonts w:ascii="Times New Roman" w:hAnsi="Times New Roman" w:cs="Times New Roman"/>
              </w:rPr>
            </w:pPr>
            <w:r w:rsidRPr="0095623D">
              <w:rPr>
                <w:rFonts w:ascii="Times New Roman" w:hAnsi="Times New Roman" w:cs="Times New Roman"/>
              </w:rPr>
              <w:t>§30.107, Subpart B – Applications and Licenses</w:t>
            </w:r>
          </w:p>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Discontinuance of Service</w:t>
            </w:r>
          </w:p>
        </w:tc>
        <w:tc>
          <w:tcPr>
            <w:tcW w:w="144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440" w:type="dxa"/>
          </w:tcPr>
          <w:p w:rsidR="00445530" w:rsidRPr="0095623D" w:rsidRDefault="003660A0" w:rsidP="00303DA0">
            <w:pPr>
              <w:pStyle w:val="ListParagraph"/>
              <w:ind w:left="0"/>
              <w:rPr>
                <w:rFonts w:ascii="Times New Roman" w:hAnsi="Times New Roman" w:cs="Times New Roman"/>
              </w:rPr>
            </w:pPr>
            <w:r w:rsidRPr="0095623D">
              <w:rPr>
                <w:rFonts w:ascii="Times New Roman" w:hAnsi="Times New Roman" w:cs="Times New Roman"/>
              </w:rPr>
              <w:t>On occasion</w:t>
            </w:r>
          </w:p>
        </w:tc>
        <w:tc>
          <w:tcPr>
            <w:tcW w:w="1530" w:type="dxa"/>
          </w:tcPr>
          <w:p w:rsidR="00445530" w:rsidRPr="0095623D" w:rsidRDefault="003660A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rsidR="00466DD7" w:rsidRPr="0095623D" w:rsidRDefault="00466DD7" w:rsidP="00303DA0">
            <w:pPr>
              <w:pStyle w:val="ListParagraph"/>
              <w:ind w:left="0"/>
              <w:rPr>
                <w:rFonts w:ascii="Times New Roman" w:hAnsi="Times New Roman" w:cs="Times New Roman"/>
              </w:rPr>
            </w:pPr>
            <w:r w:rsidRPr="0095623D">
              <w:rPr>
                <w:rFonts w:ascii="Times New Roman" w:hAnsi="Times New Roman" w:cs="Times New Roman"/>
              </w:rPr>
              <w:t>0.5</w:t>
            </w:r>
          </w:p>
        </w:tc>
        <w:tc>
          <w:tcPr>
            <w:tcW w:w="90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rsidR="00445530" w:rsidRPr="0095623D" w:rsidRDefault="00445530" w:rsidP="00303DA0">
            <w:pPr>
              <w:pStyle w:val="ListParagraph"/>
              <w:ind w:left="0"/>
              <w:rPr>
                <w:rFonts w:ascii="Times New Roman" w:hAnsi="Times New Roman" w:cs="Times New Roman"/>
              </w:rPr>
            </w:pPr>
            <w:r w:rsidRPr="0095623D">
              <w:rPr>
                <w:rFonts w:ascii="Times New Roman" w:hAnsi="Times New Roman" w:cs="Times New Roman"/>
              </w:rPr>
              <w:t>N/A during current 3-year approval period</w:t>
            </w:r>
          </w:p>
        </w:tc>
      </w:tr>
      <w:tr w:rsidR="003660A0" w:rsidTr="00143BA2">
        <w:tc>
          <w:tcPr>
            <w:tcW w:w="393" w:type="dxa"/>
          </w:tcPr>
          <w:p w:rsidR="00D869B8" w:rsidRPr="0095623D" w:rsidRDefault="00D869B8" w:rsidP="00303DA0">
            <w:pPr>
              <w:rPr>
                <w:rFonts w:ascii="Times New Roman" w:hAnsi="Times New Roman" w:cs="Times New Roman"/>
              </w:rPr>
            </w:pPr>
          </w:p>
        </w:tc>
        <w:tc>
          <w:tcPr>
            <w:tcW w:w="1672" w:type="dxa"/>
          </w:tcPr>
          <w:p w:rsidR="003660A0" w:rsidRPr="00AB44CC" w:rsidRDefault="003660A0" w:rsidP="00303DA0">
            <w:pPr>
              <w:rPr>
                <w:rFonts w:ascii="Times New Roman" w:hAnsi="Times New Roman" w:cs="Times New Roman"/>
                <w:b/>
              </w:rPr>
            </w:pPr>
            <w:r w:rsidRPr="00AB44CC">
              <w:rPr>
                <w:rFonts w:ascii="Times New Roman" w:hAnsi="Times New Roman" w:cs="Times New Roman"/>
                <w:b/>
              </w:rPr>
              <w:t>Totals:</w:t>
            </w:r>
          </w:p>
        </w:tc>
        <w:tc>
          <w:tcPr>
            <w:tcW w:w="1440" w:type="dxa"/>
          </w:tcPr>
          <w:p w:rsidR="003660A0" w:rsidRDefault="00EF5561" w:rsidP="00752B72">
            <w:pPr>
              <w:pStyle w:val="ListParagraph"/>
              <w:ind w:left="0"/>
              <w:rPr>
                <w:rFonts w:ascii="Times New Roman" w:hAnsi="Times New Roman" w:cs="Times New Roman"/>
                <w:b/>
              </w:rPr>
            </w:pPr>
            <w:r>
              <w:rPr>
                <w:rFonts w:ascii="Times New Roman" w:hAnsi="Times New Roman" w:cs="Times New Roman"/>
                <w:b/>
              </w:rPr>
              <w:t>80</w:t>
            </w:r>
          </w:p>
          <w:p w:rsidR="00D869B8" w:rsidRDefault="00D869B8" w:rsidP="00752B72">
            <w:pPr>
              <w:pStyle w:val="ListParagraph"/>
              <w:ind w:left="0"/>
              <w:rPr>
                <w:rFonts w:ascii="Times New Roman" w:hAnsi="Times New Roman" w:cs="Times New Roman"/>
                <w:b/>
              </w:rPr>
            </w:pPr>
            <w:r>
              <w:rPr>
                <w:rFonts w:ascii="Times New Roman" w:hAnsi="Times New Roman" w:cs="Times New Roman"/>
                <w:b/>
              </w:rPr>
              <w:t xml:space="preserve">In-House </w:t>
            </w:r>
          </w:p>
          <w:p w:rsidR="00D869B8" w:rsidRDefault="00D869B8" w:rsidP="00752B72">
            <w:pPr>
              <w:pStyle w:val="ListParagraph"/>
              <w:ind w:left="0"/>
              <w:rPr>
                <w:rFonts w:ascii="Times New Roman" w:hAnsi="Times New Roman" w:cs="Times New Roman"/>
                <w:b/>
              </w:rPr>
            </w:pPr>
            <w:r>
              <w:rPr>
                <w:rFonts w:ascii="Times New Roman" w:hAnsi="Times New Roman" w:cs="Times New Roman"/>
                <w:b/>
              </w:rPr>
              <w:t>Respondents</w:t>
            </w:r>
          </w:p>
          <w:p w:rsidR="00D869B8" w:rsidRPr="00AB44CC" w:rsidRDefault="00D869B8" w:rsidP="00752B72">
            <w:pPr>
              <w:pStyle w:val="ListParagraph"/>
              <w:ind w:left="0"/>
              <w:rPr>
                <w:rFonts w:ascii="Times New Roman" w:hAnsi="Times New Roman" w:cs="Times New Roman"/>
                <w:b/>
              </w:rPr>
            </w:pPr>
          </w:p>
        </w:tc>
        <w:tc>
          <w:tcPr>
            <w:tcW w:w="1440" w:type="dxa"/>
          </w:tcPr>
          <w:p w:rsidR="003660A0" w:rsidRPr="00AB44CC" w:rsidRDefault="003660A0" w:rsidP="00303DA0">
            <w:pPr>
              <w:pStyle w:val="ListParagraph"/>
              <w:ind w:left="0"/>
              <w:rPr>
                <w:rFonts w:ascii="Times New Roman" w:hAnsi="Times New Roman" w:cs="Times New Roman"/>
                <w:b/>
              </w:rPr>
            </w:pPr>
          </w:p>
        </w:tc>
        <w:tc>
          <w:tcPr>
            <w:tcW w:w="1530" w:type="dxa"/>
          </w:tcPr>
          <w:p w:rsidR="003660A0" w:rsidRDefault="00EF5561" w:rsidP="00752B72">
            <w:pPr>
              <w:pStyle w:val="ListParagraph"/>
              <w:ind w:left="0"/>
              <w:rPr>
                <w:rFonts w:ascii="Times New Roman" w:hAnsi="Times New Roman" w:cs="Times New Roman"/>
                <w:b/>
              </w:rPr>
            </w:pPr>
            <w:r>
              <w:rPr>
                <w:rFonts w:ascii="Times New Roman" w:hAnsi="Times New Roman" w:cs="Times New Roman"/>
                <w:b/>
              </w:rPr>
              <w:t>80</w:t>
            </w:r>
          </w:p>
          <w:p w:rsidR="00D869B8" w:rsidRDefault="00D869B8" w:rsidP="00752B72">
            <w:pPr>
              <w:pStyle w:val="ListParagraph"/>
              <w:ind w:left="0"/>
              <w:rPr>
                <w:rFonts w:ascii="Times New Roman" w:hAnsi="Times New Roman" w:cs="Times New Roman"/>
                <w:b/>
              </w:rPr>
            </w:pPr>
            <w:r>
              <w:rPr>
                <w:rFonts w:ascii="Times New Roman" w:hAnsi="Times New Roman" w:cs="Times New Roman"/>
                <w:b/>
              </w:rPr>
              <w:t>In-House</w:t>
            </w:r>
          </w:p>
          <w:p w:rsidR="00D869B8" w:rsidRPr="00AB44CC" w:rsidRDefault="00D869B8" w:rsidP="00752B72">
            <w:pPr>
              <w:pStyle w:val="ListParagraph"/>
              <w:ind w:left="0"/>
              <w:rPr>
                <w:rFonts w:ascii="Times New Roman" w:hAnsi="Times New Roman" w:cs="Times New Roman"/>
                <w:b/>
              </w:rPr>
            </w:pPr>
            <w:r>
              <w:rPr>
                <w:rFonts w:ascii="Times New Roman" w:hAnsi="Times New Roman" w:cs="Times New Roman"/>
                <w:b/>
              </w:rPr>
              <w:t>Responses</w:t>
            </w:r>
          </w:p>
        </w:tc>
        <w:tc>
          <w:tcPr>
            <w:tcW w:w="1080" w:type="dxa"/>
          </w:tcPr>
          <w:p w:rsidR="003660A0" w:rsidRPr="00AB44CC" w:rsidRDefault="00CE2785" w:rsidP="00303DA0">
            <w:pPr>
              <w:pStyle w:val="ListParagraph"/>
              <w:ind w:left="0"/>
              <w:rPr>
                <w:rFonts w:ascii="Times New Roman" w:hAnsi="Times New Roman" w:cs="Times New Roman"/>
                <w:b/>
              </w:rPr>
            </w:pPr>
            <w:r>
              <w:rPr>
                <w:rFonts w:ascii="Times New Roman" w:hAnsi="Times New Roman" w:cs="Times New Roman"/>
                <w:b/>
              </w:rPr>
              <w:t>0</w:t>
            </w:r>
            <w:r w:rsidR="004C4110" w:rsidRPr="00AB44CC">
              <w:rPr>
                <w:rFonts w:ascii="Times New Roman" w:hAnsi="Times New Roman" w:cs="Times New Roman"/>
                <w:b/>
              </w:rPr>
              <w:t>.5-10</w:t>
            </w:r>
          </w:p>
        </w:tc>
        <w:tc>
          <w:tcPr>
            <w:tcW w:w="900" w:type="dxa"/>
          </w:tcPr>
          <w:p w:rsidR="003660A0" w:rsidRDefault="005B645D" w:rsidP="00752B72">
            <w:pPr>
              <w:pStyle w:val="ListParagraph"/>
              <w:ind w:left="0"/>
              <w:rPr>
                <w:rFonts w:ascii="Times New Roman" w:hAnsi="Times New Roman" w:cs="Times New Roman"/>
                <w:b/>
              </w:rPr>
            </w:pPr>
            <w:r>
              <w:rPr>
                <w:rFonts w:ascii="Times New Roman" w:hAnsi="Times New Roman" w:cs="Times New Roman"/>
                <w:b/>
              </w:rPr>
              <w:t>278</w:t>
            </w:r>
          </w:p>
          <w:p w:rsidR="00D869B8" w:rsidRPr="00AB44CC" w:rsidRDefault="00D869B8" w:rsidP="00752B72">
            <w:pPr>
              <w:pStyle w:val="ListParagraph"/>
              <w:ind w:left="0"/>
              <w:rPr>
                <w:rFonts w:ascii="Times New Roman" w:hAnsi="Times New Roman" w:cs="Times New Roman"/>
                <w:b/>
              </w:rPr>
            </w:pPr>
            <w:r>
              <w:rPr>
                <w:rFonts w:ascii="Times New Roman" w:hAnsi="Times New Roman" w:cs="Times New Roman"/>
                <w:b/>
              </w:rPr>
              <w:t>Hours</w:t>
            </w:r>
          </w:p>
        </w:tc>
        <w:tc>
          <w:tcPr>
            <w:tcW w:w="1080" w:type="dxa"/>
          </w:tcPr>
          <w:p w:rsidR="003660A0" w:rsidRPr="0095623D" w:rsidRDefault="003660A0" w:rsidP="00303DA0">
            <w:pPr>
              <w:pStyle w:val="ListParagraph"/>
              <w:ind w:left="0"/>
              <w:rPr>
                <w:rFonts w:ascii="Times New Roman" w:hAnsi="Times New Roman" w:cs="Times New Roman"/>
              </w:rPr>
            </w:pPr>
          </w:p>
        </w:tc>
      </w:tr>
    </w:tbl>
    <w:p w:rsidR="00485A16" w:rsidRDefault="000013EF"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A72D51" w:rsidRDefault="00A01F5A" w:rsidP="00A01F5A">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12-a. </w:t>
      </w:r>
      <w:r w:rsidRPr="00C96694">
        <w:rPr>
          <w:rFonts w:ascii="Times New Roman" w:hAnsi="Times New Roman" w:cs="Times New Roman"/>
          <w:i/>
          <w:sz w:val="24"/>
          <w:szCs w:val="24"/>
        </w:rPr>
        <w:t xml:space="preserve">§25.136, Concerning Satellite Stations </w:t>
      </w:r>
      <w:r w:rsidR="00C96694">
        <w:rPr>
          <w:rFonts w:ascii="Times New Roman" w:hAnsi="Times New Roman" w:cs="Times New Roman"/>
          <w:i/>
          <w:sz w:val="24"/>
          <w:szCs w:val="24"/>
        </w:rPr>
        <w:t>–</w:t>
      </w:r>
      <w:r w:rsidRPr="00C96694">
        <w:rPr>
          <w:rFonts w:ascii="Times New Roman" w:hAnsi="Times New Roman" w:cs="Times New Roman"/>
          <w:i/>
          <w:sz w:val="24"/>
          <w:szCs w:val="24"/>
        </w:rPr>
        <w:t xml:space="preserve"> </w:t>
      </w:r>
      <w:r w:rsidR="00C96694">
        <w:rPr>
          <w:rFonts w:ascii="Times New Roman" w:hAnsi="Times New Roman" w:cs="Times New Roman"/>
          <w:i/>
          <w:sz w:val="24"/>
          <w:szCs w:val="24"/>
        </w:rPr>
        <w:t xml:space="preserve">Third Party Disclosure. </w:t>
      </w:r>
      <w:r w:rsidR="00C96694">
        <w:rPr>
          <w:rFonts w:ascii="Times New Roman" w:hAnsi="Times New Roman" w:cs="Times New Roman"/>
          <w:sz w:val="24"/>
          <w:szCs w:val="24"/>
        </w:rPr>
        <w:t>The Commission requires a third party d</w:t>
      </w:r>
      <w:r w:rsidR="00C96694" w:rsidRPr="00C96694">
        <w:rPr>
          <w:rFonts w:ascii="Times New Roman" w:hAnsi="Times New Roman" w:cs="Times New Roman"/>
          <w:sz w:val="24"/>
          <w:szCs w:val="24"/>
        </w:rPr>
        <w:t>isclosure coordination requirement between terrestrial and satellite operators.</w:t>
      </w:r>
      <w:r w:rsidR="00C96694">
        <w:rPr>
          <w:rFonts w:ascii="Times New Roman" w:hAnsi="Times New Roman" w:cs="Times New Roman"/>
          <w:sz w:val="24"/>
          <w:szCs w:val="24"/>
        </w:rPr>
        <w:t xml:space="preserve"> The Commission </w:t>
      </w:r>
      <w:r w:rsidR="00D03605">
        <w:rPr>
          <w:rFonts w:ascii="Times New Roman" w:hAnsi="Times New Roman" w:cs="Times New Roman"/>
          <w:sz w:val="24"/>
          <w:szCs w:val="24"/>
        </w:rPr>
        <w:t>seeks approval for the estimated burden of 0.5 hours for about</w:t>
      </w:r>
      <w:r w:rsidR="00DF38B3">
        <w:rPr>
          <w:rFonts w:ascii="Times New Roman" w:hAnsi="Times New Roman" w:cs="Times New Roman"/>
          <w:sz w:val="24"/>
          <w:szCs w:val="24"/>
        </w:rPr>
        <w:t xml:space="preserve"> </w:t>
      </w:r>
      <w:r w:rsidR="00F67A2B">
        <w:rPr>
          <w:rFonts w:ascii="Times New Roman" w:hAnsi="Times New Roman" w:cs="Times New Roman"/>
          <w:sz w:val="24"/>
          <w:szCs w:val="24"/>
        </w:rPr>
        <w:t>1</w:t>
      </w:r>
      <w:r w:rsidR="00DF38B3">
        <w:rPr>
          <w:rFonts w:ascii="Times New Roman" w:hAnsi="Times New Roman" w:cs="Times New Roman"/>
          <w:sz w:val="24"/>
          <w:szCs w:val="24"/>
        </w:rPr>
        <w:t>00 annual respondents (</w:t>
      </w:r>
      <w:r w:rsidR="00F67A2B">
        <w:rPr>
          <w:rFonts w:ascii="Times New Roman" w:hAnsi="Times New Roman" w:cs="Times New Roman"/>
          <w:sz w:val="24"/>
          <w:szCs w:val="24"/>
        </w:rPr>
        <w:t>5</w:t>
      </w:r>
      <w:r w:rsidR="00C96694">
        <w:rPr>
          <w:rFonts w:ascii="Times New Roman" w:hAnsi="Times New Roman" w:cs="Times New Roman"/>
          <w:sz w:val="24"/>
          <w:szCs w:val="24"/>
        </w:rPr>
        <w:t>0</w:t>
      </w:r>
      <w:r w:rsidR="00D03605">
        <w:rPr>
          <w:rFonts w:ascii="Times New Roman" w:hAnsi="Times New Roman" w:cs="Times New Roman"/>
          <w:sz w:val="24"/>
          <w:szCs w:val="24"/>
        </w:rPr>
        <w:t xml:space="preserve"> are</w:t>
      </w:r>
      <w:r w:rsidR="00C96694">
        <w:rPr>
          <w:rFonts w:ascii="Times New Roman" w:hAnsi="Times New Roman" w:cs="Times New Roman"/>
          <w:sz w:val="24"/>
          <w:szCs w:val="24"/>
        </w:rPr>
        <w:t xml:space="preserve"> satellite applicants and </w:t>
      </w:r>
      <w:r w:rsidR="00F67A2B">
        <w:rPr>
          <w:rFonts w:ascii="Times New Roman" w:hAnsi="Times New Roman" w:cs="Times New Roman"/>
          <w:sz w:val="24"/>
          <w:szCs w:val="24"/>
        </w:rPr>
        <w:t>5</w:t>
      </w:r>
      <w:r w:rsidR="00C96694">
        <w:rPr>
          <w:rFonts w:ascii="Times New Roman" w:hAnsi="Times New Roman" w:cs="Times New Roman"/>
          <w:sz w:val="24"/>
          <w:szCs w:val="24"/>
        </w:rPr>
        <w:t>0</w:t>
      </w:r>
      <w:r w:rsidR="002D0AE8">
        <w:rPr>
          <w:rFonts w:ascii="Times New Roman" w:hAnsi="Times New Roman" w:cs="Times New Roman"/>
          <w:sz w:val="24"/>
          <w:szCs w:val="24"/>
        </w:rPr>
        <w:t xml:space="preserve"> are UMFUS</w:t>
      </w:r>
      <w:r w:rsidR="00D03605">
        <w:rPr>
          <w:rFonts w:ascii="Times New Roman" w:hAnsi="Times New Roman" w:cs="Times New Roman"/>
          <w:sz w:val="24"/>
          <w:szCs w:val="24"/>
        </w:rPr>
        <w:t xml:space="preserve"> licensees</w:t>
      </w:r>
      <w:r w:rsidR="00DF38B3">
        <w:rPr>
          <w:rFonts w:ascii="Times New Roman" w:hAnsi="Times New Roman" w:cs="Times New Roman"/>
          <w:sz w:val="24"/>
          <w:szCs w:val="24"/>
        </w:rPr>
        <w:t>)</w:t>
      </w:r>
      <w:r w:rsidR="00D03605">
        <w:rPr>
          <w:rFonts w:ascii="Times New Roman" w:hAnsi="Times New Roman" w:cs="Times New Roman"/>
          <w:sz w:val="24"/>
          <w:szCs w:val="24"/>
        </w:rPr>
        <w:t xml:space="preserve"> to complete an application</w:t>
      </w:r>
      <w:r w:rsidR="00DF38B3">
        <w:rPr>
          <w:rFonts w:ascii="Times New Roman" w:hAnsi="Times New Roman" w:cs="Times New Roman"/>
          <w:sz w:val="24"/>
          <w:szCs w:val="24"/>
        </w:rPr>
        <w:t>.</w:t>
      </w:r>
      <w:r w:rsidR="005D2C0F">
        <w:rPr>
          <w:rFonts w:ascii="Times New Roman" w:hAnsi="Times New Roman" w:cs="Times New Roman"/>
          <w:sz w:val="24"/>
          <w:szCs w:val="24"/>
        </w:rPr>
        <w:t xml:space="preserve">  </w:t>
      </w:r>
      <w:r w:rsidR="00ED65DD" w:rsidRPr="00ED65DD">
        <w:rPr>
          <w:rFonts w:ascii="Times New Roman" w:hAnsi="Times New Roman" w:cs="Times New Roman"/>
          <w:sz w:val="24"/>
          <w:szCs w:val="24"/>
        </w:rPr>
        <w:t>The Commission estimate</w:t>
      </w:r>
      <w:r w:rsidR="00751168">
        <w:rPr>
          <w:rFonts w:ascii="Times New Roman" w:hAnsi="Times New Roman" w:cs="Times New Roman"/>
          <w:sz w:val="24"/>
          <w:szCs w:val="24"/>
        </w:rPr>
        <w:t>s</w:t>
      </w:r>
      <w:r w:rsidR="00ED65DD" w:rsidRPr="00ED65DD">
        <w:rPr>
          <w:rFonts w:ascii="Times New Roman" w:hAnsi="Times New Roman" w:cs="Times New Roman"/>
          <w:sz w:val="24"/>
          <w:szCs w:val="24"/>
        </w:rPr>
        <w:t xml:space="preserve"> that 75 percent of </w:t>
      </w:r>
      <w:r w:rsidR="00751168">
        <w:rPr>
          <w:rFonts w:ascii="Times New Roman" w:hAnsi="Times New Roman" w:cs="Times New Roman"/>
          <w:sz w:val="24"/>
          <w:szCs w:val="24"/>
        </w:rPr>
        <w:t>coordination</w:t>
      </w:r>
      <w:r w:rsidR="00ED65DD">
        <w:rPr>
          <w:rFonts w:ascii="Times New Roman" w:hAnsi="Times New Roman" w:cs="Times New Roman"/>
          <w:sz w:val="24"/>
          <w:szCs w:val="24"/>
        </w:rPr>
        <w:t xml:space="preserve"> </w:t>
      </w:r>
      <w:r w:rsidR="00ED65DD" w:rsidRPr="00ED65DD">
        <w:rPr>
          <w:rFonts w:ascii="Times New Roman" w:hAnsi="Times New Roman" w:cs="Times New Roman"/>
          <w:sz w:val="24"/>
          <w:szCs w:val="24"/>
        </w:rPr>
        <w:t>will be completed by outside engineers, and 25 percent from in-house engineers.</w:t>
      </w:r>
    </w:p>
    <w:p w:rsidR="00243C15" w:rsidRDefault="00243C15" w:rsidP="00A01F5A">
      <w:pPr>
        <w:pStyle w:val="ListParagraph"/>
        <w:spacing w:after="0" w:line="240" w:lineRule="auto"/>
        <w:ind w:left="0"/>
        <w:rPr>
          <w:rFonts w:ascii="Times New Roman" w:hAnsi="Times New Roman" w:cs="Times New Roman"/>
          <w:b/>
          <w:sz w:val="24"/>
          <w:szCs w:val="24"/>
        </w:rPr>
      </w:pPr>
    </w:p>
    <w:p w:rsidR="00D03605" w:rsidRPr="008A0E22" w:rsidRDefault="00D03605" w:rsidP="00A01F5A">
      <w:pPr>
        <w:pStyle w:val="ListParagraph"/>
        <w:spacing w:after="0" w:line="240" w:lineRule="auto"/>
        <w:ind w:left="0"/>
        <w:rPr>
          <w:rFonts w:ascii="Times New Roman" w:hAnsi="Times New Roman" w:cs="Times New Roman"/>
          <w:b/>
          <w:sz w:val="24"/>
          <w:szCs w:val="24"/>
        </w:rPr>
      </w:pPr>
      <w:r w:rsidRPr="008A0E22">
        <w:rPr>
          <w:rFonts w:ascii="Times New Roman" w:hAnsi="Times New Roman" w:cs="Times New Roman"/>
          <w:b/>
          <w:sz w:val="24"/>
          <w:szCs w:val="24"/>
        </w:rPr>
        <w:lastRenderedPageBreak/>
        <w:t xml:space="preserve">Annual Burden: </w:t>
      </w:r>
      <w:r w:rsidR="00055F58">
        <w:rPr>
          <w:rFonts w:ascii="Times New Roman" w:hAnsi="Times New Roman" w:cs="Times New Roman"/>
          <w:b/>
          <w:sz w:val="24"/>
          <w:szCs w:val="24"/>
        </w:rPr>
        <w:t>25</w:t>
      </w:r>
      <w:r w:rsidRPr="008A0E22">
        <w:rPr>
          <w:rFonts w:ascii="Times New Roman" w:hAnsi="Times New Roman" w:cs="Times New Roman"/>
          <w:b/>
          <w:sz w:val="24"/>
          <w:szCs w:val="24"/>
        </w:rPr>
        <w:t xml:space="preserve"> respondents x 1 response each x 0.5 hours per response = </w:t>
      </w:r>
      <w:r w:rsidR="00303DA0">
        <w:rPr>
          <w:rFonts w:ascii="Times New Roman" w:hAnsi="Times New Roman" w:cs="Times New Roman"/>
          <w:b/>
          <w:sz w:val="24"/>
          <w:szCs w:val="24"/>
        </w:rPr>
        <w:t>13 (</w:t>
      </w:r>
      <w:r w:rsidR="00055F58">
        <w:rPr>
          <w:rFonts w:ascii="Times New Roman" w:hAnsi="Times New Roman" w:cs="Times New Roman"/>
          <w:b/>
          <w:sz w:val="24"/>
          <w:szCs w:val="24"/>
        </w:rPr>
        <w:t>12.5</w:t>
      </w:r>
      <w:r w:rsidRPr="005D2C0F">
        <w:rPr>
          <w:rFonts w:ascii="Times New Roman" w:hAnsi="Times New Roman" w:cs="Times New Roman"/>
          <w:b/>
          <w:sz w:val="24"/>
          <w:szCs w:val="24"/>
        </w:rPr>
        <w:t xml:space="preserve"> </w:t>
      </w:r>
      <w:r w:rsidR="00303DA0">
        <w:rPr>
          <w:rFonts w:ascii="Times New Roman" w:hAnsi="Times New Roman" w:cs="Times New Roman"/>
          <w:b/>
          <w:sz w:val="24"/>
          <w:szCs w:val="24"/>
        </w:rPr>
        <w:t xml:space="preserve">round up) </w:t>
      </w:r>
      <w:r w:rsidRPr="005D2C0F">
        <w:rPr>
          <w:rFonts w:ascii="Times New Roman" w:hAnsi="Times New Roman" w:cs="Times New Roman"/>
          <w:b/>
          <w:sz w:val="24"/>
          <w:szCs w:val="24"/>
        </w:rPr>
        <w:t>hours</w:t>
      </w:r>
      <w:r w:rsidRPr="008A0E22">
        <w:rPr>
          <w:rFonts w:ascii="Times New Roman" w:hAnsi="Times New Roman" w:cs="Times New Roman"/>
          <w:b/>
          <w:sz w:val="24"/>
          <w:szCs w:val="24"/>
        </w:rPr>
        <w:t>.</w:t>
      </w:r>
    </w:p>
    <w:p w:rsidR="00A01F5A" w:rsidRDefault="00A01F5A" w:rsidP="00061F14">
      <w:pPr>
        <w:pStyle w:val="ListParagraph"/>
        <w:spacing w:after="0" w:line="240" w:lineRule="auto"/>
        <w:ind w:left="0"/>
        <w:rPr>
          <w:rFonts w:ascii="Times New Roman" w:hAnsi="Times New Roman" w:cs="Times New Roman"/>
          <w:b/>
          <w:sz w:val="24"/>
          <w:szCs w:val="24"/>
        </w:rPr>
      </w:pPr>
    </w:p>
    <w:p w:rsidR="00ED65DD" w:rsidRDefault="00ED65DD" w:rsidP="00ED65DD">
      <w:pPr>
        <w:pStyle w:val="ListParagraph"/>
        <w:spacing w:after="0" w:line="240" w:lineRule="auto"/>
        <w:ind w:left="0"/>
        <w:rPr>
          <w:rFonts w:ascii="Times New Roman" w:hAnsi="Times New Roman" w:cs="Times New Roman"/>
          <w:b/>
          <w:sz w:val="24"/>
          <w:szCs w:val="24"/>
        </w:rPr>
      </w:pPr>
      <w:r w:rsidRPr="00DA1C99">
        <w:rPr>
          <w:rFonts w:ascii="Times New Roman" w:hAnsi="Times New Roman" w:cs="Times New Roman"/>
          <w:b/>
          <w:sz w:val="24"/>
          <w:szCs w:val="24"/>
        </w:rPr>
        <w:t xml:space="preserve">In-House Staff Cost:  </w:t>
      </w:r>
      <w:r>
        <w:rPr>
          <w:rFonts w:ascii="Times New Roman" w:hAnsi="Times New Roman" w:cs="Times New Roman"/>
          <w:b/>
          <w:sz w:val="24"/>
          <w:szCs w:val="24"/>
        </w:rPr>
        <w:t>(</w:t>
      </w:r>
      <w:r w:rsidR="00243C15">
        <w:rPr>
          <w:rFonts w:ascii="Times New Roman" w:hAnsi="Times New Roman" w:cs="Times New Roman"/>
          <w:b/>
          <w:sz w:val="24"/>
          <w:szCs w:val="24"/>
        </w:rPr>
        <w:t>25</w:t>
      </w:r>
      <w:r w:rsidRPr="00DA1C99">
        <w:rPr>
          <w:rFonts w:ascii="Times New Roman" w:hAnsi="Times New Roman" w:cs="Times New Roman"/>
          <w:b/>
          <w:sz w:val="24"/>
          <w:szCs w:val="24"/>
        </w:rPr>
        <w:t xml:space="preserve"> respondents x 1 response each x </w:t>
      </w:r>
      <w:r w:rsidR="00A72D51">
        <w:rPr>
          <w:rFonts w:ascii="Times New Roman" w:hAnsi="Times New Roman" w:cs="Times New Roman"/>
          <w:b/>
          <w:sz w:val="24"/>
          <w:szCs w:val="24"/>
        </w:rPr>
        <w:t>0</w:t>
      </w:r>
      <w:r>
        <w:rPr>
          <w:rFonts w:ascii="Times New Roman" w:hAnsi="Times New Roman" w:cs="Times New Roman"/>
          <w:b/>
          <w:sz w:val="24"/>
          <w:szCs w:val="24"/>
        </w:rPr>
        <w:t>.5</w:t>
      </w:r>
      <w:r w:rsidRPr="00DA1C99">
        <w:rPr>
          <w:rFonts w:ascii="Times New Roman" w:hAnsi="Times New Roman" w:cs="Times New Roman"/>
          <w:b/>
          <w:sz w:val="24"/>
          <w:szCs w:val="24"/>
        </w:rPr>
        <w:t xml:space="preserve"> hour</w:t>
      </w:r>
      <w:r>
        <w:rPr>
          <w:rFonts w:ascii="Times New Roman" w:hAnsi="Times New Roman" w:cs="Times New Roman"/>
          <w:b/>
          <w:sz w:val="24"/>
          <w:szCs w:val="24"/>
        </w:rPr>
        <w:t>s</w:t>
      </w:r>
      <w:r w:rsidRPr="00DA1C99">
        <w:rPr>
          <w:rFonts w:ascii="Times New Roman" w:hAnsi="Times New Roman" w:cs="Times New Roman"/>
          <w:b/>
          <w:sz w:val="24"/>
          <w:szCs w:val="24"/>
        </w:rPr>
        <w:t xml:space="preserve"> of</w:t>
      </w:r>
      <w:r>
        <w:rPr>
          <w:rFonts w:ascii="Times New Roman" w:hAnsi="Times New Roman" w:cs="Times New Roman"/>
          <w:b/>
          <w:sz w:val="24"/>
          <w:szCs w:val="24"/>
        </w:rPr>
        <w:t xml:space="preserve"> engineer time per response) x $44.24/hour = $</w:t>
      </w:r>
      <w:r w:rsidR="00B23D74">
        <w:rPr>
          <w:rFonts w:ascii="Times New Roman" w:hAnsi="Times New Roman" w:cs="Times New Roman"/>
          <w:b/>
          <w:sz w:val="24"/>
          <w:szCs w:val="24"/>
        </w:rPr>
        <w:t>553</w:t>
      </w:r>
      <w:r>
        <w:rPr>
          <w:rFonts w:ascii="Times New Roman" w:hAnsi="Times New Roman" w:cs="Times New Roman"/>
          <w:b/>
          <w:sz w:val="24"/>
          <w:szCs w:val="24"/>
        </w:rPr>
        <w:t>.</w:t>
      </w:r>
    </w:p>
    <w:p w:rsidR="00ED65DD" w:rsidRDefault="00ED65DD" w:rsidP="00061F14">
      <w:pPr>
        <w:pStyle w:val="ListParagraph"/>
        <w:spacing w:after="0" w:line="240" w:lineRule="auto"/>
        <w:ind w:left="0"/>
        <w:rPr>
          <w:rFonts w:ascii="Times New Roman" w:hAnsi="Times New Roman" w:cs="Times New Roman"/>
          <w:b/>
          <w:sz w:val="24"/>
          <w:szCs w:val="24"/>
        </w:rPr>
      </w:pPr>
    </w:p>
    <w:p w:rsidR="00A01F5A" w:rsidRPr="00D03605" w:rsidRDefault="00A01F5A" w:rsidP="00C96694">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12-b.</w:t>
      </w:r>
      <w:r w:rsidR="00C96694">
        <w:rPr>
          <w:rFonts w:ascii="Times New Roman" w:hAnsi="Times New Roman" w:cs="Times New Roman"/>
          <w:b/>
          <w:sz w:val="24"/>
          <w:szCs w:val="24"/>
        </w:rPr>
        <w:t xml:space="preserve"> </w:t>
      </w:r>
      <w:r w:rsidR="00C96694" w:rsidRPr="00C96694">
        <w:rPr>
          <w:rFonts w:ascii="Times New Roman" w:hAnsi="Times New Roman" w:cs="Times New Roman"/>
          <w:i/>
          <w:sz w:val="24"/>
          <w:szCs w:val="24"/>
        </w:rPr>
        <w:t>§25.136, Concerning Satellite Stations - Filing Requirement</w:t>
      </w:r>
      <w:r w:rsidR="00C96694">
        <w:rPr>
          <w:rFonts w:ascii="Times New Roman" w:hAnsi="Times New Roman" w:cs="Times New Roman"/>
          <w:i/>
          <w:sz w:val="24"/>
          <w:szCs w:val="24"/>
        </w:rPr>
        <w:t>.</w:t>
      </w:r>
      <w:r w:rsidR="00D03605">
        <w:rPr>
          <w:rFonts w:ascii="Times New Roman" w:hAnsi="Times New Roman" w:cs="Times New Roman"/>
          <w:i/>
          <w:sz w:val="24"/>
          <w:szCs w:val="24"/>
        </w:rPr>
        <w:t xml:space="preserve"> </w:t>
      </w:r>
      <w:r w:rsidR="00D03605">
        <w:rPr>
          <w:rFonts w:ascii="Times New Roman" w:hAnsi="Times New Roman" w:cs="Times New Roman"/>
          <w:sz w:val="24"/>
          <w:szCs w:val="24"/>
        </w:rPr>
        <w:t>The Commission requires a filing requirement</w:t>
      </w:r>
      <w:r w:rsidR="006D7032">
        <w:rPr>
          <w:rFonts w:ascii="Times New Roman" w:hAnsi="Times New Roman" w:cs="Times New Roman"/>
          <w:sz w:val="24"/>
          <w:szCs w:val="24"/>
        </w:rPr>
        <w:t xml:space="preserve"> when applicants file for earth stations in the 28 GHz or 37.5-40 GHz bands</w:t>
      </w:r>
      <w:r w:rsidR="00B02FFC">
        <w:rPr>
          <w:rFonts w:ascii="Times New Roman" w:hAnsi="Times New Roman" w:cs="Times New Roman"/>
          <w:sz w:val="24"/>
          <w:szCs w:val="24"/>
        </w:rPr>
        <w:t xml:space="preserve">.  The Commission seeks approval for the estimated burden of 10 hours for each response to complete a filing and about 100 applications per year.  The Commission estimate that 75 percent of applications will be completed by outside engineers, and 25 percent from in-house engineers. </w:t>
      </w:r>
    </w:p>
    <w:p w:rsidR="00A01F5A" w:rsidRDefault="00A01F5A" w:rsidP="00061F14">
      <w:pPr>
        <w:pStyle w:val="ListParagraph"/>
        <w:spacing w:after="0" w:line="240" w:lineRule="auto"/>
        <w:ind w:left="0"/>
        <w:rPr>
          <w:rFonts w:ascii="Times New Roman" w:hAnsi="Times New Roman" w:cs="Times New Roman"/>
          <w:b/>
          <w:sz w:val="24"/>
          <w:szCs w:val="24"/>
        </w:rPr>
      </w:pPr>
    </w:p>
    <w:p w:rsidR="00B02FFC" w:rsidRPr="009A55F0" w:rsidRDefault="00B02FFC" w:rsidP="00061F14">
      <w:pPr>
        <w:pStyle w:val="ListParagraph"/>
        <w:spacing w:after="0" w:line="240" w:lineRule="auto"/>
        <w:ind w:left="0"/>
        <w:rPr>
          <w:rFonts w:ascii="Times New Roman" w:hAnsi="Times New Roman" w:cs="Times New Roman"/>
          <w:b/>
          <w:sz w:val="24"/>
          <w:szCs w:val="24"/>
        </w:rPr>
      </w:pPr>
      <w:r w:rsidRPr="009A55F0">
        <w:rPr>
          <w:rFonts w:ascii="Times New Roman" w:hAnsi="Times New Roman" w:cs="Times New Roman"/>
          <w:b/>
          <w:sz w:val="24"/>
          <w:szCs w:val="24"/>
        </w:rPr>
        <w:t xml:space="preserve">Annual Burden: </w:t>
      </w:r>
      <w:r w:rsidR="00055F58">
        <w:rPr>
          <w:rFonts w:ascii="Times New Roman" w:hAnsi="Times New Roman" w:cs="Times New Roman"/>
          <w:b/>
          <w:sz w:val="24"/>
          <w:szCs w:val="24"/>
        </w:rPr>
        <w:t>25</w:t>
      </w:r>
      <w:r w:rsidRPr="009A55F0">
        <w:rPr>
          <w:rFonts w:ascii="Times New Roman" w:hAnsi="Times New Roman" w:cs="Times New Roman"/>
          <w:b/>
          <w:sz w:val="24"/>
          <w:szCs w:val="24"/>
        </w:rPr>
        <w:t xml:space="preserve"> respondents x 1 response each x 10 hours per response = </w:t>
      </w:r>
      <w:r w:rsidR="00055F58">
        <w:rPr>
          <w:rFonts w:ascii="Times New Roman" w:hAnsi="Times New Roman" w:cs="Times New Roman"/>
          <w:b/>
          <w:sz w:val="24"/>
          <w:szCs w:val="24"/>
        </w:rPr>
        <w:t>250</w:t>
      </w:r>
      <w:r w:rsidRPr="009A55F0">
        <w:rPr>
          <w:rFonts w:ascii="Times New Roman" w:hAnsi="Times New Roman" w:cs="Times New Roman"/>
          <w:b/>
          <w:sz w:val="24"/>
          <w:szCs w:val="24"/>
        </w:rPr>
        <w:t xml:space="preserve"> hours.</w:t>
      </w:r>
    </w:p>
    <w:p w:rsidR="00B02FFC" w:rsidRDefault="00B02FFC" w:rsidP="00061F14">
      <w:pPr>
        <w:pStyle w:val="ListParagraph"/>
        <w:spacing w:after="0" w:line="240" w:lineRule="auto"/>
        <w:ind w:left="0"/>
        <w:rPr>
          <w:rFonts w:ascii="Times New Roman" w:hAnsi="Times New Roman" w:cs="Times New Roman"/>
          <w:b/>
          <w:sz w:val="24"/>
          <w:szCs w:val="24"/>
        </w:rPr>
      </w:pPr>
    </w:p>
    <w:p w:rsidR="00DA1C99" w:rsidRDefault="00DA1C99" w:rsidP="00061F14">
      <w:pPr>
        <w:pStyle w:val="ListParagraph"/>
        <w:spacing w:after="0" w:line="240" w:lineRule="auto"/>
        <w:ind w:left="0"/>
        <w:rPr>
          <w:rFonts w:ascii="Times New Roman" w:hAnsi="Times New Roman" w:cs="Times New Roman"/>
          <w:b/>
          <w:sz w:val="24"/>
          <w:szCs w:val="24"/>
        </w:rPr>
      </w:pPr>
      <w:r w:rsidRPr="00DA1C99">
        <w:rPr>
          <w:rFonts w:ascii="Times New Roman" w:hAnsi="Times New Roman" w:cs="Times New Roman"/>
          <w:b/>
          <w:sz w:val="24"/>
          <w:szCs w:val="24"/>
        </w:rPr>
        <w:t xml:space="preserve">In-House Staff Cost:  </w:t>
      </w:r>
      <w:r>
        <w:rPr>
          <w:rFonts w:ascii="Times New Roman" w:hAnsi="Times New Roman" w:cs="Times New Roman"/>
          <w:b/>
          <w:sz w:val="24"/>
          <w:szCs w:val="24"/>
        </w:rPr>
        <w:t>(</w:t>
      </w:r>
      <w:r w:rsidR="00243C15">
        <w:rPr>
          <w:rFonts w:ascii="Times New Roman" w:hAnsi="Times New Roman" w:cs="Times New Roman"/>
          <w:b/>
          <w:sz w:val="24"/>
          <w:szCs w:val="24"/>
        </w:rPr>
        <w:t>25</w:t>
      </w:r>
      <w:r w:rsidRPr="00DA1C99">
        <w:rPr>
          <w:rFonts w:ascii="Times New Roman" w:hAnsi="Times New Roman" w:cs="Times New Roman"/>
          <w:b/>
          <w:sz w:val="24"/>
          <w:szCs w:val="24"/>
        </w:rPr>
        <w:t xml:space="preserve"> respondents x 1 response each x </w:t>
      </w:r>
      <w:r>
        <w:rPr>
          <w:rFonts w:ascii="Times New Roman" w:hAnsi="Times New Roman" w:cs="Times New Roman"/>
          <w:b/>
          <w:sz w:val="24"/>
          <w:szCs w:val="24"/>
        </w:rPr>
        <w:t>10</w:t>
      </w:r>
      <w:r w:rsidRPr="00DA1C99">
        <w:rPr>
          <w:rFonts w:ascii="Times New Roman" w:hAnsi="Times New Roman" w:cs="Times New Roman"/>
          <w:b/>
          <w:sz w:val="24"/>
          <w:szCs w:val="24"/>
        </w:rPr>
        <w:t xml:space="preserve"> hour of</w:t>
      </w:r>
      <w:r>
        <w:rPr>
          <w:rFonts w:ascii="Times New Roman" w:hAnsi="Times New Roman" w:cs="Times New Roman"/>
          <w:b/>
          <w:sz w:val="24"/>
          <w:szCs w:val="24"/>
        </w:rPr>
        <w:t xml:space="preserve"> engineer time per response) x $44.24/hour = $11,060.</w:t>
      </w:r>
    </w:p>
    <w:p w:rsidR="00DA1C99" w:rsidRDefault="00DA1C99" w:rsidP="00061F14">
      <w:pPr>
        <w:pStyle w:val="ListParagraph"/>
        <w:spacing w:after="0" w:line="240" w:lineRule="auto"/>
        <w:ind w:left="0"/>
        <w:rPr>
          <w:rFonts w:ascii="Times New Roman" w:hAnsi="Times New Roman" w:cs="Times New Roman"/>
          <w:b/>
          <w:sz w:val="24"/>
          <w:szCs w:val="24"/>
        </w:rPr>
      </w:pPr>
    </w:p>
    <w:p w:rsidR="00721189" w:rsidRDefault="00721189" w:rsidP="00061F14">
      <w:pPr>
        <w:pStyle w:val="ListParagraph"/>
        <w:spacing w:after="0" w:line="240" w:lineRule="auto"/>
        <w:ind w:left="0"/>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00A01F5A">
        <w:rPr>
          <w:rFonts w:ascii="Times New Roman" w:hAnsi="Times New Roman" w:cs="Times New Roman"/>
          <w:b/>
          <w:sz w:val="24"/>
          <w:szCs w:val="24"/>
        </w:rPr>
        <w:t>c</w:t>
      </w:r>
      <w:r w:rsidRPr="00EA2D0F">
        <w:rPr>
          <w:rFonts w:ascii="Times New Roman" w:hAnsi="Times New Roman" w:cs="Times New Roman"/>
          <w:b/>
          <w:sz w:val="24"/>
          <w:szCs w:val="24"/>
        </w:rPr>
        <w:t>.</w:t>
      </w:r>
      <w:r>
        <w:rPr>
          <w:rFonts w:ascii="Times New Roman" w:hAnsi="Times New Roman" w:cs="Times New Roman"/>
          <w:sz w:val="24"/>
          <w:szCs w:val="24"/>
        </w:rPr>
        <w:tab/>
      </w:r>
      <w:r w:rsidRPr="00B24A11">
        <w:rPr>
          <w:rFonts w:ascii="Times New Roman" w:hAnsi="Times New Roman" w:cs="Times New Roman"/>
          <w:i/>
          <w:sz w:val="24"/>
          <w:szCs w:val="24"/>
        </w:rPr>
        <w:t xml:space="preserve">Reporting ‒ </w:t>
      </w:r>
      <w:r w:rsidR="00B24A11" w:rsidRPr="00B24A11">
        <w:rPr>
          <w:rFonts w:ascii="Times New Roman" w:hAnsi="Times New Roman" w:cs="Times New Roman"/>
          <w:i/>
          <w:sz w:val="24"/>
          <w:szCs w:val="24"/>
        </w:rPr>
        <w:t xml:space="preserve">Compliance with </w:t>
      </w:r>
      <w:r w:rsidRPr="00B24A11">
        <w:rPr>
          <w:rFonts w:ascii="Times New Roman" w:hAnsi="Times New Roman" w:cs="Times New Roman"/>
          <w:i/>
          <w:sz w:val="24"/>
          <w:szCs w:val="24"/>
        </w:rPr>
        <w:t>§30.3, Eligibility, Foreign ownership reports.</w:t>
      </w:r>
      <w:r>
        <w:rPr>
          <w:rFonts w:ascii="Times New Roman" w:hAnsi="Times New Roman" w:cs="Times New Roman"/>
          <w:sz w:val="24"/>
          <w:szCs w:val="24"/>
        </w:rPr>
        <w:t xml:space="preserve"> </w:t>
      </w:r>
      <w:r w:rsidR="00A33665">
        <w:rPr>
          <w:rFonts w:ascii="Times New Roman" w:hAnsi="Times New Roman" w:cs="Times New Roman"/>
          <w:sz w:val="24"/>
          <w:szCs w:val="24"/>
        </w:rPr>
        <w:t xml:space="preserve">The Commission seeks approval for the estimated </w:t>
      </w:r>
      <w:r w:rsidR="00901AB9">
        <w:rPr>
          <w:rFonts w:ascii="Times New Roman" w:hAnsi="Times New Roman" w:cs="Times New Roman"/>
          <w:sz w:val="24"/>
          <w:szCs w:val="24"/>
        </w:rPr>
        <w:t xml:space="preserve">burden of 0.5 hours to complete a filing and from </w:t>
      </w:r>
      <w:r w:rsidR="0072487B">
        <w:rPr>
          <w:rFonts w:ascii="Times New Roman" w:hAnsi="Times New Roman" w:cs="Times New Roman"/>
          <w:sz w:val="24"/>
          <w:szCs w:val="24"/>
        </w:rPr>
        <w:t>200</w:t>
      </w:r>
      <w:r w:rsidR="00901AB9">
        <w:rPr>
          <w:rFonts w:ascii="Times New Roman" w:hAnsi="Times New Roman" w:cs="Times New Roman"/>
          <w:sz w:val="24"/>
          <w:szCs w:val="24"/>
        </w:rPr>
        <w:t xml:space="preserve"> possible (respondents) licensees maybe </w:t>
      </w:r>
      <w:r w:rsidR="0072487B">
        <w:rPr>
          <w:rFonts w:ascii="Times New Roman" w:hAnsi="Times New Roman" w:cs="Times New Roman"/>
          <w:sz w:val="24"/>
          <w:szCs w:val="24"/>
        </w:rPr>
        <w:t xml:space="preserve">30 </w:t>
      </w:r>
      <w:r w:rsidR="00901AB9">
        <w:rPr>
          <w:rFonts w:ascii="Times New Roman" w:hAnsi="Times New Roman" w:cs="Times New Roman"/>
          <w:sz w:val="24"/>
          <w:szCs w:val="24"/>
        </w:rPr>
        <w:t>respondent</w:t>
      </w:r>
      <w:r w:rsidR="0072487B">
        <w:rPr>
          <w:rFonts w:ascii="Times New Roman" w:hAnsi="Times New Roman" w:cs="Times New Roman"/>
          <w:sz w:val="24"/>
          <w:szCs w:val="24"/>
        </w:rPr>
        <w:t>s</w:t>
      </w:r>
      <w:r w:rsidR="00901AB9">
        <w:rPr>
          <w:rFonts w:ascii="Times New Roman" w:hAnsi="Times New Roman" w:cs="Times New Roman"/>
          <w:sz w:val="24"/>
          <w:szCs w:val="24"/>
        </w:rPr>
        <w:t xml:space="preserve"> will submit a response at least once per year.  </w:t>
      </w:r>
      <w:r w:rsidR="0001630E" w:rsidRPr="00B02FFC">
        <w:rPr>
          <w:rFonts w:ascii="Times New Roman" w:hAnsi="Times New Roman" w:cs="Times New Roman"/>
          <w:sz w:val="24"/>
          <w:szCs w:val="24"/>
        </w:rPr>
        <w:t>The Commission estimates that an in-house attorney paid at an hourly rate of $66.88/hour will make the filing.</w:t>
      </w:r>
    </w:p>
    <w:p w:rsidR="00901AB9" w:rsidRDefault="00901AB9" w:rsidP="00061F14">
      <w:pPr>
        <w:pStyle w:val="ListParagraph"/>
        <w:spacing w:after="0" w:line="240" w:lineRule="auto"/>
        <w:ind w:left="0"/>
        <w:rPr>
          <w:rFonts w:ascii="Times New Roman" w:hAnsi="Times New Roman" w:cs="Times New Roman"/>
          <w:sz w:val="24"/>
          <w:szCs w:val="24"/>
        </w:rPr>
      </w:pPr>
    </w:p>
    <w:p w:rsidR="00901AB9" w:rsidRPr="009A55F0" w:rsidRDefault="00837D88" w:rsidP="00061F14">
      <w:pPr>
        <w:pStyle w:val="ListParagraph"/>
        <w:spacing w:after="0" w:line="240" w:lineRule="auto"/>
        <w:ind w:left="0"/>
        <w:rPr>
          <w:rFonts w:ascii="Times New Roman" w:hAnsi="Times New Roman" w:cs="Times New Roman"/>
          <w:b/>
          <w:sz w:val="24"/>
          <w:szCs w:val="24"/>
        </w:rPr>
      </w:pPr>
      <w:r w:rsidRPr="009A55F0">
        <w:rPr>
          <w:rFonts w:ascii="Times New Roman" w:hAnsi="Times New Roman" w:cs="Times New Roman"/>
          <w:b/>
          <w:sz w:val="24"/>
          <w:szCs w:val="24"/>
        </w:rPr>
        <w:t xml:space="preserve">Annual Burden: </w:t>
      </w:r>
      <w:r w:rsidR="00901AB9" w:rsidRPr="009A55F0">
        <w:rPr>
          <w:rFonts w:ascii="Times New Roman" w:hAnsi="Times New Roman" w:cs="Times New Roman"/>
          <w:b/>
          <w:sz w:val="24"/>
          <w:szCs w:val="24"/>
        </w:rPr>
        <w:t xml:space="preserve">30 respondents x 1 response </w:t>
      </w:r>
      <w:r w:rsidR="00EA2D0F" w:rsidRPr="009A55F0">
        <w:rPr>
          <w:rFonts w:ascii="Times New Roman" w:hAnsi="Times New Roman" w:cs="Times New Roman"/>
          <w:b/>
          <w:sz w:val="24"/>
          <w:szCs w:val="24"/>
        </w:rPr>
        <w:t xml:space="preserve">each </w:t>
      </w:r>
      <w:r w:rsidR="00901AB9" w:rsidRPr="009A55F0">
        <w:rPr>
          <w:rFonts w:ascii="Times New Roman" w:hAnsi="Times New Roman" w:cs="Times New Roman"/>
          <w:b/>
          <w:sz w:val="24"/>
          <w:szCs w:val="24"/>
        </w:rPr>
        <w:t>x 0.5 hours per response = 15 hours</w:t>
      </w:r>
      <w:r w:rsidR="00EA2D0F" w:rsidRPr="009A55F0">
        <w:rPr>
          <w:rFonts w:ascii="Times New Roman" w:hAnsi="Times New Roman" w:cs="Times New Roman"/>
          <w:b/>
          <w:sz w:val="24"/>
          <w:szCs w:val="24"/>
        </w:rPr>
        <w:t>.</w:t>
      </w:r>
    </w:p>
    <w:p w:rsidR="005F6619" w:rsidRDefault="005F6619" w:rsidP="00061F14">
      <w:pPr>
        <w:pStyle w:val="ListParagraph"/>
        <w:spacing w:after="0" w:line="240" w:lineRule="auto"/>
        <w:ind w:left="0"/>
        <w:rPr>
          <w:rFonts w:ascii="Times New Roman" w:hAnsi="Times New Roman" w:cs="Times New Roman"/>
          <w:b/>
          <w:sz w:val="24"/>
          <w:szCs w:val="24"/>
        </w:rPr>
      </w:pPr>
    </w:p>
    <w:p w:rsidR="006725BF" w:rsidRPr="009A55F0" w:rsidRDefault="006725BF" w:rsidP="00061F14">
      <w:pPr>
        <w:pStyle w:val="ListParagraph"/>
        <w:spacing w:after="0" w:line="240" w:lineRule="auto"/>
        <w:ind w:left="0"/>
        <w:rPr>
          <w:rFonts w:ascii="Times New Roman" w:hAnsi="Times New Roman" w:cs="Times New Roman"/>
          <w:b/>
          <w:sz w:val="24"/>
          <w:szCs w:val="24"/>
        </w:rPr>
      </w:pPr>
      <w:r w:rsidRPr="009A55F0">
        <w:rPr>
          <w:rFonts w:ascii="Times New Roman" w:hAnsi="Times New Roman" w:cs="Times New Roman"/>
          <w:b/>
          <w:sz w:val="24"/>
          <w:szCs w:val="24"/>
        </w:rPr>
        <w:t xml:space="preserve">In-House </w:t>
      </w:r>
      <w:r w:rsidR="005F6619" w:rsidRPr="009A55F0">
        <w:rPr>
          <w:rFonts w:ascii="Times New Roman" w:hAnsi="Times New Roman" w:cs="Times New Roman"/>
          <w:b/>
          <w:sz w:val="24"/>
          <w:szCs w:val="24"/>
        </w:rPr>
        <w:t xml:space="preserve">Staff </w:t>
      </w:r>
      <w:r w:rsidRPr="009A55F0">
        <w:rPr>
          <w:rFonts w:ascii="Times New Roman" w:hAnsi="Times New Roman" w:cs="Times New Roman"/>
          <w:b/>
          <w:sz w:val="24"/>
          <w:szCs w:val="24"/>
        </w:rPr>
        <w:t xml:space="preserve">Cost:  </w:t>
      </w:r>
      <w:r w:rsidR="007F6F1D" w:rsidRPr="009A55F0">
        <w:rPr>
          <w:rFonts w:ascii="Times New Roman" w:hAnsi="Times New Roman" w:cs="Times New Roman"/>
          <w:b/>
          <w:sz w:val="24"/>
          <w:szCs w:val="24"/>
        </w:rPr>
        <w:t xml:space="preserve">30 </w:t>
      </w:r>
      <w:r w:rsidRPr="009A55F0">
        <w:rPr>
          <w:rFonts w:ascii="Times New Roman" w:hAnsi="Times New Roman" w:cs="Times New Roman"/>
          <w:b/>
          <w:sz w:val="24"/>
          <w:szCs w:val="24"/>
        </w:rPr>
        <w:t>respondents x 1 respon</w:t>
      </w:r>
      <w:r w:rsidR="005F6619" w:rsidRPr="009A55F0">
        <w:rPr>
          <w:rFonts w:ascii="Times New Roman" w:hAnsi="Times New Roman" w:cs="Times New Roman"/>
          <w:b/>
          <w:sz w:val="24"/>
          <w:szCs w:val="24"/>
        </w:rPr>
        <w:t>se each x</w:t>
      </w:r>
      <w:r w:rsidR="00DF6953" w:rsidRPr="009A55F0">
        <w:rPr>
          <w:rFonts w:ascii="Times New Roman" w:hAnsi="Times New Roman" w:cs="Times New Roman"/>
          <w:b/>
          <w:sz w:val="24"/>
          <w:szCs w:val="24"/>
        </w:rPr>
        <w:t xml:space="preserve"> 0.5 hour</w:t>
      </w:r>
      <w:r w:rsidR="005F6619" w:rsidRPr="009A55F0">
        <w:rPr>
          <w:rFonts w:ascii="Times New Roman" w:hAnsi="Times New Roman" w:cs="Times New Roman"/>
          <w:b/>
          <w:sz w:val="24"/>
          <w:szCs w:val="24"/>
        </w:rPr>
        <w:t xml:space="preserve"> of </w:t>
      </w:r>
      <w:r w:rsidRPr="009A55F0">
        <w:rPr>
          <w:rFonts w:ascii="Times New Roman" w:hAnsi="Times New Roman" w:cs="Times New Roman"/>
          <w:b/>
          <w:sz w:val="24"/>
          <w:szCs w:val="24"/>
        </w:rPr>
        <w:t xml:space="preserve">attorney time per response x </w:t>
      </w:r>
      <w:r w:rsidR="005F6619" w:rsidRPr="009A55F0">
        <w:rPr>
          <w:rFonts w:ascii="Times New Roman" w:hAnsi="Times New Roman" w:cs="Times New Roman"/>
          <w:b/>
          <w:sz w:val="24"/>
          <w:szCs w:val="24"/>
        </w:rPr>
        <w:t>$66.88</w:t>
      </w:r>
      <w:r w:rsidR="00837D88" w:rsidRPr="009A55F0">
        <w:rPr>
          <w:rFonts w:ascii="Times New Roman" w:hAnsi="Times New Roman" w:cs="Times New Roman"/>
          <w:b/>
          <w:sz w:val="24"/>
          <w:szCs w:val="24"/>
        </w:rPr>
        <w:t>/hour =</w:t>
      </w:r>
      <w:r w:rsidR="005F6619" w:rsidRPr="009A55F0">
        <w:rPr>
          <w:rFonts w:ascii="Times New Roman" w:hAnsi="Times New Roman" w:cs="Times New Roman"/>
          <w:b/>
          <w:sz w:val="24"/>
          <w:szCs w:val="24"/>
        </w:rPr>
        <w:t xml:space="preserve"> $</w:t>
      </w:r>
      <w:r w:rsidR="007F6F1D" w:rsidRPr="009A55F0">
        <w:rPr>
          <w:rFonts w:ascii="Times New Roman" w:hAnsi="Times New Roman" w:cs="Times New Roman"/>
          <w:b/>
          <w:sz w:val="24"/>
          <w:szCs w:val="24"/>
        </w:rPr>
        <w:t>1,003.20</w:t>
      </w:r>
      <w:r w:rsidR="00837D88" w:rsidRPr="009A55F0">
        <w:rPr>
          <w:rFonts w:ascii="Times New Roman" w:hAnsi="Times New Roman" w:cs="Times New Roman"/>
          <w:b/>
          <w:sz w:val="24"/>
          <w:szCs w:val="24"/>
        </w:rPr>
        <w:t>.</w:t>
      </w:r>
    </w:p>
    <w:p w:rsidR="00A01F5A" w:rsidRDefault="00A01F5A" w:rsidP="00061F14">
      <w:pPr>
        <w:pStyle w:val="ListParagraph"/>
        <w:spacing w:after="0" w:line="240" w:lineRule="auto"/>
        <w:ind w:left="0"/>
        <w:rPr>
          <w:rFonts w:ascii="Times New Roman" w:hAnsi="Times New Roman" w:cs="Times New Roman"/>
          <w:b/>
          <w:sz w:val="24"/>
          <w:szCs w:val="24"/>
        </w:rPr>
      </w:pPr>
    </w:p>
    <w:p w:rsidR="00DA1C99" w:rsidRDefault="00DA1C99" w:rsidP="00061F14">
      <w:pPr>
        <w:pStyle w:val="ListParagraph"/>
        <w:spacing w:after="0" w:line="240" w:lineRule="auto"/>
        <w:ind w:left="0"/>
        <w:rPr>
          <w:rFonts w:ascii="Times New Roman" w:hAnsi="Times New Roman" w:cs="Times New Roman"/>
          <w:sz w:val="24"/>
          <w:szCs w:val="24"/>
        </w:rPr>
      </w:pPr>
    </w:p>
    <w:p w:rsidR="00F335FA" w:rsidRDefault="00901AB9" w:rsidP="00723344">
      <w:pPr>
        <w:pStyle w:val="ListParagraph"/>
        <w:spacing w:after="0" w:line="240" w:lineRule="auto"/>
        <w:ind w:left="0"/>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005B5FAB">
        <w:rPr>
          <w:rFonts w:ascii="Times New Roman" w:hAnsi="Times New Roman" w:cs="Times New Roman"/>
          <w:b/>
          <w:sz w:val="24"/>
          <w:szCs w:val="24"/>
        </w:rPr>
        <w:t>d</w:t>
      </w:r>
      <w:r w:rsidRPr="00EA2D0F">
        <w:rPr>
          <w:rFonts w:ascii="Times New Roman" w:hAnsi="Times New Roman" w:cs="Times New Roman"/>
          <w:b/>
          <w:sz w:val="24"/>
          <w:szCs w:val="24"/>
        </w:rPr>
        <w:t>.</w:t>
      </w:r>
      <w:r>
        <w:rPr>
          <w:rFonts w:ascii="Times New Roman" w:hAnsi="Times New Roman" w:cs="Times New Roman"/>
          <w:sz w:val="24"/>
          <w:szCs w:val="24"/>
        </w:rPr>
        <w:tab/>
      </w:r>
      <w:r w:rsidR="00723344" w:rsidRPr="00B24A11">
        <w:rPr>
          <w:rFonts w:ascii="Times New Roman" w:hAnsi="Times New Roman" w:cs="Times New Roman"/>
          <w:i/>
          <w:sz w:val="24"/>
          <w:szCs w:val="24"/>
        </w:rPr>
        <w:t xml:space="preserve">Reporting </w:t>
      </w:r>
      <w:r w:rsidR="00B24A11" w:rsidRPr="00B24A11">
        <w:rPr>
          <w:rFonts w:ascii="Times New Roman" w:hAnsi="Times New Roman" w:cs="Times New Roman"/>
          <w:i/>
          <w:sz w:val="24"/>
          <w:szCs w:val="24"/>
        </w:rPr>
        <w:t xml:space="preserve">‒ Compliance with </w:t>
      </w:r>
      <w:r w:rsidR="00723344" w:rsidRPr="00B24A11">
        <w:rPr>
          <w:rFonts w:ascii="Times New Roman" w:hAnsi="Times New Roman" w:cs="Times New Roman"/>
          <w:i/>
          <w:sz w:val="24"/>
          <w:szCs w:val="24"/>
        </w:rPr>
        <w:t>§30.105, Subpart B – Applications and Licenses</w:t>
      </w:r>
      <w:r w:rsidR="005720E6" w:rsidRPr="00B24A11">
        <w:rPr>
          <w:rFonts w:ascii="Times New Roman" w:hAnsi="Times New Roman" w:cs="Times New Roman"/>
          <w:i/>
          <w:sz w:val="24"/>
          <w:szCs w:val="24"/>
        </w:rPr>
        <w:t xml:space="preserve">, </w:t>
      </w:r>
      <w:r w:rsidR="00723344" w:rsidRPr="00B24A11">
        <w:rPr>
          <w:rFonts w:ascii="Times New Roman" w:hAnsi="Times New Roman" w:cs="Times New Roman"/>
          <w:i/>
          <w:sz w:val="24"/>
          <w:szCs w:val="24"/>
        </w:rPr>
        <w:t>Construction requirements</w:t>
      </w:r>
      <w:r w:rsidR="00F335FA" w:rsidRPr="00B24A11">
        <w:rPr>
          <w:rFonts w:ascii="Times New Roman" w:hAnsi="Times New Roman" w:cs="Times New Roman"/>
          <w:i/>
          <w:sz w:val="24"/>
          <w:szCs w:val="24"/>
        </w:rPr>
        <w:t>.</w:t>
      </w:r>
      <w:r w:rsidR="00B24A11">
        <w:rPr>
          <w:rFonts w:ascii="Times New Roman" w:hAnsi="Times New Roman" w:cs="Times New Roman"/>
          <w:sz w:val="24"/>
          <w:szCs w:val="24"/>
        </w:rPr>
        <w:t xml:space="preserve">  </w:t>
      </w:r>
      <w:r w:rsidR="00F335FA">
        <w:rPr>
          <w:rFonts w:ascii="Times New Roman" w:hAnsi="Times New Roman" w:cs="Times New Roman"/>
          <w:sz w:val="24"/>
          <w:szCs w:val="24"/>
        </w:rPr>
        <w:t xml:space="preserve">The Commission requires that </w:t>
      </w:r>
      <w:r w:rsidR="00F335FA" w:rsidRPr="00F335FA">
        <w:rPr>
          <w:rFonts w:ascii="Times New Roman" w:hAnsi="Times New Roman" w:cs="Times New Roman"/>
          <w:sz w:val="24"/>
          <w:szCs w:val="24"/>
        </w:rPr>
        <w:t>UMFUS licensees</w:t>
      </w:r>
      <w:r w:rsidR="00F335FA">
        <w:rPr>
          <w:rFonts w:ascii="Times New Roman" w:hAnsi="Times New Roman" w:cs="Times New Roman"/>
          <w:sz w:val="24"/>
          <w:szCs w:val="24"/>
        </w:rPr>
        <w:t xml:space="preserve"> shall demonstrate compliance with their performance requirements by filing a construction notification with the Commission</w:t>
      </w:r>
      <w:r w:rsidR="00B24A11">
        <w:rPr>
          <w:rFonts w:ascii="Times New Roman" w:hAnsi="Times New Roman" w:cs="Times New Roman"/>
          <w:sz w:val="24"/>
          <w:szCs w:val="24"/>
        </w:rPr>
        <w:t>.  The first renewal period should be</w:t>
      </w:r>
      <w:r w:rsidR="001537C3">
        <w:rPr>
          <w:rFonts w:ascii="Times New Roman" w:hAnsi="Times New Roman" w:cs="Times New Roman"/>
          <w:sz w:val="24"/>
          <w:szCs w:val="24"/>
        </w:rPr>
        <w:t xml:space="preserve"> </w:t>
      </w:r>
      <w:r w:rsidR="00341D88">
        <w:rPr>
          <w:rFonts w:ascii="Times New Roman" w:hAnsi="Times New Roman" w:cs="Times New Roman"/>
          <w:sz w:val="24"/>
          <w:szCs w:val="24"/>
        </w:rPr>
        <w:t xml:space="preserve">10 </w:t>
      </w:r>
      <w:r w:rsidR="00B24A11">
        <w:rPr>
          <w:rFonts w:ascii="Times New Roman" w:hAnsi="Times New Roman" w:cs="Times New Roman"/>
          <w:sz w:val="24"/>
          <w:szCs w:val="24"/>
        </w:rPr>
        <w:t>years</w:t>
      </w:r>
      <w:r w:rsidR="00694707">
        <w:rPr>
          <w:rFonts w:ascii="Times New Roman" w:hAnsi="Times New Roman" w:cs="Times New Roman"/>
          <w:sz w:val="24"/>
          <w:szCs w:val="24"/>
        </w:rPr>
        <w:t xml:space="preserve"> after the i</w:t>
      </w:r>
      <w:r w:rsidR="001537C3">
        <w:rPr>
          <w:rFonts w:ascii="Times New Roman" w:hAnsi="Times New Roman" w:cs="Times New Roman"/>
          <w:sz w:val="24"/>
          <w:szCs w:val="24"/>
        </w:rPr>
        <w:t>nitial license is granted</w:t>
      </w:r>
      <w:r w:rsidR="00E52303">
        <w:rPr>
          <w:rFonts w:ascii="Times New Roman" w:hAnsi="Times New Roman" w:cs="Times New Roman"/>
          <w:sz w:val="24"/>
          <w:szCs w:val="24"/>
        </w:rPr>
        <w:t>, or, for incumbent licensees, May 1, 2024</w:t>
      </w:r>
      <w:r w:rsidR="00694707">
        <w:rPr>
          <w:rFonts w:ascii="Times New Roman" w:hAnsi="Times New Roman" w:cs="Times New Roman"/>
          <w:sz w:val="24"/>
          <w:szCs w:val="24"/>
        </w:rPr>
        <w:t>.  Since the first license renewal application will not be filed until 1</w:t>
      </w:r>
      <w:r w:rsidR="00341D88">
        <w:rPr>
          <w:rFonts w:ascii="Times New Roman" w:hAnsi="Times New Roman" w:cs="Times New Roman"/>
          <w:sz w:val="24"/>
          <w:szCs w:val="24"/>
        </w:rPr>
        <w:t>0</w:t>
      </w:r>
      <w:r w:rsidR="00694707">
        <w:rPr>
          <w:rFonts w:ascii="Times New Roman" w:hAnsi="Times New Roman" w:cs="Times New Roman"/>
          <w:sz w:val="24"/>
          <w:szCs w:val="24"/>
        </w:rPr>
        <w:t xml:space="preserve"> years after the initial license is granted, we do not anticipate burden hours for this collection during the next three-year approval period.</w:t>
      </w:r>
      <w:r w:rsidR="00AC1FE7">
        <w:rPr>
          <w:rFonts w:ascii="Times New Roman" w:hAnsi="Times New Roman" w:cs="Times New Roman"/>
          <w:sz w:val="24"/>
          <w:szCs w:val="24"/>
        </w:rPr>
        <w:t xml:space="preserve">  When a licensees file a construction notification, </w:t>
      </w:r>
      <w:r w:rsidR="00303DA0">
        <w:rPr>
          <w:rFonts w:ascii="Times New Roman" w:hAnsi="Times New Roman" w:cs="Times New Roman"/>
          <w:sz w:val="24"/>
          <w:szCs w:val="24"/>
        </w:rPr>
        <w:t>the Commission</w:t>
      </w:r>
      <w:r w:rsidR="00AC1FE7" w:rsidRPr="003660A0">
        <w:rPr>
          <w:rFonts w:ascii="Times New Roman" w:hAnsi="Times New Roman" w:cs="Times New Roman"/>
          <w:sz w:val="24"/>
          <w:szCs w:val="24"/>
        </w:rPr>
        <w:t xml:space="preserve"> </w:t>
      </w:r>
      <w:r w:rsidR="00AC1FE7" w:rsidRPr="008A7632">
        <w:rPr>
          <w:rFonts w:ascii="Times New Roman" w:hAnsi="Times New Roman" w:cs="Times New Roman"/>
          <w:sz w:val="24"/>
          <w:szCs w:val="24"/>
        </w:rPr>
        <w:t>estimate</w:t>
      </w:r>
      <w:r w:rsidR="00303DA0">
        <w:rPr>
          <w:rFonts w:ascii="Times New Roman" w:hAnsi="Times New Roman" w:cs="Times New Roman"/>
          <w:sz w:val="24"/>
          <w:szCs w:val="24"/>
        </w:rPr>
        <w:t>s</w:t>
      </w:r>
      <w:r w:rsidR="00AC1FE7" w:rsidRPr="008A7632">
        <w:rPr>
          <w:rFonts w:ascii="Times New Roman" w:hAnsi="Times New Roman" w:cs="Times New Roman"/>
          <w:sz w:val="24"/>
          <w:szCs w:val="24"/>
        </w:rPr>
        <w:t xml:space="preserve"> about </w:t>
      </w:r>
      <w:r w:rsidR="00B142C0">
        <w:rPr>
          <w:rFonts w:ascii="Times New Roman" w:hAnsi="Times New Roman" w:cs="Times New Roman"/>
          <w:sz w:val="24"/>
          <w:szCs w:val="24"/>
        </w:rPr>
        <w:t>2</w:t>
      </w:r>
      <w:r w:rsidR="00AC1FE7" w:rsidRPr="008A7632">
        <w:rPr>
          <w:rFonts w:ascii="Times New Roman" w:hAnsi="Times New Roman" w:cs="Times New Roman"/>
          <w:sz w:val="24"/>
          <w:szCs w:val="24"/>
        </w:rPr>
        <w:t xml:space="preserve"> hours per response.</w:t>
      </w:r>
    </w:p>
    <w:p w:rsidR="00694707" w:rsidRDefault="00694707" w:rsidP="00723344">
      <w:pPr>
        <w:pStyle w:val="ListParagraph"/>
        <w:spacing w:after="0" w:line="240" w:lineRule="auto"/>
        <w:ind w:left="0"/>
        <w:rPr>
          <w:rFonts w:ascii="Times New Roman" w:hAnsi="Times New Roman" w:cs="Times New Roman"/>
          <w:sz w:val="24"/>
          <w:szCs w:val="24"/>
        </w:rPr>
      </w:pPr>
    </w:p>
    <w:p w:rsidR="00694707" w:rsidRDefault="00694707" w:rsidP="0072334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AC1FE7">
        <w:rPr>
          <w:rFonts w:ascii="Times New Roman" w:hAnsi="Times New Roman" w:cs="Times New Roman"/>
          <w:b/>
          <w:sz w:val="24"/>
          <w:szCs w:val="24"/>
        </w:rPr>
        <w:t>0 hours</w:t>
      </w:r>
      <w:r>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00723344" w:rsidRDefault="00723344" w:rsidP="002771CE">
      <w:pPr>
        <w:pStyle w:val="ListParagraph"/>
        <w:spacing w:after="0" w:line="240" w:lineRule="auto"/>
        <w:ind w:left="0"/>
        <w:rPr>
          <w:rFonts w:ascii="Times New Roman" w:hAnsi="Times New Roman" w:cs="Times New Roman"/>
          <w:sz w:val="24"/>
          <w:szCs w:val="24"/>
        </w:rPr>
      </w:pPr>
    </w:p>
    <w:p w:rsidR="00FD1CAC" w:rsidRDefault="00723344" w:rsidP="00AC1FE7">
      <w:pPr>
        <w:spacing w:after="0" w:line="240" w:lineRule="auto"/>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005B5FAB">
        <w:rPr>
          <w:rFonts w:ascii="Times New Roman" w:hAnsi="Times New Roman" w:cs="Times New Roman"/>
          <w:b/>
          <w:sz w:val="24"/>
          <w:szCs w:val="24"/>
        </w:rPr>
        <w:t>e</w:t>
      </w:r>
      <w:r w:rsidRPr="00EA2D0F">
        <w:rPr>
          <w:rFonts w:ascii="Times New Roman" w:hAnsi="Times New Roman" w:cs="Times New Roman"/>
          <w:b/>
          <w:sz w:val="24"/>
          <w:szCs w:val="24"/>
        </w:rPr>
        <w:t>.</w:t>
      </w:r>
      <w:r w:rsidR="00FD1CAC" w:rsidRPr="00FD1CAC">
        <w:rPr>
          <w:rFonts w:ascii="Times New Roman" w:hAnsi="Times New Roman" w:cs="Times New Roman"/>
          <w:sz w:val="24"/>
          <w:szCs w:val="24"/>
        </w:rPr>
        <w:tab/>
      </w:r>
      <w:r w:rsidR="00FD1CAC" w:rsidRPr="00B24A11">
        <w:rPr>
          <w:rFonts w:ascii="Times New Roman" w:hAnsi="Times New Roman" w:cs="Times New Roman"/>
          <w:i/>
          <w:sz w:val="24"/>
          <w:szCs w:val="24"/>
        </w:rPr>
        <w:t xml:space="preserve">Reporting ‒ </w:t>
      </w:r>
      <w:r w:rsidR="00B24A11" w:rsidRPr="00B24A11">
        <w:rPr>
          <w:rFonts w:ascii="Times New Roman" w:hAnsi="Times New Roman" w:cs="Times New Roman"/>
          <w:i/>
          <w:sz w:val="24"/>
          <w:szCs w:val="24"/>
        </w:rPr>
        <w:t xml:space="preserve">Compliance with </w:t>
      </w:r>
      <w:r w:rsidR="00FD1CAC" w:rsidRPr="00B24A11">
        <w:rPr>
          <w:rFonts w:ascii="Times New Roman" w:hAnsi="Times New Roman" w:cs="Times New Roman"/>
          <w:i/>
          <w:sz w:val="24"/>
          <w:szCs w:val="24"/>
        </w:rPr>
        <w:t>§30.107, Subpart B – Applications and Licenses</w:t>
      </w:r>
      <w:r w:rsidR="005720E6" w:rsidRPr="00B24A11">
        <w:rPr>
          <w:rFonts w:ascii="Times New Roman" w:hAnsi="Times New Roman" w:cs="Times New Roman"/>
          <w:i/>
          <w:sz w:val="24"/>
          <w:szCs w:val="24"/>
        </w:rPr>
        <w:t xml:space="preserve">, </w:t>
      </w:r>
      <w:r w:rsidR="00FD1CAC" w:rsidRPr="00B24A11">
        <w:rPr>
          <w:rFonts w:ascii="Times New Roman" w:hAnsi="Times New Roman" w:cs="Times New Roman"/>
          <w:i/>
          <w:sz w:val="24"/>
          <w:szCs w:val="24"/>
        </w:rPr>
        <w:t>Discontinuance of Service</w:t>
      </w:r>
      <w:r w:rsidR="00F335FA" w:rsidRPr="00B24A11">
        <w:rPr>
          <w:rFonts w:ascii="Times New Roman" w:hAnsi="Times New Roman" w:cs="Times New Roman"/>
          <w:i/>
          <w:sz w:val="24"/>
          <w:szCs w:val="24"/>
        </w:rPr>
        <w:t>.</w:t>
      </w:r>
      <w:r w:rsidR="00694707">
        <w:rPr>
          <w:rFonts w:ascii="Times New Roman" w:hAnsi="Times New Roman" w:cs="Times New Roman"/>
          <w:sz w:val="24"/>
          <w:szCs w:val="24"/>
        </w:rPr>
        <w:t xml:space="preserve">  </w:t>
      </w:r>
      <w:r w:rsidR="00694707" w:rsidRPr="00694707">
        <w:rPr>
          <w:rFonts w:ascii="Times New Roman" w:hAnsi="Times New Roman" w:cs="Times New Roman"/>
          <w:sz w:val="24"/>
          <w:szCs w:val="24"/>
        </w:rPr>
        <w:t>Upper Microwave Flexible Use Service licensees</w:t>
      </w:r>
      <w:r w:rsidR="00694707">
        <w:rPr>
          <w:rFonts w:ascii="Times New Roman" w:hAnsi="Times New Roman" w:cs="Times New Roman"/>
          <w:sz w:val="24"/>
          <w:szCs w:val="24"/>
        </w:rPr>
        <w:t xml:space="preserve"> must notify the Commission within 10 days of discontinuance if they permanently discontinue service by filing FCC Form 601 or 605 to request license cancellation.  </w:t>
      </w:r>
      <w:r w:rsidR="00AC1FE7" w:rsidRPr="00AC1FE7">
        <w:rPr>
          <w:rFonts w:ascii="Times New Roman" w:hAnsi="Times New Roman" w:cs="Times New Roman"/>
          <w:sz w:val="24"/>
          <w:szCs w:val="24"/>
        </w:rPr>
        <w:t xml:space="preserve">Since the first license renewal application will not be filed until </w:t>
      </w:r>
      <w:r w:rsidR="00A903AD">
        <w:rPr>
          <w:rFonts w:ascii="Times New Roman" w:hAnsi="Times New Roman" w:cs="Times New Roman"/>
          <w:sz w:val="24"/>
          <w:szCs w:val="24"/>
        </w:rPr>
        <w:t>10</w:t>
      </w:r>
      <w:r w:rsidR="00A903AD" w:rsidRPr="00AC1FE7">
        <w:rPr>
          <w:rFonts w:ascii="Times New Roman" w:hAnsi="Times New Roman" w:cs="Times New Roman"/>
          <w:sz w:val="24"/>
          <w:szCs w:val="24"/>
        </w:rPr>
        <w:t xml:space="preserve"> </w:t>
      </w:r>
      <w:r w:rsidR="00AC1FE7" w:rsidRPr="00AC1FE7">
        <w:rPr>
          <w:rFonts w:ascii="Times New Roman" w:hAnsi="Times New Roman" w:cs="Times New Roman"/>
          <w:sz w:val="24"/>
          <w:szCs w:val="24"/>
        </w:rPr>
        <w:t xml:space="preserve">years after the initial license is granted, we do not anticipate burden </w:t>
      </w:r>
      <w:r w:rsidR="00AC1FE7" w:rsidRPr="00AC1FE7">
        <w:rPr>
          <w:rFonts w:ascii="Times New Roman" w:hAnsi="Times New Roman" w:cs="Times New Roman"/>
          <w:sz w:val="24"/>
          <w:szCs w:val="24"/>
        </w:rPr>
        <w:lastRenderedPageBreak/>
        <w:t xml:space="preserve">hours for this collection during the next three-year approval period.  When a licensees file a </w:t>
      </w:r>
      <w:r w:rsidR="00AC1FE7">
        <w:rPr>
          <w:rFonts w:ascii="Times New Roman" w:hAnsi="Times New Roman" w:cs="Times New Roman"/>
          <w:sz w:val="24"/>
          <w:szCs w:val="24"/>
        </w:rPr>
        <w:t>discontinuance of service</w:t>
      </w:r>
      <w:r w:rsidR="00AC1FE7" w:rsidRPr="00AC1FE7">
        <w:rPr>
          <w:rFonts w:ascii="Times New Roman" w:hAnsi="Times New Roman" w:cs="Times New Roman"/>
          <w:sz w:val="24"/>
          <w:szCs w:val="24"/>
        </w:rPr>
        <w:t xml:space="preserve">, </w:t>
      </w:r>
      <w:r w:rsidR="00303DA0">
        <w:rPr>
          <w:rFonts w:ascii="Times New Roman" w:hAnsi="Times New Roman" w:cs="Times New Roman"/>
          <w:sz w:val="24"/>
          <w:szCs w:val="24"/>
        </w:rPr>
        <w:t>the Commission</w:t>
      </w:r>
      <w:r w:rsidR="00AC1FE7" w:rsidRPr="00AC1FE7">
        <w:rPr>
          <w:rFonts w:ascii="Times New Roman" w:hAnsi="Times New Roman" w:cs="Times New Roman"/>
          <w:sz w:val="24"/>
          <w:szCs w:val="24"/>
        </w:rPr>
        <w:t xml:space="preserve"> </w:t>
      </w:r>
      <w:r w:rsidR="00AC1FE7" w:rsidRPr="008A7632">
        <w:rPr>
          <w:rFonts w:ascii="Times New Roman" w:hAnsi="Times New Roman" w:cs="Times New Roman"/>
          <w:sz w:val="24"/>
          <w:szCs w:val="24"/>
        </w:rPr>
        <w:t>estimate</w:t>
      </w:r>
      <w:r w:rsidR="00303DA0">
        <w:rPr>
          <w:rFonts w:ascii="Times New Roman" w:hAnsi="Times New Roman" w:cs="Times New Roman"/>
          <w:sz w:val="24"/>
          <w:szCs w:val="24"/>
        </w:rPr>
        <w:t>s</w:t>
      </w:r>
      <w:r w:rsidR="00AC1FE7" w:rsidRPr="008A7632">
        <w:rPr>
          <w:rFonts w:ascii="Times New Roman" w:hAnsi="Times New Roman" w:cs="Times New Roman"/>
          <w:sz w:val="24"/>
          <w:szCs w:val="24"/>
        </w:rPr>
        <w:t xml:space="preserve"> about </w:t>
      </w:r>
      <w:r w:rsidR="00466DD7">
        <w:rPr>
          <w:rFonts w:ascii="Times New Roman" w:hAnsi="Times New Roman" w:cs="Times New Roman"/>
          <w:sz w:val="24"/>
          <w:szCs w:val="24"/>
        </w:rPr>
        <w:t>.5</w:t>
      </w:r>
      <w:r w:rsidR="003D3A37" w:rsidRPr="008A7632">
        <w:rPr>
          <w:rFonts w:ascii="Times New Roman" w:hAnsi="Times New Roman" w:cs="Times New Roman"/>
          <w:sz w:val="24"/>
          <w:szCs w:val="24"/>
        </w:rPr>
        <w:t xml:space="preserve"> </w:t>
      </w:r>
      <w:r w:rsidR="00AC1FE7" w:rsidRPr="008A7632">
        <w:rPr>
          <w:rFonts w:ascii="Times New Roman" w:hAnsi="Times New Roman" w:cs="Times New Roman"/>
          <w:sz w:val="24"/>
          <w:szCs w:val="24"/>
        </w:rPr>
        <w:t>hours per response.</w:t>
      </w:r>
    </w:p>
    <w:p w:rsidR="00AC1FE7" w:rsidRDefault="00AC1FE7" w:rsidP="00AC1FE7">
      <w:pPr>
        <w:spacing w:after="0" w:line="240" w:lineRule="auto"/>
        <w:rPr>
          <w:rFonts w:ascii="Times New Roman" w:hAnsi="Times New Roman" w:cs="Times New Roman"/>
          <w:sz w:val="24"/>
          <w:szCs w:val="24"/>
        </w:rPr>
      </w:pPr>
    </w:p>
    <w:p w:rsidR="00AC1FE7" w:rsidRDefault="00AC1FE7" w:rsidP="00AC1FE7">
      <w:pPr>
        <w:spacing w:after="0" w:line="240" w:lineRule="auto"/>
        <w:rPr>
          <w:rFonts w:ascii="Times New Roman" w:hAnsi="Times New Roman" w:cs="Times New Roman"/>
          <w:sz w:val="24"/>
          <w:szCs w:val="24"/>
        </w:rPr>
      </w:pPr>
      <w:r w:rsidRPr="00AC1FE7">
        <w:rPr>
          <w:rFonts w:ascii="Times New Roman" w:hAnsi="Times New Roman" w:cs="Times New Roman"/>
          <w:sz w:val="24"/>
          <w:szCs w:val="24"/>
        </w:rPr>
        <w:t xml:space="preserve">= </w:t>
      </w:r>
      <w:r w:rsidRPr="00AC1FE7">
        <w:rPr>
          <w:rFonts w:ascii="Times New Roman" w:hAnsi="Times New Roman" w:cs="Times New Roman"/>
          <w:b/>
          <w:sz w:val="24"/>
          <w:szCs w:val="24"/>
        </w:rPr>
        <w:t>0 hours</w:t>
      </w:r>
      <w:r w:rsidRPr="00AC1FE7">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00D869B8" w:rsidRDefault="00D869B8" w:rsidP="00AC1FE7">
      <w:pPr>
        <w:spacing w:after="0" w:line="240" w:lineRule="auto"/>
        <w:rPr>
          <w:rFonts w:ascii="Times New Roman" w:hAnsi="Times New Roman" w:cs="Times New Roman"/>
          <w:sz w:val="24"/>
          <w:szCs w:val="24"/>
        </w:rPr>
      </w:pPr>
    </w:p>
    <w:p w:rsidR="00D869B8" w:rsidRPr="00C0341B" w:rsidRDefault="00D869B8" w:rsidP="00AC1FE7">
      <w:pPr>
        <w:spacing w:after="0" w:line="240" w:lineRule="auto"/>
        <w:rPr>
          <w:rFonts w:ascii="Times New Roman" w:hAnsi="Times New Roman" w:cs="Times New Roman"/>
          <w:b/>
          <w:sz w:val="24"/>
          <w:szCs w:val="24"/>
        </w:rPr>
      </w:pPr>
      <w:r w:rsidRPr="00C0341B">
        <w:rPr>
          <w:rFonts w:ascii="Times New Roman" w:hAnsi="Times New Roman" w:cs="Times New Roman"/>
          <w:b/>
          <w:sz w:val="24"/>
          <w:szCs w:val="24"/>
        </w:rPr>
        <w:t xml:space="preserve">TOTAL NUMBER OF RESPONDENTS:  100 + 100 + 30 = </w:t>
      </w:r>
      <w:r w:rsidR="005B645D">
        <w:rPr>
          <w:rFonts w:ascii="Times New Roman" w:hAnsi="Times New Roman" w:cs="Times New Roman"/>
          <w:b/>
          <w:sz w:val="24"/>
          <w:szCs w:val="24"/>
        </w:rPr>
        <w:t>230</w:t>
      </w:r>
      <w:r w:rsidRPr="00C0341B">
        <w:rPr>
          <w:rFonts w:ascii="Times New Roman" w:hAnsi="Times New Roman" w:cs="Times New Roman"/>
          <w:b/>
          <w:sz w:val="24"/>
          <w:szCs w:val="24"/>
        </w:rPr>
        <w:t>.</w:t>
      </w:r>
      <w:r w:rsidR="001D5604">
        <w:rPr>
          <w:rStyle w:val="FootnoteReference"/>
          <w:rFonts w:ascii="Times New Roman" w:hAnsi="Times New Roman" w:cs="Times New Roman"/>
          <w:b/>
          <w:sz w:val="24"/>
          <w:szCs w:val="24"/>
        </w:rPr>
        <w:footnoteReference w:id="4"/>
      </w:r>
    </w:p>
    <w:p w:rsidR="00D869B8" w:rsidRPr="00C0341B" w:rsidRDefault="00D869B8" w:rsidP="00AC1FE7">
      <w:pPr>
        <w:spacing w:after="0" w:line="240" w:lineRule="auto"/>
        <w:rPr>
          <w:rFonts w:ascii="Times New Roman" w:hAnsi="Times New Roman" w:cs="Times New Roman"/>
          <w:b/>
          <w:sz w:val="24"/>
          <w:szCs w:val="24"/>
        </w:rPr>
      </w:pPr>
    </w:p>
    <w:p w:rsidR="00D869B8" w:rsidRPr="00C0341B" w:rsidRDefault="00D869B8" w:rsidP="00AC1FE7">
      <w:pPr>
        <w:spacing w:after="0" w:line="240" w:lineRule="auto"/>
        <w:rPr>
          <w:rFonts w:ascii="Times New Roman" w:hAnsi="Times New Roman" w:cs="Times New Roman"/>
          <w:b/>
          <w:sz w:val="24"/>
          <w:szCs w:val="24"/>
        </w:rPr>
      </w:pPr>
      <w:r w:rsidRPr="00C0341B">
        <w:rPr>
          <w:rFonts w:ascii="Times New Roman" w:hAnsi="Times New Roman" w:cs="Times New Roman"/>
          <w:b/>
          <w:sz w:val="24"/>
          <w:szCs w:val="24"/>
        </w:rPr>
        <w:t xml:space="preserve">TOTAL NUMBER OF ANNUAL RESPONSES:  100 + 100 + 30 = </w:t>
      </w:r>
      <w:r w:rsidR="005B645D">
        <w:rPr>
          <w:rFonts w:ascii="Times New Roman" w:hAnsi="Times New Roman" w:cs="Times New Roman"/>
          <w:b/>
          <w:sz w:val="24"/>
          <w:szCs w:val="24"/>
        </w:rPr>
        <w:t>230</w:t>
      </w:r>
      <w:r w:rsidRPr="00C0341B">
        <w:rPr>
          <w:rFonts w:ascii="Times New Roman" w:hAnsi="Times New Roman" w:cs="Times New Roman"/>
          <w:b/>
          <w:sz w:val="24"/>
          <w:szCs w:val="24"/>
        </w:rPr>
        <w:t>.</w:t>
      </w:r>
    </w:p>
    <w:p w:rsidR="00AC1FE7" w:rsidRDefault="00AC1FE7" w:rsidP="00AC1FE7">
      <w:pPr>
        <w:spacing w:after="0" w:line="240" w:lineRule="auto"/>
        <w:rPr>
          <w:rFonts w:ascii="Times New Roman" w:hAnsi="Times New Roman" w:cs="Times New Roman"/>
          <w:sz w:val="24"/>
          <w:szCs w:val="24"/>
        </w:rPr>
      </w:pPr>
    </w:p>
    <w:p w:rsidR="00837D88" w:rsidRPr="00837D88" w:rsidRDefault="00837D88" w:rsidP="00C0341B">
      <w:pPr>
        <w:tabs>
          <w:tab w:val="left" w:pos="7830"/>
        </w:tabs>
        <w:spacing w:after="0" w:line="240" w:lineRule="auto"/>
        <w:rPr>
          <w:rFonts w:ascii="Times New Roman" w:hAnsi="Times New Roman" w:cs="Times New Roman"/>
          <w:b/>
          <w:sz w:val="24"/>
          <w:szCs w:val="24"/>
        </w:rPr>
      </w:pPr>
      <w:r w:rsidRPr="00837D88">
        <w:rPr>
          <w:rFonts w:ascii="Times New Roman" w:hAnsi="Times New Roman" w:cs="Times New Roman"/>
          <w:b/>
          <w:sz w:val="24"/>
          <w:szCs w:val="24"/>
        </w:rPr>
        <w:t xml:space="preserve">TOTAL ANNUAL BURDEN: </w:t>
      </w:r>
      <w:r w:rsidR="00963796">
        <w:rPr>
          <w:rFonts w:ascii="Times New Roman" w:hAnsi="Times New Roman" w:cs="Times New Roman"/>
          <w:b/>
          <w:sz w:val="24"/>
          <w:szCs w:val="24"/>
        </w:rPr>
        <w:t>13</w:t>
      </w:r>
      <w:r w:rsidRPr="00837D88">
        <w:rPr>
          <w:rFonts w:ascii="Times New Roman" w:hAnsi="Times New Roman" w:cs="Times New Roman"/>
          <w:b/>
          <w:sz w:val="24"/>
          <w:szCs w:val="24"/>
        </w:rPr>
        <w:t xml:space="preserve"> + </w:t>
      </w:r>
      <w:r w:rsidR="00963796">
        <w:rPr>
          <w:rFonts w:ascii="Times New Roman" w:hAnsi="Times New Roman" w:cs="Times New Roman"/>
          <w:b/>
          <w:sz w:val="24"/>
          <w:szCs w:val="24"/>
        </w:rPr>
        <w:t>250</w:t>
      </w:r>
      <w:r w:rsidRPr="00837D88">
        <w:rPr>
          <w:rFonts w:ascii="Times New Roman" w:hAnsi="Times New Roman" w:cs="Times New Roman"/>
          <w:b/>
          <w:sz w:val="24"/>
          <w:szCs w:val="24"/>
        </w:rPr>
        <w:t xml:space="preserve"> + </w:t>
      </w:r>
      <w:r w:rsidR="009A55F0">
        <w:rPr>
          <w:rFonts w:ascii="Times New Roman" w:hAnsi="Times New Roman" w:cs="Times New Roman"/>
          <w:b/>
          <w:sz w:val="24"/>
          <w:szCs w:val="24"/>
        </w:rPr>
        <w:t xml:space="preserve">15 + 0 + 0 </w:t>
      </w:r>
      <w:r w:rsidRPr="00837D88">
        <w:rPr>
          <w:rFonts w:ascii="Times New Roman" w:hAnsi="Times New Roman" w:cs="Times New Roman"/>
          <w:b/>
          <w:sz w:val="24"/>
          <w:szCs w:val="24"/>
        </w:rPr>
        <w:t xml:space="preserve">= </w:t>
      </w:r>
      <w:r w:rsidR="005B645D">
        <w:rPr>
          <w:rFonts w:ascii="Times New Roman" w:hAnsi="Times New Roman" w:cs="Times New Roman"/>
          <w:b/>
          <w:sz w:val="24"/>
          <w:szCs w:val="24"/>
        </w:rPr>
        <w:t>278</w:t>
      </w:r>
      <w:r w:rsidR="005B645D" w:rsidRPr="00837D88">
        <w:rPr>
          <w:rFonts w:ascii="Times New Roman" w:hAnsi="Times New Roman" w:cs="Times New Roman"/>
          <w:b/>
          <w:sz w:val="24"/>
          <w:szCs w:val="24"/>
        </w:rPr>
        <w:t xml:space="preserve"> </w:t>
      </w:r>
      <w:r w:rsidRPr="00837D88">
        <w:rPr>
          <w:rFonts w:ascii="Times New Roman" w:hAnsi="Times New Roman" w:cs="Times New Roman"/>
          <w:b/>
          <w:sz w:val="24"/>
          <w:szCs w:val="24"/>
        </w:rPr>
        <w:t>HOUR</w:t>
      </w:r>
      <w:r w:rsidR="00D869B8">
        <w:rPr>
          <w:rFonts w:ascii="Times New Roman" w:hAnsi="Times New Roman" w:cs="Times New Roman"/>
          <w:b/>
          <w:sz w:val="24"/>
          <w:szCs w:val="24"/>
        </w:rPr>
        <w:t>S.</w:t>
      </w:r>
    </w:p>
    <w:p w:rsidR="005F6619" w:rsidRDefault="005F6619" w:rsidP="00EA2D0F">
      <w:pPr>
        <w:spacing w:after="0" w:line="240" w:lineRule="auto"/>
        <w:rPr>
          <w:rFonts w:ascii="Times New Roman" w:hAnsi="Times New Roman" w:cs="Times New Roman"/>
          <w:b/>
          <w:sz w:val="24"/>
          <w:szCs w:val="24"/>
        </w:rPr>
      </w:pPr>
    </w:p>
    <w:p w:rsidR="00837D88" w:rsidRDefault="00837D88" w:rsidP="00EA2D0F">
      <w:pPr>
        <w:spacing w:after="0" w:line="240" w:lineRule="auto"/>
        <w:rPr>
          <w:rFonts w:ascii="Times New Roman" w:hAnsi="Times New Roman" w:cs="Times New Roman"/>
          <w:b/>
          <w:sz w:val="24"/>
          <w:szCs w:val="24"/>
        </w:rPr>
      </w:pPr>
      <w:r w:rsidRPr="00837D88">
        <w:rPr>
          <w:rFonts w:ascii="Times New Roman" w:hAnsi="Times New Roman" w:cs="Times New Roman"/>
          <w:b/>
          <w:sz w:val="24"/>
          <w:szCs w:val="24"/>
        </w:rPr>
        <w:t>IN-HOU</w:t>
      </w:r>
      <w:r w:rsidR="00791977">
        <w:rPr>
          <w:rFonts w:ascii="Times New Roman" w:hAnsi="Times New Roman" w:cs="Times New Roman"/>
          <w:b/>
          <w:sz w:val="24"/>
          <w:szCs w:val="24"/>
        </w:rPr>
        <w:t xml:space="preserve">SE </w:t>
      </w:r>
      <w:r w:rsidR="007B6326">
        <w:rPr>
          <w:rFonts w:ascii="Times New Roman" w:hAnsi="Times New Roman" w:cs="Times New Roman"/>
          <w:b/>
          <w:sz w:val="24"/>
          <w:szCs w:val="24"/>
        </w:rPr>
        <w:t xml:space="preserve">STAFF </w:t>
      </w:r>
      <w:r w:rsidR="00791977">
        <w:rPr>
          <w:rFonts w:ascii="Times New Roman" w:hAnsi="Times New Roman" w:cs="Times New Roman"/>
          <w:b/>
          <w:sz w:val="24"/>
          <w:szCs w:val="24"/>
        </w:rPr>
        <w:t xml:space="preserve">COST: </w:t>
      </w:r>
      <w:r w:rsidR="00B23D74">
        <w:rPr>
          <w:rFonts w:ascii="Times New Roman" w:hAnsi="Times New Roman" w:cs="Times New Roman"/>
          <w:b/>
          <w:sz w:val="24"/>
          <w:szCs w:val="24"/>
        </w:rPr>
        <w:t xml:space="preserve">$553 + </w:t>
      </w:r>
      <w:r w:rsidR="0029309D" w:rsidRPr="0029309D">
        <w:rPr>
          <w:rFonts w:ascii="Times New Roman" w:hAnsi="Times New Roman" w:cs="Times New Roman"/>
          <w:b/>
          <w:sz w:val="24"/>
          <w:szCs w:val="24"/>
        </w:rPr>
        <w:t>$</w:t>
      </w:r>
      <w:r w:rsidR="00602F41">
        <w:rPr>
          <w:rFonts w:ascii="Times New Roman" w:hAnsi="Times New Roman" w:cs="Times New Roman"/>
          <w:b/>
          <w:sz w:val="24"/>
          <w:szCs w:val="24"/>
        </w:rPr>
        <w:t>11,060 + $</w:t>
      </w:r>
      <w:r w:rsidR="0029309D" w:rsidRPr="0029309D">
        <w:rPr>
          <w:rFonts w:ascii="Times New Roman" w:hAnsi="Times New Roman" w:cs="Times New Roman"/>
          <w:b/>
          <w:sz w:val="24"/>
          <w:szCs w:val="24"/>
        </w:rPr>
        <w:t>1,003.20</w:t>
      </w:r>
      <w:r w:rsidR="0029309D">
        <w:rPr>
          <w:rFonts w:ascii="Times New Roman" w:hAnsi="Times New Roman" w:cs="Times New Roman"/>
          <w:b/>
          <w:sz w:val="24"/>
          <w:szCs w:val="24"/>
        </w:rPr>
        <w:t xml:space="preserve"> </w:t>
      </w:r>
      <w:r w:rsidR="00791977">
        <w:rPr>
          <w:rFonts w:ascii="Times New Roman" w:hAnsi="Times New Roman" w:cs="Times New Roman"/>
          <w:b/>
          <w:sz w:val="24"/>
          <w:szCs w:val="24"/>
        </w:rPr>
        <w:t xml:space="preserve">+ 0 + </w:t>
      </w:r>
      <w:r w:rsidR="00602F41">
        <w:rPr>
          <w:rFonts w:ascii="Times New Roman" w:hAnsi="Times New Roman" w:cs="Times New Roman"/>
          <w:b/>
          <w:sz w:val="24"/>
          <w:szCs w:val="24"/>
        </w:rPr>
        <w:t xml:space="preserve">0 </w:t>
      </w:r>
      <w:r w:rsidRPr="00837D88">
        <w:rPr>
          <w:rFonts w:ascii="Times New Roman" w:hAnsi="Times New Roman" w:cs="Times New Roman"/>
          <w:b/>
          <w:sz w:val="24"/>
          <w:szCs w:val="24"/>
        </w:rPr>
        <w:t xml:space="preserve">= </w:t>
      </w:r>
      <w:r w:rsidR="0029309D">
        <w:rPr>
          <w:rFonts w:ascii="Times New Roman" w:hAnsi="Times New Roman" w:cs="Times New Roman"/>
          <w:b/>
          <w:sz w:val="24"/>
          <w:szCs w:val="24"/>
        </w:rPr>
        <w:t>$</w:t>
      </w:r>
      <w:r w:rsidR="005B645D">
        <w:rPr>
          <w:rFonts w:ascii="Times New Roman" w:hAnsi="Times New Roman" w:cs="Times New Roman"/>
          <w:b/>
          <w:sz w:val="24"/>
          <w:szCs w:val="24"/>
        </w:rPr>
        <w:t>12,616 (rt)</w:t>
      </w:r>
      <w:r w:rsidRPr="00837D88">
        <w:rPr>
          <w:rFonts w:ascii="Times New Roman" w:hAnsi="Times New Roman" w:cs="Times New Roman"/>
          <w:b/>
          <w:sz w:val="24"/>
          <w:szCs w:val="24"/>
        </w:rPr>
        <w:t>.</w:t>
      </w:r>
    </w:p>
    <w:p w:rsidR="00837D88" w:rsidRPr="00EA2D0F" w:rsidRDefault="00837D88" w:rsidP="00EA2D0F">
      <w:pPr>
        <w:spacing w:after="0" w:line="240" w:lineRule="auto"/>
        <w:rPr>
          <w:rFonts w:ascii="Times New Roman" w:hAnsi="Times New Roman" w:cs="Times New Roman"/>
          <w:sz w:val="24"/>
          <w:szCs w:val="24"/>
        </w:rPr>
      </w:pPr>
    </w:p>
    <w:p w:rsidR="003D3A37" w:rsidRDefault="00812B71" w:rsidP="00643E8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r w:rsidR="003D3A37">
        <w:rPr>
          <w:rFonts w:ascii="Times New Roman" w:hAnsi="Times New Roman" w:cs="Times New Roman"/>
          <w:sz w:val="24"/>
          <w:szCs w:val="24"/>
        </w:rPr>
        <w:t>3.</w:t>
      </w:r>
      <w:r w:rsidR="003D3A37">
        <w:rPr>
          <w:rFonts w:ascii="Times New Roman" w:hAnsi="Times New Roman" w:cs="Times New Roman"/>
          <w:sz w:val="24"/>
          <w:szCs w:val="24"/>
        </w:rPr>
        <w:tab/>
        <w:t>Annual Cost</w:t>
      </w:r>
      <w:r w:rsidR="00055F58">
        <w:rPr>
          <w:rFonts w:ascii="Times New Roman" w:hAnsi="Times New Roman" w:cs="Times New Roman"/>
          <w:sz w:val="24"/>
          <w:szCs w:val="24"/>
        </w:rPr>
        <w:t xml:space="preserve"> Burden</w:t>
      </w:r>
      <w:r w:rsidR="00243C15">
        <w:rPr>
          <w:rFonts w:ascii="Times New Roman" w:hAnsi="Times New Roman" w:cs="Times New Roman"/>
          <w:sz w:val="24"/>
          <w:szCs w:val="24"/>
        </w:rPr>
        <w:t xml:space="preserve"> - Consultant</w:t>
      </w:r>
      <w:r w:rsidR="003D3A37">
        <w:rPr>
          <w:rFonts w:ascii="Times New Roman" w:hAnsi="Times New Roman" w:cs="Times New Roman"/>
          <w:sz w:val="24"/>
          <w:szCs w:val="24"/>
        </w:rPr>
        <w:t>:  Applicants should not incur outside capital and star</w:t>
      </w:r>
      <w:r w:rsidR="00B23D74">
        <w:rPr>
          <w:rFonts w:ascii="Times New Roman" w:hAnsi="Times New Roman" w:cs="Times New Roman"/>
          <w:sz w:val="24"/>
          <w:szCs w:val="24"/>
        </w:rPr>
        <w:t>t</w:t>
      </w:r>
      <w:r w:rsidR="003D3A37">
        <w:rPr>
          <w:rFonts w:ascii="Times New Roman" w:hAnsi="Times New Roman" w:cs="Times New Roman"/>
          <w:sz w:val="24"/>
          <w:szCs w:val="24"/>
        </w:rPr>
        <w:t>-up costs and/or operation and maintenance of purchase or services in connection with this information collection.</w:t>
      </w:r>
      <w:r w:rsidR="00055F58">
        <w:rPr>
          <w:rFonts w:ascii="Times New Roman" w:hAnsi="Times New Roman" w:cs="Times New Roman"/>
          <w:sz w:val="24"/>
          <w:szCs w:val="24"/>
        </w:rPr>
        <w:t xml:space="preserve"> Ho</w:t>
      </w:r>
      <w:r w:rsidR="00751168">
        <w:rPr>
          <w:rFonts w:ascii="Times New Roman" w:hAnsi="Times New Roman" w:cs="Times New Roman"/>
          <w:sz w:val="24"/>
          <w:szCs w:val="24"/>
        </w:rPr>
        <w:t xml:space="preserve">wever, we assume that 75 percent </w:t>
      </w:r>
      <w:r w:rsidR="00E50D07" w:rsidRPr="00E50D07">
        <w:rPr>
          <w:rFonts w:ascii="Times New Roman" w:hAnsi="Times New Roman" w:cs="Times New Roman"/>
          <w:sz w:val="24"/>
          <w:szCs w:val="24"/>
        </w:rPr>
        <w:t>of the respondents will contract consultants to handle the burden</w:t>
      </w:r>
      <w:r w:rsidR="00751168">
        <w:rPr>
          <w:rFonts w:ascii="Times New Roman" w:hAnsi="Times New Roman" w:cs="Times New Roman"/>
          <w:sz w:val="24"/>
          <w:szCs w:val="24"/>
        </w:rPr>
        <w:t xml:space="preserve"> of reporting; the remaining 25 percent</w:t>
      </w:r>
      <w:r w:rsidR="00E50D07" w:rsidRPr="00E50D07">
        <w:rPr>
          <w:rFonts w:ascii="Times New Roman" w:hAnsi="Times New Roman" w:cs="Times New Roman"/>
          <w:sz w:val="24"/>
          <w:szCs w:val="24"/>
        </w:rPr>
        <w:t xml:space="preserve"> of respondents will employ in-house staff to respond</w:t>
      </w:r>
      <w:r w:rsidR="00243C15">
        <w:rPr>
          <w:rFonts w:ascii="Times New Roman" w:hAnsi="Times New Roman" w:cs="Times New Roman"/>
          <w:sz w:val="24"/>
          <w:szCs w:val="24"/>
        </w:rPr>
        <w:t xml:space="preserve">, see #12, Annual Cost Burden – In-house.  </w:t>
      </w:r>
      <w:r w:rsidR="00303DA0">
        <w:rPr>
          <w:rFonts w:ascii="Times New Roman" w:hAnsi="Times New Roman" w:cs="Times New Roman"/>
          <w:sz w:val="24"/>
          <w:szCs w:val="24"/>
        </w:rPr>
        <w:t>The Commission</w:t>
      </w:r>
      <w:r w:rsidR="009B1741" w:rsidRPr="009B1741">
        <w:rPr>
          <w:rFonts w:ascii="Times New Roman" w:hAnsi="Times New Roman" w:cs="Times New Roman"/>
          <w:sz w:val="24"/>
          <w:szCs w:val="24"/>
        </w:rPr>
        <w:t xml:space="preserve"> assume</w:t>
      </w:r>
      <w:r w:rsidR="00303DA0">
        <w:rPr>
          <w:rFonts w:ascii="Times New Roman" w:hAnsi="Times New Roman" w:cs="Times New Roman"/>
          <w:sz w:val="24"/>
          <w:szCs w:val="24"/>
        </w:rPr>
        <w:t>s</w:t>
      </w:r>
      <w:r w:rsidR="009B1741" w:rsidRPr="009B1741">
        <w:rPr>
          <w:rFonts w:ascii="Times New Roman" w:hAnsi="Times New Roman" w:cs="Times New Roman"/>
          <w:sz w:val="24"/>
          <w:szCs w:val="24"/>
        </w:rPr>
        <w:t xml:space="preserve"> that t</w:t>
      </w:r>
      <w:r w:rsidR="009B1741">
        <w:rPr>
          <w:rFonts w:ascii="Times New Roman" w:hAnsi="Times New Roman" w:cs="Times New Roman"/>
          <w:sz w:val="24"/>
          <w:szCs w:val="24"/>
        </w:rPr>
        <w:t>he respondents will use either consultant attorney ($300/hour) or engineer ($250</w:t>
      </w:r>
      <w:r w:rsidR="009B1741" w:rsidRPr="009B1741">
        <w:rPr>
          <w:rFonts w:ascii="Times New Roman" w:hAnsi="Times New Roman" w:cs="Times New Roman"/>
          <w:sz w:val="24"/>
          <w:szCs w:val="24"/>
        </w:rPr>
        <w:t>/hour) to co</w:t>
      </w:r>
      <w:r w:rsidR="009B1741">
        <w:rPr>
          <w:rFonts w:ascii="Times New Roman" w:hAnsi="Times New Roman" w:cs="Times New Roman"/>
          <w:sz w:val="24"/>
          <w:szCs w:val="24"/>
        </w:rPr>
        <w:t xml:space="preserve">nsult and prepare information. </w:t>
      </w:r>
    </w:p>
    <w:p w:rsidR="00243C15" w:rsidRDefault="00243C15" w:rsidP="00643E86">
      <w:pPr>
        <w:pStyle w:val="ListParagraph"/>
        <w:spacing w:after="0" w:line="240" w:lineRule="auto"/>
        <w:ind w:left="0"/>
        <w:rPr>
          <w:rFonts w:ascii="Times New Roman" w:hAnsi="Times New Roman" w:cs="Times New Roman"/>
          <w:sz w:val="24"/>
          <w:szCs w:val="24"/>
        </w:rPr>
      </w:pPr>
    </w:p>
    <w:p w:rsidR="005527A6" w:rsidRPr="00751168" w:rsidRDefault="005527A6" w:rsidP="00751168">
      <w:pPr>
        <w:spacing w:after="0" w:line="240" w:lineRule="auto"/>
        <w:rPr>
          <w:rFonts w:ascii="Times New Roman" w:hAnsi="Times New Roman" w:cs="Times New Roman"/>
          <w:i/>
          <w:sz w:val="24"/>
          <w:szCs w:val="24"/>
        </w:rPr>
      </w:pPr>
      <w:r w:rsidRPr="00751168">
        <w:rPr>
          <w:rFonts w:ascii="Times New Roman" w:hAnsi="Times New Roman" w:cs="Times New Roman"/>
          <w:i/>
          <w:sz w:val="24"/>
          <w:szCs w:val="24"/>
        </w:rPr>
        <w:t xml:space="preserve">12-a. §25.136, Concerning Satellite Stations – Third Party Disclosure. </w:t>
      </w:r>
    </w:p>
    <w:p w:rsidR="005527A6" w:rsidRPr="005527A6" w:rsidRDefault="005527A6" w:rsidP="005527A6">
      <w:pPr>
        <w:pStyle w:val="ListParagraph"/>
        <w:spacing w:after="0" w:line="240" w:lineRule="auto"/>
        <w:rPr>
          <w:rFonts w:ascii="Times New Roman" w:hAnsi="Times New Roman" w:cs="Times New Roman"/>
          <w:sz w:val="24"/>
          <w:szCs w:val="24"/>
        </w:rPr>
      </w:pPr>
    </w:p>
    <w:p w:rsidR="005527A6" w:rsidRPr="00751168" w:rsidRDefault="005527A6" w:rsidP="00751168">
      <w:pPr>
        <w:spacing w:after="0" w:line="240" w:lineRule="auto"/>
        <w:rPr>
          <w:rFonts w:ascii="Times New Roman" w:hAnsi="Times New Roman" w:cs="Times New Roman"/>
          <w:sz w:val="24"/>
          <w:szCs w:val="24"/>
        </w:rPr>
      </w:pPr>
      <w:r>
        <w:rPr>
          <w:rFonts w:ascii="Times New Roman" w:hAnsi="Times New Roman" w:cs="Times New Roman"/>
          <w:sz w:val="24"/>
          <w:szCs w:val="24"/>
        </w:rPr>
        <w:t>Annual Cost Burden - Consultant:  (75</w:t>
      </w:r>
      <w:r w:rsidRPr="00751168">
        <w:rPr>
          <w:rFonts w:ascii="Times New Roman" w:hAnsi="Times New Roman" w:cs="Times New Roman"/>
          <w:sz w:val="24"/>
          <w:szCs w:val="24"/>
        </w:rPr>
        <w:t xml:space="preserve"> respondents x 1 response each x 0.5 hours of engi</w:t>
      </w:r>
      <w:r>
        <w:rPr>
          <w:rFonts w:ascii="Times New Roman" w:hAnsi="Times New Roman" w:cs="Times New Roman"/>
          <w:sz w:val="24"/>
          <w:szCs w:val="24"/>
        </w:rPr>
        <w:t>neer time per response) x $250/hour = $9,375</w:t>
      </w:r>
      <w:r w:rsidRPr="00751168">
        <w:rPr>
          <w:rFonts w:ascii="Times New Roman" w:hAnsi="Times New Roman" w:cs="Times New Roman"/>
          <w:sz w:val="24"/>
          <w:szCs w:val="24"/>
        </w:rPr>
        <w:t>.</w:t>
      </w:r>
    </w:p>
    <w:p w:rsidR="005527A6" w:rsidRPr="00751168" w:rsidRDefault="005527A6" w:rsidP="005527A6">
      <w:pPr>
        <w:pStyle w:val="ListParagraph"/>
        <w:spacing w:after="0" w:line="240" w:lineRule="auto"/>
        <w:rPr>
          <w:rFonts w:ascii="Times New Roman" w:hAnsi="Times New Roman" w:cs="Times New Roman"/>
          <w:i/>
          <w:sz w:val="24"/>
          <w:szCs w:val="24"/>
        </w:rPr>
      </w:pPr>
    </w:p>
    <w:p w:rsidR="005527A6" w:rsidRPr="00751168" w:rsidRDefault="005527A6" w:rsidP="00751168">
      <w:pPr>
        <w:spacing w:after="0" w:line="240" w:lineRule="auto"/>
        <w:rPr>
          <w:rFonts w:ascii="Times New Roman" w:hAnsi="Times New Roman" w:cs="Times New Roman"/>
          <w:i/>
          <w:sz w:val="24"/>
          <w:szCs w:val="24"/>
        </w:rPr>
      </w:pPr>
      <w:r w:rsidRPr="00751168">
        <w:rPr>
          <w:rFonts w:ascii="Times New Roman" w:hAnsi="Times New Roman" w:cs="Times New Roman"/>
          <w:i/>
          <w:sz w:val="24"/>
          <w:szCs w:val="24"/>
        </w:rPr>
        <w:t xml:space="preserve">12-b. §25.136, Concerning Satellite Stations - Filing Requirement. </w:t>
      </w:r>
    </w:p>
    <w:p w:rsidR="005527A6" w:rsidRPr="005527A6" w:rsidRDefault="005527A6" w:rsidP="005527A6">
      <w:pPr>
        <w:pStyle w:val="ListParagraph"/>
        <w:spacing w:after="0" w:line="240" w:lineRule="auto"/>
        <w:rPr>
          <w:rFonts w:ascii="Times New Roman" w:hAnsi="Times New Roman" w:cs="Times New Roman"/>
          <w:sz w:val="24"/>
          <w:szCs w:val="24"/>
        </w:rPr>
      </w:pPr>
    </w:p>
    <w:p w:rsidR="00E50D07" w:rsidRDefault="005527A6" w:rsidP="005527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Annual Cost Burden – Consultant:  (75 </w:t>
      </w:r>
      <w:r w:rsidRPr="005527A6">
        <w:rPr>
          <w:rFonts w:ascii="Times New Roman" w:hAnsi="Times New Roman" w:cs="Times New Roman"/>
          <w:sz w:val="24"/>
          <w:szCs w:val="24"/>
        </w:rPr>
        <w:t>respondents x 1 response each x 10 hour of engi</w:t>
      </w:r>
      <w:r>
        <w:rPr>
          <w:rFonts w:ascii="Times New Roman" w:hAnsi="Times New Roman" w:cs="Times New Roman"/>
          <w:sz w:val="24"/>
          <w:szCs w:val="24"/>
        </w:rPr>
        <w:t>neer time per response) x $250/hour = $187,500</w:t>
      </w:r>
      <w:r w:rsidRPr="005527A6">
        <w:rPr>
          <w:rFonts w:ascii="Times New Roman" w:hAnsi="Times New Roman" w:cs="Times New Roman"/>
          <w:sz w:val="24"/>
          <w:szCs w:val="24"/>
        </w:rPr>
        <w:t>.</w:t>
      </w:r>
    </w:p>
    <w:p w:rsidR="000E77DF" w:rsidRDefault="000E77DF" w:rsidP="005527A6">
      <w:pPr>
        <w:pStyle w:val="ListParagraph"/>
        <w:spacing w:after="0" w:line="240" w:lineRule="auto"/>
        <w:ind w:left="0"/>
        <w:rPr>
          <w:rFonts w:ascii="Times New Roman" w:hAnsi="Times New Roman" w:cs="Times New Roman"/>
          <w:sz w:val="24"/>
          <w:szCs w:val="24"/>
        </w:rPr>
      </w:pPr>
    </w:p>
    <w:p w:rsidR="005527A6" w:rsidRDefault="005527A6" w:rsidP="005527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12-a. </w:t>
      </w:r>
      <w:r w:rsidRPr="005527A6">
        <w:rPr>
          <w:rFonts w:ascii="Times New Roman" w:hAnsi="Times New Roman" w:cs="Times New Roman"/>
          <w:sz w:val="24"/>
          <w:szCs w:val="24"/>
        </w:rPr>
        <w:t>§25.136</w:t>
      </w:r>
      <w:r w:rsidR="00E279B2">
        <w:rPr>
          <w:rFonts w:ascii="Times New Roman" w:hAnsi="Times New Roman" w:cs="Times New Roman"/>
          <w:sz w:val="24"/>
          <w:szCs w:val="24"/>
        </w:rPr>
        <w:t xml:space="preserve"> </w:t>
      </w:r>
      <w:r>
        <w:rPr>
          <w:rFonts w:ascii="Times New Roman" w:hAnsi="Times New Roman" w:cs="Times New Roman"/>
          <w:sz w:val="24"/>
          <w:szCs w:val="24"/>
        </w:rPr>
        <w:t xml:space="preserve">= </w:t>
      </w:r>
      <w:r w:rsidR="00E279B2">
        <w:rPr>
          <w:rFonts w:ascii="Times New Roman" w:hAnsi="Times New Roman" w:cs="Times New Roman"/>
          <w:sz w:val="24"/>
          <w:szCs w:val="24"/>
        </w:rPr>
        <w:tab/>
      </w:r>
      <w:r w:rsidR="00E279B2">
        <w:rPr>
          <w:rFonts w:ascii="Times New Roman" w:hAnsi="Times New Roman" w:cs="Times New Roman"/>
          <w:sz w:val="24"/>
          <w:szCs w:val="24"/>
        </w:rPr>
        <w:tab/>
      </w:r>
      <w:r w:rsidR="00E279B2">
        <w:rPr>
          <w:rFonts w:ascii="Times New Roman" w:hAnsi="Times New Roman" w:cs="Times New Roman"/>
          <w:sz w:val="24"/>
          <w:szCs w:val="24"/>
        </w:rPr>
        <w:tab/>
      </w:r>
      <w:r w:rsidR="00E279B2">
        <w:rPr>
          <w:rFonts w:ascii="Times New Roman" w:hAnsi="Times New Roman" w:cs="Times New Roman"/>
          <w:sz w:val="24"/>
          <w:szCs w:val="24"/>
        </w:rPr>
        <w:tab/>
      </w:r>
      <w:r>
        <w:rPr>
          <w:rFonts w:ascii="Times New Roman" w:hAnsi="Times New Roman" w:cs="Times New Roman"/>
          <w:sz w:val="24"/>
          <w:szCs w:val="24"/>
        </w:rPr>
        <w:t>$</w:t>
      </w:r>
      <w:r w:rsidR="00E279B2">
        <w:rPr>
          <w:rFonts w:ascii="Times New Roman" w:hAnsi="Times New Roman" w:cs="Times New Roman"/>
          <w:sz w:val="24"/>
          <w:szCs w:val="24"/>
        </w:rPr>
        <w:t xml:space="preserve">    </w:t>
      </w:r>
      <w:r>
        <w:rPr>
          <w:rFonts w:ascii="Times New Roman" w:hAnsi="Times New Roman" w:cs="Times New Roman"/>
          <w:sz w:val="24"/>
          <w:szCs w:val="24"/>
        </w:rPr>
        <w:t>9,375</w:t>
      </w:r>
      <w:r w:rsidR="00E279B2">
        <w:rPr>
          <w:rFonts w:ascii="Times New Roman" w:hAnsi="Times New Roman" w:cs="Times New Roman"/>
          <w:sz w:val="24"/>
          <w:szCs w:val="24"/>
        </w:rPr>
        <w:t>.</w:t>
      </w:r>
    </w:p>
    <w:p w:rsidR="005527A6" w:rsidRDefault="005527A6" w:rsidP="005527A6">
      <w:pPr>
        <w:pStyle w:val="ListParagraph"/>
        <w:spacing w:after="0" w:line="240" w:lineRule="auto"/>
        <w:ind w:left="0"/>
        <w:rPr>
          <w:rFonts w:ascii="Times New Roman" w:hAnsi="Times New Roman" w:cs="Times New Roman"/>
          <w:sz w:val="24"/>
          <w:szCs w:val="24"/>
        </w:rPr>
      </w:pPr>
      <w:r w:rsidRPr="005527A6">
        <w:rPr>
          <w:rFonts w:ascii="Times New Roman" w:hAnsi="Times New Roman" w:cs="Times New Roman"/>
          <w:sz w:val="24"/>
          <w:szCs w:val="24"/>
        </w:rPr>
        <w:t>12-b. §25.136</w:t>
      </w:r>
      <w:r>
        <w:rPr>
          <w:rFonts w:ascii="Times New Roman" w:hAnsi="Times New Roman" w:cs="Times New Roman"/>
          <w:sz w:val="24"/>
          <w:szCs w:val="24"/>
        </w:rPr>
        <w:t xml:space="preserve"> = </w:t>
      </w:r>
      <w:r w:rsidR="00E279B2">
        <w:rPr>
          <w:rFonts w:ascii="Times New Roman" w:hAnsi="Times New Roman" w:cs="Times New Roman"/>
          <w:sz w:val="24"/>
          <w:szCs w:val="24"/>
        </w:rPr>
        <w:tab/>
      </w:r>
      <w:r w:rsidR="00E279B2">
        <w:rPr>
          <w:rFonts w:ascii="Times New Roman" w:hAnsi="Times New Roman" w:cs="Times New Roman"/>
          <w:sz w:val="24"/>
          <w:szCs w:val="24"/>
        </w:rPr>
        <w:tab/>
      </w:r>
      <w:r w:rsidR="00E279B2">
        <w:rPr>
          <w:rFonts w:ascii="Times New Roman" w:hAnsi="Times New Roman" w:cs="Times New Roman"/>
          <w:sz w:val="24"/>
          <w:szCs w:val="24"/>
        </w:rPr>
        <w:tab/>
      </w:r>
      <w:r w:rsidR="00E279B2">
        <w:rPr>
          <w:rFonts w:ascii="Times New Roman" w:hAnsi="Times New Roman" w:cs="Times New Roman"/>
          <w:sz w:val="24"/>
          <w:szCs w:val="24"/>
        </w:rPr>
        <w:tab/>
      </w:r>
      <w:r w:rsidRPr="00751168">
        <w:rPr>
          <w:rFonts w:ascii="Times New Roman" w:hAnsi="Times New Roman" w:cs="Times New Roman"/>
          <w:sz w:val="24"/>
          <w:szCs w:val="24"/>
          <w:u w:val="single"/>
        </w:rPr>
        <w:t>$</w:t>
      </w:r>
      <w:r w:rsidR="00E279B2" w:rsidRPr="00751168">
        <w:rPr>
          <w:rFonts w:ascii="Times New Roman" w:hAnsi="Times New Roman" w:cs="Times New Roman"/>
          <w:sz w:val="24"/>
          <w:szCs w:val="24"/>
          <w:u w:val="single"/>
        </w:rPr>
        <w:t>187,500.</w:t>
      </w:r>
    </w:p>
    <w:p w:rsidR="00E279B2" w:rsidRDefault="00E279B2" w:rsidP="005527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Total Annual Cost Burden – Consultant</w:t>
      </w:r>
      <w:r>
        <w:rPr>
          <w:rFonts w:ascii="Times New Roman" w:hAnsi="Times New Roman" w:cs="Times New Roman"/>
          <w:sz w:val="24"/>
          <w:szCs w:val="24"/>
        </w:rPr>
        <w:tab/>
        <w:t>$196,875.</w:t>
      </w:r>
      <w:r>
        <w:rPr>
          <w:rFonts w:ascii="Times New Roman" w:hAnsi="Times New Roman" w:cs="Times New Roman"/>
          <w:sz w:val="24"/>
          <w:szCs w:val="24"/>
        </w:rPr>
        <w:tab/>
      </w:r>
    </w:p>
    <w:p w:rsidR="00E50D07" w:rsidRDefault="00E50D07" w:rsidP="00643E86">
      <w:pPr>
        <w:pStyle w:val="ListParagraph"/>
        <w:spacing w:after="0" w:line="240" w:lineRule="auto"/>
        <w:ind w:left="0"/>
        <w:rPr>
          <w:rFonts w:ascii="Times New Roman" w:hAnsi="Times New Roman" w:cs="Times New Roman"/>
          <w:sz w:val="24"/>
          <w:szCs w:val="24"/>
        </w:rPr>
      </w:pPr>
    </w:p>
    <w:p w:rsidR="003D3A37" w:rsidRDefault="003D3A37" w:rsidP="00643E86">
      <w:pPr>
        <w:pStyle w:val="ListParagraph"/>
        <w:spacing w:after="0" w:line="240" w:lineRule="auto"/>
        <w:ind w:left="0"/>
        <w:rPr>
          <w:rFonts w:ascii="Times New Roman" w:hAnsi="Times New Roman" w:cs="Times New Roman"/>
          <w:b/>
          <w:sz w:val="24"/>
          <w:szCs w:val="24"/>
        </w:rPr>
      </w:pPr>
      <w:r w:rsidRPr="003D3A37">
        <w:rPr>
          <w:rFonts w:ascii="Times New Roman" w:hAnsi="Times New Roman" w:cs="Times New Roman"/>
          <w:b/>
          <w:sz w:val="24"/>
          <w:szCs w:val="24"/>
        </w:rPr>
        <w:t>TOTAL CAPITAL AND START-UP COSTS and/or OPERATION AND MAINTENANCE (O&amp;M COST</w:t>
      </w:r>
      <w:r w:rsidRPr="0072487B">
        <w:rPr>
          <w:rFonts w:ascii="Times New Roman" w:hAnsi="Times New Roman" w:cs="Times New Roman"/>
          <w:b/>
          <w:sz w:val="24"/>
          <w:szCs w:val="24"/>
        </w:rPr>
        <w:t xml:space="preserve">S):   </w:t>
      </w:r>
      <w:r w:rsidR="009C7472" w:rsidRPr="0072487B">
        <w:rPr>
          <w:rFonts w:ascii="Times New Roman" w:hAnsi="Times New Roman" w:cs="Times New Roman"/>
          <w:b/>
          <w:sz w:val="24"/>
          <w:szCs w:val="24"/>
        </w:rPr>
        <w:t>$196,875</w:t>
      </w:r>
      <w:r w:rsidRPr="0072487B">
        <w:rPr>
          <w:rFonts w:ascii="Times New Roman" w:hAnsi="Times New Roman" w:cs="Times New Roman"/>
          <w:b/>
          <w:sz w:val="24"/>
          <w:szCs w:val="24"/>
        </w:rPr>
        <w:t>.</w:t>
      </w:r>
    </w:p>
    <w:p w:rsidR="006365C9" w:rsidRDefault="006365C9" w:rsidP="00643E86">
      <w:pPr>
        <w:pStyle w:val="ListParagraph"/>
        <w:spacing w:after="0" w:line="240" w:lineRule="auto"/>
        <w:ind w:left="0"/>
        <w:rPr>
          <w:rFonts w:ascii="Times New Roman" w:hAnsi="Times New Roman" w:cs="Times New Roman"/>
          <w:b/>
          <w:sz w:val="24"/>
          <w:szCs w:val="24"/>
        </w:rPr>
      </w:pPr>
    </w:p>
    <w:p w:rsidR="003D3A37" w:rsidRDefault="008C4CF3" w:rsidP="003D3A37">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751168">
        <w:rPr>
          <w:rFonts w:ascii="Times New Roman" w:hAnsi="Times New Roman" w:cs="Times New Roman"/>
          <w:sz w:val="24"/>
          <w:szCs w:val="24"/>
        </w:rPr>
        <w:t>Government Cost</w:t>
      </w:r>
      <w:r w:rsidR="00272321">
        <w:rPr>
          <w:rFonts w:ascii="Times New Roman" w:hAnsi="Times New Roman" w:cs="Times New Roman"/>
          <w:sz w:val="24"/>
          <w:szCs w:val="24"/>
        </w:rPr>
        <w:t xml:space="preserve">: </w:t>
      </w:r>
      <w:r w:rsidR="003D3A37">
        <w:rPr>
          <w:rFonts w:ascii="Times New Roman" w:hAnsi="Times New Roman" w:cs="Times New Roman"/>
          <w:sz w:val="24"/>
          <w:szCs w:val="24"/>
        </w:rPr>
        <w:t xml:space="preserve"> </w:t>
      </w:r>
    </w:p>
    <w:p w:rsidR="006C4595" w:rsidRDefault="006C4595" w:rsidP="003D3A37">
      <w:pPr>
        <w:spacing w:after="0" w:line="240" w:lineRule="auto"/>
        <w:rPr>
          <w:rFonts w:ascii="Times New Roman" w:hAnsi="Times New Roman" w:cs="Times New Roman"/>
          <w:sz w:val="24"/>
          <w:szCs w:val="24"/>
        </w:rPr>
      </w:pPr>
    </w:p>
    <w:p w:rsidR="006C4595" w:rsidRPr="0072487B" w:rsidRDefault="006C4595" w:rsidP="003D3A37">
      <w:pPr>
        <w:spacing w:after="0" w:line="240" w:lineRule="auto"/>
        <w:rPr>
          <w:rFonts w:ascii="Times New Roman" w:hAnsi="Times New Roman" w:cs="Times New Roman"/>
          <w:sz w:val="24"/>
          <w:szCs w:val="24"/>
        </w:rPr>
      </w:pPr>
      <w:r w:rsidRPr="00751168">
        <w:rPr>
          <w:rFonts w:ascii="Times New Roman" w:hAnsi="Times New Roman" w:cs="Times New Roman"/>
          <w:b/>
          <w:sz w:val="24"/>
          <w:szCs w:val="24"/>
        </w:rPr>
        <w:t>14-a</w:t>
      </w:r>
      <w:r w:rsidR="0097773B">
        <w:rPr>
          <w:rFonts w:ascii="Times New Roman" w:hAnsi="Times New Roman" w:cs="Times New Roman"/>
          <w:b/>
          <w:sz w:val="24"/>
          <w:szCs w:val="24"/>
        </w:rPr>
        <w:t>-</w:t>
      </w:r>
      <w:r w:rsidRPr="00751168">
        <w:rPr>
          <w:rFonts w:ascii="Times New Roman" w:hAnsi="Times New Roman" w:cs="Times New Roman"/>
          <w:b/>
          <w:sz w:val="24"/>
          <w:szCs w:val="24"/>
        </w:rPr>
        <w:t>b.</w:t>
      </w:r>
      <w:r>
        <w:rPr>
          <w:rFonts w:ascii="Times New Roman" w:hAnsi="Times New Roman" w:cs="Times New Roman"/>
          <w:sz w:val="24"/>
          <w:szCs w:val="24"/>
        </w:rPr>
        <w:t xml:space="preserve">  </w:t>
      </w:r>
      <w:r w:rsidRPr="00751168">
        <w:rPr>
          <w:rFonts w:ascii="Times New Roman" w:hAnsi="Times New Roman" w:cs="Times New Roman"/>
          <w:i/>
          <w:sz w:val="24"/>
          <w:szCs w:val="24"/>
        </w:rPr>
        <w:t>Compliance with §25.136, Concerning Satellite Stations</w:t>
      </w:r>
      <w:r>
        <w:rPr>
          <w:rFonts w:ascii="Times New Roman" w:hAnsi="Times New Roman" w:cs="Times New Roman"/>
          <w:i/>
          <w:sz w:val="24"/>
          <w:szCs w:val="24"/>
        </w:rPr>
        <w:t xml:space="preserve">. </w:t>
      </w:r>
      <w:r w:rsidR="00DE2264" w:rsidRPr="00751168">
        <w:rPr>
          <w:rFonts w:ascii="Times New Roman" w:hAnsi="Times New Roman" w:cs="Times New Roman"/>
          <w:sz w:val="24"/>
          <w:szCs w:val="24"/>
        </w:rPr>
        <w:t>The licensees are required to file an a</w:t>
      </w:r>
      <w:r w:rsidR="00DE2264" w:rsidRPr="0072487B">
        <w:rPr>
          <w:rFonts w:ascii="Times New Roman" w:hAnsi="Times New Roman" w:cs="Times New Roman"/>
          <w:sz w:val="24"/>
          <w:szCs w:val="24"/>
        </w:rPr>
        <w:t>pplication, however, the</w:t>
      </w:r>
      <w:r w:rsidR="007D7A8F" w:rsidRPr="0072487B">
        <w:rPr>
          <w:rFonts w:ascii="Times New Roman" w:hAnsi="Times New Roman" w:cs="Times New Roman"/>
          <w:sz w:val="24"/>
          <w:szCs w:val="24"/>
        </w:rPr>
        <w:t xml:space="preserve"> </w:t>
      </w:r>
      <w:r w:rsidR="002F0498" w:rsidRPr="0072487B">
        <w:rPr>
          <w:rFonts w:ascii="Times New Roman" w:hAnsi="Times New Roman" w:cs="Times New Roman"/>
          <w:sz w:val="24"/>
          <w:szCs w:val="24"/>
        </w:rPr>
        <w:t xml:space="preserve">actual approval under the PRA for the application and the filing of it with the Commission is </w:t>
      </w:r>
      <w:r w:rsidR="007D7A8F" w:rsidRPr="0072487B">
        <w:rPr>
          <w:rFonts w:ascii="Times New Roman" w:hAnsi="Times New Roman" w:cs="Times New Roman"/>
          <w:sz w:val="24"/>
          <w:szCs w:val="24"/>
        </w:rPr>
        <w:t>approv</w:t>
      </w:r>
      <w:r w:rsidR="002F0498" w:rsidRPr="0072487B">
        <w:rPr>
          <w:rFonts w:ascii="Times New Roman" w:hAnsi="Times New Roman" w:cs="Times New Roman"/>
          <w:sz w:val="24"/>
          <w:szCs w:val="24"/>
        </w:rPr>
        <w:t>ed</w:t>
      </w:r>
      <w:r w:rsidR="007D7A8F" w:rsidRPr="0072487B">
        <w:rPr>
          <w:rFonts w:ascii="Times New Roman" w:hAnsi="Times New Roman" w:cs="Times New Roman"/>
          <w:sz w:val="24"/>
          <w:szCs w:val="24"/>
        </w:rPr>
        <w:t xml:space="preserve"> </w:t>
      </w:r>
      <w:r w:rsidR="002F0498" w:rsidRPr="0072487B">
        <w:rPr>
          <w:rFonts w:ascii="Times New Roman" w:hAnsi="Times New Roman" w:cs="Times New Roman"/>
          <w:sz w:val="24"/>
          <w:szCs w:val="24"/>
        </w:rPr>
        <w:t xml:space="preserve">under OMB </w:t>
      </w:r>
      <w:r w:rsidR="007D7A8F" w:rsidRPr="0072487B">
        <w:rPr>
          <w:rFonts w:ascii="Times New Roman" w:hAnsi="Times New Roman" w:cs="Times New Roman"/>
          <w:sz w:val="24"/>
          <w:szCs w:val="24"/>
        </w:rPr>
        <w:t>number 3060-0738 (</w:t>
      </w:r>
      <w:hyperlink r:id="rId8" w:history="1">
        <w:r w:rsidR="007D7A8F" w:rsidRPr="0072487B">
          <w:rPr>
            <w:rStyle w:val="Hyperlink"/>
            <w:rFonts w:ascii="Times New Roman" w:hAnsi="Times New Roman" w:cs="Times New Roman"/>
            <w:color w:val="auto"/>
            <w:sz w:val="24"/>
            <w:szCs w:val="24"/>
          </w:rPr>
          <w:t xml:space="preserve">Part 25 of the Federal </w:t>
        </w:r>
        <w:r w:rsidR="007D7A8F" w:rsidRPr="0072487B">
          <w:rPr>
            <w:rStyle w:val="Hyperlink"/>
            <w:rFonts w:ascii="Times New Roman" w:hAnsi="Times New Roman" w:cs="Times New Roman"/>
            <w:color w:val="auto"/>
            <w:sz w:val="24"/>
            <w:szCs w:val="24"/>
          </w:rPr>
          <w:lastRenderedPageBreak/>
          <w:t>Communications Commission's Rules Governing the Licensing of, and Spectrum Usage By, Commercial Earth Stations and Space Stations)</w:t>
        </w:r>
      </w:hyperlink>
      <w:r w:rsidR="000E77DF" w:rsidRPr="0072487B">
        <w:rPr>
          <w:rFonts w:ascii="Times New Roman" w:hAnsi="Times New Roman" w:cs="Times New Roman"/>
          <w:sz w:val="24"/>
          <w:szCs w:val="24"/>
        </w:rPr>
        <w:t>.</w:t>
      </w:r>
    </w:p>
    <w:p w:rsidR="006C4595" w:rsidRDefault="006C4595" w:rsidP="003D3A37">
      <w:pPr>
        <w:spacing w:after="0" w:line="240" w:lineRule="auto"/>
        <w:rPr>
          <w:rFonts w:ascii="Times New Roman" w:hAnsi="Times New Roman" w:cs="Times New Roman"/>
          <w:i/>
          <w:sz w:val="24"/>
          <w:szCs w:val="24"/>
        </w:rPr>
      </w:pPr>
    </w:p>
    <w:p w:rsidR="006C4595" w:rsidRPr="00751168" w:rsidRDefault="006C4595" w:rsidP="003D3A37">
      <w:pPr>
        <w:spacing w:after="0" w:line="240" w:lineRule="auto"/>
        <w:rPr>
          <w:rFonts w:ascii="Times New Roman" w:hAnsi="Times New Roman" w:cs="Times New Roman"/>
          <w:b/>
          <w:sz w:val="24"/>
          <w:szCs w:val="24"/>
        </w:rPr>
      </w:pPr>
      <w:r w:rsidRPr="00DE2264">
        <w:rPr>
          <w:rFonts w:ascii="Times New Roman" w:hAnsi="Times New Roman" w:cs="Times New Roman"/>
          <w:sz w:val="24"/>
          <w:szCs w:val="24"/>
        </w:rPr>
        <w:t>Annual Cost:</w:t>
      </w:r>
      <w:r w:rsidRPr="00751168">
        <w:rPr>
          <w:rFonts w:ascii="Times New Roman" w:hAnsi="Times New Roman" w:cs="Times New Roman"/>
          <w:b/>
          <w:sz w:val="24"/>
          <w:szCs w:val="24"/>
        </w:rPr>
        <w:t xml:space="preserve">  $</w:t>
      </w:r>
      <w:r w:rsidR="00DE2264">
        <w:rPr>
          <w:rFonts w:ascii="Times New Roman" w:hAnsi="Times New Roman" w:cs="Times New Roman"/>
          <w:b/>
          <w:sz w:val="24"/>
          <w:szCs w:val="24"/>
        </w:rPr>
        <w:t>0</w:t>
      </w:r>
    </w:p>
    <w:p w:rsidR="00466DD7" w:rsidRPr="003D3A37" w:rsidRDefault="00466DD7" w:rsidP="003D3A37">
      <w:pPr>
        <w:spacing w:after="0" w:line="240" w:lineRule="auto"/>
        <w:rPr>
          <w:rFonts w:ascii="Times New Roman" w:hAnsi="Times New Roman" w:cs="Times New Roman"/>
          <w:sz w:val="24"/>
          <w:szCs w:val="24"/>
        </w:rPr>
      </w:pPr>
    </w:p>
    <w:p w:rsidR="00272321" w:rsidRDefault="00354FD2" w:rsidP="008C4CF3">
      <w:pPr>
        <w:spacing w:after="0" w:line="240" w:lineRule="auto"/>
        <w:rPr>
          <w:rFonts w:ascii="Times New Roman" w:hAnsi="Times New Roman" w:cs="Times New Roman"/>
          <w:sz w:val="24"/>
          <w:szCs w:val="24"/>
        </w:rPr>
      </w:pPr>
      <w:r w:rsidRPr="007B3787">
        <w:rPr>
          <w:rFonts w:ascii="Times New Roman" w:hAnsi="Times New Roman" w:cs="Times New Roman"/>
          <w:b/>
          <w:sz w:val="24"/>
          <w:szCs w:val="24"/>
        </w:rPr>
        <w:t>14</w:t>
      </w:r>
      <w:r w:rsidR="003D3A37" w:rsidRPr="007B3787">
        <w:rPr>
          <w:rFonts w:ascii="Times New Roman" w:hAnsi="Times New Roman" w:cs="Times New Roman"/>
          <w:b/>
          <w:sz w:val="24"/>
          <w:szCs w:val="24"/>
        </w:rPr>
        <w:t>-</w:t>
      </w:r>
      <w:r w:rsidR="00A21DB1">
        <w:rPr>
          <w:rFonts w:ascii="Times New Roman" w:hAnsi="Times New Roman" w:cs="Times New Roman"/>
          <w:b/>
          <w:sz w:val="24"/>
          <w:szCs w:val="24"/>
        </w:rPr>
        <w:t>c</w:t>
      </w:r>
      <w:r w:rsidRPr="007B3787">
        <w:rPr>
          <w:rFonts w:ascii="Times New Roman" w:hAnsi="Times New Roman" w:cs="Times New Roman"/>
          <w:b/>
          <w:sz w:val="24"/>
          <w:szCs w:val="24"/>
        </w:rPr>
        <w:t>.</w:t>
      </w:r>
      <w:r>
        <w:rPr>
          <w:rFonts w:ascii="Times New Roman" w:hAnsi="Times New Roman" w:cs="Times New Roman"/>
          <w:sz w:val="24"/>
          <w:szCs w:val="24"/>
        </w:rPr>
        <w:tab/>
      </w:r>
      <w:r w:rsidR="007B3787" w:rsidRPr="007B3787">
        <w:rPr>
          <w:rFonts w:ascii="Times New Roman" w:hAnsi="Times New Roman" w:cs="Times New Roman"/>
          <w:i/>
          <w:sz w:val="24"/>
          <w:szCs w:val="24"/>
        </w:rPr>
        <w:t xml:space="preserve">Compliance with </w:t>
      </w:r>
      <w:r w:rsidR="00E52303">
        <w:rPr>
          <w:rFonts w:ascii="Times New Roman" w:hAnsi="Times New Roman" w:cs="Times New Roman"/>
          <w:i/>
          <w:sz w:val="24"/>
          <w:szCs w:val="24"/>
        </w:rPr>
        <w:t xml:space="preserve">Foreign Ownership Requirements </w:t>
      </w:r>
      <w:r w:rsidR="007B3787" w:rsidRPr="007B3787">
        <w:rPr>
          <w:rFonts w:ascii="Times New Roman" w:hAnsi="Times New Roman" w:cs="Times New Roman"/>
          <w:i/>
          <w:sz w:val="24"/>
          <w:szCs w:val="24"/>
        </w:rPr>
        <w:t xml:space="preserve">pursuant to </w:t>
      </w:r>
      <w:r w:rsidR="00473C11" w:rsidRPr="007B3787">
        <w:rPr>
          <w:rFonts w:ascii="Times New Roman" w:hAnsi="Times New Roman" w:cs="Times New Roman"/>
          <w:i/>
          <w:sz w:val="24"/>
          <w:szCs w:val="24"/>
        </w:rPr>
        <w:t>§30.3 – Edibility,</w:t>
      </w:r>
      <w:r w:rsidRPr="007B3787">
        <w:rPr>
          <w:rFonts w:ascii="Times New Roman" w:hAnsi="Times New Roman" w:cs="Times New Roman"/>
          <w:i/>
          <w:sz w:val="24"/>
          <w:szCs w:val="24"/>
        </w:rPr>
        <w:t xml:space="preserve"> Foreign ownership reports</w:t>
      </w:r>
      <w:r w:rsidR="00473C11" w:rsidRPr="007B3787">
        <w:rPr>
          <w:rFonts w:ascii="Times New Roman" w:hAnsi="Times New Roman" w:cs="Times New Roman"/>
          <w:i/>
          <w:sz w:val="24"/>
          <w:szCs w:val="24"/>
        </w:rPr>
        <w:t>.</w:t>
      </w:r>
      <w:r w:rsidR="00473C11">
        <w:rPr>
          <w:rFonts w:ascii="Times New Roman" w:hAnsi="Times New Roman" w:cs="Times New Roman"/>
          <w:sz w:val="24"/>
          <w:szCs w:val="24"/>
        </w:rPr>
        <w:t xml:space="preserve"> </w:t>
      </w:r>
      <w:r w:rsidR="003F0049">
        <w:rPr>
          <w:rFonts w:ascii="Times New Roman" w:hAnsi="Times New Roman" w:cs="Times New Roman"/>
          <w:sz w:val="24"/>
          <w:szCs w:val="24"/>
        </w:rPr>
        <w:t xml:space="preserve"> The Commission will use a reviewer at the rate of $</w:t>
      </w:r>
      <w:r w:rsidR="0013769D">
        <w:rPr>
          <w:rFonts w:ascii="Times New Roman" w:hAnsi="Times New Roman" w:cs="Times New Roman"/>
          <w:sz w:val="24"/>
          <w:szCs w:val="24"/>
        </w:rPr>
        <w:t>23.72</w:t>
      </w:r>
      <w:r w:rsidR="003F0049">
        <w:rPr>
          <w:rFonts w:ascii="Times New Roman" w:hAnsi="Times New Roman" w:cs="Times New Roman"/>
          <w:sz w:val="24"/>
          <w:szCs w:val="24"/>
        </w:rPr>
        <w:t>per hour, and the rev</w:t>
      </w:r>
      <w:r w:rsidR="00122BD2">
        <w:rPr>
          <w:rFonts w:ascii="Times New Roman" w:hAnsi="Times New Roman" w:cs="Times New Roman"/>
          <w:sz w:val="24"/>
          <w:szCs w:val="24"/>
        </w:rPr>
        <w:t xml:space="preserve">iew process should take about a quarter of an hour. </w:t>
      </w:r>
      <w:r w:rsidR="008C4CF3">
        <w:rPr>
          <w:rFonts w:ascii="Times New Roman" w:hAnsi="Times New Roman" w:cs="Times New Roman"/>
          <w:sz w:val="24"/>
          <w:szCs w:val="24"/>
        </w:rPr>
        <w:t xml:space="preserve">The cost to the Federal government processing costs are as follows (the hourly pay </w:t>
      </w:r>
      <w:r w:rsidR="00255D09">
        <w:rPr>
          <w:rFonts w:ascii="Times New Roman" w:hAnsi="Times New Roman" w:cs="Times New Roman"/>
          <w:sz w:val="24"/>
          <w:szCs w:val="24"/>
        </w:rPr>
        <w:t>rate for the employee is a GS-7 step 5, $</w:t>
      </w:r>
      <w:r w:rsidR="0013769D">
        <w:rPr>
          <w:rFonts w:ascii="Times New Roman" w:hAnsi="Times New Roman" w:cs="Times New Roman"/>
          <w:sz w:val="24"/>
          <w:szCs w:val="24"/>
        </w:rPr>
        <w:t>23.72</w:t>
      </w:r>
      <w:r w:rsidR="00272321">
        <w:rPr>
          <w:rFonts w:ascii="Times New Roman" w:hAnsi="Times New Roman" w:cs="Times New Roman"/>
          <w:sz w:val="24"/>
          <w:szCs w:val="24"/>
        </w:rPr>
        <w:t xml:space="preserve">/hour).  </w:t>
      </w:r>
    </w:p>
    <w:p w:rsidR="00065FB2" w:rsidRDefault="00065FB2" w:rsidP="008C4CF3">
      <w:pPr>
        <w:spacing w:after="0" w:line="240" w:lineRule="auto"/>
        <w:rPr>
          <w:rFonts w:ascii="Times New Roman" w:hAnsi="Times New Roman" w:cs="Times New Roman"/>
          <w:sz w:val="24"/>
          <w:szCs w:val="24"/>
        </w:rPr>
      </w:pPr>
    </w:p>
    <w:p w:rsidR="00272321" w:rsidRDefault="00255D09" w:rsidP="008C4CF3">
      <w:pPr>
        <w:spacing w:after="0" w:line="240" w:lineRule="auto"/>
        <w:rPr>
          <w:rFonts w:ascii="Times New Roman" w:hAnsi="Times New Roman" w:cs="Times New Roman"/>
          <w:b/>
          <w:sz w:val="24"/>
          <w:szCs w:val="24"/>
        </w:rPr>
      </w:pPr>
      <w:r>
        <w:rPr>
          <w:rFonts w:ascii="Times New Roman" w:hAnsi="Times New Roman" w:cs="Times New Roman"/>
          <w:sz w:val="24"/>
          <w:szCs w:val="24"/>
        </w:rPr>
        <w:t>Annual Cost:</w:t>
      </w:r>
      <w:r>
        <w:rPr>
          <w:rFonts w:ascii="Times New Roman" w:hAnsi="Times New Roman" w:cs="Times New Roman"/>
          <w:sz w:val="24"/>
          <w:szCs w:val="24"/>
        </w:rPr>
        <w:tab/>
      </w:r>
      <w:r w:rsidR="00FA5F9D">
        <w:rPr>
          <w:rFonts w:ascii="Times New Roman" w:hAnsi="Times New Roman" w:cs="Times New Roman"/>
          <w:sz w:val="24"/>
          <w:szCs w:val="24"/>
        </w:rPr>
        <w:t xml:space="preserve">30 </w:t>
      </w:r>
      <w:r w:rsidR="0029309D">
        <w:rPr>
          <w:rFonts w:ascii="Times New Roman" w:hAnsi="Times New Roman" w:cs="Times New Roman"/>
          <w:sz w:val="24"/>
          <w:szCs w:val="24"/>
        </w:rPr>
        <w:t>respondents</w:t>
      </w:r>
      <w:r w:rsidR="00065FB2">
        <w:rPr>
          <w:rFonts w:ascii="Times New Roman" w:hAnsi="Times New Roman" w:cs="Times New Roman"/>
          <w:sz w:val="24"/>
          <w:szCs w:val="24"/>
        </w:rPr>
        <w:t xml:space="preserve"> x .25 hours/review x</w:t>
      </w:r>
      <w:r w:rsidR="00272321">
        <w:rPr>
          <w:rFonts w:ascii="Times New Roman" w:hAnsi="Times New Roman" w:cs="Times New Roman"/>
          <w:sz w:val="24"/>
          <w:szCs w:val="24"/>
        </w:rPr>
        <w:t xml:space="preserve"> </w:t>
      </w:r>
      <w:r>
        <w:rPr>
          <w:rFonts w:ascii="Times New Roman" w:hAnsi="Times New Roman" w:cs="Times New Roman"/>
          <w:sz w:val="24"/>
          <w:szCs w:val="24"/>
        </w:rPr>
        <w:t>$</w:t>
      </w:r>
      <w:r w:rsidR="0013769D">
        <w:rPr>
          <w:rFonts w:ascii="Times New Roman" w:hAnsi="Times New Roman" w:cs="Times New Roman"/>
          <w:sz w:val="24"/>
          <w:szCs w:val="24"/>
        </w:rPr>
        <w:t>23.72</w:t>
      </w:r>
      <w:r w:rsidR="00354FD2">
        <w:rPr>
          <w:rFonts w:ascii="Times New Roman" w:hAnsi="Times New Roman" w:cs="Times New Roman"/>
          <w:sz w:val="24"/>
          <w:szCs w:val="24"/>
        </w:rPr>
        <w:t xml:space="preserve">/hour </w:t>
      </w:r>
      <w:r w:rsidR="00272321">
        <w:rPr>
          <w:rFonts w:ascii="Times New Roman" w:hAnsi="Times New Roman" w:cs="Times New Roman"/>
          <w:sz w:val="24"/>
          <w:szCs w:val="24"/>
        </w:rPr>
        <w:t>=</w:t>
      </w:r>
      <w:r w:rsidR="00065FB2">
        <w:rPr>
          <w:rFonts w:ascii="Times New Roman" w:hAnsi="Times New Roman" w:cs="Times New Roman"/>
          <w:sz w:val="24"/>
          <w:szCs w:val="24"/>
        </w:rPr>
        <w:t xml:space="preserve"> </w:t>
      </w:r>
      <w:r w:rsidR="00354FD2">
        <w:rPr>
          <w:rFonts w:ascii="Times New Roman" w:hAnsi="Times New Roman" w:cs="Times New Roman"/>
          <w:sz w:val="24"/>
          <w:szCs w:val="24"/>
        </w:rPr>
        <w:tab/>
      </w:r>
      <w:r w:rsidR="00272321" w:rsidRPr="008A7632">
        <w:rPr>
          <w:rFonts w:ascii="Times New Roman" w:hAnsi="Times New Roman" w:cs="Times New Roman"/>
          <w:b/>
          <w:sz w:val="24"/>
          <w:szCs w:val="24"/>
        </w:rPr>
        <w:t>$</w:t>
      </w:r>
      <w:r w:rsidR="0013769D">
        <w:rPr>
          <w:rFonts w:ascii="Times New Roman" w:hAnsi="Times New Roman" w:cs="Times New Roman"/>
          <w:b/>
          <w:sz w:val="24"/>
          <w:szCs w:val="24"/>
        </w:rPr>
        <w:t>177.90</w:t>
      </w:r>
    </w:p>
    <w:p w:rsidR="006C4595" w:rsidRDefault="006C4595" w:rsidP="008C4CF3">
      <w:pPr>
        <w:spacing w:after="0" w:line="240" w:lineRule="auto"/>
        <w:rPr>
          <w:rFonts w:ascii="Times New Roman" w:hAnsi="Times New Roman" w:cs="Times New Roman"/>
          <w:b/>
          <w:sz w:val="24"/>
          <w:szCs w:val="24"/>
        </w:rPr>
      </w:pPr>
    </w:p>
    <w:p w:rsidR="007B3787" w:rsidRDefault="003D3A37" w:rsidP="008C4CF3">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sidR="005B5FAB">
        <w:rPr>
          <w:rFonts w:ascii="Times New Roman" w:hAnsi="Times New Roman" w:cs="Times New Roman"/>
          <w:b/>
          <w:sz w:val="24"/>
          <w:szCs w:val="24"/>
        </w:rPr>
        <w:t>d</w:t>
      </w:r>
      <w:r w:rsidR="00065FB2" w:rsidRPr="00065FB2">
        <w:rPr>
          <w:rFonts w:ascii="Times New Roman" w:hAnsi="Times New Roman" w:cs="Times New Roman"/>
          <w:b/>
          <w:sz w:val="24"/>
          <w:szCs w:val="24"/>
        </w:rPr>
        <w:t>.</w:t>
      </w:r>
      <w:r w:rsidR="00354FD2">
        <w:rPr>
          <w:rFonts w:ascii="Times New Roman" w:hAnsi="Times New Roman" w:cs="Times New Roman"/>
          <w:sz w:val="24"/>
          <w:szCs w:val="24"/>
        </w:rPr>
        <w:tab/>
      </w:r>
      <w:r w:rsidR="007B3787" w:rsidRPr="00065FB2">
        <w:rPr>
          <w:rFonts w:ascii="Times New Roman" w:hAnsi="Times New Roman" w:cs="Times New Roman"/>
          <w:i/>
          <w:sz w:val="24"/>
          <w:szCs w:val="24"/>
        </w:rPr>
        <w:t xml:space="preserve">Compliance with </w:t>
      </w:r>
      <w:r w:rsidR="00065FB2" w:rsidRPr="00065FB2">
        <w:rPr>
          <w:rFonts w:ascii="Times New Roman" w:hAnsi="Times New Roman" w:cs="Times New Roman"/>
          <w:i/>
          <w:sz w:val="24"/>
          <w:szCs w:val="24"/>
        </w:rPr>
        <w:t xml:space="preserve">Performance Requirements pursuant to </w:t>
      </w:r>
      <w:r w:rsidR="007B3787" w:rsidRPr="00065FB2">
        <w:rPr>
          <w:rFonts w:ascii="Times New Roman" w:hAnsi="Times New Roman" w:cs="Times New Roman"/>
          <w:i/>
          <w:sz w:val="24"/>
          <w:szCs w:val="24"/>
        </w:rPr>
        <w:t>§30.105, Subpart B – Applications and Licenses, Construction requirements.</w:t>
      </w:r>
      <w:r w:rsidR="00065FB2">
        <w:rPr>
          <w:rFonts w:ascii="Times New Roman" w:hAnsi="Times New Roman" w:cs="Times New Roman"/>
          <w:sz w:val="24"/>
          <w:szCs w:val="24"/>
        </w:rPr>
        <w:t xml:space="preserve">  The first notification need not be filed until 12 years after the initial license is granted </w:t>
      </w:r>
      <w:r w:rsidR="00065FB2" w:rsidRPr="00065FB2">
        <w:rPr>
          <w:rFonts w:ascii="Times New Roman" w:hAnsi="Times New Roman" w:cs="Times New Roman"/>
          <w:sz w:val="24"/>
          <w:szCs w:val="24"/>
        </w:rPr>
        <w:t>under §30.105, Subpart B – Applications and Licenses ‒ Construction Requirements.</w:t>
      </w:r>
      <w:r w:rsidR="00065FB2">
        <w:rPr>
          <w:rFonts w:ascii="Times New Roman" w:hAnsi="Times New Roman" w:cs="Times New Roman"/>
          <w:sz w:val="24"/>
          <w:szCs w:val="24"/>
        </w:rPr>
        <w:t xml:space="preserve">  Thus, we do not anticipate any burden hours to the Commission for this collection during the next three-year approval period.</w:t>
      </w:r>
    </w:p>
    <w:p w:rsidR="00122BD2" w:rsidRDefault="00122BD2" w:rsidP="008C4CF3">
      <w:pPr>
        <w:spacing w:after="0" w:line="240" w:lineRule="auto"/>
        <w:rPr>
          <w:rFonts w:ascii="Times New Roman" w:hAnsi="Times New Roman" w:cs="Times New Roman"/>
          <w:sz w:val="24"/>
          <w:szCs w:val="24"/>
        </w:rPr>
      </w:pPr>
    </w:p>
    <w:p w:rsidR="00122BD2" w:rsidRPr="00065FB2" w:rsidRDefault="00122BD2" w:rsidP="008C4C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7B3787" w:rsidRDefault="007B3787" w:rsidP="008C4CF3">
      <w:pPr>
        <w:spacing w:after="0" w:line="240" w:lineRule="auto"/>
        <w:rPr>
          <w:rFonts w:ascii="Times New Roman" w:hAnsi="Times New Roman" w:cs="Times New Roman"/>
          <w:sz w:val="24"/>
          <w:szCs w:val="24"/>
        </w:rPr>
      </w:pPr>
    </w:p>
    <w:p w:rsidR="00065FB2" w:rsidRDefault="00065FB2" w:rsidP="008C4CF3">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sidR="005B5FAB">
        <w:rPr>
          <w:rFonts w:ascii="Times New Roman" w:hAnsi="Times New Roman" w:cs="Times New Roman"/>
          <w:b/>
          <w:sz w:val="24"/>
          <w:szCs w:val="24"/>
        </w:rPr>
        <w:t>e</w:t>
      </w:r>
      <w:r w:rsidRPr="00065FB2">
        <w:rPr>
          <w:rFonts w:ascii="Times New Roman" w:hAnsi="Times New Roman" w:cs="Times New Roman"/>
          <w:b/>
          <w:sz w:val="24"/>
          <w:szCs w:val="24"/>
        </w:rPr>
        <w:t>.</w:t>
      </w:r>
      <w:r>
        <w:rPr>
          <w:rFonts w:ascii="Times New Roman" w:hAnsi="Times New Roman" w:cs="Times New Roman"/>
          <w:sz w:val="24"/>
          <w:szCs w:val="24"/>
        </w:rPr>
        <w:tab/>
      </w:r>
      <w:r w:rsidRPr="00065FB2">
        <w:rPr>
          <w:rFonts w:ascii="Times New Roman" w:hAnsi="Times New Roman" w:cs="Times New Roman"/>
          <w:i/>
          <w:sz w:val="24"/>
          <w:szCs w:val="24"/>
        </w:rPr>
        <w:t>Compliance with §30.107, Subpart B – Applications and Licenses, Discontinuance of Service.</w:t>
      </w:r>
      <w:r w:rsidR="003F0049">
        <w:rPr>
          <w:rFonts w:ascii="Times New Roman" w:hAnsi="Times New Roman" w:cs="Times New Roman"/>
          <w:sz w:val="24"/>
          <w:szCs w:val="24"/>
        </w:rPr>
        <w:t xml:space="preserve">  We do not anticipate any notifications being filed for this collection during the next three-year approval period; therefore, we do not anticipate any burden hours to the Commission for this collection during the next three-year approval period.</w:t>
      </w:r>
    </w:p>
    <w:p w:rsidR="00122BD2" w:rsidRDefault="00122BD2" w:rsidP="008C4CF3">
      <w:pPr>
        <w:spacing w:after="0" w:line="240" w:lineRule="auto"/>
        <w:rPr>
          <w:rFonts w:ascii="Times New Roman" w:hAnsi="Times New Roman" w:cs="Times New Roman"/>
          <w:sz w:val="24"/>
          <w:szCs w:val="24"/>
        </w:rPr>
      </w:pPr>
    </w:p>
    <w:p w:rsidR="00122BD2" w:rsidRDefault="00122BD2" w:rsidP="008C4CF3">
      <w:pPr>
        <w:spacing w:after="0" w:line="240" w:lineRule="auto"/>
        <w:rPr>
          <w:rFonts w:ascii="Times New Roman" w:hAnsi="Times New Roman" w:cs="Times New Roman"/>
          <w:b/>
          <w:sz w:val="24"/>
          <w:szCs w:val="24"/>
        </w:rPr>
      </w:pPr>
      <w:r w:rsidRPr="00122BD2">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A21DB1" w:rsidRDefault="00A21DB1" w:rsidP="008C4CF3">
      <w:pPr>
        <w:spacing w:after="0" w:line="240" w:lineRule="auto"/>
        <w:rPr>
          <w:rFonts w:ascii="Times New Roman" w:hAnsi="Times New Roman" w:cs="Times New Roman"/>
          <w:b/>
          <w:sz w:val="24"/>
          <w:szCs w:val="24"/>
        </w:rPr>
      </w:pPr>
    </w:p>
    <w:p w:rsidR="00473C11" w:rsidRPr="00122BD2" w:rsidRDefault="005541C7" w:rsidP="00EE4F38">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122BD2" w:rsidRPr="00122BD2">
        <w:rPr>
          <w:rFonts w:ascii="Times New Roman" w:hAnsi="Times New Roman" w:cs="Times New Roman"/>
          <w:b/>
          <w:sz w:val="24"/>
          <w:szCs w:val="24"/>
        </w:rPr>
        <w:t xml:space="preserve">OTAL ANNUAL </w:t>
      </w:r>
      <w:r w:rsidR="00751168">
        <w:rPr>
          <w:rFonts w:ascii="Times New Roman" w:hAnsi="Times New Roman" w:cs="Times New Roman"/>
          <w:b/>
          <w:sz w:val="24"/>
          <w:szCs w:val="24"/>
        </w:rPr>
        <w:t xml:space="preserve">GOVERNMENT </w:t>
      </w:r>
      <w:r w:rsidR="00122BD2" w:rsidRPr="00122BD2">
        <w:rPr>
          <w:rFonts w:ascii="Times New Roman" w:hAnsi="Times New Roman" w:cs="Times New Roman"/>
          <w:b/>
          <w:sz w:val="24"/>
          <w:szCs w:val="24"/>
        </w:rPr>
        <w:t xml:space="preserve">COST:  </w:t>
      </w:r>
      <w:r w:rsidR="00DE2264">
        <w:rPr>
          <w:rFonts w:ascii="Times New Roman" w:hAnsi="Times New Roman" w:cs="Times New Roman"/>
          <w:b/>
          <w:sz w:val="24"/>
          <w:szCs w:val="24"/>
        </w:rPr>
        <w:t xml:space="preserve">0 + </w:t>
      </w:r>
      <w:r w:rsidR="00122BD2" w:rsidRPr="00122BD2">
        <w:rPr>
          <w:rFonts w:ascii="Times New Roman" w:hAnsi="Times New Roman" w:cs="Times New Roman"/>
          <w:b/>
          <w:sz w:val="24"/>
          <w:szCs w:val="24"/>
        </w:rPr>
        <w:t>$</w:t>
      </w:r>
      <w:r w:rsidR="0026799E">
        <w:rPr>
          <w:rFonts w:ascii="Times New Roman" w:hAnsi="Times New Roman" w:cs="Times New Roman"/>
          <w:b/>
          <w:sz w:val="24"/>
          <w:szCs w:val="24"/>
        </w:rPr>
        <w:t>177.90</w:t>
      </w:r>
      <w:r>
        <w:rPr>
          <w:rFonts w:ascii="Times New Roman" w:hAnsi="Times New Roman" w:cs="Times New Roman"/>
          <w:b/>
          <w:sz w:val="24"/>
          <w:szCs w:val="24"/>
        </w:rPr>
        <w:t xml:space="preserve"> + 0 + 0 = $</w:t>
      </w:r>
      <w:r w:rsidR="0026799E">
        <w:rPr>
          <w:rFonts w:ascii="Times New Roman" w:hAnsi="Times New Roman" w:cs="Times New Roman"/>
          <w:b/>
          <w:sz w:val="24"/>
          <w:szCs w:val="24"/>
        </w:rPr>
        <w:t>177.90</w:t>
      </w:r>
    </w:p>
    <w:p w:rsidR="00473C11" w:rsidRDefault="00473C11" w:rsidP="00272321">
      <w:pPr>
        <w:spacing w:after="0" w:line="240" w:lineRule="auto"/>
        <w:rPr>
          <w:rFonts w:ascii="Times New Roman" w:hAnsi="Times New Roman" w:cs="Times New Roman"/>
          <w:sz w:val="24"/>
          <w:szCs w:val="24"/>
        </w:rPr>
      </w:pPr>
    </w:p>
    <w:p w:rsidR="00272321" w:rsidRDefault="00272321"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EB6DD7">
        <w:rPr>
          <w:rFonts w:ascii="Times New Roman" w:hAnsi="Times New Roman" w:cs="Times New Roman"/>
          <w:sz w:val="24"/>
          <w:szCs w:val="24"/>
        </w:rPr>
        <w:t xml:space="preserve">The Commission adopted </w:t>
      </w:r>
      <w:r w:rsidR="0097773B">
        <w:rPr>
          <w:rFonts w:ascii="Times New Roman" w:hAnsi="Times New Roman" w:cs="Times New Roman"/>
          <w:sz w:val="24"/>
          <w:szCs w:val="24"/>
        </w:rPr>
        <w:t>this</w:t>
      </w:r>
      <w:r w:rsidR="00EB6DD7">
        <w:rPr>
          <w:rFonts w:ascii="Times New Roman" w:hAnsi="Times New Roman" w:cs="Times New Roman"/>
          <w:sz w:val="24"/>
          <w:szCs w:val="24"/>
        </w:rPr>
        <w:t xml:space="preserve"> </w:t>
      </w:r>
      <w:r w:rsidR="0097773B">
        <w:rPr>
          <w:rFonts w:ascii="Times New Roman" w:hAnsi="Times New Roman" w:cs="Times New Roman"/>
          <w:sz w:val="24"/>
          <w:szCs w:val="24"/>
        </w:rPr>
        <w:t>f</w:t>
      </w:r>
      <w:r w:rsidR="00CD0A59">
        <w:rPr>
          <w:rFonts w:ascii="Times New Roman" w:hAnsi="Times New Roman" w:cs="Times New Roman"/>
          <w:sz w:val="24"/>
          <w:szCs w:val="24"/>
        </w:rPr>
        <w:t>inal rulemaking</w:t>
      </w:r>
      <w:r w:rsidR="00EB6DD7">
        <w:rPr>
          <w:rFonts w:ascii="Times New Roman" w:hAnsi="Times New Roman" w:cs="Times New Roman"/>
          <w:sz w:val="24"/>
          <w:szCs w:val="24"/>
        </w:rPr>
        <w:t>, FCC 16-89, which established final information collection requirements</w:t>
      </w:r>
      <w:r w:rsidR="00660130">
        <w:rPr>
          <w:rFonts w:ascii="Times New Roman" w:hAnsi="Times New Roman" w:cs="Times New Roman"/>
          <w:sz w:val="24"/>
          <w:szCs w:val="24"/>
        </w:rPr>
        <w:t xml:space="preserve"> which are contained in this collection</w:t>
      </w:r>
      <w:r w:rsidR="00EB6DD7">
        <w:rPr>
          <w:rFonts w:ascii="Times New Roman" w:hAnsi="Times New Roman" w:cs="Times New Roman"/>
          <w:sz w:val="24"/>
          <w:szCs w:val="24"/>
        </w:rPr>
        <w:t xml:space="preserve">.  Therefore, the following figures will be added to the OMB’s inventory once this collection is approved by OMB:  </w:t>
      </w:r>
      <w:r w:rsidR="005B5FAB">
        <w:rPr>
          <w:rFonts w:ascii="Times New Roman" w:hAnsi="Times New Roman" w:cs="Times New Roman"/>
          <w:sz w:val="24"/>
          <w:szCs w:val="24"/>
        </w:rPr>
        <w:t>230</w:t>
      </w:r>
      <w:r w:rsidR="005B5FAB" w:rsidRPr="008A7632">
        <w:rPr>
          <w:rFonts w:ascii="Times New Roman" w:hAnsi="Times New Roman" w:cs="Times New Roman"/>
          <w:sz w:val="24"/>
          <w:szCs w:val="24"/>
        </w:rPr>
        <w:t xml:space="preserve"> </w:t>
      </w:r>
      <w:r w:rsidR="00E53175" w:rsidRPr="008A7632">
        <w:rPr>
          <w:rFonts w:ascii="Times New Roman" w:hAnsi="Times New Roman" w:cs="Times New Roman"/>
          <w:sz w:val="24"/>
          <w:szCs w:val="24"/>
        </w:rPr>
        <w:t xml:space="preserve">respondents, </w:t>
      </w:r>
      <w:r w:rsidR="005B5FAB">
        <w:rPr>
          <w:rFonts w:ascii="Times New Roman" w:hAnsi="Times New Roman" w:cs="Times New Roman"/>
          <w:sz w:val="24"/>
          <w:szCs w:val="24"/>
        </w:rPr>
        <w:t>230</w:t>
      </w:r>
      <w:r w:rsidR="005B5FAB" w:rsidRPr="008A7632">
        <w:rPr>
          <w:rFonts w:ascii="Times New Roman" w:hAnsi="Times New Roman" w:cs="Times New Roman"/>
          <w:sz w:val="24"/>
          <w:szCs w:val="24"/>
        </w:rPr>
        <w:t xml:space="preserve"> </w:t>
      </w:r>
      <w:r w:rsidR="00E53175" w:rsidRPr="008A7632">
        <w:rPr>
          <w:rFonts w:ascii="Times New Roman" w:hAnsi="Times New Roman" w:cs="Times New Roman"/>
          <w:sz w:val="24"/>
          <w:szCs w:val="24"/>
        </w:rPr>
        <w:t xml:space="preserve">responses, </w:t>
      </w:r>
      <w:r w:rsidR="005B5FAB">
        <w:rPr>
          <w:rFonts w:ascii="Times New Roman" w:hAnsi="Times New Roman" w:cs="Times New Roman"/>
          <w:sz w:val="24"/>
          <w:szCs w:val="24"/>
        </w:rPr>
        <w:t xml:space="preserve">278 </w:t>
      </w:r>
      <w:r w:rsidR="00E53175" w:rsidRPr="008A7632">
        <w:rPr>
          <w:rFonts w:ascii="Times New Roman" w:hAnsi="Times New Roman" w:cs="Times New Roman"/>
          <w:sz w:val="24"/>
          <w:szCs w:val="24"/>
        </w:rPr>
        <w:t xml:space="preserve">annual burden hours, and </w:t>
      </w:r>
      <w:r w:rsidR="00EB6DD7">
        <w:rPr>
          <w:rFonts w:ascii="Times New Roman" w:hAnsi="Times New Roman" w:cs="Times New Roman"/>
          <w:sz w:val="24"/>
          <w:szCs w:val="24"/>
        </w:rPr>
        <w:t xml:space="preserve">$196,875 to the </w:t>
      </w:r>
      <w:r w:rsidR="00E53175" w:rsidRPr="008A7632">
        <w:rPr>
          <w:rFonts w:ascii="Times New Roman" w:hAnsi="Times New Roman" w:cs="Times New Roman"/>
          <w:sz w:val="24"/>
          <w:szCs w:val="24"/>
        </w:rPr>
        <w:t>annua</w:t>
      </w:r>
      <w:r w:rsidR="00EB6DD7">
        <w:rPr>
          <w:rFonts w:ascii="Times New Roman" w:hAnsi="Times New Roman" w:cs="Times New Roman"/>
          <w:sz w:val="24"/>
          <w:szCs w:val="24"/>
        </w:rPr>
        <w:t xml:space="preserve">l cost.  </w:t>
      </w:r>
    </w:p>
    <w:p w:rsidR="00E53175" w:rsidRDefault="00E53175" w:rsidP="00272321">
      <w:pPr>
        <w:spacing w:after="0" w:line="240" w:lineRule="auto"/>
        <w:rPr>
          <w:rFonts w:ascii="Times New Roman" w:hAnsi="Times New Roman" w:cs="Times New Roman"/>
          <w:sz w:val="24"/>
          <w:szCs w:val="24"/>
        </w:rPr>
      </w:pPr>
    </w:p>
    <w:p w:rsidR="00E53175" w:rsidRDefault="00E53175"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data will not be published for statistical use.</w:t>
      </w:r>
    </w:p>
    <w:p w:rsidR="00E53175" w:rsidRDefault="00E53175" w:rsidP="00272321">
      <w:pPr>
        <w:spacing w:after="0" w:line="240" w:lineRule="auto"/>
        <w:rPr>
          <w:rFonts w:ascii="Times New Roman" w:hAnsi="Times New Roman" w:cs="Times New Roman"/>
          <w:sz w:val="24"/>
          <w:szCs w:val="24"/>
        </w:rPr>
      </w:pPr>
    </w:p>
    <w:p w:rsidR="00E53175" w:rsidRPr="00902782" w:rsidRDefault="00E53175" w:rsidP="006725BF">
      <w:pPr>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r w:rsidR="00B21614" w:rsidRPr="008A0E22">
        <w:rPr>
          <w:rFonts w:ascii="Times New Roman" w:hAnsi="Times New Roman"/>
          <w:spacing w:val="-3"/>
          <w:sz w:val="24"/>
          <w:szCs w:val="24"/>
        </w:rPr>
        <w:t xml:space="preserve">OMB approval of the expiration of the information collection will be displayed at 47 C.F.R. </w:t>
      </w:r>
      <w:r w:rsidR="00751168">
        <w:rPr>
          <w:rFonts w:ascii="Times New Roman" w:hAnsi="Times New Roman" w:cs="Times New Roman"/>
          <w:spacing w:val="-3"/>
          <w:sz w:val="24"/>
          <w:szCs w:val="24"/>
        </w:rPr>
        <w:t>§</w:t>
      </w:r>
      <w:r w:rsidR="00B21614" w:rsidRPr="008A0E22">
        <w:rPr>
          <w:rFonts w:ascii="Times New Roman" w:hAnsi="Times New Roman"/>
          <w:spacing w:val="-3"/>
          <w:sz w:val="24"/>
          <w:szCs w:val="24"/>
        </w:rPr>
        <w:t xml:space="preserve"> 0.408.</w:t>
      </w:r>
    </w:p>
    <w:p w:rsidR="00E53175" w:rsidRDefault="00E53175"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F43234">
        <w:rPr>
          <w:rFonts w:ascii="Times New Roman" w:hAnsi="Times New Roman" w:cs="Times New Roman"/>
          <w:sz w:val="24"/>
          <w:szCs w:val="24"/>
        </w:rPr>
        <w:t>No exceptions have been identified in the Certification Statement.</w:t>
      </w:r>
    </w:p>
    <w:p w:rsidR="00F43234" w:rsidRDefault="00F43234" w:rsidP="00272321">
      <w:pPr>
        <w:spacing w:after="0" w:line="240" w:lineRule="auto"/>
        <w:rPr>
          <w:rFonts w:ascii="Times New Roman" w:hAnsi="Times New Roman" w:cs="Times New Roman"/>
          <w:sz w:val="24"/>
          <w:szCs w:val="24"/>
        </w:rPr>
      </w:pPr>
    </w:p>
    <w:p w:rsidR="00F43234" w:rsidRPr="00122BD2" w:rsidRDefault="00F43234" w:rsidP="00975F6D">
      <w:pPr>
        <w:pStyle w:val="ListParagraph"/>
        <w:numPr>
          <w:ilvl w:val="0"/>
          <w:numId w:val="4"/>
        </w:numPr>
        <w:spacing w:after="0" w:line="240" w:lineRule="auto"/>
        <w:rPr>
          <w:rFonts w:ascii="Times New Roman" w:hAnsi="Times New Roman" w:cs="Times New Roman"/>
          <w:b/>
          <w:sz w:val="24"/>
          <w:szCs w:val="24"/>
          <w:u w:val="single"/>
        </w:rPr>
      </w:pPr>
      <w:r w:rsidRPr="00122BD2">
        <w:rPr>
          <w:rFonts w:ascii="Times New Roman" w:hAnsi="Times New Roman" w:cs="Times New Roman"/>
          <w:b/>
          <w:sz w:val="24"/>
          <w:szCs w:val="24"/>
          <w:u w:val="single"/>
        </w:rPr>
        <w:t>Collections of Information Employing Statistical Methods:</w:t>
      </w:r>
    </w:p>
    <w:p w:rsidR="00122BD2" w:rsidRDefault="00122BD2" w:rsidP="00F43234">
      <w:pPr>
        <w:spacing w:after="0" w:line="240" w:lineRule="auto"/>
        <w:rPr>
          <w:rFonts w:ascii="Times New Roman" w:hAnsi="Times New Roman" w:cs="Times New Roman"/>
          <w:sz w:val="24"/>
          <w:szCs w:val="24"/>
        </w:rPr>
      </w:pPr>
    </w:p>
    <w:p w:rsidR="00F43234" w:rsidRDefault="00F43234" w:rsidP="00122BD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statistical methods are employed.</w:t>
      </w:r>
    </w:p>
    <w:p w:rsidR="00EB6DD7" w:rsidRPr="00F43234" w:rsidRDefault="00EB6DD7" w:rsidP="00122BD2">
      <w:pPr>
        <w:spacing w:after="0" w:line="240" w:lineRule="auto"/>
        <w:ind w:firstLine="720"/>
        <w:rPr>
          <w:rFonts w:ascii="Times New Roman" w:hAnsi="Times New Roman" w:cs="Times New Roman"/>
          <w:sz w:val="24"/>
          <w:szCs w:val="24"/>
        </w:rPr>
      </w:pPr>
    </w:p>
    <w:sectPr w:rsidR="00EB6DD7" w:rsidRPr="00F432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6D" w:rsidRDefault="00C2176D" w:rsidP="00A97E8E">
      <w:pPr>
        <w:spacing w:after="0" w:line="240" w:lineRule="auto"/>
      </w:pPr>
      <w:r>
        <w:separator/>
      </w:r>
    </w:p>
  </w:endnote>
  <w:endnote w:type="continuationSeparator" w:id="0">
    <w:p w:rsidR="00C2176D" w:rsidRDefault="00C2176D"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44233"/>
      <w:docPartObj>
        <w:docPartGallery w:val="Page Numbers (Bottom of Page)"/>
        <w:docPartUnique/>
      </w:docPartObj>
    </w:sdtPr>
    <w:sdtEndPr>
      <w:rPr>
        <w:noProof/>
      </w:rPr>
    </w:sdtEndPr>
    <w:sdtContent>
      <w:p w:rsidR="00EB6DD7" w:rsidRDefault="00EB6DD7">
        <w:pPr>
          <w:pStyle w:val="Footer"/>
          <w:jc w:val="center"/>
        </w:pPr>
        <w:r>
          <w:fldChar w:fldCharType="begin"/>
        </w:r>
        <w:r>
          <w:instrText xml:space="preserve"> PAGE   \* MERGEFORMAT </w:instrText>
        </w:r>
        <w:r>
          <w:fldChar w:fldCharType="separate"/>
        </w:r>
        <w:r w:rsidR="00F57484">
          <w:rPr>
            <w:noProof/>
          </w:rPr>
          <w:t>10</w:t>
        </w:r>
        <w:r>
          <w:rPr>
            <w:noProof/>
          </w:rPr>
          <w:fldChar w:fldCharType="end"/>
        </w:r>
      </w:p>
    </w:sdtContent>
  </w:sdt>
  <w:p w:rsidR="00EB6DD7" w:rsidRDefault="00EB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6D" w:rsidRDefault="00C2176D" w:rsidP="00A97E8E">
      <w:pPr>
        <w:spacing w:after="0" w:line="240" w:lineRule="auto"/>
      </w:pPr>
      <w:r>
        <w:separator/>
      </w:r>
    </w:p>
  </w:footnote>
  <w:footnote w:type="continuationSeparator" w:id="0">
    <w:p w:rsidR="00C2176D" w:rsidRDefault="00C2176D" w:rsidP="00A97E8E">
      <w:pPr>
        <w:spacing w:after="0" w:line="240" w:lineRule="auto"/>
      </w:pPr>
      <w:r>
        <w:continuationSeparator/>
      </w:r>
    </w:p>
  </w:footnote>
  <w:footnote w:id="1">
    <w:p w:rsidR="00EB6DD7" w:rsidRPr="00C0341B" w:rsidRDefault="00EB6DD7">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In order to comply with the foreign ownership provisions of 47 U.S.C. Sec. 310, certain licensees will be required to file requests for approval of foreign ownership pursuant to Sections 1.990-1.994 of the Commission’s rules.  This collection seeks approval for collection of foreign ownership information from Part 30 licensees.</w:t>
      </w:r>
    </w:p>
  </w:footnote>
  <w:footnote w:id="2">
    <w:p w:rsidR="008C2323" w:rsidRPr="00176F6E" w:rsidRDefault="008C2323" w:rsidP="008C2323">
      <w:pPr>
        <w:pStyle w:val="FootnoteText"/>
        <w:rPr>
          <w:rFonts w:ascii="Times New Roman" w:hAnsi="Times New Roman" w:cs="Times New Roman"/>
        </w:rPr>
      </w:pPr>
      <w:r w:rsidRPr="00176F6E">
        <w:rPr>
          <w:rStyle w:val="FootnoteReference"/>
          <w:rFonts w:ascii="Times New Roman" w:hAnsi="Times New Roman" w:cs="Times New Roman"/>
        </w:rPr>
        <w:footnoteRef/>
      </w:r>
      <w:r w:rsidRPr="00176F6E">
        <w:rPr>
          <w:rFonts w:ascii="Times New Roman" w:hAnsi="Times New Roman" w:cs="Times New Roman"/>
        </w:rPr>
        <w:t xml:space="preserve"> </w:t>
      </w:r>
      <w:r w:rsidRPr="00176F6E">
        <w:rPr>
          <w:rFonts w:ascii="Times New Roman" w:hAnsi="Times New Roman" w:cs="Times New Roman"/>
          <w:i/>
        </w:rPr>
        <w:t xml:space="preserve">See </w:t>
      </w:r>
      <w:r w:rsidRPr="00176F6E">
        <w:rPr>
          <w:rFonts w:ascii="Times New Roman" w:hAnsi="Times New Roman" w:cs="Times New Roman"/>
        </w:rPr>
        <w:t>OMB Control No. 3060-1215</w:t>
      </w:r>
      <w:r w:rsidRPr="00176F6E">
        <w:rPr>
          <w:rFonts w:ascii="Times New Roman" w:hAnsi="Times New Roman" w:cs="Times New Roman"/>
          <w:i/>
        </w:rPr>
        <w:t xml:space="preserve"> </w:t>
      </w:r>
      <w:r w:rsidRPr="00176F6E">
        <w:rPr>
          <w:rFonts w:ascii="Times New Roman" w:hAnsi="Times New Roman" w:cs="Times New Roman"/>
        </w:rPr>
        <w:t>Comment filed by NCTA (Jan. 4, 2017).</w:t>
      </w:r>
    </w:p>
    <w:p w:rsidR="008C2323" w:rsidRPr="00176F6E" w:rsidRDefault="008C2323" w:rsidP="008C2323">
      <w:pPr>
        <w:pStyle w:val="FootnoteText"/>
        <w:rPr>
          <w:rFonts w:ascii="Times New Roman" w:hAnsi="Times New Roman" w:cs="Times New Roman"/>
        </w:rPr>
      </w:pPr>
    </w:p>
  </w:footnote>
  <w:footnote w:id="3">
    <w:p w:rsidR="00EB6DD7" w:rsidRPr="008A0E22" w:rsidRDefault="00EB6DD7">
      <w:pPr>
        <w:pStyle w:val="FootnoteText"/>
        <w:rPr>
          <w:rFonts w:ascii="Times New Roman" w:hAnsi="Times New Roman" w:cs="Times New Roman"/>
        </w:rPr>
      </w:pPr>
      <w:r w:rsidRPr="00176F6E">
        <w:rPr>
          <w:rStyle w:val="FootnoteReference"/>
          <w:rFonts w:ascii="Times New Roman" w:hAnsi="Times New Roman" w:cs="Times New Roman"/>
        </w:rPr>
        <w:footnoteRef/>
      </w:r>
      <w:r w:rsidRPr="00176F6E">
        <w:rPr>
          <w:rFonts w:ascii="Times New Roman" w:hAnsi="Times New Roman" w:cs="Times New Roman"/>
        </w:rPr>
        <w:t xml:space="preserve"> U.S. Bureau of Labor Statistics, Occupational Employment and Wages, May 2014, Attorney and Engineer, Hourly Means Wage.</w:t>
      </w:r>
    </w:p>
  </w:footnote>
  <w:footnote w:id="4">
    <w:p w:rsidR="001D5604" w:rsidRPr="00C0341B" w:rsidRDefault="001D5604">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The totals for the number of respondents and r</w:t>
      </w:r>
      <w:r w:rsidR="00982D59" w:rsidRPr="00C0341B">
        <w:rPr>
          <w:rFonts w:ascii="Times New Roman" w:hAnsi="Times New Roman" w:cs="Times New Roman"/>
        </w:rPr>
        <w:t>esponses account f</w:t>
      </w:r>
      <w:r w:rsidRPr="00C0341B">
        <w:rPr>
          <w:rFonts w:ascii="Times New Roman" w:hAnsi="Times New Roman" w:cs="Times New Roman"/>
        </w:rPr>
        <w:t>or all respondents and responses to this information collection</w:t>
      </w:r>
      <w:r w:rsidR="0097773B">
        <w:rPr>
          <w:rFonts w:ascii="Times New Roman" w:hAnsi="Times New Roman" w:cs="Times New Roman"/>
        </w:rPr>
        <w:t xml:space="preserve"> for both in-house and consultant</w:t>
      </w:r>
      <w:r w:rsidRPr="00C0341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EFD"/>
    <w:multiLevelType w:val="hybridMultilevel"/>
    <w:tmpl w:val="D1FAEA94"/>
    <w:lvl w:ilvl="0" w:tplc="B2226CEA">
      <w:start w:val="1"/>
      <w:numFmt w:val="upperLetter"/>
      <w:lvlText w:val="%1."/>
      <w:lvlJc w:val="left"/>
      <w:pPr>
        <w:tabs>
          <w:tab w:val="num" w:pos="806"/>
        </w:tabs>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D438EB"/>
    <w:multiLevelType w:val="hybridMultilevel"/>
    <w:tmpl w:val="F410BD2C"/>
    <w:lvl w:ilvl="0" w:tplc="90FCAB16">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D752A"/>
    <w:multiLevelType w:val="hybridMultilevel"/>
    <w:tmpl w:val="1EAE4F4E"/>
    <w:lvl w:ilvl="0" w:tplc="7EFE401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A4AC4"/>
    <w:multiLevelType w:val="hybridMultilevel"/>
    <w:tmpl w:val="61A0C3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0B0D78"/>
    <w:multiLevelType w:val="hybridMultilevel"/>
    <w:tmpl w:val="B3042418"/>
    <w:lvl w:ilvl="0" w:tplc="C8B691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705ECA"/>
    <w:multiLevelType w:val="hybridMultilevel"/>
    <w:tmpl w:val="72FA4F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64045D"/>
    <w:multiLevelType w:val="hybridMultilevel"/>
    <w:tmpl w:val="A200445C"/>
    <w:lvl w:ilvl="0" w:tplc="1EDA1B4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C49A5"/>
    <w:multiLevelType w:val="hybridMultilevel"/>
    <w:tmpl w:val="9CDAE9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D84481"/>
    <w:multiLevelType w:val="hybridMultilevel"/>
    <w:tmpl w:val="01822CEA"/>
    <w:lvl w:ilvl="0" w:tplc="5B0EA62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A50AED"/>
    <w:multiLevelType w:val="hybridMultilevel"/>
    <w:tmpl w:val="6E5AF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11934"/>
    <w:multiLevelType w:val="hybridMultilevel"/>
    <w:tmpl w:val="3236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41F04"/>
    <w:multiLevelType w:val="hybridMultilevel"/>
    <w:tmpl w:val="AFC224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9"/>
  </w:num>
  <w:num w:numId="4">
    <w:abstractNumId w:val="4"/>
  </w:num>
  <w:num w:numId="5">
    <w:abstractNumId w:val="10"/>
  </w:num>
  <w:num w:numId="6">
    <w:abstractNumId w:val="11"/>
  </w:num>
  <w:num w:numId="7">
    <w:abstractNumId w:val="6"/>
  </w:num>
  <w:num w:numId="8">
    <w:abstractNumId w:val="1"/>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14"/>
    <w:rsid w:val="000013EF"/>
    <w:rsid w:val="000073A8"/>
    <w:rsid w:val="0001630E"/>
    <w:rsid w:val="00023673"/>
    <w:rsid w:val="00034150"/>
    <w:rsid w:val="0003543E"/>
    <w:rsid w:val="00055F58"/>
    <w:rsid w:val="00061F14"/>
    <w:rsid w:val="00062C97"/>
    <w:rsid w:val="00064922"/>
    <w:rsid w:val="00065354"/>
    <w:rsid w:val="00065FB2"/>
    <w:rsid w:val="00075767"/>
    <w:rsid w:val="00096043"/>
    <w:rsid w:val="000A3891"/>
    <w:rsid w:val="000C2822"/>
    <w:rsid w:val="000C46BC"/>
    <w:rsid w:val="000C523B"/>
    <w:rsid w:val="000C6E05"/>
    <w:rsid w:val="000E6635"/>
    <w:rsid w:val="000E71D6"/>
    <w:rsid w:val="000E77DF"/>
    <w:rsid w:val="00104145"/>
    <w:rsid w:val="00121C54"/>
    <w:rsid w:val="00122BD2"/>
    <w:rsid w:val="00127F11"/>
    <w:rsid w:val="00131CAA"/>
    <w:rsid w:val="0013769D"/>
    <w:rsid w:val="00143BA2"/>
    <w:rsid w:val="00144435"/>
    <w:rsid w:val="001453FC"/>
    <w:rsid w:val="001537C3"/>
    <w:rsid w:val="00175905"/>
    <w:rsid w:val="00176F6E"/>
    <w:rsid w:val="00192166"/>
    <w:rsid w:val="00194902"/>
    <w:rsid w:val="0019567A"/>
    <w:rsid w:val="0019615B"/>
    <w:rsid w:val="001B5BCD"/>
    <w:rsid w:val="001D5604"/>
    <w:rsid w:val="001F1B01"/>
    <w:rsid w:val="001F2CA5"/>
    <w:rsid w:val="00215D3B"/>
    <w:rsid w:val="002309D0"/>
    <w:rsid w:val="00240E07"/>
    <w:rsid w:val="00243C15"/>
    <w:rsid w:val="002541D8"/>
    <w:rsid w:val="00255D09"/>
    <w:rsid w:val="00264C05"/>
    <w:rsid w:val="0026799E"/>
    <w:rsid w:val="00272321"/>
    <w:rsid w:val="00276E69"/>
    <w:rsid w:val="002771CE"/>
    <w:rsid w:val="00277B7B"/>
    <w:rsid w:val="00291B84"/>
    <w:rsid w:val="0029309D"/>
    <w:rsid w:val="002978BB"/>
    <w:rsid w:val="002A4A0D"/>
    <w:rsid w:val="002A4BB8"/>
    <w:rsid w:val="002C094A"/>
    <w:rsid w:val="002C176A"/>
    <w:rsid w:val="002C3F01"/>
    <w:rsid w:val="002D0AE8"/>
    <w:rsid w:val="002D1D0E"/>
    <w:rsid w:val="002E339F"/>
    <w:rsid w:val="002F0498"/>
    <w:rsid w:val="003010DD"/>
    <w:rsid w:val="00301D81"/>
    <w:rsid w:val="00303DA0"/>
    <w:rsid w:val="00304688"/>
    <w:rsid w:val="003256CF"/>
    <w:rsid w:val="00333217"/>
    <w:rsid w:val="00341D88"/>
    <w:rsid w:val="00354FD2"/>
    <w:rsid w:val="00356367"/>
    <w:rsid w:val="00365449"/>
    <w:rsid w:val="003660A0"/>
    <w:rsid w:val="00381E71"/>
    <w:rsid w:val="00384C00"/>
    <w:rsid w:val="00391C54"/>
    <w:rsid w:val="00392E7B"/>
    <w:rsid w:val="00396467"/>
    <w:rsid w:val="003B0FDD"/>
    <w:rsid w:val="003C496D"/>
    <w:rsid w:val="003C757A"/>
    <w:rsid w:val="003D3A37"/>
    <w:rsid w:val="003E7D20"/>
    <w:rsid w:val="003F0049"/>
    <w:rsid w:val="004115F2"/>
    <w:rsid w:val="00420B18"/>
    <w:rsid w:val="00422D1D"/>
    <w:rsid w:val="00422D31"/>
    <w:rsid w:val="0042417F"/>
    <w:rsid w:val="00445530"/>
    <w:rsid w:val="00454599"/>
    <w:rsid w:val="00464116"/>
    <w:rsid w:val="00466DD7"/>
    <w:rsid w:val="00472F1F"/>
    <w:rsid w:val="00473C11"/>
    <w:rsid w:val="00475041"/>
    <w:rsid w:val="00475DBB"/>
    <w:rsid w:val="004804D0"/>
    <w:rsid w:val="004836A0"/>
    <w:rsid w:val="00485A16"/>
    <w:rsid w:val="004A0194"/>
    <w:rsid w:val="004A658C"/>
    <w:rsid w:val="004B562B"/>
    <w:rsid w:val="004C3BD5"/>
    <w:rsid w:val="004C4110"/>
    <w:rsid w:val="004C453B"/>
    <w:rsid w:val="004D2C79"/>
    <w:rsid w:val="004E6155"/>
    <w:rsid w:val="004F41A9"/>
    <w:rsid w:val="004F4EB9"/>
    <w:rsid w:val="005207BB"/>
    <w:rsid w:val="0053435F"/>
    <w:rsid w:val="005413A1"/>
    <w:rsid w:val="00547588"/>
    <w:rsid w:val="00550A21"/>
    <w:rsid w:val="005527A6"/>
    <w:rsid w:val="005541C7"/>
    <w:rsid w:val="00554601"/>
    <w:rsid w:val="005720E6"/>
    <w:rsid w:val="00572DEC"/>
    <w:rsid w:val="005A0340"/>
    <w:rsid w:val="005B5FAB"/>
    <w:rsid w:val="005B645D"/>
    <w:rsid w:val="005D2C0F"/>
    <w:rsid w:val="005D2F8A"/>
    <w:rsid w:val="005E1E2A"/>
    <w:rsid w:val="005F51AE"/>
    <w:rsid w:val="005F6619"/>
    <w:rsid w:val="00602F41"/>
    <w:rsid w:val="006051A0"/>
    <w:rsid w:val="006061DD"/>
    <w:rsid w:val="00610FC3"/>
    <w:rsid w:val="00633618"/>
    <w:rsid w:val="006365C9"/>
    <w:rsid w:val="00643E86"/>
    <w:rsid w:val="00660130"/>
    <w:rsid w:val="006725BF"/>
    <w:rsid w:val="006734E0"/>
    <w:rsid w:val="006759B9"/>
    <w:rsid w:val="00680F06"/>
    <w:rsid w:val="00694707"/>
    <w:rsid w:val="006968B5"/>
    <w:rsid w:val="006B2C22"/>
    <w:rsid w:val="006C146C"/>
    <w:rsid w:val="006C4595"/>
    <w:rsid w:val="006C5848"/>
    <w:rsid w:val="006D3B98"/>
    <w:rsid w:val="006D7032"/>
    <w:rsid w:val="006E0156"/>
    <w:rsid w:val="006E28D4"/>
    <w:rsid w:val="006F0D76"/>
    <w:rsid w:val="006F22FC"/>
    <w:rsid w:val="007176C2"/>
    <w:rsid w:val="00720C66"/>
    <w:rsid w:val="00721189"/>
    <w:rsid w:val="00721DD6"/>
    <w:rsid w:val="00723344"/>
    <w:rsid w:val="00723D48"/>
    <w:rsid w:val="0072487B"/>
    <w:rsid w:val="00732C6B"/>
    <w:rsid w:val="00744B19"/>
    <w:rsid w:val="00751168"/>
    <w:rsid w:val="00752B72"/>
    <w:rsid w:val="007636B1"/>
    <w:rsid w:val="007801EF"/>
    <w:rsid w:val="00791977"/>
    <w:rsid w:val="00797783"/>
    <w:rsid w:val="007A2B3D"/>
    <w:rsid w:val="007B3787"/>
    <w:rsid w:val="007B5831"/>
    <w:rsid w:val="007B6326"/>
    <w:rsid w:val="007D7A8F"/>
    <w:rsid w:val="007F65C3"/>
    <w:rsid w:val="007F6F1D"/>
    <w:rsid w:val="00812B71"/>
    <w:rsid w:val="00824103"/>
    <w:rsid w:val="008307A3"/>
    <w:rsid w:val="00837B96"/>
    <w:rsid w:val="00837D88"/>
    <w:rsid w:val="00841B6A"/>
    <w:rsid w:val="0085490A"/>
    <w:rsid w:val="00861F23"/>
    <w:rsid w:val="008773C2"/>
    <w:rsid w:val="008860DC"/>
    <w:rsid w:val="0089476A"/>
    <w:rsid w:val="008A0E22"/>
    <w:rsid w:val="008A7632"/>
    <w:rsid w:val="008B297F"/>
    <w:rsid w:val="008C12A0"/>
    <w:rsid w:val="008C2323"/>
    <w:rsid w:val="008C4CF3"/>
    <w:rsid w:val="008E19B6"/>
    <w:rsid w:val="008E7D62"/>
    <w:rsid w:val="008F28EC"/>
    <w:rsid w:val="00901AB9"/>
    <w:rsid w:val="00902782"/>
    <w:rsid w:val="009073C6"/>
    <w:rsid w:val="00914F19"/>
    <w:rsid w:val="00921AC5"/>
    <w:rsid w:val="009252FB"/>
    <w:rsid w:val="00930398"/>
    <w:rsid w:val="00944CAF"/>
    <w:rsid w:val="00947522"/>
    <w:rsid w:val="00952493"/>
    <w:rsid w:val="00953B2C"/>
    <w:rsid w:val="0095623D"/>
    <w:rsid w:val="0096244E"/>
    <w:rsid w:val="00963796"/>
    <w:rsid w:val="00975F6D"/>
    <w:rsid w:val="0097773B"/>
    <w:rsid w:val="00982D59"/>
    <w:rsid w:val="009A4A4B"/>
    <w:rsid w:val="009A55F0"/>
    <w:rsid w:val="009B1741"/>
    <w:rsid w:val="009B6E44"/>
    <w:rsid w:val="009C7472"/>
    <w:rsid w:val="00A0188D"/>
    <w:rsid w:val="00A01F5A"/>
    <w:rsid w:val="00A0667B"/>
    <w:rsid w:val="00A17D1F"/>
    <w:rsid w:val="00A21DB1"/>
    <w:rsid w:val="00A27400"/>
    <w:rsid w:val="00A33665"/>
    <w:rsid w:val="00A33A10"/>
    <w:rsid w:val="00A61B5B"/>
    <w:rsid w:val="00A64B82"/>
    <w:rsid w:val="00A72D51"/>
    <w:rsid w:val="00A76311"/>
    <w:rsid w:val="00A903AD"/>
    <w:rsid w:val="00A95C27"/>
    <w:rsid w:val="00A97E8E"/>
    <w:rsid w:val="00AA1E29"/>
    <w:rsid w:val="00AA33D1"/>
    <w:rsid w:val="00AB44CC"/>
    <w:rsid w:val="00AC1FE7"/>
    <w:rsid w:val="00AD3386"/>
    <w:rsid w:val="00AF32D6"/>
    <w:rsid w:val="00B02FFC"/>
    <w:rsid w:val="00B142C0"/>
    <w:rsid w:val="00B20F82"/>
    <w:rsid w:val="00B21614"/>
    <w:rsid w:val="00B23D74"/>
    <w:rsid w:val="00B24A11"/>
    <w:rsid w:val="00B63B2C"/>
    <w:rsid w:val="00B76A7C"/>
    <w:rsid w:val="00B81084"/>
    <w:rsid w:val="00B862BA"/>
    <w:rsid w:val="00BA089C"/>
    <w:rsid w:val="00BA5532"/>
    <w:rsid w:val="00BD504A"/>
    <w:rsid w:val="00BE7D23"/>
    <w:rsid w:val="00C01326"/>
    <w:rsid w:val="00C0329D"/>
    <w:rsid w:val="00C0341B"/>
    <w:rsid w:val="00C04B75"/>
    <w:rsid w:val="00C2176D"/>
    <w:rsid w:val="00C3252D"/>
    <w:rsid w:val="00C44D9B"/>
    <w:rsid w:val="00C64D8A"/>
    <w:rsid w:val="00C66A09"/>
    <w:rsid w:val="00C81C6E"/>
    <w:rsid w:val="00C8793B"/>
    <w:rsid w:val="00C90CEE"/>
    <w:rsid w:val="00C96694"/>
    <w:rsid w:val="00C97D79"/>
    <w:rsid w:val="00CA777B"/>
    <w:rsid w:val="00CB25D8"/>
    <w:rsid w:val="00CB7221"/>
    <w:rsid w:val="00CC29D0"/>
    <w:rsid w:val="00CD0A59"/>
    <w:rsid w:val="00CE2785"/>
    <w:rsid w:val="00CF0D34"/>
    <w:rsid w:val="00CF2ACE"/>
    <w:rsid w:val="00CF3137"/>
    <w:rsid w:val="00CF797D"/>
    <w:rsid w:val="00D03605"/>
    <w:rsid w:val="00D30DD3"/>
    <w:rsid w:val="00D3709A"/>
    <w:rsid w:val="00D61C93"/>
    <w:rsid w:val="00D63AC9"/>
    <w:rsid w:val="00D74820"/>
    <w:rsid w:val="00D82C08"/>
    <w:rsid w:val="00D869B8"/>
    <w:rsid w:val="00D86C8A"/>
    <w:rsid w:val="00DA1C99"/>
    <w:rsid w:val="00DA5EBB"/>
    <w:rsid w:val="00DB2785"/>
    <w:rsid w:val="00DB2B57"/>
    <w:rsid w:val="00DB55A1"/>
    <w:rsid w:val="00DC7383"/>
    <w:rsid w:val="00DE2264"/>
    <w:rsid w:val="00DF38B3"/>
    <w:rsid w:val="00DF6953"/>
    <w:rsid w:val="00DF713F"/>
    <w:rsid w:val="00E00BB2"/>
    <w:rsid w:val="00E26D4B"/>
    <w:rsid w:val="00E279B2"/>
    <w:rsid w:val="00E3492F"/>
    <w:rsid w:val="00E36958"/>
    <w:rsid w:val="00E37D30"/>
    <w:rsid w:val="00E50B53"/>
    <w:rsid w:val="00E50D07"/>
    <w:rsid w:val="00E52303"/>
    <w:rsid w:val="00E53175"/>
    <w:rsid w:val="00E67B48"/>
    <w:rsid w:val="00E8016D"/>
    <w:rsid w:val="00E84281"/>
    <w:rsid w:val="00E90197"/>
    <w:rsid w:val="00E916EB"/>
    <w:rsid w:val="00E93088"/>
    <w:rsid w:val="00E93E13"/>
    <w:rsid w:val="00EA104C"/>
    <w:rsid w:val="00EA2884"/>
    <w:rsid w:val="00EA2D0F"/>
    <w:rsid w:val="00EA3B94"/>
    <w:rsid w:val="00EA6AA2"/>
    <w:rsid w:val="00EB2B80"/>
    <w:rsid w:val="00EB3559"/>
    <w:rsid w:val="00EB493F"/>
    <w:rsid w:val="00EB539F"/>
    <w:rsid w:val="00EB6331"/>
    <w:rsid w:val="00EB6DD7"/>
    <w:rsid w:val="00ED01D9"/>
    <w:rsid w:val="00ED65DD"/>
    <w:rsid w:val="00EE4F38"/>
    <w:rsid w:val="00EF2891"/>
    <w:rsid w:val="00EF5561"/>
    <w:rsid w:val="00F231A1"/>
    <w:rsid w:val="00F32DFF"/>
    <w:rsid w:val="00F335FA"/>
    <w:rsid w:val="00F42FE5"/>
    <w:rsid w:val="00F43234"/>
    <w:rsid w:val="00F520EB"/>
    <w:rsid w:val="00F52225"/>
    <w:rsid w:val="00F564AC"/>
    <w:rsid w:val="00F57484"/>
    <w:rsid w:val="00F62DF6"/>
    <w:rsid w:val="00F658BC"/>
    <w:rsid w:val="00F6777B"/>
    <w:rsid w:val="00F67A2B"/>
    <w:rsid w:val="00F77126"/>
    <w:rsid w:val="00F8697E"/>
    <w:rsid w:val="00F91240"/>
    <w:rsid w:val="00FA5F9D"/>
    <w:rsid w:val="00FB6E90"/>
    <w:rsid w:val="00FC04EB"/>
    <w:rsid w:val="00FC498B"/>
    <w:rsid w:val="00FC761A"/>
    <w:rsid w:val="00FD1CAC"/>
    <w:rsid w:val="00FD3395"/>
    <w:rsid w:val="00FE037F"/>
    <w:rsid w:val="00FE594B"/>
    <w:rsid w:val="00FE72F3"/>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24A1D-8D49-4434-8C16-A0CB1B6A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1608-3060-0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B6E4-E7F3-42BB-B959-9F8DEF00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Gilgenbach</dc:creator>
  <cp:keywords/>
  <dc:description/>
  <cp:lastModifiedBy>Cathy Williams</cp:lastModifiedBy>
  <cp:revision>3</cp:revision>
  <cp:lastPrinted>2017-05-15T16:23:00Z</cp:lastPrinted>
  <dcterms:created xsi:type="dcterms:W3CDTF">2017-05-16T16:47:00Z</dcterms:created>
  <dcterms:modified xsi:type="dcterms:W3CDTF">2017-05-16T16:48:00Z</dcterms:modified>
</cp:coreProperties>
</file>