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07" w:rsidRDefault="00BE7E07" w:rsidP="00BE7E07">
      <w:bookmarkStart w:id="0" w:name="_GoBack"/>
      <w:bookmarkEnd w:id="0"/>
    </w:p>
    <w:p w:rsidR="00B8318D" w:rsidRPr="002E36CA" w:rsidRDefault="002E36CA" w:rsidP="00B8318D">
      <w:pPr>
        <w:rPr>
          <w:rFonts w:ascii="Arial" w:hAnsi="Arial" w:cs="Arial"/>
          <w:sz w:val="28"/>
          <w:szCs w:val="28"/>
        </w:rPr>
      </w:pPr>
      <w:r>
        <w:rPr>
          <w:rFonts w:ascii="Arial" w:hAnsi="Arial" w:cs="Arial"/>
          <w:sz w:val="28"/>
          <w:szCs w:val="28"/>
        </w:rPr>
        <w:t>OMB Circular A-123 (Revised January 2016)</w:t>
      </w:r>
    </w:p>
    <w:p w:rsidR="002E36CA" w:rsidRDefault="002E36CA" w:rsidP="002E36CA">
      <w:pPr>
        <w:pStyle w:val="TOC1"/>
      </w:pPr>
      <w:r>
        <w:t xml:space="preserve">Appendix B </w:t>
      </w:r>
    </w:p>
    <w:p w:rsidR="002E36CA" w:rsidRPr="002E36CA" w:rsidRDefault="002E36CA" w:rsidP="002E36CA"/>
    <w:p w:rsidR="002E36CA" w:rsidRPr="002E36CA" w:rsidRDefault="002E36CA" w:rsidP="002E36CA">
      <w:pPr>
        <w:rPr>
          <w:b/>
        </w:rPr>
      </w:pPr>
      <w:r w:rsidRPr="002E36CA">
        <w:rPr>
          <w:b/>
        </w:rPr>
        <w:t>Improving the Management</w:t>
      </w:r>
      <w:r w:rsidR="00CB5955">
        <w:rPr>
          <w:b/>
        </w:rPr>
        <w:t xml:space="preserve"> </w:t>
      </w:r>
      <w:r w:rsidR="00943FEA">
        <w:rPr>
          <w:b/>
        </w:rPr>
        <w:t>o</w:t>
      </w:r>
      <w:r w:rsidRPr="002E36CA">
        <w:rPr>
          <w:b/>
        </w:rPr>
        <w:t>f Government Charge Card Programs</w:t>
      </w:r>
    </w:p>
    <w:p w:rsidR="002E36CA" w:rsidRDefault="00D60668" w:rsidP="002E36CA">
      <w:pPr>
        <w:pStyle w:val="TOC1"/>
        <w:rPr>
          <w:rFonts w:asciiTheme="minorHAnsi" w:eastAsiaTheme="minorEastAsia" w:hAnsiTheme="minorHAnsi" w:cstheme="minorBidi"/>
        </w:rPr>
      </w:pPr>
      <w:r w:rsidRPr="00C925F9">
        <w:fldChar w:fldCharType="begin"/>
      </w:r>
      <w:r w:rsidR="00DF06FC" w:rsidRPr="00C925F9">
        <w:instrText xml:space="preserve"> TOC \o "1-3" \h \z \u </w:instrText>
      </w:r>
      <w:r w:rsidRPr="00C925F9">
        <w:fldChar w:fldCharType="separate"/>
      </w:r>
    </w:p>
    <w:p w:rsidR="00463B2C" w:rsidRDefault="00463B2C">
      <w:pPr>
        <w:pStyle w:val="TOC2"/>
        <w:rPr>
          <w:rFonts w:asciiTheme="minorHAnsi" w:eastAsiaTheme="minorEastAsia" w:hAnsiTheme="minorHAnsi" w:cstheme="minorBidi"/>
          <w:sz w:val="22"/>
          <w:szCs w:val="22"/>
        </w:rPr>
      </w:pPr>
    </w:p>
    <w:p w:rsidR="00463B2C" w:rsidRDefault="00932255" w:rsidP="002E36CA">
      <w:pPr>
        <w:pStyle w:val="TOC1"/>
        <w:rPr>
          <w:rFonts w:asciiTheme="minorHAnsi" w:eastAsiaTheme="minorEastAsia" w:hAnsiTheme="minorHAnsi" w:cstheme="minorBidi"/>
          <w:color w:val="auto"/>
        </w:rPr>
      </w:pPr>
      <w:hyperlink w:anchor="_Toc441652995" w:history="1">
        <w:r w:rsidR="00463B2C" w:rsidRPr="000D2CF9">
          <w:rPr>
            <w:rStyle w:val="Hyperlink"/>
          </w:rPr>
          <w:t>4.   Risk Management</w:t>
        </w:r>
        <w:r w:rsidR="00463B2C">
          <w:rPr>
            <w:webHidden/>
          </w:rPr>
          <w:tab/>
        </w:r>
        <w:r w:rsidR="00463B2C">
          <w:rPr>
            <w:webHidden/>
          </w:rPr>
          <w:fldChar w:fldCharType="begin"/>
        </w:r>
        <w:r w:rsidR="00463B2C">
          <w:rPr>
            <w:webHidden/>
          </w:rPr>
          <w:instrText xml:space="preserve"> PAGEREF _Toc441652995 \h </w:instrText>
        </w:r>
        <w:r w:rsidR="00463B2C">
          <w:rPr>
            <w:webHidden/>
          </w:rPr>
        </w:r>
        <w:r w:rsidR="00463B2C">
          <w:rPr>
            <w:webHidden/>
          </w:rPr>
          <w:fldChar w:fldCharType="separate"/>
        </w:r>
        <w:r w:rsidR="00463B2C">
          <w:rPr>
            <w:webHidden/>
          </w:rPr>
          <w:t>9</w:t>
        </w:r>
        <w:r w:rsidR="00463B2C">
          <w:rPr>
            <w:webHidden/>
          </w:rPr>
          <w:fldChar w:fldCharType="end"/>
        </w:r>
      </w:hyperlink>
    </w:p>
    <w:p w:rsidR="00463B2C" w:rsidRDefault="00932255">
      <w:pPr>
        <w:pStyle w:val="TOC2"/>
        <w:rPr>
          <w:rFonts w:asciiTheme="minorHAnsi" w:eastAsiaTheme="minorEastAsia" w:hAnsiTheme="minorHAnsi" w:cstheme="minorBidi"/>
          <w:sz w:val="22"/>
          <w:szCs w:val="22"/>
        </w:rPr>
      </w:pPr>
      <w:hyperlink w:anchor="_Toc441652996" w:history="1">
        <w:r w:rsidR="00463B2C" w:rsidRPr="000D2CF9">
          <w:rPr>
            <w:rStyle w:val="Hyperlink"/>
          </w:rPr>
          <w:t>4.1   Creditworthiness</w:t>
        </w:r>
      </w:hyperlink>
    </w:p>
    <w:p w:rsidR="00943FEA" w:rsidRDefault="00943FEA" w:rsidP="00943FEA">
      <w:pPr>
        <w:pStyle w:val="TOC2"/>
      </w:pPr>
    </w:p>
    <w:p w:rsidR="00943FEA" w:rsidRDefault="00943FEA" w:rsidP="00943FEA"/>
    <w:p w:rsidR="00943FEA" w:rsidRPr="00943FEA" w:rsidRDefault="00943FEA" w:rsidP="00943FEA">
      <w:pPr>
        <w:rPr>
          <w:rFonts w:ascii="Arial" w:hAnsi="Arial" w:cs="Arial"/>
          <w:b/>
          <w:sz w:val="28"/>
          <w:szCs w:val="28"/>
        </w:rPr>
      </w:pPr>
      <w:r w:rsidRPr="00943FEA">
        <w:rPr>
          <w:rFonts w:ascii="Arial" w:hAnsi="Arial" w:cs="Arial"/>
          <w:b/>
          <w:sz w:val="28"/>
          <w:szCs w:val="28"/>
        </w:rPr>
        <w:t>4.  Risk  Management</w:t>
      </w:r>
    </w:p>
    <w:p w:rsidR="00943FEA" w:rsidRPr="00943FEA" w:rsidRDefault="00943FEA" w:rsidP="00943FEA">
      <w:pPr>
        <w:rPr>
          <w:b/>
        </w:rPr>
      </w:pPr>
    </w:p>
    <w:p w:rsidR="00B8318D" w:rsidRDefault="00D60668" w:rsidP="00943FEA">
      <w:pPr>
        <w:pStyle w:val="TOC2"/>
      </w:pPr>
      <w:r w:rsidRPr="00C925F9">
        <w:rPr>
          <w:color w:val="000000"/>
          <w:sz w:val="28"/>
          <w:szCs w:val="28"/>
        </w:rPr>
        <w:fldChar w:fldCharType="end"/>
      </w:r>
      <w:bookmarkStart w:id="1" w:name="RiskManagement"/>
      <w:bookmarkEnd w:id="1"/>
      <w:r w:rsidR="00943FEA">
        <w:rPr>
          <w:color w:val="000000"/>
        </w:rPr>
        <w:t>This section sum</w:t>
      </w:r>
      <w:r w:rsidR="00DF06FC">
        <w:rPr>
          <w:rFonts w:cs="Arial"/>
        </w:rPr>
        <w:t>marizes SBA policies and procedures regarding risk management.  Risk management begins well before any credit cards are issued.  Management must assess who is applying for a card, what position they hold</w:t>
      </w:r>
      <w:r w:rsidR="00CD1160">
        <w:rPr>
          <w:rFonts w:cs="Arial"/>
        </w:rPr>
        <w:t>,</w:t>
      </w:r>
      <w:r w:rsidR="00DF06FC">
        <w:rPr>
          <w:rFonts w:cs="Arial"/>
        </w:rPr>
        <w:t xml:space="preserve"> and what official business of the agency </w:t>
      </w:r>
      <w:r w:rsidR="00CB4845">
        <w:rPr>
          <w:rFonts w:cs="Arial"/>
        </w:rPr>
        <w:t>they perform</w:t>
      </w:r>
      <w:r w:rsidR="00DF06FC">
        <w:rPr>
          <w:rFonts w:cs="Arial"/>
        </w:rPr>
        <w:t xml:space="preserve"> with a credit card.  The application is submitted to the credit card vendor</w:t>
      </w:r>
      <w:r w:rsidR="00CD1160">
        <w:rPr>
          <w:rFonts w:cs="Arial"/>
        </w:rPr>
        <w:t>,</w:t>
      </w:r>
      <w:r w:rsidR="00DF06FC">
        <w:rPr>
          <w:rFonts w:cs="Arial"/>
        </w:rPr>
        <w:t xml:space="preserve"> who determines the creditworthiness</w:t>
      </w:r>
      <w:r w:rsidR="00CD1160">
        <w:rPr>
          <w:rFonts w:cs="Arial"/>
        </w:rPr>
        <w:t>,</w:t>
      </w:r>
      <w:r w:rsidR="00DF06FC">
        <w:rPr>
          <w:rFonts w:cs="Arial"/>
        </w:rPr>
        <w:t xml:space="preserve"> based on the credit score. </w:t>
      </w:r>
      <w:r w:rsidR="00CD1160">
        <w:rPr>
          <w:rFonts w:cs="Arial"/>
        </w:rPr>
        <w:t xml:space="preserve"> Credit</w:t>
      </w:r>
      <w:r w:rsidR="00DF06FC">
        <w:rPr>
          <w:rFonts w:cs="Arial"/>
        </w:rPr>
        <w:t xml:space="preserve"> card use is monitored closely.</w:t>
      </w:r>
    </w:p>
    <w:p w:rsidR="00B8318D" w:rsidRDefault="00DF06FC" w:rsidP="00B8318D">
      <w:pPr>
        <w:pStyle w:val="Heading2"/>
        <w:rPr>
          <w:u w:val="single"/>
        </w:rPr>
      </w:pPr>
      <w:bookmarkStart w:id="2" w:name="_Toc139335582"/>
      <w:bookmarkStart w:id="3" w:name="_Toc252536521"/>
      <w:bookmarkStart w:id="4" w:name="_Toc441652996"/>
      <w:r>
        <w:rPr>
          <w:u w:val="single"/>
        </w:rPr>
        <w:t xml:space="preserve">4.1  </w:t>
      </w:r>
      <w:bookmarkStart w:id="5" w:name="Creditworthiness"/>
      <w:bookmarkEnd w:id="2"/>
      <w:bookmarkEnd w:id="5"/>
      <w:r>
        <w:rPr>
          <w:u w:val="single"/>
        </w:rPr>
        <w:t xml:space="preserve"> Creditworthiness</w:t>
      </w:r>
      <w:bookmarkEnd w:id="3"/>
      <w:bookmarkEnd w:id="4"/>
    </w:p>
    <w:p w:rsidR="00B8318D" w:rsidRDefault="00B8318D" w:rsidP="00B8318D">
      <w:pPr>
        <w:rPr>
          <w:rFonts w:ascii="Arial" w:hAnsi="Arial" w:cs="Arial"/>
          <w:sz w:val="20"/>
          <w:szCs w:val="20"/>
        </w:rPr>
      </w:pPr>
    </w:p>
    <w:p w:rsidR="00B8318D" w:rsidRDefault="00DF06FC" w:rsidP="00B8318D">
      <w:pPr>
        <w:ind w:left="360"/>
        <w:rPr>
          <w:rFonts w:ascii="Arial" w:hAnsi="Arial" w:cs="Arial"/>
          <w:b/>
        </w:rPr>
      </w:pPr>
      <w:r w:rsidRPr="00566253">
        <w:rPr>
          <w:rFonts w:ascii="Arial" w:hAnsi="Arial" w:cs="Arial"/>
          <w:b/>
        </w:rPr>
        <w:t xml:space="preserve">4.1.1  </w:t>
      </w:r>
      <w:r>
        <w:rPr>
          <w:rFonts w:ascii="Arial" w:hAnsi="Arial" w:cs="Arial"/>
          <w:b/>
        </w:rPr>
        <w:t xml:space="preserve"> </w:t>
      </w:r>
      <w:r w:rsidRPr="00566253">
        <w:rPr>
          <w:rFonts w:ascii="Arial" w:hAnsi="Arial" w:cs="Arial"/>
          <w:b/>
        </w:rPr>
        <w:t>Purchase Card Program</w:t>
      </w:r>
    </w:p>
    <w:p w:rsidR="00B8318D" w:rsidRDefault="00DF06FC" w:rsidP="00B8318D">
      <w:pPr>
        <w:ind w:left="360"/>
        <w:rPr>
          <w:rFonts w:ascii="Arial" w:hAnsi="Arial" w:cs="Arial"/>
          <w:b/>
        </w:rPr>
      </w:pPr>
      <w:r>
        <w:rPr>
          <w:rFonts w:ascii="Arial" w:hAnsi="Arial" w:cs="Arial"/>
          <w:sz w:val="20"/>
          <w:szCs w:val="20"/>
        </w:rPr>
        <w:t>Creditworthiness checks are not required for the purchase card system, and SBA does not conduct them.</w:t>
      </w:r>
    </w:p>
    <w:p w:rsidR="00B8318D" w:rsidRDefault="00B8318D" w:rsidP="00B8318D">
      <w:pPr>
        <w:ind w:left="360"/>
        <w:rPr>
          <w:rFonts w:ascii="Arial" w:hAnsi="Arial" w:cs="Arial"/>
          <w:b/>
        </w:rPr>
      </w:pPr>
    </w:p>
    <w:p w:rsidR="00B8318D" w:rsidRPr="00566253" w:rsidRDefault="00DF06FC" w:rsidP="00B8318D">
      <w:pPr>
        <w:ind w:left="360"/>
        <w:rPr>
          <w:rFonts w:ascii="Arial" w:hAnsi="Arial" w:cs="Arial"/>
          <w:b/>
        </w:rPr>
      </w:pPr>
      <w:r w:rsidRPr="00566253">
        <w:rPr>
          <w:rFonts w:ascii="Arial" w:hAnsi="Arial" w:cs="Arial"/>
          <w:b/>
        </w:rPr>
        <w:t xml:space="preserve">4.1.2  </w:t>
      </w:r>
      <w:r>
        <w:rPr>
          <w:rFonts w:ascii="Arial" w:hAnsi="Arial" w:cs="Arial"/>
          <w:b/>
        </w:rPr>
        <w:t xml:space="preserve"> </w:t>
      </w:r>
      <w:r w:rsidRPr="00566253">
        <w:rPr>
          <w:rFonts w:ascii="Arial" w:hAnsi="Arial" w:cs="Arial"/>
          <w:b/>
        </w:rPr>
        <w:t>Travel Card Program</w:t>
      </w:r>
    </w:p>
    <w:p w:rsidR="00B8318D" w:rsidRDefault="00B8318D" w:rsidP="00B8318D">
      <w:pPr>
        <w:pStyle w:val="Heading2"/>
        <w:spacing w:before="0" w:after="0"/>
        <w:rPr>
          <w:u w:val="single"/>
        </w:rPr>
      </w:pPr>
      <w:bookmarkStart w:id="6" w:name="_Toc139335583"/>
    </w:p>
    <w:p w:rsidR="00B8318D" w:rsidRPr="00C30A06" w:rsidRDefault="00DF06FC" w:rsidP="00B8318D">
      <w:pPr>
        <w:ind w:left="720"/>
        <w:rPr>
          <w:rFonts w:ascii="Arial" w:hAnsi="Arial" w:cs="Arial"/>
          <w:b/>
          <w:sz w:val="20"/>
          <w:szCs w:val="20"/>
        </w:rPr>
      </w:pPr>
      <w:r w:rsidRPr="00C30A06">
        <w:rPr>
          <w:rFonts w:ascii="Arial" w:hAnsi="Arial" w:cs="Arial"/>
          <w:b/>
          <w:sz w:val="20"/>
          <w:szCs w:val="20"/>
        </w:rPr>
        <w:t>4.1.2.1    Regular Applicants</w:t>
      </w:r>
    </w:p>
    <w:p w:rsidR="00B8318D" w:rsidRDefault="00B0403E" w:rsidP="00B8318D">
      <w:pPr>
        <w:ind w:left="720"/>
        <w:rPr>
          <w:rFonts w:ascii="Arial" w:hAnsi="Arial" w:cs="Arial"/>
          <w:sz w:val="20"/>
          <w:szCs w:val="20"/>
        </w:rPr>
      </w:pPr>
      <w:r>
        <w:rPr>
          <w:rFonts w:ascii="Arial" w:hAnsi="Arial" w:cs="Arial"/>
          <w:sz w:val="20"/>
          <w:szCs w:val="20"/>
        </w:rPr>
        <w:t>Under the SmartPay</w:t>
      </w:r>
      <w:r w:rsidR="00553AB4">
        <w:rPr>
          <w:rFonts w:ascii="Arial" w:hAnsi="Arial" w:cs="Arial"/>
          <w:sz w:val="20"/>
          <w:szCs w:val="20"/>
        </w:rPr>
        <w:t>2</w:t>
      </w:r>
      <w:r w:rsidR="00DF06FC">
        <w:rPr>
          <w:rFonts w:ascii="Arial" w:hAnsi="Arial" w:cs="Arial"/>
          <w:sz w:val="20"/>
          <w:szCs w:val="20"/>
        </w:rPr>
        <w:t xml:space="preserve"> program, the credit card vendor conducts creditworthiness checks for all new SBA card applicants – a service provided at no cost to the agency.</w:t>
      </w:r>
      <w:r>
        <w:rPr>
          <w:rFonts w:ascii="Arial" w:hAnsi="Arial" w:cs="Arial"/>
          <w:sz w:val="20"/>
          <w:szCs w:val="20"/>
        </w:rPr>
        <w:t xml:space="preserve">  T</w:t>
      </w:r>
      <w:r w:rsidR="00DF06FC">
        <w:rPr>
          <w:rFonts w:ascii="Arial" w:hAnsi="Arial" w:cs="Arial"/>
          <w:sz w:val="20"/>
          <w:szCs w:val="20"/>
        </w:rPr>
        <w:t xml:space="preserve">ransferred employees who had a travel card at their previous agency are treated as new applicants.  Although the travel card vendor does not share the actual credit scores with the SBA, they maintain records to document their decision to allow either a standard card or a restricted card (described in more detail below). </w:t>
      </w:r>
    </w:p>
    <w:p w:rsidR="00B8318D" w:rsidRDefault="00B8318D" w:rsidP="00B8318D">
      <w:pPr>
        <w:rPr>
          <w:rFonts w:ascii="Arial" w:hAnsi="Arial" w:cs="Arial"/>
          <w:sz w:val="20"/>
          <w:szCs w:val="20"/>
        </w:rPr>
      </w:pPr>
    </w:p>
    <w:p w:rsidR="00B8318D" w:rsidRPr="00C30A06" w:rsidRDefault="00DF06FC" w:rsidP="00B8318D">
      <w:pPr>
        <w:ind w:left="720"/>
        <w:rPr>
          <w:rFonts w:ascii="Arial" w:hAnsi="Arial" w:cs="Arial"/>
          <w:sz w:val="20"/>
          <w:szCs w:val="20"/>
        </w:rPr>
      </w:pPr>
      <w:r w:rsidRPr="00C30A06">
        <w:rPr>
          <w:rFonts w:ascii="Arial" w:hAnsi="Arial" w:cs="Arial"/>
          <w:b/>
          <w:sz w:val="20"/>
          <w:szCs w:val="20"/>
        </w:rPr>
        <w:t>4.1.2.2    Disaster Applicants</w:t>
      </w:r>
    </w:p>
    <w:p w:rsidR="00B8318D" w:rsidRDefault="00DF06FC" w:rsidP="00B8318D">
      <w:pPr>
        <w:ind w:left="720"/>
        <w:rPr>
          <w:rFonts w:ascii="Arial" w:hAnsi="Arial" w:cs="Arial"/>
          <w:sz w:val="20"/>
          <w:szCs w:val="20"/>
        </w:rPr>
      </w:pPr>
      <w:r>
        <w:rPr>
          <w:rFonts w:ascii="Arial" w:hAnsi="Arial" w:cs="Arial"/>
          <w:sz w:val="20"/>
          <w:szCs w:val="20"/>
        </w:rPr>
        <w:t>The SBA’s</w:t>
      </w:r>
      <w:r w:rsidR="004638F9">
        <w:rPr>
          <w:rFonts w:ascii="Arial" w:hAnsi="Arial" w:cs="Arial"/>
          <w:sz w:val="20"/>
          <w:szCs w:val="20"/>
        </w:rPr>
        <w:t>,</w:t>
      </w:r>
      <w:r>
        <w:rPr>
          <w:rFonts w:ascii="Arial" w:hAnsi="Arial" w:cs="Arial"/>
          <w:sz w:val="20"/>
          <w:szCs w:val="20"/>
        </w:rPr>
        <w:t xml:space="preserve"> Office of Disaster Assistance (ODA)</w:t>
      </w:r>
      <w:r w:rsidR="004638F9">
        <w:rPr>
          <w:rFonts w:ascii="Arial" w:hAnsi="Arial" w:cs="Arial"/>
          <w:sz w:val="20"/>
          <w:szCs w:val="20"/>
        </w:rPr>
        <w:t>,</w:t>
      </w:r>
      <w:r>
        <w:rPr>
          <w:rFonts w:ascii="Arial" w:hAnsi="Arial" w:cs="Arial"/>
          <w:sz w:val="20"/>
          <w:szCs w:val="20"/>
        </w:rPr>
        <w:t xml:space="preserve"> conducts pre-employment credit checks on all disaster job applicants. </w:t>
      </w:r>
      <w:r w:rsidRPr="00AC3D4D">
        <w:rPr>
          <w:rFonts w:ascii="Arial" w:hAnsi="Arial" w:cs="Arial"/>
          <w:sz w:val="20"/>
          <w:szCs w:val="20"/>
        </w:rPr>
        <w:t xml:space="preserve"> </w:t>
      </w:r>
      <w:r>
        <w:rPr>
          <w:rFonts w:ascii="Arial" w:hAnsi="Arial" w:cs="Arial"/>
          <w:sz w:val="20"/>
          <w:szCs w:val="20"/>
        </w:rPr>
        <w:t xml:space="preserve">A sufficient score is required for employment, as it is very difficult to perform disaster relief duties without the benefit of a travel card (restricted or regular).  ODA performs a credit check through one of the credit agencies, independent of the travel card vendor, in advance of any travel card application.  When a card application </w:t>
      </w:r>
      <w:r w:rsidR="00CB4845">
        <w:rPr>
          <w:rFonts w:ascii="Arial" w:hAnsi="Arial" w:cs="Arial"/>
          <w:sz w:val="20"/>
          <w:szCs w:val="20"/>
        </w:rPr>
        <w:t>is submitted</w:t>
      </w:r>
      <w:r>
        <w:rPr>
          <w:rFonts w:ascii="Arial" w:hAnsi="Arial" w:cs="Arial"/>
          <w:sz w:val="20"/>
          <w:szCs w:val="20"/>
        </w:rPr>
        <w:t xml:space="preserve">, ODA communicates the result of that query on </w:t>
      </w:r>
      <w:r w:rsidRPr="00AA2494">
        <w:rPr>
          <w:rFonts w:ascii="Arial" w:hAnsi="Arial" w:cs="Arial"/>
          <w:sz w:val="20"/>
          <w:szCs w:val="20"/>
        </w:rPr>
        <w:t xml:space="preserve">the face of the completed </w:t>
      </w:r>
      <w:r>
        <w:rPr>
          <w:rFonts w:ascii="Arial" w:hAnsi="Arial" w:cs="Arial"/>
          <w:sz w:val="20"/>
          <w:szCs w:val="20"/>
        </w:rPr>
        <w:t xml:space="preserve">application by noting the color green for a standard card and the color yellow for a restricted card.  The yellow and green coding is determined by the credit score.  </w:t>
      </w:r>
      <w:r w:rsidRPr="00AA2494">
        <w:rPr>
          <w:rFonts w:ascii="Arial" w:hAnsi="Arial" w:cs="Arial"/>
          <w:sz w:val="20"/>
          <w:szCs w:val="20"/>
        </w:rPr>
        <w:t>The word “Disaster” is also reflected on the application alerting the card vendor that a check has already been performed.  The vendor may elect to do a second check depending upon their level of comfort with the application.  As mentioned above, multiple credit checks can adversely affect an employee’s credit history, so the SBA has arranged for such pre-employment checks to be “soft hits” without negative score consequences.</w:t>
      </w:r>
      <w:r>
        <w:rPr>
          <w:rFonts w:ascii="Arial" w:hAnsi="Arial" w:cs="Arial"/>
          <w:sz w:val="20"/>
          <w:szCs w:val="20"/>
        </w:rPr>
        <w:t xml:space="preserve">  </w:t>
      </w:r>
      <w:r w:rsidRPr="00AA2494">
        <w:rPr>
          <w:rFonts w:ascii="Arial" w:hAnsi="Arial" w:cs="Arial"/>
          <w:sz w:val="20"/>
          <w:szCs w:val="20"/>
        </w:rPr>
        <w:t>GSA travel card training certificate</w:t>
      </w:r>
      <w:r w:rsidR="004638F9">
        <w:rPr>
          <w:rFonts w:ascii="Arial" w:hAnsi="Arial" w:cs="Arial"/>
          <w:sz w:val="20"/>
          <w:szCs w:val="20"/>
        </w:rPr>
        <w:t>s</w:t>
      </w:r>
      <w:r w:rsidRPr="00AA2494">
        <w:rPr>
          <w:rFonts w:ascii="Arial" w:hAnsi="Arial" w:cs="Arial"/>
          <w:sz w:val="20"/>
          <w:szCs w:val="20"/>
        </w:rPr>
        <w:t xml:space="preserve"> </w:t>
      </w:r>
      <w:r>
        <w:rPr>
          <w:rFonts w:ascii="Arial" w:hAnsi="Arial" w:cs="Arial"/>
          <w:sz w:val="20"/>
          <w:szCs w:val="20"/>
        </w:rPr>
        <w:t>must be submitted with the application.</w:t>
      </w:r>
    </w:p>
    <w:p w:rsidR="00B8318D" w:rsidRDefault="00B8318D" w:rsidP="00B8318D">
      <w:pPr>
        <w:rPr>
          <w:rFonts w:ascii="Arial" w:hAnsi="Arial" w:cs="Arial"/>
          <w:sz w:val="20"/>
          <w:szCs w:val="20"/>
        </w:rPr>
      </w:pPr>
    </w:p>
    <w:p w:rsidR="00B8318D" w:rsidRDefault="00DF06FC" w:rsidP="00B8318D">
      <w:pPr>
        <w:ind w:left="360"/>
        <w:rPr>
          <w:rFonts w:ascii="Arial" w:hAnsi="Arial" w:cs="Arial"/>
          <w:sz w:val="20"/>
          <w:szCs w:val="20"/>
        </w:rPr>
      </w:pPr>
      <w:r>
        <w:rPr>
          <w:rFonts w:ascii="Arial" w:hAnsi="Arial" w:cs="Arial"/>
          <w:b/>
        </w:rPr>
        <w:lastRenderedPageBreak/>
        <w:t xml:space="preserve">4.1.3   </w:t>
      </w:r>
      <w:r w:rsidR="00C703B1">
        <w:rPr>
          <w:rFonts w:ascii="Arial" w:hAnsi="Arial" w:cs="Arial"/>
          <w:b/>
        </w:rPr>
        <w:t xml:space="preserve">Card </w:t>
      </w:r>
      <w:r>
        <w:rPr>
          <w:rFonts w:ascii="Arial" w:hAnsi="Arial" w:cs="Arial"/>
          <w:b/>
        </w:rPr>
        <w:t xml:space="preserve">Option </w:t>
      </w:r>
      <w:r>
        <w:rPr>
          <w:rFonts w:ascii="Arial" w:hAnsi="Arial" w:cs="Arial"/>
          <w:sz w:val="20"/>
          <w:szCs w:val="20"/>
        </w:rPr>
        <w:t>The SBA has established card limit option</w:t>
      </w:r>
      <w:r w:rsidR="00C703B1">
        <w:rPr>
          <w:rFonts w:ascii="Arial" w:hAnsi="Arial" w:cs="Arial"/>
          <w:sz w:val="20"/>
          <w:szCs w:val="20"/>
        </w:rPr>
        <w:t xml:space="preserve">s </w:t>
      </w:r>
      <w:r>
        <w:rPr>
          <w:rFonts w:ascii="Arial" w:hAnsi="Arial" w:cs="Arial"/>
          <w:sz w:val="20"/>
          <w:szCs w:val="20"/>
        </w:rPr>
        <w:t xml:space="preserve">for both Standard cards and </w:t>
      </w:r>
      <w:proofErr w:type="gramStart"/>
      <w:r>
        <w:rPr>
          <w:rFonts w:ascii="Arial" w:hAnsi="Arial" w:cs="Arial"/>
          <w:sz w:val="20"/>
          <w:szCs w:val="20"/>
        </w:rPr>
        <w:t>Restricted</w:t>
      </w:r>
      <w:proofErr w:type="gramEnd"/>
      <w:r>
        <w:rPr>
          <w:rFonts w:ascii="Arial" w:hAnsi="Arial" w:cs="Arial"/>
          <w:sz w:val="20"/>
          <w:szCs w:val="20"/>
        </w:rPr>
        <w:t xml:space="preserve"> cards (see Attachment E).  The vendor compares an applicant’s credit score with established thresholds to determine whether the applicant should receive a Standard card or a </w:t>
      </w:r>
      <w:proofErr w:type="gramStart"/>
      <w:r>
        <w:rPr>
          <w:rFonts w:ascii="Arial" w:hAnsi="Arial" w:cs="Arial"/>
          <w:sz w:val="20"/>
          <w:szCs w:val="20"/>
        </w:rPr>
        <w:t>Restricted</w:t>
      </w:r>
      <w:proofErr w:type="gramEnd"/>
      <w:r>
        <w:rPr>
          <w:rFonts w:ascii="Arial" w:hAnsi="Arial" w:cs="Arial"/>
          <w:sz w:val="20"/>
          <w:szCs w:val="20"/>
        </w:rPr>
        <w:t xml:space="preserve"> card.  If the applicant declines to give authorization to have their credit score evaluated, they are only eligible for a </w:t>
      </w:r>
      <w:proofErr w:type="gramStart"/>
      <w:r>
        <w:rPr>
          <w:rFonts w:ascii="Arial" w:hAnsi="Arial" w:cs="Arial"/>
          <w:sz w:val="20"/>
          <w:szCs w:val="20"/>
        </w:rPr>
        <w:t>Restricted</w:t>
      </w:r>
      <w:proofErr w:type="gramEnd"/>
      <w:r>
        <w:rPr>
          <w:rFonts w:ascii="Arial" w:hAnsi="Arial" w:cs="Arial"/>
          <w:sz w:val="20"/>
          <w:szCs w:val="20"/>
        </w:rPr>
        <w:t xml:space="preserve"> card</w:t>
      </w:r>
      <w:r w:rsidR="00B0403E">
        <w:rPr>
          <w:rFonts w:ascii="Arial" w:hAnsi="Arial" w:cs="Arial"/>
          <w:sz w:val="20"/>
          <w:szCs w:val="20"/>
        </w:rPr>
        <w:t>.  Restricted cardholders are emailed</w:t>
      </w:r>
      <w:r>
        <w:rPr>
          <w:rFonts w:ascii="Arial" w:hAnsi="Arial" w:cs="Arial"/>
          <w:sz w:val="20"/>
          <w:szCs w:val="20"/>
        </w:rPr>
        <w:t xml:space="preserve"> a letter to explain </w:t>
      </w:r>
      <w:r w:rsidR="00B0403E">
        <w:rPr>
          <w:rFonts w:ascii="Arial" w:hAnsi="Arial" w:cs="Arial"/>
          <w:sz w:val="20"/>
          <w:szCs w:val="20"/>
        </w:rPr>
        <w:t xml:space="preserve">their status and the restricted </w:t>
      </w:r>
      <w:r>
        <w:rPr>
          <w:rFonts w:ascii="Arial" w:hAnsi="Arial" w:cs="Arial"/>
          <w:sz w:val="20"/>
          <w:szCs w:val="20"/>
        </w:rPr>
        <w:t>usage of this card.</w:t>
      </w:r>
    </w:p>
    <w:p w:rsidR="00B8318D" w:rsidRDefault="00B8318D" w:rsidP="00B8318D">
      <w:pPr>
        <w:rPr>
          <w:rFonts w:ascii="Arial" w:hAnsi="Arial" w:cs="Arial"/>
          <w:sz w:val="20"/>
          <w:szCs w:val="20"/>
        </w:rPr>
      </w:pPr>
    </w:p>
    <w:p w:rsidR="00B8318D" w:rsidRPr="00814232" w:rsidRDefault="00DF06FC" w:rsidP="00B8318D">
      <w:pPr>
        <w:ind w:left="360"/>
        <w:rPr>
          <w:rFonts w:ascii="Arial" w:hAnsi="Arial" w:cs="Arial"/>
          <w:b/>
        </w:rPr>
      </w:pPr>
      <w:r>
        <w:rPr>
          <w:rFonts w:ascii="Arial" w:hAnsi="Arial" w:cs="Arial"/>
          <w:b/>
        </w:rPr>
        <w:t xml:space="preserve">4.1.4   </w:t>
      </w:r>
      <w:r w:rsidRPr="00814232">
        <w:rPr>
          <w:rFonts w:ascii="Arial" w:hAnsi="Arial" w:cs="Arial"/>
          <w:b/>
        </w:rPr>
        <w:t>Alternate Assessment</w:t>
      </w:r>
    </w:p>
    <w:p w:rsidR="00B8318D" w:rsidRDefault="00DF06FC" w:rsidP="00B8318D">
      <w:pPr>
        <w:ind w:left="360"/>
        <w:rPr>
          <w:rFonts w:ascii="Arial" w:hAnsi="Arial" w:cs="Arial"/>
          <w:sz w:val="20"/>
          <w:szCs w:val="20"/>
        </w:rPr>
      </w:pPr>
      <w:r w:rsidRPr="00943FEA">
        <w:rPr>
          <w:rFonts w:ascii="Arial" w:hAnsi="Arial" w:cs="Arial"/>
          <w:sz w:val="20"/>
          <w:szCs w:val="20"/>
          <w:highlight w:val="yellow"/>
        </w:rPr>
        <w:t>If an applicant does not have a credit score or their credit score cannot be evaluated, the SBA initiates an alternate creditworthiness assessment.  The SBA uses an alternate assessment form (see Attachment F)</w:t>
      </w:r>
      <w:r>
        <w:rPr>
          <w:rFonts w:ascii="Arial" w:hAnsi="Arial" w:cs="Arial"/>
          <w:sz w:val="20"/>
          <w:szCs w:val="20"/>
        </w:rPr>
        <w:t xml:space="preserve"> patterned after the credit worthiness questions contained in the already approved </w:t>
      </w:r>
      <w:r w:rsidRPr="00D60A95">
        <w:rPr>
          <w:rFonts w:ascii="Arial" w:hAnsi="Arial" w:cs="Arial"/>
          <w:sz w:val="20"/>
          <w:szCs w:val="20"/>
        </w:rPr>
        <w:t>S</w:t>
      </w:r>
      <w:r>
        <w:rPr>
          <w:rFonts w:ascii="Arial" w:hAnsi="Arial" w:cs="Arial"/>
          <w:sz w:val="20"/>
          <w:szCs w:val="20"/>
        </w:rPr>
        <w:t>tandard Form 8</w:t>
      </w:r>
      <w:r w:rsidRPr="00D60A95">
        <w:rPr>
          <w:rFonts w:ascii="Arial" w:hAnsi="Arial"/>
          <w:sz w:val="20"/>
          <w:szCs w:val="20"/>
        </w:rPr>
        <w:t>6</w:t>
      </w:r>
      <w:r>
        <w:rPr>
          <w:rFonts w:ascii="Arial" w:hAnsi="Arial"/>
          <w:sz w:val="20"/>
          <w:szCs w:val="20"/>
        </w:rPr>
        <w:t xml:space="preserve"> - </w:t>
      </w:r>
      <w:r w:rsidRPr="00D60A95">
        <w:rPr>
          <w:rFonts w:ascii="Arial" w:hAnsi="Arial"/>
          <w:i/>
          <w:sz w:val="20"/>
          <w:szCs w:val="20"/>
        </w:rPr>
        <w:t>Questionnaire for National Security Positions</w:t>
      </w:r>
      <w:r>
        <w:rPr>
          <w:rFonts w:ascii="Arial" w:hAnsi="Arial"/>
          <w:i/>
          <w:sz w:val="18"/>
          <w:szCs w:val="18"/>
        </w:rPr>
        <w:t>.</w:t>
      </w:r>
    </w:p>
    <w:p w:rsidR="00B8318D" w:rsidRDefault="00B8318D" w:rsidP="00B8318D">
      <w:pPr>
        <w:ind w:left="360"/>
        <w:rPr>
          <w:rFonts w:ascii="Arial" w:hAnsi="Arial" w:cs="Arial"/>
          <w:sz w:val="20"/>
          <w:szCs w:val="20"/>
        </w:rPr>
      </w:pPr>
    </w:p>
    <w:p w:rsidR="00B8318D" w:rsidRPr="00E86776" w:rsidRDefault="00DF06FC" w:rsidP="00B8318D">
      <w:pPr>
        <w:ind w:left="360"/>
        <w:rPr>
          <w:rFonts w:ascii="Arial" w:hAnsi="Arial" w:cs="Arial"/>
          <w:b/>
        </w:rPr>
      </w:pPr>
      <w:r>
        <w:rPr>
          <w:rFonts w:ascii="Arial" w:hAnsi="Arial" w:cs="Arial"/>
          <w:b/>
        </w:rPr>
        <w:t xml:space="preserve">4.1.5   </w:t>
      </w:r>
      <w:r w:rsidRPr="00E86776">
        <w:rPr>
          <w:rFonts w:ascii="Arial" w:hAnsi="Arial" w:cs="Arial"/>
          <w:b/>
        </w:rPr>
        <w:t>Subsequent Checks</w:t>
      </w:r>
    </w:p>
    <w:p w:rsidR="00B8318D" w:rsidRDefault="00DF06FC" w:rsidP="00B8318D">
      <w:pPr>
        <w:ind w:left="360"/>
        <w:rPr>
          <w:rFonts w:ascii="Arial" w:hAnsi="Arial" w:cs="Arial"/>
          <w:sz w:val="20"/>
          <w:szCs w:val="20"/>
        </w:rPr>
      </w:pPr>
      <w:r>
        <w:rPr>
          <w:rFonts w:ascii="Arial" w:hAnsi="Arial" w:cs="Arial"/>
          <w:sz w:val="20"/>
          <w:szCs w:val="20"/>
        </w:rPr>
        <w:t>A subsequent creditworthiness check may be performed for a number of reasons</w:t>
      </w:r>
      <w:r w:rsidR="005A1D6A">
        <w:rPr>
          <w:rFonts w:ascii="Arial" w:hAnsi="Arial" w:cs="Arial"/>
          <w:sz w:val="20"/>
          <w:szCs w:val="20"/>
        </w:rPr>
        <w:t>,</w:t>
      </w:r>
      <w:r>
        <w:rPr>
          <w:rFonts w:ascii="Arial" w:hAnsi="Arial" w:cs="Arial"/>
          <w:sz w:val="20"/>
          <w:szCs w:val="20"/>
        </w:rPr>
        <w:t xml:space="preserve"> including:</w:t>
      </w:r>
    </w:p>
    <w:p w:rsidR="00B8318D" w:rsidRDefault="00DF06FC" w:rsidP="00B8318D">
      <w:pPr>
        <w:numPr>
          <w:ilvl w:val="0"/>
          <w:numId w:val="3"/>
        </w:numPr>
        <w:rPr>
          <w:rFonts w:ascii="Arial" w:hAnsi="Arial" w:cs="Arial"/>
          <w:sz w:val="20"/>
          <w:szCs w:val="20"/>
        </w:rPr>
      </w:pPr>
      <w:r>
        <w:rPr>
          <w:rFonts w:ascii="Arial" w:hAnsi="Arial" w:cs="Arial"/>
          <w:sz w:val="20"/>
          <w:szCs w:val="20"/>
        </w:rPr>
        <w:t>An employee originally declined a credit check and was issued a restricted card – now the supervisor recommends the employee upgrade to a standard card.</w:t>
      </w:r>
    </w:p>
    <w:p w:rsidR="00B8318D" w:rsidRDefault="00DF06FC" w:rsidP="00B8318D">
      <w:pPr>
        <w:numPr>
          <w:ilvl w:val="0"/>
          <w:numId w:val="3"/>
        </w:numPr>
        <w:rPr>
          <w:rFonts w:ascii="Arial" w:hAnsi="Arial" w:cs="Arial"/>
          <w:sz w:val="20"/>
          <w:szCs w:val="20"/>
        </w:rPr>
      </w:pPr>
      <w:r>
        <w:rPr>
          <w:rFonts w:ascii="Arial" w:hAnsi="Arial" w:cs="Arial"/>
          <w:sz w:val="20"/>
          <w:szCs w:val="20"/>
        </w:rPr>
        <w:t>An employee was downgraded from a standard card to a restricted card due to delinquency/misuse, and now the supervisor recommends an upgrade</w:t>
      </w:r>
      <w:r w:rsidR="0000600D">
        <w:rPr>
          <w:rFonts w:ascii="Arial" w:hAnsi="Arial" w:cs="Arial"/>
          <w:sz w:val="20"/>
          <w:szCs w:val="20"/>
        </w:rPr>
        <w:t xml:space="preserve"> to a standard card.</w:t>
      </w:r>
    </w:p>
    <w:p w:rsidR="00B8318D" w:rsidRDefault="00DF06FC" w:rsidP="00B8318D">
      <w:pPr>
        <w:numPr>
          <w:ilvl w:val="0"/>
          <w:numId w:val="3"/>
        </w:numPr>
        <w:rPr>
          <w:rFonts w:ascii="Arial" w:hAnsi="Arial" w:cs="Arial"/>
          <w:sz w:val="20"/>
          <w:szCs w:val="20"/>
        </w:rPr>
      </w:pPr>
      <w:r>
        <w:rPr>
          <w:rFonts w:ascii="Arial" w:hAnsi="Arial" w:cs="Arial"/>
          <w:sz w:val="20"/>
          <w:szCs w:val="20"/>
        </w:rPr>
        <w:t>A former disaster employee was off the roles for over 1 year and is being rehired.</w:t>
      </w:r>
    </w:p>
    <w:p w:rsidR="00B8318D" w:rsidRPr="00E86776" w:rsidRDefault="00DF06FC" w:rsidP="00B8318D">
      <w:pPr>
        <w:numPr>
          <w:ilvl w:val="0"/>
          <w:numId w:val="3"/>
        </w:numPr>
        <w:rPr>
          <w:rFonts w:ascii="Arial" w:hAnsi="Arial" w:cs="Arial"/>
          <w:sz w:val="20"/>
          <w:szCs w:val="20"/>
        </w:rPr>
      </w:pPr>
      <w:r>
        <w:rPr>
          <w:rFonts w:ascii="Arial" w:hAnsi="Arial" w:cs="Arial"/>
          <w:sz w:val="20"/>
          <w:szCs w:val="20"/>
        </w:rPr>
        <w:t>An employee was originally issued a restricted card and has a positive travel card use and payment record, and due to job requirements</w:t>
      </w:r>
      <w:r w:rsidR="0000600D">
        <w:rPr>
          <w:rFonts w:ascii="Arial" w:hAnsi="Arial" w:cs="Arial"/>
          <w:sz w:val="20"/>
          <w:szCs w:val="20"/>
        </w:rPr>
        <w:t>,</w:t>
      </w:r>
      <w:r>
        <w:rPr>
          <w:rFonts w:ascii="Arial" w:hAnsi="Arial" w:cs="Arial"/>
          <w:sz w:val="20"/>
          <w:szCs w:val="20"/>
        </w:rPr>
        <w:t xml:space="preserve"> an upgrade is required.</w:t>
      </w:r>
    </w:p>
    <w:p w:rsidR="003B2EA2" w:rsidRDefault="003B2EA2" w:rsidP="00B8318D">
      <w:pPr>
        <w:pStyle w:val="Heading2"/>
        <w:rPr>
          <w:u w:val="single"/>
        </w:rPr>
      </w:pPr>
      <w:bookmarkStart w:id="7" w:name="_Toc252536522"/>
      <w:bookmarkEnd w:id="6"/>
      <w:bookmarkEnd w:id="7"/>
    </w:p>
    <w:sectPr w:rsidR="003B2EA2" w:rsidSect="002E36CA">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7D" w:rsidRDefault="00E6477D">
      <w:r>
        <w:separator/>
      </w:r>
    </w:p>
  </w:endnote>
  <w:endnote w:type="continuationSeparator" w:id="0">
    <w:p w:rsidR="00E6477D" w:rsidRDefault="00E6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7D" w:rsidRDefault="00E6477D">
      <w:r>
        <w:separator/>
      </w:r>
    </w:p>
  </w:footnote>
  <w:footnote w:type="continuationSeparator" w:id="0">
    <w:p w:rsidR="00E6477D" w:rsidRDefault="00E64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EFA"/>
    <w:multiLevelType w:val="singleLevel"/>
    <w:tmpl w:val="4424981E"/>
    <w:lvl w:ilvl="0">
      <w:start w:val="2"/>
      <w:numFmt w:val="lowerRoman"/>
      <w:lvlText w:val="(%1)"/>
      <w:legacy w:legacy="1" w:legacySpace="0" w:legacyIndent="1485"/>
      <w:lvlJc w:val="left"/>
      <w:pPr>
        <w:ind w:left="2250" w:hanging="1485"/>
      </w:pPr>
    </w:lvl>
  </w:abstractNum>
  <w:abstractNum w:abstractNumId="1">
    <w:nsid w:val="022F022F"/>
    <w:multiLevelType w:val="multilevel"/>
    <w:tmpl w:val="098CC380"/>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4CF3888"/>
    <w:multiLevelType w:val="hybridMultilevel"/>
    <w:tmpl w:val="0F847976"/>
    <w:lvl w:ilvl="0" w:tplc="279CEED6">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61E4D31"/>
    <w:multiLevelType w:val="multilevel"/>
    <w:tmpl w:val="46408EF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6D018C3"/>
    <w:multiLevelType w:val="singleLevel"/>
    <w:tmpl w:val="50E84AFC"/>
    <w:lvl w:ilvl="0">
      <w:start w:val="1"/>
      <w:numFmt w:val="lowerRoman"/>
      <w:lvlText w:val="(%1)"/>
      <w:legacy w:legacy="1" w:legacySpace="0" w:legacyIndent="1440"/>
      <w:lvlJc w:val="left"/>
      <w:pPr>
        <w:ind w:left="2160" w:hanging="1440"/>
      </w:pPr>
    </w:lvl>
  </w:abstractNum>
  <w:abstractNum w:abstractNumId="5">
    <w:nsid w:val="078E04CD"/>
    <w:multiLevelType w:val="multilevel"/>
    <w:tmpl w:val="67161E4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6">
    <w:nsid w:val="07FA3BC8"/>
    <w:multiLevelType w:val="singleLevel"/>
    <w:tmpl w:val="7362E366"/>
    <w:lvl w:ilvl="0">
      <w:start w:val="2"/>
      <w:numFmt w:val="lowerRoman"/>
      <w:lvlText w:val="(%1)"/>
      <w:legacy w:legacy="1" w:legacySpace="0" w:legacyIndent="1440"/>
      <w:lvlJc w:val="left"/>
      <w:pPr>
        <w:ind w:left="2160" w:hanging="1440"/>
      </w:pPr>
    </w:lvl>
  </w:abstractNum>
  <w:abstractNum w:abstractNumId="7">
    <w:nsid w:val="089B5971"/>
    <w:multiLevelType w:val="hybridMultilevel"/>
    <w:tmpl w:val="597656F6"/>
    <w:lvl w:ilvl="0" w:tplc="9FD07740">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0B2A7906"/>
    <w:multiLevelType w:val="singleLevel"/>
    <w:tmpl w:val="7AF699EE"/>
    <w:lvl w:ilvl="0">
      <w:start w:val="2"/>
      <w:numFmt w:val="lowerLetter"/>
      <w:lvlText w:val="(%1)"/>
      <w:legacy w:legacy="1" w:legacySpace="0" w:legacyIndent="375"/>
      <w:lvlJc w:val="left"/>
      <w:pPr>
        <w:ind w:left="375" w:hanging="375"/>
      </w:pPr>
    </w:lvl>
  </w:abstractNum>
  <w:abstractNum w:abstractNumId="9">
    <w:nsid w:val="0B2B29A9"/>
    <w:multiLevelType w:val="singleLevel"/>
    <w:tmpl w:val="EA067578"/>
    <w:lvl w:ilvl="0">
      <w:start w:val="4"/>
      <w:numFmt w:val="lowerRoman"/>
      <w:lvlText w:val="(%1)"/>
      <w:legacy w:legacy="1" w:legacySpace="0" w:legacyIndent="1485"/>
      <w:lvlJc w:val="left"/>
      <w:pPr>
        <w:ind w:left="2250" w:hanging="1485"/>
      </w:pPr>
    </w:lvl>
  </w:abstractNum>
  <w:abstractNum w:abstractNumId="10">
    <w:nsid w:val="0BD23005"/>
    <w:multiLevelType w:val="multilevel"/>
    <w:tmpl w:val="BC3E36CE"/>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0FAB57E9"/>
    <w:multiLevelType w:val="singleLevel"/>
    <w:tmpl w:val="A2FAF2E6"/>
    <w:lvl w:ilvl="0">
      <w:start w:val="3"/>
      <w:numFmt w:val="lowerRoman"/>
      <w:lvlText w:val="(%1)"/>
      <w:legacy w:legacy="1" w:legacySpace="0" w:legacyIndent="1485"/>
      <w:lvlJc w:val="left"/>
      <w:pPr>
        <w:ind w:left="2250" w:hanging="1485"/>
      </w:pPr>
    </w:lvl>
  </w:abstractNum>
  <w:abstractNum w:abstractNumId="12">
    <w:nsid w:val="10DB550E"/>
    <w:multiLevelType w:val="multilevel"/>
    <w:tmpl w:val="7C9CE482"/>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96F6F3E"/>
    <w:multiLevelType w:val="hybridMultilevel"/>
    <w:tmpl w:val="80DE6D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9DD72A7"/>
    <w:multiLevelType w:val="multilevel"/>
    <w:tmpl w:val="9FA88D50"/>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216F53BD"/>
    <w:multiLevelType w:val="singleLevel"/>
    <w:tmpl w:val="70F25480"/>
    <w:lvl w:ilvl="0">
      <w:start w:val="1"/>
      <w:numFmt w:val="decimal"/>
      <w:lvlText w:val="(%1)"/>
      <w:legacy w:legacy="1" w:legacySpace="0" w:legacyIndent="765"/>
      <w:lvlJc w:val="left"/>
      <w:pPr>
        <w:ind w:left="1140" w:hanging="765"/>
      </w:pPr>
    </w:lvl>
  </w:abstractNum>
  <w:abstractNum w:abstractNumId="16">
    <w:nsid w:val="233E41B7"/>
    <w:multiLevelType w:val="hybridMultilevel"/>
    <w:tmpl w:val="6CCEBA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45C1894"/>
    <w:multiLevelType w:val="hybridMultilevel"/>
    <w:tmpl w:val="653AF1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EF10003"/>
    <w:multiLevelType w:val="singleLevel"/>
    <w:tmpl w:val="49D61F76"/>
    <w:lvl w:ilvl="0">
      <w:start w:val="1"/>
      <w:numFmt w:val="lowerLetter"/>
      <w:lvlText w:val="(%1)"/>
      <w:legacy w:legacy="1" w:legacySpace="0" w:legacyIndent="375"/>
      <w:lvlJc w:val="left"/>
      <w:pPr>
        <w:ind w:left="375" w:hanging="375"/>
      </w:pPr>
    </w:lvl>
  </w:abstractNum>
  <w:abstractNum w:abstractNumId="19">
    <w:nsid w:val="31F41614"/>
    <w:multiLevelType w:val="hybridMultilevel"/>
    <w:tmpl w:val="487C26B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4501468"/>
    <w:multiLevelType w:val="hybridMultilevel"/>
    <w:tmpl w:val="7996E4F0"/>
    <w:lvl w:ilvl="0" w:tplc="7186BC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34706068"/>
    <w:multiLevelType w:val="multilevel"/>
    <w:tmpl w:val="18A6047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2">
    <w:nsid w:val="39DB37E9"/>
    <w:multiLevelType w:val="hybridMultilevel"/>
    <w:tmpl w:val="67860132"/>
    <w:lvl w:ilvl="0" w:tplc="7186BC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3C3E5C69"/>
    <w:multiLevelType w:val="hybridMultilevel"/>
    <w:tmpl w:val="FA1C8D80"/>
    <w:lvl w:ilvl="0" w:tplc="01149E02">
      <w:start w:val="1"/>
      <w:numFmt w:val="bullet"/>
      <w:lvlText w:val=""/>
      <w:lvlJc w:val="left"/>
      <w:pPr>
        <w:tabs>
          <w:tab w:val="num" w:pos="720"/>
        </w:tabs>
        <w:ind w:left="720" w:hanging="360"/>
      </w:pPr>
      <w:rPr>
        <w:rFonts w:ascii="Symbol" w:hAnsi="Symbol" w:hint="default"/>
        <w:color w:val="auto"/>
        <w:sz w:val="20"/>
        <w:szCs w:val="20"/>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0"/>
        </w:tabs>
        <w:ind w:left="0" w:hanging="360"/>
      </w:pPr>
    </w:lvl>
    <w:lvl w:ilvl="3" w:tplc="04090001">
      <w:start w:val="1"/>
      <w:numFmt w:val="decimal"/>
      <w:lvlText w:val="%4."/>
      <w:lvlJc w:val="left"/>
      <w:pPr>
        <w:tabs>
          <w:tab w:val="num" w:pos="720"/>
        </w:tabs>
        <w:ind w:left="720" w:hanging="360"/>
      </w:pPr>
    </w:lvl>
    <w:lvl w:ilvl="4" w:tplc="04090003">
      <w:start w:val="1"/>
      <w:numFmt w:val="decimal"/>
      <w:lvlText w:val="%5."/>
      <w:lvlJc w:val="left"/>
      <w:pPr>
        <w:tabs>
          <w:tab w:val="num" w:pos="1440"/>
        </w:tabs>
        <w:ind w:left="1440" w:hanging="360"/>
      </w:pPr>
    </w:lvl>
    <w:lvl w:ilvl="5" w:tplc="04090005">
      <w:start w:val="1"/>
      <w:numFmt w:val="decimal"/>
      <w:lvlText w:val="%6."/>
      <w:lvlJc w:val="left"/>
      <w:pPr>
        <w:tabs>
          <w:tab w:val="num" w:pos="2160"/>
        </w:tabs>
        <w:ind w:left="2160" w:hanging="360"/>
      </w:pPr>
    </w:lvl>
    <w:lvl w:ilvl="6" w:tplc="04090001">
      <w:start w:val="1"/>
      <w:numFmt w:val="decimal"/>
      <w:lvlText w:val="%7."/>
      <w:lvlJc w:val="left"/>
      <w:pPr>
        <w:tabs>
          <w:tab w:val="num" w:pos="2880"/>
        </w:tabs>
        <w:ind w:left="2880" w:hanging="360"/>
      </w:pPr>
    </w:lvl>
    <w:lvl w:ilvl="7" w:tplc="04090003">
      <w:start w:val="1"/>
      <w:numFmt w:val="decimal"/>
      <w:lvlText w:val="%8."/>
      <w:lvlJc w:val="left"/>
      <w:pPr>
        <w:tabs>
          <w:tab w:val="num" w:pos="3600"/>
        </w:tabs>
        <w:ind w:left="3600" w:hanging="360"/>
      </w:pPr>
    </w:lvl>
    <w:lvl w:ilvl="8" w:tplc="04090005">
      <w:start w:val="1"/>
      <w:numFmt w:val="decimal"/>
      <w:lvlText w:val="%9."/>
      <w:lvlJc w:val="left"/>
      <w:pPr>
        <w:tabs>
          <w:tab w:val="num" w:pos="4320"/>
        </w:tabs>
        <w:ind w:left="4320" w:hanging="360"/>
      </w:pPr>
    </w:lvl>
  </w:abstractNum>
  <w:abstractNum w:abstractNumId="24">
    <w:nsid w:val="3D3F623E"/>
    <w:multiLevelType w:val="hybridMultilevel"/>
    <w:tmpl w:val="F3BC3F26"/>
    <w:lvl w:ilvl="0" w:tplc="7B2E04DE">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0F6352"/>
    <w:multiLevelType w:val="singleLevel"/>
    <w:tmpl w:val="376A3282"/>
    <w:lvl w:ilvl="0">
      <w:start w:val="3"/>
      <w:numFmt w:val="lowerRoman"/>
      <w:lvlText w:val="(%1)"/>
      <w:legacy w:legacy="1" w:legacySpace="0" w:legacyIndent="1440"/>
      <w:lvlJc w:val="left"/>
      <w:pPr>
        <w:ind w:left="2160" w:hanging="1440"/>
      </w:pPr>
    </w:lvl>
  </w:abstractNum>
  <w:abstractNum w:abstractNumId="26">
    <w:nsid w:val="435E3151"/>
    <w:multiLevelType w:val="hybridMultilevel"/>
    <w:tmpl w:val="78386054"/>
    <w:lvl w:ilvl="0" w:tplc="0846B6EE">
      <w:start w:val="1"/>
      <w:numFmt w:val="bullet"/>
      <w:lvlText w:val=""/>
      <w:lvlJc w:val="left"/>
      <w:pPr>
        <w:tabs>
          <w:tab w:val="num" w:pos="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257E77"/>
    <w:multiLevelType w:val="multilevel"/>
    <w:tmpl w:val="F39C47F2"/>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4577BBC"/>
    <w:multiLevelType w:val="singleLevel"/>
    <w:tmpl w:val="65F8503C"/>
    <w:lvl w:ilvl="0">
      <w:start w:val="2"/>
      <w:numFmt w:val="decimal"/>
      <w:lvlText w:val="(%1)"/>
      <w:legacy w:legacy="1" w:legacySpace="0" w:legacyIndent="765"/>
      <w:lvlJc w:val="left"/>
      <w:pPr>
        <w:ind w:left="1140" w:hanging="765"/>
      </w:pPr>
    </w:lvl>
  </w:abstractNum>
  <w:abstractNum w:abstractNumId="29">
    <w:nsid w:val="473D363D"/>
    <w:multiLevelType w:val="singleLevel"/>
    <w:tmpl w:val="E354C9D0"/>
    <w:lvl w:ilvl="0">
      <w:start w:val="6"/>
      <w:numFmt w:val="lowerRoman"/>
      <w:lvlText w:val="(%1)"/>
      <w:legacy w:legacy="1" w:legacySpace="0" w:legacyIndent="1440"/>
      <w:lvlJc w:val="left"/>
      <w:pPr>
        <w:ind w:left="2160" w:hanging="1440"/>
      </w:pPr>
    </w:lvl>
  </w:abstractNum>
  <w:abstractNum w:abstractNumId="30">
    <w:nsid w:val="4AFB357D"/>
    <w:multiLevelType w:val="singleLevel"/>
    <w:tmpl w:val="87AA0F08"/>
    <w:lvl w:ilvl="0">
      <w:start w:val="1"/>
      <w:numFmt w:val="lowerRoman"/>
      <w:lvlText w:val="(%1)"/>
      <w:legacy w:legacy="1" w:legacySpace="0" w:legacyIndent="1485"/>
      <w:lvlJc w:val="left"/>
      <w:pPr>
        <w:ind w:left="2250" w:hanging="1485"/>
      </w:pPr>
    </w:lvl>
  </w:abstractNum>
  <w:abstractNum w:abstractNumId="31">
    <w:nsid w:val="4B7E6358"/>
    <w:multiLevelType w:val="multilevel"/>
    <w:tmpl w:val="DF74E1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F036037"/>
    <w:multiLevelType w:val="singleLevel"/>
    <w:tmpl w:val="D2709794"/>
    <w:lvl w:ilvl="0">
      <w:start w:val="8"/>
      <w:numFmt w:val="lowerRoman"/>
      <w:lvlText w:val="(%1)"/>
      <w:legacy w:legacy="1" w:legacySpace="0" w:legacyIndent="1440"/>
      <w:lvlJc w:val="left"/>
      <w:pPr>
        <w:ind w:left="2160" w:hanging="1440"/>
      </w:pPr>
    </w:lvl>
  </w:abstractNum>
  <w:abstractNum w:abstractNumId="33">
    <w:nsid w:val="4F7C0C1D"/>
    <w:multiLevelType w:val="multilevel"/>
    <w:tmpl w:val="CEE250E6"/>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nsid w:val="55FF6BAE"/>
    <w:multiLevelType w:val="multilevel"/>
    <w:tmpl w:val="876CC7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741121"/>
    <w:multiLevelType w:val="multilevel"/>
    <w:tmpl w:val="802C75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4A900F0"/>
    <w:multiLevelType w:val="multilevel"/>
    <w:tmpl w:val="0226D96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2"/>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7">
    <w:nsid w:val="696465F7"/>
    <w:multiLevelType w:val="multilevel"/>
    <w:tmpl w:val="0C5EF296"/>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735"/>
        </w:tabs>
        <w:ind w:left="735" w:hanging="55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nsid w:val="6D687CF9"/>
    <w:multiLevelType w:val="hybridMultilevel"/>
    <w:tmpl w:val="465EE3E0"/>
    <w:lvl w:ilvl="0" w:tplc="01149E02">
      <w:start w:val="1"/>
      <w:numFmt w:val="bullet"/>
      <w:lvlText w:val=""/>
      <w:lvlJc w:val="left"/>
      <w:pPr>
        <w:tabs>
          <w:tab w:val="num" w:pos="2880"/>
        </w:tabs>
        <w:ind w:left="288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F695B63"/>
    <w:multiLevelType w:val="multilevel"/>
    <w:tmpl w:val="7DDCF2F0"/>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08901B5"/>
    <w:multiLevelType w:val="multilevel"/>
    <w:tmpl w:val="73A4D0C8"/>
    <w:lvl w:ilvl="0">
      <w:start w:val="2"/>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2E80F93"/>
    <w:multiLevelType w:val="singleLevel"/>
    <w:tmpl w:val="6E52B8F2"/>
    <w:lvl w:ilvl="0">
      <w:start w:val="7"/>
      <w:numFmt w:val="lowerRoman"/>
      <w:lvlText w:val="(%1)"/>
      <w:legacy w:legacy="1" w:legacySpace="0" w:legacyIndent="1440"/>
      <w:lvlJc w:val="left"/>
      <w:pPr>
        <w:ind w:left="2160" w:hanging="1440"/>
      </w:pPr>
    </w:lvl>
  </w:abstractNum>
  <w:abstractNum w:abstractNumId="42">
    <w:nsid w:val="77FE1998"/>
    <w:multiLevelType w:val="singleLevel"/>
    <w:tmpl w:val="338CE7B0"/>
    <w:lvl w:ilvl="0">
      <w:start w:val="4"/>
      <w:numFmt w:val="lowerRoman"/>
      <w:lvlText w:val="(%1)"/>
      <w:legacy w:legacy="1" w:legacySpace="0" w:legacyIndent="1440"/>
      <w:lvlJc w:val="left"/>
      <w:pPr>
        <w:ind w:left="2160" w:hanging="1440"/>
      </w:pPr>
    </w:lvl>
  </w:abstractNum>
  <w:abstractNum w:abstractNumId="43">
    <w:nsid w:val="7CD6659F"/>
    <w:multiLevelType w:val="singleLevel"/>
    <w:tmpl w:val="8C88DBE6"/>
    <w:lvl w:ilvl="0">
      <w:start w:val="5"/>
      <w:numFmt w:val="lowerRoman"/>
      <w:lvlText w:val="(%1)"/>
      <w:legacy w:legacy="1" w:legacySpace="0" w:legacyIndent="1440"/>
      <w:lvlJc w:val="left"/>
      <w:pPr>
        <w:ind w:left="2160" w:hanging="1440"/>
      </w:pPr>
    </w:lvl>
  </w:abstractNum>
  <w:num w:numId="1">
    <w:abstractNumId w:val="20"/>
  </w:num>
  <w:num w:numId="2">
    <w:abstractNumId w:val="22"/>
  </w:num>
  <w:num w:numId="3">
    <w:abstractNumId w:val="16"/>
  </w:num>
  <w:num w:numId="4">
    <w:abstractNumId w:val="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5"/>
    <w:lvlOverride w:ilvl="0">
      <w:startOverride w:val="1"/>
    </w:lvlOverride>
  </w:num>
  <w:num w:numId="13">
    <w:abstractNumId w:val="4"/>
    <w:lvlOverride w:ilvl="0">
      <w:startOverride w:val="1"/>
    </w:lvlOverride>
  </w:num>
  <w:num w:numId="14">
    <w:abstractNumId w:val="6"/>
    <w:lvlOverride w:ilvl="0">
      <w:startOverride w:val="2"/>
    </w:lvlOverride>
  </w:num>
  <w:num w:numId="15">
    <w:abstractNumId w:val="25"/>
    <w:lvlOverride w:ilvl="0">
      <w:startOverride w:val="3"/>
    </w:lvlOverride>
  </w:num>
  <w:num w:numId="16">
    <w:abstractNumId w:val="42"/>
    <w:lvlOverride w:ilvl="0">
      <w:startOverride w:val="4"/>
    </w:lvlOverride>
  </w:num>
  <w:num w:numId="17">
    <w:abstractNumId w:val="43"/>
    <w:lvlOverride w:ilvl="0">
      <w:startOverride w:val="5"/>
    </w:lvlOverride>
  </w:num>
  <w:num w:numId="18">
    <w:abstractNumId w:val="29"/>
    <w:lvlOverride w:ilvl="0">
      <w:startOverride w:val="6"/>
    </w:lvlOverride>
  </w:num>
  <w:num w:numId="19">
    <w:abstractNumId w:val="41"/>
    <w:lvlOverride w:ilvl="0">
      <w:startOverride w:val="7"/>
    </w:lvlOverride>
  </w:num>
  <w:num w:numId="20">
    <w:abstractNumId w:val="32"/>
    <w:lvlOverride w:ilvl="0">
      <w:startOverride w:val="8"/>
    </w:lvlOverride>
  </w:num>
  <w:num w:numId="21">
    <w:abstractNumId w:val="28"/>
    <w:lvlOverride w:ilvl="0">
      <w:startOverride w:val="2"/>
    </w:lvlOverride>
  </w:num>
  <w:num w:numId="22">
    <w:abstractNumId w:val="30"/>
    <w:lvlOverride w:ilvl="0">
      <w:startOverride w:val="1"/>
    </w:lvlOverride>
  </w:num>
  <w:num w:numId="23">
    <w:abstractNumId w:val="0"/>
    <w:lvlOverride w:ilvl="0">
      <w:startOverride w:val="2"/>
    </w:lvlOverride>
  </w:num>
  <w:num w:numId="24">
    <w:abstractNumId w:val="11"/>
    <w:lvlOverride w:ilvl="0">
      <w:startOverride w:val="3"/>
    </w:lvlOverride>
  </w:num>
  <w:num w:numId="25">
    <w:abstractNumId w:val="9"/>
    <w:lvlOverride w:ilvl="0">
      <w:startOverride w:val="4"/>
    </w:lvlOverride>
  </w:num>
  <w:num w:numId="26">
    <w:abstractNumId w:val="8"/>
    <w:lvlOverride w:ilvl="0">
      <w:startOverride w:val="2"/>
    </w:lvlOverride>
  </w:num>
  <w:num w:numId="27">
    <w:abstractNumId w:val="40"/>
  </w:num>
  <w:num w:numId="28">
    <w:abstractNumId w:val="27"/>
  </w:num>
  <w:num w:numId="29">
    <w:abstractNumId w:val="39"/>
  </w:num>
  <w:num w:numId="30">
    <w:abstractNumId w:val="31"/>
  </w:num>
  <w:num w:numId="31">
    <w:abstractNumId w:val="35"/>
  </w:num>
  <w:num w:numId="32">
    <w:abstractNumId w:val="34"/>
  </w:num>
  <w:num w:numId="33">
    <w:abstractNumId w:val="14"/>
  </w:num>
  <w:num w:numId="34">
    <w:abstractNumId w:val="37"/>
  </w:num>
  <w:num w:numId="35">
    <w:abstractNumId w:val="1"/>
  </w:num>
  <w:num w:numId="36">
    <w:abstractNumId w:val="33"/>
  </w:num>
  <w:num w:numId="37">
    <w:abstractNumId w:val="3"/>
  </w:num>
  <w:num w:numId="38">
    <w:abstractNumId w:val="10"/>
  </w:num>
  <w:num w:numId="39">
    <w:abstractNumId w:val="12"/>
  </w:num>
  <w:num w:numId="40">
    <w:abstractNumId w:val="19"/>
  </w:num>
  <w:num w:numId="41">
    <w:abstractNumId w:val="2"/>
  </w:num>
  <w:num w:numId="42">
    <w:abstractNumId w:val="26"/>
  </w:num>
  <w:num w:numId="43">
    <w:abstractNumId w:val="36"/>
  </w:num>
  <w:num w:numId="44">
    <w:abstractNumId w:val="5"/>
  </w:num>
  <w:num w:numId="45">
    <w:abstractNumId w:val="21"/>
  </w:num>
  <w:num w:numId="46">
    <w:abstractNumId w:val="2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9D"/>
    <w:rsid w:val="0000600D"/>
    <w:rsid w:val="00012AB0"/>
    <w:rsid w:val="00013DB5"/>
    <w:rsid w:val="00036966"/>
    <w:rsid w:val="00042E8E"/>
    <w:rsid w:val="0005041C"/>
    <w:rsid w:val="00053D15"/>
    <w:rsid w:val="00056F54"/>
    <w:rsid w:val="000805D4"/>
    <w:rsid w:val="0008394B"/>
    <w:rsid w:val="000A4439"/>
    <w:rsid w:val="000A6C51"/>
    <w:rsid w:val="000B4131"/>
    <w:rsid w:val="000B51E1"/>
    <w:rsid w:val="000C2CFF"/>
    <w:rsid w:val="000D1DBE"/>
    <w:rsid w:val="000D4B18"/>
    <w:rsid w:val="000E425D"/>
    <w:rsid w:val="000F21D6"/>
    <w:rsid w:val="0012249D"/>
    <w:rsid w:val="001239E3"/>
    <w:rsid w:val="00123F0C"/>
    <w:rsid w:val="0013137E"/>
    <w:rsid w:val="00140CF8"/>
    <w:rsid w:val="001539A6"/>
    <w:rsid w:val="0019513B"/>
    <w:rsid w:val="00195FDE"/>
    <w:rsid w:val="00197A6F"/>
    <w:rsid w:val="001A3421"/>
    <w:rsid w:val="001A3EEF"/>
    <w:rsid w:val="001B4975"/>
    <w:rsid w:val="001B54AA"/>
    <w:rsid w:val="001C5570"/>
    <w:rsid w:val="001C5765"/>
    <w:rsid w:val="001F395B"/>
    <w:rsid w:val="0020150C"/>
    <w:rsid w:val="0023026A"/>
    <w:rsid w:val="00247986"/>
    <w:rsid w:val="00265B67"/>
    <w:rsid w:val="002822AC"/>
    <w:rsid w:val="002908D7"/>
    <w:rsid w:val="0029101C"/>
    <w:rsid w:val="002A46B1"/>
    <w:rsid w:val="002A5750"/>
    <w:rsid w:val="002B64CB"/>
    <w:rsid w:val="002C535C"/>
    <w:rsid w:val="002D0C7B"/>
    <w:rsid w:val="002D1A17"/>
    <w:rsid w:val="002D240E"/>
    <w:rsid w:val="002D32AB"/>
    <w:rsid w:val="002E10CD"/>
    <w:rsid w:val="002E36CA"/>
    <w:rsid w:val="002F1F43"/>
    <w:rsid w:val="003148B4"/>
    <w:rsid w:val="00320FCF"/>
    <w:rsid w:val="003321AB"/>
    <w:rsid w:val="00332CA8"/>
    <w:rsid w:val="00334E63"/>
    <w:rsid w:val="00334E90"/>
    <w:rsid w:val="00345AF0"/>
    <w:rsid w:val="00347C75"/>
    <w:rsid w:val="00377283"/>
    <w:rsid w:val="00384780"/>
    <w:rsid w:val="0039238E"/>
    <w:rsid w:val="003B2EA2"/>
    <w:rsid w:val="003C7F59"/>
    <w:rsid w:val="003D244E"/>
    <w:rsid w:val="003E67D2"/>
    <w:rsid w:val="004015C3"/>
    <w:rsid w:val="0040567A"/>
    <w:rsid w:val="0042181F"/>
    <w:rsid w:val="00443850"/>
    <w:rsid w:val="00452E43"/>
    <w:rsid w:val="00461AC6"/>
    <w:rsid w:val="004638F9"/>
    <w:rsid w:val="00463B2C"/>
    <w:rsid w:val="00480322"/>
    <w:rsid w:val="004909E2"/>
    <w:rsid w:val="00490F68"/>
    <w:rsid w:val="00494F82"/>
    <w:rsid w:val="004B16CE"/>
    <w:rsid w:val="004B430A"/>
    <w:rsid w:val="004C4588"/>
    <w:rsid w:val="004D1D2C"/>
    <w:rsid w:val="004E038E"/>
    <w:rsid w:val="00502674"/>
    <w:rsid w:val="00504D5C"/>
    <w:rsid w:val="00520C51"/>
    <w:rsid w:val="00530E9A"/>
    <w:rsid w:val="00541730"/>
    <w:rsid w:val="00553AB4"/>
    <w:rsid w:val="00555939"/>
    <w:rsid w:val="005627D4"/>
    <w:rsid w:val="00562802"/>
    <w:rsid w:val="00564EEA"/>
    <w:rsid w:val="005A1D6A"/>
    <w:rsid w:val="005B4E68"/>
    <w:rsid w:val="005D3284"/>
    <w:rsid w:val="005D68C5"/>
    <w:rsid w:val="005E3EE0"/>
    <w:rsid w:val="005F2547"/>
    <w:rsid w:val="00610344"/>
    <w:rsid w:val="006146A2"/>
    <w:rsid w:val="00622DC4"/>
    <w:rsid w:val="00627031"/>
    <w:rsid w:val="00627B37"/>
    <w:rsid w:val="00634B4A"/>
    <w:rsid w:val="006377CC"/>
    <w:rsid w:val="00643C05"/>
    <w:rsid w:val="00645059"/>
    <w:rsid w:val="00653111"/>
    <w:rsid w:val="006539E8"/>
    <w:rsid w:val="00657A83"/>
    <w:rsid w:val="006638F2"/>
    <w:rsid w:val="006678D6"/>
    <w:rsid w:val="00670510"/>
    <w:rsid w:val="00680CD1"/>
    <w:rsid w:val="0069621D"/>
    <w:rsid w:val="00697D6A"/>
    <w:rsid w:val="006E15DA"/>
    <w:rsid w:val="006E33B7"/>
    <w:rsid w:val="006E39CC"/>
    <w:rsid w:val="006F658C"/>
    <w:rsid w:val="00716FBD"/>
    <w:rsid w:val="00733D68"/>
    <w:rsid w:val="00775853"/>
    <w:rsid w:val="00776663"/>
    <w:rsid w:val="00786329"/>
    <w:rsid w:val="007871EB"/>
    <w:rsid w:val="007A5F83"/>
    <w:rsid w:val="007A61D1"/>
    <w:rsid w:val="007B4A89"/>
    <w:rsid w:val="007E131C"/>
    <w:rsid w:val="007F467E"/>
    <w:rsid w:val="007F747B"/>
    <w:rsid w:val="007F7B06"/>
    <w:rsid w:val="008065C6"/>
    <w:rsid w:val="008124CD"/>
    <w:rsid w:val="00814414"/>
    <w:rsid w:val="00816998"/>
    <w:rsid w:val="008240A8"/>
    <w:rsid w:val="008336A5"/>
    <w:rsid w:val="00840B28"/>
    <w:rsid w:val="008526F7"/>
    <w:rsid w:val="00852BF5"/>
    <w:rsid w:val="00853A0F"/>
    <w:rsid w:val="00870A0E"/>
    <w:rsid w:val="008914AA"/>
    <w:rsid w:val="008A3134"/>
    <w:rsid w:val="008B6557"/>
    <w:rsid w:val="008C782C"/>
    <w:rsid w:val="008D51E3"/>
    <w:rsid w:val="008E007E"/>
    <w:rsid w:val="00900C32"/>
    <w:rsid w:val="00904825"/>
    <w:rsid w:val="00912645"/>
    <w:rsid w:val="00916F18"/>
    <w:rsid w:val="00917767"/>
    <w:rsid w:val="00927897"/>
    <w:rsid w:val="00932255"/>
    <w:rsid w:val="00936C84"/>
    <w:rsid w:val="00943FEA"/>
    <w:rsid w:val="00945472"/>
    <w:rsid w:val="00946458"/>
    <w:rsid w:val="0095127F"/>
    <w:rsid w:val="009655A7"/>
    <w:rsid w:val="00993B57"/>
    <w:rsid w:val="00996674"/>
    <w:rsid w:val="00996980"/>
    <w:rsid w:val="009B26BC"/>
    <w:rsid w:val="009C0292"/>
    <w:rsid w:val="009C2D1A"/>
    <w:rsid w:val="009C32F8"/>
    <w:rsid w:val="009C7A46"/>
    <w:rsid w:val="009E55B5"/>
    <w:rsid w:val="009F51D8"/>
    <w:rsid w:val="00A01C03"/>
    <w:rsid w:val="00A1002B"/>
    <w:rsid w:val="00A112B0"/>
    <w:rsid w:val="00A365C7"/>
    <w:rsid w:val="00A4103E"/>
    <w:rsid w:val="00A93F9C"/>
    <w:rsid w:val="00A94637"/>
    <w:rsid w:val="00AA39F8"/>
    <w:rsid w:val="00AB1893"/>
    <w:rsid w:val="00AC47E5"/>
    <w:rsid w:val="00AC7A33"/>
    <w:rsid w:val="00AF1B06"/>
    <w:rsid w:val="00AF5C9A"/>
    <w:rsid w:val="00AF6B3E"/>
    <w:rsid w:val="00B01CAA"/>
    <w:rsid w:val="00B0403E"/>
    <w:rsid w:val="00B31986"/>
    <w:rsid w:val="00B43A30"/>
    <w:rsid w:val="00B460C5"/>
    <w:rsid w:val="00B55C31"/>
    <w:rsid w:val="00B563C4"/>
    <w:rsid w:val="00B8318D"/>
    <w:rsid w:val="00B85359"/>
    <w:rsid w:val="00B87468"/>
    <w:rsid w:val="00B93A12"/>
    <w:rsid w:val="00BA5AD6"/>
    <w:rsid w:val="00BB1678"/>
    <w:rsid w:val="00BB3002"/>
    <w:rsid w:val="00BC146C"/>
    <w:rsid w:val="00BD32EC"/>
    <w:rsid w:val="00BE7E07"/>
    <w:rsid w:val="00BF4138"/>
    <w:rsid w:val="00C01081"/>
    <w:rsid w:val="00C03AE0"/>
    <w:rsid w:val="00C303C5"/>
    <w:rsid w:val="00C30911"/>
    <w:rsid w:val="00C4008B"/>
    <w:rsid w:val="00C44E25"/>
    <w:rsid w:val="00C52505"/>
    <w:rsid w:val="00C52703"/>
    <w:rsid w:val="00C61792"/>
    <w:rsid w:val="00C703B1"/>
    <w:rsid w:val="00C73CE1"/>
    <w:rsid w:val="00CA5C1F"/>
    <w:rsid w:val="00CB4845"/>
    <w:rsid w:val="00CB5955"/>
    <w:rsid w:val="00CC6FC7"/>
    <w:rsid w:val="00CD1160"/>
    <w:rsid w:val="00CF57CA"/>
    <w:rsid w:val="00D001A6"/>
    <w:rsid w:val="00D15C7E"/>
    <w:rsid w:val="00D5483C"/>
    <w:rsid w:val="00D60668"/>
    <w:rsid w:val="00D6491C"/>
    <w:rsid w:val="00D71310"/>
    <w:rsid w:val="00D77401"/>
    <w:rsid w:val="00D8671F"/>
    <w:rsid w:val="00D86764"/>
    <w:rsid w:val="00DA0DBC"/>
    <w:rsid w:val="00DA4DF1"/>
    <w:rsid w:val="00DA6EC6"/>
    <w:rsid w:val="00DA797B"/>
    <w:rsid w:val="00DB1CBE"/>
    <w:rsid w:val="00DB388C"/>
    <w:rsid w:val="00DF0327"/>
    <w:rsid w:val="00DF06FC"/>
    <w:rsid w:val="00E03C27"/>
    <w:rsid w:val="00E17556"/>
    <w:rsid w:val="00E52B52"/>
    <w:rsid w:val="00E6477D"/>
    <w:rsid w:val="00E6598B"/>
    <w:rsid w:val="00E67927"/>
    <w:rsid w:val="00E97F12"/>
    <w:rsid w:val="00EB6ED4"/>
    <w:rsid w:val="00ED3B51"/>
    <w:rsid w:val="00EF11C0"/>
    <w:rsid w:val="00EF1CF2"/>
    <w:rsid w:val="00F138CE"/>
    <w:rsid w:val="00F25035"/>
    <w:rsid w:val="00F26897"/>
    <w:rsid w:val="00F308B7"/>
    <w:rsid w:val="00F41767"/>
    <w:rsid w:val="00F44A01"/>
    <w:rsid w:val="00F450D2"/>
    <w:rsid w:val="00F47EEC"/>
    <w:rsid w:val="00F76AFD"/>
    <w:rsid w:val="00F91C3B"/>
    <w:rsid w:val="00FF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E0"/>
    <w:rPr>
      <w:sz w:val="24"/>
      <w:szCs w:val="24"/>
    </w:rPr>
  </w:style>
  <w:style w:type="paragraph" w:styleId="Heading1">
    <w:name w:val="heading 1"/>
    <w:basedOn w:val="Normal"/>
    <w:next w:val="Normal"/>
    <w:link w:val="Heading1Char"/>
    <w:qFormat/>
    <w:rsid w:val="00A525F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845F2"/>
    <w:pPr>
      <w:keepNext/>
      <w:spacing w:before="24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249D"/>
    <w:pPr>
      <w:tabs>
        <w:tab w:val="center" w:pos="4320"/>
        <w:tab w:val="right" w:pos="8640"/>
      </w:tabs>
    </w:pPr>
  </w:style>
  <w:style w:type="paragraph" w:styleId="Footer">
    <w:name w:val="footer"/>
    <w:basedOn w:val="Normal"/>
    <w:rsid w:val="0012249D"/>
    <w:pPr>
      <w:tabs>
        <w:tab w:val="center" w:pos="4320"/>
        <w:tab w:val="right" w:pos="8640"/>
      </w:tabs>
    </w:pPr>
  </w:style>
  <w:style w:type="table" w:styleId="TableGrid">
    <w:name w:val="Table Grid"/>
    <w:basedOn w:val="TableNormal"/>
    <w:rsid w:val="00A44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6D28"/>
  </w:style>
  <w:style w:type="character" w:styleId="CommentReference">
    <w:name w:val="annotation reference"/>
    <w:semiHidden/>
    <w:rsid w:val="00D33F9A"/>
    <w:rPr>
      <w:sz w:val="16"/>
      <w:szCs w:val="16"/>
    </w:rPr>
  </w:style>
  <w:style w:type="paragraph" w:styleId="CommentText">
    <w:name w:val="annotation text"/>
    <w:basedOn w:val="Normal"/>
    <w:semiHidden/>
    <w:rsid w:val="00D33F9A"/>
    <w:rPr>
      <w:sz w:val="20"/>
      <w:szCs w:val="20"/>
    </w:rPr>
  </w:style>
  <w:style w:type="paragraph" w:styleId="CommentSubject">
    <w:name w:val="annotation subject"/>
    <w:basedOn w:val="CommentText"/>
    <w:next w:val="CommentText"/>
    <w:semiHidden/>
    <w:rsid w:val="00D33F9A"/>
    <w:rPr>
      <w:b/>
      <w:bCs/>
    </w:rPr>
  </w:style>
  <w:style w:type="paragraph" w:styleId="BalloonText">
    <w:name w:val="Balloon Text"/>
    <w:basedOn w:val="Normal"/>
    <w:semiHidden/>
    <w:rsid w:val="00D33F9A"/>
    <w:rPr>
      <w:rFonts w:ascii="Tahoma" w:hAnsi="Tahoma" w:cs="Tahoma"/>
      <w:sz w:val="16"/>
      <w:szCs w:val="16"/>
    </w:rPr>
  </w:style>
  <w:style w:type="paragraph" w:customStyle="1" w:styleId="Style1">
    <w:name w:val="Style1"/>
    <w:basedOn w:val="Heading2"/>
    <w:rsid w:val="00A525FB"/>
    <w:rPr>
      <w:i/>
    </w:rPr>
  </w:style>
  <w:style w:type="paragraph" w:styleId="TOC1">
    <w:name w:val="toc 1"/>
    <w:basedOn w:val="Normal"/>
    <w:next w:val="Normal"/>
    <w:autoRedefine/>
    <w:uiPriority w:val="39"/>
    <w:rsid w:val="002E36CA"/>
    <w:pPr>
      <w:tabs>
        <w:tab w:val="right" w:leader="dot" w:pos="8630"/>
      </w:tabs>
      <w:jc w:val="center"/>
    </w:pPr>
    <w:rPr>
      <w:rFonts w:ascii="Arial" w:hAnsi="Arial"/>
      <w:b/>
      <w:noProof/>
      <w:color w:val="000000"/>
      <w:sz w:val="22"/>
      <w:szCs w:val="22"/>
    </w:rPr>
  </w:style>
  <w:style w:type="paragraph" w:styleId="TOC2">
    <w:name w:val="toc 2"/>
    <w:basedOn w:val="Normal"/>
    <w:next w:val="Normal"/>
    <w:autoRedefine/>
    <w:uiPriority w:val="39"/>
    <w:rsid w:val="00BE0F5E"/>
    <w:pPr>
      <w:tabs>
        <w:tab w:val="right" w:leader="dot" w:pos="8630"/>
      </w:tabs>
      <w:ind w:left="240"/>
    </w:pPr>
    <w:rPr>
      <w:rFonts w:ascii="Arial" w:hAnsi="Arial"/>
      <w:noProof/>
      <w:sz w:val="20"/>
      <w:szCs w:val="20"/>
    </w:rPr>
  </w:style>
  <w:style w:type="character" w:styleId="Hyperlink">
    <w:name w:val="Hyperlink"/>
    <w:uiPriority w:val="99"/>
    <w:rsid w:val="00A525FB"/>
    <w:rPr>
      <w:color w:val="0000FF"/>
      <w:u w:val="single"/>
    </w:rPr>
  </w:style>
  <w:style w:type="character" w:customStyle="1" w:styleId="Heading1Char">
    <w:name w:val="Heading 1 Char"/>
    <w:link w:val="Heading1"/>
    <w:rsid w:val="00352C44"/>
    <w:rPr>
      <w:rFonts w:ascii="Arial" w:hAnsi="Arial" w:cs="Arial"/>
      <w:b/>
      <w:bCs/>
      <w:kern w:val="32"/>
      <w:sz w:val="32"/>
      <w:szCs w:val="32"/>
      <w:lang w:val="en-US" w:eastAsia="en-US" w:bidi="ar-SA"/>
    </w:rPr>
  </w:style>
  <w:style w:type="character" w:customStyle="1" w:styleId="CharChar">
    <w:name w:val="Char Char"/>
    <w:locked/>
    <w:rsid w:val="00B30021"/>
    <w:rPr>
      <w:rFonts w:ascii="Arial" w:hAnsi="Arial" w:cs="Arial"/>
      <w:b/>
      <w:bCs/>
      <w:kern w:val="32"/>
      <w:sz w:val="32"/>
      <w:szCs w:val="32"/>
      <w:lang w:val="en-US" w:eastAsia="en-US" w:bidi="ar-SA"/>
    </w:rPr>
  </w:style>
  <w:style w:type="paragraph" w:customStyle="1" w:styleId="Default">
    <w:name w:val="Default"/>
    <w:rsid w:val="00B30021"/>
    <w:pPr>
      <w:autoSpaceDE w:val="0"/>
      <w:autoSpaceDN w:val="0"/>
      <w:adjustRightInd w:val="0"/>
    </w:pPr>
    <w:rPr>
      <w:color w:val="000000"/>
      <w:sz w:val="24"/>
      <w:szCs w:val="24"/>
    </w:rPr>
  </w:style>
  <w:style w:type="paragraph" w:styleId="Revision">
    <w:name w:val="Revision"/>
    <w:hidden/>
    <w:uiPriority w:val="99"/>
    <w:semiHidden/>
    <w:rsid w:val="00B853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E0"/>
    <w:rPr>
      <w:sz w:val="24"/>
      <w:szCs w:val="24"/>
    </w:rPr>
  </w:style>
  <w:style w:type="paragraph" w:styleId="Heading1">
    <w:name w:val="heading 1"/>
    <w:basedOn w:val="Normal"/>
    <w:next w:val="Normal"/>
    <w:link w:val="Heading1Char"/>
    <w:qFormat/>
    <w:rsid w:val="00A525F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845F2"/>
    <w:pPr>
      <w:keepNext/>
      <w:spacing w:before="24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249D"/>
    <w:pPr>
      <w:tabs>
        <w:tab w:val="center" w:pos="4320"/>
        <w:tab w:val="right" w:pos="8640"/>
      </w:tabs>
    </w:pPr>
  </w:style>
  <w:style w:type="paragraph" w:styleId="Footer">
    <w:name w:val="footer"/>
    <w:basedOn w:val="Normal"/>
    <w:rsid w:val="0012249D"/>
    <w:pPr>
      <w:tabs>
        <w:tab w:val="center" w:pos="4320"/>
        <w:tab w:val="right" w:pos="8640"/>
      </w:tabs>
    </w:pPr>
  </w:style>
  <w:style w:type="table" w:styleId="TableGrid">
    <w:name w:val="Table Grid"/>
    <w:basedOn w:val="TableNormal"/>
    <w:rsid w:val="00A44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6D28"/>
  </w:style>
  <w:style w:type="character" w:styleId="CommentReference">
    <w:name w:val="annotation reference"/>
    <w:semiHidden/>
    <w:rsid w:val="00D33F9A"/>
    <w:rPr>
      <w:sz w:val="16"/>
      <w:szCs w:val="16"/>
    </w:rPr>
  </w:style>
  <w:style w:type="paragraph" w:styleId="CommentText">
    <w:name w:val="annotation text"/>
    <w:basedOn w:val="Normal"/>
    <w:semiHidden/>
    <w:rsid w:val="00D33F9A"/>
    <w:rPr>
      <w:sz w:val="20"/>
      <w:szCs w:val="20"/>
    </w:rPr>
  </w:style>
  <w:style w:type="paragraph" w:styleId="CommentSubject">
    <w:name w:val="annotation subject"/>
    <w:basedOn w:val="CommentText"/>
    <w:next w:val="CommentText"/>
    <w:semiHidden/>
    <w:rsid w:val="00D33F9A"/>
    <w:rPr>
      <w:b/>
      <w:bCs/>
    </w:rPr>
  </w:style>
  <w:style w:type="paragraph" w:styleId="BalloonText">
    <w:name w:val="Balloon Text"/>
    <w:basedOn w:val="Normal"/>
    <w:semiHidden/>
    <w:rsid w:val="00D33F9A"/>
    <w:rPr>
      <w:rFonts w:ascii="Tahoma" w:hAnsi="Tahoma" w:cs="Tahoma"/>
      <w:sz w:val="16"/>
      <w:szCs w:val="16"/>
    </w:rPr>
  </w:style>
  <w:style w:type="paragraph" w:customStyle="1" w:styleId="Style1">
    <w:name w:val="Style1"/>
    <w:basedOn w:val="Heading2"/>
    <w:rsid w:val="00A525FB"/>
    <w:rPr>
      <w:i/>
    </w:rPr>
  </w:style>
  <w:style w:type="paragraph" w:styleId="TOC1">
    <w:name w:val="toc 1"/>
    <w:basedOn w:val="Normal"/>
    <w:next w:val="Normal"/>
    <w:autoRedefine/>
    <w:uiPriority w:val="39"/>
    <w:rsid w:val="002E36CA"/>
    <w:pPr>
      <w:tabs>
        <w:tab w:val="right" w:leader="dot" w:pos="8630"/>
      </w:tabs>
      <w:jc w:val="center"/>
    </w:pPr>
    <w:rPr>
      <w:rFonts w:ascii="Arial" w:hAnsi="Arial"/>
      <w:b/>
      <w:noProof/>
      <w:color w:val="000000"/>
      <w:sz w:val="22"/>
      <w:szCs w:val="22"/>
    </w:rPr>
  </w:style>
  <w:style w:type="paragraph" w:styleId="TOC2">
    <w:name w:val="toc 2"/>
    <w:basedOn w:val="Normal"/>
    <w:next w:val="Normal"/>
    <w:autoRedefine/>
    <w:uiPriority w:val="39"/>
    <w:rsid w:val="00BE0F5E"/>
    <w:pPr>
      <w:tabs>
        <w:tab w:val="right" w:leader="dot" w:pos="8630"/>
      </w:tabs>
      <w:ind w:left="240"/>
    </w:pPr>
    <w:rPr>
      <w:rFonts w:ascii="Arial" w:hAnsi="Arial"/>
      <w:noProof/>
      <w:sz w:val="20"/>
      <w:szCs w:val="20"/>
    </w:rPr>
  </w:style>
  <w:style w:type="character" w:styleId="Hyperlink">
    <w:name w:val="Hyperlink"/>
    <w:uiPriority w:val="99"/>
    <w:rsid w:val="00A525FB"/>
    <w:rPr>
      <w:color w:val="0000FF"/>
      <w:u w:val="single"/>
    </w:rPr>
  </w:style>
  <w:style w:type="character" w:customStyle="1" w:styleId="Heading1Char">
    <w:name w:val="Heading 1 Char"/>
    <w:link w:val="Heading1"/>
    <w:rsid w:val="00352C44"/>
    <w:rPr>
      <w:rFonts w:ascii="Arial" w:hAnsi="Arial" w:cs="Arial"/>
      <w:b/>
      <w:bCs/>
      <w:kern w:val="32"/>
      <w:sz w:val="32"/>
      <w:szCs w:val="32"/>
      <w:lang w:val="en-US" w:eastAsia="en-US" w:bidi="ar-SA"/>
    </w:rPr>
  </w:style>
  <w:style w:type="character" w:customStyle="1" w:styleId="CharChar">
    <w:name w:val="Char Char"/>
    <w:locked/>
    <w:rsid w:val="00B30021"/>
    <w:rPr>
      <w:rFonts w:ascii="Arial" w:hAnsi="Arial" w:cs="Arial"/>
      <w:b/>
      <w:bCs/>
      <w:kern w:val="32"/>
      <w:sz w:val="32"/>
      <w:szCs w:val="32"/>
      <w:lang w:val="en-US" w:eastAsia="en-US" w:bidi="ar-SA"/>
    </w:rPr>
  </w:style>
  <w:style w:type="paragraph" w:customStyle="1" w:styleId="Default">
    <w:name w:val="Default"/>
    <w:rsid w:val="00B30021"/>
    <w:pPr>
      <w:autoSpaceDE w:val="0"/>
      <w:autoSpaceDN w:val="0"/>
      <w:adjustRightInd w:val="0"/>
    </w:pPr>
    <w:rPr>
      <w:color w:val="000000"/>
      <w:sz w:val="24"/>
      <w:szCs w:val="24"/>
    </w:rPr>
  </w:style>
  <w:style w:type="paragraph" w:styleId="Revision">
    <w:name w:val="Revision"/>
    <w:hidden/>
    <w:uiPriority w:val="99"/>
    <w:semiHidden/>
    <w:rsid w:val="00B853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7E5C-B146-4C26-9A5C-515EA875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89C750A7.dotm</Template>
  <TotalTime>2</TotalTime>
  <Pages>2</Pages>
  <Words>647</Words>
  <Characters>3672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Charge Card Mgmt Plan Template</vt:lpstr>
    </vt:vector>
  </TitlesOfParts>
  <Company>Small Business Administration</Company>
  <LinksUpToDate>false</LinksUpToDate>
  <CharactersWithSpaces>4311</CharactersWithSpaces>
  <SharedDoc>false</SharedDoc>
  <HLinks>
    <vt:vector size="156" baseType="variant">
      <vt:variant>
        <vt:i4>65566</vt:i4>
      </vt:variant>
      <vt:variant>
        <vt:i4>143</vt:i4>
      </vt:variant>
      <vt:variant>
        <vt:i4>0</vt:i4>
      </vt:variant>
      <vt:variant>
        <vt:i4>5</vt:i4>
      </vt:variant>
      <vt:variant>
        <vt:lpwstr/>
      </vt:variant>
      <vt:variant>
        <vt:lpwstr>_Toc191370533</vt:lpwstr>
      </vt:variant>
      <vt:variant>
        <vt:i4>30</vt:i4>
      </vt:variant>
      <vt:variant>
        <vt:i4>137</vt:i4>
      </vt:variant>
      <vt:variant>
        <vt:i4>0</vt:i4>
      </vt:variant>
      <vt:variant>
        <vt:i4>5</vt:i4>
      </vt:variant>
      <vt:variant>
        <vt:lpwstr/>
      </vt:variant>
      <vt:variant>
        <vt:lpwstr>_Toc191370532</vt:lpwstr>
      </vt:variant>
      <vt:variant>
        <vt:i4>196638</vt:i4>
      </vt:variant>
      <vt:variant>
        <vt:i4>131</vt:i4>
      </vt:variant>
      <vt:variant>
        <vt:i4>0</vt:i4>
      </vt:variant>
      <vt:variant>
        <vt:i4>5</vt:i4>
      </vt:variant>
      <vt:variant>
        <vt:lpwstr/>
      </vt:variant>
      <vt:variant>
        <vt:lpwstr>_Toc191370531</vt:lpwstr>
      </vt:variant>
      <vt:variant>
        <vt:i4>131102</vt:i4>
      </vt:variant>
      <vt:variant>
        <vt:i4>128</vt:i4>
      </vt:variant>
      <vt:variant>
        <vt:i4>0</vt:i4>
      </vt:variant>
      <vt:variant>
        <vt:i4>5</vt:i4>
      </vt:variant>
      <vt:variant>
        <vt:lpwstr/>
      </vt:variant>
      <vt:variant>
        <vt:lpwstr>_Toc191370530</vt:lpwstr>
      </vt:variant>
      <vt:variant>
        <vt:i4>720927</vt:i4>
      </vt:variant>
      <vt:variant>
        <vt:i4>122</vt:i4>
      </vt:variant>
      <vt:variant>
        <vt:i4>0</vt:i4>
      </vt:variant>
      <vt:variant>
        <vt:i4>5</vt:i4>
      </vt:variant>
      <vt:variant>
        <vt:lpwstr/>
      </vt:variant>
      <vt:variant>
        <vt:lpwstr>_Toc191370529</vt:lpwstr>
      </vt:variant>
      <vt:variant>
        <vt:i4>655391</vt:i4>
      </vt:variant>
      <vt:variant>
        <vt:i4>119</vt:i4>
      </vt:variant>
      <vt:variant>
        <vt:i4>0</vt:i4>
      </vt:variant>
      <vt:variant>
        <vt:i4>5</vt:i4>
      </vt:variant>
      <vt:variant>
        <vt:lpwstr/>
      </vt:variant>
      <vt:variant>
        <vt:lpwstr>_Toc191370528</vt:lpwstr>
      </vt:variant>
      <vt:variant>
        <vt:i4>327711</vt:i4>
      </vt:variant>
      <vt:variant>
        <vt:i4>113</vt:i4>
      </vt:variant>
      <vt:variant>
        <vt:i4>0</vt:i4>
      </vt:variant>
      <vt:variant>
        <vt:i4>5</vt:i4>
      </vt:variant>
      <vt:variant>
        <vt:lpwstr/>
      </vt:variant>
      <vt:variant>
        <vt:lpwstr>_Toc191370527</vt:lpwstr>
      </vt:variant>
      <vt:variant>
        <vt:i4>262175</vt:i4>
      </vt:variant>
      <vt:variant>
        <vt:i4>107</vt:i4>
      </vt:variant>
      <vt:variant>
        <vt:i4>0</vt:i4>
      </vt:variant>
      <vt:variant>
        <vt:i4>5</vt:i4>
      </vt:variant>
      <vt:variant>
        <vt:lpwstr/>
      </vt:variant>
      <vt:variant>
        <vt:lpwstr>_Toc191370526</vt:lpwstr>
      </vt:variant>
      <vt:variant>
        <vt:i4>458783</vt:i4>
      </vt:variant>
      <vt:variant>
        <vt:i4>101</vt:i4>
      </vt:variant>
      <vt:variant>
        <vt:i4>0</vt:i4>
      </vt:variant>
      <vt:variant>
        <vt:i4>5</vt:i4>
      </vt:variant>
      <vt:variant>
        <vt:lpwstr/>
      </vt:variant>
      <vt:variant>
        <vt:lpwstr>_Toc191370525</vt:lpwstr>
      </vt:variant>
      <vt:variant>
        <vt:i4>393247</vt:i4>
      </vt:variant>
      <vt:variant>
        <vt:i4>95</vt:i4>
      </vt:variant>
      <vt:variant>
        <vt:i4>0</vt:i4>
      </vt:variant>
      <vt:variant>
        <vt:i4>5</vt:i4>
      </vt:variant>
      <vt:variant>
        <vt:lpwstr/>
      </vt:variant>
      <vt:variant>
        <vt:lpwstr>_Toc191370524</vt:lpwstr>
      </vt:variant>
      <vt:variant>
        <vt:i4>65567</vt:i4>
      </vt:variant>
      <vt:variant>
        <vt:i4>89</vt:i4>
      </vt:variant>
      <vt:variant>
        <vt:i4>0</vt:i4>
      </vt:variant>
      <vt:variant>
        <vt:i4>5</vt:i4>
      </vt:variant>
      <vt:variant>
        <vt:lpwstr/>
      </vt:variant>
      <vt:variant>
        <vt:lpwstr>_Toc191370523</vt:lpwstr>
      </vt:variant>
      <vt:variant>
        <vt:i4>31</vt:i4>
      </vt:variant>
      <vt:variant>
        <vt:i4>83</vt:i4>
      </vt:variant>
      <vt:variant>
        <vt:i4>0</vt:i4>
      </vt:variant>
      <vt:variant>
        <vt:i4>5</vt:i4>
      </vt:variant>
      <vt:variant>
        <vt:lpwstr/>
      </vt:variant>
      <vt:variant>
        <vt:lpwstr>_Toc191370522</vt:lpwstr>
      </vt:variant>
      <vt:variant>
        <vt:i4>196639</vt:i4>
      </vt:variant>
      <vt:variant>
        <vt:i4>77</vt:i4>
      </vt:variant>
      <vt:variant>
        <vt:i4>0</vt:i4>
      </vt:variant>
      <vt:variant>
        <vt:i4>5</vt:i4>
      </vt:variant>
      <vt:variant>
        <vt:lpwstr/>
      </vt:variant>
      <vt:variant>
        <vt:lpwstr>_Toc191370521</vt:lpwstr>
      </vt:variant>
      <vt:variant>
        <vt:i4>131103</vt:i4>
      </vt:variant>
      <vt:variant>
        <vt:i4>71</vt:i4>
      </vt:variant>
      <vt:variant>
        <vt:i4>0</vt:i4>
      </vt:variant>
      <vt:variant>
        <vt:i4>5</vt:i4>
      </vt:variant>
      <vt:variant>
        <vt:lpwstr/>
      </vt:variant>
      <vt:variant>
        <vt:lpwstr>_Toc191370520</vt:lpwstr>
      </vt:variant>
      <vt:variant>
        <vt:i4>720924</vt:i4>
      </vt:variant>
      <vt:variant>
        <vt:i4>65</vt:i4>
      </vt:variant>
      <vt:variant>
        <vt:i4>0</vt:i4>
      </vt:variant>
      <vt:variant>
        <vt:i4>5</vt:i4>
      </vt:variant>
      <vt:variant>
        <vt:lpwstr/>
      </vt:variant>
      <vt:variant>
        <vt:lpwstr>_Toc191370519</vt:lpwstr>
      </vt:variant>
      <vt:variant>
        <vt:i4>327708</vt:i4>
      </vt:variant>
      <vt:variant>
        <vt:i4>59</vt:i4>
      </vt:variant>
      <vt:variant>
        <vt:i4>0</vt:i4>
      </vt:variant>
      <vt:variant>
        <vt:i4>5</vt:i4>
      </vt:variant>
      <vt:variant>
        <vt:lpwstr/>
      </vt:variant>
      <vt:variant>
        <vt:lpwstr>_Toc191370517</vt:lpwstr>
      </vt:variant>
      <vt:variant>
        <vt:i4>262172</vt:i4>
      </vt:variant>
      <vt:variant>
        <vt:i4>53</vt:i4>
      </vt:variant>
      <vt:variant>
        <vt:i4>0</vt:i4>
      </vt:variant>
      <vt:variant>
        <vt:i4>5</vt:i4>
      </vt:variant>
      <vt:variant>
        <vt:lpwstr/>
      </vt:variant>
      <vt:variant>
        <vt:lpwstr>_Toc191370516</vt:lpwstr>
      </vt:variant>
      <vt:variant>
        <vt:i4>458780</vt:i4>
      </vt:variant>
      <vt:variant>
        <vt:i4>47</vt:i4>
      </vt:variant>
      <vt:variant>
        <vt:i4>0</vt:i4>
      </vt:variant>
      <vt:variant>
        <vt:i4>5</vt:i4>
      </vt:variant>
      <vt:variant>
        <vt:lpwstr/>
      </vt:variant>
      <vt:variant>
        <vt:lpwstr>_Toc191370515</vt:lpwstr>
      </vt:variant>
      <vt:variant>
        <vt:i4>393244</vt:i4>
      </vt:variant>
      <vt:variant>
        <vt:i4>41</vt:i4>
      </vt:variant>
      <vt:variant>
        <vt:i4>0</vt:i4>
      </vt:variant>
      <vt:variant>
        <vt:i4>5</vt:i4>
      </vt:variant>
      <vt:variant>
        <vt:lpwstr/>
      </vt:variant>
      <vt:variant>
        <vt:lpwstr>_Toc191370514</vt:lpwstr>
      </vt:variant>
      <vt:variant>
        <vt:i4>65564</vt:i4>
      </vt:variant>
      <vt:variant>
        <vt:i4>35</vt:i4>
      </vt:variant>
      <vt:variant>
        <vt:i4>0</vt:i4>
      </vt:variant>
      <vt:variant>
        <vt:i4>5</vt:i4>
      </vt:variant>
      <vt:variant>
        <vt:lpwstr/>
      </vt:variant>
      <vt:variant>
        <vt:lpwstr>_Toc191370513</vt:lpwstr>
      </vt:variant>
      <vt:variant>
        <vt:i4>28</vt:i4>
      </vt:variant>
      <vt:variant>
        <vt:i4>29</vt:i4>
      </vt:variant>
      <vt:variant>
        <vt:i4>0</vt:i4>
      </vt:variant>
      <vt:variant>
        <vt:i4>5</vt:i4>
      </vt:variant>
      <vt:variant>
        <vt:lpwstr/>
      </vt:variant>
      <vt:variant>
        <vt:lpwstr>_Toc191370512</vt:lpwstr>
      </vt:variant>
      <vt:variant>
        <vt:i4>196636</vt:i4>
      </vt:variant>
      <vt:variant>
        <vt:i4>23</vt:i4>
      </vt:variant>
      <vt:variant>
        <vt:i4>0</vt:i4>
      </vt:variant>
      <vt:variant>
        <vt:i4>5</vt:i4>
      </vt:variant>
      <vt:variant>
        <vt:lpwstr/>
      </vt:variant>
      <vt:variant>
        <vt:lpwstr>_Toc191370511</vt:lpwstr>
      </vt:variant>
      <vt:variant>
        <vt:i4>131100</vt:i4>
      </vt:variant>
      <vt:variant>
        <vt:i4>17</vt:i4>
      </vt:variant>
      <vt:variant>
        <vt:i4>0</vt:i4>
      </vt:variant>
      <vt:variant>
        <vt:i4>5</vt:i4>
      </vt:variant>
      <vt:variant>
        <vt:lpwstr/>
      </vt:variant>
      <vt:variant>
        <vt:lpwstr>_Toc191370510</vt:lpwstr>
      </vt:variant>
      <vt:variant>
        <vt:i4>720925</vt:i4>
      </vt:variant>
      <vt:variant>
        <vt:i4>11</vt:i4>
      </vt:variant>
      <vt:variant>
        <vt:i4>0</vt:i4>
      </vt:variant>
      <vt:variant>
        <vt:i4>5</vt:i4>
      </vt:variant>
      <vt:variant>
        <vt:lpwstr/>
      </vt:variant>
      <vt:variant>
        <vt:lpwstr>_Toc191370509</vt:lpwstr>
      </vt:variant>
      <vt:variant>
        <vt:i4>655389</vt:i4>
      </vt:variant>
      <vt:variant>
        <vt:i4>5</vt:i4>
      </vt:variant>
      <vt:variant>
        <vt:i4>0</vt:i4>
      </vt:variant>
      <vt:variant>
        <vt:i4>5</vt:i4>
      </vt:variant>
      <vt:variant>
        <vt:lpwstr/>
      </vt:variant>
      <vt:variant>
        <vt:lpwstr>_Toc191370508</vt:lpwstr>
      </vt:variant>
      <vt:variant>
        <vt:i4>327709</vt:i4>
      </vt:variant>
      <vt:variant>
        <vt:i4>2</vt:i4>
      </vt:variant>
      <vt:variant>
        <vt:i4>0</vt:i4>
      </vt:variant>
      <vt:variant>
        <vt:i4>5</vt:i4>
      </vt:variant>
      <vt:variant>
        <vt:lpwstr/>
      </vt:variant>
      <vt:variant>
        <vt:lpwstr>_Toc191370507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Charge Card Mgmt Plan Template</dc:title>
  <dc:creator>GSA</dc:creator>
  <cp:lastModifiedBy>Rich, Curtis B.</cp:lastModifiedBy>
  <cp:revision>2</cp:revision>
  <cp:lastPrinted>2016-01-27T16:48:00Z</cp:lastPrinted>
  <dcterms:created xsi:type="dcterms:W3CDTF">2016-11-29T12:54:00Z</dcterms:created>
  <dcterms:modified xsi:type="dcterms:W3CDTF">2016-11-29T12:54:00Z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