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CCF3F" w14:textId="77777777" w:rsidR="002D3381" w:rsidRPr="00486A07" w:rsidRDefault="002D3381" w:rsidP="00361F53">
      <w:pPr>
        <w:jc w:val="center"/>
        <w:rPr>
          <w:b/>
          <w:bCs/>
          <w:color w:val="000000"/>
        </w:rPr>
      </w:pPr>
    </w:p>
    <w:p w14:paraId="0282C008" w14:textId="77777777" w:rsidR="00540E3A" w:rsidRPr="00486A07" w:rsidRDefault="00540E3A" w:rsidP="00361F53">
      <w:pPr>
        <w:jc w:val="center"/>
        <w:rPr>
          <w:b/>
        </w:rPr>
      </w:pPr>
    </w:p>
    <w:p w14:paraId="7145ADA5" w14:textId="77777777" w:rsidR="00540E3A" w:rsidRPr="00486A07" w:rsidRDefault="00540E3A" w:rsidP="00361F53">
      <w:pPr>
        <w:jc w:val="center"/>
        <w:rPr>
          <w:b/>
        </w:rPr>
      </w:pPr>
    </w:p>
    <w:p w14:paraId="46C3443E" w14:textId="77777777" w:rsidR="00540E3A" w:rsidRPr="00486A07" w:rsidRDefault="00540E3A" w:rsidP="00361F53">
      <w:pPr>
        <w:jc w:val="center"/>
        <w:rPr>
          <w:b/>
        </w:rPr>
      </w:pPr>
    </w:p>
    <w:p w14:paraId="6F7D21C9" w14:textId="77777777" w:rsidR="00540E3A" w:rsidRPr="00486A07" w:rsidRDefault="00540E3A" w:rsidP="00361F53">
      <w:pPr>
        <w:jc w:val="center"/>
        <w:rPr>
          <w:b/>
        </w:rPr>
      </w:pPr>
    </w:p>
    <w:p w14:paraId="31572F36" w14:textId="77777777" w:rsidR="00540E3A" w:rsidRPr="00486A07" w:rsidRDefault="00540E3A" w:rsidP="00361F53">
      <w:pPr>
        <w:jc w:val="center"/>
        <w:rPr>
          <w:b/>
        </w:rPr>
      </w:pPr>
    </w:p>
    <w:p w14:paraId="6B60F222" w14:textId="2C790DEB" w:rsidR="0035127D" w:rsidRPr="00486A07" w:rsidRDefault="003F195B" w:rsidP="00361F53">
      <w:pPr>
        <w:jc w:val="center"/>
        <w:rPr>
          <w:b/>
          <w:bCs/>
          <w:color w:val="000000"/>
          <w:sz w:val="36"/>
          <w:szCs w:val="36"/>
        </w:rPr>
      </w:pPr>
      <w:r w:rsidRPr="00486A07">
        <w:rPr>
          <w:b/>
          <w:sz w:val="36"/>
          <w:szCs w:val="36"/>
        </w:rPr>
        <w:t>Canine Leptospirosis Surveillance</w:t>
      </w:r>
      <w:r w:rsidR="006142D9" w:rsidRPr="00486A07">
        <w:rPr>
          <w:b/>
          <w:sz w:val="36"/>
          <w:szCs w:val="36"/>
        </w:rPr>
        <w:t xml:space="preserve"> in</w:t>
      </w:r>
      <w:r w:rsidRPr="00486A07">
        <w:rPr>
          <w:b/>
          <w:sz w:val="36"/>
          <w:szCs w:val="36"/>
        </w:rPr>
        <w:t xml:space="preserve"> Puerto Rico</w:t>
      </w:r>
    </w:p>
    <w:p w14:paraId="3EC1DC6B" w14:textId="77777777" w:rsidR="00A879F4" w:rsidRPr="00486A07" w:rsidRDefault="00A879F4" w:rsidP="00361F53">
      <w:pPr>
        <w:jc w:val="center"/>
      </w:pPr>
    </w:p>
    <w:p w14:paraId="6D2AC61E" w14:textId="7895D91D" w:rsidR="00885DBC" w:rsidRPr="00486A07" w:rsidRDefault="00885DBC" w:rsidP="00361F53">
      <w:pPr>
        <w:jc w:val="center"/>
      </w:pPr>
      <w:r w:rsidRPr="00486A07">
        <w:t xml:space="preserve">Request for OMB Approval of </w:t>
      </w:r>
      <w:r w:rsidR="00CB37AA" w:rsidRPr="00486A07">
        <w:t>a</w:t>
      </w:r>
      <w:r w:rsidR="00ED3570" w:rsidRPr="00486A07">
        <w:t>n</w:t>
      </w:r>
      <w:r w:rsidR="0021254B" w:rsidRPr="00486A07">
        <w:t xml:space="preserve"> </w:t>
      </w:r>
      <w:r w:rsidR="00BD1B9B" w:rsidRPr="00486A07">
        <w:t xml:space="preserve">Existing </w:t>
      </w:r>
      <w:r w:rsidR="00CB37AA" w:rsidRPr="00486A07">
        <w:t>Information Collection</w:t>
      </w:r>
      <w:r w:rsidR="00ED3570" w:rsidRPr="00486A07">
        <w:t xml:space="preserve"> in Use without an OMB Control Number</w:t>
      </w:r>
    </w:p>
    <w:p w14:paraId="1CFF6ED4" w14:textId="63AA9893" w:rsidR="00C54B8D" w:rsidRPr="00486A07" w:rsidRDefault="00CB37AA" w:rsidP="00CB37AA">
      <w:pPr>
        <w:tabs>
          <w:tab w:val="left" w:pos="5865"/>
        </w:tabs>
        <w:rPr>
          <w:b/>
        </w:rPr>
      </w:pPr>
      <w:r w:rsidRPr="00486A07">
        <w:rPr>
          <w:b/>
        </w:rPr>
        <w:tab/>
      </w:r>
    </w:p>
    <w:p w14:paraId="0E4B6D4C" w14:textId="7A1C2D1D" w:rsidR="00C54B8D" w:rsidRPr="00486A07" w:rsidRDefault="00C05051" w:rsidP="00361F53">
      <w:pPr>
        <w:jc w:val="center"/>
        <w:rPr>
          <w:b/>
        </w:rPr>
      </w:pPr>
      <w:r w:rsidRPr="00486A07">
        <w:rPr>
          <w:b/>
        </w:rPr>
        <w:t>January</w:t>
      </w:r>
      <w:r w:rsidR="008901CD" w:rsidRPr="00486A07">
        <w:rPr>
          <w:b/>
        </w:rPr>
        <w:t xml:space="preserve"> 4,</w:t>
      </w:r>
      <w:r w:rsidR="00053721" w:rsidRPr="00486A07">
        <w:rPr>
          <w:b/>
        </w:rPr>
        <w:t xml:space="preserve"> 201</w:t>
      </w:r>
      <w:r w:rsidR="007C3F0E">
        <w:rPr>
          <w:b/>
        </w:rPr>
        <w:t>7</w:t>
      </w:r>
      <w:bookmarkStart w:id="0" w:name="_GoBack"/>
      <w:bookmarkEnd w:id="0"/>
    </w:p>
    <w:p w14:paraId="7EACAB83" w14:textId="77777777" w:rsidR="00960A53" w:rsidRPr="00486A07" w:rsidRDefault="00960A53" w:rsidP="00361F53">
      <w:pPr>
        <w:jc w:val="center"/>
        <w:rPr>
          <w:b/>
        </w:rPr>
      </w:pPr>
    </w:p>
    <w:p w14:paraId="413CB58E" w14:textId="71394F07" w:rsidR="00960A53" w:rsidRPr="00486A07" w:rsidRDefault="00CB37AA" w:rsidP="00361F53">
      <w:pPr>
        <w:jc w:val="center"/>
        <w:rPr>
          <w:b/>
        </w:rPr>
      </w:pPr>
      <w:r w:rsidRPr="00486A07">
        <w:rPr>
          <w:b/>
        </w:rPr>
        <w:t xml:space="preserve">Supporting </w:t>
      </w:r>
      <w:r w:rsidR="00960A53" w:rsidRPr="00486A07">
        <w:rPr>
          <w:b/>
        </w:rPr>
        <w:t>Statement A</w:t>
      </w:r>
    </w:p>
    <w:p w14:paraId="510DD0E4" w14:textId="77777777" w:rsidR="00885DBC" w:rsidRPr="00486A07" w:rsidRDefault="00885DBC" w:rsidP="00361F53">
      <w:pPr>
        <w:spacing w:after="200"/>
        <w:rPr>
          <w:b/>
          <w:bCs/>
          <w:color w:val="000000"/>
        </w:rPr>
      </w:pPr>
    </w:p>
    <w:p w14:paraId="1A139F89" w14:textId="77777777" w:rsidR="00885DBC" w:rsidRPr="00486A07" w:rsidRDefault="00885DBC" w:rsidP="00361F53">
      <w:pPr>
        <w:spacing w:after="200"/>
        <w:rPr>
          <w:b/>
          <w:bCs/>
          <w:color w:val="000000"/>
        </w:rPr>
      </w:pPr>
    </w:p>
    <w:p w14:paraId="7DDC030A" w14:textId="77777777" w:rsidR="00885DBC" w:rsidRPr="00486A07" w:rsidRDefault="00885DBC" w:rsidP="00361F53">
      <w:pPr>
        <w:spacing w:after="200"/>
        <w:rPr>
          <w:b/>
          <w:bCs/>
          <w:color w:val="000000"/>
        </w:rPr>
      </w:pPr>
    </w:p>
    <w:p w14:paraId="7C6D8047" w14:textId="77777777" w:rsidR="00885DBC" w:rsidRPr="00486A07" w:rsidRDefault="00885DBC" w:rsidP="00361F53">
      <w:pPr>
        <w:spacing w:after="200"/>
        <w:rPr>
          <w:b/>
          <w:bCs/>
          <w:color w:val="000000"/>
        </w:rPr>
      </w:pPr>
    </w:p>
    <w:p w14:paraId="0FDF287F" w14:textId="7C162E52" w:rsidR="00885DBC" w:rsidRPr="00486A07" w:rsidRDefault="003367F4" w:rsidP="003367F4">
      <w:pPr>
        <w:tabs>
          <w:tab w:val="left" w:pos="4185"/>
        </w:tabs>
        <w:spacing w:after="200"/>
        <w:rPr>
          <w:b/>
          <w:bCs/>
          <w:color w:val="000000"/>
        </w:rPr>
      </w:pPr>
      <w:r w:rsidRPr="00486A07">
        <w:rPr>
          <w:b/>
          <w:bCs/>
          <w:color w:val="000000"/>
        </w:rPr>
        <w:tab/>
      </w:r>
    </w:p>
    <w:p w14:paraId="7F21379F" w14:textId="77777777" w:rsidR="00885DBC" w:rsidRPr="00486A07" w:rsidRDefault="00885DBC" w:rsidP="00361F53">
      <w:pPr>
        <w:spacing w:after="200"/>
        <w:rPr>
          <w:b/>
          <w:bCs/>
          <w:color w:val="000000"/>
        </w:rPr>
      </w:pPr>
    </w:p>
    <w:p w14:paraId="385FC466" w14:textId="77777777" w:rsidR="00885DBC" w:rsidRPr="00486A07" w:rsidRDefault="00885DBC" w:rsidP="00361F53">
      <w:pPr>
        <w:spacing w:after="200"/>
        <w:rPr>
          <w:b/>
          <w:bCs/>
          <w:color w:val="000000"/>
        </w:rPr>
      </w:pPr>
    </w:p>
    <w:p w14:paraId="4CFE5DC9" w14:textId="77777777" w:rsidR="00885DBC" w:rsidRPr="00486A07" w:rsidRDefault="00885DBC" w:rsidP="00361F53">
      <w:pPr>
        <w:spacing w:after="200"/>
        <w:rPr>
          <w:b/>
          <w:bCs/>
          <w:color w:val="000000"/>
        </w:rPr>
      </w:pPr>
    </w:p>
    <w:p w14:paraId="5560D4F7" w14:textId="77777777" w:rsidR="00885DBC" w:rsidRPr="00486A07" w:rsidRDefault="00885DBC" w:rsidP="00361F53">
      <w:pPr>
        <w:spacing w:after="200"/>
        <w:rPr>
          <w:b/>
          <w:bCs/>
          <w:color w:val="000000"/>
        </w:rPr>
      </w:pPr>
    </w:p>
    <w:p w14:paraId="3424B185" w14:textId="77777777" w:rsidR="00A37B12" w:rsidRPr="00486A07" w:rsidRDefault="00A37B12" w:rsidP="008C27C2">
      <w:pPr>
        <w:rPr>
          <w:b/>
        </w:rPr>
      </w:pPr>
      <w:bookmarkStart w:id="1" w:name="_Toc295817038"/>
      <w:bookmarkStart w:id="2" w:name="_Toc295817572"/>
      <w:bookmarkStart w:id="3" w:name="_Toc295818053"/>
      <w:bookmarkStart w:id="4" w:name="_Toc295819826"/>
    </w:p>
    <w:p w14:paraId="53462A7C" w14:textId="77777777" w:rsidR="00A37B12" w:rsidRPr="00486A07" w:rsidRDefault="00A37B12" w:rsidP="008C27C2">
      <w:pPr>
        <w:rPr>
          <w:b/>
        </w:rPr>
      </w:pPr>
    </w:p>
    <w:p w14:paraId="058FC60A" w14:textId="77777777" w:rsidR="00A37B12" w:rsidRPr="00486A07" w:rsidRDefault="00A37B12" w:rsidP="008C27C2">
      <w:pPr>
        <w:rPr>
          <w:b/>
        </w:rPr>
      </w:pPr>
    </w:p>
    <w:p w14:paraId="49E1A7B7" w14:textId="77777777" w:rsidR="00A37B12" w:rsidRPr="00486A07" w:rsidRDefault="00A37B12" w:rsidP="008C27C2">
      <w:pPr>
        <w:rPr>
          <w:b/>
        </w:rPr>
      </w:pPr>
    </w:p>
    <w:p w14:paraId="61B6CB9B" w14:textId="77777777" w:rsidR="00A37B12" w:rsidRPr="00486A07" w:rsidRDefault="00A37B12" w:rsidP="008C27C2">
      <w:pPr>
        <w:rPr>
          <w:b/>
        </w:rPr>
      </w:pPr>
    </w:p>
    <w:p w14:paraId="004A56D6" w14:textId="77777777" w:rsidR="00A37B12" w:rsidRPr="00486A07" w:rsidRDefault="00A37B12" w:rsidP="008C27C2">
      <w:pPr>
        <w:rPr>
          <w:b/>
        </w:rPr>
      </w:pPr>
    </w:p>
    <w:p w14:paraId="0006757A" w14:textId="77777777" w:rsidR="00A37B12" w:rsidRPr="00486A07" w:rsidRDefault="00A37B12" w:rsidP="008C27C2">
      <w:pPr>
        <w:rPr>
          <w:b/>
        </w:rPr>
      </w:pPr>
    </w:p>
    <w:p w14:paraId="7ED6E59D" w14:textId="77777777" w:rsidR="00885DBC" w:rsidRPr="00486A07" w:rsidRDefault="00885DBC" w:rsidP="008C27C2">
      <w:pPr>
        <w:rPr>
          <w:b/>
        </w:rPr>
      </w:pPr>
      <w:r w:rsidRPr="00486A07">
        <w:rPr>
          <w:b/>
        </w:rPr>
        <w:t>Contact:</w:t>
      </w:r>
      <w:bookmarkEnd w:id="1"/>
      <w:bookmarkEnd w:id="2"/>
      <w:bookmarkEnd w:id="3"/>
      <w:bookmarkEnd w:id="4"/>
    </w:p>
    <w:p w14:paraId="1533A8BB" w14:textId="45D444CF" w:rsidR="00401D23" w:rsidRPr="00486A07" w:rsidRDefault="00A879F4" w:rsidP="00401D23">
      <w:r w:rsidRPr="00486A07">
        <w:t>Lee Samuel</w:t>
      </w:r>
    </w:p>
    <w:p w14:paraId="79DCC899" w14:textId="77777777" w:rsidR="00401D23" w:rsidRPr="00486A07" w:rsidRDefault="00401D23" w:rsidP="00401D23">
      <w:r w:rsidRPr="00486A07">
        <w:t>National Center for Emerging and Zoonotic Infectious Diseases</w:t>
      </w:r>
    </w:p>
    <w:p w14:paraId="26089E67" w14:textId="77777777" w:rsidR="00401D23" w:rsidRPr="00486A07" w:rsidRDefault="00401D23" w:rsidP="00401D23">
      <w:r w:rsidRPr="00486A07">
        <w:t>Centers for Disease Control and Prevention</w:t>
      </w:r>
    </w:p>
    <w:p w14:paraId="33B1A2F8" w14:textId="77777777" w:rsidR="00401D23" w:rsidRPr="00486A07" w:rsidRDefault="00401D23" w:rsidP="00401D23">
      <w:r w:rsidRPr="00486A07">
        <w:t>1600 Clifton Road, N.E.</w:t>
      </w:r>
    </w:p>
    <w:p w14:paraId="40C5DDDC" w14:textId="77777777" w:rsidR="00401D23" w:rsidRPr="00486A07" w:rsidRDefault="00401D23" w:rsidP="00401D23">
      <w:r w:rsidRPr="00486A07">
        <w:t>Atlanta, Georgia 30333</w:t>
      </w:r>
    </w:p>
    <w:p w14:paraId="01DD0BA1" w14:textId="07138BC2" w:rsidR="00401D23" w:rsidRPr="00486A07" w:rsidRDefault="00A879F4" w:rsidP="00401D23">
      <w:r w:rsidRPr="00486A07">
        <w:t>Phone: (404) 718-1616</w:t>
      </w:r>
    </w:p>
    <w:p w14:paraId="1813D6A3" w14:textId="77777777" w:rsidR="00401D23" w:rsidRPr="00486A07" w:rsidRDefault="00401D23" w:rsidP="00401D23">
      <w:r w:rsidRPr="00486A07">
        <w:t>Fax: (404) 639-3039</w:t>
      </w:r>
    </w:p>
    <w:p w14:paraId="4C1DF911" w14:textId="5B51504E" w:rsidR="00401D23" w:rsidRPr="00486A07" w:rsidRDefault="00401D23" w:rsidP="00401D23">
      <w:r w:rsidRPr="00486A07">
        <w:t xml:space="preserve">Email: </w:t>
      </w:r>
      <w:r w:rsidR="00A879F4" w:rsidRPr="00486A07">
        <w:rPr>
          <w:color w:val="0000FF"/>
          <w:u w:val="single"/>
        </w:rPr>
        <w:t>llj3@cdc.gov</w:t>
      </w:r>
    </w:p>
    <w:sdt>
      <w:sdtPr>
        <w:rPr>
          <w:rFonts w:ascii="Times New Roman" w:eastAsia="Times New Roman" w:hAnsi="Times New Roman" w:cs="Times New Roman"/>
          <w:b w:val="0"/>
          <w:bCs w:val="0"/>
          <w:color w:val="auto"/>
          <w:sz w:val="24"/>
          <w:szCs w:val="24"/>
        </w:rPr>
        <w:id w:val="126347713"/>
        <w:docPartObj>
          <w:docPartGallery w:val="Table of Contents"/>
          <w:docPartUnique/>
        </w:docPartObj>
      </w:sdtPr>
      <w:sdtEndPr/>
      <w:sdtContent>
        <w:p w14:paraId="660424A8" w14:textId="3A3BFD5F" w:rsidR="00275B13" w:rsidRPr="00486A07" w:rsidRDefault="00540E3A" w:rsidP="00540E3A">
          <w:pPr>
            <w:pStyle w:val="TOCHeading"/>
            <w:jc w:val="center"/>
            <w:rPr>
              <w:rFonts w:ascii="Times New Roman" w:hAnsi="Times New Roman" w:cs="Times New Roman"/>
              <w:color w:val="auto"/>
            </w:rPr>
          </w:pPr>
          <w:r w:rsidRPr="00486A07">
            <w:rPr>
              <w:rFonts w:ascii="Times New Roman" w:eastAsia="Times New Roman" w:hAnsi="Times New Roman" w:cs="Times New Roman"/>
              <w:bCs w:val="0"/>
              <w:color w:val="auto"/>
            </w:rPr>
            <w:t xml:space="preserve">Table of </w:t>
          </w:r>
          <w:r w:rsidR="00275B13" w:rsidRPr="00486A07">
            <w:rPr>
              <w:rFonts w:ascii="Times New Roman" w:hAnsi="Times New Roman" w:cs="Times New Roman"/>
              <w:color w:val="auto"/>
            </w:rPr>
            <w:t>Contents</w:t>
          </w:r>
        </w:p>
        <w:p w14:paraId="4EFFF53A" w14:textId="77777777" w:rsidR="00BB25E5" w:rsidRPr="00486A07" w:rsidRDefault="002D1791" w:rsidP="00BB25E5">
          <w:pPr>
            <w:pStyle w:val="TOC1"/>
            <w:rPr>
              <w:rFonts w:asciiTheme="minorHAnsi" w:eastAsiaTheme="minorEastAsia" w:hAnsiTheme="minorHAnsi" w:cstheme="minorBidi"/>
              <w:sz w:val="22"/>
              <w:szCs w:val="22"/>
            </w:rPr>
          </w:pPr>
          <w:r w:rsidRPr="00486A07">
            <w:fldChar w:fldCharType="begin"/>
          </w:r>
          <w:r w:rsidR="00275B13" w:rsidRPr="00486A07">
            <w:instrText xml:space="preserve"> TOC \o "1-3" \h \z \u </w:instrText>
          </w:r>
          <w:r w:rsidRPr="00486A07">
            <w:fldChar w:fldCharType="separate"/>
          </w:r>
        </w:p>
        <w:p w14:paraId="3FB28FCB" w14:textId="77777777" w:rsidR="00BB25E5" w:rsidRPr="00486A07" w:rsidRDefault="001A47E0">
          <w:pPr>
            <w:pStyle w:val="TOC1"/>
            <w:rPr>
              <w:rFonts w:asciiTheme="minorHAnsi" w:eastAsiaTheme="minorEastAsia" w:hAnsiTheme="minorHAnsi" w:cstheme="minorBidi"/>
              <w:sz w:val="22"/>
              <w:szCs w:val="22"/>
            </w:rPr>
          </w:pPr>
          <w:hyperlink w:anchor="_Toc462300159" w:history="1">
            <w:r w:rsidR="00BB25E5" w:rsidRPr="00486A07">
              <w:rPr>
                <w:rStyle w:val="Hyperlink"/>
              </w:rPr>
              <w:t>PART A. JUSTIFICATION</w:t>
            </w:r>
            <w:r w:rsidR="00BB25E5" w:rsidRPr="00486A07">
              <w:rPr>
                <w:webHidden/>
              </w:rPr>
              <w:tab/>
            </w:r>
            <w:r w:rsidR="00BB25E5" w:rsidRPr="00486A07">
              <w:rPr>
                <w:webHidden/>
              </w:rPr>
              <w:fldChar w:fldCharType="begin"/>
            </w:r>
            <w:r w:rsidR="00BB25E5" w:rsidRPr="00486A07">
              <w:rPr>
                <w:webHidden/>
              </w:rPr>
              <w:instrText xml:space="preserve"> PAGEREF _Toc462300159 \h </w:instrText>
            </w:r>
            <w:r w:rsidR="00BB25E5" w:rsidRPr="00486A07">
              <w:rPr>
                <w:webHidden/>
              </w:rPr>
            </w:r>
            <w:r w:rsidR="00BB25E5" w:rsidRPr="00486A07">
              <w:rPr>
                <w:webHidden/>
              </w:rPr>
              <w:fldChar w:fldCharType="separate"/>
            </w:r>
            <w:r w:rsidR="00BB25E5" w:rsidRPr="00486A07">
              <w:rPr>
                <w:webHidden/>
              </w:rPr>
              <w:t>3</w:t>
            </w:r>
            <w:r w:rsidR="00BB25E5" w:rsidRPr="00486A07">
              <w:rPr>
                <w:webHidden/>
              </w:rPr>
              <w:fldChar w:fldCharType="end"/>
            </w:r>
          </w:hyperlink>
        </w:p>
        <w:p w14:paraId="40432F12" w14:textId="77777777" w:rsidR="00BB25E5" w:rsidRPr="00486A07" w:rsidRDefault="001A47E0">
          <w:pPr>
            <w:pStyle w:val="TOC1"/>
            <w:rPr>
              <w:rFonts w:asciiTheme="minorHAnsi" w:eastAsiaTheme="minorEastAsia" w:hAnsiTheme="minorHAnsi" w:cstheme="minorBidi"/>
              <w:sz w:val="22"/>
              <w:szCs w:val="22"/>
            </w:rPr>
          </w:pPr>
          <w:hyperlink w:anchor="_Toc462300160" w:history="1">
            <w:r w:rsidR="00BB25E5" w:rsidRPr="00486A07">
              <w:rPr>
                <w:rStyle w:val="Hyperlink"/>
              </w:rPr>
              <w:t>1. Circumstances Making the Collection of Information Necessary</w:t>
            </w:r>
            <w:r w:rsidR="00BB25E5" w:rsidRPr="00486A07">
              <w:rPr>
                <w:webHidden/>
              </w:rPr>
              <w:tab/>
            </w:r>
            <w:r w:rsidR="00BB25E5" w:rsidRPr="00486A07">
              <w:rPr>
                <w:webHidden/>
              </w:rPr>
              <w:fldChar w:fldCharType="begin"/>
            </w:r>
            <w:r w:rsidR="00BB25E5" w:rsidRPr="00486A07">
              <w:rPr>
                <w:webHidden/>
              </w:rPr>
              <w:instrText xml:space="preserve"> PAGEREF _Toc462300160 \h </w:instrText>
            </w:r>
            <w:r w:rsidR="00BB25E5" w:rsidRPr="00486A07">
              <w:rPr>
                <w:webHidden/>
              </w:rPr>
            </w:r>
            <w:r w:rsidR="00BB25E5" w:rsidRPr="00486A07">
              <w:rPr>
                <w:webHidden/>
              </w:rPr>
              <w:fldChar w:fldCharType="separate"/>
            </w:r>
            <w:r w:rsidR="00BB25E5" w:rsidRPr="00486A07">
              <w:rPr>
                <w:webHidden/>
              </w:rPr>
              <w:t>3</w:t>
            </w:r>
            <w:r w:rsidR="00BB25E5" w:rsidRPr="00486A07">
              <w:rPr>
                <w:webHidden/>
              </w:rPr>
              <w:fldChar w:fldCharType="end"/>
            </w:r>
          </w:hyperlink>
        </w:p>
        <w:p w14:paraId="6C719496" w14:textId="77777777" w:rsidR="00BB25E5" w:rsidRPr="00486A07" w:rsidRDefault="001A47E0">
          <w:pPr>
            <w:pStyle w:val="TOC1"/>
            <w:rPr>
              <w:rFonts w:asciiTheme="minorHAnsi" w:eastAsiaTheme="minorEastAsia" w:hAnsiTheme="minorHAnsi" w:cstheme="minorBidi"/>
              <w:sz w:val="22"/>
              <w:szCs w:val="22"/>
            </w:rPr>
          </w:pPr>
          <w:hyperlink w:anchor="_Toc462300161" w:history="1">
            <w:r w:rsidR="00BB25E5" w:rsidRPr="00486A07">
              <w:rPr>
                <w:rStyle w:val="Hyperlink"/>
                <w:bCs/>
                <w:iCs/>
              </w:rPr>
              <w:t>2. Purpose and Use of Information Collection</w:t>
            </w:r>
            <w:r w:rsidR="00BB25E5" w:rsidRPr="00486A07">
              <w:rPr>
                <w:webHidden/>
              </w:rPr>
              <w:tab/>
            </w:r>
            <w:r w:rsidR="00BB25E5" w:rsidRPr="00486A07">
              <w:rPr>
                <w:webHidden/>
              </w:rPr>
              <w:fldChar w:fldCharType="begin"/>
            </w:r>
            <w:r w:rsidR="00BB25E5" w:rsidRPr="00486A07">
              <w:rPr>
                <w:webHidden/>
              </w:rPr>
              <w:instrText xml:space="preserve"> PAGEREF _Toc462300161 \h </w:instrText>
            </w:r>
            <w:r w:rsidR="00BB25E5" w:rsidRPr="00486A07">
              <w:rPr>
                <w:webHidden/>
              </w:rPr>
            </w:r>
            <w:r w:rsidR="00BB25E5" w:rsidRPr="00486A07">
              <w:rPr>
                <w:webHidden/>
              </w:rPr>
              <w:fldChar w:fldCharType="separate"/>
            </w:r>
            <w:r w:rsidR="00BB25E5" w:rsidRPr="00486A07">
              <w:rPr>
                <w:webHidden/>
              </w:rPr>
              <w:t>5</w:t>
            </w:r>
            <w:r w:rsidR="00BB25E5" w:rsidRPr="00486A07">
              <w:rPr>
                <w:webHidden/>
              </w:rPr>
              <w:fldChar w:fldCharType="end"/>
            </w:r>
          </w:hyperlink>
        </w:p>
        <w:p w14:paraId="5C5E3088" w14:textId="77777777" w:rsidR="00BB25E5" w:rsidRPr="00486A07" w:rsidRDefault="001A47E0">
          <w:pPr>
            <w:pStyle w:val="TOC1"/>
            <w:rPr>
              <w:rFonts w:asciiTheme="minorHAnsi" w:eastAsiaTheme="minorEastAsia" w:hAnsiTheme="minorHAnsi" w:cstheme="minorBidi"/>
              <w:sz w:val="22"/>
              <w:szCs w:val="22"/>
            </w:rPr>
          </w:pPr>
          <w:hyperlink w:anchor="_Toc462300162" w:history="1">
            <w:r w:rsidR="00BB25E5" w:rsidRPr="00486A07">
              <w:rPr>
                <w:rStyle w:val="Hyperlink"/>
                <w:bCs/>
                <w:iCs/>
              </w:rPr>
              <w:t>3. Use of Improved Information Technology and Burden Reduction</w:t>
            </w:r>
            <w:r w:rsidR="00BB25E5" w:rsidRPr="00486A07">
              <w:rPr>
                <w:webHidden/>
              </w:rPr>
              <w:tab/>
            </w:r>
            <w:r w:rsidR="00BB25E5" w:rsidRPr="00486A07">
              <w:rPr>
                <w:webHidden/>
              </w:rPr>
              <w:fldChar w:fldCharType="begin"/>
            </w:r>
            <w:r w:rsidR="00BB25E5" w:rsidRPr="00486A07">
              <w:rPr>
                <w:webHidden/>
              </w:rPr>
              <w:instrText xml:space="preserve"> PAGEREF _Toc462300162 \h </w:instrText>
            </w:r>
            <w:r w:rsidR="00BB25E5" w:rsidRPr="00486A07">
              <w:rPr>
                <w:webHidden/>
              </w:rPr>
            </w:r>
            <w:r w:rsidR="00BB25E5" w:rsidRPr="00486A07">
              <w:rPr>
                <w:webHidden/>
              </w:rPr>
              <w:fldChar w:fldCharType="separate"/>
            </w:r>
            <w:r w:rsidR="00BB25E5" w:rsidRPr="00486A07">
              <w:rPr>
                <w:webHidden/>
              </w:rPr>
              <w:t>6</w:t>
            </w:r>
            <w:r w:rsidR="00BB25E5" w:rsidRPr="00486A07">
              <w:rPr>
                <w:webHidden/>
              </w:rPr>
              <w:fldChar w:fldCharType="end"/>
            </w:r>
          </w:hyperlink>
        </w:p>
        <w:p w14:paraId="2478BCEE" w14:textId="77777777" w:rsidR="00BB25E5" w:rsidRPr="00486A07" w:rsidRDefault="001A47E0">
          <w:pPr>
            <w:pStyle w:val="TOC1"/>
            <w:rPr>
              <w:rFonts w:asciiTheme="minorHAnsi" w:eastAsiaTheme="minorEastAsia" w:hAnsiTheme="minorHAnsi" w:cstheme="minorBidi"/>
              <w:sz w:val="22"/>
              <w:szCs w:val="22"/>
            </w:rPr>
          </w:pPr>
          <w:hyperlink w:anchor="_Toc462300163" w:history="1">
            <w:r w:rsidR="00BB25E5" w:rsidRPr="00486A07">
              <w:rPr>
                <w:rStyle w:val="Hyperlink"/>
                <w:bCs/>
                <w:iCs/>
              </w:rPr>
              <w:t>4. Efforts to Identify Duplication and Use of Similar Information</w:t>
            </w:r>
            <w:r w:rsidR="00BB25E5" w:rsidRPr="00486A07">
              <w:rPr>
                <w:webHidden/>
              </w:rPr>
              <w:tab/>
            </w:r>
            <w:r w:rsidR="00BB25E5" w:rsidRPr="00486A07">
              <w:rPr>
                <w:webHidden/>
              </w:rPr>
              <w:fldChar w:fldCharType="begin"/>
            </w:r>
            <w:r w:rsidR="00BB25E5" w:rsidRPr="00486A07">
              <w:rPr>
                <w:webHidden/>
              </w:rPr>
              <w:instrText xml:space="preserve"> PAGEREF _Toc462300163 \h </w:instrText>
            </w:r>
            <w:r w:rsidR="00BB25E5" w:rsidRPr="00486A07">
              <w:rPr>
                <w:webHidden/>
              </w:rPr>
            </w:r>
            <w:r w:rsidR="00BB25E5" w:rsidRPr="00486A07">
              <w:rPr>
                <w:webHidden/>
              </w:rPr>
              <w:fldChar w:fldCharType="separate"/>
            </w:r>
            <w:r w:rsidR="00BB25E5" w:rsidRPr="00486A07">
              <w:rPr>
                <w:webHidden/>
              </w:rPr>
              <w:t>6</w:t>
            </w:r>
            <w:r w:rsidR="00BB25E5" w:rsidRPr="00486A07">
              <w:rPr>
                <w:webHidden/>
              </w:rPr>
              <w:fldChar w:fldCharType="end"/>
            </w:r>
          </w:hyperlink>
        </w:p>
        <w:p w14:paraId="46F4C30A" w14:textId="77777777" w:rsidR="00BB25E5" w:rsidRPr="00486A07" w:rsidRDefault="001A47E0">
          <w:pPr>
            <w:pStyle w:val="TOC1"/>
            <w:rPr>
              <w:rFonts w:asciiTheme="minorHAnsi" w:eastAsiaTheme="minorEastAsia" w:hAnsiTheme="minorHAnsi" w:cstheme="minorBidi"/>
              <w:sz w:val="22"/>
              <w:szCs w:val="22"/>
            </w:rPr>
          </w:pPr>
          <w:hyperlink w:anchor="_Toc462300164" w:history="1">
            <w:r w:rsidR="00BB25E5" w:rsidRPr="00486A07">
              <w:rPr>
                <w:rStyle w:val="Hyperlink"/>
                <w:bCs/>
                <w:iCs/>
              </w:rPr>
              <w:t>5. Impact on Small Businesses or Other Small Entities</w:t>
            </w:r>
            <w:r w:rsidR="00BB25E5" w:rsidRPr="00486A07">
              <w:rPr>
                <w:webHidden/>
              </w:rPr>
              <w:tab/>
            </w:r>
            <w:r w:rsidR="00BB25E5" w:rsidRPr="00486A07">
              <w:rPr>
                <w:webHidden/>
              </w:rPr>
              <w:fldChar w:fldCharType="begin"/>
            </w:r>
            <w:r w:rsidR="00BB25E5" w:rsidRPr="00486A07">
              <w:rPr>
                <w:webHidden/>
              </w:rPr>
              <w:instrText xml:space="preserve"> PAGEREF _Toc462300164 \h </w:instrText>
            </w:r>
            <w:r w:rsidR="00BB25E5" w:rsidRPr="00486A07">
              <w:rPr>
                <w:webHidden/>
              </w:rPr>
            </w:r>
            <w:r w:rsidR="00BB25E5" w:rsidRPr="00486A07">
              <w:rPr>
                <w:webHidden/>
              </w:rPr>
              <w:fldChar w:fldCharType="separate"/>
            </w:r>
            <w:r w:rsidR="00BB25E5" w:rsidRPr="00486A07">
              <w:rPr>
                <w:webHidden/>
              </w:rPr>
              <w:t>6</w:t>
            </w:r>
            <w:r w:rsidR="00BB25E5" w:rsidRPr="00486A07">
              <w:rPr>
                <w:webHidden/>
              </w:rPr>
              <w:fldChar w:fldCharType="end"/>
            </w:r>
          </w:hyperlink>
        </w:p>
        <w:p w14:paraId="36EB2289" w14:textId="77777777" w:rsidR="00BB25E5" w:rsidRPr="00486A07" w:rsidRDefault="001A47E0">
          <w:pPr>
            <w:pStyle w:val="TOC1"/>
            <w:rPr>
              <w:rFonts w:asciiTheme="minorHAnsi" w:eastAsiaTheme="minorEastAsia" w:hAnsiTheme="minorHAnsi" w:cstheme="minorBidi"/>
              <w:sz w:val="22"/>
              <w:szCs w:val="22"/>
            </w:rPr>
          </w:pPr>
          <w:hyperlink w:anchor="_Toc462300165" w:history="1">
            <w:r w:rsidR="00BB25E5" w:rsidRPr="00486A07">
              <w:rPr>
                <w:rStyle w:val="Hyperlink"/>
                <w:bCs/>
                <w:iCs/>
              </w:rPr>
              <w:t>6. Consequences of Collecting the Information Less Frequently</w:t>
            </w:r>
            <w:r w:rsidR="00BB25E5" w:rsidRPr="00486A07">
              <w:rPr>
                <w:webHidden/>
              </w:rPr>
              <w:tab/>
            </w:r>
            <w:r w:rsidR="00BB25E5" w:rsidRPr="00486A07">
              <w:rPr>
                <w:webHidden/>
              </w:rPr>
              <w:fldChar w:fldCharType="begin"/>
            </w:r>
            <w:r w:rsidR="00BB25E5" w:rsidRPr="00486A07">
              <w:rPr>
                <w:webHidden/>
              </w:rPr>
              <w:instrText xml:space="preserve"> PAGEREF _Toc462300165 \h </w:instrText>
            </w:r>
            <w:r w:rsidR="00BB25E5" w:rsidRPr="00486A07">
              <w:rPr>
                <w:webHidden/>
              </w:rPr>
            </w:r>
            <w:r w:rsidR="00BB25E5" w:rsidRPr="00486A07">
              <w:rPr>
                <w:webHidden/>
              </w:rPr>
              <w:fldChar w:fldCharType="separate"/>
            </w:r>
            <w:r w:rsidR="00BB25E5" w:rsidRPr="00486A07">
              <w:rPr>
                <w:webHidden/>
              </w:rPr>
              <w:t>6</w:t>
            </w:r>
            <w:r w:rsidR="00BB25E5" w:rsidRPr="00486A07">
              <w:rPr>
                <w:webHidden/>
              </w:rPr>
              <w:fldChar w:fldCharType="end"/>
            </w:r>
          </w:hyperlink>
        </w:p>
        <w:p w14:paraId="7598BBAE" w14:textId="77777777" w:rsidR="00BB25E5" w:rsidRPr="00486A07" w:rsidRDefault="001A47E0">
          <w:pPr>
            <w:pStyle w:val="TOC1"/>
            <w:rPr>
              <w:rFonts w:asciiTheme="minorHAnsi" w:eastAsiaTheme="minorEastAsia" w:hAnsiTheme="minorHAnsi" w:cstheme="minorBidi"/>
              <w:sz w:val="22"/>
              <w:szCs w:val="22"/>
            </w:rPr>
          </w:pPr>
          <w:hyperlink w:anchor="_Toc462300166" w:history="1">
            <w:r w:rsidR="00BB25E5" w:rsidRPr="00486A07">
              <w:rPr>
                <w:rStyle w:val="Hyperlink"/>
                <w:bCs/>
                <w:iCs/>
              </w:rPr>
              <w:t>7. Special Circumstances Relating to the Guidelines of 5 CFR 1320.5</w:t>
            </w:r>
            <w:r w:rsidR="00BB25E5" w:rsidRPr="00486A07">
              <w:rPr>
                <w:webHidden/>
              </w:rPr>
              <w:tab/>
            </w:r>
            <w:r w:rsidR="00BB25E5" w:rsidRPr="00486A07">
              <w:rPr>
                <w:webHidden/>
              </w:rPr>
              <w:fldChar w:fldCharType="begin"/>
            </w:r>
            <w:r w:rsidR="00BB25E5" w:rsidRPr="00486A07">
              <w:rPr>
                <w:webHidden/>
              </w:rPr>
              <w:instrText xml:space="preserve"> PAGEREF _Toc462300166 \h </w:instrText>
            </w:r>
            <w:r w:rsidR="00BB25E5" w:rsidRPr="00486A07">
              <w:rPr>
                <w:webHidden/>
              </w:rPr>
            </w:r>
            <w:r w:rsidR="00BB25E5" w:rsidRPr="00486A07">
              <w:rPr>
                <w:webHidden/>
              </w:rPr>
              <w:fldChar w:fldCharType="separate"/>
            </w:r>
            <w:r w:rsidR="00BB25E5" w:rsidRPr="00486A07">
              <w:rPr>
                <w:webHidden/>
              </w:rPr>
              <w:t>7</w:t>
            </w:r>
            <w:r w:rsidR="00BB25E5" w:rsidRPr="00486A07">
              <w:rPr>
                <w:webHidden/>
              </w:rPr>
              <w:fldChar w:fldCharType="end"/>
            </w:r>
          </w:hyperlink>
        </w:p>
        <w:p w14:paraId="7F650136" w14:textId="77777777" w:rsidR="00BB25E5" w:rsidRPr="00486A07" w:rsidRDefault="001A47E0">
          <w:pPr>
            <w:pStyle w:val="TOC1"/>
            <w:rPr>
              <w:rFonts w:asciiTheme="minorHAnsi" w:eastAsiaTheme="minorEastAsia" w:hAnsiTheme="minorHAnsi" w:cstheme="minorBidi"/>
              <w:sz w:val="22"/>
              <w:szCs w:val="22"/>
            </w:rPr>
          </w:pPr>
          <w:hyperlink w:anchor="_Toc462300167" w:history="1">
            <w:r w:rsidR="00BB25E5" w:rsidRPr="00486A07">
              <w:rPr>
                <w:rStyle w:val="Hyperlink"/>
                <w:bCs/>
                <w:iCs/>
              </w:rPr>
              <w:t>9. Explanation of Any Payment or Gift to Respondents</w:t>
            </w:r>
            <w:r w:rsidR="00BB25E5" w:rsidRPr="00486A07">
              <w:rPr>
                <w:webHidden/>
              </w:rPr>
              <w:tab/>
            </w:r>
            <w:r w:rsidR="00BB25E5" w:rsidRPr="00486A07">
              <w:rPr>
                <w:webHidden/>
              </w:rPr>
              <w:fldChar w:fldCharType="begin"/>
            </w:r>
            <w:r w:rsidR="00BB25E5" w:rsidRPr="00486A07">
              <w:rPr>
                <w:webHidden/>
              </w:rPr>
              <w:instrText xml:space="preserve"> PAGEREF _Toc462300167 \h </w:instrText>
            </w:r>
            <w:r w:rsidR="00BB25E5" w:rsidRPr="00486A07">
              <w:rPr>
                <w:webHidden/>
              </w:rPr>
            </w:r>
            <w:r w:rsidR="00BB25E5" w:rsidRPr="00486A07">
              <w:rPr>
                <w:webHidden/>
              </w:rPr>
              <w:fldChar w:fldCharType="separate"/>
            </w:r>
            <w:r w:rsidR="00BB25E5" w:rsidRPr="00486A07">
              <w:rPr>
                <w:webHidden/>
              </w:rPr>
              <w:t>7</w:t>
            </w:r>
            <w:r w:rsidR="00BB25E5" w:rsidRPr="00486A07">
              <w:rPr>
                <w:webHidden/>
              </w:rPr>
              <w:fldChar w:fldCharType="end"/>
            </w:r>
          </w:hyperlink>
        </w:p>
        <w:p w14:paraId="60EC7052" w14:textId="77777777" w:rsidR="00BB25E5" w:rsidRPr="00486A07" w:rsidRDefault="001A47E0">
          <w:pPr>
            <w:pStyle w:val="TOC1"/>
            <w:rPr>
              <w:rFonts w:asciiTheme="minorHAnsi" w:eastAsiaTheme="minorEastAsia" w:hAnsiTheme="minorHAnsi" w:cstheme="minorBidi"/>
              <w:sz w:val="22"/>
              <w:szCs w:val="22"/>
            </w:rPr>
          </w:pPr>
          <w:hyperlink w:anchor="_Toc462300168" w:history="1">
            <w:r w:rsidR="00BB25E5" w:rsidRPr="00486A07">
              <w:rPr>
                <w:rStyle w:val="Hyperlink"/>
                <w:bCs/>
                <w:iCs/>
              </w:rPr>
              <w:t>10. Protection of the Privacy and Confidentiality of Information Provided by Respondents</w:t>
            </w:r>
            <w:r w:rsidR="00BB25E5" w:rsidRPr="00486A07">
              <w:rPr>
                <w:webHidden/>
              </w:rPr>
              <w:tab/>
            </w:r>
            <w:r w:rsidR="00BB25E5" w:rsidRPr="00486A07">
              <w:rPr>
                <w:webHidden/>
              </w:rPr>
              <w:fldChar w:fldCharType="begin"/>
            </w:r>
            <w:r w:rsidR="00BB25E5" w:rsidRPr="00486A07">
              <w:rPr>
                <w:webHidden/>
              </w:rPr>
              <w:instrText xml:space="preserve"> PAGEREF _Toc462300168 \h </w:instrText>
            </w:r>
            <w:r w:rsidR="00BB25E5" w:rsidRPr="00486A07">
              <w:rPr>
                <w:webHidden/>
              </w:rPr>
            </w:r>
            <w:r w:rsidR="00BB25E5" w:rsidRPr="00486A07">
              <w:rPr>
                <w:webHidden/>
              </w:rPr>
              <w:fldChar w:fldCharType="separate"/>
            </w:r>
            <w:r w:rsidR="00BB25E5" w:rsidRPr="00486A07">
              <w:rPr>
                <w:webHidden/>
              </w:rPr>
              <w:t>7</w:t>
            </w:r>
            <w:r w:rsidR="00BB25E5" w:rsidRPr="00486A07">
              <w:rPr>
                <w:webHidden/>
              </w:rPr>
              <w:fldChar w:fldCharType="end"/>
            </w:r>
          </w:hyperlink>
        </w:p>
        <w:p w14:paraId="699DF5CB" w14:textId="77777777" w:rsidR="00BB25E5" w:rsidRPr="00486A07" w:rsidRDefault="001A47E0">
          <w:pPr>
            <w:pStyle w:val="TOC1"/>
            <w:rPr>
              <w:rFonts w:asciiTheme="minorHAnsi" w:eastAsiaTheme="minorEastAsia" w:hAnsiTheme="minorHAnsi" w:cstheme="minorBidi"/>
              <w:sz w:val="22"/>
              <w:szCs w:val="22"/>
            </w:rPr>
          </w:pPr>
          <w:hyperlink w:anchor="_Toc462300169" w:history="1">
            <w:r w:rsidR="00BB25E5" w:rsidRPr="00486A07">
              <w:rPr>
                <w:rStyle w:val="Hyperlink"/>
              </w:rPr>
              <w:t>11. Institutional Review Board (IRB) and Justification for Sensitive Questions</w:t>
            </w:r>
            <w:r w:rsidR="00BB25E5" w:rsidRPr="00486A07">
              <w:rPr>
                <w:webHidden/>
              </w:rPr>
              <w:tab/>
            </w:r>
            <w:r w:rsidR="00BB25E5" w:rsidRPr="00486A07">
              <w:rPr>
                <w:webHidden/>
              </w:rPr>
              <w:fldChar w:fldCharType="begin"/>
            </w:r>
            <w:r w:rsidR="00BB25E5" w:rsidRPr="00486A07">
              <w:rPr>
                <w:webHidden/>
              </w:rPr>
              <w:instrText xml:space="preserve"> PAGEREF _Toc462300169 \h </w:instrText>
            </w:r>
            <w:r w:rsidR="00BB25E5" w:rsidRPr="00486A07">
              <w:rPr>
                <w:webHidden/>
              </w:rPr>
            </w:r>
            <w:r w:rsidR="00BB25E5" w:rsidRPr="00486A07">
              <w:rPr>
                <w:webHidden/>
              </w:rPr>
              <w:fldChar w:fldCharType="separate"/>
            </w:r>
            <w:r w:rsidR="00BB25E5" w:rsidRPr="00486A07">
              <w:rPr>
                <w:webHidden/>
              </w:rPr>
              <w:t>8</w:t>
            </w:r>
            <w:r w:rsidR="00BB25E5" w:rsidRPr="00486A07">
              <w:rPr>
                <w:webHidden/>
              </w:rPr>
              <w:fldChar w:fldCharType="end"/>
            </w:r>
          </w:hyperlink>
        </w:p>
        <w:p w14:paraId="6BEB5E2F" w14:textId="77777777" w:rsidR="00BB25E5" w:rsidRPr="00486A07" w:rsidRDefault="001A47E0">
          <w:pPr>
            <w:pStyle w:val="TOC1"/>
            <w:rPr>
              <w:rFonts w:asciiTheme="minorHAnsi" w:eastAsiaTheme="minorEastAsia" w:hAnsiTheme="minorHAnsi" w:cstheme="minorBidi"/>
              <w:sz w:val="22"/>
              <w:szCs w:val="22"/>
            </w:rPr>
          </w:pPr>
          <w:hyperlink w:anchor="_Toc462300170" w:history="1">
            <w:r w:rsidR="00BB25E5" w:rsidRPr="00486A07">
              <w:rPr>
                <w:rStyle w:val="Hyperlink"/>
                <w:bCs/>
                <w:iCs/>
              </w:rPr>
              <w:t>12. Estimates of Annualized Burden Hours and Costs</w:t>
            </w:r>
            <w:r w:rsidR="00BB25E5" w:rsidRPr="00486A07">
              <w:rPr>
                <w:webHidden/>
              </w:rPr>
              <w:tab/>
            </w:r>
            <w:r w:rsidR="00BB25E5" w:rsidRPr="00486A07">
              <w:rPr>
                <w:webHidden/>
              </w:rPr>
              <w:fldChar w:fldCharType="begin"/>
            </w:r>
            <w:r w:rsidR="00BB25E5" w:rsidRPr="00486A07">
              <w:rPr>
                <w:webHidden/>
              </w:rPr>
              <w:instrText xml:space="preserve"> PAGEREF _Toc462300170 \h </w:instrText>
            </w:r>
            <w:r w:rsidR="00BB25E5" w:rsidRPr="00486A07">
              <w:rPr>
                <w:webHidden/>
              </w:rPr>
            </w:r>
            <w:r w:rsidR="00BB25E5" w:rsidRPr="00486A07">
              <w:rPr>
                <w:webHidden/>
              </w:rPr>
              <w:fldChar w:fldCharType="separate"/>
            </w:r>
            <w:r w:rsidR="00BB25E5" w:rsidRPr="00486A07">
              <w:rPr>
                <w:webHidden/>
              </w:rPr>
              <w:t>8</w:t>
            </w:r>
            <w:r w:rsidR="00BB25E5" w:rsidRPr="00486A07">
              <w:rPr>
                <w:webHidden/>
              </w:rPr>
              <w:fldChar w:fldCharType="end"/>
            </w:r>
          </w:hyperlink>
        </w:p>
        <w:p w14:paraId="3F89316D" w14:textId="77777777" w:rsidR="00BB25E5" w:rsidRPr="00486A07" w:rsidRDefault="001A47E0">
          <w:pPr>
            <w:pStyle w:val="TOC1"/>
            <w:rPr>
              <w:rFonts w:asciiTheme="minorHAnsi" w:eastAsiaTheme="minorEastAsia" w:hAnsiTheme="minorHAnsi" w:cstheme="minorBidi"/>
              <w:sz w:val="22"/>
              <w:szCs w:val="22"/>
            </w:rPr>
          </w:pPr>
          <w:hyperlink w:anchor="_Toc462300171" w:history="1">
            <w:r w:rsidR="00BB25E5" w:rsidRPr="00486A07">
              <w:rPr>
                <w:rStyle w:val="Hyperlink"/>
                <w:bCs/>
              </w:rPr>
              <w:t>Table 12-A: Estimated Annualized Burden to Respondents</w:t>
            </w:r>
            <w:r w:rsidR="00BB25E5" w:rsidRPr="00486A07">
              <w:rPr>
                <w:webHidden/>
              </w:rPr>
              <w:tab/>
            </w:r>
            <w:r w:rsidR="00BB25E5" w:rsidRPr="00486A07">
              <w:rPr>
                <w:webHidden/>
              </w:rPr>
              <w:fldChar w:fldCharType="begin"/>
            </w:r>
            <w:r w:rsidR="00BB25E5" w:rsidRPr="00486A07">
              <w:rPr>
                <w:webHidden/>
              </w:rPr>
              <w:instrText xml:space="preserve"> PAGEREF _Toc462300171 \h </w:instrText>
            </w:r>
            <w:r w:rsidR="00BB25E5" w:rsidRPr="00486A07">
              <w:rPr>
                <w:webHidden/>
              </w:rPr>
            </w:r>
            <w:r w:rsidR="00BB25E5" w:rsidRPr="00486A07">
              <w:rPr>
                <w:webHidden/>
              </w:rPr>
              <w:fldChar w:fldCharType="separate"/>
            </w:r>
            <w:r w:rsidR="00BB25E5" w:rsidRPr="00486A07">
              <w:rPr>
                <w:webHidden/>
              </w:rPr>
              <w:t>9</w:t>
            </w:r>
            <w:r w:rsidR="00BB25E5" w:rsidRPr="00486A07">
              <w:rPr>
                <w:webHidden/>
              </w:rPr>
              <w:fldChar w:fldCharType="end"/>
            </w:r>
          </w:hyperlink>
        </w:p>
        <w:p w14:paraId="0D3A0249" w14:textId="77777777" w:rsidR="00BB25E5" w:rsidRPr="00486A07" w:rsidRDefault="001A47E0">
          <w:pPr>
            <w:pStyle w:val="TOC1"/>
            <w:rPr>
              <w:rFonts w:asciiTheme="minorHAnsi" w:eastAsiaTheme="minorEastAsia" w:hAnsiTheme="minorHAnsi" w:cstheme="minorBidi"/>
              <w:sz w:val="22"/>
              <w:szCs w:val="22"/>
            </w:rPr>
          </w:pPr>
          <w:hyperlink w:anchor="_Toc462300172" w:history="1">
            <w:r w:rsidR="00BB25E5" w:rsidRPr="00486A07">
              <w:rPr>
                <w:rStyle w:val="Hyperlink"/>
                <w:bCs/>
                <w:iCs/>
              </w:rPr>
              <w:t>13. Estimates of Other Total Annual Cost Burden to Respondents or Record Keepers</w:t>
            </w:r>
            <w:r w:rsidR="00BB25E5" w:rsidRPr="00486A07">
              <w:rPr>
                <w:webHidden/>
              </w:rPr>
              <w:tab/>
            </w:r>
            <w:r w:rsidR="00BB25E5" w:rsidRPr="00486A07">
              <w:rPr>
                <w:webHidden/>
              </w:rPr>
              <w:fldChar w:fldCharType="begin"/>
            </w:r>
            <w:r w:rsidR="00BB25E5" w:rsidRPr="00486A07">
              <w:rPr>
                <w:webHidden/>
              </w:rPr>
              <w:instrText xml:space="preserve"> PAGEREF _Toc462300172 \h </w:instrText>
            </w:r>
            <w:r w:rsidR="00BB25E5" w:rsidRPr="00486A07">
              <w:rPr>
                <w:webHidden/>
              </w:rPr>
            </w:r>
            <w:r w:rsidR="00BB25E5" w:rsidRPr="00486A07">
              <w:rPr>
                <w:webHidden/>
              </w:rPr>
              <w:fldChar w:fldCharType="separate"/>
            </w:r>
            <w:r w:rsidR="00BB25E5" w:rsidRPr="00486A07">
              <w:rPr>
                <w:webHidden/>
              </w:rPr>
              <w:t>10</w:t>
            </w:r>
            <w:r w:rsidR="00BB25E5" w:rsidRPr="00486A07">
              <w:rPr>
                <w:webHidden/>
              </w:rPr>
              <w:fldChar w:fldCharType="end"/>
            </w:r>
          </w:hyperlink>
        </w:p>
        <w:p w14:paraId="05765C47" w14:textId="77777777" w:rsidR="00BB25E5" w:rsidRPr="00486A07" w:rsidRDefault="001A47E0">
          <w:pPr>
            <w:pStyle w:val="TOC1"/>
            <w:rPr>
              <w:rFonts w:asciiTheme="minorHAnsi" w:eastAsiaTheme="minorEastAsia" w:hAnsiTheme="minorHAnsi" w:cstheme="minorBidi"/>
              <w:sz w:val="22"/>
              <w:szCs w:val="22"/>
            </w:rPr>
          </w:pPr>
          <w:hyperlink w:anchor="_Toc462300173" w:history="1">
            <w:r w:rsidR="00BB25E5" w:rsidRPr="00486A07">
              <w:rPr>
                <w:rStyle w:val="Hyperlink"/>
                <w:bCs/>
                <w:iCs/>
              </w:rPr>
              <w:t>14. Annualized Cost to the Government</w:t>
            </w:r>
            <w:r w:rsidR="00BB25E5" w:rsidRPr="00486A07">
              <w:rPr>
                <w:webHidden/>
              </w:rPr>
              <w:tab/>
            </w:r>
            <w:r w:rsidR="00BB25E5" w:rsidRPr="00486A07">
              <w:rPr>
                <w:webHidden/>
              </w:rPr>
              <w:fldChar w:fldCharType="begin"/>
            </w:r>
            <w:r w:rsidR="00BB25E5" w:rsidRPr="00486A07">
              <w:rPr>
                <w:webHidden/>
              </w:rPr>
              <w:instrText xml:space="preserve"> PAGEREF _Toc462300173 \h </w:instrText>
            </w:r>
            <w:r w:rsidR="00BB25E5" w:rsidRPr="00486A07">
              <w:rPr>
                <w:webHidden/>
              </w:rPr>
            </w:r>
            <w:r w:rsidR="00BB25E5" w:rsidRPr="00486A07">
              <w:rPr>
                <w:webHidden/>
              </w:rPr>
              <w:fldChar w:fldCharType="separate"/>
            </w:r>
            <w:r w:rsidR="00BB25E5" w:rsidRPr="00486A07">
              <w:rPr>
                <w:webHidden/>
              </w:rPr>
              <w:t>10</w:t>
            </w:r>
            <w:r w:rsidR="00BB25E5" w:rsidRPr="00486A07">
              <w:rPr>
                <w:webHidden/>
              </w:rPr>
              <w:fldChar w:fldCharType="end"/>
            </w:r>
          </w:hyperlink>
        </w:p>
        <w:p w14:paraId="28BEB449" w14:textId="77777777" w:rsidR="00BB25E5" w:rsidRPr="00486A07" w:rsidRDefault="001A47E0">
          <w:pPr>
            <w:pStyle w:val="TOC1"/>
            <w:rPr>
              <w:rFonts w:asciiTheme="minorHAnsi" w:eastAsiaTheme="minorEastAsia" w:hAnsiTheme="minorHAnsi" w:cstheme="minorBidi"/>
              <w:sz w:val="22"/>
              <w:szCs w:val="22"/>
            </w:rPr>
          </w:pPr>
          <w:hyperlink w:anchor="_Toc462300174" w:history="1">
            <w:r w:rsidR="00BB25E5" w:rsidRPr="00486A07">
              <w:rPr>
                <w:rStyle w:val="Hyperlink"/>
                <w:bCs/>
              </w:rPr>
              <w:t>Table 14-A: Estimated Annualized Cost to the Government</w:t>
            </w:r>
            <w:r w:rsidR="00BB25E5" w:rsidRPr="00486A07">
              <w:rPr>
                <w:webHidden/>
              </w:rPr>
              <w:tab/>
            </w:r>
            <w:r w:rsidR="00BB25E5" w:rsidRPr="00486A07">
              <w:rPr>
                <w:webHidden/>
              </w:rPr>
              <w:fldChar w:fldCharType="begin"/>
            </w:r>
            <w:r w:rsidR="00BB25E5" w:rsidRPr="00486A07">
              <w:rPr>
                <w:webHidden/>
              </w:rPr>
              <w:instrText xml:space="preserve"> PAGEREF _Toc462300174 \h </w:instrText>
            </w:r>
            <w:r w:rsidR="00BB25E5" w:rsidRPr="00486A07">
              <w:rPr>
                <w:webHidden/>
              </w:rPr>
            </w:r>
            <w:r w:rsidR="00BB25E5" w:rsidRPr="00486A07">
              <w:rPr>
                <w:webHidden/>
              </w:rPr>
              <w:fldChar w:fldCharType="separate"/>
            </w:r>
            <w:r w:rsidR="00BB25E5" w:rsidRPr="00486A07">
              <w:rPr>
                <w:webHidden/>
              </w:rPr>
              <w:t>10</w:t>
            </w:r>
            <w:r w:rsidR="00BB25E5" w:rsidRPr="00486A07">
              <w:rPr>
                <w:webHidden/>
              </w:rPr>
              <w:fldChar w:fldCharType="end"/>
            </w:r>
          </w:hyperlink>
        </w:p>
        <w:p w14:paraId="3717199B" w14:textId="77777777" w:rsidR="00BB25E5" w:rsidRPr="00486A07" w:rsidRDefault="001A47E0">
          <w:pPr>
            <w:pStyle w:val="TOC1"/>
            <w:rPr>
              <w:rFonts w:asciiTheme="minorHAnsi" w:eastAsiaTheme="minorEastAsia" w:hAnsiTheme="minorHAnsi" w:cstheme="minorBidi"/>
              <w:sz w:val="22"/>
              <w:szCs w:val="22"/>
            </w:rPr>
          </w:pPr>
          <w:hyperlink w:anchor="_Toc462300175" w:history="1">
            <w:r w:rsidR="00BB25E5" w:rsidRPr="00486A07">
              <w:rPr>
                <w:rStyle w:val="Hyperlink"/>
                <w:bCs/>
                <w:iCs/>
              </w:rPr>
              <w:t>15. Explanation for Program Changes or Adjustments</w:t>
            </w:r>
            <w:r w:rsidR="00BB25E5" w:rsidRPr="00486A07">
              <w:rPr>
                <w:webHidden/>
              </w:rPr>
              <w:tab/>
            </w:r>
            <w:r w:rsidR="00BB25E5" w:rsidRPr="00486A07">
              <w:rPr>
                <w:webHidden/>
              </w:rPr>
              <w:fldChar w:fldCharType="begin"/>
            </w:r>
            <w:r w:rsidR="00BB25E5" w:rsidRPr="00486A07">
              <w:rPr>
                <w:webHidden/>
              </w:rPr>
              <w:instrText xml:space="preserve"> PAGEREF _Toc462300175 \h </w:instrText>
            </w:r>
            <w:r w:rsidR="00BB25E5" w:rsidRPr="00486A07">
              <w:rPr>
                <w:webHidden/>
              </w:rPr>
            </w:r>
            <w:r w:rsidR="00BB25E5" w:rsidRPr="00486A07">
              <w:rPr>
                <w:webHidden/>
              </w:rPr>
              <w:fldChar w:fldCharType="separate"/>
            </w:r>
            <w:r w:rsidR="00BB25E5" w:rsidRPr="00486A07">
              <w:rPr>
                <w:webHidden/>
              </w:rPr>
              <w:t>11</w:t>
            </w:r>
            <w:r w:rsidR="00BB25E5" w:rsidRPr="00486A07">
              <w:rPr>
                <w:webHidden/>
              </w:rPr>
              <w:fldChar w:fldCharType="end"/>
            </w:r>
          </w:hyperlink>
        </w:p>
        <w:p w14:paraId="0C3E14EC" w14:textId="77777777" w:rsidR="00BB25E5" w:rsidRPr="00486A07" w:rsidRDefault="001A47E0">
          <w:pPr>
            <w:pStyle w:val="TOC1"/>
            <w:rPr>
              <w:rFonts w:asciiTheme="minorHAnsi" w:eastAsiaTheme="minorEastAsia" w:hAnsiTheme="minorHAnsi" w:cstheme="minorBidi"/>
              <w:sz w:val="22"/>
              <w:szCs w:val="22"/>
            </w:rPr>
          </w:pPr>
          <w:hyperlink w:anchor="_Toc462300176" w:history="1">
            <w:r w:rsidR="00BB25E5" w:rsidRPr="00486A07">
              <w:rPr>
                <w:rStyle w:val="Hyperlink"/>
                <w:bCs/>
                <w:iCs/>
              </w:rPr>
              <w:t>16. Plans for Tabulation and Publication and Project Time Schedule</w:t>
            </w:r>
            <w:r w:rsidR="00BB25E5" w:rsidRPr="00486A07">
              <w:rPr>
                <w:webHidden/>
              </w:rPr>
              <w:tab/>
            </w:r>
            <w:r w:rsidR="00BB25E5" w:rsidRPr="00486A07">
              <w:rPr>
                <w:webHidden/>
              </w:rPr>
              <w:fldChar w:fldCharType="begin"/>
            </w:r>
            <w:r w:rsidR="00BB25E5" w:rsidRPr="00486A07">
              <w:rPr>
                <w:webHidden/>
              </w:rPr>
              <w:instrText xml:space="preserve"> PAGEREF _Toc462300176 \h </w:instrText>
            </w:r>
            <w:r w:rsidR="00BB25E5" w:rsidRPr="00486A07">
              <w:rPr>
                <w:webHidden/>
              </w:rPr>
            </w:r>
            <w:r w:rsidR="00BB25E5" w:rsidRPr="00486A07">
              <w:rPr>
                <w:webHidden/>
              </w:rPr>
              <w:fldChar w:fldCharType="separate"/>
            </w:r>
            <w:r w:rsidR="00BB25E5" w:rsidRPr="00486A07">
              <w:rPr>
                <w:webHidden/>
              </w:rPr>
              <w:t>11</w:t>
            </w:r>
            <w:r w:rsidR="00BB25E5" w:rsidRPr="00486A07">
              <w:rPr>
                <w:webHidden/>
              </w:rPr>
              <w:fldChar w:fldCharType="end"/>
            </w:r>
          </w:hyperlink>
        </w:p>
        <w:p w14:paraId="44B54B65" w14:textId="77777777" w:rsidR="00BB25E5" w:rsidRPr="00486A07" w:rsidRDefault="001A47E0" w:rsidP="008246B3">
          <w:pPr>
            <w:pStyle w:val="TOC3"/>
            <w:tabs>
              <w:tab w:val="right" w:leader="dot" w:pos="9350"/>
            </w:tabs>
            <w:ind w:left="0"/>
            <w:jc w:val="both"/>
            <w:rPr>
              <w:noProof/>
            </w:rPr>
          </w:pPr>
          <w:hyperlink w:anchor="_Toc462300177" w:history="1">
            <w:r w:rsidR="00BB25E5" w:rsidRPr="00486A07">
              <w:rPr>
                <w:rStyle w:val="Hyperlink"/>
                <w:rFonts w:ascii="Times New Roman" w:hAnsi="Times New Roman" w:cs="Times New Roman"/>
                <w:noProof/>
                <w:sz w:val="24"/>
                <w:szCs w:val="24"/>
              </w:rPr>
              <w:t>Table 16-A: Project Time Schedule</w:t>
            </w:r>
            <w:r w:rsidR="00BB25E5" w:rsidRPr="00486A07">
              <w:rPr>
                <w:noProof/>
                <w:webHidden/>
              </w:rPr>
              <w:tab/>
            </w:r>
            <w:r w:rsidR="00BB25E5" w:rsidRPr="00486A07">
              <w:rPr>
                <w:noProof/>
                <w:webHidden/>
              </w:rPr>
              <w:fldChar w:fldCharType="begin"/>
            </w:r>
            <w:r w:rsidR="00BB25E5" w:rsidRPr="00486A07">
              <w:rPr>
                <w:noProof/>
                <w:webHidden/>
              </w:rPr>
              <w:instrText xml:space="preserve"> PAGEREF _Toc462300177 \h </w:instrText>
            </w:r>
            <w:r w:rsidR="00BB25E5" w:rsidRPr="00486A07">
              <w:rPr>
                <w:noProof/>
                <w:webHidden/>
              </w:rPr>
            </w:r>
            <w:r w:rsidR="00BB25E5" w:rsidRPr="00486A07">
              <w:rPr>
                <w:noProof/>
                <w:webHidden/>
              </w:rPr>
              <w:fldChar w:fldCharType="separate"/>
            </w:r>
            <w:r w:rsidR="00BB25E5" w:rsidRPr="00486A07">
              <w:rPr>
                <w:noProof/>
                <w:webHidden/>
              </w:rPr>
              <w:t>11</w:t>
            </w:r>
            <w:r w:rsidR="00BB25E5" w:rsidRPr="00486A07">
              <w:rPr>
                <w:noProof/>
                <w:webHidden/>
              </w:rPr>
              <w:fldChar w:fldCharType="end"/>
            </w:r>
          </w:hyperlink>
        </w:p>
        <w:p w14:paraId="7A1A3B3A" w14:textId="77777777" w:rsidR="00BB25E5" w:rsidRPr="00486A07" w:rsidRDefault="001A47E0">
          <w:pPr>
            <w:pStyle w:val="TOC1"/>
            <w:rPr>
              <w:rFonts w:asciiTheme="minorHAnsi" w:eastAsiaTheme="minorEastAsia" w:hAnsiTheme="minorHAnsi" w:cstheme="minorBidi"/>
              <w:sz w:val="22"/>
              <w:szCs w:val="22"/>
            </w:rPr>
          </w:pPr>
          <w:hyperlink w:anchor="_Toc462300178" w:history="1">
            <w:r w:rsidR="00BB25E5" w:rsidRPr="00486A07">
              <w:rPr>
                <w:rStyle w:val="Hyperlink"/>
                <w:bCs/>
                <w:iCs/>
              </w:rPr>
              <w:t>17. Reason(s) Display of OMB Expiration Date is Inappropriate</w:t>
            </w:r>
            <w:r w:rsidR="00BB25E5" w:rsidRPr="00486A07">
              <w:rPr>
                <w:webHidden/>
              </w:rPr>
              <w:tab/>
            </w:r>
            <w:r w:rsidR="00BB25E5" w:rsidRPr="00486A07">
              <w:rPr>
                <w:webHidden/>
              </w:rPr>
              <w:fldChar w:fldCharType="begin"/>
            </w:r>
            <w:r w:rsidR="00BB25E5" w:rsidRPr="00486A07">
              <w:rPr>
                <w:webHidden/>
              </w:rPr>
              <w:instrText xml:space="preserve"> PAGEREF _Toc462300178 \h </w:instrText>
            </w:r>
            <w:r w:rsidR="00BB25E5" w:rsidRPr="00486A07">
              <w:rPr>
                <w:webHidden/>
              </w:rPr>
            </w:r>
            <w:r w:rsidR="00BB25E5" w:rsidRPr="00486A07">
              <w:rPr>
                <w:webHidden/>
              </w:rPr>
              <w:fldChar w:fldCharType="separate"/>
            </w:r>
            <w:r w:rsidR="00BB25E5" w:rsidRPr="00486A07">
              <w:rPr>
                <w:webHidden/>
              </w:rPr>
              <w:t>12</w:t>
            </w:r>
            <w:r w:rsidR="00BB25E5" w:rsidRPr="00486A07">
              <w:rPr>
                <w:webHidden/>
              </w:rPr>
              <w:fldChar w:fldCharType="end"/>
            </w:r>
          </w:hyperlink>
        </w:p>
        <w:p w14:paraId="5B5F2298" w14:textId="77777777" w:rsidR="00BB25E5" w:rsidRPr="00486A07" w:rsidRDefault="001A47E0">
          <w:pPr>
            <w:pStyle w:val="TOC1"/>
            <w:rPr>
              <w:rStyle w:val="Hyperlink"/>
            </w:rPr>
          </w:pPr>
          <w:hyperlink w:anchor="_Toc462300179" w:history="1">
            <w:r w:rsidR="00BB25E5" w:rsidRPr="00486A07">
              <w:rPr>
                <w:rStyle w:val="Hyperlink"/>
                <w:bCs/>
                <w:iCs/>
              </w:rPr>
              <w:t>18. Exceptions to Certification for Paperwork Reduction Act Submissions</w:t>
            </w:r>
            <w:r w:rsidR="00BB25E5" w:rsidRPr="00486A07">
              <w:rPr>
                <w:webHidden/>
              </w:rPr>
              <w:tab/>
            </w:r>
            <w:r w:rsidR="00BB25E5" w:rsidRPr="00486A07">
              <w:rPr>
                <w:webHidden/>
              </w:rPr>
              <w:fldChar w:fldCharType="begin"/>
            </w:r>
            <w:r w:rsidR="00BB25E5" w:rsidRPr="00486A07">
              <w:rPr>
                <w:webHidden/>
              </w:rPr>
              <w:instrText xml:space="preserve"> PAGEREF _Toc462300179 \h </w:instrText>
            </w:r>
            <w:r w:rsidR="00BB25E5" w:rsidRPr="00486A07">
              <w:rPr>
                <w:webHidden/>
              </w:rPr>
            </w:r>
            <w:r w:rsidR="00BB25E5" w:rsidRPr="00486A07">
              <w:rPr>
                <w:webHidden/>
              </w:rPr>
              <w:fldChar w:fldCharType="separate"/>
            </w:r>
            <w:r w:rsidR="00BB25E5" w:rsidRPr="00486A07">
              <w:rPr>
                <w:webHidden/>
              </w:rPr>
              <w:t>12</w:t>
            </w:r>
            <w:r w:rsidR="00BB25E5" w:rsidRPr="00486A07">
              <w:rPr>
                <w:webHidden/>
              </w:rPr>
              <w:fldChar w:fldCharType="end"/>
            </w:r>
          </w:hyperlink>
        </w:p>
        <w:p w14:paraId="77CF9CDC" w14:textId="77777777" w:rsidR="00BB25E5" w:rsidRPr="00486A07" w:rsidRDefault="001A47E0" w:rsidP="00BB25E5">
          <w:pPr>
            <w:pStyle w:val="TOC1"/>
            <w:rPr>
              <w:rFonts w:eastAsiaTheme="minorEastAsia"/>
            </w:rPr>
          </w:pPr>
          <w:hyperlink w:anchor="_Toc438465330" w:history="1">
            <w:r w:rsidR="00BB25E5" w:rsidRPr="00486A07">
              <w:rPr>
                <w:rFonts w:eastAsiaTheme="minorEastAsia"/>
              </w:rPr>
              <w:t>Attachments</w:t>
            </w:r>
            <w:r w:rsidR="00BB25E5" w:rsidRPr="00486A07">
              <w:rPr>
                <w:webHidden/>
              </w:rPr>
              <w:tab/>
            </w:r>
            <w:r w:rsidR="00BB25E5" w:rsidRPr="00486A07">
              <w:rPr>
                <w:webHidden/>
              </w:rPr>
              <w:fldChar w:fldCharType="begin"/>
            </w:r>
            <w:r w:rsidR="00BB25E5" w:rsidRPr="00486A07">
              <w:rPr>
                <w:webHidden/>
              </w:rPr>
              <w:instrText xml:space="preserve"> PAGEREF _Toc438465330 \h </w:instrText>
            </w:r>
            <w:r w:rsidR="00BB25E5" w:rsidRPr="00486A07">
              <w:rPr>
                <w:webHidden/>
              </w:rPr>
            </w:r>
            <w:r w:rsidR="00BB25E5" w:rsidRPr="00486A07">
              <w:rPr>
                <w:webHidden/>
              </w:rPr>
              <w:fldChar w:fldCharType="separate"/>
            </w:r>
            <w:r w:rsidR="00BB25E5" w:rsidRPr="00486A07">
              <w:rPr>
                <w:webHidden/>
              </w:rPr>
              <w:t>12</w:t>
            </w:r>
            <w:r w:rsidR="00BB25E5" w:rsidRPr="00486A07">
              <w:rPr>
                <w:webHidden/>
              </w:rPr>
              <w:fldChar w:fldCharType="end"/>
            </w:r>
          </w:hyperlink>
        </w:p>
        <w:p w14:paraId="634E8BEF" w14:textId="274044D4" w:rsidR="00B00C1E" w:rsidRPr="00486A07" w:rsidRDefault="002D1791" w:rsidP="001D0AAF">
          <w:pPr>
            <w:pStyle w:val="ListParagraph"/>
            <w:numPr>
              <w:ilvl w:val="0"/>
              <w:numId w:val="2"/>
            </w:numPr>
            <w:spacing w:after="120"/>
            <w:contextualSpacing w:val="0"/>
            <w:outlineLvl w:val="0"/>
            <w:rPr>
              <w:color w:val="000000"/>
            </w:rPr>
          </w:pPr>
          <w:r w:rsidRPr="00486A07">
            <w:fldChar w:fldCharType="end"/>
          </w:r>
          <w:bookmarkStart w:id="5" w:name="_Toc438465306"/>
          <w:bookmarkStart w:id="6" w:name="_Toc461530604"/>
          <w:bookmarkStart w:id="7" w:name="_Toc462300152"/>
          <w:r w:rsidR="00B00C1E" w:rsidRPr="00486A07">
            <w:rPr>
              <w:color w:val="000000"/>
            </w:rPr>
            <w:t xml:space="preserve">Public Health Service (PHS) Act (42 USC </w:t>
          </w:r>
          <w:r w:rsidR="00370367" w:rsidRPr="00486A07">
            <w:rPr>
              <w:color w:val="000000"/>
            </w:rPr>
            <w:t>241</w:t>
          </w:r>
          <w:r w:rsidR="00FD086D" w:rsidRPr="00486A07">
            <w:rPr>
              <w:color w:val="000000"/>
            </w:rPr>
            <w:t>)</w:t>
          </w:r>
          <w:bookmarkEnd w:id="5"/>
          <w:bookmarkEnd w:id="6"/>
          <w:bookmarkEnd w:id="7"/>
          <w:r w:rsidR="00B00C1E" w:rsidRPr="00486A07">
            <w:rPr>
              <w:color w:val="000000"/>
            </w:rPr>
            <w:t xml:space="preserve"> </w:t>
          </w:r>
        </w:p>
        <w:p w14:paraId="575B4EAE" w14:textId="2011F384" w:rsidR="00B00C1E" w:rsidRPr="00486A07" w:rsidRDefault="00B00C1E" w:rsidP="001D0AAF">
          <w:pPr>
            <w:pStyle w:val="ListParagraph"/>
            <w:numPr>
              <w:ilvl w:val="0"/>
              <w:numId w:val="2"/>
            </w:numPr>
            <w:spacing w:before="120" w:after="120"/>
            <w:contextualSpacing w:val="0"/>
            <w:outlineLvl w:val="0"/>
            <w:rPr>
              <w:color w:val="000000"/>
            </w:rPr>
          </w:pPr>
          <w:bookmarkStart w:id="8" w:name="_Toc438465307"/>
          <w:bookmarkStart w:id="9" w:name="_Toc461530605"/>
          <w:bookmarkStart w:id="10" w:name="_Toc462300153"/>
          <w:r w:rsidRPr="00486A07">
            <w:rPr>
              <w:color w:val="000000"/>
            </w:rPr>
            <w:t>60-Day Federal Register Notice</w:t>
          </w:r>
          <w:bookmarkEnd w:id="8"/>
          <w:bookmarkEnd w:id="9"/>
          <w:bookmarkEnd w:id="10"/>
        </w:p>
        <w:p w14:paraId="3EA3172B" w14:textId="5FEEE78F" w:rsidR="00C7067A" w:rsidRPr="00486A07" w:rsidRDefault="00851314" w:rsidP="001D0AAF">
          <w:pPr>
            <w:pStyle w:val="ListParagraph"/>
            <w:numPr>
              <w:ilvl w:val="0"/>
              <w:numId w:val="2"/>
            </w:numPr>
            <w:tabs>
              <w:tab w:val="left" w:pos="9270"/>
            </w:tabs>
            <w:spacing w:before="120" w:after="120"/>
            <w:contextualSpacing w:val="0"/>
            <w:outlineLvl w:val="0"/>
            <w:rPr>
              <w:color w:val="000000"/>
            </w:rPr>
          </w:pPr>
          <w:bookmarkStart w:id="11" w:name="_Toc438465308"/>
          <w:bookmarkStart w:id="12" w:name="_Toc461530606"/>
          <w:bookmarkStart w:id="13" w:name="_Toc462300154"/>
          <w:r w:rsidRPr="00486A07">
            <w:rPr>
              <w:color w:val="000000"/>
            </w:rPr>
            <w:t xml:space="preserve">Site </w:t>
          </w:r>
          <w:r w:rsidR="000F0025" w:rsidRPr="00486A07">
            <w:rPr>
              <w:color w:val="000000"/>
            </w:rPr>
            <w:t>Enrollment Q</w:t>
          </w:r>
          <w:r w:rsidR="00C7067A" w:rsidRPr="00486A07">
            <w:rPr>
              <w:color w:val="000000"/>
            </w:rPr>
            <w:t>uestionnaire</w:t>
          </w:r>
          <w:bookmarkEnd w:id="11"/>
          <w:bookmarkEnd w:id="12"/>
          <w:bookmarkEnd w:id="13"/>
        </w:p>
        <w:p w14:paraId="3A1AAE3E" w14:textId="2C9B6142" w:rsidR="00FA0CDA" w:rsidRPr="00486A07" w:rsidRDefault="00FA0CDA" w:rsidP="001D0AAF">
          <w:pPr>
            <w:pStyle w:val="ListParagraph"/>
            <w:numPr>
              <w:ilvl w:val="0"/>
              <w:numId w:val="2"/>
            </w:numPr>
            <w:tabs>
              <w:tab w:val="left" w:pos="9270"/>
            </w:tabs>
            <w:spacing w:before="120" w:after="120"/>
            <w:contextualSpacing w:val="0"/>
            <w:outlineLvl w:val="0"/>
            <w:rPr>
              <w:color w:val="000000"/>
            </w:rPr>
          </w:pPr>
          <w:bookmarkStart w:id="14" w:name="_Toc461530607"/>
          <w:bookmarkStart w:id="15" w:name="_Toc462300155"/>
          <w:r w:rsidRPr="00486A07">
            <w:rPr>
              <w:color w:val="000000"/>
            </w:rPr>
            <w:t>Study Log Sheet</w:t>
          </w:r>
          <w:bookmarkEnd w:id="14"/>
          <w:bookmarkEnd w:id="15"/>
        </w:p>
        <w:p w14:paraId="3A64EFBA" w14:textId="6B3636D5" w:rsidR="004A4BD0" w:rsidRPr="00486A07" w:rsidRDefault="000F0025" w:rsidP="001D0AAF">
          <w:pPr>
            <w:pStyle w:val="ListParagraph"/>
            <w:numPr>
              <w:ilvl w:val="0"/>
              <w:numId w:val="2"/>
            </w:numPr>
            <w:tabs>
              <w:tab w:val="left" w:pos="9270"/>
            </w:tabs>
            <w:spacing w:before="120" w:after="120"/>
            <w:contextualSpacing w:val="0"/>
            <w:outlineLvl w:val="0"/>
            <w:rPr>
              <w:color w:val="000000"/>
            </w:rPr>
          </w:pPr>
          <w:bookmarkStart w:id="16" w:name="_Toc461530608"/>
          <w:bookmarkStart w:id="17" w:name="_Toc462300156"/>
          <w:r w:rsidRPr="00486A07">
            <w:rPr>
              <w:color w:val="000000"/>
            </w:rPr>
            <w:t>Case Questionnaire</w:t>
          </w:r>
          <w:bookmarkEnd w:id="16"/>
          <w:bookmarkEnd w:id="17"/>
          <w:r w:rsidRPr="00486A07">
            <w:rPr>
              <w:color w:val="000000"/>
            </w:rPr>
            <w:t xml:space="preserve"> </w:t>
          </w:r>
        </w:p>
        <w:p w14:paraId="49E539D7" w14:textId="4C80F47F" w:rsidR="007524D4" w:rsidRPr="00486A07" w:rsidRDefault="000F0025" w:rsidP="001D0AAF">
          <w:pPr>
            <w:pStyle w:val="ListParagraph"/>
            <w:numPr>
              <w:ilvl w:val="0"/>
              <w:numId w:val="2"/>
            </w:numPr>
            <w:tabs>
              <w:tab w:val="left" w:pos="9270"/>
            </w:tabs>
            <w:spacing w:before="120" w:after="120"/>
            <w:contextualSpacing w:val="0"/>
            <w:outlineLvl w:val="0"/>
            <w:rPr>
              <w:color w:val="000000"/>
            </w:rPr>
          </w:pPr>
          <w:bookmarkStart w:id="18" w:name="_Toc461530609"/>
          <w:bookmarkStart w:id="19" w:name="_Toc462300157"/>
          <w:r w:rsidRPr="00486A07">
            <w:rPr>
              <w:color w:val="000000"/>
            </w:rPr>
            <w:t>Owner Consent Form</w:t>
          </w:r>
          <w:bookmarkEnd w:id="18"/>
          <w:bookmarkEnd w:id="19"/>
        </w:p>
        <w:p w14:paraId="5CC03FDE" w14:textId="6DB4425B" w:rsidR="00275B13" w:rsidRPr="00486A07" w:rsidRDefault="00D45820" w:rsidP="001D0AAF">
          <w:pPr>
            <w:pStyle w:val="ListParagraph"/>
            <w:numPr>
              <w:ilvl w:val="0"/>
              <w:numId w:val="2"/>
            </w:numPr>
            <w:tabs>
              <w:tab w:val="left" w:pos="9270"/>
            </w:tabs>
            <w:spacing w:before="120" w:after="120"/>
            <w:contextualSpacing w:val="0"/>
            <w:outlineLvl w:val="0"/>
            <w:rPr>
              <w:color w:val="000000"/>
            </w:rPr>
          </w:pPr>
          <w:bookmarkStart w:id="20" w:name="_Toc461530610"/>
          <w:bookmarkStart w:id="21" w:name="_Toc462300158"/>
          <w:r w:rsidRPr="00486A07">
            <w:rPr>
              <w:color w:val="000000"/>
            </w:rPr>
            <w:t>IACUC exemption</w:t>
          </w:r>
        </w:p>
      </w:sdtContent>
    </w:sdt>
    <w:bookmarkEnd w:id="21" w:displacedByCustomXml="prev"/>
    <w:bookmarkEnd w:id="20" w:displacedByCustomXml="prev"/>
    <w:p w14:paraId="565F127F" w14:textId="77777777" w:rsidR="00B00C1E" w:rsidRPr="00486A07" w:rsidRDefault="00B00C1E" w:rsidP="0059528F">
      <w:pPr>
        <w:pStyle w:val="NoSpacing"/>
        <w:jc w:val="center"/>
        <w:rPr>
          <w:b/>
        </w:rPr>
      </w:pPr>
    </w:p>
    <w:p w14:paraId="18556CBA" w14:textId="77777777" w:rsidR="00B00C1E" w:rsidRPr="00486A07" w:rsidRDefault="00B00C1E" w:rsidP="0059528F">
      <w:pPr>
        <w:pStyle w:val="NoSpacing"/>
        <w:jc w:val="center"/>
        <w:rPr>
          <w:b/>
        </w:rPr>
      </w:pPr>
    </w:p>
    <w:p w14:paraId="2038E633" w14:textId="77777777" w:rsidR="00B00C1E" w:rsidRPr="00486A07" w:rsidRDefault="00B00C1E" w:rsidP="0059528F">
      <w:pPr>
        <w:pStyle w:val="NoSpacing"/>
        <w:jc w:val="center"/>
        <w:rPr>
          <w:b/>
        </w:rPr>
      </w:pPr>
    </w:p>
    <w:p w14:paraId="08A85566" w14:textId="62C07DE4" w:rsidR="003367F4" w:rsidRPr="00486A07" w:rsidRDefault="003367F4" w:rsidP="0059528F">
      <w:pPr>
        <w:pStyle w:val="NoSpacing"/>
        <w:jc w:val="center"/>
        <w:rPr>
          <w:b/>
        </w:rPr>
      </w:pPr>
    </w:p>
    <w:p w14:paraId="51A72083" w14:textId="1CCF1206" w:rsidR="008B0E6B" w:rsidRPr="00486A07" w:rsidRDefault="003F195B" w:rsidP="00F97924">
      <w:pPr>
        <w:pStyle w:val="NoSpacing"/>
        <w:jc w:val="center"/>
        <w:rPr>
          <w:b/>
        </w:rPr>
      </w:pPr>
      <w:r w:rsidRPr="00486A07">
        <w:rPr>
          <w:b/>
        </w:rPr>
        <w:lastRenderedPageBreak/>
        <w:t>Ca</w:t>
      </w:r>
      <w:r w:rsidR="005D7BFB" w:rsidRPr="00486A07">
        <w:rPr>
          <w:b/>
        </w:rPr>
        <w:t>nine Leptospirosis Surveillance in</w:t>
      </w:r>
      <w:r w:rsidRPr="00486A07">
        <w:rPr>
          <w:b/>
        </w:rPr>
        <w:t xml:space="preserve"> Puerto Rico</w:t>
      </w:r>
    </w:p>
    <w:bookmarkStart w:id="22" w:name="_Toc462300159"/>
    <w:p w14:paraId="479C5C70" w14:textId="49AEA0F5" w:rsidR="00F74DAE" w:rsidRPr="00486A07" w:rsidRDefault="003367F4" w:rsidP="003367F4">
      <w:pPr>
        <w:pStyle w:val="Heading1"/>
        <w:rPr>
          <w:rFonts w:ascii="Times New Roman" w:hAnsi="Times New Roman" w:cs="Times New Roman"/>
          <w:color w:val="000000" w:themeColor="text1"/>
        </w:rPr>
      </w:pPr>
      <w:r w:rsidRPr="00486A07">
        <w:rPr>
          <w:rFonts w:ascii="Times New Roman" w:hAnsi="Times New Roman" w:cs="Times New Roman"/>
          <w:noProof/>
          <w:color w:val="000000"/>
        </w:rPr>
        <mc:AlternateContent>
          <mc:Choice Requires="wps">
            <w:drawing>
              <wp:anchor distT="45720" distB="45720" distL="114300" distR="114300" simplePos="0" relativeHeight="251659264" behindDoc="0" locked="0" layoutInCell="1" allowOverlap="1" wp14:anchorId="43741714" wp14:editId="0063A5EA">
                <wp:simplePos x="0" y="0"/>
                <wp:positionH relativeFrom="margin">
                  <wp:align>right</wp:align>
                </wp:positionH>
                <wp:positionV relativeFrom="paragraph">
                  <wp:posOffset>702945</wp:posOffset>
                </wp:positionV>
                <wp:extent cx="5924550" cy="33134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313785"/>
                        </a:xfrm>
                        <a:prstGeom prst="rect">
                          <a:avLst/>
                        </a:prstGeom>
                        <a:solidFill>
                          <a:srgbClr val="FFFFFF"/>
                        </a:solidFill>
                        <a:ln w="9525">
                          <a:solidFill>
                            <a:srgbClr val="000000"/>
                          </a:solidFill>
                          <a:miter lim="800000"/>
                          <a:headEnd/>
                          <a:tailEnd/>
                        </a:ln>
                      </wps:spPr>
                      <wps:txbx>
                        <w:txbxContent>
                          <w:p w14:paraId="3B551E03" w14:textId="77777777" w:rsidR="00D504D4" w:rsidRPr="00C05051" w:rsidRDefault="00D504D4" w:rsidP="001D0AAF">
                            <w:pPr>
                              <w:pStyle w:val="ListParagraph"/>
                              <w:numPr>
                                <w:ilvl w:val="0"/>
                                <w:numId w:val="3"/>
                              </w:numPr>
                            </w:pPr>
                            <w:r>
                              <w:t xml:space="preserve">The goals of the data collection are to characterize the epidemiology of canine leptospirosis in Puerto Rico, assess the applicability of </w:t>
                            </w:r>
                            <w:r w:rsidRPr="002F0686">
                              <w:t>canine</w:t>
                            </w:r>
                            <w:r w:rsidRPr="002F0686">
                              <w:rPr>
                                <w:i/>
                              </w:rPr>
                              <w:t xml:space="preserve"> Leptospira</w:t>
                            </w:r>
                            <w:r>
                              <w:t xml:space="preserve"> vaccines used in the island, and determine potential rodent, </w:t>
                            </w:r>
                            <w:r w:rsidRPr="00C05051">
                              <w:t>livestock, and wildlife reservoirs for leptospirosis. Findings from the study will be used to develop recommendations for the prevention of leptospirosis in dogs, focus human surveillance efforts, and guide further investigations on leptospirosis in Puerto Rico.</w:t>
                            </w:r>
                          </w:p>
                          <w:p w14:paraId="2814C894" w14:textId="285FCEC5" w:rsidR="00D504D4" w:rsidRPr="00C05051" w:rsidRDefault="00D504D4" w:rsidP="00A95446">
                            <w:pPr>
                              <w:pStyle w:val="ListParagraph"/>
                              <w:numPr>
                                <w:ilvl w:val="0"/>
                                <w:numId w:val="3"/>
                              </w:numPr>
                            </w:pPr>
                            <w:r w:rsidRPr="00C05051">
                              <w:t>The populations covered under this data request include veterinarians and staff from participating veterinary clinics and shelters (sites)</w:t>
                            </w:r>
                            <w:r w:rsidR="00382EF1" w:rsidRPr="00C05051">
                              <w:t xml:space="preserve"> and owners of enrolled dogs</w:t>
                            </w:r>
                            <w:r w:rsidRPr="00C05051">
                              <w:t>. Dogs with febrile illness that present to participating sites and meet the case definition will be enrolled in the surveillance project.  Enrolled dogs will have an on-site leptospirosis screening test performed and off-site confirmatory testing conducted if the screening test is positive.</w:t>
                            </w:r>
                          </w:p>
                          <w:p w14:paraId="31A5DAD6" w14:textId="4CAB6655" w:rsidR="00D504D4" w:rsidRPr="00295FDE" w:rsidRDefault="00D504D4" w:rsidP="001D0AAF">
                            <w:pPr>
                              <w:pStyle w:val="ListParagraph"/>
                              <w:numPr>
                                <w:ilvl w:val="0"/>
                                <w:numId w:val="3"/>
                              </w:numPr>
                              <w:rPr>
                                <w:color w:val="000000"/>
                              </w:rPr>
                            </w:pPr>
                            <w:r w:rsidRPr="00C05051">
                              <w:t>The methods of information collection include a one-time site enrollment questionnaire to collect basic site information, a log of all enrolled dogs at each site used to record rapid diagnostic test results, and case questionnaires to collect demographic, risk factor, clinical, and laboratory information about each dog enrolled. Consent from</w:t>
                            </w:r>
                            <w:r>
                              <w:t xml:space="preserve"> dog owners to collect information and specimens from the dog are documented using a consent form.</w:t>
                            </w:r>
                          </w:p>
                          <w:p w14:paraId="2D89C135" w14:textId="4B1A7AAE" w:rsidR="00D504D4" w:rsidRPr="00503771" w:rsidRDefault="00D504D4" w:rsidP="001D0AAF">
                            <w:pPr>
                              <w:pStyle w:val="ListParagraph"/>
                              <w:numPr>
                                <w:ilvl w:val="0"/>
                                <w:numId w:val="3"/>
                              </w:numPr>
                            </w:pPr>
                            <w:r>
                              <w:t>Data will be analyzed using statistical packages such as SAS® and spatial analysis software such as ArcGIS.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41714" id="_x0000_t202" coordsize="21600,21600" o:spt="202" path="m,l,21600r21600,l21600,xe">
                <v:stroke joinstyle="miter"/>
                <v:path gradientshapeok="t" o:connecttype="rect"/>
              </v:shapetype>
              <v:shape id="Text Box 2" o:spid="_x0000_s1026" type="#_x0000_t202" style="position:absolute;margin-left:415.3pt;margin-top:55.35pt;width:466.5pt;height:260.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">
                <v:textbox>
                  <w:txbxContent>
                    <w:p w14:paraId="3B551E03" w14:textId="77777777" w:rsidR="00D504D4" w:rsidRPr="00C05051" w:rsidRDefault="00D504D4" w:rsidP="001D0AAF">
                      <w:pPr>
                        <w:pStyle w:val="ListParagraph"/>
                        <w:numPr>
                          <w:ilvl w:val="0"/>
                          <w:numId w:val="3"/>
                        </w:numPr>
                      </w:pPr>
                      <w:r>
                        <w:t xml:space="preserve">The goals of the data collection are to characterize the epidemiology of canine leptospirosis in Puerto Rico, assess the applicability of </w:t>
                      </w:r>
                      <w:r w:rsidRPr="002F0686">
                        <w:t>canine</w:t>
                      </w:r>
                      <w:r w:rsidRPr="002F0686">
                        <w:rPr>
                          <w:i/>
                        </w:rPr>
                        <w:t xml:space="preserve"> Leptospira</w:t>
                      </w:r>
                      <w:r>
                        <w:t xml:space="preserve"> vaccines used in the island, and determine potential rodent, </w:t>
                      </w:r>
                      <w:r w:rsidRPr="00C05051">
                        <w:t>livestock, and wildlife reservoirs for leptospirosis. Findings from the study will be used to develop recommendations for the prevention of leptospirosis in dogs, focus human surveillance efforts, and guide further investigations on leptospirosis in Puerto Rico.</w:t>
                      </w:r>
                    </w:p>
                    <w:p w14:paraId="2814C894" w14:textId="285FCEC5" w:rsidR="00D504D4" w:rsidRPr="00C05051" w:rsidRDefault="00D504D4" w:rsidP="00A95446">
                      <w:pPr>
                        <w:pStyle w:val="ListParagraph"/>
                        <w:numPr>
                          <w:ilvl w:val="0"/>
                          <w:numId w:val="3"/>
                        </w:numPr>
                      </w:pPr>
                      <w:r w:rsidRPr="00C05051">
                        <w:t>The populations covered under this data request include veterinarians and staff from participating veterinary clinics and shelters (sites)</w:t>
                      </w:r>
                      <w:r w:rsidR="00382EF1" w:rsidRPr="00C05051">
                        <w:t xml:space="preserve"> and owners of enrolled dogs</w:t>
                      </w:r>
                      <w:r w:rsidRPr="00C05051">
                        <w:t>. Dogs with febrile illness that present to participating sites and meet the case definition will be enrolled in the surveillance project.  Enrolled dogs will have an on-site leptospirosis screening test performed and off-site confirmatory testing conducted if the screening test is positive.</w:t>
                      </w:r>
                    </w:p>
                    <w:p w14:paraId="31A5DAD6" w14:textId="4CAB6655" w:rsidR="00D504D4" w:rsidRPr="00295FDE" w:rsidRDefault="00D504D4" w:rsidP="001D0AAF">
                      <w:pPr>
                        <w:pStyle w:val="ListParagraph"/>
                        <w:numPr>
                          <w:ilvl w:val="0"/>
                          <w:numId w:val="3"/>
                        </w:numPr>
                        <w:rPr>
                          <w:color w:val="000000"/>
                        </w:rPr>
                      </w:pPr>
                      <w:r w:rsidRPr="00C05051">
                        <w:t>The methods of information collection include a one-time site enrollment questionnaire to collect basic site information, a log of all enrolled dogs at each site used to record rapid diagnostic test results, and case questionnaires to collect demographic, risk factor, clinical, and laboratory information about each dog enrolled. Consent from</w:t>
                      </w:r>
                      <w:r>
                        <w:t xml:space="preserve"> dog owners to collect information and specimens from the dog are documented using a consent form.</w:t>
                      </w:r>
                    </w:p>
                    <w:p w14:paraId="2D89C135" w14:textId="4B1A7AAE" w:rsidR="00D504D4" w:rsidRPr="00503771" w:rsidRDefault="00D504D4" w:rsidP="001D0AAF">
                      <w:pPr>
                        <w:pStyle w:val="ListParagraph"/>
                        <w:numPr>
                          <w:ilvl w:val="0"/>
                          <w:numId w:val="3"/>
                        </w:numPr>
                      </w:pPr>
                      <w:r>
                        <w:t>Data will be analyzed using statistical packages such as SAS® and spatial analysis software such as ArcGIS.</w:t>
                      </w:r>
                    </w:p>
                  </w:txbxContent>
                </v:textbox>
                <w10:wrap type="square" anchorx="margin"/>
              </v:shape>
            </w:pict>
          </mc:Fallback>
        </mc:AlternateContent>
      </w:r>
      <w:r w:rsidR="00B77456" w:rsidRPr="00486A07">
        <w:rPr>
          <w:rFonts w:ascii="Times New Roman" w:hAnsi="Times New Roman" w:cs="Times New Roman"/>
          <w:color w:val="000000" w:themeColor="text1"/>
        </w:rPr>
        <w:t xml:space="preserve">PART </w:t>
      </w:r>
      <w:r w:rsidR="008B0E6B" w:rsidRPr="00486A07">
        <w:rPr>
          <w:rFonts w:ascii="Times New Roman" w:hAnsi="Times New Roman" w:cs="Times New Roman"/>
          <w:color w:val="000000" w:themeColor="text1"/>
        </w:rPr>
        <w:t>A. JUSTIFICATION</w:t>
      </w:r>
      <w:bookmarkEnd w:id="22"/>
    </w:p>
    <w:p w14:paraId="549309BB" w14:textId="0D7E8485" w:rsidR="008B0E6B" w:rsidRPr="00486A07" w:rsidRDefault="008B0E6B" w:rsidP="00361F53">
      <w:pPr>
        <w:rPr>
          <w:color w:val="000000"/>
        </w:rPr>
      </w:pPr>
    </w:p>
    <w:p w14:paraId="66520B81" w14:textId="7B25CB87" w:rsidR="00DE542A" w:rsidRPr="00486A07" w:rsidRDefault="00DE542A" w:rsidP="00DE542A">
      <w:pPr>
        <w:rPr>
          <w:color w:val="000000"/>
        </w:rPr>
      </w:pPr>
      <w:bookmarkStart w:id="23" w:name="_Toc462300160"/>
      <w:r w:rsidRPr="00486A07">
        <w:rPr>
          <w:color w:val="000000"/>
        </w:rPr>
        <w:t>The Centers for Disease Control and Prevention (CDC), National Center for Emerging and Zoonotic Infectious Diseases (NCEZID), Division of High-Consequence Pathogens and Pathology (DHCPP), Bacterial Special Pathogens Branch (BSPB), requests a 2-year approval of “</w:t>
      </w:r>
      <w:r w:rsidR="00E15607" w:rsidRPr="00486A07">
        <w:rPr>
          <w:color w:val="000000"/>
        </w:rPr>
        <w:t>C</w:t>
      </w:r>
      <w:r w:rsidRPr="00486A07">
        <w:rPr>
          <w:color w:val="000000"/>
        </w:rPr>
        <w:t xml:space="preserve">anine leptospirosis surveillance in Puerto Rico.” This is a request for OMB approval of an </w:t>
      </w:r>
      <w:r w:rsidR="00E15607" w:rsidRPr="00486A07">
        <w:rPr>
          <w:color w:val="000000"/>
        </w:rPr>
        <w:t xml:space="preserve">existing </w:t>
      </w:r>
      <w:r w:rsidRPr="00486A07">
        <w:rPr>
          <w:color w:val="000000"/>
        </w:rPr>
        <w:t xml:space="preserve">information collection in use without an OMB </w:t>
      </w:r>
      <w:r w:rsidR="00FD2EBB" w:rsidRPr="00486A07">
        <w:rPr>
          <w:color w:val="000000"/>
        </w:rPr>
        <w:t xml:space="preserve">control </w:t>
      </w:r>
      <w:r w:rsidRPr="00486A07">
        <w:rPr>
          <w:color w:val="000000"/>
        </w:rPr>
        <w:t xml:space="preserve">number. </w:t>
      </w:r>
      <w:r w:rsidR="00B371A5" w:rsidRPr="00486A07">
        <w:rPr>
          <w:color w:val="000000"/>
        </w:rPr>
        <w:t>T</w:t>
      </w:r>
      <w:r w:rsidRPr="00486A07">
        <w:rPr>
          <w:color w:val="000000"/>
        </w:rPr>
        <w:t>he study was</w:t>
      </w:r>
      <w:r w:rsidR="00FD2EBB" w:rsidRPr="00486A07">
        <w:rPr>
          <w:color w:val="000000"/>
        </w:rPr>
        <w:t xml:space="preserve"> first</w:t>
      </w:r>
      <w:r w:rsidRPr="00486A07">
        <w:rPr>
          <w:color w:val="000000"/>
        </w:rPr>
        <w:t xml:space="preserve"> </w:t>
      </w:r>
      <w:r w:rsidR="00B371A5" w:rsidRPr="00486A07">
        <w:rPr>
          <w:color w:val="000000"/>
        </w:rPr>
        <w:t xml:space="preserve">conceived of and requested </w:t>
      </w:r>
      <w:r w:rsidR="00FD2EBB" w:rsidRPr="00486A07">
        <w:rPr>
          <w:color w:val="000000"/>
        </w:rPr>
        <w:t>by</w:t>
      </w:r>
      <w:r w:rsidR="00E15607" w:rsidRPr="00486A07">
        <w:rPr>
          <w:color w:val="000000"/>
        </w:rPr>
        <w:t xml:space="preserve"> </w:t>
      </w:r>
      <w:r w:rsidR="00B371A5" w:rsidRPr="00486A07">
        <w:rPr>
          <w:color w:val="000000"/>
        </w:rPr>
        <w:t xml:space="preserve">the </w:t>
      </w:r>
      <w:r w:rsidR="00E15607" w:rsidRPr="00486A07">
        <w:rPr>
          <w:color w:val="000000"/>
        </w:rPr>
        <w:t>Puerto Rico Department of Health (P</w:t>
      </w:r>
      <w:r w:rsidR="00FD2EBB" w:rsidRPr="00486A07">
        <w:rPr>
          <w:color w:val="000000"/>
        </w:rPr>
        <w:t>RDH) in 2011</w:t>
      </w:r>
      <w:r w:rsidR="00CD539A" w:rsidRPr="00486A07">
        <w:rPr>
          <w:color w:val="000000"/>
        </w:rPr>
        <w:t>.</w:t>
      </w:r>
      <w:r w:rsidR="00893309" w:rsidRPr="00486A07">
        <w:rPr>
          <w:color w:val="000000"/>
        </w:rPr>
        <w:t xml:space="preserve"> BSPB</w:t>
      </w:r>
      <w:r w:rsidRPr="00486A07">
        <w:rPr>
          <w:color w:val="000000"/>
        </w:rPr>
        <w:t>’s role</w:t>
      </w:r>
      <w:r w:rsidR="00B371A5" w:rsidRPr="00486A07">
        <w:rPr>
          <w:color w:val="000000"/>
        </w:rPr>
        <w:t xml:space="preserve"> is</w:t>
      </w:r>
      <w:r w:rsidR="00CD539A" w:rsidRPr="00486A07">
        <w:rPr>
          <w:color w:val="000000"/>
        </w:rPr>
        <w:t xml:space="preserve"> </w:t>
      </w:r>
      <w:r w:rsidRPr="00486A07">
        <w:rPr>
          <w:color w:val="000000"/>
        </w:rPr>
        <w:t>to provide technical assistance</w:t>
      </w:r>
      <w:r w:rsidR="00B371A5" w:rsidRPr="00486A07">
        <w:rPr>
          <w:color w:val="000000"/>
        </w:rPr>
        <w:t xml:space="preserve">, including protocol </w:t>
      </w:r>
      <w:r w:rsidR="00CD539A" w:rsidRPr="00486A07">
        <w:rPr>
          <w:color w:val="000000"/>
        </w:rPr>
        <w:t xml:space="preserve">development </w:t>
      </w:r>
      <w:r w:rsidR="00B371A5" w:rsidRPr="00486A07">
        <w:rPr>
          <w:color w:val="000000"/>
        </w:rPr>
        <w:t>and data collection form development in conjunction with the PRDH project collaborators</w:t>
      </w:r>
      <w:r w:rsidR="0085534F" w:rsidRPr="00486A07">
        <w:rPr>
          <w:color w:val="000000"/>
        </w:rPr>
        <w:t>,</w:t>
      </w:r>
      <w:r w:rsidR="00B371A5" w:rsidRPr="00486A07">
        <w:rPr>
          <w:color w:val="000000"/>
        </w:rPr>
        <w:t xml:space="preserve"> conduct confirmatory diagnostic testing and report results to veterina</w:t>
      </w:r>
      <w:r w:rsidR="00CD539A" w:rsidRPr="00486A07">
        <w:rPr>
          <w:color w:val="000000"/>
        </w:rPr>
        <w:t>rians</w:t>
      </w:r>
      <w:r w:rsidR="0085534F" w:rsidRPr="00486A07">
        <w:rPr>
          <w:color w:val="000000"/>
        </w:rPr>
        <w:t>,</w:t>
      </w:r>
      <w:r w:rsidR="00B371A5" w:rsidRPr="00486A07">
        <w:rPr>
          <w:color w:val="000000"/>
        </w:rPr>
        <w:t xml:space="preserve"> and conduct data entry </w:t>
      </w:r>
      <w:r w:rsidR="00653479" w:rsidRPr="00486A07">
        <w:rPr>
          <w:color w:val="000000"/>
        </w:rPr>
        <w:t xml:space="preserve">as requested by </w:t>
      </w:r>
      <w:r w:rsidR="00B371A5" w:rsidRPr="00486A07">
        <w:rPr>
          <w:color w:val="000000"/>
        </w:rPr>
        <w:t xml:space="preserve">the PRDH </w:t>
      </w:r>
      <w:r w:rsidR="00653479" w:rsidRPr="00486A07">
        <w:rPr>
          <w:color w:val="000000"/>
        </w:rPr>
        <w:t xml:space="preserve">since they </w:t>
      </w:r>
      <w:r w:rsidR="00B371A5" w:rsidRPr="00486A07">
        <w:rPr>
          <w:color w:val="000000"/>
        </w:rPr>
        <w:t xml:space="preserve">lack the staff time </w:t>
      </w:r>
      <w:r w:rsidR="00653479" w:rsidRPr="00486A07">
        <w:rPr>
          <w:color w:val="000000"/>
        </w:rPr>
        <w:t>for this workload</w:t>
      </w:r>
      <w:r w:rsidR="0085534F" w:rsidRPr="00486A07">
        <w:rPr>
          <w:color w:val="000000"/>
        </w:rPr>
        <w:t>.</w:t>
      </w:r>
      <w:r w:rsidR="00B371A5" w:rsidRPr="00486A07">
        <w:rPr>
          <w:color w:val="000000"/>
        </w:rPr>
        <w:t xml:space="preserve"> Although BSPB has been heavily involved in protocol and form development</w:t>
      </w:r>
      <w:r w:rsidR="0085534F" w:rsidRPr="00486A07">
        <w:rPr>
          <w:color w:val="000000"/>
        </w:rPr>
        <w:t>,</w:t>
      </w:r>
      <w:r w:rsidR="00B371A5" w:rsidRPr="00486A07">
        <w:rPr>
          <w:color w:val="000000"/>
        </w:rPr>
        <w:t xml:space="preserve"> as well as data entry, </w:t>
      </w:r>
      <w:r w:rsidR="00B51BBE" w:rsidRPr="00486A07">
        <w:rPr>
          <w:color w:val="000000"/>
        </w:rPr>
        <w:t>PRDH continues to hold ownership of the data</w:t>
      </w:r>
      <w:r w:rsidR="00B371A5" w:rsidRPr="00486A07">
        <w:rPr>
          <w:color w:val="000000"/>
        </w:rPr>
        <w:t>, approval and veto rights on all project elements,</w:t>
      </w:r>
      <w:r w:rsidR="00B51BBE" w:rsidRPr="00486A07">
        <w:rPr>
          <w:color w:val="000000"/>
        </w:rPr>
        <w:t xml:space="preserve"> and the ability to terminate the </w:t>
      </w:r>
      <w:r w:rsidR="00B371A5" w:rsidRPr="00486A07">
        <w:rPr>
          <w:color w:val="000000"/>
        </w:rPr>
        <w:t>project</w:t>
      </w:r>
      <w:r w:rsidR="00B51BBE" w:rsidRPr="00486A07">
        <w:rPr>
          <w:color w:val="000000"/>
        </w:rPr>
        <w:t xml:space="preserve"> at any time.</w:t>
      </w:r>
    </w:p>
    <w:p w14:paraId="44D246D5" w14:textId="77777777" w:rsidR="00DE542A" w:rsidRPr="00486A07" w:rsidRDefault="00DE542A" w:rsidP="00361F53">
      <w:pPr>
        <w:outlineLvl w:val="0"/>
        <w:rPr>
          <w:b/>
          <w:color w:val="000000"/>
        </w:rPr>
      </w:pPr>
    </w:p>
    <w:p w14:paraId="27E92AFE" w14:textId="37FAB3B9" w:rsidR="008B0E6B" w:rsidRPr="00486A07" w:rsidRDefault="008B0E6B" w:rsidP="00361F53">
      <w:pPr>
        <w:outlineLvl w:val="0"/>
        <w:rPr>
          <w:color w:val="000000"/>
        </w:rPr>
      </w:pPr>
      <w:r w:rsidRPr="00486A07">
        <w:rPr>
          <w:b/>
          <w:color w:val="000000"/>
        </w:rPr>
        <w:t>1. Circumstances Making the Collection of Information Necessary</w:t>
      </w:r>
      <w:bookmarkEnd w:id="23"/>
    </w:p>
    <w:p w14:paraId="372326DE" w14:textId="77777777" w:rsidR="008B0E6B" w:rsidRPr="00486A07" w:rsidRDefault="008B0E6B" w:rsidP="00361F53">
      <w:pPr>
        <w:rPr>
          <w:color w:val="000000"/>
        </w:rPr>
      </w:pPr>
    </w:p>
    <w:p w14:paraId="259DD760" w14:textId="31B8B9A0" w:rsidR="00A95446" w:rsidRPr="00486A07" w:rsidRDefault="00282056" w:rsidP="00282056">
      <w:r w:rsidRPr="00486A07">
        <w:t xml:space="preserve">Leptospirosis, a </w:t>
      </w:r>
      <w:r w:rsidR="003C5519" w:rsidRPr="00486A07">
        <w:t xml:space="preserve">disease in humans and animals, is </w:t>
      </w:r>
      <w:r w:rsidRPr="00486A07">
        <w:t>transmitted through contact with the urine of infected animals, either directly or through exposure to contaminated water or soil</w:t>
      </w:r>
      <w:r w:rsidR="003C5519" w:rsidRPr="00486A07">
        <w:t>. In dogs,</w:t>
      </w:r>
      <w:r w:rsidRPr="00486A07">
        <w:t xml:space="preserve"> </w:t>
      </w:r>
      <w:r w:rsidR="003C5519" w:rsidRPr="00486A07">
        <w:t xml:space="preserve">the disease </w:t>
      </w:r>
      <w:r w:rsidRPr="00486A07">
        <w:t>can present as an acute febrile illness</w:t>
      </w:r>
      <w:r w:rsidR="003C5519" w:rsidRPr="00486A07">
        <w:t>.</w:t>
      </w:r>
      <w:r w:rsidRPr="00486A07">
        <w:t xml:space="preserve"> The often non-specific symptoms, as well as a wide range of clinical presentations can make it difficult to diagnose. Early diagnosis can result in rapid initiation of treatment and improve chances of survival in affected canines</w:t>
      </w:r>
      <w:r w:rsidR="007C61CC" w:rsidRPr="00486A07">
        <w:t>,</w:t>
      </w:r>
      <w:r w:rsidR="004940B2" w:rsidRPr="00486A07">
        <w:t xml:space="preserve"> as well as </w:t>
      </w:r>
      <w:r w:rsidR="004940B2" w:rsidRPr="00486A07">
        <w:lastRenderedPageBreak/>
        <w:t>decrease the risk of infected dogs shedding leptospires into the environment and providing a potential source for human infection</w:t>
      </w:r>
      <w:r w:rsidRPr="00486A07">
        <w:t>.  Barriers to determining the actual burden of canine leptospirosis in Puerto Rico as well as the circulating leptospirosis serovars include the unavailability of diagnostic testing on the island and the lack of a veterinary surveillance system to detect and report cases.</w:t>
      </w:r>
    </w:p>
    <w:p w14:paraId="5480FD53" w14:textId="335C50BF" w:rsidR="00282056" w:rsidRPr="00486A07" w:rsidRDefault="00282056" w:rsidP="00282056">
      <w:pPr>
        <w:rPr>
          <w:color w:val="000000"/>
        </w:rPr>
      </w:pPr>
      <w:r w:rsidRPr="00486A07">
        <w:rPr>
          <w:color w:val="000000"/>
        </w:rPr>
        <w:t xml:space="preserve"> </w:t>
      </w:r>
    </w:p>
    <w:p w14:paraId="46487D2E" w14:textId="30EE6BB4" w:rsidR="00E8289F" w:rsidRPr="00486A07" w:rsidRDefault="00CE6921" w:rsidP="00E8289F">
      <w:pPr>
        <w:rPr>
          <w:color w:val="000000"/>
        </w:rPr>
      </w:pPr>
      <w:r w:rsidRPr="00486A07">
        <w:rPr>
          <w:color w:val="000000"/>
        </w:rPr>
        <w:t>Leptospirosis is endemic in Puerto</w:t>
      </w:r>
      <w:r w:rsidR="00860DDA" w:rsidRPr="00486A07">
        <w:rPr>
          <w:color w:val="000000"/>
        </w:rPr>
        <w:t xml:space="preserve"> Rico</w:t>
      </w:r>
      <w:r w:rsidRPr="00486A07">
        <w:rPr>
          <w:color w:val="000000"/>
        </w:rPr>
        <w:t xml:space="preserve">, however, </w:t>
      </w:r>
      <w:r w:rsidR="00D46053" w:rsidRPr="00486A07">
        <w:rPr>
          <w:color w:val="000000"/>
        </w:rPr>
        <w:t xml:space="preserve">there </w:t>
      </w:r>
      <w:r w:rsidR="00E8289F" w:rsidRPr="00486A07">
        <w:rPr>
          <w:color w:val="000000"/>
        </w:rPr>
        <w:t>is very limited data on can</w:t>
      </w:r>
      <w:r w:rsidRPr="00486A07">
        <w:rPr>
          <w:color w:val="000000"/>
        </w:rPr>
        <w:t xml:space="preserve">ine leptospirosis in the island. </w:t>
      </w:r>
      <w:r w:rsidR="00B864A2" w:rsidRPr="00486A07">
        <w:rPr>
          <w:color w:val="000000"/>
        </w:rPr>
        <w:t>In 1980, Farrington and Sulzer</w:t>
      </w:r>
      <w:r w:rsidR="00B864A2" w:rsidRPr="00486A07">
        <w:rPr>
          <w:rStyle w:val="FootnoteReference"/>
          <w:color w:val="000000"/>
        </w:rPr>
        <w:footnoteReference w:id="1"/>
      </w:r>
      <w:r w:rsidR="000459FC" w:rsidRPr="00486A07">
        <w:rPr>
          <w:color w:val="000000"/>
        </w:rPr>
        <w:t xml:space="preserve"> </w:t>
      </w:r>
      <w:r w:rsidR="00B864A2" w:rsidRPr="00486A07">
        <w:rPr>
          <w:color w:val="000000"/>
        </w:rPr>
        <w:t xml:space="preserve">did a </w:t>
      </w:r>
      <w:r w:rsidR="000459FC" w:rsidRPr="00486A07">
        <w:rPr>
          <w:color w:val="000000"/>
        </w:rPr>
        <w:t>serosu</w:t>
      </w:r>
      <w:r w:rsidR="00AB5E12" w:rsidRPr="00486A07">
        <w:rPr>
          <w:color w:val="000000"/>
        </w:rPr>
        <w:t xml:space="preserve">rvey of antibodies to </w:t>
      </w:r>
      <w:r w:rsidR="00AB5E12" w:rsidRPr="00486A07">
        <w:rPr>
          <w:i/>
          <w:color w:val="000000"/>
        </w:rPr>
        <w:t>Leptospira</w:t>
      </w:r>
      <w:r w:rsidR="00AB5E12" w:rsidRPr="00486A07">
        <w:rPr>
          <w:color w:val="000000"/>
        </w:rPr>
        <w:t xml:space="preserve"> </w:t>
      </w:r>
      <w:r w:rsidR="000459FC" w:rsidRPr="00486A07">
        <w:rPr>
          <w:color w:val="000000"/>
        </w:rPr>
        <w:t xml:space="preserve">in 116 stray dogs </w:t>
      </w:r>
      <w:r w:rsidR="00AB5E12" w:rsidRPr="00486A07">
        <w:rPr>
          <w:color w:val="000000"/>
        </w:rPr>
        <w:t xml:space="preserve">at three </w:t>
      </w:r>
      <w:r w:rsidR="009C65AD" w:rsidRPr="00486A07">
        <w:rPr>
          <w:color w:val="000000"/>
        </w:rPr>
        <w:t xml:space="preserve">shelters </w:t>
      </w:r>
      <w:r w:rsidR="00AB5E12" w:rsidRPr="00486A07">
        <w:rPr>
          <w:color w:val="000000"/>
        </w:rPr>
        <w:t>in</w:t>
      </w:r>
      <w:r w:rsidR="000459FC" w:rsidRPr="00486A07">
        <w:rPr>
          <w:color w:val="000000"/>
        </w:rPr>
        <w:t xml:space="preserve"> the island.</w:t>
      </w:r>
      <w:r w:rsidR="009C65AD" w:rsidRPr="00486A07">
        <w:rPr>
          <w:color w:val="000000"/>
        </w:rPr>
        <w:t xml:space="preserve"> </w:t>
      </w:r>
      <w:r w:rsidR="00AB5E12" w:rsidRPr="00486A07">
        <w:rPr>
          <w:color w:val="000000"/>
        </w:rPr>
        <w:t>In 1998, a</w:t>
      </w:r>
      <w:r w:rsidR="009C65AD" w:rsidRPr="00486A07">
        <w:rPr>
          <w:color w:val="000000"/>
        </w:rPr>
        <w:t xml:space="preserve">n unpublished serosurvey </w:t>
      </w:r>
      <w:r w:rsidR="00AB5E12" w:rsidRPr="00486A07">
        <w:rPr>
          <w:color w:val="000000"/>
        </w:rPr>
        <w:t xml:space="preserve">of </w:t>
      </w:r>
      <w:r w:rsidR="00AB5E12" w:rsidRPr="00486A07">
        <w:rPr>
          <w:i/>
          <w:color w:val="000000"/>
        </w:rPr>
        <w:t>Leptospir</w:t>
      </w:r>
      <w:r w:rsidR="00AB5E12" w:rsidRPr="00486A07">
        <w:rPr>
          <w:color w:val="000000"/>
        </w:rPr>
        <w:t>a antibodies in</w:t>
      </w:r>
      <w:r w:rsidR="009C65AD" w:rsidRPr="00486A07">
        <w:rPr>
          <w:color w:val="000000"/>
        </w:rPr>
        <w:t xml:space="preserve"> stray and companion dogs </w:t>
      </w:r>
      <w:r w:rsidR="00AB5E12" w:rsidRPr="00486A07">
        <w:rPr>
          <w:color w:val="000000"/>
        </w:rPr>
        <w:t>fou</w:t>
      </w:r>
      <w:r w:rsidR="009C65AD" w:rsidRPr="00486A07">
        <w:rPr>
          <w:color w:val="000000"/>
        </w:rPr>
        <w:t>nd seropositivity in a thi</w:t>
      </w:r>
      <w:r w:rsidR="00343E4B" w:rsidRPr="00486A07">
        <w:rPr>
          <w:color w:val="000000"/>
        </w:rPr>
        <w:t>rd of dogs sampled</w:t>
      </w:r>
      <w:r w:rsidR="004C2774" w:rsidRPr="00486A07">
        <w:rPr>
          <w:color w:val="000000"/>
        </w:rPr>
        <w:t>.</w:t>
      </w:r>
      <w:r w:rsidR="004C2774" w:rsidRPr="00486A07">
        <w:rPr>
          <w:rStyle w:val="FootnoteReference"/>
          <w:color w:val="000000"/>
        </w:rPr>
        <w:footnoteReference w:id="2"/>
      </w:r>
      <w:r w:rsidR="00343E4B" w:rsidRPr="00486A07">
        <w:rPr>
          <w:color w:val="000000"/>
        </w:rPr>
        <w:t xml:space="preserve"> </w:t>
      </w:r>
      <w:r w:rsidR="00AB5E12" w:rsidRPr="00486A07">
        <w:rPr>
          <w:color w:val="000000"/>
        </w:rPr>
        <w:t>Since then, no study has been done on leptospirosis in dogs.</w:t>
      </w:r>
      <w:r w:rsidR="00E90809" w:rsidRPr="00486A07">
        <w:rPr>
          <w:color w:val="000000"/>
        </w:rPr>
        <w:t xml:space="preserve"> </w:t>
      </w:r>
      <w:r w:rsidR="00AB5E12" w:rsidRPr="00486A07">
        <w:rPr>
          <w:color w:val="000000"/>
        </w:rPr>
        <w:t>Human cases of leptospirosis became nationally notifiable in 2013 and CDC began receiving case notifications in 2014. About h</w:t>
      </w:r>
      <w:r w:rsidR="00E969A2" w:rsidRPr="00486A07">
        <w:rPr>
          <w:color w:val="000000"/>
        </w:rPr>
        <w:t xml:space="preserve">alf </w:t>
      </w:r>
      <w:r w:rsidR="00AB5E12" w:rsidRPr="00486A07">
        <w:rPr>
          <w:color w:val="000000"/>
        </w:rPr>
        <w:t>of the cases</w:t>
      </w:r>
      <w:r w:rsidR="00E969A2" w:rsidRPr="00486A07">
        <w:rPr>
          <w:color w:val="000000"/>
        </w:rPr>
        <w:t xml:space="preserve"> reported to </w:t>
      </w:r>
      <w:r w:rsidR="00E8289F" w:rsidRPr="00486A07">
        <w:rPr>
          <w:color w:val="000000"/>
        </w:rPr>
        <w:t xml:space="preserve">CDC through the National Notifiable Diseases Surveillance System (NNDSS) </w:t>
      </w:r>
      <w:r w:rsidR="007932B2" w:rsidRPr="00486A07">
        <w:rPr>
          <w:color w:val="000000"/>
        </w:rPr>
        <w:t xml:space="preserve">(OMB Number 0920-0728) </w:t>
      </w:r>
      <w:r w:rsidR="00E8289F" w:rsidRPr="00486A07">
        <w:rPr>
          <w:color w:val="000000"/>
        </w:rPr>
        <w:t>in 2014 and 2015 were reported by Puer</w:t>
      </w:r>
      <w:r w:rsidR="00E95C2C" w:rsidRPr="00486A07">
        <w:rPr>
          <w:color w:val="000000"/>
        </w:rPr>
        <w:t>to Rico</w:t>
      </w:r>
      <w:r w:rsidR="004C2774" w:rsidRPr="00486A07">
        <w:rPr>
          <w:color w:val="000000"/>
        </w:rPr>
        <w:t>.</w:t>
      </w:r>
      <w:r w:rsidR="004C2774" w:rsidRPr="00486A07">
        <w:rPr>
          <w:rStyle w:val="FootnoteReference"/>
          <w:color w:val="000000"/>
        </w:rPr>
        <w:footnoteReference w:id="3"/>
      </w:r>
      <w:r w:rsidR="00E95C2C" w:rsidRPr="00486A07">
        <w:rPr>
          <w:color w:val="000000"/>
        </w:rPr>
        <w:t xml:space="preserve"> </w:t>
      </w:r>
    </w:p>
    <w:p w14:paraId="609F864D" w14:textId="77777777" w:rsidR="00AB5E12" w:rsidRPr="00486A07" w:rsidRDefault="00AB5E12" w:rsidP="00E8289F">
      <w:pPr>
        <w:rPr>
          <w:color w:val="000000"/>
        </w:rPr>
      </w:pPr>
    </w:p>
    <w:p w14:paraId="3DE7D2A1" w14:textId="31556665" w:rsidR="00893309" w:rsidRPr="00486A07" w:rsidRDefault="00893309" w:rsidP="00893309">
      <w:r w:rsidRPr="00486A07">
        <w:t xml:space="preserve">In Puerto Rico, many owned dogs and shelter dogs are not vaccinated against leptospirosis. Annual vaccination is recommended by the American Veterinary Medical Association for at-risk dogs. </w:t>
      </w:r>
    </w:p>
    <w:p w14:paraId="4859F3B9" w14:textId="77777777" w:rsidR="00893309" w:rsidRPr="00486A07" w:rsidRDefault="00893309" w:rsidP="00E8289F">
      <w:pPr>
        <w:rPr>
          <w:color w:val="000000"/>
        </w:rPr>
      </w:pPr>
    </w:p>
    <w:p w14:paraId="355CD1F9" w14:textId="64DF385A" w:rsidR="003C14DB" w:rsidRPr="00486A07" w:rsidRDefault="0074612B" w:rsidP="00361F53">
      <w:pPr>
        <w:rPr>
          <w:color w:val="000000"/>
        </w:rPr>
      </w:pPr>
      <w:r w:rsidRPr="00486A07">
        <w:rPr>
          <w:color w:val="000000"/>
        </w:rPr>
        <w:t xml:space="preserve">The </w:t>
      </w:r>
      <w:r w:rsidR="00F17E6E" w:rsidRPr="00486A07">
        <w:rPr>
          <w:color w:val="000000"/>
        </w:rPr>
        <w:t xml:space="preserve">project </w:t>
      </w:r>
      <w:r w:rsidRPr="00486A07">
        <w:rPr>
          <w:color w:val="000000"/>
        </w:rPr>
        <w:t>associated with the collection of data addressed in this request aims to</w:t>
      </w:r>
      <w:r w:rsidRPr="00486A07">
        <w:t xml:space="preserve"> establish </w:t>
      </w:r>
      <w:r w:rsidR="00D8779F" w:rsidRPr="00486A07">
        <w:t xml:space="preserve">the first </w:t>
      </w:r>
      <w:r w:rsidRPr="00486A07">
        <w:t xml:space="preserve">active surveillance for </w:t>
      </w:r>
      <w:r w:rsidR="00D8779F" w:rsidRPr="00486A07">
        <w:t>canine leptospirosis in Puerto Rico</w:t>
      </w:r>
      <w:r w:rsidR="00912B96" w:rsidRPr="00486A07">
        <w:t xml:space="preserve"> in order to learn more about canine leptospirosis, as well as leptospirosis in general, on the island</w:t>
      </w:r>
      <w:r w:rsidR="00D8779F" w:rsidRPr="00486A07">
        <w:t xml:space="preserve">. </w:t>
      </w:r>
      <w:r w:rsidR="00C061BF" w:rsidRPr="00486A07">
        <w:rPr>
          <w:color w:val="000000"/>
        </w:rPr>
        <w:t xml:space="preserve"> </w:t>
      </w:r>
      <w:r w:rsidR="008B0E6B" w:rsidRPr="00486A07">
        <w:rPr>
          <w:color w:val="000000"/>
        </w:rPr>
        <w:t xml:space="preserve">The information collection for which approval is sought is in accordance with </w:t>
      </w:r>
      <w:r w:rsidR="00E1389B" w:rsidRPr="00486A07">
        <w:rPr>
          <w:color w:val="000000"/>
        </w:rPr>
        <w:t>BSP</w:t>
      </w:r>
      <w:r w:rsidR="00115D91" w:rsidRPr="00486A07">
        <w:rPr>
          <w:color w:val="000000"/>
        </w:rPr>
        <w:t>B</w:t>
      </w:r>
      <w:r w:rsidR="008B0E6B" w:rsidRPr="00486A07">
        <w:rPr>
          <w:color w:val="000000"/>
        </w:rPr>
        <w:t xml:space="preserve">’s mission to </w:t>
      </w:r>
      <w:r w:rsidR="00E1389B" w:rsidRPr="00486A07">
        <w:rPr>
          <w:color w:val="000000"/>
        </w:rPr>
        <w:t>prevent illness, disability, or death caused by bacterial zoonotic diseases through surveillance, epidemic investigations, epidemiologic and laboratory research, training and public education.</w:t>
      </w:r>
      <w:r w:rsidR="003C14DB" w:rsidRPr="00486A07">
        <w:rPr>
          <w:color w:val="000000"/>
        </w:rPr>
        <w:t xml:space="preserve"> </w:t>
      </w:r>
    </w:p>
    <w:p w14:paraId="0551D38E" w14:textId="77777777" w:rsidR="0089737B" w:rsidRPr="00486A07" w:rsidRDefault="0089737B" w:rsidP="00361F53">
      <w:pPr>
        <w:rPr>
          <w:color w:val="000000"/>
        </w:rPr>
      </w:pPr>
    </w:p>
    <w:p w14:paraId="2F2DB372" w14:textId="77777777" w:rsidR="0089737B" w:rsidRPr="00486A07" w:rsidRDefault="0089737B" w:rsidP="0089737B">
      <w:pPr>
        <w:contextualSpacing/>
      </w:pPr>
      <w:r w:rsidRPr="00486A07">
        <w:t>Authorizing Legislation comes from Section 301 of the Public Health Service Act (42 U.S.C. 241) (Attachment A).</w:t>
      </w:r>
    </w:p>
    <w:p w14:paraId="0749F37C" w14:textId="77777777" w:rsidR="00185BFC" w:rsidRPr="00486A07" w:rsidRDefault="00185BFC" w:rsidP="00361F53">
      <w:pPr>
        <w:rPr>
          <w:color w:val="000000"/>
          <w:u w:val="single"/>
        </w:rPr>
      </w:pPr>
    </w:p>
    <w:p w14:paraId="390694F5" w14:textId="11EA0A69" w:rsidR="008B0E6B" w:rsidRPr="00486A07" w:rsidRDefault="00B17DC8" w:rsidP="00361F53">
      <w:pPr>
        <w:outlineLvl w:val="0"/>
        <w:rPr>
          <w:b/>
          <w:bCs/>
          <w:iCs/>
          <w:color w:val="000000"/>
        </w:rPr>
      </w:pPr>
      <w:bookmarkStart w:id="24" w:name="_Toc462300161"/>
      <w:r w:rsidRPr="00486A07">
        <w:rPr>
          <w:b/>
          <w:bCs/>
          <w:iCs/>
          <w:color w:val="000000"/>
        </w:rPr>
        <w:t xml:space="preserve">2. Purpose and Use of </w:t>
      </w:r>
      <w:r w:rsidR="008B0E6B" w:rsidRPr="00486A07">
        <w:rPr>
          <w:b/>
          <w:bCs/>
          <w:iCs/>
          <w:color w:val="000000"/>
        </w:rPr>
        <w:t>Information Collection</w:t>
      </w:r>
      <w:bookmarkEnd w:id="24"/>
    </w:p>
    <w:p w14:paraId="4C8D3B5E" w14:textId="77777777" w:rsidR="008B0E6B" w:rsidRPr="00486A07" w:rsidRDefault="008B0E6B" w:rsidP="00361F53">
      <w:pPr>
        <w:rPr>
          <w:color w:val="000000"/>
        </w:rPr>
      </w:pPr>
    </w:p>
    <w:p w14:paraId="2D48AA6F" w14:textId="216568AB" w:rsidR="00C061BF" w:rsidRPr="00486A07" w:rsidRDefault="00C061BF" w:rsidP="00C061BF">
      <w:r w:rsidRPr="00486A07">
        <w:t xml:space="preserve">The purpose of this information collection request is to </w:t>
      </w:r>
      <w:r w:rsidRPr="00486A07">
        <w:rPr>
          <w:color w:val="000000"/>
        </w:rPr>
        <w:t>determine the incidence and distribution of</w:t>
      </w:r>
      <w:r w:rsidR="006417C9" w:rsidRPr="00486A07">
        <w:rPr>
          <w:color w:val="000000"/>
        </w:rPr>
        <w:t xml:space="preserve"> canine</w:t>
      </w:r>
      <w:r w:rsidRPr="00486A07">
        <w:rPr>
          <w:color w:val="000000"/>
        </w:rPr>
        <w:t xml:space="preserve"> leptospirosis in </w:t>
      </w:r>
      <w:r w:rsidR="006417C9" w:rsidRPr="00486A07">
        <w:rPr>
          <w:color w:val="000000"/>
        </w:rPr>
        <w:t>Puerto Rico; assess risk factors that lead to infection;</w:t>
      </w:r>
      <w:r w:rsidRPr="00486A07">
        <w:rPr>
          <w:color w:val="000000"/>
        </w:rPr>
        <w:t xml:space="preserve"> characterize circulating </w:t>
      </w:r>
      <w:r w:rsidRPr="00486A07">
        <w:rPr>
          <w:i/>
          <w:color w:val="000000"/>
        </w:rPr>
        <w:t>Leptospira</w:t>
      </w:r>
      <w:r w:rsidR="006417C9" w:rsidRPr="00486A07">
        <w:rPr>
          <w:color w:val="000000"/>
        </w:rPr>
        <w:t xml:space="preserve"> serovars and species;</w:t>
      </w:r>
      <w:r w:rsidRPr="00486A07">
        <w:rPr>
          <w:color w:val="000000"/>
        </w:rPr>
        <w:t xml:space="preserve"> assess applicability of vaccines currently in use</w:t>
      </w:r>
      <w:r w:rsidR="006417C9" w:rsidRPr="00486A07">
        <w:rPr>
          <w:color w:val="000000"/>
        </w:rPr>
        <w:t xml:space="preserve"> based on serovar determination;</w:t>
      </w:r>
      <w:r w:rsidRPr="00486A07">
        <w:rPr>
          <w:color w:val="000000"/>
        </w:rPr>
        <w:t xml:space="preserve"> and assess potential rodent, livestock and wildlife reservoirs of leptospirosis based on infecting serovars found in dogs. </w:t>
      </w:r>
    </w:p>
    <w:p w14:paraId="1B62D2D3" w14:textId="77777777" w:rsidR="00A67A6E" w:rsidRPr="00486A07" w:rsidRDefault="00A67A6E" w:rsidP="00367D1D"/>
    <w:p w14:paraId="4FCCE45E" w14:textId="79EAF365" w:rsidR="00367D1D" w:rsidRPr="00486A07" w:rsidRDefault="00A67A6E" w:rsidP="00367D1D">
      <w:r w:rsidRPr="00486A07">
        <w:t>Using the</w:t>
      </w:r>
      <w:r w:rsidR="00F2062D" w:rsidRPr="00486A07">
        <w:t xml:space="preserve"> One Health </w:t>
      </w:r>
      <w:r w:rsidR="009F713C" w:rsidRPr="00486A07">
        <w:t xml:space="preserve">concept </w:t>
      </w:r>
      <w:r w:rsidR="007932B2" w:rsidRPr="00486A07">
        <w:t xml:space="preserve">(incorporating human, animal, and environmental health) </w:t>
      </w:r>
      <w:r w:rsidR="009F713C" w:rsidRPr="00486A07">
        <w:t>for</w:t>
      </w:r>
      <w:r w:rsidR="00F2062D" w:rsidRPr="00486A07">
        <w:t xml:space="preserve"> </w:t>
      </w:r>
      <w:r w:rsidR="009F713C" w:rsidRPr="00486A07">
        <w:t>the control and prevention of leptospirosis,</w:t>
      </w:r>
      <w:r w:rsidR="00F2062D" w:rsidRPr="00486A07">
        <w:t xml:space="preserve"> f</w:t>
      </w:r>
      <w:r w:rsidR="009F713C" w:rsidRPr="00486A07">
        <w:t>indings from the canine leptospirosis surveillance stud</w:t>
      </w:r>
      <w:r w:rsidR="0034765E" w:rsidRPr="00486A07">
        <w:t xml:space="preserve">y </w:t>
      </w:r>
      <w:r w:rsidR="0034765E" w:rsidRPr="00486A07">
        <w:lastRenderedPageBreak/>
        <w:t xml:space="preserve">will </w:t>
      </w:r>
      <w:r w:rsidR="009F713C" w:rsidRPr="00486A07">
        <w:t>be used to</w:t>
      </w:r>
      <w:r w:rsidR="0034765E" w:rsidRPr="00486A07">
        <w:t xml:space="preserve"> develop </w:t>
      </w:r>
      <w:r w:rsidR="00F2062D" w:rsidRPr="00486A07">
        <w:t>evidence-based, targeted</w:t>
      </w:r>
      <w:r w:rsidR="0034765E" w:rsidRPr="00486A07">
        <w:t xml:space="preserve"> </w:t>
      </w:r>
      <w:r w:rsidR="009F713C" w:rsidRPr="00486A07">
        <w:t xml:space="preserve">interventions and recommendations </w:t>
      </w:r>
      <w:r w:rsidR="0034765E" w:rsidRPr="00486A07">
        <w:t>for the prevention of canine leptospirosis</w:t>
      </w:r>
      <w:r w:rsidR="009F713C" w:rsidRPr="00486A07">
        <w:t xml:space="preserve"> which can also lead to</w:t>
      </w:r>
      <w:r w:rsidRPr="00486A07">
        <w:t xml:space="preserve"> reduce</w:t>
      </w:r>
      <w:r w:rsidR="009F713C" w:rsidRPr="00486A07">
        <w:t>d</w:t>
      </w:r>
      <w:r w:rsidR="00F2062D" w:rsidRPr="00486A07">
        <w:t xml:space="preserve"> leptospirosis </w:t>
      </w:r>
      <w:r w:rsidR="009F713C" w:rsidRPr="00486A07">
        <w:t>transmission in</w:t>
      </w:r>
      <w:r w:rsidR="00F2062D" w:rsidRPr="00486A07">
        <w:t xml:space="preserve"> humans</w:t>
      </w:r>
      <w:r w:rsidR="0034765E" w:rsidRPr="00486A07">
        <w:t>, focus human surveill</w:t>
      </w:r>
      <w:r w:rsidRPr="00486A07">
        <w:t>ance efforts based on incidence and distribution</w:t>
      </w:r>
      <w:r w:rsidR="0034765E" w:rsidRPr="00486A07">
        <w:t xml:space="preserve">, </w:t>
      </w:r>
      <w:r w:rsidR="00E227A3" w:rsidRPr="00486A07">
        <w:t xml:space="preserve">and </w:t>
      </w:r>
      <w:r w:rsidR="0034765E" w:rsidRPr="00486A07">
        <w:t>guide future investigations into leptospirosis in humans</w:t>
      </w:r>
      <w:r w:rsidR="00E227A3" w:rsidRPr="00486A07">
        <w:t xml:space="preserve"> and animals. </w:t>
      </w:r>
    </w:p>
    <w:p w14:paraId="6B4C7BF6" w14:textId="77777777" w:rsidR="00522FA3" w:rsidRPr="00486A07" w:rsidRDefault="00522FA3" w:rsidP="00522FA3">
      <w:pPr>
        <w:pStyle w:val="ListParagraph"/>
        <w:ind w:left="780"/>
        <w:rPr>
          <w:color w:val="000000"/>
        </w:rPr>
      </w:pPr>
    </w:p>
    <w:p w14:paraId="213DD1DB" w14:textId="302365B3" w:rsidR="008B0E6B" w:rsidRPr="00486A07" w:rsidRDefault="008B0E6B" w:rsidP="00361F53">
      <w:pPr>
        <w:outlineLvl w:val="0"/>
        <w:rPr>
          <w:b/>
          <w:bCs/>
          <w:iCs/>
          <w:color w:val="000000"/>
        </w:rPr>
      </w:pPr>
      <w:bookmarkStart w:id="25" w:name="_Toc462300162"/>
      <w:r w:rsidRPr="00486A07">
        <w:rPr>
          <w:b/>
          <w:bCs/>
          <w:iCs/>
          <w:color w:val="000000"/>
        </w:rPr>
        <w:t>3. Use of Improved Information Technology and Burden Reduction</w:t>
      </w:r>
      <w:bookmarkEnd w:id="25"/>
    </w:p>
    <w:p w14:paraId="5BA88344" w14:textId="77777777" w:rsidR="008B0E6B" w:rsidRPr="00486A07" w:rsidRDefault="008B0E6B" w:rsidP="00361F53">
      <w:pPr>
        <w:rPr>
          <w:color w:val="000000"/>
        </w:rPr>
      </w:pPr>
    </w:p>
    <w:p w14:paraId="01A30ABD" w14:textId="6FE505DC" w:rsidR="00A11FA6" w:rsidRPr="00486A07" w:rsidRDefault="00277616" w:rsidP="00A11FA6">
      <w:pPr>
        <w:rPr>
          <w:color w:val="000000"/>
        </w:rPr>
      </w:pPr>
      <w:r w:rsidRPr="00486A07">
        <w:rPr>
          <w:color w:val="000000"/>
        </w:rPr>
        <w:t>Whenever possible, BSPB staff will employ electronic technology to collect and process data in order to reduce respondent burden and aid in data proc</w:t>
      </w:r>
      <w:r w:rsidR="009F713C" w:rsidRPr="00486A07">
        <w:rPr>
          <w:color w:val="000000"/>
        </w:rPr>
        <w:t xml:space="preserve">essing and reporting efficiency in </w:t>
      </w:r>
      <w:r w:rsidR="00A11FA6" w:rsidRPr="00486A07">
        <w:rPr>
          <w:color w:val="000000"/>
        </w:rPr>
        <w:t>compliance with the Government Paperwork Elimination Act (GPEA), Public Law 105-277, title XVII.</w:t>
      </w:r>
      <w:r w:rsidR="00A11FA6" w:rsidRPr="00486A07">
        <w:rPr>
          <w:sz w:val="22"/>
          <w:szCs w:val="22"/>
        </w:rPr>
        <w:t xml:space="preserve">  </w:t>
      </w:r>
    </w:p>
    <w:p w14:paraId="6C3F81F6" w14:textId="77777777" w:rsidR="00A11FA6" w:rsidRPr="00486A07" w:rsidRDefault="00A11FA6" w:rsidP="00361F53">
      <w:pPr>
        <w:rPr>
          <w:color w:val="000000"/>
        </w:rPr>
      </w:pPr>
    </w:p>
    <w:p w14:paraId="7D776C96" w14:textId="572E0C0C" w:rsidR="009D507C" w:rsidRPr="00486A07" w:rsidRDefault="00D423C4" w:rsidP="00361F53">
      <w:pPr>
        <w:rPr>
          <w:color w:val="000000"/>
        </w:rPr>
      </w:pPr>
      <w:r w:rsidRPr="00486A07">
        <w:rPr>
          <w:color w:val="000000"/>
        </w:rPr>
        <w:t>Due to</w:t>
      </w:r>
      <w:r w:rsidR="00277616" w:rsidRPr="00486A07">
        <w:rPr>
          <w:color w:val="000000"/>
        </w:rPr>
        <w:t xml:space="preserve"> </w:t>
      </w:r>
      <w:r w:rsidRPr="00486A07">
        <w:rPr>
          <w:color w:val="000000"/>
        </w:rPr>
        <w:t>the nature of</w:t>
      </w:r>
      <w:r w:rsidR="00277616" w:rsidRPr="00486A07">
        <w:rPr>
          <w:color w:val="000000"/>
        </w:rPr>
        <w:t xml:space="preserve"> </w:t>
      </w:r>
      <w:r w:rsidRPr="00486A07">
        <w:rPr>
          <w:color w:val="000000"/>
        </w:rPr>
        <w:t>data collection and</w:t>
      </w:r>
      <w:r w:rsidR="00277616" w:rsidRPr="00486A07">
        <w:rPr>
          <w:color w:val="000000"/>
        </w:rPr>
        <w:t xml:space="preserve"> resources available at the sites, </w:t>
      </w:r>
      <w:r w:rsidR="009F713C" w:rsidRPr="00486A07">
        <w:rPr>
          <w:color w:val="000000"/>
        </w:rPr>
        <w:t xml:space="preserve">most of the data collection </w:t>
      </w:r>
      <w:r w:rsidR="00277616" w:rsidRPr="00486A07">
        <w:rPr>
          <w:color w:val="000000"/>
        </w:rPr>
        <w:t xml:space="preserve">will be conducted using paper forms. </w:t>
      </w:r>
      <w:r w:rsidR="009F713C" w:rsidRPr="00486A07">
        <w:rPr>
          <w:color w:val="000000"/>
        </w:rPr>
        <w:t>Veterinarians</w:t>
      </w:r>
      <w:r w:rsidRPr="00486A07">
        <w:rPr>
          <w:color w:val="000000"/>
        </w:rPr>
        <w:t xml:space="preserve"> and their</w:t>
      </w:r>
      <w:r w:rsidR="00277616" w:rsidRPr="00486A07">
        <w:rPr>
          <w:color w:val="000000"/>
        </w:rPr>
        <w:t xml:space="preserve"> staff </w:t>
      </w:r>
      <w:r w:rsidR="009F713C" w:rsidRPr="00486A07">
        <w:rPr>
          <w:color w:val="000000"/>
        </w:rPr>
        <w:t>may find it easier to complete</w:t>
      </w:r>
      <w:r w:rsidR="00277616" w:rsidRPr="00486A07">
        <w:rPr>
          <w:color w:val="000000"/>
        </w:rPr>
        <w:t xml:space="preserve"> a paper copy of the </w:t>
      </w:r>
      <w:r w:rsidR="009F713C" w:rsidRPr="00486A07">
        <w:rPr>
          <w:color w:val="000000"/>
        </w:rPr>
        <w:t>data collection forms when abstracting</w:t>
      </w:r>
      <w:r w:rsidR="00277616" w:rsidRPr="00486A07">
        <w:rPr>
          <w:color w:val="000000"/>
        </w:rPr>
        <w:t xml:space="preserve"> informat</w:t>
      </w:r>
      <w:r w:rsidRPr="00486A07">
        <w:rPr>
          <w:color w:val="000000"/>
        </w:rPr>
        <w:t>ion from medical records or while</w:t>
      </w:r>
      <w:r w:rsidR="00277616" w:rsidRPr="00486A07">
        <w:rPr>
          <w:color w:val="000000"/>
        </w:rPr>
        <w:t xml:space="preserve"> interviewing the owner for risk factors and </w:t>
      </w:r>
      <w:r w:rsidRPr="00486A07">
        <w:rPr>
          <w:color w:val="000000"/>
        </w:rPr>
        <w:t>symptoms.</w:t>
      </w:r>
      <w:r w:rsidR="00277616" w:rsidRPr="00486A07">
        <w:rPr>
          <w:color w:val="000000"/>
        </w:rPr>
        <w:t xml:space="preserve"> </w:t>
      </w:r>
      <w:r w:rsidR="00072062" w:rsidRPr="00486A07">
        <w:rPr>
          <w:color w:val="000000"/>
        </w:rPr>
        <w:t>Some sites</w:t>
      </w:r>
      <w:r w:rsidRPr="00486A07">
        <w:rPr>
          <w:color w:val="000000"/>
        </w:rPr>
        <w:t xml:space="preserve"> may </w:t>
      </w:r>
      <w:r w:rsidR="00A11FA6" w:rsidRPr="00486A07">
        <w:rPr>
          <w:color w:val="000000"/>
        </w:rPr>
        <w:t>have limited resources and</w:t>
      </w:r>
      <w:r w:rsidRPr="00486A07">
        <w:rPr>
          <w:color w:val="000000"/>
        </w:rPr>
        <w:t xml:space="preserve"> </w:t>
      </w:r>
      <w:r w:rsidR="00A11FA6" w:rsidRPr="00486A07">
        <w:rPr>
          <w:color w:val="000000"/>
        </w:rPr>
        <w:t>lack</w:t>
      </w:r>
      <w:r w:rsidR="00072062" w:rsidRPr="00486A07">
        <w:rPr>
          <w:color w:val="000000"/>
        </w:rPr>
        <w:t xml:space="preserve"> a computer, fax machine,</w:t>
      </w:r>
      <w:r w:rsidR="00A11FA6" w:rsidRPr="00486A07">
        <w:rPr>
          <w:color w:val="000000"/>
        </w:rPr>
        <w:t xml:space="preserve"> or i</w:t>
      </w:r>
      <w:r w:rsidRPr="00486A07">
        <w:rPr>
          <w:color w:val="000000"/>
        </w:rPr>
        <w:t>nternet service. As such, they have t</w:t>
      </w:r>
      <w:r w:rsidR="00277616" w:rsidRPr="00486A07">
        <w:rPr>
          <w:color w:val="000000"/>
        </w:rPr>
        <w:t xml:space="preserve">he option of sending completed forms by fax or email, or by </w:t>
      </w:r>
      <w:r w:rsidR="00A11FA6" w:rsidRPr="00486A07">
        <w:rPr>
          <w:color w:val="000000"/>
        </w:rPr>
        <w:t xml:space="preserve">mail when sending specimen </w:t>
      </w:r>
      <w:r w:rsidRPr="00486A07">
        <w:rPr>
          <w:color w:val="000000"/>
        </w:rPr>
        <w:t>shipments to study coordinators at CDC or PRDH. Data</w:t>
      </w:r>
      <w:r w:rsidR="00A11FA6" w:rsidRPr="00486A07">
        <w:rPr>
          <w:color w:val="000000"/>
        </w:rPr>
        <w:t xml:space="preserve"> will be entered into an electronic database</w:t>
      </w:r>
      <w:r w:rsidR="00432484" w:rsidRPr="00486A07">
        <w:rPr>
          <w:color w:val="000000"/>
        </w:rPr>
        <w:t xml:space="preserve"> at CDC</w:t>
      </w:r>
      <w:r w:rsidR="00A11FA6" w:rsidRPr="00486A07">
        <w:rPr>
          <w:color w:val="000000"/>
        </w:rPr>
        <w:t xml:space="preserve"> </w:t>
      </w:r>
      <w:r w:rsidR="009D507C" w:rsidRPr="00486A07">
        <w:rPr>
          <w:color w:val="000000"/>
        </w:rPr>
        <w:t>to make data management and analysis more efficient.</w:t>
      </w:r>
    </w:p>
    <w:p w14:paraId="4AB96CEA" w14:textId="77777777" w:rsidR="00072062" w:rsidRPr="00486A07" w:rsidRDefault="00072062" w:rsidP="00361F53">
      <w:pPr>
        <w:rPr>
          <w:color w:val="000000"/>
        </w:rPr>
      </w:pPr>
    </w:p>
    <w:p w14:paraId="3963BCAE" w14:textId="424A34EE" w:rsidR="00E303F9" w:rsidRPr="00486A07" w:rsidRDefault="008B0E6B" w:rsidP="00361F53">
      <w:pPr>
        <w:outlineLvl w:val="0"/>
        <w:rPr>
          <w:b/>
          <w:bCs/>
          <w:iCs/>
          <w:color w:val="000000"/>
        </w:rPr>
      </w:pPr>
      <w:bookmarkStart w:id="26" w:name="_Toc462300163"/>
      <w:r w:rsidRPr="00486A07">
        <w:rPr>
          <w:b/>
          <w:bCs/>
          <w:iCs/>
          <w:color w:val="000000"/>
        </w:rPr>
        <w:t>4. Efforts to Identify Duplication and Use of Similar Information</w:t>
      </w:r>
      <w:bookmarkEnd w:id="26"/>
      <w:r w:rsidRPr="00486A07">
        <w:rPr>
          <w:b/>
          <w:bCs/>
          <w:iCs/>
          <w:color w:val="000000"/>
        </w:rPr>
        <w:t xml:space="preserve"> </w:t>
      </w:r>
    </w:p>
    <w:p w14:paraId="33DD6082" w14:textId="77777777" w:rsidR="00E303F9" w:rsidRPr="00486A07" w:rsidRDefault="00E303F9" w:rsidP="00361F53">
      <w:pPr>
        <w:outlineLvl w:val="0"/>
        <w:rPr>
          <w:b/>
          <w:bCs/>
          <w:iCs/>
          <w:color w:val="000000"/>
        </w:rPr>
      </w:pPr>
    </w:p>
    <w:p w14:paraId="1C0F261A" w14:textId="7B8FA854" w:rsidR="00A11FA6" w:rsidRPr="00486A07" w:rsidRDefault="00DB035E" w:rsidP="00361F53">
      <w:r w:rsidRPr="00486A07">
        <w:t>A literature search of published articles on canine leptospiros</w:t>
      </w:r>
      <w:r w:rsidR="009D507C" w:rsidRPr="00486A07">
        <w:t xml:space="preserve">is in Puerto Rico was performed </w:t>
      </w:r>
      <w:r w:rsidRPr="00486A07">
        <w:t xml:space="preserve">and very </w:t>
      </w:r>
      <w:r w:rsidR="009D507C" w:rsidRPr="00486A07">
        <w:t>few</w:t>
      </w:r>
      <w:r w:rsidRPr="00486A07">
        <w:t xml:space="preserve"> articles we</w:t>
      </w:r>
      <w:r w:rsidR="009D507C" w:rsidRPr="00486A07">
        <w:t xml:space="preserve">re found. Two of the most relevant </w:t>
      </w:r>
      <w:r w:rsidRPr="00486A07">
        <w:t xml:space="preserve">articles </w:t>
      </w:r>
      <w:r w:rsidR="00072062" w:rsidRPr="00486A07">
        <w:t xml:space="preserve">found </w:t>
      </w:r>
      <w:r w:rsidRPr="00486A07">
        <w:t>were</w:t>
      </w:r>
      <w:r w:rsidR="009D507C" w:rsidRPr="00486A07">
        <w:t xml:space="preserve"> serosurveys from 1980 and 1998</w:t>
      </w:r>
      <w:r w:rsidR="002123B5" w:rsidRPr="00486A07">
        <w:t xml:space="preserve">, in which </w:t>
      </w:r>
      <w:r w:rsidR="009D507C" w:rsidRPr="00486A07">
        <w:t>information</w:t>
      </w:r>
      <w:r w:rsidR="00072062" w:rsidRPr="00486A07">
        <w:t xml:space="preserve"> collected</w:t>
      </w:r>
      <w:r w:rsidR="009D507C" w:rsidRPr="00486A07">
        <w:t xml:space="preserve"> may </w:t>
      </w:r>
      <w:r w:rsidR="00072062" w:rsidRPr="00486A07">
        <w:t xml:space="preserve">already </w:t>
      </w:r>
      <w:r w:rsidR="009D507C" w:rsidRPr="00486A07">
        <w:t>be outdated.</w:t>
      </w:r>
      <w:r w:rsidR="00B82F78" w:rsidRPr="00486A07">
        <w:t xml:space="preserve"> In addition, </w:t>
      </w:r>
      <w:r w:rsidR="002123B5" w:rsidRPr="00486A07">
        <w:t xml:space="preserve">collaborators at PRDH were </w:t>
      </w:r>
      <w:r w:rsidR="00B82F78" w:rsidRPr="00486A07">
        <w:t xml:space="preserve">consulted to </w:t>
      </w:r>
      <w:r w:rsidR="002123B5" w:rsidRPr="00486A07">
        <w:t>identify duplication of information collection and to</w:t>
      </w:r>
      <w:r w:rsidR="006A0C51" w:rsidRPr="00486A07">
        <w:t xml:space="preserve"> </w:t>
      </w:r>
      <w:r w:rsidR="00B82F78" w:rsidRPr="00486A07">
        <w:t xml:space="preserve">ensure that </w:t>
      </w:r>
      <w:r w:rsidR="002123B5" w:rsidRPr="00486A07">
        <w:t>information collected</w:t>
      </w:r>
      <w:r w:rsidR="00B82F78" w:rsidRPr="00486A07">
        <w:t xml:space="preserve"> </w:t>
      </w:r>
      <w:r w:rsidR="002123B5" w:rsidRPr="00486A07">
        <w:t>is relevant and useful for public health activities in Puerto Rico.</w:t>
      </w:r>
      <w:r w:rsidR="009D507C" w:rsidRPr="00486A07">
        <w:t xml:space="preserve"> </w:t>
      </w:r>
      <w:r w:rsidR="002123B5" w:rsidRPr="00486A07">
        <w:t>Finally, a</w:t>
      </w:r>
      <w:r w:rsidR="009D507C" w:rsidRPr="00486A07">
        <w:t>ctive surveillance for canine leptospirosis has not been done</w:t>
      </w:r>
      <w:r w:rsidR="00072062" w:rsidRPr="00486A07">
        <w:t xml:space="preserve"> before</w:t>
      </w:r>
      <w:r w:rsidR="009D507C" w:rsidRPr="00486A07">
        <w:t xml:space="preserve"> in Puerto Rico, t</w:t>
      </w:r>
      <w:r w:rsidRPr="00486A07">
        <w:t>hus, d</w:t>
      </w:r>
      <w:r w:rsidR="009D507C" w:rsidRPr="00486A07">
        <w:t>uplication of data collection is not expected.</w:t>
      </w:r>
    </w:p>
    <w:p w14:paraId="2B9C1340" w14:textId="77777777" w:rsidR="0074782B" w:rsidRPr="00486A07" w:rsidRDefault="0074782B" w:rsidP="00361F53">
      <w:pPr>
        <w:rPr>
          <w:b/>
          <w:bCs/>
        </w:rPr>
      </w:pPr>
    </w:p>
    <w:p w14:paraId="1D9B5279" w14:textId="5D5E8A07" w:rsidR="00F50F52" w:rsidRPr="00486A07" w:rsidRDefault="00F50F52" w:rsidP="00361F53">
      <w:pPr>
        <w:outlineLvl w:val="0"/>
        <w:rPr>
          <w:b/>
          <w:bCs/>
          <w:iCs/>
          <w:color w:val="000000"/>
        </w:rPr>
      </w:pPr>
      <w:bookmarkStart w:id="27" w:name="_Toc462300164"/>
      <w:r w:rsidRPr="00486A07">
        <w:rPr>
          <w:b/>
          <w:bCs/>
          <w:iCs/>
          <w:color w:val="000000"/>
        </w:rPr>
        <w:t>5. Impact on Small Businesses or Other Small Entities</w:t>
      </w:r>
      <w:bookmarkEnd w:id="27"/>
    </w:p>
    <w:p w14:paraId="09CA852D" w14:textId="77777777" w:rsidR="00E303F9" w:rsidRPr="00486A07" w:rsidRDefault="00E303F9" w:rsidP="00361F53">
      <w:pPr>
        <w:rPr>
          <w:color w:val="000000"/>
        </w:rPr>
      </w:pPr>
    </w:p>
    <w:p w14:paraId="75277C9A" w14:textId="201270F1" w:rsidR="00B82F78" w:rsidRPr="00486A07" w:rsidRDefault="00B82F78" w:rsidP="00361F53">
      <w:pPr>
        <w:rPr>
          <w:color w:val="000000"/>
        </w:rPr>
      </w:pPr>
      <w:r w:rsidRPr="00486A07">
        <w:rPr>
          <w:color w:val="000000"/>
        </w:rPr>
        <w:t xml:space="preserve">The study </w:t>
      </w:r>
      <w:r w:rsidR="002123B5" w:rsidRPr="00486A07">
        <w:rPr>
          <w:color w:val="000000"/>
        </w:rPr>
        <w:t>may collect</w:t>
      </w:r>
      <w:r w:rsidRPr="00486A07">
        <w:rPr>
          <w:color w:val="000000"/>
        </w:rPr>
        <w:t xml:space="preserve"> information from </w:t>
      </w:r>
      <w:r w:rsidR="002123B5" w:rsidRPr="00486A07">
        <w:rPr>
          <w:color w:val="000000"/>
        </w:rPr>
        <w:t>small veterinary clinics and shelters</w:t>
      </w:r>
      <w:r w:rsidRPr="00486A07">
        <w:rPr>
          <w:color w:val="000000"/>
        </w:rPr>
        <w:t xml:space="preserve">. </w:t>
      </w:r>
      <w:r w:rsidR="00D74049" w:rsidRPr="00486A07">
        <w:rPr>
          <w:color w:val="000000"/>
        </w:rPr>
        <w:t>The prop</w:t>
      </w:r>
      <w:r w:rsidR="002123B5" w:rsidRPr="00486A07">
        <w:rPr>
          <w:color w:val="000000"/>
        </w:rPr>
        <w:t>osed information collection tool</w:t>
      </w:r>
      <w:r w:rsidR="00D74049" w:rsidRPr="00486A07">
        <w:rPr>
          <w:color w:val="000000"/>
        </w:rPr>
        <w:t xml:space="preserve"> contains the minimum </w:t>
      </w:r>
      <w:r w:rsidR="002123B5" w:rsidRPr="00486A07">
        <w:rPr>
          <w:color w:val="000000"/>
        </w:rPr>
        <w:t xml:space="preserve">amount of </w:t>
      </w:r>
      <w:r w:rsidR="00D74049" w:rsidRPr="00486A07">
        <w:rPr>
          <w:color w:val="000000"/>
        </w:rPr>
        <w:t xml:space="preserve">information needed to meet the goals of the study. </w:t>
      </w:r>
      <w:r w:rsidRPr="00486A07">
        <w:rPr>
          <w:color w:val="000000"/>
        </w:rPr>
        <w:t>There is no cost associated with the information collection</w:t>
      </w:r>
      <w:r w:rsidR="00A03568" w:rsidRPr="00486A07">
        <w:rPr>
          <w:color w:val="000000"/>
        </w:rPr>
        <w:t xml:space="preserve"> to the sites</w:t>
      </w:r>
      <w:r w:rsidRPr="00486A07">
        <w:rPr>
          <w:color w:val="000000"/>
        </w:rPr>
        <w:t xml:space="preserve"> other than the </w:t>
      </w:r>
      <w:r w:rsidR="002123B5" w:rsidRPr="00486A07">
        <w:rPr>
          <w:color w:val="000000"/>
        </w:rPr>
        <w:t xml:space="preserve">time used by the veterinarian and their </w:t>
      </w:r>
      <w:r w:rsidRPr="00486A07">
        <w:rPr>
          <w:color w:val="000000"/>
        </w:rPr>
        <w:t xml:space="preserve">staff to complete the data collection tool. </w:t>
      </w:r>
      <w:r w:rsidR="002123B5" w:rsidRPr="00486A07">
        <w:rPr>
          <w:color w:val="000000"/>
        </w:rPr>
        <w:t>All supplies for the study are provided, including paper copies of data collection tools if the site requests this</w:t>
      </w:r>
      <w:r w:rsidR="00104B90" w:rsidRPr="00486A07">
        <w:rPr>
          <w:color w:val="000000"/>
        </w:rPr>
        <w:t>.</w:t>
      </w:r>
      <w:r w:rsidR="00A03568" w:rsidRPr="00486A07">
        <w:rPr>
          <w:color w:val="000000"/>
        </w:rPr>
        <w:t xml:space="preserve"> As such, the impact on small businesses is expected to be minimal. </w:t>
      </w:r>
    </w:p>
    <w:p w14:paraId="11D961CE" w14:textId="77777777" w:rsidR="0074782B" w:rsidRPr="00486A07" w:rsidRDefault="0074782B" w:rsidP="00361F53"/>
    <w:p w14:paraId="5B89CC50" w14:textId="70704834" w:rsidR="00F50F52" w:rsidRPr="00486A07" w:rsidRDefault="00F50F52" w:rsidP="00361F53">
      <w:pPr>
        <w:outlineLvl w:val="0"/>
        <w:rPr>
          <w:b/>
          <w:bCs/>
          <w:iCs/>
          <w:color w:val="000000"/>
        </w:rPr>
      </w:pPr>
      <w:bookmarkStart w:id="28" w:name="_Toc462300165"/>
      <w:r w:rsidRPr="00486A07">
        <w:rPr>
          <w:b/>
          <w:bCs/>
          <w:iCs/>
          <w:color w:val="000000"/>
        </w:rPr>
        <w:t>6. Consequences of Collecting the Information Less Frequently</w:t>
      </w:r>
      <w:bookmarkEnd w:id="28"/>
    </w:p>
    <w:p w14:paraId="71E66A23" w14:textId="77777777" w:rsidR="00D74049" w:rsidRPr="00486A07" w:rsidRDefault="00D74049" w:rsidP="00E25011"/>
    <w:p w14:paraId="64D8400D" w14:textId="6785F356" w:rsidR="00E25011" w:rsidRPr="00486A07" w:rsidRDefault="00E303F9" w:rsidP="006A0C51">
      <w:r w:rsidRPr="00486A07">
        <w:t>I</w:t>
      </w:r>
      <w:r w:rsidR="008B1855" w:rsidRPr="00486A07">
        <w:t>nformal interviews with l</w:t>
      </w:r>
      <w:r w:rsidR="00B75C5B" w:rsidRPr="00486A07">
        <w:t xml:space="preserve">ocal </w:t>
      </w:r>
      <w:r w:rsidR="00E50F5E" w:rsidRPr="00486A07">
        <w:t>veterinarians</w:t>
      </w:r>
      <w:r w:rsidR="00B75C5B" w:rsidRPr="00486A07">
        <w:t xml:space="preserve"> in Puerto Rico</w:t>
      </w:r>
      <w:r w:rsidRPr="00486A07">
        <w:t xml:space="preserve"> </w:t>
      </w:r>
      <w:r w:rsidR="006A0C51" w:rsidRPr="00486A07">
        <w:t>found a</w:t>
      </w:r>
      <w:r w:rsidR="008B1855" w:rsidRPr="00486A07">
        <w:t>n</w:t>
      </w:r>
      <w:r w:rsidR="00B75C5B" w:rsidRPr="00486A07">
        <w:t xml:space="preserve"> </w:t>
      </w:r>
      <w:r w:rsidR="006A0C51" w:rsidRPr="00486A07">
        <w:t>average o</w:t>
      </w:r>
      <w:r w:rsidR="00B75C5B" w:rsidRPr="00486A07">
        <w:t xml:space="preserve">f </w:t>
      </w:r>
      <w:r w:rsidR="0067288D" w:rsidRPr="00486A07">
        <w:t xml:space="preserve">two cases of leptospirosis </w:t>
      </w:r>
      <w:r w:rsidR="00E50F5E" w:rsidRPr="00486A07">
        <w:t>per month</w:t>
      </w:r>
      <w:r w:rsidR="0067288D" w:rsidRPr="00486A07">
        <w:t xml:space="preserve"> in dogs seen at the clinics</w:t>
      </w:r>
      <w:r w:rsidR="00C92A4A" w:rsidRPr="00486A07">
        <w:t>,</w:t>
      </w:r>
      <w:r w:rsidR="006A0C51" w:rsidRPr="00486A07">
        <w:t xml:space="preserve"> with some variance depending on the site location. As such, the sample size is projected to be relatively small and each response would be needed to obtain significant data and results.</w:t>
      </w:r>
      <w:r w:rsidR="0067288D" w:rsidRPr="00486A07">
        <w:t xml:space="preserve"> There is very limited data on canine leptospirosis in Puerto Rico, and what is known may be outdated. There is also no system of veterinary </w:t>
      </w:r>
      <w:r w:rsidR="0067288D" w:rsidRPr="00486A07">
        <w:lastRenderedPageBreak/>
        <w:t>surveillance in the island and rapid diagnostic test</w:t>
      </w:r>
      <w:r w:rsidR="00C92A4A" w:rsidRPr="00486A07">
        <w:t>s</w:t>
      </w:r>
      <w:r w:rsidR="0067288D" w:rsidRPr="00486A07">
        <w:t xml:space="preserve"> for leptospirosis</w:t>
      </w:r>
      <w:r w:rsidR="00C92A4A" w:rsidRPr="00486A07">
        <w:t xml:space="preserve"> are not widely used</w:t>
      </w:r>
      <w:r w:rsidR="0067288D" w:rsidRPr="00486A07">
        <w:t>. These factor</w:t>
      </w:r>
      <w:r w:rsidR="00C92A4A" w:rsidRPr="00486A07">
        <w:t>s have held back further understanding of the incidence and distribution of leptospirosis in dogs.</w:t>
      </w:r>
      <w:r w:rsidR="0067288D" w:rsidRPr="00486A07">
        <w:t xml:space="preserve"> </w:t>
      </w:r>
      <w:r w:rsidR="00C92A4A" w:rsidRPr="00486A07">
        <w:t>Thus, thi</w:t>
      </w:r>
      <w:r w:rsidR="0067288D" w:rsidRPr="00486A07">
        <w:t>s</w:t>
      </w:r>
      <w:r w:rsidR="00C92A4A" w:rsidRPr="00486A07">
        <w:t xml:space="preserve"> d</w:t>
      </w:r>
      <w:r w:rsidR="0067288D" w:rsidRPr="00486A07">
        <w:t xml:space="preserve">ata collection would be the primary source of information on canine leptospirosis in Puerto Rico. </w:t>
      </w:r>
    </w:p>
    <w:p w14:paraId="37D99E37" w14:textId="77777777" w:rsidR="006A0C51" w:rsidRPr="00486A07" w:rsidRDefault="006A0C51" w:rsidP="006A0C51"/>
    <w:p w14:paraId="571E1840" w14:textId="71A6641C" w:rsidR="006E3B52" w:rsidRPr="00486A07" w:rsidRDefault="006E3B52" w:rsidP="00361F53">
      <w:pPr>
        <w:outlineLvl w:val="0"/>
        <w:rPr>
          <w:b/>
          <w:bCs/>
          <w:iCs/>
          <w:color w:val="000000"/>
        </w:rPr>
      </w:pPr>
      <w:bookmarkStart w:id="29" w:name="_Toc462300166"/>
      <w:r w:rsidRPr="00486A07">
        <w:rPr>
          <w:b/>
          <w:bCs/>
          <w:iCs/>
          <w:color w:val="000000"/>
        </w:rPr>
        <w:t>7. Special Circumstances Relating to the Guidelines of 5 CFR 1320.5</w:t>
      </w:r>
      <w:bookmarkEnd w:id="29"/>
    </w:p>
    <w:p w14:paraId="38952DCF" w14:textId="77777777" w:rsidR="000F025A" w:rsidRPr="00486A07" w:rsidRDefault="000F025A" w:rsidP="00361F53">
      <w:pPr>
        <w:outlineLvl w:val="0"/>
        <w:rPr>
          <w:b/>
          <w:bCs/>
          <w:iCs/>
          <w:color w:val="000000"/>
        </w:rPr>
      </w:pPr>
    </w:p>
    <w:p w14:paraId="55BFF515" w14:textId="4A6D3A9E" w:rsidR="00C11DC2" w:rsidRPr="00486A07" w:rsidRDefault="00D504D4" w:rsidP="00701543">
      <w:pPr>
        <w:rPr>
          <w:color w:val="000000"/>
        </w:rPr>
      </w:pPr>
      <w:bookmarkStart w:id="30" w:name="_Toc295817055"/>
      <w:bookmarkStart w:id="31" w:name="_Toc295817590"/>
      <w:bookmarkStart w:id="32" w:name="_Toc295818071"/>
      <w:bookmarkStart w:id="33" w:name="_Toc295819844"/>
      <w:r w:rsidRPr="00486A07">
        <w:rPr>
          <w:color w:val="000000"/>
        </w:rPr>
        <w:t>Study</w:t>
      </w:r>
      <w:r w:rsidR="00607229" w:rsidRPr="00486A07">
        <w:rPr>
          <w:color w:val="000000"/>
        </w:rPr>
        <w:t xml:space="preserve"> sites</w:t>
      </w:r>
      <w:r w:rsidR="00C11DC2" w:rsidRPr="00486A07">
        <w:rPr>
          <w:color w:val="000000"/>
        </w:rPr>
        <w:t xml:space="preserve"> are asked to send completed data collection forms at least monthly to coordinate with the shipment of specimen</w:t>
      </w:r>
      <w:r w:rsidR="009A0C19" w:rsidRPr="00486A07">
        <w:rPr>
          <w:color w:val="000000"/>
        </w:rPr>
        <w:t>s</w:t>
      </w:r>
      <w:r w:rsidR="00C11DC2" w:rsidRPr="00486A07">
        <w:rPr>
          <w:color w:val="000000"/>
        </w:rPr>
        <w:t xml:space="preserve"> for additional testing at CDC. This is because there is information in the data collection forms that may be used to guide the interpretation of test results and to keep track of specimens that are sent. </w:t>
      </w:r>
    </w:p>
    <w:p w14:paraId="4233E81E" w14:textId="4029F800" w:rsidR="00C11DC2" w:rsidRPr="00486A07" w:rsidRDefault="00C11DC2" w:rsidP="00701543">
      <w:pPr>
        <w:rPr>
          <w:color w:val="000000"/>
        </w:rPr>
      </w:pPr>
      <w:r w:rsidRPr="00486A07">
        <w:rPr>
          <w:color w:val="000000"/>
        </w:rPr>
        <w:t xml:space="preserve"> </w:t>
      </w:r>
    </w:p>
    <w:p w14:paraId="4E0B40E1" w14:textId="1A838241" w:rsidR="00D25282" w:rsidRPr="00486A07" w:rsidRDefault="00C11DC2" w:rsidP="00701543">
      <w:pPr>
        <w:rPr>
          <w:color w:val="000000"/>
        </w:rPr>
      </w:pPr>
      <w:r w:rsidRPr="00486A07">
        <w:rPr>
          <w:color w:val="000000"/>
        </w:rPr>
        <w:t>All other</w:t>
      </w:r>
      <w:r w:rsidR="00D25282" w:rsidRPr="00486A07">
        <w:rPr>
          <w:color w:val="000000"/>
        </w:rPr>
        <w:t xml:space="preserve"> activities outlined in th</w:t>
      </w:r>
      <w:r w:rsidRPr="00486A07">
        <w:rPr>
          <w:color w:val="000000"/>
        </w:rPr>
        <w:t>is package fully comply with the</w:t>
      </w:r>
      <w:r w:rsidR="00D25282" w:rsidRPr="00486A07">
        <w:rPr>
          <w:color w:val="000000"/>
        </w:rPr>
        <w:t xml:space="preserve"> guidelines of 5 </w:t>
      </w:r>
      <w:smartTag w:uri="urn:schemas-microsoft-com:office:smarttags" w:element="stockticker">
        <w:r w:rsidR="00D25282" w:rsidRPr="00486A07">
          <w:rPr>
            <w:color w:val="000000"/>
          </w:rPr>
          <w:t>CFR</w:t>
        </w:r>
      </w:smartTag>
      <w:r w:rsidR="00D25282" w:rsidRPr="00486A07">
        <w:rPr>
          <w:color w:val="000000"/>
        </w:rPr>
        <w:t xml:space="preserve"> 1320.5.</w:t>
      </w:r>
      <w:bookmarkEnd w:id="30"/>
      <w:bookmarkEnd w:id="31"/>
      <w:bookmarkEnd w:id="32"/>
      <w:bookmarkEnd w:id="33"/>
    </w:p>
    <w:p w14:paraId="20C4DA0C" w14:textId="77777777" w:rsidR="006E3B52" w:rsidRPr="00486A07" w:rsidRDefault="006E3B52" w:rsidP="00701543"/>
    <w:p w14:paraId="4D981BB9" w14:textId="496A9314" w:rsidR="006E3B52" w:rsidRPr="00486A07" w:rsidRDefault="006E3B52" w:rsidP="00801A44">
      <w:pPr>
        <w:spacing w:after="200" w:line="276" w:lineRule="auto"/>
        <w:rPr>
          <w:b/>
          <w:bCs/>
          <w:iCs/>
          <w:color w:val="000000"/>
        </w:rPr>
      </w:pPr>
      <w:r w:rsidRPr="00486A07">
        <w:rPr>
          <w:b/>
          <w:bCs/>
          <w:iCs/>
          <w:color w:val="000000"/>
        </w:rPr>
        <w:t>8. Comments in Response to the Federal Register Notice and Efforts to Consult Outside the Agency</w:t>
      </w:r>
    </w:p>
    <w:p w14:paraId="5F6C5A67" w14:textId="274CD9CE" w:rsidR="006E3B52" w:rsidRPr="00486A07" w:rsidRDefault="00AB10DA" w:rsidP="00361F53">
      <w:r w:rsidRPr="00486A07">
        <w:t>8a.</w:t>
      </w:r>
      <w:r w:rsidR="006E3B52" w:rsidRPr="00486A07">
        <w:t xml:space="preserve"> </w:t>
      </w:r>
      <w:r w:rsidR="00AF7E2D" w:rsidRPr="00486A07">
        <w:t xml:space="preserve">A </w:t>
      </w:r>
      <w:r w:rsidR="006E3B52" w:rsidRPr="00486A07">
        <w:t xml:space="preserve">60-day notice was published in the Federal Register on </w:t>
      </w:r>
      <w:r w:rsidR="003B4139" w:rsidRPr="00486A07">
        <w:t>10</w:t>
      </w:r>
      <w:r w:rsidR="007932B2" w:rsidRPr="00486A07">
        <w:t>/</w:t>
      </w:r>
      <w:r w:rsidR="003B4139" w:rsidRPr="00486A07">
        <w:t>13</w:t>
      </w:r>
      <w:r w:rsidR="007932B2" w:rsidRPr="00486A07">
        <w:t>/</w:t>
      </w:r>
      <w:r w:rsidR="003B4139" w:rsidRPr="00486A07">
        <w:t>2016</w:t>
      </w:r>
      <w:r w:rsidR="007932B2" w:rsidRPr="00486A07">
        <w:t>, Volume</w:t>
      </w:r>
      <w:r w:rsidR="003B4139" w:rsidRPr="00486A07">
        <w:t>.</w:t>
      </w:r>
      <w:r w:rsidR="007932B2" w:rsidRPr="00486A07">
        <w:t xml:space="preserve"> </w:t>
      </w:r>
      <w:r w:rsidR="003B4139" w:rsidRPr="00486A07">
        <w:t>81</w:t>
      </w:r>
      <w:r w:rsidR="007932B2" w:rsidRPr="00486A07">
        <w:t xml:space="preserve">, No. </w:t>
      </w:r>
      <w:r w:rsidR="003B4139" w:rsidRPr="00486A07">
        <w:t>198</w:t>
      </w:r>
      <w:r w:rsidR="007932B2" w:rsidRPr="00486A07">
        <w:t xml:space="preserve">, p. </w:t>
      </w:r>
      <w:r w:rsidR="003B4139" w:rsidRPr="00486A07">
        <w:t>70684-70685</w:t>
      </w:r>
      <w:r w:rsidR="007932B2" w:rsidRPr="00486A07">
        <w:t xml:space="preserve">. </w:t>
      </w:r>
      <w:r w:rsidR="00FA4C00" w:rsidRPr="00486A07">
        <w:t xml:space="preserve"> (Attachment B</w:t>
      </w:r>
      <w:r w:rsidR="00BB0CAC" w:rsidRPr="00486A07">
        <w:t>)</w:t>
      </w:r>
      <w:r w:rsidR="00394692" w:rsidRPr="00486A07">
        <w:t>.</w:t>
      </w:r>
      <w:r w:rsidR="00EF51AE" w:rsidRPr="00486A07">
        <w:t xml:space="preserve">  </w:t>
      </w:r>
      <w:r w:rsidR="007932B2" w:rsidRPr="00486A07">
        <w:t xml:space="preserve"> No public comments were received</w:t>
      </w:r>
      <w:r w:rsidR="00EF51AE" w:rsidRPr="00486A07">
        <w:t>.</w:t>
      </w:r>
    </w:p>
    <w:p w14:paraId="5AD50539" w14:textId="77777777" w:rsidR="00A35F72" w:rsidRPr="00486A07" w:rsidRDefault="00A35F72" w:rsidP="00361F53">
      <w:pPr>
        <w:rPr>
          <w:b/>
          <w:bCs/>
        </w:rPr>
      </w:pPr>
    </w:p>
    <w:p w14:paraId="39363373" w14:textId="78224D61" w:rsidR="00016DFD" w:rsidRPr="00486A07" w:rsidRDefault="006108F5" w:rsidP="00AC1C9E">
      <w:r w:rsidRPr="00486A07">
        <w:t>8</w:t>
      </w:r>
      <w:r w:rsidR="00016DFD" w:rsidRPr="00486A07">
        <w:t>b</w:t>
      </w:r>
      <w:r w:rsidRPr="00486A07">
        <w:t>.</w:t>
      </w:r>
      <w:r w:rsidR="00016DFD" w:rsidRPr="00486A07">
        <w:t xml:space="preserve"> Consultation</w:t>
      </w:r>
    </w:p>
    <w:p w14:paraId="6F609126" w14:textId="77777777" w:rsidR="00016DFD" w:rsidRPr="00486A07" w:rsidRDefault="00016DFD" w:rsidP="00016DFD">
      <w:pPr>
        <w:rPr>
          <w:color w:val="000000"/>
        </w:rPr>
      </w:pPr>
    </w:p>
    <w:p w14:paraId="12704C6C" w14:textId="11E8B8FE" w:rsidR="000A4D13" w:rsidRPr="00486A07" w:rsidRDefault="00DA0A5C" w:rsidP="00361F53">
      <w:pPr>
        <w:rPr>
          <w:color w:val="000000"/>
        </w:rPr>
      </w:pPr>
      <w:r w:rsidRPr="00486A07">
        <w:rPr>
          <w:color w:val="000000"/>
        </w:rPr>
        <w:t xml:space="preserve">Data collection types and methods required for this OMB clearance have been </w:t>
      </w:r>
      <w:r w:rsidR="00317C29" w:rsidRPr="00486A07">
        <w:rPr>
          <w:color w:val="000000"/>
        </w:rPr>
        <w:t>developed in consultation with Brenda Garcia-Rivera, territorial epidemiologist for Puerto Rico, and Kyle Ryff, surveillance coordinator with the Division</w:t>
      </w:r>
      <w:r w:rsidR="00E278DC" w:rsidRPr="00486A07">
        <w:rPr>
          <w:color w:val="000000"/>
        </w:rPr>
        <w:t xml:space="preserve"> of Epidemiologic Investigation at</w:t>
      </w:r>
      <w:r w:rsidR="00317C29" w:rsidRPr="00486A07">
        <w:rPr>
          <w:color w:val="000000"/>
        </w:rPr>
        <w:t xml:space="preserve"> Puerto Rico Department of Health. Their consult was obtained to</w:t>
      </w:r>
      <w:r w:rsidR="00E278DC" w:rsidRPr="00486A07">
        <w:rPr>
          <w:color w:val="000000"/>
        </w:rPr>
        <w:t xml:space="preserve"> determine efficient ways of data collection and submission, and to</w:t>
      </w:r>
      <w:r w:rsidR="00317C29" w:rsidRPr="00486A07">
        <w:rPr>
          <w:color w:val="000000"/>
        </w:rPr>
        <w:t xml:space="preserve"> ensure</w:t>
      </w:r>
      <w:r w:rsidR="00E278DC" w:rsidRPr="00486A07">
        <w:rPr>
          <w:color w:val="000000"/>
        </w:rPr>
        <w:t xml:space="preserve"> the</w:t>
      </w:r>
      <w:r w:rsidR="00317C29" w:rsidRPr="00486A07">
        <w:rPr>
          <w:color w:val="000000"/>
        </w:rPr>
        <w:t xml:space="preserve"> use of</w:t>
      </w:r>
      <w:r w:rsidR="000F574A" w:rsidRPr="00486A07">
        <w:rPr>
          <w:color w:val="000000"/>
        </w:rPr>
        <w:t xml:space="preserve"> locally appropriate questions</w:t>
      </w:r>
      <w:r w:rsidR="00317C29" w:rsidRPr="00486A07">
        <w:rPr>
          <w:color w:val="000000"/>
        </w:rPr>
        <w:t xml:space="preserve"> and instructions</w:t>
      </w:r>
      <w:r w:rsidR="00E278DC" w:rsidRPr="00486A07">
        <w:rPr>
          <w:color w:val="000000"/>
        </w:rPr>
        <w:t xml:space="preserve"> </w:t>
      </w:r>
      <w:r w:rsidR="003E3564" w:rsidRPr="00486A07">
        <w:rPr>
          <w:color w:val="000000"/>
        </w:rPr>
        <w:t>associated with this data colle</w:t>
      </w:r>
      <w:r w:rsidR="000A4D13" w:rsidRPr="00486A07">
        <w:rPr>
          <w:color w:val="000000"/>
        </w:rPr>
        <w:t>ction</w:t>
      </w:r>
      <w:r w:rsidR="00E278DC" w:rsidRPr="00486A07">
        <w:rPr>
          <w:color w:val="000000"/>
        </w:rPr>
        <w:t>. I</w:t>
      </w:r>
      <w:r w:rsidR="000A4D13" w:rsidRPr="00486A07">
        <w:rPr>
          <w:color w:val="000000"/>
        </w:rPr>
        <w:t xml:space="preserve">ssues or improvements to the data collection tool </w:t>
      </w:r>
      <w:r w:rsidR="00E278DC" w:rsidRPr="00486A07">
        <w:rPr>
          <w:color w:val="000000"/>
        </w:rPr>
        <w:t xml:space="preserve">as a result of their consult </w:t>
      </w:r>
      <w:r w:rsidR="000A4D13" w:rsidRPr="00486A07">
        <w:rPr>
          <w:color w:val="000000"/>
        </w:rPr>
        <w:t>were addressed prior to its implementation.</w:t>
      </w:r>
    </w:p>
    <w:p w14:paraId="241CE1BC" w14:textId="77777777" w:rsidR="00DA0A5C" w:rsidRPr="00486A07" w:rsidRDefault="00DA0A5C" w:rsidP="00361F53"/>
    <w:p w14:paraId="030CAB8A" w14:textId="26BD7927" w:rsidR="006E3B52" w:rsidRPr="00486A07" w:rsidRDefault="006E3B52" w:rsidP="00361F53">
      <w:pPr>
        <w:outlineLvl w:val="0"/>
        <w:rPr>
          <w:b/>
          <w:bCs/>
          <w:iCs/>
          <w:color w:val="000000"/>
        </w:rPr>
      </w:pPr>
      <w:bookmarkStart w:id="34" w:name="_Toc462300167"/>
      <w:r w:rsidRPr="00486A07">
        <w:rPr>
          <w:b/>
          <w:bCs/>
          <w:iCs/>
          <w:color w:val="000000"/>
        </w:rPr>
        <w:t>9. Explanation of Any Payment or Gift to Respondent</w:t>
      </w:r>
      <w:r w:rsidR="004435C4" w:rsidRPr="00486A07">
        <w:rPr>
          <w:b/>
          <w:bCs/>
          <w:iCs/>
          <w:color w:val="000000"/>
        </w:rPr>
        <w:t>s</w:t>
      </w:r>
      <w:bookmarkEnd w:id="34"/>
    </w:p>
    <w:p w14:paraId="181D7021" w14:textId="77777777" w:rsidR="006E3B52" w:rsidRPr="00486A07" w:rsidRDefault="006E3B52" w:rsidP="00361F53">
      <w:pPr>
        <w:rPr>
          <w:b/>
        </w:rPr>
      </w:pPr>
    </w:p>
    <w:p w14:paraId="29BECB8D" w14:textId="538348DE" w:rsidR="000A4D13" w:rsidRPr="00486A07" w:rsidRDefault="004C1C9A" w:rsidP="00361F53">
      <w:r w:rsidRPr="00486A07">
        <w:t>There will be no remuneration to</w:t>
      </w:r>
      <w:r w:rsidR="00584ABA" w:rsidRPr="00486A07">
        <w:t xml:space="preserve"> any</w:t>
      </w:r>
      <w:r w:rsidRPr="00486A07">
        <w:t xml:space="preserve"> </w:t>
      </w:r>
      <w:r w:rsidR="00584ABA" w:rsidRPr="00486A07">
        <w:t xml:space="preserve">of the </w:t>
      </w:r>
      <w:r w:rsidRPr="00486A07">
        <w:t>respondents</w:t>
      </w:r>
      <w:r w:rsidR="00C970D1" w:rsidRPr="00486A07">
        <w:t xml:space="preserve"> </w:t>
      </w:r>
      <w:r w:rsidR="00265C9D" w:rsidRPr="00486A07">
        <w:t>(veterinarians</w:t>
      </w:r>
      <w:r w:rsidR="00F02A14" w:rsidRPr="00486A07">
        <w:t xml:space="preserve"> and their </w:t>
      </w:r>
      <w:r w:rsidR="00A95446" w:rsidRPr="00486A07">
        <w:t>staff</w:t>
      </w:r>
      <w:r w:rsidR="00F02A14" w:rsidRPr="00486A07">
        <w:t>, and dog owners</w:t>
      </w:r>
      <w:r w:rsidR="00265C9D" w:rsidRPr="00486A07">
        <w:t xml:space="preserve">) </w:t>
      </w:r>
      <w:r w:rsidR="00725187" w:rsidRPr="00486A07">
        <w:t xml:space="preserve">for </w:t>
      </w:r>
      <w:r w:rsidR="00BA6E48" w:rsidRPr="00486A07">
        <w:t xml:space="preserve">the data collection associated with the study. </w:t>
      </w:r>
      <w:r w:rsidR="00EE4698" w:rsidRPr="00486A07">
        <w:t>Only s</w:t>
      </w:r>
      <w:r w:rsidR="00BA6E48" w:rsidRPr="00486A07">
        <w:t>upplies for the study will be provided, including paper copies of data collection tools, and supplies for specimen collection, testing and shipment</w:t>
      </w:r>
      <w:r w:rsidR="00265C9D" w:rsidRPr="00486A07">
        <w:t>.</w:t>
      </w:r>
      <w:r w:rsidR="00725187" w:rsidRPr="00486A07">
        <w:t xml:space="preserve"> </w:t>
      </w:r>
      <w:r w:rsidR="00BA6E48" w:rsidRPr="00486A07">
        <w:t xml:space="preserve">Owners of rapid test-positive dogs may also be </w:t>
      </w:r>
      <w:r w:rsidR="00265C9D" w:rsidRPr="00486A07">
        <w:t>provided with an informationa</w:t>
      </w:r>
      <w:r w:rsidR="00BA6E48" w:rsidRPr="00486A07">
        <w:t>l brochure on leptospirosis.</w:t>
      </w:r>
    </w:p>
    <w:p w14:paraId="59AC2A56" w14:textId="77777777" w:rsidR="00E73459" w:rsidRPr="00486A07" w:rsidRDefault="00E73459" w:rsidP="00361F53"/>
    <w:p w14:paraId="3CE0F950" w14:textId="2E20A970" w:rsidR="006E3B52" w:rsidRPr="00486A07" w:rsidRDefault="006E3B52" w:rsidP="00361F53">
      <w:pPr>
        <w:outlineLvl w:val="0"/>
        <w:rPr>
          <w:b/>
          <w:bCs/>
          <w:iCs/>
          <w:color w:val="000000"/>
        </w:rPr>
      </w:pPr>
      <w:bookmarkStart w:id="35" w:name="_Toc462300168"/>
      <w:r w:rsidRPr="00486A07">
        <w:rPr>
          <w:b/>
          <w:bCs/>
          <w:iCs/>
          <w:color w:val="000000"/>
        </w:rPr>
        <w:t>10</w:t>
      </w:r>
      <w:r w:rsidR="00A26117" w:rsidRPr="00486A07">
        <w:rPr>
          <w:b/>
          <w:bCs/>
          <w:iCs/>
          <w:color w:val="000000"/>
        </w:rPr>
        <w:t>.</w:t>
      </w:r>
      <w:r w:rsidR="003367F4" w:rsidRPr="00486A07">
        <w:rPr>
          <w:b/>
          <w:bCs/>
          <w:iCs/>
          <w:color w:val="000000"/>
        </w:rPr>
        <w:t xml:space="preserve"> </w:t>
      </w:r>
      <w:r w:rsidR="005A4007" w:rsidRPr="00486A07">
        <w:rPr>
          <w:b/>
          <w:bCs/>
          <w:iCs/>
          <w:color w:val="000000"/>
        </w:rPr>
        <w:t>Protection of the Privacy and Confidentiality of Information Provided by Respondents</w:t>
      </w:r>
      <w:bookmarkEnd w:id="35"/>
    </w:p>
    <w:p w14:paraId="1DC94443" w14:textId="77777777" w:rsidR="006E3B52" w:rsidRPr="00486A07" w:rsidRDefault="006E3B52" w:rsidP="00361F53">
      <w:pPr>
        <w:rPr>
          <w:b/>
        </w:rPr>
      </w:pPr>
    </w:p>
    <w:p w14:paraId="4031D401" w14:textId="07DC60A3" w:rsidR="00AF43CC" w:rsidRPr="00486A07" w:rsidRDefault="00AF43CC" w:rsidP="00E73459">
      <w:r w:rsidRPr="00486A07">
        <w:t>NCEZID reviewed this submission and determined that the Privacy Act does apply.  The applicable SORN is 09-20-0136, “Epidemiologic Studies and Surveillance of Disease Problems.”</w:t>
      </w:r>
    </w:p>
    <w:p w14:paraId="786EDD85" w14:textId="77777777" w:rsidR="00AF43CC" w:rsidRPr="00486A07" w:rsidRDefault="00AF43CC" w:rsidP="00E73459"/>
    <w:p w14:paraId="4D4C7BC8" w14:textId="0F192155" w:rsidR="00E73459" w:rsidRPr="00486A07" w:rsidRDefault="00E73459" w:rsidP="00E73459">
      <w:r w:rsidRPr="00486A07">
        <w:t>Individuals will be assured</w:t>
      </w:r>
      <w:r w:rsidR="00FF744B" w:rsidRPr="00486A07">
        <w:t xml:space="preserve"> of the </w:t>
      </w:r>
      <w:r w:rsidR="007932B2" w:rsidRPr="00486A07">
        <w:t xml:space="preserve">security </w:t>
      </w:r>
      <w:r w:rsidR="00756385" w:rsidRPr="00486A07">
        <w:t>of the information they provide</w:t>
      </w:r>
      <w:r w:rsidRPr="00486A07">
        <w:t xml:space="preserve"> </w:t>
      </w:r>
      <w:r w:rsidR="00C11DC2" w:rsidRPr="00486A07">
        <w:t xml:space="preserve">through a consent form. </w:t>
      </w:r>
      <w:r w:rsidRPr="00486A07">
        <w:t>They will be told the purposes for which the inf</w:t>
      </w:r>
      <w:r w:rsidR="006C101B" w:rsidRPr="00486A07">
        <w:t xml:space="preserve">ormation is collected and that any information they provide will be kept </w:t>
      </w:r>
      <w:r w:rsidR="007932B2" w:rsidRPr="00486A07">
        <w:t xml:space="preserve">secure </w:t>
      </w:r>
      <w:r w:rsidR="00FB4A52" w:rsidRPr="00486A07">
        <w:t>to the extent permitted by law</w:t>
      </w:r>
      <w:r w:rsidR="006C101B" w:rsidRPr="00486A07">
        <w:t xml:space="preserve">. Any </w:t>
      </w:r>
      <w:r w:rsidR="00FB4A52" w:rsidRPr="00486A07">
        <w:t xml:space="preserve">personal </w:t>
      </w:r>
      <w:r w:rsidR="00FB4A52" w:rsidRPr="00486A07">
        <w:lastRenderedPageBreak/>
        <w:t>identifiable information</w:t>
      </w:r>
      <w:r w:rsidR="006C101B" w:rsidRPr="00486A07">
        <w:t xml:space="preserve"> collected will be stored in a secure manner and will not be </w:t>
      </w:r>
      <w:r w:rsidR="006C101B" w:rsidRPr="00486A07">
        <w:rPr>
          <w:color w:val="000000"/>
        </w:rPr>
        <w:t>disclosed unless otherwise compelled by law.</w:t>
      </w:r>
    </w:p>
    <w:p w14:paraId="0A357F67" w14:textId="77777777" w:rsidR="00E73459" w:rsidRPr="00486A07" w:rsidRDefault="00E73459" w:rsidP="00E73459"/>
    <w:p w14:paraId="0AB8AE11" w14:textId="084048E0" w:rsidR="00FB4A52" w:rsidRPr="00486A07" w:rsidRDefault="00FB4A52" w:rsidP="00FB4A52">
      <w:r w:rsidRPr="00486A07">
        <w:rPr>
          <w:color w:val="000000"/>
        </w:rPr>
        <w:t xml:space="preserve">A determination from the Institutional Animal Care and Use Committee (IACUC) specialists at CDC was sought prior to commencement of any activities. The protocol associated with this study was determined to be exempt from IACUC review. IRB determination was not pursued as </w:t>
      </w:r>
      <w:r w:rsidR="00DD234A" w:rsidRPr="00486A07">
        <w:rPr>
          <w:color w:val="000000"/>
        </w:rPr>
        <w:t>this study does not pertain to</w:t>
      </w:r>
      <w:r w:rsidRPr="00486A07">
        <w:rPr>
          <w:color w:val="000000"/>
        </w:rPr>
        <w:t xml:space="preserve"> research on human subjects.</w:t>
      </w:r>
    </w:p>
    <w:p w14:paraId="71B0123D" w14:textId="77777777" w:rsidR="00FB4A52" w:rsidRPr="00486A07" w:rsidRDefault="00FB4A52" w:rsidP="00E73459"/>
    <w:p w14:paraId="7420CA32" w14:textId="77777777" w:rsidR="005F4083" w:rsidRPr="00486A07" w:rsidRDefault="005F4083" w:rsidP="0074782B">
      <w:pPr>
        <w:autoSpaceDE w:val="0"/>
        <w:autoSpaceDN w:val="0"/>
        <w:adjustRightInd w:val="0"/>
        <w:spacing w:after="120"/>
        <w:rPr>
          <w:color w:val="000000"/>
          <w:u w:val="single"/>
        </w:rPr>
      </w:pPr>
      <w:r w:rsidRPr="00486A07">
        <w:rPr>
          <w:color w:val="000000"/>
          <w:u w:val="single"/>
        </w:rPr>
        <w:t>Privacy Impact Assessment Information</w:t>
      </w:r>
    </w:p>
    <w:p w14:paraId="0E868F5C" w14:textId="52207E96" w:rsidR="00A34B4D" w:rsidRPr="00486A07" w:rsidRDefault="00A91A0C" w:rsidP="00FC0EAF">
      <w:pPr>
        <w:autoSpaceDE w:val="0"/>
        <w:autoSpaceDN w:val="0"/>
        <w:adjustRightInd w:val="0"/>
      </w:pPr>
      <w:r w:rsidRPr="00486A07">
        <w:t>BSPB</w:t>
      </w:r>
      <w:r w:rsidR="00F74DAE" w:rsidRPr="00486A07">
        <w:t xml:space="preserve"> staff will follow procedures for a</w:t>
      </w:r>
      <w:r w:rsidR="003B4A45" w:rsidRPr="00486A07">
        <w:t xml:space="preserve">ssuring and maintaining the </w:t>
      </w:r>
      <w:r w:rsidR="007932B2" w:rsidRPr="00486A07">
        <w:t xml:space="preserve">security </w:t>
      </w:r>
      <w:r w:rsidR="003B4A45" w:rsidRPr="00486A07">
        <w:t xml:space="preserve">of information collected. </w:t>
      </w:r>
      <w:r w:rsidRPr="00486A07">
        <w:t>Infor</w:t>
      </w:r>
      <w:r w:rsidR="003B4A45" w:rsidRPr="00486A07">
        <w:t xml:space="preserve">mation collected </w:t>
      </w:r>
      <w:r w:rsidR="004A22A0" w:rsidRPr="00486A07">
        <w:t xml:space="preserve">from </w:t>
      </w:r>
      <w:r w:rsidR="003B4A45" w:rsidRPr="00486A07">
        <w:t>participating sites such as clinic name, address, capacity for dogs, and services offered,</w:t>
      </w:r>
      <w:r w:rsidR="00434087" w:rsidRPr="00486A07">
        <w:t xml:space="preserve"> will </w:t>
      </w:r>
      <w:r w:rsidR="003B4A45" w:rsidRPr="00486A07">
        <w:t xml:space="preserve">be used </w:t>
      </w:r>
      <w:r w:rsidR="00434087" w:rsidRPr="00486A07">
        <w:t xml:space="preserve">only </w:t>
      </w:r>
      <w:r w:rsidR="003B4A45" w:rsidRPr="00486A07">
        <w:t>for the purposes of the study, unless authorized by the clinic or shelter.</w:t>
      </w:r>
      <w:r w:rsidR="003E16F5" w:rsidRPr="00486A07">
        <w:t xml:space="preserve"> </w:t>
      </w:r>
      <w:r w:rsidR="001A5D00" w:rsidRPr="00486A07">
        <w:t xml:space="preserve">Information about the dog will be collected by veterinarians and their vet staff according to the facility’s protocol. The type of information collected will pose minimal to no risk to respondents. </w:t>
      </w:r>
      <w:r w:rsidR="008816A4" w:rsidRPr="00486A07">
        <w:t>O</w:t>
      </w:r>
      <w:r w:rsidRPr="00486A07">
        <w:t>wner and dog identifiable information</w:t>
      </w:r>
      <w:r w:rsidR="00A34B4D" w:rsidRPr="00486A07">
        <w:t xml:space="preserve">, </w:t>
      </w:r>
      <w:r w:rsidR="0006201E" w:rsidRPr="00486A07">
        <w:t>including the</w:t>
      </w:r>
      <w:r w:rsidR="008816A4" w:rsidRPr="00486A07">
        <w:t xml:space="preserve"> dog</w:t>
      </w:r>
      <w:r w:rsidR="0006201E" w:rsidRPr="00486A07">
        <w:t xml:space="preserve"> </w:t>
      </w:r>
      <w:r w:rsidR="00A34B4D" w:rsidRPr="00486A07">
        <w:t>owner</w:t>
      </w:r>
      <w:r w:rsidR="008816A4" w:rsidRPr="00486A07">
        <w:t>’s</w:t>
      </w:r>
      <w:r w:rsidR="00A34B4D" w:rsidRPr="00486A07">
        <w:t xml:space="preserve"> last name and address,</w:t>
      </w:r>
      <w:r w:rsidRPr="00486A07">
        <w:t xml:space="preserve"> </w:t>
      </w:r>
      <w:r w:rsidR="0006201E" w:rsidRPr="00486A07">
        <w:t xml:space="preserve">and the dog’s name </w:t>
      </w:r>
      <w:r w:rsidRPr="00486A07">
        <w:t>will be</w:t>
      </w:r>
      <w:r w:rsidR="003B4A45" w:rsidRPr="00486A07">
        <w:t xml:space="preserve"> used </w:t>
      </w:r>
      <w:r w:rsidR="00434087" w:rsidRPr="00486A07">
        <w:t>for study purposes and only authorized staff from CDC and PRDH will have access to this information.</w:t>
      </w:r>
      <w:r w:rsidR="00DD234A" w:rsidRPr="00486A07">
        <w:t xml:space="preserve"> </w:t>
      </w:r>
      <w:r w:rsidR="001A5D00" w:rsidRPr="00486A07">
        <w:t xml:space="preserve">The database and scanned copies of </w:t>
      </w:r>
      <w:r w:rsidR="008816A4" w:rsidRPr="00486A07">
        <w:t>completed forms will be stored i</w:t>
      </w:r>
      <w:r w:rsidR="00F1488B" w:rsidRPr="00486A07">
        <w:t>n a secure CDC server. H</w:t>
      </w:r>
      <w:r w:rsidR="001A5D00" w:rsidRPr="00486A07">
        <w:t xml:space="preserve">ardcopy forms will be stored in a locked cabinet in a </w:t>
      </w:r>
      <w:r w:rsidR="00F1488B" w:rsidRPr="00486A07">
        <w:t xml:space="preserve">secure </w:t>
      </w:r>
      <w:r w:rsidR="001A5D00" w:rsidRPr="00486A07">
        <w:t>CDC facility with controlled access.</w:t>
      </w:r>
    </w:p>
    <w:p w14:paraId="4A54675C" w14:textId="77777777" w:rsidR="00A34B4D" w:rsidRPr="00486A07" w:rsidRDefault="00A34B4D" w:rsidP="00FC0EAF">
      <w:pPr>
        <w:autoSpaceDE w:val="0"/>
        <w:autoSpaceDN w:val="0"/>
        <w:adjustRightInd w:val="0"/>
      </w:pPr>
    </w:p>
    <w:p w14:paraId="03F06909" w14:textId="364751E2" w:rsidR="006E3B52" w:rsidRPr="00486A07" w:rsidRDefault="006E3B52" w:rsidP="00361F53">
      <w:pPr>
        <w:outlineLvl w:val="0"/>
        <w:rPr>
          <w:b/>
        </w:rPr>
      </w:pPr>
      <w:bookmarkStart w:id="36" w:name="_Toc462300169"/>
      <w:r w:rsidRPr="00486A07">
        <w:rPr>
          <w:b/>
        </w:rPr>
        <w:t xml:space="preserve">11. </w:t>
      </w:r>
      <w:r w:rsidR="005A4007" w:rsidRPr="00486A07">
        <w:rPr>
          <w:b/>
        </w:rPr>
        <w:t xml:space="preserve">Institutional Review Board (IRB) and </w:t>
      </w:r>
      <w:r w:rsidRPr="00486A07">
        <w:rPr>
          <w:b/>
        </w:rPr>
        <w:t>Justification for Sensitive Questions</w:t>
      </w:r>
      <w:bookmarkEnd w:id="36"/>
    </w:p>
    <w:p w14:paraId="38FA2BE7" w14:textId="77777777" w:rsidR="006E3B52" w:rsidRPr="00486A07" w:rsidRDefault="006E3B52" w:rsidP="00361F53"/>
    <w:p w14:paraId="493D0CF3" w14:textId="44771536" w:rsidR="00405BC7" w:rsidRPr="00486A07" w:rsidRDefault="00405BC7" w:rsidP="00361F53">
      <w:pPr>
        <w:rPr>
          <w:color w:val="000000"/>
          <w:u w:val="single"/>
        </w:rPr>
      </w:pPr>
      <w:r w:rsidRPr="00486A07">
        <w:rPr>
          <w:color w:val="000000"/>
          <w:u w:val="single"/>
        </w:rPr>
        <w:t>Institutional Review Board (IRB)</w:t>
      </w:r>
    </w:p>
    <w:p w14:paraId="7EB1EE02" w14:textId="2FB65DC8" w:rsidR="00B813BC" w:rsidRPr="00486A07" w:rsidRDefault="004A22A0" w:rsidP="00405BC7">
      <w:pPr>
        <w:rPr>
          <w:color w:val="000000"/>
        </w:rPr>
      </w:pPr>
      <w:r w:rsidRPr="00486A07">
        <w:rPr>
          <w:color w:val="000000"/>
        </w:rPr>
        <w:t xml:space="preserve">This study does </w:t>
      </w:r>
      <w:r w:rsidR="003C68C5" w:rsidRPr="00486A07">
        <w:rPr>
          <w:color w:val="000000"/>
        </w:rPr>
        <w:t>not conduct research on human subjects. A</w:t>
      </w:r>
      <w:r w:rsidR="00B813BC" w:rsidRPr="00486A07">
        <w:rPr>
          <w:color w:val="000000"/>
        </w:rPr>
        <w:t>s such, IRB appr</w:t>
      </w:r>
      <w:r w:rsidR="003C68C5" w:rsidRPr="00486A07">
        <w:rPr>
          <w:color w:val="000000"/>
        </w:rPr>
        <w:t xml:space="preserve">oval was not sought. Instead, </w:t>
      </w:r>
      <w:r w:rsidR="00A36B7F" w:rsidRPr="00486A07">
        <w:rPr>
          <w:color w:val="000000"/>
        </w:rPr>
        <w:t xml:space="preserve">a determination </w:t>
      </w:r>
      <w:r w:rsidR="009A1438" w:rsidRPr="00486A07">
        <w:rPr>
          <w:color w:val="000000"/>
        </w:rPr>
        <w:t>for</w:t>
      </w:r>
      <w:r w:rsidR="00393AFF" w:rsidRPr="00486A07">
        <w:rPr>
          <w:color w:val="000000"/>
        </w:rPr>
        <w:t xml:space="preserve"> IACUC prot</w:t>
      </w:r>
      <w:r w:rsidR="00A36B7F" w:rsidRPr="00486A07">
        <w:rPr>
          <w:color w:val="000000"/>
        </w:rPr>
        <w:t>ocol review was pursued with</w:t>
      </w:r>
      <w:r w:rsidR="00393AFF" w:rsidRPr="00486A07">
        <w:rPr>
          <w:color w:val="000000"/>
        </w:rPr>
        <w:t xml:space="preserve"> CDC Atlanta IACUC contacts – Kristin Mayfield (</w:t>
      </w:r>
      <w:hyperlink r:id="rId15" w:history="1">
        <w:r w:rsidR="00393AFF" w:rsidRPr="00486A07">
          <w:rPr>
            <w:rStyle w:val="Hyperlink"/>
          </w:rPr>
          <w:t>erv@cdc.gov</w:t>
        </w:r>
      </w:hyperlink>
      <w:r w:rsidR="00393AFF" w:rsidRPr="00486A07">
        <w:rPr>
          <w:color w:val="000000"/>
        </w:rPr>
        <w:t>) and Linda Capewell Pimentel (</w:t>
      </w:r>
      <w:hyperlink r:id="rId16" w:history="1">
        <w:r w:rsidR="00393AFF" w:rsidRPr="00486A07">
          <w:rPr>
            <w:rStyle w:val="Hyperlink"/>
          </w:rPr>
          <w:t>gsu2@cdc.gov</w:t>
        </w:r>
      </w:hyperlink>
      <w:r w:rsidR="00393AFF" w:rsidRPr="00486A07">
        <w:rPr>
          <w:color w:val="000000"/>
        </w:rPr>
        <w:t>). In February 2016, this study was determined to be exempt from IACUC review</w:t>
      </w:r>
      <w:r w:rsidR="00D45820" w:rsidRPr="00486A07">
        <w:rPr>
          <w:color w:val="000000"/>
        </w:rPr>
        <w:t xml:space="preserve"> (Attachment G)</w:t>
      </w:r>
      <w:r w:rsidR="00393AFF" w:rsidRPr="00486A07">
        <w:rPr>
          <w:color w:val="000000"/>
        </w:rPr>
        <w:t>.</w:t>
      </w:r>
    </w:p>
    <w:p w14:paraId="38A8F2CB" w14:textId="77777777" w:rsidR="00405BC7" w:rsidRPr="00486A07" w:rsidRDefault="00405BC7" w:rsidP="00361F53">
      <w:pPr>
        <w:rPr>
          <w:color w:val="000000"/>
        </w:rPr>
      </w:pPr>
    </w:p>
    <w:p w14:paraId="0C5AE36F" w14:textId="27FD2BCF" w:rsidR="00405BC7" w:rsidRPr="00486A07" w:rsidRDefault="00405BC7" w:rsidP="00361F53">
      <w:pPr>
        <w:rPr>
          <w:color w:val="000000"/>
        </w:rPr>
      </w:pPr>
      <w:r w:rsidRPr="00486A07">
        <w:rPr>
          <w:color w:val="000000"/>
          <w:u w:val="single"/>
        </w:rPr>
        <w:t>Justification for Sensitive Questions</w:t>
      </w:r>
    </w:p>
    <w:p w14:paraId="6CED4C61" w14:textId="77777777" w:rsidR="00A36B7F" w:rsidRPr="00486A07" w:rsidRDefault="00FC425F" w:rsidP="00FC425F">
      <w:pPr>
        <w:rPr>
          <w:color w:val="000000"/>
        </w:rPr>
      </w:pPr>
      <w:r w:rsidRPr="00486A07">
        <w:rPr>
          <w:color w:val="000000"/>
        </w:rPr>
        <w:t>All questions pertain to the dog and not the o</w:t>
      </w:r>
      <w:r w:rsidR="005C6D6B" w:rsidRPr="00486A07">
        <w:rPr>
          <w:color w:val="000000"/>
        </w:rPr>
        <w:t>wner with the exception of the o</w:t>
      </w:r>
      <w:r w:rsidRPr="00486A07">
        <w:rPr>
          <w:color w:val="000000"/>
        </w:rPr>
        <w:t xml:space="preserve">wner’s last name and address. </w:t>
      </w:r>
      <w:r w:rsidR="00A36B7F" w:rsidRPr="00486A07">
        <w:rPr>
          <w:color w:val="000000"/>
        </w:rPr>
        <w:t>No sensitive questions are asked in the data collection tools.</w:t>
      </w:r>
    </w:p>
    <w:p w14:paraId="291AE63E" w14:textId="66981734" w:rsidR="00FC425F" w:rsidRPr="00486A07" w:rsidRDefault="00A36B7F" w:rsidP="00FC425F">
      <w:pPr>
        <w:rPr>
          <w:color w:val="000000"/>
        </w:rPr>
      </w:pPr>
      <w:r w:rsidRPr="00486A07">
        <w:rPr>
          <w:color w:val="000000"/>
        </w:rPr>
        <w:t xml:space="preserve"> </w:t>
      </w:r>
    </w:p>
    <w:p w14:paraId="13E1D80E" w14:textId="61710C79" w:rsidR="007C1142" w:rsidRPr="00486A07" w:rsidRDefault="007C1142" w:rsidP="00361F53">
      <w:pPr>
        <w:outlineLvl w:val="0"/>
        <w:rPr>
          <w:b/>
          <w:bCs/>
          <w:iCs/>
          <w:color w:val="000000"/>
        </w:rPr>
      </w:pPr>
      <w:bookmarkStart w:id="37" w:name="_Toc462300170"/>
      <w:r w:rsidRPr="00486A07">
        <w:rPr>
          <w:b/>
          <w:bCs/>
          <w:iCs/>
          <w:color w:val="000000"/>
        </w:rPr>
        <w:t>12. Estimates of Annualized Burden Hours and Costs</w:t>
      </w:r>
      <w:bookmarkEnd w:id="37"/>
    </w:p>
    <w:p w14:paraId="5A2A5A71" w14:textId="77777777" w:rsidR="007C1142" w:rsidRPr="00486A07" w:rsidRDefault="007C1142" w:rsidP="00361F53">
      <w:pPr>
        <w:rPr>
          <w:color w:val="000000"/>
        </w:rPr>
      </w:pPr>
    </w:p>
    <w:p w14:paraId="0CB48598" w14:textId="1A2C19DF" w:rsidR="00D54662" w:rsidRPr="00486A07" w:rsidRDefault="007C1142" w:rsidP="001D0AAF">
      <w:pPr>
        <w:pStyle w:val="ListParagraph"/>
        <w:numPr>
          <w:ilvl w:val="0"/>
          <w:numId w:val="1"/>
        </w:numPr>
      </w:pPr>
      <w:r w:rsidRPr="00486A07">
        <w:rPr>
          <w:bCs/>
          <w:iCs/>
          <w:color w:val="000000"/>
        </w:rPr>
        <w:t>The</w:t>
      </w:r>
      <w:r w:rsidR="00524E49" w:rsidRPr="00486A07">
        <w:rPr>
          <w:bCs/>
          <w:iCs/>
          <w:color w:val="000000"/>
        </w:rPr>
        <w:t xml:space="preserve"> </w:t>
      </w:r>
      <w:r w:rsidRPr="00486A07">
        <w:rPr>
          <w:bCs/>
          <w:iCs/>
          <w:color w:val="000000"/>
        </w:rPr>
        <w:t>burden</w:t>
      </w:r>
      <w:r w:rsidR="00236646" w:rsidRPr="00486A07">
        <w:rPr>
          <w:bCs/>
          <w:iCs/>
          <w:color w:val="000000"/>
        </w:rPr>
        <w:t xml:space="preserve"> </w:t>
      </w:r>
      <w:r w:rsidR="00524E49" w:rsidRPr="00486A07">
        <w:rPr>
          <w:bCs/>
          <w:iCs/>
          <w:color w:val="000000"/>
        </w:rPr>
        <w:t xml:space="preserve">to </w:t>
      </w:r>
      <w:r w:rsidR="00D504D4" w:rsidRPr="00486A07">
        <w:rPr>
          <w:bCs/>
          <w:iCs/>
          <w:color w:val="000000"/>
        </w:rPr>
        <w:t>respondents</w:t>
      </w:r>
      <w:r w:rsidR="00524E49" w:rsidRPr="00486A07">
        <w:rPr>
          <w:bCs/>
          <w:iCs/>
          <w:color w:val="000000"/>
        </w:rPr>
        <w:t xml:space="preserve"> </w:t>
      </w:r>
      <w:r w:rsidR="00F85F4D" w:rsidRPr="00486A07">
        <w:rPr>
          <w:bCs/>
          <w:iCs/>
          <w:color w:val="000000"/>
        </w:rPr>
        <w:t xml:space="preserve">depending on the </w:t>
      </w:r>
      <w:r w:rsidR="00A43F58" w:rsidRPr="00486A07">
        <w:rPr>
          <w:bCs/>
          <w:iCs/>
          <w:color w:val="000000"/>
        </w:rPr>
        <w:t xml:space="preserve">type of </w:t>
      </w:r>
      <w:r w:rsidR="00D504D4" w:rsidRPr="00486A07">
        <w:rPr>
          <w:bCs/>
          <w:iCs/>
          <w:color w:val="000000"/>
        </w:rPr>
        <w:t xml:space="preserve">respondent and </w:t>
      </w:r>
      <w:r w:rsidR="00A43F58" w:rsidRPr="00486A07">
        <w:rPr>
          <w:bCs/>
          <w:iCs/>
          <w:color w:val="000000"/>
        </w:rPr>
        <w:t xml:space="preserve">form </w:t>
      </w:r>
      <w:r w:rsidR="0070208A" w:rsidRPr="00486A07">
        <w:rPr>
          <w:bCs/>
          <w:iCs/>
          <w:color w:val="000000"/>
        </w:rPr>
        <w:t>is</w:t>
      </w:r>
      <w:r w:rsidR="006417C9" w:rsidRPr="00486A07">
        <w:rPr>
          <w:bCs/>
          <w:iCs/>
          <w:color w:val="000000"/>
        </w:rPr>
        <w:t xml:space="preserve"> estimated to be</w:t>
      </w:r>
      <w:r w:rsidR="00AE2DC9" w:rsidRPr="00486A07">
        <w:rPr>
          <w:bCs/>
          <w:iCs/>
          <w:color w:val="000000"/>
        </w:rPr>
        <w:t xml:space="preserve"> 1-1</w:t>
      </w:r>
      <w:r w:rsidR="00A23F34" w:rsidRPr="00486A07">
        <w:rPr>
          <w:bCs/>
          <w:iCs/>
          <w:color w:val="000000"/>
        </w:rPr>
        <w:t>0</w:t>
      </w:r>
      <w:r w:rsidR="00F85F4D" w:rsidRPr="00486A07">
        <w:rPr>
          <w:bCs/>
          <w:iCs/>
          <w:color w:val="000000"/>
        </w:rPr>
        <w:t xml:space="preserve"> minutes.</w:t>
      </w:r>
      <w:r w:rsidR="00E4175A" w:rsidRPr="00486A07">
        <w:rPr>
          <w:bCs/>
          <w:iCs/>
          <w:color w:val="000000"/>
        </w:rPr>
        <w:t xml:space="preserve"> </w:t>
      </w:r>
      <w:r w:rsidR="0070208A" w:rsidRPr="00486A07">
        <w:rPr>
          <w:bCs/>
          <w:iCs/>
          <w:color w:val="000000"/>
        </w:rPr>
        <w:t xml:space="preserve"> </w:t>
      </w:r>
      <w:r w:rsidR="00924B9B" w:rsidRPr="00486A07">
        <w:t xml:space="preserve">There is little known regarding the prevalence of leptospirosis in dogs in Puerto Rico, and therefore a sample size of </w:t>
      </w:r>
      <w:r w:rsidR="00684EE9" w:rsidRPr="00486A07">
        <w:t xml:space="preserve">at least </w:t>
      </w:r>
      <w:r w:rsidR="00924B9B" w:rsidRPr="00486A07">
        <w:t xml:space="preserve">385 dogs was determined based on a population estimate of 150,000-300,000 dogs by the Humane Society of Puerto Rico (unpublished data), a 95% confidence level with a 5% margin of error, and a prevalence of 50% which is the estimated prevalence of leptospirosis in dogs giving the largest sample size.  </w:t>
      </w:r>
    </w:p>
    <w:p w14:paraId="3941B8BD" w14:textId="77777777" w:rsidR="00D54662" w:rsidRPr="00486A07" w:rsidRDefault="00D54662" w:rsidP="00D54662">
      <w:pPr>
        <w:pStyle w:val="ListParagraph"/>
        <w:ind w:left="360"/>
      </w:pPr>
    </w:p>
    <w:p w14:paraId="2881C06A" w14:textId="77A97186" w:rsidR="00D504D4" w:rsidRPr="00486A07" w:rsidRDefault="005E55C9">
      <w:pPr>
        <w:pStyle w:val="ListParagraph"/>
        <w:ind w:left="360"/>
        <w:rPr>
          <w:bCs/>
          <w:iCs/>
          <w:color w:val="000000"/>
        </w:rPr>
      </w:pPr>
      <w:r w:rsidRPr="00486A07">
        <w:rPr>
          <w:bCs/>
          <w:iCs/>
          <w:color w:val="000000"/>
        </w:rPr>
        <w:t xml:space="preserve">In Table 12-A below, the total annualized burden for the information collection is summarized by </w:t>
      </w:r>
      <w:r w:rsidR="0068481E" w:rsidRPr="00486A07">
        <w:rPr>
          <w:bCs/>
          <w:iCs/>
          <w:color w:val="000000"/>
        </w:rPr>
        <w:t>type of respondent and form</w:t>
      </w:r>
      <w:r w:rsidRPr="00486A07">
        <w:rPr>
          <w:bCs/>
          <w:iCs/>
          <w:color w:val="000000"/>
        </w:rPr>
        <w:t xml:space="preserve">. </w:t>
      </w:r>
      <w:r w:rsidR="00A43F58" w:rsidRPr="00486A07">
        <w:rPr>
          <w:bCs/>
          <w:iCs/>
          <w:color w:val="000000"/>
        </w:rPr>
        <w:t>The enrollment questionnaire is completed once in the beginning of the study while the l</w:t>
      </w:r>
      <w:r w:rsidR="00200B80" w:rsidRPr="00486A07">
        <w:rPr>
          <w:bCs/>
          <w:iCs/>
          <w:color w:val="000000"/>
        </w:rPr>
        <w:t>og sheet and case questionnaire</w:t>
      </w:r>
      <w:r w:rsidR="00A43F58" w:rsidRPr="00486A07">
        <w:rPr>
          <w:bCs/>
          <w:iCs/>
          <w:color w:val="000000"/>
        </w:rPr>
        <w:t xml:space="preserve"> will be completed for each enrolled suspect case</w:t>
      </w:r>
      <w:r w:rsidR="00AB368D" w:rsidRPr="00486A07">
        <w:rPr>
          <w:bCs/>
          <w:iCs/>
          <w:color w:val="000000"/>
        </w:rPr>
        <w:t xml:space="preserve">. The number of suspect cases </w:t>
      </w:r>
      <w:r w:rsidR="0068481E" w:rsidRPr="00486A07">
        <w:rPr>
          <w:bCs/>
          <w:iCs/>
          <w:color w:val="000000"/>
        </w:rPr>
        <w:t>can vary from 0 to 2 cases per month depending on the location of the clinic/shelter</w:t>
      </w:r>
      <w:r w:rsidR="00A43F58" w:rsidRPr="00486A07">
        <w:rPr>
          <w:bCs/>
          <w:iCs/>
          <w:color w:val="000000"/>
        </w:rPr>
        <w:t xml:space="preserve"> based on anecdotal reports from local </w:t>
      </w:r>
      <w:r w:rsidR="00A43F58" w:rsidRPr="00486A07">
        <w:rPr>
          <w:bCs/>
          <w:iCs/>
          <w:color w:val="000000"/>
        </w:rPr>
        <w:lastRenderedPageBreak/>
        <w:t xml:space="preserve">veterinarians. </w:t>
      </w:r>
      <w:r w:rsidR="0068481E" w:rsidRPr="00486A07">
        <w:rPr>
          <w:bCs/>
          <w:iCs/>
          <w:color w:val="000000"/>
        </w:rPr>
        <w:t xml:space="preserve">Taking the highest possible response per month, </w:t>
      </w:r>
      <w:r w:rsidR="00A43F58" w:rsidRPr="00486A07">
        <w:rPr>
          <w:bCs/>
          <w:iCs/>
          <w:color w:val="000000"/>
        </w:rPr>
        <w:t>the number of responses per form for the log sheet and case questionnaire is calculated by multiplying 2 cases</w:t>
      </w:r>
      <w:r w:rsidR="006417C9" w:rsidRPr="00486A07">
        <w:rPr>
          <w:bCs/>
          <w:iCs/>
          <w:color w:val="000000"/>
        </w:rPr>
        <w:t>/month with 12 months giving</w:t>
      </w:r>
      <w:r w:rsidR="00A43F58" w:rsidRPr="00486A07">
        <w:rPr>
          <w:bCs/>
          <w:iCs/>
          <w:color w:val="000000"/>
        </w:rPr>
        <w:t xml:space="preserve"> a total of 24 responses</w:t>
      </w:r>
      <w:r w:rsidR="005478E7" w:rsidRPr="00486A07">
        <w:rPr>
          <w:bCs/>
          <w:iCs/>
          <w:color w:val="000000"/>
        </w:rPr>
        <w:t xml:space="preserve"> per form</w:t>
      </w:r>
      <w:r w:rsidR="00C36E13" w:rsidRPr="00486A07">
        <w:rPr>
          <w:bCs/>
          <w:iCs/>
          <w:color w:val="000000"/>
        </w:rPr>
        <w:t xml:space="preserve"> for each </w:t>
      </w:r>
      <w:r w:rsidR="0068481E" w:rsidRPr="00486A07">
        <w:rPr>
          <w:bCs/>
          <w:iCs/>
          <w:color w:val="000000"/>
        </w:rPr>
        <w:t>veterinarian</w:t>
      </w:r>
      <w:r w:rsidR="00C36E13" w:rsidRPr="00486A07">
        <w:rPr>
          <w:bCs/>
          <w:iCs/>
          <w:color w:val="000000"/>
        </w:rPr>
        <w:t xml:space="preserve">. </w:t>
      </w:r>
      <w:r w:rsidR="00A52513" w:rsidRPr="00486A07">
        <w:rPr>
          <w:bCs/>
          <w:iCs/>
          <w:color w:val="000000"/>
        </w:rPr>
        <w:t xml:space="preserve">The total number of veterinarians is not expected to exceed 26 (the maximum number of </w:t>
      </w:r>
      <w:r w:rsidR="00EE6A81" w:rsidRPr="00486A07">
        <w:rPr>
          <w:bCs/>
          <w:iCs/>
          <w:color w:val="000000"/>
        </w:rPr>
        <w:t xml:space="preserve">participating </w:t>
      </w:r>
      <w:r w:rsidR="00A52513" w:rsidRPr="00486A07">
        <w:rPr>
          <w:bCs/>
          <w:iCs/>
          <w:color w:val="000000"/>
        </w:rPr>
        <w:t xml:space="preserve">sites). </w:t>
      </w:r>
    </w:p>
    <w:p w14:paraId="1865C539" w14:textId="77777777" w:rsidR="00D504D4" w:rsidRPr="00486A07" w:rsidRDefault="00D504D4">
      <w:pPr>
        <w:pStyle w:val="ListParagraph"/>
        <w:ind w:left="360"/>
        <w:rPr>
          <w:bCs/>
          <w:iCs/>
          <w:color w:val="000000"/>
        </w:rPr>
      </w:pPr>
    </w:p>
    <w:p w14:paraId="1DFE46EE" w14:textId="2CDF59A1" w:rsidR="00DD0E72" w:rsidRPr="00486A07" w:rsidRDefault="00D504D4" w:rsidP="009C5A35">
      <w:pPr>
        <w:pStyle w:val="ListParagraph"/>
        <w:ind w:left="360"/>
        <w:rPr>
          <w:color w:val="000000"/>
        </w:rPr>
      </w:pPr>
      <w:r w:rsidRPr="00486A07">
        <w:rPr>
          <w:bCs/>
          <w:iCs/>
          <w:color w:val="000000"/>
        </w:rPr>
        <w:t xml:space="preserve">A minimum of 385 responses from dog owners is needed based on sample size calculation. However, extra clinics were enrolled to ensure that the sample size is met in the event that some clinics withdraw from the study or if </w:t>
      </w:r>
      <w:r w:rsidR="00AB368D" w:rsidRPr="00486A07">
        <w:rPr>
          <w:bCs/>
          <w:iCs/>
          <w:color w:val="000000"/>
        </w:rPr>
        <w:t>fewer numbers of</w:t>
      </w:r>
      <w:r w:rsidRPr="00486A07">
        <w:rPr>
          <w:bCs/>
          <w:iCs/>
          <w:color w:val="000000"/>
        </w:rPr>
        <w:t xml:space="preserve"> suspect leptospirosis cases </w:t>
      </w:r>
      <w:r w:rsidR="00AB368D" w:rsidRPr="00486A07">
        <w:rPr>
          <w:bCs/>
          <w:iCs/>
          <w:color w:val="000000"/>
        </w:rPr>
        <w:t>are enrolled at the clinics. Given this, a maximum of 624 responses (26 clinics x 24 responses/clinic) is calculated for the burden to the general public (dog owners). Although it is unlikely the maximum number of responses will be reached, the total number of dog owners will not exceed 624.</w:t>
      </w:r>
      <w:r w:rsidR="00DD0E72" w:rsidRPr="00486A07">
        <w:rPr>
          <w:bCs/>
          <w:iCs/>
          <w:color w:val="000000"/>
        </w:rPr>
        <w:t xml:space="preserve"> </w:t>
      </w:r>
      <w:r w:rsidR="00C36E13" w:rsidRPr="00486A07">
        <w:rPr>
          <w:bCs/>
          <w:iCs/>
          <w:color w:val="000000"/>
        </w:rPr>
        <w:t>T</w:t>
      </w:r>
      <w:r w:rsidR="005E55C9" w:rsidRPr="00486A07">
        <w:rPr>
          <w:color w:val="000000"/>
        </w:rPr>
        <w:t xml:space="preserve">here are no costs to respondents except their time to participate in the research activities. </w:t>
      </w:r>
    </w:p>
    <w:p w14:paraId="2B28593F" w14:textId="77777777" w:rsidR="00DD0E72" w:rsidRPr="00486A07" w:rsidRDefault="00DD0E72" w:rsidP="009C5A35">
      <w:pPr>
        <w:pStyle w:val="ListParagraph"/>
        <w:ind w:left="360"/>
        <w:rPr>
          <w:color w:val="000000"/>
        </w:rPr>
      </w:pPr>
    </w:p>
    <w:p w14:paraId="260A7A9D" w14:textId="7B12428E" w:rsidR="005E55C9" w:rsidRPr="00486A07" w:rsidRDefault="005E55C9" w:rsidP="009C5A35">
      <w:pPr>
        <w:pStyle w:val="ListParagraph"/>
        <w:ind w:left="360"/>
        <w:rPr>
          <w:color w:val="000000"/>
        </w:rPr>
      </w:pPr>
      <w:r w:rsidRPr="00486A07">
        <w:rPr>
          <w:color w:val="000000"/>
        </w:rPr>
        <w:t xml:space="preserve">The total annualized burden to respondents is </w:t>
      </w:r>
      <w:r w:rsidR="007932B2" w:rsidRPr="00486A07">
        <w:rPr>
          <w:color w:val="000000"/>
        </w:rPr>
        <w:t>1</w:t>
      </w:r>
      <w:r w:rsidR="00F02A14" w:rsidRPr="00486A07">
        <w:rPr>
          <w:color w:val="000000"/>
        </w:rPr>
        <w:t>6</w:t>
      </w:r>
      <w:r w:rsidR="007932B2" w:rsidRPr="00486A07">
        <w:rPr>
          <w:color w:val="000000"/>
        </w:rPr>
        <w:t>8</w:t>
      </w:r>
      <w:r w:rsidRPr="00486A07">
        <w:rPr>
          <w:color w:val="000000"/>
        </w:rPr>
        <w:t xml:space="preserve"> hours.</w:t>
      </w:r>
    </w:p>
    <w:p w14:paraId="54CA1E0B" w14:textId="77777777" w:rsidR="005E55C9" w:rsidRPr="00486A07" w:rsidRDefault="005E55C9" w:rsidP="005E55C9">
      <w:pPr>
        <w:outlineLvl w:val="0"/>
        <w:rPr>
          <w:b/>
          <w:bCs/>
          <w:color w:val="000000"/>
        </w:rPr>
      </w:pPr>
    </w:p>
    <w:p w14:paraId="68EF7AF6" w14:textId="77777777" w:rsidR="005E55C9" w:rsidRPr="00486A07" w:rsidRDefault="005E55C9" w:rsidP="005E55C9">
      <w:pPr>
        <w:spacing w:after="120"/>
        <w:outlineLvl w:val="0"/>
        <w:rPr>
          <w:color w:val="000000"/>
        </w:rPr>
      </w:pPr>
      <w:bookmarkStart w:id="38" w:name="_Toc462300171"/>
      <w:r w:rsidRPr="00486A07">
        <w:rPr>
          <w:bCs/>
          <w:color w:val="000000"/>
        </w:rPr>
        <w:t>Table 12-A: Estimated Annualized Burden to Respondents</w:t>
      </w:r>
      <w:bookmarkEnd w:id="38"/>
    </w:p>
    <w:tbl>
      <w:tblPr>
        <w:tblStyle w:val="TableGrid"/>
        <w:tblW w:w="10001" w:type="dxa"/>
        <w:tblLayout w:type="fixed"/>
        <w:tblLook w:val="04A0" w:firstRow="1" w:lastRow="0" w:firstColumn="1" w:lastColumn="0" w:noHBand="0" w:noVBand="1"/>
      </w:tblPr>
      <w:tblGrid>
        <w:gridCol w:w="1906"/>
        <w:gridCol w:w="1906"/>
        <w:gridCol w:w="1604"/>
        <w:gridCol w:w="1451"/>
        <w:gridCol w:w="1530"/>
        <w:gridCol w:w="1604"/>
      </w:tblGrid>
      <w:tr w:rsidR="0068481E" w:rsidRPr="00486A07" w14:paraId="26F26F39" w14:textId="77777777" w:rsidTr="00C05051">
        <w:trPr>
          <w:trHeight w:val="1261"/>
          <w:tblHeader/>
        </w:trPr>
        <w:tc>
          <w:tcPr>
            <w:tcW w:w="1906" w:type="dxa"/>
            <w:vAlign w:val="center"/>
          </w:tcPr>
          <w:p w14:paraId="0A011B05" w14:textId="222FBCAB" w:rsidR="0068481E" w:rsidRPr="00486A07" w:rsidDel="00200B80" w:rsidRDefault="0068481E">
            <w:pPr>
              <w:spacing w:before="120" w:after="120"/>
              <w:jc w:val="center"/>
              <w:rPr>
                <w:b/>
                <w:color w:val="000000"/>
              </w:rPr>
            </w:pPr>
            <w:r w:rsidRPr="00486A07">
              <w:rPr>
                <w:b/>
                <w:color w:val="000000"/>
              </w:rPr>
              <w:t>Type or Respondent</w:t>
            </w:r>
          </w:p>
        </w:tc>
        <w:tc>
          <w:tcPr>
            <w:tcW w:w="1906" w:type="dxa"/>
            <w:vAlign w:val="center"/>
          </w:tcPr>
          <w:p w14:paraId="175CD7CD" w14:textId="67DC8CAE" w:rsidR="0068481E" w:rsidRPr="00486A07" w:rsidRDefault="0068481E">
            <w:pPr>
              <w:spacing w:before="120" w:after="120"/>
              <w:jc w:val="center"/>
            </w:pPr>
            <w:r w:rsidRPr="00486A07">
              <w:rPr>
                <w:b/>
                <w:color w:val="000000"/>
              </w:rPr>
              <w:t>Form Name</w:t>
            </w:r>
          </w:p>
        </w:tc>
        <w:tc>
          <w:tcPr>
            <w:tcW w:w="1604" w:type="dxa"/>
            <w:vAlign w:val="center"/>
          </w:tcPr>
          <w:p w14:paraId="5FCF878C" w14:textId="0EA23EA6" w:rsidR="0068481E" w:rsidRPr="00486A07" w:rsidRDefault="0068481E">
            <w:pPr>
              <w:spacing w:before="120" w:after="120"/>
              <w:jc w:val="center"/>
              <w:rPr>
                <w:b/>
                <w:color w:val="000000"/>
              </w:rPr>
            </w:pPr>
            <w:r w:rsidRPr="00486A07">
              <w:rPr>
                <w:b/>
                <w:color w:val="000000"/>
              </w:rPr>
              <w:t>No. of Respondents</w:t>
            </w:r>
          </w:p>
        </w:tc>
        <w:tc>
          <w:tcPr>
            <w:tcW w:w="1451" w:type="dxa"/>
            <w:vAlign w:val="center"/>
          </w:tcPr>
          <w:p w14:paraId="378FE8EA" w14:textId="082FCA72" w:rsidR="0068481E" w:rsidRPr="00486A07" w:rsidRDefault="0068481E">
            <w:pPr>
              <w:spacing w:before="120" w:after="120"/>
              <w:jc w:val="center"/>
              <w:rPr>
                <w:b/>
                <w:color w:val="000000"/>
              </w:rPr>
            </w:pPr>
            <w:r w:rsidRPr="00486A07">
              <w:rPr>
                <w:b/>
                <w:color w:val="000000"/>
              </w:rPr>
              <w:t>No. of Responses per Respondent</w:t>
            </w:r>
          </w:p>
        </w:tc>
        <w:tc>
          <w:tcPr>
            <w:tcW w:w="1530" w:type="dxa"/>
            <w:vAlign w:val="center"/>
          </w:tcPr>
          <w:p w14:paraId="26E737CB" w14:textId="0E01F0D0" w:rsidR="0068481E" w:rsidRPr="00486A07" w:rsidRDefault="0068481E" w:rsidP="00C05051">
            <w:pPr>
              <w:spacing w:before="120"/>
              <w:jc w:val="center"/>
              <w:rPr>
                <w:b/>
                <w:color w:val="000000"/>
              </w:rPr>
            </w:pPr>
            <w:r w:rsidRPr="00486A07">
              <w:rPr>
                <w:b/>
                <w:color w:val="000000"/>
              </w:rPr>
              <w:t>Avg. Burden per Response (in hours)</w:t>
            </w:r>
          </w:p>
        </w:tc>
        <w:tc>
          <w:tcPr>
            <w:tcW w:w="1604" w:type="dxa"/>
            <w:vAlign w:val="center"/>
          </w:tcPr>
          <w:p w14:paraId="08744311" w14:textId="7B8018ED" w:rsidR="0068481E" w:rsidRPr="00486A07" w:rsidRDefault="0068481E" w:rsidP="00EA7023">
            <w:pPr>
              <w:spacing w:before="120"/>
              <w:jc w:val="center"/>
              <w:rPr>
                <w:b/>
                <w:color w:val="000000"/>
              </w:rPr>
            </w:pPr>
            <w:r w:rsidRPr="00486A07">
              <w:rPr>
                <w:b/>
                <w:color w:val="000000"/>
              </w:rPr>
              <w:t>Total Burden</w:t>
            </w:r>
          </w:p>
          <w:p w14:paraId="2CF3FB0A" w14:textId="77777777" w:rsidR="0068481E" w:rsidRPr="00486A07" w:rsidRDefault="0068481E" w:rsidP="00EA7023">
            <w:pPr>
              <w:jc w:val="center"/>
              <w:rPr>
                <w:b/>
                <w:color w:val="000000"/>
              </w:rPr>
            </w:pPr>
            <w:r w:rsidRPr="00486A07">
              <w:rPr>
                <w:b/>
                <w:color w:val="000000"/>
              </w:rPr>
              <w:t>(in hours)</w:t>
            </w:r>
          </w:p>
        </w:tc>
      </w:tr>
      <w:tr w:rsidR="0068481E" w:rsidRPr="00486A07" w14:paraId="35222331" w14:textId="77777777" w:rsidTr="00C05051">
        <w:trPr>
          <w:trHeight w:val="974"/>
        </w:trPr>
        <w:tc>
          <w:tcPr>
            <w:tcW w:w="1906" w:type="dxa"/>
            <w:vMerge w:val="restart"/>
            <w:vAlign w:val="center"/>
          </w:tcPr>
          <w:p w14:paraId="41696B6F" w14:textId="687F0DE1" w:rsidR="0068481E" w:rsidRPr="00486A07" w:rsidRDefault="0068481E" w:rsidP="00C05051">
            <w:pPr>
              <w:spacing w:before="120" w:after="120"/>
              <w:jc w:val="center"/>
            </w:pPr>
            <w:r w:rsidRPr="00486A07">
              <w:t>Veterinarian</w:t>
            </w:r>
          </w:p>
        </w:tc>
        <w:tc>
          <w:tcPr>
            <w:tcW w:w="1906" w:type="dxa"/>
            <w:vAlign w:val="center"/>
          </w:tcPr>
          <w:p w14:paraId="7D98A3B9" w14:textId="67765360" w:rsidR="0068481E" w:rsidRPr="00486A07" w:rsidRDefault="0068481E" w:rsidP="0037070C">
            <w:pPr>
              <w:spacing w:before="120" w:after="120"/>
            </w:pPr>
            <w:r w:rsidRPr="00486A07">
              <w:t>Enrollment Questionnaire (Attachment C)</w:t>
            </w:r>
          </w:p>
        </w:tc>
        <w:tc>
          <w:tcPr>
            <w:tcW w:w="1604" w:type="dxa"/>
            <w:vAlign w:val="center"/>
          </w:tcPr>
          <w:p w14:paraId="63CDD9A1" w14:textId="77777777" w:rsidR="0068481E" w:rsidRPr="00486A07" w:rsidRDefault="0068481E" w:rsidP="0037070C">
            <w:pPr>
              <w:spacing w:before="120" w:after="120"/>
              <w:jc w:val="center"/>
            </w:pPr>
            <w:r w:rsidRPr="00486A07">
              <w:t>26</w:t>
            </w:r>
          </w:p>
        </w:tc>
        <w:tc>
          <w:tcPr>
            <w:tcW w:w="1451" w:type="dxa"/>
            <w:vAlign w:val="center"/>
          </w:tcPr>
          <w:p w14:paraId="6B22E534" w14:textId="77777777" w:rsidR="0068481E" w:rsidRPr="00486A07" w:rsidRDefault="0068481E" w:rsidP="0037070C">
            <w:pPr>
              <w:spacing w:before="120" w:after="120"/>
              <w:jc w:val="center"/>
            </w:pPr>
            <w:r w:rsidRPr="00486A07">
              <w:t>1</w:t>
            </w:r>
          </w:p>
        </w:tc>
        <w:tc>
          <w:tcPr>
            <w:tcW w:w="1530" w:type="dxa"/>
            <w:vAlign w:val="center"/>
          </w:tcPr>
          <w:p w14:paraId="34BFF56D" w14:textId="77777777" w:rsidR="0068481E" w:rsidRPr="00486A07" w:rsidRDefault="0068481E" w:rsidP="0037070C">
            <w:pPr>
              <w:spacing w:before="120" w:after="120"/>
              <w:jc w:val="center"/>
              <w:rPr>
                <w:color w:val="000000"/>
              </w:rPr>
            </w:pPr>
            <w:r w:rsidRPr="00486A07">
              <w:rPr>
                <w:color w:val="000000"/>
                <w:sz w:val="22"/>
                <w:szCs w:val="22"/>
              </w:rPr>
              <w:t>5/60</w:t>
            </w:r>
          </w:p>
        </w:tc>
        <w:tc>
          <w:tcPr>
            <w:tcW w:w="1604" w:type="dxa"/>
            <w:vAlign w:val="center"/>
          </w:tcPr>
          <w:p w14:paraId="4337220D" w14:textId="08CE0294" w:rsidR="0068481E" w:rsidRPr="00486A07" w:rsidRDefault="0068481E" w:rsidP="0037070C">
            <w:pPr>
              <w:spacing w:before="120" w:after="120"/>
              <w:jc w:val="center"/>
            </w:pPr>
            <w:r w:rsidRPr="00486A07">
              <w:t>2</w:t>
            </w:r>
          </w:p>
        </w:tc>
      </w:tr>
      <w:tr w:rsidR="0068481E" w:rsidRPr="00486A07" w14:paraId="6CA12A2D" w14:textId="77777777" w:rsidTr="0068481E">
        <w:trPr>
          <w:trHeight w:val="903"/>
        </w:trPr>
        <w:tc>
          <w:tcPr>
            <w:tcW w:w="1906" w:type="dxa"/>
            <w:vMerge/>
          </w:tcPr>
          <w:p w14:paraId="570F8D4B" w14:textId="77777777" w:rsidR="0068481E" w:rsidRPr="00486A07" w:rsidRDefault="0068481E" w:rsidP="0037070C">
            <w:pPr>
              <w:spacing w:before="120" w:after="120"/>
            </w:pPr>
          </w:p>
        </w:tc>
        <w:tc>
          <w:tcPr>
            <w:tcW w:w="1906" w:type="dxa"/>
            <w:vAlign w:val="center"/>
          </w:tcPr>
          <w:p w14:paraId="772C86DA" w14:textId="044B47D6" w:rsidR="0068481E" w:rsidRPr="00486A07" w:rsidRDefault="0068481E" w:rsidP="0037070C">
            <w:pPr>
              <w:spacing w:before="120" w:after="120"/>
            </w:pPr>
            <w:r w:rsidRPr="00486A07">
              <w:t>Log Sheet (Attachment D)</w:t>
            </w:r>
          </w:p>
        </w:tc>
        <w:tc>
          <w:tcPr>
            <w:tcW w:w="1604" w:type="dxa"/>
            <w:vAlign w:val="center"/>
          </w:tcPr>
          <w:p w14:paraId="023E634B" w14:textId="77777777" w:rsidR="0068481E" w:rsidRPr="00486A07" w:rsidRDefault="0068481E" w:rsidP="0037070C">
            <w:pPr>
              <w:spacing w:before="120" w:after="120"/>
              <w:jc w:val="center"/>
            </w:pPr>
            <w:r w:rsidRPr="00486A07">
              <w:t>26</w:t>
            </w:r>
          </w:p>
        </w:tc>
        <w:tc>
          <w:tcPr>
            <w:tcW w:w="1451" w:type="dxa"/>
            <w:vAlign w:val="center"/>
          </w:tcPr>
          <w:p w14:paraId="2E73DEBB" w14:textId="77777777" w:rsidR="0068481E" w:rsidRPr="00486A07" w:rsidRDefault="0068481E" w:rsidP="0037070C">
            <w:pPr>
              <w:spacing w:before="120" w:after="120"/>
              <w:jc w:val="center"/>
            </w:pPr>
            <w:r w:rsidRPr="00486A07">
              <w:t>24</w:t>
            </w:r>
          </w:p>
        </w:tc>
        <w:tc>
          <w:tcPr>
            <w:tcW w:w="1530" w:type="dxa"/>
            <w:vAlign w:val="center"/>
          </w:tcPr>
          <w:p w14:paraId="2E348567" w14:textId="77777777" w:rsidR="0068481E" w:rsidRPr="00486A07" w:rsidRDefault="0068481E" w:rsidP="0037070C">
            <w:pPr>
              <w:spacing w:before="120" w:after="120"/>
              <w:jc w:val="center"/>
              <w:rPr>
                <w:color w:val="000000"/>
                <w:sz w:val="22"/>
                <w:szCs w:val="22"/>
              </w:rPr>
            </w:pPr>
            <w:r w:rsidRPr="00486A07">
              <w:rPr>
                <w:color w:val="000000"/>
                <w:sz w:val="22"/>
                <w:szCs w:val="22"/>
              </w:rPr>
              <w:t>1/60</w:t>
            </w:r>
          </w:p>
        </w:tc>
        <w:tc>
          <w:tcPr>
            <w:tcW w:w="1604" w:type="dxa"/>
            <w:vAlign w:val="center"/>
          </w:tcPr>
          <w:p w14:paraId="2FEE8641" w14:textId="46235C10" w:rsidR="0068481E" w:rsidRPr="00486A07" w:rsidRDefault="0068481E" w:rsidP="007932B2">
            <w:pPr>
              <w:spacing w:before="120" w:after="120"/>
              <w:jc w:val="center"/>
            </w:pPr>
            <w:r w:rsidRPr="00486A07">
              <w:t>10</w:t>
            </w:r>
          </w:p>
        </w:tc>
      </w:tr>
      <w:tr w:rsidR="0068481E" w:rsidRPr="00486A07" w14:paraId="2452C30F" w14:textId="77777777" w:rsidTr="0068481E">
        <w:trPr>
          <w:trHeight w:val="947"/>
        </w:trPr>
        <w:tc>
          <w:tcPr>
            <w:tcW w:w="1906" w:type="dxa"/>
            <w:vMerge/>
          </w:tcPr>
          <w:p w14:paraId="1393FF1C" w14:textId="77777777" w:rsidR="0068481E" w:rsidRPr="00486A07" w:rsidRDefault="0068481E" w:rsidP="00A40133">
            <w:pPr>
              <w:spacing w:before="120" w:after="120"/>
            </w:pPr>
          </w:p>
        </w:tc>
        <w:tc>
          <w:tcPr>
            <w:tcW w:w="1906" w:type="dxa"/>
            <w:vAlign w:val="center"/>
          </w:tcPr>
          <w:p w14:paraId="7A2828E6" w14:textId="0AAC6B10" w:rsidR="0068481E" w:rsidRPr="00486A07" w:rsidRDefault="0068481E" w:rsidP="00A40133">
            <w:pPr>
              <w:spacing w:before="120" w:after="120"/>
            </w:pPr>
            <w:r w:rsidRPr="00486A07">
              <w:t xml:space="preserve">Case Questionnaire (Attachment E) </w:t>
            </w:r>
          </w:p>
        </w:tc>
        <w:tc>
          <w:tcPr>
            <w:tcW w:w="1604" w:type="dxa"/>
            <w:vAlign w:val="center"/>
          </w:tcPr>
          <w:p w14:paraId="71B5ECDF" w14:textId="77777777" w:rsidR="0068481E" w:rsidRPr="00486A07" w:rsidRDefault="0068481E" w:rsidP="0037070C">
            <w:pPr>
              <w:spacing w:before="120" w:after="120"/>
              <w:jc w:val="center"/>
            </w:pPr>
            <w:r w:rsidRPr="00486A07">
              <w:t>26</w:t>
            </w:r>
          </w:p>
        </w:tc>
        <w:tc>
          <w:tcPr>
            <w:tcW w:w="1451" w:type="dxa"/>
            <w:vAlign w:val="center"/>
          </w:tcPr>
          <w:p w14:paraId="6B4D27D0" w14:textId="77777777" w:rsidR="0068481E" w:rsidRPr="00486A07" w:rsidRDefault="0068481E" w:rsidP="0037070C">
            <w:pPr>
              <w:spacing w:before="120" w:after="120"/>
              <w:jc w:val="center"/>
            </w:pPr>
            <w:r w:rsidRPr="00486A07">
              <w:t>24</w:t>
            </w:r>
          </w:p>
        </w:tc>
        <w:tc>
          <w:tcPr>
            <w:tcW w:w="1530" w:type="dxa"/>
            <w:vAlign w:val="center"/>
          </w:tcPr>
          <w:p w14:paraId="09FD39B2" w14:textId="7C49333B" w:rsidR="0068481E" w:rsidRPr="00486A07" w:rsidRDefault="0068481E">
            <w:pPr>
              <w:spacing w:before="120" w:after="120"/>
              <w:jc w:val="center"/>
              <w:rPr>
                <w:color w:val="000000"/>
                <w:sz w:val="22"/>
                <w:szCs w:val="22"/>
              </w:rPr>
            </w:pPr>
            <w:r w:rsidRPr="00486A07">
              <w:rPr>
                <w:color w:val="000000"/>
                <w:sz w:val="22"/>
                <w:szCs w:val="22"/>
              </w:rPr>
              <w:t>10/60</w:t>
            </w:r>
          </w:p>
        </w:tc>
        <w:tc>
          <w:tcPr>
            <w:tcW w:w="1604" w:type="dxa"/>
            <w:vAlign w:val="center"/>
          </w:tcPr>
          <w:p w14:paraId="529B2121" w14:textId="1F3F5772" w:rsidR="0068481E" w:rsidRPr="00486A07" w:rsidRDefault="0068481E">
            <w:pPr>
              <w:spacing w:before="120" w:after="120"/>
              <w:jc w:val="center"/>
            </w:pPr>
            <w:r w:rsidRPr="00486A07">
              <w:t>104</w:t>
            </w:r>
          </w:p>
        </w:tc>
      </w:tr>
      <w:tr w:rsidR="0068481E" w:rsidRPr="00486A07" w14:paraId="67F87BC9" w14:textId="77777777" w:rsidTr="00C05051">
        <w:trPr>
          <w:trHeight w:val="947"/>
        </w:trPr>
        <w:tc>
          <w:tcPr>
            <w:tcW w:w="1906" w:type="dxa"/>
            <w:vAlign w:val="center"/>
          </w:tcPr>
          <w:p w14:paraId="03C46391" w14:textId="42B1C54E" w:rsidR="0068481E" w:rsidRPr="00486A07" w:rsidRDefault="0068481E" w:rsidP="00C05051">
            <w:pPr>
              <w:spacing w:before="120" w:after="120"/>
              <w:jc w:val="center"/>
            </w:pPr>
            <w:r w:rsidRPr="00486A07">
              <w:t>General Public (Dog owner)</w:t>
            </w:r>
          </w:p>
        </w:tc>
        <w:tc>
          <w:tcPr>
            <w:tcW w:w="1906" w:type="dxa"/>
            <w:vAlign w:val="center"/>
          </w:tcPr>
          <w:p w14:paraId="202C5498" w14:textId="64910560" w:rsidR="0068481E" w:rsidRPr="00486A07" w:rsidRDefault="0068481E">
            <w:pPr>
              <w:spacing w:before="120" w:after="120"/>
            </w:pPr>
            <w:r w:rsidRPr="00486A07">
              <w:t xml:space="preserve">Case Questionnaire (Attachment E) </w:t>
            </w:r>
          </w:p>
        </w:tc>
        <w:tc>
          <w:tcPr>
            <w:tcW w:w="1604" w:type="dxa"/>
            <w:vAlign w:val="center"/>
          </w:tcPr>
          <w:p w14:paraId="5FB6176B" w14:textId="5C0A7160" w:rsidR="0068481E" w:rsidRPr="00486A07" w:rsidRDefault="00F02A14">
            <w:pPr>
              <w:spacing w:before="120" w:after="120"/>
              <w:jc w:val="center"/>
            </w:pPr>
            <w:r w:rsidRPr="00486A07">
              <w:t>624</w:t>
            </w:r>
          </w:p>
        </w:tc>
        <w:tc>
          <w:tcPr>
            <w:tcW w:w="1451" w:type="dxa"/>
            <w:vAlign w:val="center"/>
          </w:tcPr>
          <w:p w14:paraId="67AD59A8" w14:textId="40DC1325" w:rsidR="0068481E" w:rsidRPr="00486A07" w:rsidRDefault="0068481E">
            <w:pPr>
              <w:spacing w:before="120" w:after="120"/>
              <w:jc w:val="center"/>
            </w:pPr>
            <w:r w:rsidRPr="00486A07">
              <w:t>1</w:t>
            </w:r>
          </w:p>
        </w:tc>
        <w:tc>
          <w:tcPr>
            <w:tcW w:w="1530" w:type="dxa"/>
            <w:vAlign w:val="center"/>
          </w:tcPr>
          <w:p w14:paraId="0055708E" w14:textId="55D73F2B" w:rsidR="0068481E" w:rsidRPr="00486A07" w:rsidRDefault="0068481E">
            <w:pPr>
              <w:spacing w:before="120" w:after="120"/>
              <w:jc w:val="center"/>
              <w:rPr>
                <w:color w:val="000000"/>
                <w:sz w:val="22"/>
                <w:szCs w:val="22"/>
              </w:rPr>
            </w:pPr>
            <w:r w:rsidRPr="00486A07">
              <w:rPr>
                <w:color w:val="000000"/>
                <w:sz w:val="22"/>
                <w:szCs w:val="22"/>
              </w:rPr>
              <w:t>5/60</w:t>
            </w:r>
          </w:p>
        </w:tc>
        <w:tc>
          <w:tcPr>
            <w:tcW w:w="1604" w:type="dxa"/>
            <w:vAlign w:val="center"/>
          </w:tcPr>
          <w:p w14:paraId="68CBA7FD" w14:textId="17AC5C39" w:rsidR="0068481E" w:rsidRPr="00486A07" w:rsidRDefault="00F02A14">
            <w:pPr>
              <w:spacing w:before="120" w:after="120"/>
              <w:jc w:val="center"/>
            </w:pPr>
            <w:r w:rsidRPr="00486A07">
              <w:t>5</w:t>
            </w:r>
            <w:r w:rsidR="0068481E" w:rsidRPr="00486A07">
              <w:t>2</w:t>
            </w:r>
          </w:p>
        </w:tc>
      </w:tr>
      <w:tr w:rsidR="00EE6A81" w:rsidRPr="00486A07" w14:paraId="785F1CCB" w14:textId="77777777" w:rsidTr="00C05051">
        <w:trPr>
          <w:trHeight w:val="392"/>
        </w:trPr>
        <w:tc>
          <w:tcPr>
            <w:tcW w:w="1906" w:type="dxa"/>
            <w:vAlign w:val="center"/>
          </w:tcPr>
          <w:p w14:paraId="578EC506" w14:textId="36DF471C" w:rsidR="00EE6A81" w:rsidRPr="00486A07" w:rsidRDefault="00EE6A81" w:rsidP="00C05051">
            <w:pPr>
              <w:spacing w:before="120" w:after="120"/>
              <w:jc w:val="center"/>
              <w:rPr>
                <w:b/>
                <w:color w:val="000000"/>
                <w:sz w:val="22"/>
                <w:szCs w:val="22"/>
              </w:rPr>
            </w:pPr>
            <w:r w:rsidRPr="00486A07">
              <w:rPr>
                <w:b/>
                <w:color w:val="000000"/>
                <w:sz w:val="22"/>
                <w:szCs w:val="22"/>
              </w:rPr>
              <w:t>Total</w:t>
            </w:r>
          </w:p>
        </w:tc>
        <w:tc>
          <w:tcPr>
            <w:tcW w:w="6491" w:type="dxa"/>
            <w:gridSpan w:val="4"/>
            <w:vAlign w:val="center"/>
          </w:tcPr>
          <w:p w14:paraId="702445D6" w14:textId="4A5AC335" w:rsidR="00EE6A81" w:rsidRPr="00486A07" w:rsidRDefault="00EE6A81" w:rsidP="00EE6A81">
            <w:pPr>
              <w:spacing w:before="120" w:after="120"/>
              <w:rPr>
                <w:b/>
                <w:color w:val="000000"/>
                <w:sz w:val="22"/>
                <w:szCs w:val="22"/>
              </w:rPr>
            </w:pPr>
          </w:p>
        </w:tc>
        <w:tc>
          <w:tcPr>
            <w:tcW w:w="1604" w:type="dxa"/>
            <w:vAlign w:val="center"/>
          </w:tcPr>
          <w:p w14:paraId="3A981B61" w14:textId="6A980641" w:rsidR="00EE6A81" w:rsidRPr="00486A07" w:rsidRDefault="00EE6A81" w:rsidP="00EE6A81">
            <w:pPr>
              <w:spacing w:before="120" w:after="120"/>
              <w:jc w:val="center"/>
            </w:pPr>
            <w:r w:rsidRPr="00486A07">
              <w:t>1</w:t>
            </w:r>
            <w:r w:rsidR="00F02A14" w:rsidRPr="00486A07">
              <w:t>6</w:t>
            </w:r>
            <w:r w:rsidRPr="00486A07">
              <w:t>8</w:t>
            </w:r>
          </w:p>
        </w:tc>
      </w:tr>
    </w:tbl>
    <w:p w14:paraId="3FC018EA" w14:textId="77777777" w:rsidR="005E55C9" w:rsidRPr="00486A07" w:rsidRDefault="005E55C9" w:rsidP="008E3010">
      <w:pPr>
        <w:pStyle w:val="ListParagraph"/>
        <w:ind w:left="360"/>
        <w:rPr>
          <w:bCs/>
          <w:iCs/>
          <w:color w:val="000000"/>
        </w:rPr>
      </w:pPr>
    </w:p>
    <w:p w14:paraId="244C8D9F" w14:textId="280C3B29" w:rsidR="00EC71D7" w:rsidRPr="00486A07" w:rsidRDefault="00524E49" w:rsidP="00EA7023">
      <w:pPr>
        <w:pStyle w:val="ListParagraph"/>
        <w:numPr>
          <w:ilvl w:val="0"/>
          <w:numId w:val="1"/>
        </w:numPr>
      </w:pPr>
      <w:r w:rsidRPr="00486A07">
        <w:t xml:space="preserve">To estimate the cost to </w:t>
      </w:r>
      <w:r w:rsidR="00382EF1" w:rsidRPr="00486A07">
        <w:t>respondents</w:t>
      </w:r>
      <w:r w:rsidRPr="00486A07">
        <w:t>, we used the Mean Hourly Wage for Puerto Rico in 2015 obtained from the Bureau of Labor Statistics (</w:t>
      </w:r>
      <w:hyperlink r:id="rId17" w:history="1">
        <w:r w:rsidRPr="00486A07">
          <w:rPr>
            <w:rStyle w:val="Hyperlink"/>
          </w:rPr>
          <w:t>http://www.bls.gov/oes/current/oes_pr.htm</w:t>
        </w:r>
      </w:hyperlink>
      <w:r w:rsidRPr="00486A07">
        <w:t>)</w:t>
      </w:r>
      <w:r w:rsidR="00824FF7" w:rsidRPr="00486A07">
        <w:t xml:space="preserve">. Since either the veterinarian or their veterinary staff may complete the data collection tools, we took the average of their mean wages ($31.44 for veterinarians; and $17.20 for veterinary staff) to calculate the hourly wage rate of $24.32. </w:t>
      </w:r>
      <w:r w:rsidR="00EE6A81" w:rsidRPr="00486A07">
        <w:t xml:space="preserve">The mean hourly wage for the general public is $13.56.  </w:t>
      </w:r>
      <w:r w:rsidR="002856BC" w:rsidRPr="00486A07">
        <w:t xml:space="preserve">The total annual cost burden is calculated by multiplying the mean hourly </w:t>
      </w:r>
      <w:r w:rsidR="002856BC" w:rsidRPr="00486A07">
        <w:lastRenderedPageBreak/>
        <w:t xml:space="preserve">wage by the burden in hours. The total cost burden </w:t>
      </w:r>
      <w:r w:rsidR="00F76637" w:rsidRPr="00486A07">
        <w:t xml:space="preserve">to respondents </w:t>
      </w:r>
      <w:r w:rsidR="002856BC" w:rsidRPr="00486A07">
        <w:t xml:space="preserve">is estimated to be </w:t>
      </w:r>
      <w:r w:rsidR="00F02A14" w:rsidRPr="00486A07">
        <w:rPr>
          <w:bCs/>
          <w:color w:val="000000"/>
        </w:rPr>
        <w:t>$3,526.24</w:t>
      </w:r>
      <w:r w:rsidR="001D4F6E" w:rsidRPr="00486A07">
        <w:rPr>
          <w:bCs/>
          <w:color w:val="000000"/>
        </w:rPr>
        <w:t>.</w:t>
      </w:r>
    </w:p>
    <w:p w14:paraId="27E1E002" w14:textId="4BBE0DCF" w:rsidR="00EC71D7" w:rsidRPr="00486A07" w:rsidRDefault="00EC71D7" w:rsidP="00EC71D7">
      <w:pPr>
        <w:ind w:left="720"/>
        <w:rPr>
          <w:bCs/>
          <w:iCs/>
          <w:color w:val="000000"/>
        </w:rPr>
      </w:pPr>
    </w:p>
    <w:p w14:paraId="7B8EE3D4" w14:textId="7FA1A13D" w:rsidR="0078220F" w:rsidRPr="00486A07" w:rsidRDefault="00A26117" w:rsidP="00C87933">
      <w:pPr>
        <w:spacing w:after="200" w:line="276" w:lineRule="auto"/>
        <w:rPr>
          <w:bCs/>
          <w:color w:val="000000"/>
        </w:rPr>
      </w:pPr>
      <w:bookmarkStart w:id="39" w:name="_Toc295818079"/>
      <w:bookmarkStart w:id="40" w:name="_Toc295819852"/>
      <w:r w:rsidRPr="00486A07">
        <w:rPr>
          <w:bCs/>
          <w:color w:val="000000"/>
        </w:rPr>
        <w:t xml:space="preserve">Table </w:t>
      </w:r>
      <w:r w:rsidR="0078220F" w:rsidRPr="00486A07">
        <w:rPr>
          <w:bCs/>
          <w:color w:val="000000"/>
        </w:rPr>
        <w:t>12-B: Estimated Annualized Cost to Respondents</w:t>
      </w:r>
      <w:bookmarkEnd w:id="39"/>
      <w:bookmarkEnd w:id="40"/>
      <w:r w:rsidR="0078220F" w:rsidRPr="00486A07">
        <w:rPr>
          <w:bCs/>
          <w:color w:val="000000"/>
        </w:rPr>
        <w:t xml:space="preserve"> </w:t>
      </w:r>
    </w:p>
    <w:tbl>
      <w:tblPr>
        <w:tblStyle w:val="TableGrid"/>
        <w:tblpPr w:leftFromText="180" w:rightFromText="180" w:vertAnchor="text" w:tblpXSpec="center" w:tblpY="1"/>
        <w:tblOverlap w:val="never"/>
        <w:tblW w:w="9715" w:type="dxa"/>
        <w:jc w:val="center"/>
        <w:tblLook w:val="04A0" w:firstRow="1" w:lastRow="0" w:firstColumn="1" w:lastColumn="0" w:noHBand="0" w:noVBand="1"/>
      </w:tblPr>
      <w:tblGrid>
        <w:gridCol w:w="1705"/>
        <w:gridCol w:w="2160"/>
        <w:gridCol w:w="1530"/>
        <w:gridCol w:w="1640"/>
        <w:gridCol w:w="2680"/>
      </w:tblGrid>
      <w:tr w:rsidR="00267C6D" w:rsidRPr="00486A07" w14:paraId="0B71FFF1" w14:textId="77777777" w:rsidTr="002B09D6">
        <w:trPr>
          <w:trHeight w:hRule="exact" w:val="1080"/>
          <w:jc w:val="center"/>
        </w:trPr>
        <w:tc>
          <w:tcPr>
            <w:tcW w:w="1705" w:type="dxa"/>
            <w:vAlign w:val="center"/>
          </w:tcPr>
          <w:p w14:paraId="4EDA3AF2" w14:textId="36A7E06B" w:rsidR="00267C6D" w:rsidRPr="00486A07" w:rsidRDefault="00267C6D" w:rsidP="002B09D6">
            <w:pPr>
              <w:spacing w:after="200" w:line="276" w:lineRule="auto"/>
              <w:jc w:val="center"/>
              <w:rPr>
                <w:b/>
                <w:bCs/>
                <w:color w:val="000000"/>
              </w:rPr>
            </w:pPr>
            <w:r w:rsidRPr="00486A07">
              <w:rPr>
                <w:b/>
                <w:bCs/>
                <w:color w:val="000000"/>
              </w:rPr>
              <w:t>Type of respondents</w:t>
            </w:r>
          </w:p>
        </w:tc>
        <w:tc>
          <w:tcPr>
            <w:tcW w:w="2160" w:type="dxa"/>
            <w:vAlign w:val="center"/>
          </w:tcPr>
          <w:p w14:paraId="25144689" w14:textId="615932F9" w:rsidR="00267C6D" w:rsidRPr="00486A07" w:rsidRDefault="00267C6D" w:rsidP="002B09D6">
            <w:pPr>
              <w:spacing w:after="200" w:line="276" w:lineRule="auto"/>
              <w:jc w:val="center"/>
              <w:rPr>
                <w:b/>
                <w:bCs/>
                <w:color w:val="000000"/>
              </w:rPr>
            </w:pPr>
            <w:r w:rsidRPr="00486A07">
              <w:rPr>
                <w:b/>
                <w:bCs/>
                <w:color w:val="000000"/>
              </w:rPr>
              <w:t>Form Name</w:t>
            </w:r>
          </w:p>
        </w:tc>
        <w:tc>
          <w:tcPr>
            <w:tcW w:w="1530" w:type="dxa"/>
            <w:vAlign w:val="center"/>
          </w:tcPr>
          <w:p w14:paraId="54A5B270" w14:textId="55DA53CB" w:rsidR="00267C6D" w:rsidRPr="00486A07" w:rsidRDefault="00267C6D" w:rsidP="002B09D6">
            <w:pPr>
              <w:spacing w:before="120" w:after="200" w:line="276" w:lineRule="auto"/>
              <w:jc w:val="center"/>
              <w:rPr>
                <w:b/>
                <w:bCs/>
                <w:color w:val="000000"/>
              </w:rPr>
            </w:pPr>
            <w:r w:rsidRPr="00486A07">
              <w:rPr>
                <w:b/>
                <w:bCs/>
                <w:color w:val="000000"/>
              </w:rPr>
              <w:t>Total Burden Hours</w:t>
            </w:r>
          </w:p>
        </w:tc>
        <w:tc>
          <w:tcPr>
            <w:tcW w:w="1640" w:type="dxa"/>
            <w:vAlign w:val="center"/>
          </w:tcPr>
          <w:p w14:paraId="73BB5A3C" w14:textId="33CD7D25" w:rsidR="00267C6D" w:rsidRPr="00486A07" w:rsidRDefault="00267C6D" w:rsidP="002B09D6">
            <w:pPr>
              <w:spacing w:after="200" w:line="276" w:lineRule="auto"/>
              <w:jc w:val="center"/>
              <w:rPr>
                <w:b/>
                <w:bCs/>
                <w:color w:val="000000"/>
              </w:rPr>
            </w:pPr>
            <w:r w:rsidRPr="00486A07">
              <w:rPr>
                <w:b/>
                <w:bCs/>
                <w:color w:val="000000"/>
              </w:rPr>
              <w:t>Hourly Wage Rate</w:t>
            </w:r>
          </w:p>
        </w:tc>
        <w:tc>
          <w:tcPr>
            <w:tcW w:w="2680" w:type="dxa"/>
            <w:vAlign w:val="center"/>
          </w:tcPr>
          <w:p w14:paraId="7581B10C" w14:textId="6D46CB95" w:rsidR="00267C6D" w:rsidRPr="00486A07" w:rsidRDefault="00267C6D" w:rsidP="002B09D6">
            <w:pPr>
              <w:spacing w:after="200" w:line="276" w:lineRule="auto"/>
              <w:jc w:val="center"/>
              <w:rPr>
                <w:b/>
                <w:bCs/>
                <w:color w:val="000000"/>
              </w:rPr>
            </w:pPr>
            <w:r w:rsidRPr="00486A07">
              <w:rPr>
                <w:b/>
                <w:bCs/>
                <w:color w:val="000000"/>
              </w:rPr>
              <w:t>Total Respondent Costs</w:t>
            </w:r>
          </w:p>
        </w:tc>
      </w:tr>
      <w:tr w:rsidR="009D701B" w:rsidRPr="00486A07" w14:paraId="36A37185" w14:textId="77777777" w:rsidTr="002B09D6">
        <w:trPr>
          <w:trHeight w:hRule="exact" w:val="1000"/>
          <w:jc w:val="center"/>
        </w:trPr>
        <w:tc>
          <w:tcPr>
            <w:tcW w:w="1705" w:type="dxa"/>
            <w:vMerge w:val="restart"/>
            <w:vAlign w:val="center"/>
          </w:tcPr>
          <w:p w14:paraId="2F74674A" w14:textId="448273EB" w:rsidR="009D701B" w:rsidRPr="00486A07" w:rsidRDefault="009D701B" w:rsidP="009D701B">
            <w:pPr>
              <w:spacing w:after="200" w:line="276" w:lineRule="auto"/>
              <w:rPr>
                <w:bCs/>
                <w:color w:val="000000"/>
              </w:rPr>
            </w:pPr>
            <w:r w:rsidRPr="00486A07">
              <w:t>Veterinarians or Vet Staff</w:t>
            </w:r>
          </w:p>
        </w:tc>
        <w:tc>
          <w:tcPr>
            <w:tcW w:w="2160" w:type="dxa"/>
            <w:vAlign w:val="center"/>
          </w:tcPr>
          <w:p w14:paraId="1FAB5834" w14:textId="31FFD1E1" w:rsidR="009D701B" w:rsidRPr="00486A07" w:rsidRDefault="009D701B" w:rsidP="002B09D6">
            <w:pPr>
              <w:spacing w:after="200" w:line="276" w:lineRule="auto"/>
              <w:rPr>
                <w:bCs/>
                <w:color w:val="000000"/>
              </w:rPr>
            </w:pPr>
            <w:r w:rsidRPr="00486A07">
              <w:t>Enrollment Questionnaire (Attachment C)</w:t>
            </w:r>
          </w:p>
        </w:tc>
        <w:tc>
          <w:tcPr>
            <w:tcW w:w="1530" w:type="dxa"/>
            <w:vAlign w:val="center"/>
          </w:tcPr>
          <w:p w14:paraId="613A1564" w14:textId="520DB028" w:rsidR="009D701B" w:rsidRPr="00486A07" w:rsidRDefault="009D701B" w:rsidP="002B09D6">
            <w:pPr>
              <w:spacing w:after="200" w:line="276" w:lineRule="auto"/>
              <w:jc w:val="center"/>
              <w:rPr>
                <w:bCs/>
                <w:color w:val="000000"/>
              </w:rPr>
            </w:pPr>
            <w:r w:rsidRPr="00486A07">
              <w:rPr>
                <w:bCs/>
                <w:color w:val="000000"/>
              </w:rPr>
              <w:t>2</w:t>
            </w:r>
          </w:p>
        </w:tc>
        <w:tc>
          <w:tcPr>
            <w:tcW w:w="1640" w:type="dxa"/>
            <w:vAlign w:val="center"/>
          </w:tcPr>
          <w:p w14:paraId="0C5389C1" w14:textId="138B5FC2" w:rsidR="009D701B" w:rsidRPr="00486A07" w:rsidRDefault="009D701B" w:rsidP="002B09D6">
            <w:pPr>
              <w:spacing w:after="200" w:line="276" w:lineRule="auto"/>
              <w:jc w:val="center"/>
              <w:rPr>
                <w:bCs/>
                <w:color w:val="000000"/>
              </w:rPr>
            </w:pPr>
            <w:r w:rsidRPr="00486A07">
              <w:t>$24.32</w:t>
            </w:r>
          </w:p>
        </w:tc>
        <w:tc>
          <w:tcPr>
            <w:tcW w:w="2680" w:type="dxa"/>
            <w:vAlign w:val="center"/>
          </w:tcPr>
          <w:p w14:paraId="7BD85E37" w14:textId="722BDAF3" w:rsidR="009D701B" w:rsidRPr="00486A07" w:rsidRDefault="009D701B" w:rsidP="007932B2">
            <w:pPr>
              <w:spacing w:after="200" w:line="276" w:lineRule="auto"/>
              <w:jc w:val="center"/>
              <w:rPr>
                <w:bCs/>
                <w:color w:val="000000"/>
              </w:rPr>
            </w:pPr>
            <w:r w:rsidRPr="00486A07">
              <w:rPr>
                <w:bCs/>
                <w:color w:val="000000"/>
              </w:rPr>
              <w:t>$48.64</w:t>
            </w:r>
          </w:p>
        </w:tc>
      </w:tr>
      <w:tr w:rsidR="009D701B" w:rsidRPr="00486A07" w14:paraId="57D9C170" w14:textId="77777777" w:rsidTr="002B09D6">
        <w:trPr>
          <w:trHeight w:hRule="exact" w:val="720"/>
          <w:jc w:val="center"/>
        </w:trPr>
        <w:tc>
          <w:tcPr>
            <w:tcW w:w="1705" w:type="dxa"/>
            <w:vMerge/>
            <w:vAlign w:val="center"/>
          </w:tcPr>
          <w:p w14:paraId="6E7325AD" w14:textId="444F6FF5" w:rsidR="009D701B" w:rsidRPr="00486A07" w:rsidRDefault="009D701B" w:rsidP="00D504D4">
            <w:pPr>
              <w:spacing w:after="200" w:line="276" w:lineRule="auto"/>
            </w:pPr>
          </w:p>
        </w:tc>
        <w:tc>
          <w:tcPr>
            <w:tcW w:w="2160" w:type="dxa"/>
            <w:vAlign w:val="center"/>
          </w:tcPr>
          <w:p w14:paraId="52793FC7" w14:textId="6092A2A4" w:rsidR="009D701B" w:rsidRPr="00486A07" w:rsidRDefault="009D701B" w:rsidP="002B09D6">
            <w:pPr>
              <w:spacing w:after="200" w:line="276" w:lineRule="auto"/>
            </w:pPr>
            <w:r w:rsidRPr="00486A07">
              <w:t>Log Sheet (Attachment D)</w:t>
            </w:r>
          </w:p>
        </w:tc>
        <w:tc>
          <w:tcPr>
            <w:tcW w:w="1530" w:type="dxa"/>
            <w:vAlign w:val="center"/>
          </w:tcPr>
          <w:p w14:paraId="10909EB8" w14:textId="7B3A977F" w:rsidR="009D701B" w:rsidRPr="00486A07" w:rsidRDefault="009D701B" w:rsidP="007932B2">
            <w:pPr>
              <w:spacing w:after="200" w:line="276" w:lineRule="auto"/>
              <w:jc w:val="center"/>
              <w:rPr>
                <w:bCs/>
                <w:color w:val="000000"/>
              </w:rPr>
            </w:pPr>
            <w:r w:rsidRPr="00486A07">
              <w:rPr>
                <w:bCs/>
                <w:color w:val="000000"/>
              </w:rPr>
              <w:t>10</w:t>
            </w:r>
          </w:p>
        </w:tc>
        <w:tc>
          <w:tcPr>
            <w:tcW w:w="1640" w:type="dxa"/>
            <w:vAlign w:val="center"/>
          </w:tcPr>
          <w:p w14:paraId="1725C220" w14:textId="03ADEB54" w:rsidR="009D701B" w:rsidRPr="00486A07" w:rsidRDefault="009D701B" w:rsidP="002B09D6">
            <w:pPr>
              <w:spacing w:after="200" w:line="276" w:lineRule="auto"/>
              <w:jc w:val="center"/>
              <w:rPr>
                <w:bCs/>
                <w:color w:val="000000"/>
              </w:rPr>
            </w:pPr>
            <w:r w:rsidRPr="00486A07">
              <w:t>$24.32</w:t>
            </w:r>
          </w:p>
        </w:tc>
        <w:tc>
          <w:tcPr>
            <w:tcW w:w="2680" w:type="dxa"/>
            <w:vAlign w:val="center"/>
          </w:tcPr>
          <w:p w14:paraId="1E9511D4" w14:textId="63A84065" w:rsidR="009D701B" w:rsidRPr="00486A07" w:rsidRDefault="009D701B" w:rsidP="00C92820">
            <w:pPr>
              <w:spacing w:after="200" w:line="276" w:lineRule="auto"/>
              <w:jc w:val="center"/>
              <w:rPr>
                <w:bCs/>
                <w:color w:val="000000"/>
              </w:rPr>
            </w:pPr>
            <w:r w:rsidRPr="00486A07">
              <w:rPr>
                <w:bCs/>
                <w:color w:val="000000"/>
              </w:rPr>
              <w:t>$243.20</w:t>
            </w:r>
          </w:p>
        </w:tc>
      </w:tr>
      <w:tr w:rsidR="009D701B" w:rsidRPr="00486A07" w14:paraId="4ED83A0C" w14:textId="77777777" w:rsidTr="00C05051">
        <w:trPr>
          <w:trHeight w:hRule="exact" w:val="910"/>
          <w:jc w:val="center"/>
        </w:trPr>
        <w:tc>
          <w:tcPr>
            <w:tcW w:w="1705" w:type="dxa"/>
            <w:vMerge/>
            <w:vAlign w:val="center"/>
          </w:tcPr>
          <w:p w14:paraId="3746D9CD" w14:textId="798DBC91" w:rsidR="009D701B" w:rsidRPr="00486A07" w:rsidRDefault="009D701B" w:rsidP="002B09D6">
            <w:pPr>
              <w:spacing w:after="200" w:line="276" w:lineRule="auto"/>
              <w:rPr>
                <w:bCs/>
                <w:color w:val="000000"/>
              </w:rPr>
            </w:pPr>
          </w:p>
        </w:tc>
        <w:tc>
          <w:tcPr>
            <w:tcW w:w="2160" w:type="dxa"/>
            <w:vAlign w:val="center"/>
          </w:tcPr>
          <w:p w14:paraId="341E6930" w14:textId="22C07271" w:rsidR="009D701B" w:rsidRPr="00486A07" w:rsidRDefault="009D701B" w:rsidP="00EA7023">
            <w:pPr>
              <w:spacing w:after="120" w:line="276" w:lineRule="auto"/>
              <w:rPr>
                <w:bCs/>
                <w:color w:val="000000"/>
              </w:rPr>
            </w:pPr>
            <w:r w:rsidRPr="00486A07">
              <w:t xml:space="preserve">Case Questionnaire (Attachment E) </w:t>
            </w:r>
          </w:p>
        </w:tc>
        <w:tc>
          <w:tcPr>
            <w:tcW w:w="1530" w:type="dxa"/>
            <w:vAlign w:val="center"/>
          </w:tcPr>
          <w:p w14:paraId="206CDF3D" w14:textId="78465142" w:rsidR="009D701B" w:rsidRPr="00486A07" w:rsidRDefault="00EE6A81" w:rsidP="002B09D6">
            <w:pPr>
              <w:spacing w:after="200" w:line="276" w:lineRule="auto"/>
              <w:jc w:val="center"/>
              <w:rPr>
                <w:bCs/>
                <w:color w:val="000000"/>
              </w:rPr>
            </w:pPr>
            <w:r w:rsidRPr="00486A07">
              <w:t>104</w:t>
            </w:r>
          </w:p>
        </w:tc>
        <w:tc>
          <w:tcPr>
            <w:tcW w:w="1640" w:type="dxa"/>
            <w:vAlign w:val="center"/>
          </w:tcPr>
          <w:p w14:paraId="0BBCE2BB" w14:textId="554AA5AB" w:rsidR="009D701B" w:rsidRPr="00486A07" w:rsidRDefault="009D701B" w:rsidP="002B09D6">
            <w:pPr>
              <w:spacing w:after="200" w:line="276" w:lineRule="auto"/>
              <w:jc w:val="center"/>
              <w:rPr>
                <w:bCs/>
                <w:color w:val="000000"/>
              </w:rPr>
            </w:pPr>
            <w:r w:rsidRPr="00486A07">
              <w:t>$24.32</w:t>
            </w:r>
          </w:p>
        </w:tc>
        <w:tc>
          <w:tcPr>
            <w:tcW w:w="2680" w:type="dxa"/>
            <w:vAlign w:val="center"/>
          </w:tcPr>
          <w:p w14:paraId="6852E2EB" w14:textId="3CA8481D" w:rsidR="009D701B" w:rsidRPr="00486A07" w:rsidRDefault="00EE6A81" w:rsidP="002B09D6">
            <w:pPr>
              <w:spacing w:after="200" w:line="276" w:lineRule="auto"/>
              <w:jc w:val="center"/>
              <w:rPr>
                <w:bCs/>
                <w:color w:val="000000"/>
              </w:rPr>
            </w:pPr>
            <w:r w:rsidRPr="00486A07">
              <w:rPr>
                <w:bCs/>
                <w:color w:val="000000"/>
              </w:rPr>
              <w:t>$2,529.28</w:t>
            </w:r>
          </w:p>
        </w:tc>
      </w:tr>
      <w:tr w:rsidR="00EE6A81" w:rsidRPr="00486A07" w14:paraId="3DCE44E7" w14:textId="77777777" w:rsidTr="00EA7023">
        <w:trPr>
          <w:trHeight w:hRule="exact" w:val="910"/>
          <w:jc w:val="center"/>
        </w:trPr>
        <w:tc>
          <w:tcPr>
            <w:tcW w:w="1705" w:type="dxa"/>
            <w:vAlign w:val="center"/>
          </w:tcPr>
          <w:p w14:paraId="4A988E8F" w14:textId="2D361581" w:rsidR="00EE6A81" w:rsidRPr="00486A07" w:rsidRDefault="00EE6A81" w:rsidP="00EE6A81">
            <w:pPr>
              <w:spacing w:after="200" w:line="276" w:lineRule="auto"/>
              <w:rPr>
                <w:bCs/>
                <w:color w:val="000000"/>
              </w:rPr>
            </w:pPr>
            <w:r w:rsidRPr="00486A07">
              <w:rPr>
                <w:bCs/>
                <w:color w:val="000000"/>
              </w:rPr>
              <w:t>General Public</w:t>
            </w:r>
          </w:p>
        </w:tc>
        <w:tc>
          <w:tcPr>
            <w:tcW w:w="2160" w:type="dxa"/>
            <w:vAlign w:val="center"/>
          </w:tcPr>
          <w:p w14:paraId="59A1DA31" w14:textId="02B3767C" w:rsidR="00EE6A81" w:rsidRPr="00486A07" w:rsidRDefault="00EE6A81" w:rsidP="00EE6A81">
            <w:pPr>
              <w:spacing w:after="120" w:line="276" w:lineRule="auto"/>
            </w:pPr>
            <w:r w:rsidRPr="00486A07">
              <w:t xml:space="preserve">Case Questionnaire (Attachment E) </w:t>
            </w:r>
          </w:p>
        </w:tc>
        <w:tc>
          <w:tcPr>
            <w:tcW w:w="1530" w:type="dxa"/>
            <w:vAlign w:val="center"/>
          </w:tcPr>
          <w:p w14:paraId="313C6643" w14:textId="1EE3532F" w:rsidR="00EE6A81" w:rsidRPr="00486A07" w:rsidRDefault="00F02A14" w:rsidP="00EE6A81">
            <w:pPr>
              <w:spacing w:after="200" w:line="276" w:lineRule="auto"/>
              <w:jc w:val="center"/>
            </w:pPr>
            <w:r w:rsidRPr="00486A07">
              <w:t>5</w:t>
            </w:r>
            <w:r w:rsidR="00EE6A81" w:rsidRPr="00486A07">
              <w:t>2</w:t>
            </w:r>
          </w:p>
        </w:tc>
        <w:tc>
          <w:tcPr>
            <w:tcW w:w="1640" w:type="dxa"/>
            <w:vAlign w:val="center"/>
          </w:tcPr>
          <w:p w14:paraId="752BF7B8" w14:textId="1B2D1A6A" w:rsidR="00EE6A81" w:rsidRPr="00486A07" w:rsidRDefault="00EE6A81" w:rsidP="00F02A14">
            <w:pPr>
              <w:spacing w:after="200" w:line="276" w:lineRule="auto"/>
              <w:jc w:val="center"/>
            </w:pPr>
            <w:r w:rsidRPr="00486A07">
              <w:t>$13.56</w:t>
            </w:r>
          </w:p>
        </w:tc>
        <w:tc>
          <w:tcPr>
            <w:tcW w:w="2680" w:type="dxa"/>
            <w:vAlign w:val="center"/>
          </w:tcPr>
          <w:p w14:paraId="32CB56D0" w14:textId="11FAF2F7" w:rsidR="00EE6A81" w:rsidRPr="00486A07" w:rsidRDefault="00EE6A81" w:rsidP="00EE6A81">
            <w:pPr>
              <w:spacing w:after="200" w:line="276" w:lineRule="auto"/>
              <w:jc w:val="center"/>
              <w:rPr>
                <w:bCs/>
                <w:color w:val="000000"/>
              </w:rPr>
            </w:pPr>
            <w:r w:rsidRPr="00486A07">
              <w:rPr>
                <w:bCs/>
                <w:color w:val="000000"/>
              </w:rPr>
              <w:t>$</w:t>
            </w:r>
            <w:r w:rsidR="00F02A14" w:rsidRPr="00486A07">
              <w:rPr>
                <w:bCs/>
                <w:color w:val="000000"/>
              </w:rPr>
              <w:t>705.12</w:t>
            </w:r>
          </w:p>
        </w:tc>
      </w:tr>
      <w:tr w:rsidR="00EE6A81" w:rsidRPr="00486A07" w14:paraId="2493015C" w14:textId="77777777" w:rsidTr="00D504D4">
        <w:trPr>
          <w:jc w:val="center"/>
        </w:trPr>
        <w:tc>
          <w:tcPr>
            <w:tcW w:w="1705" w:type="dxa"/>
            <w:vAlign w:val="center"/>
          </w:tcPr>
          <w:p w14:paraId="5837AEAE" w14:textId="04B47A09" w:rsidR="00EE6A81" w:rsidRPr="00486A07" w:rsidRDefault="00EE6A81" w:rsidP="00EE6A81">
            <w:pPr>
              <w:spacing w:after="200" w:line="276" w:lineRule="auto"/>
              <w:rPr>
                <w:b/>
                <w:bCs/>
                <w:color w:val="000000"/>
              </w:rPr>
            </w:pPr>
            <w:r w:rsidRPr="00486A07">
              <w:rPr>
                <w:b/>
                <w:bCs/>
                <w:color w:val="000000"/>
              </w:rPr>
              <w:t>Total</w:t>
            </w:r>
          </w:p>
        </w:tc>
        <w:tc>
          <w:tcPr>
            <w:tcW w:w="5330" w:type="dxa"/>
            <w:gridSpan w:val="3"/>
            <w:vAlign w:val="center"/>
          </w:tcPr>
          <w:p w14:paraId="4B002BE8" w14:textId="77777777" w:rsidR="00EE6A81" w:rsidRPr="00486A07" w:rsidRDefault="00EE6A81" w:rsidP="00EE6A81">
            <w:pPr>
              <w:spacing w:after="200" w:line="276" w:lineRule="auto"/>
              <w:rPr>
                <w:bCs/>
                <w:color w:val="000000"/>
              </w:rPr>
            </w:pPr>
          </w:p>
        </w:tc>
        <w:tc>
          <w:tcPr>
            <w:tcW w:w="2680" w:type="dxa"/>
            <w:vAlign w:val="center"/>
          </w:tcPr>
          <w:p w14:paraId="60A13C4B" w14:textId="17D16E36" w:rsidR="00EE6A81" w:rsidRPr="00486A07" w:rsidRDefault="00EE6A81" w:rsidP="00F02A14">
            <w:pPr>
              <w:spacing w:after="200" w:line="276" w:lineRule="auto"/>
              <w:jc w:val="center"/>
              <w:rPr>
                <w:bCs/>
                <w:color w:val="000000"/>
              </w:rPr>
            </w:pPr>
            <w:r w:rsidRPr="00486A07">
              <w:rPr>
                <w:bCs/>
                <w:color w:val="000000"/>
              </w:rPr>
              <w:t>$3</w:t>
            </w:r>
            <w:r w:rsidR="00382EF1" w:rsidRPr="00486A07">
              <w:rPr>
                <w:bCs/>
                <w:color w:val="000000"/>
              </w:rPr>
              <w:t>,</w:t>
            </w:r>
            <w:r w:rsidR="00F02A14" w:rsidRPr="00486A07">
              <w:rPr>
                <w:bCs/>
                <w:color w:val="000000"/>
              </w:rPr>
              <w:t>526</w:t>
            </w:r>
            <w:r w:rsidRPr="00486A07">
              <w:rPr>
                <w:bCs/>
                <w:color w:val="000000"/>
              </w:rPr>
              <w:t>.</w:t>
            </w:r>
            <w:r w:rsidR="00F02A14" w:rsidRPr="00486A07">
              <w:rPr>
                <w:bCs/>
                <w:color w:val="000000"/>
              </w:rPr>
              <w:t>2</w:t>
            </w:r>
            <w:r w:rsidRPr="00486A07">
              <w:rPr>
                <w:bCs/>
                <w:color w:val="000000"/>
              </w:rPr>
              <w:t>4</w:t>
            </w:r>
          </w:p>
        </w:tc>
      </w:tr>
    </w:tbl>
    <w:p w14:paraId="7B42421E" w14:textId="77777777" w:rsidR="00D90AF3" w:rsidRPr="00486A07" w:rsidRDefault="00D90AF3" w:rsidP="00361F53">
      <w:pPr>
        <w:outlineLvl w:val="0"/>
        <w:rPr>
          <w:color w:val="000000"/>
          <w:u w:val="single"/>
        </w:rPr>
      </w:pPr>
    </w:p>
    <w:p w14:paraId="7BAF5F5D" w14:textId="265B770B" w:rsidR="007C1142" w:rsidRPr="00486A07" w:rsidRDefault="007C1142" w:rsidP="00361F53">
      <w:pPr>
        <w:outlineLvl w:val="0"/>
        <w:rPr>
          <w:b/>
          <w:bCs/>
          <w:iCs/>
          <w:color w:val="000000"/>
        </w:rPr>
      </w:pPr>
      <w:bookmarkStart w:id="41" w:name="_Toc68687809"/>
      <w:bookmarkStart w:id="42" w:name="_Toc462300172"/>
      <w:r w:rsidRPr="00486A07">
        <w:rPr>
          <w:b/>
          <w:bCs/>
          <w:iCs/>
          <w:color w:val="000000"/>
        </w:rPr>
        <w:t>13. Estimates of Other Total Annual Cost Burden to Respondents or Record</w:t>
      </w:r>
      <w:r w:rsidR="004435C4" w:rsidRPr="00486A07">
        <w:rPr>
          <w:b/>
          <w:bCs/>
          <w:iCs/>
          <w:color w:val="000000"/>
        </w:rPr>
        <w:t xml:space="preserve"> K</w:t>
      </w:r>
      <w:r w:rsidRPr="00486A07">
        <w:rPr>
          <w:b/>
          <w:bCs/>
          <w:iCs/>
          <w:color w:val="000000"/>
        </w:rPr>
        <w:t>eepers</w:t>
      </w:r>
      <w:bookmarkEnd w:id="41"/>
      <w:bookmarkEnd w:id="42"/>
    </w:p>
    <w:p w14:paraId="11EA7D41" w14:textId="77777777" w:rsidR="007C1142" w:rsidRPr="00486A07" w:rsidRDefault="007C1142" w:rsidP="00361F53">
      <w:pPr>
        <w:outlineLvl w:val="0"/>
        <w:rPr>
          <w:color w:val="000000"/>
        </w:rPr>
      </w:pPr>
    </w:p>
    <w:p w14:paraId="6BD3F3DD" w14:textId="77777777" w:rsidR="007C1142" w:rsidRPr="00486A07" w:rsidRDefault="007C1142" w:rsidP="00275B13">
      <w:bookmarkStart w:id="43" w:name="_Toc295817065"/>
      <w:bookmarkStart w:id="44" w:name="_Toc295817600"/>
      <w:bookmarkStart w:id="45" w:name="_Toc295818081"/>
      <w:bookmarkStart w:id="46" w:name="_Toc295819854"/>
      <w:r w:rsidRPr="00486A07">
        <w:t>None.</w:t>
      </w:r>
      <w:bookmarkEnd w:id="43"/>
      <w:bookmarkEnd w:id="44"/>
      <w:bookmarkEnd w:id="45"/>
      <w:bookmarkEnd w:id="46"/>
      <w:r w:rsidRPr="00486A07">
        <w:t xml:space="preserve">  </w:t>
      </w:r>
    </w:p>
    <w:p w14:paraId="3FF50E79" w14:textId="77777777" w:rsidR="0074782B" w:rsidRPr="00486A07" w:rsidRDefault="0074782B" w:rsidP="00361F53">
      <w:pPr>
        <w:rPr>
          <w:color w:val="000000"/>
        </w:rPr>
      </w:pPr>
    </w:p>
    <w:p w14:paraId="3738FB8B" w14:textId="2E3C5538" w:rsidR="007C1142" w:rsidRPr="00486A07" w:rsidRDefault="007C1142" w:rsidP="00361F53">
      <w:pPr>
        <w:outlineLvl w:val="0"/>
        <w:rPr>
          <w:b/>
          <w:bCs/>
          <w:iCs/>
          <w:color w:val="000000"/>
        </w:rPr>
      </w:pPr>
      <w:bookmarkStart w:id="47" w:name="_Toc68687810"/>
      <w:bookmarkStart w:id="48" w:name="_Toc462300173"/>
      <w:bookmarkStart w:id="49" w:name="OLE_LINK1"/>
      <w:r w:rsidRPr="00486A07">
        <w:rPr>
          <w:b/>
          <w:bCs/>
          <w:iCs/>
          <w:color w:val="000000"/>
        </w:rPr>
        <w:t>14. Annualized Cost to the Government</w:t>
      </w:r>
      <w:bookmarkEnd w:id="47"/>
      <w:bookmarkEnd w:id="48"/>
    </w:p>
    <w:p w14:paraId="7C9C2ADF" w14:textId="77777777" w:rsidR="001F5ADD" w:rsidRPr="00486A07" w:rsidRDefault="001F5ADD" w:rsidP="00361F53">
      <w:pPr>
        <w:outlineLvl w:val="0"/>
        <w:rPr>
          <w:b/>
          <w:bCs/>
          <w:iCs/>
          <w:color w:val="000000"/>
        </w:rPr>
      </w:pPr>
    </w:p>
    <w:bookmarkEnd w:id="49"/>
    <w:p w14:paraId="3FED27CC" w14:textId="5759C618" w:rsidR="001A6D50" w:rsidRPr="00486A07" w:rsidRDefault="001F5ADD" w:rsidP="00361F53">
      <w:pPr>
        <w:autoSpaceDE w:val="0"/>
        <w:autoSpaceDN w:val="0"/>
        <w:adjustRightInd w:val="0"/>
        <w:rPr>
          <w:color w:val="000000"/>
        </w:rPr>
      </w:pPr>
      <w:r w:rsidRPr="00486A07">
        <w:rPr>
          <w:color w:val="000000"/>
        </w:rPr>
        <w:t xml:space="preserve">The estimated average annual cost to the federal government for the proposed information collection activities is </w:t>
      </w:r>
      <w:r w:rsidR="002B09D6" w:rsidRPr="00486A07">
        <w:rPr>
          <w:color w:val="000000"/>
        </w:rPr>
        <w:t>$81,293</w:t>
      </w:r>
      <w:r w:rsidR="004E45AA" w:rsidRPr="00486A07">
        <w:rPr>
          <w:color w:val="000000"/>
        </w:rPr>
        <w:t xml:space="preserve">. </w:t>
      </w:r>
      <w:r w:rsidR="004B36C9" w:rsidRPr="00486A07">
        <w:rPr>
          <w:color w:val="000000"/>
        </w:rPr>
        <w:t xml:space="preserve">This figure includes </w:t>
      </w:r>
      <w:r w:rsidR="00211A41" w:rsidRPr="00486A07">
        <w:rPr>
          <w:color w:val="000000"/>
        </w:rPr>
        <w:t>the</w:t>
      </w:r>
      <w:r w:rsidR="008733AE" w:rsidRPr="00486A07">
        <w:rPr>
          <w:color w:val="000000"/>
        </w:rPr>
        <w:t xml:space="preserve"> cost of </w:t>
      </w:r>
      <w:r w:rsidR="00F1488B" w:rsidRPr="00486A07">
        <w:rPr>
          <w:color w:val="000000"/>
        </w:rPr>
        <w:t xml:space="preserve">supplies </w:t>
      </w:r>
      <w:r w:rsidR="008733AE" w:rsidRPr="00486A07">
        <w:rPr>
          <w:color w:val="000000"/>
        </w:rPr>
        <w:t xml:space="preserve">for specimen collection, </w:t>
      </w:r>
      <w:r w:rsidR="00592A87" w:rsidRPr="00486A07">
        <w:rPr>
          <w:color w:val="000000"/>
        </w:rPr>
        <w:t xml:space="preserve">testing and shipment to CDC; </w:t>
      </w:r>
      <w:r w:rsidR="00F1488B" w:rsidRPr="00486A07">
        <w:rPr>
          <w:color w:val="000000"/>
        </w:rPr>
        <w:t>the</w:t>
      </w:r>
      <w:r w:rsidR="00211A41" w:rsidRPr="00486A07">
        <w:rPr>
          <w:color w:val="000000"/>
        </w:rPr>
        <w:t xml:space="preserve"> cost of </w:t>
      </w:r>
      <w:r w:rsidR="00872AF7" w:rsidRPr="00486A07">
        <w:rPr>
          <w:color w:val="000000"/>
        </w:rPr>
        <w:t>one contract employee (2</w:t>
      </w:r>
      <w:r w:rsidR="004E45AA" w:rsidRPr="00486A07">
        <w:rPr>
          <w:color w:val="000000"/>
        </w:rPr>
        <w:t>0</w:t>
      </w:r>
      <w:r w:rsidR="00872AF7" w:rsidRPr="00486A07">
        <w:rPr>
          <w:color w:val="000000"/>
        </w:rPr>
        <w:t>% of an epidemiology fellow equivalent to a GS-9 employee)</w:t>
      </w:r>
      <w:r w:rsidR="00592A87" w:rsidRPr="00486A07">
        <w:rPr>
          <w:color w:val="000000"/>
        </w:rPr>
        <w:t>;</w:t>
      </w:r>
      <w:r w:rsidR="00872AF7" w:rsidRPr="00486A07">
        <w:rPr>
          <w:color w:val="000000"/>
        </w:rPr>
        <w:t xml:space="preserve"> and </w:t>
      </w:r>
      <w:r w:rsidR="00211A41" w:rsidRPr="00486A07">
        <w:rPr>
          <w:color w:val="000000"/>
        </w:rPr>
        <w:t>t</w:t>
      </w:r>
      <w:r w:rsidR="00F1488B" w:rsidRPr="00486A07">
        <w:rPr>
          <w:color w:val="000000"/>
        </w:rPr>
        <w:t>hree</w:t>
      </w:r>
      <w:r w:rsidR="00211A41" w:rsidRPr="00486A07">
        <w:rPr>
          <w:color w:val="000000"/>
        </w:rPr>
        <w:t xml:space="preserve"> federal employees </w:t>
      </w:r>
      <w:r w:rsidR="00872AF7" w:rsidRPr="00486A07">
        <w:rPr>
          <w:color w:val="000000"/>
        </w:rPr>
        <w:t>(1</w:t>
      </w:r>
      <w:r w:rsidR="002B09D6" w:rsidRPr="00486A07">
        <w:rPr>
          <w:color w:val="000000"/>
        </w:rPr>
        <w:t>0</w:t>
      </w:r>
      <w:r w:rsidR="00872AF7" w:rsidRPr="00486A07">
        <w:rPr>
          <w:color w:val="000000"/>
        </w:rPr>
        <w:t>%</w:t>
      </w:r>
      <w:r w:rsidR="00211A41" w:rsidRPr="00486A07">
        <w:rPr>
          <w:color w:val="000000"/>
        </w:rPr>
        <w:t xml:space="preserve"> of </w:t>
      </w:r>
      <w:r w:rsidR="00F1488B" w:rsidRPr="00486A07">
        <w:rPr>
          <w:color w:val="000000"/>
        </w:rPr>
        <w:t>two</w:t>
      </w:r>
      <w:r w:rsidR="00211A41" w:rsidRPr="00486A07">
        <w:rPr>
          <w:color w:val="000000"/>
        </w:rPr>
        <w:t xml:space="preserve"> Commis</w:t>
      </w:r>
      <w:r w:rsidR="00872AF7" w:rsidRPr="00486A07">
        <w:rPr>
          <w:color w:val="000000"/>
        </w:rPr>
        <w:t>s</w:t>
      </w:r>
      <w:r w:rsidR="00211A41" w:rsidRPr="00486A07">
        <w:rPr>
          <w:color w:val="000000"/>
        </w:rPr>
        <w:t>ion</w:t>
      </w:r>
      <w:r w:rsidR="00872AF7" w:rsidRPr="00486A07">
        <w:rPr>
          <w:color w:val="000000"/>
        </w:rPr>
        <w:t>ed</w:t>
      </w:r>
      <w:r w:rsidR="00211A41" w:rsidRPr="00486A07">
        <w:rPr>
          <w:color w:val="000000"/>
        </w:rPr>
        <w:t xml:space="preserve"> Corp</w:t>
      </w:r>
      <w:r w:rsidR="00F1488B" w:rsidRPr="00486A07">
        <w:rPr>
          <w:color w:val="000000"/>
        </w:rPr>
        <w:t>s</w:t>
      </w:r>
      <w:r w:rsidR="00211A41" w:rsidRPr="00486A07">
        <w:rPr>
          <w:color w:val="000000"/>
        </w:rPr>
        <w:t xml:space="preserve"> </w:t>
      </w:r>
      <w:r w:rsidR="00F1488B" w:rsidRPr="00486A07">
        <w:rPr>
          <w:color w:val="000000"/>
        </w:rPr>
        <w:t xml:space="preserve">with ranks </w:t>
      </w:r>
      <w:r w:rsidR="00211A41" w:rsidRPr="00486A07">
        <w:rPr>
          <w:color w:val="000000"/>
        </w:rPr>
        <w:t xml:space="preserve">equivalent to a GS-13 employee and </w:t>
      </w:r>
      <w:r w:rsidR="002B09D6" w:rsidRPr="00486A07">
        <w:rPr>
          <w:color w:val="000000"/>
        </w:rPr>
        <w:t>5</w:t>
      </w:r>
      <w:r w:rsidR="00211A41" w:rsidRPr="00486A07">
        <w:rPr>
          <w:color w:val="000000"/>
        </w:rPr>
        <w:t xml:space="preserve">% </w:t>
      </w:r>
      <w:r w:rsidR="00872AF7" w:rsidRPr="00486A07">
        <w:rPr>
          <w:color w:val="000000"/>
        </w:rPr>
        <w:t xml:space="preserve">of a Commissioned Corp equivalent to a GS-14 employee). </w:t>
      </w:r>
    </w:p>
    <w:p w14:paraId="4DD4830F" w14:textId="77777777" w:rsidR="001A6D50" w:rsidRPr="00486A07" w:rsidRDefault="001A6D50" w:rsidP="00361F53">
      <w:pPr>
        <w:autoSpaceDE w:val="0"/>
        <w:autoSpaceDN w:val="0"/>
        <w:adjustRightInd w:val="0"/>
        <w:rPr>
          <w:color w:val="000000"/>
        </w:rPr>
      </w:pPr>
    </w:p>
    <w:p w14:paraId="7DCF8438" w14:textId="081CA437" w:rsidR="00211A41" w:rsidRPr="00486A07" w:rsidRDefault="00872AF7" w:rsidP="00361F53">
      <w:pPr>
        <w:autoSpaceDE w:val="0"/>
        <w:autoSpaceDN w:val="0"/>
        <w:adjustRightInd w:val="0"/>
        <w:rPr>
          <w:color w:val="000000"/>
        </w:rPr>
      </w:pPr>
      <w:r w:rsidRPr="00486A07">
        <w:rPr>
          <w:color w:val="000000"/>
        </w:rPr>
        <w:t>The average hourly rate was obtained from the Office of Personnel Management’s website (</w:t>
      </w:r>
      <w:hyperlink r:id="rId18" w:history="1">
        <w:r w:rsidRPr="00486A07">
          <w:rPr>
            <w:rStyle w:val="Hyperlink"/>
          </w:rPr>
          <w:t>http://www.opm.gov/oca/09tables/html/atl_h.asp</w:t>
        </w:r>
      </w:hyperlink>
      <w:r w:rsidRPr="00486A07">
        <w:rPr>
          <w:color w:val="000000"/>
        </w:rPr>
        <w:t>). The hourly rate for a GS-9</w:t>
      </w:r>
      <w:r w:rsidR="004E45AA" w:rsidRPr="00486A07">
        <w:rPr>
          <w:color w:val="000000"/>
        </w:rPr>
        <w:t xml:space="preserve"> level employee </w:t>
      </w:r>
      <w:r w:rsidR="00140F5C" w:rsidRPr="00486A07">
        <w:rPr>
          <w:color w:val="000000"/>
        </w:rPr>
        <w:t xml:space="preserve">is $23.26 which is equivalent to $48,381 annually. The hourly rate for a GS-13 </w:t>
      </w:r>
      <w:r w:rsidR="004E45AA" w:rsidRPr="00486A07">
        <w:rPr>
          <w:color w:val="000000"/>
        </w:rPr>
        <w:t xml:space="preserve">level employee </w:t>
      </w:r>
      <w:r w:rsidR="00140F5C" w:rsidRPr="00486A07">
        <w:rPr>
          <w:color w:val="000000"/>
        </w:rPr>
        <w:t>is $40.11, equivalent to $83,429 annually, while the hourly rate for a GS-14</w:t>
      </w:r>
      <w:r w:rsidR="004E45AA" w:rsidRPr="00486A07">
        <w:rPr>
          <w:color w:val="000000"/>
        </w:rPr>
        <w:t xml:space="preserve"> level employee</w:t>
      </w:r>
      <w:r w:rsidR="00140F5C" w:rsidRPr="00486A07">
        <w:rPr>
          <w:color w:val="000000"/>
        </w:rPr>
        <w:t xml:space="preserve"> is $47.40, equivalent to $</w:t>
      </w:r>
      <w:r w:rsidR="00AA4E5B" w:rsidRPr="00486A07">
        <w:rPr>
          <w:color w:val="000000"/>
        </w:rPr>
        <w:t>98,592</w:t>
      </w:r>
      <w:r w:rsidR="00140F5C" w:rsidRPr="00486A07">
        <w:rPr>
          <w:color w:val="000000"/>
        </w:rPr>
        <w:t xml:space="preserve"> annually.</w:t>
      </w:r>
    </w:p>
    <w:p w14:paraId="535890D3" w14:textId="77777777" w:rsidR="001A6D50" w:rsidRPr="00486A07" w:rsidRDefault="001A6D50" w:rsidP="00361F53">
      <w:pPr>
        <w:autoSpaceDE w:val="0"/>
        <w:autoSpaceDN w:val="0"/>
        <w:adjustRightInd w:val="0"/>
        <w:rPr>
          <w:color w:val="000000"/>
        </w:rPr>
      </w:pPr>
    </w:p>
    <w:p w14:paraId="3AFB0DA7" w14:textId="27E9C76C" w:rsidR="000C5352" w:rsidRPr="00486A07" w:rsidRDefault="00555C46" w:rsidP="000C5352">
      <w:pPr>
        <w:spacing w:after="120"/>
        <w:outlineLvl w:val="0"/>
        <w:rPr>
          <w:bCs/>
          <w:color w:val="000000"/>
        </w:rPr>
      </w:pPr>
      <w:bookmarkStart w:id="50" w:name="_Toc462300174"/>
      <w:r w:rsidRPr="00486A07">
        <w:rPr>
          <w:bCs/>
          <w:color w:val="000000"/>
        </w:rPr>
        <w:t xml:space="preserve">Table </w:t>
      </w:r>
      <w:r w:rsidR="000C5352" w:rsidRPr="00486A07">
        <w:rPr>
          <w:bCs/>
          <w:color w:val="000000"/>
        </w:rPr>
        <w:t>1</w:t>
      </w:r>
      <w:r w:rsidRPr="00486A07">
        <w:rPr>
          <w:bCs/>
          <w:color w:val="000000"/>
        </w:rPr>
        <w:t>4</w:t>
      </w:r>
      <w:r w:rsidR="000C5352" w:rsidRPr="00486A07">
        <w:rPr>
          <w:bCs/>
          <w:color w:val="000000"/>
        </w:rPr>
        <w:t>-A: Estimated Annualized Cost to the Government</w:t>
      </w:r>
      <w:bookmarkEnd w:id="50"/>
      <w:r w:rsidR="000C5352" w:rsidRPr="00486A07">
        <w:rPr>
          <w:bCs/>
          <w:color w:val="000000"/>
        </w:rPr>
        <w:t xml:space="preserve"> </w:t>
      </w:r>
    </w:p>
    <w:p w14:paraId="77C98230" w14:textId="08946B0B" w:rsidR="00592A87" w:rsidRPr="00486A07" w:rsidRDefault="00592A87" w:rsidP="00361F53">
      <w:pPr>
        <w:autoSpaceDE w:val="0"/>
        <w:autoSpaceDN w:val="0"/>
        <w:adjustRightInd w:val="0"/>
        <w:rPr>
          <w:color w:val="000000"/>
          <w:sz w:val="10"/>
          <w:szCs w:val="10"/>
        </w:rPr>
      </w:pPr>
    </w:p>
    <w:tbl>
      <w:tblPr>
        <w:tblStyle w:val="TableGrid"/>
        <w:tblW w:w="9720" w:type="dxa"/>
        <w:tblInd w:w="-5" w:type="dxa"/>
        <w:tblLook w:val="01E0" w:firstRow="1" w:lastRow="1" w:firstColumn="1" w:lastColumn="1" w:noHBand="0" w:noVBand="0"/>
      </w:tblPr>
      <w:tblGrid>
        <w:gridCol w:w="6210"/>
        <w:gridCol w:w="3510"/>
      </w:tblGrid>
      <w:tr w:rsidR="007C1142" w:rsidRPr="00486A07" w14:paraId="7AECF8FA" w14:textId="77777777" w:rsidTr="008E3010">
        <w:tc>
          <w:tcPr>
            <w:tcW w:w="9720" w:type="dxa"/>
            <w:gridSpan w:val="2"/>
          </w:tcPr>
          <w:p w14:paraId="72C4974A" w14:textId="77777777" w:rsidR="007C1142" w:rsidRPr="00486A07" w:rsidRDefault="007C1142" w:rsidP="00361F53">
            <w:pPr>
              <w:autoSpaceDE w:val="0"/>
              <w:autoSpaceDN w:val="0"/>
              <w:adjustRightInd w:val="0"/>
              <w:spacing w:before="60" w:after="60"/>
              <w:jc w:val="center"/>
              <w:rPr>
                <w:b/>
                <w:color w:val="000000"/>
              </w:rPr>
            </w:pPr>
            <w:r w:rsidRPr="00486A07">
              <w:rPr>
                <w:b/>
                <w:color w:val="000000"/>
              </w:rPr>
              <w:t>Estimated An</w:t>
            </w:r>
            <w:r w:rsidR="00453F6C" w:rsidRPr="00486A07">
              <w:rPr>
                <w:b/>
                <w:color w:val="000000"/>
              </w:rPr>
              <w:t>nualized Cost to the Government</w:t>
            </w:r>
            <w:r w:rsidRPr="00486A07">
              <w:rPr>
                <w:b/>
                <w:color w:val="000000"/>
              </w:rPr>
              <w:t xml:space="preserve"> per Activity and Total</w:t>
            </w:r>
          </w:p>
        </w:tc>
      </w:tr>
      <w:tr w:rsidR="007C1142" w:rsidRPr="00486A07" w14:paraId="07C74286" w14:textId="77777777" w:rsidTr="008E3010">
        <w:tc>
          <w:tcPr>
            <w:tcW w:w="6210" w:type="dxa"/>
          </w:tcPr>
          <w:p w14:paraId="70187BD7" w14:textId="77777777" w:rsidR="007C1142" w:rsidRPr="00486A07" w:rsidRDefault="007C1142" w:rsidP="00361F53">
            <w:pPr>
              <w:autoSpaceDE w:val="0"/>
              <w:autoSpaceDN w:val="0"/>
              <w:adjustRightInd w:val="0"/>
              <w:spacing w:before="60" w:after="60"/>
              <w:rPr>
                <w:color w:val="000000"/>
              </w:rPr>
            </w:pPr>
            <w:r w:rsidRPr="00486A07">
              <w:rPr>
                <w:color w:val="000000"/>
              </w:rPr>
              <w:lastRenderedPageBreak/>
              <w:t>Cost Category</w:t>
            </w:r>
          </w:p>
        </w:tc>
        <w:tc>
          <w:tcPr>
            <w:tcW w:w="3510" w:type="dxa"/>
          </w:tcPr>
          <w:p w14:paraId="7653CC08" w14:textId="77777777" w:rsidR="007C1142" w:rsidRPr="00486A07" w:rsidRDefault="00FA4C00" w:rsidP="00361F53">
            <w:pPr>
              <w:autoSpaceDE w:val="0"/>
              <w:autoSpaceDN w:val="0"/>
              <w:adjustRightInd w:val="0"/>
              <w:spacing w:before="60" w:after="60"/>
              <w:rPr>
                <w:color w:val="000000"/>
              </w:rPr>
            </w:pPr>
            <w:r w:rsidRPr="00486A07">
              <w:rPr>
                <w:color w:val="000000"/>
              </w:rPr>
              <w:t xml:space="preserve">Total </w:t>
            </w:r>
            <w:r w:rsidR="007C1142" w:rsidRPr="00486A07">
              <w:rPr>
                <w:color w:val="000000"/>
              </w:rPr>
              <w:t>Estimated Annualized Cost</w:t>
            </w:r>
          </w:p>
        </w:tc>
      </w:tr>
      <w:tr w:rsidR="00F1488B" w:rsidRPr="00486A07" w14:paraId="3AB235DB" w14:textId="77777777" w:rsidTr="008E3010">
        <w:tc>
          <w:tcPr>
            <w:tcW w:w="6210" w:type="dxa"/>
          </w:tcPr>
          <w:p w14:paraId="7598862B" w14:textId="3CB7C0A0" w:rsidR="00F1488B" w:rsidRPr="00486A07" w:rsidRDefault="00F1488B" w:rsidP="00361F53">
            <w:pPr>
              <w:autoSpaceDE w:val="0"/>
              <w:autoSpaceDN w:val="0"/>
              <w:adjustRightInd w:val="0"/>
              <w:spacing w:before="60" w:after="60"/>
              <w:rPr>
                <w:color w:val="000000"/>
              </w:rPr>
            </w:pPr>
            <w:r w:rsidRPr="00486A07">
              <w:rPr>
                <w:color w:val="000000"/>
              </w:rPr>
              <w:t>Cost of supplies for specimen collection, testing, and shipment</w:t>
            </w:r>
            <w:r w:rsidR="008733AE" w:rsidRPr="00486A07">
              <w:rPr>
                <w:color w:val="000000"/>
              </w:rPr>
              <w:t xml:space="preserve"> to CDC</w:t>
            </w:r>
          </w:p>
        </w:tc>
        <w:tc>
          <w:tcPr>
            <w:tcW w:w="3510" w:type="dxa"/>
          </w:tcPr>
          <w:p w14:paraId="77600BD1" w14:textId="1DA33DB8" w:rsidR="00F1488B" w:rsidRPr="00486A07" w:rsidRDefault="008733AE" w:rsidP="008E3010">
            <w:pPr>
              <w:autoSpaceDE w:val="0"/>
              <w:autoSpaceDN w:val="0"/>
              <w:adjustRightInd w:val="0"/>
              <w:spacing w:before="60" w:after="60"/>
              <w:jc w:val="center"/>
              <w:rPr>
                <w:color w:val="000000"/>
              </w:rPr>
            </w:pPr>
            <w:r w:rsidRPr="00486A07">
              <w:rPr>
                <w:color w:val="000000"/>
              </w:rPr>
              <w:t>$</w:t>
            </w:r>
            <w:r w:rsidR="00170DD4" w:rsidRPr="00486A07">
              <w:rPr>
                <w:color w:val="000000"/>
              </w:rPr>
              <w:t>5</w:t>
            </w:r>
            <w:r w:rsidR="00F1488B" w:rsidRPr="00486A07">
              <w:rPr>
                <w:color w:val="000000"/>
              </w:rPr>
              <w:t>0,000</w:t>
            </w:r>
          </w:p>
        </w:tc>
      </w:tr>
      <w:tr w:rsidR="007C1142" w:rsidRPr="00486A07" w14:paraId="7B256EF9" w14:textId="77777777" w:rsidTr="008E3010">
        <w:tc>
          <w:tcPr>
            <w:tcW w:w="6210" w:type="dxa"/>
          </w:tcPr>
          <w:p w14:paraId="024FCCA6" w14:textId="7A1DF565" w:rsidR="007C1142" w:rsidRPr="00486A07" w:rsidRDefault="00140F5C" w:rsidP="00140F5C">
            <w:pPr>
              <w:autoSpaceDE w:val="0"/>
              <w:autoSpaceDN w:val="0"/>
              <w:adjustRightInd w:val="0"/>
              <w:spacing w:before="60" w:after="60"/>
              <w:rPr>
                <w:color w:val="000000"/>
              </w:rPr>
            </w:pPr>
            <w:r w:rsidRPr="00486A07">
              <w:rPr>
                <w:color w:val="000000"/>
              </w:rPr>
              <w:t>1</w:t>
            </w:r>
            <w:r w:rsidR="002B09D6" w:rsidRPr="00486A07">
              <w:rPr>
                <w:color w:val="000000"/>
              </w:rPr>
              <w:t>0</w:t>
            </w:r>
            <w:r w:rsidRPr="00486A07">
              <w:rPr>
                <w:color w:val="000000"/>
              </w:rPr>
              <w:t xml:space="preserve">% of one Commissioned Corp </w:t>
            </w:r>
            <w:r w:rsidR="00170DD4" w:rsidRPr="00486A07">
              <w:rPr>
                <w:color w:val="000000"/>
              </w:rPr>
              <w:t xml:space="preserve">(epidemiologist) </w:t>
            </w:r>
            <w:r w:rsidRPr="00486A07">
              <w:rPr>
                <w:color w:val="000000"/>
              </w:rPr>
              <w:t xml:space="preserve">equivalent to a GS-13 employee </w:t>
            </w:r>
            <w:r w:rsidR="004804D5" w:rsidRPr="00486A07">
              <w:rPr>
                <w:color w:val="000000"/>
              </w:rPr>
              <w:t>at</w:t>
            </w:r>
            <w:r w:rsidR="007C1142" w:rsidRPr="00486A07">
              <w:rPr>
                <w:color w:val="000000"/>
              </w:rPr>
              <w:t xml:space="preserve"> </w:t>
            </w:r>
            <w:r w:rsidR="00AA4E5B" w:rsidRPr="00486A07">
              <w:rPr>
                <w:color w:val="000000"/>
              </w:rPr>
              <w:t>$83,429</w:t>
            </w:r>
            <w:r w:rsidR="007C1142" w:rsidRPr="00486A07">
              <w:rPr>
                <w:color w:val="000000"/>
              </w:rPr>
              <w:t>/y</w:t>
            </w:r>
            <w:r w:rsidR="004804D5" w:rsidRPr="00486A07">
              <w:rPr>
                <w:color w:val="000000"/>
              </w:rPr>
              <w:t>ea</w:t>
            </w:r>
            <w:r w:rsidRPr="00486A07">
              <w:rPr>
                <w:color w:val="000000"/>
              </w:rPr>
              <w:t>r</w:t>
            </w:r>
          </w:p>
        </w:tc>
        <w:tc>
          <w:tcPr>
            <w:tcW w:w="3510" w:type="dxa"/>
          </w:tcPr>
          <w:p w14:paraId="4A6AB819" w14:textId="3B91B3BA" w:rsidR="007C1142" w:rsidRPr="00486A07" w:rsidRDefault="00453F6C" w:rsidP="008E3010">
            <w:pPr>
              <w:autoSpaceDE w:val="0"/>
              <w:autoSpaceDN w:val="0"/>
              <w:adjustRightInd w:val="0"/>
              <w:spacing w:before="60" w:after="60"/>
              <w:jc w:val="center"/>
              <w:rPr>
                <w:color w:val="000000"/>
              </w:rPr>
            </w:pPr>
            <w:r w:rsidRPr="00486A07">
              <w:rPr>
                <w:color w:val="000000"/>
              </w:rPr>
              <w:t>$</w:t>
            </w:r>
            <w:r w:rsidR="002B09D6" w:rsidRPr="00486A07">
              <w:rPr>
                <w:color w:val="000000"/>
              </w:rPr>
              <w:t>8,343</w:t>
            </w:r>
          </w:p>
        </w:tc>
      </w:tr>
      <w:tr w:rsidR="00F1488B" w:rsidRPr="00486A07" w14:paraId="523E1FBB" w14:textId="77777777" w:rsidTr="008E3010">
        <w:tc>
          <w:tcPr>
            <w:tcW w:w="6210" w:type="dxa"/>
          </w:tcPr>
          <w:p w14:paraId="7513D16E" w14:textId="5FA8C820" w:rsidR="00F1488B" w:rsidRPr="00486A07" w:rsidRDefault="00F1488B" w:rsidP="00140F5C">
            <w:pPr>
              <w:autoSpaceDE w:val="0"/>
              <w:autoSpaceDN w:val="0"/>
              <w:adjustRightInd w:val="0"/>
              <w:spacing w:before="60" w:after="60"/>
              <w:rPr>
                <w:color w:val="000000"/>
              </w:rPr>
            </w:pPr>
            <w:r w:rsidRPr="00486A07">
              <w:rPr>
                <w:color w:val="000000"/>
              </w:rPr>
              <w:t>1</w:t>
            </w:r>
            <w:r w:rsidR="002B09D6" w:rsidRPr="00486A07">
              <w:rPr>
                <w:color w:val="000000"/>
              </w:rPr>
              <w:t>0</w:t>
            </w:r>
            <w:r w:rsidRPr="00486A07">
              <w:rPr>
                <w:color w:val="000000"/>
              </w:rPr>
              <w:t>% of one Commissioned Corp</w:t>
            </w:r>
            <w:r w:rsidR="00170DD4" w:rsidRPr="00486A07">
              <w:rPr>
                <w:color w:val="000000"/>
              </w:rPr>
              <w:t xml:space="preserve"> (microbiologist)</w:t>
            </w:r>
            <w:r w:rsidRPr="00486A07">
              <w:rPr>
                <w:color w:val="000000"/>
              </w:rPr>
              <w:t xml:space="preserve"> equivalent to a GS-13 employee at $83,429/year</w:t>
            </w:r>
          </w:p>
        </w:tc>
        <w:tc>
          <w:tcPr>
            <w:tcW w:w="3510" w:type="dxa"/>
          </w:tcPr>
          <w:p w14:paraId="14566A71" w14:textId="49413E9F" w:rsidR="00F1488B" w:rsidRPr="00486A07" w:rsidRDefault="00F1488B" w:rsidP="008E3010">
            <w:pPr>
              <w:autoSpaceDE w:val="0"/>
              <w:autoSpaceDN w:val="0"/>
              <w:adjustRightInd w:val="0"/>
              <w:spacing w:before="60" w:after="60"/>
              <w:jc w:val="center"/>
              <w:rPr>
                <w:color w:val="000000"/>
              </w:rPr>
            </w:pPr>
            <w:r w:rsidRPr="00486A07">
              <w:rPr>
                <w:color w:val="000000"/>
              </w:rPr>
              <w:t>$</w:t>
            </w:r>
            <w:r w:rsidR="002B09D6" w:rsidRPr="00486A07">
              <w:rPr>
                <w:color w:val="000000"/>
              </w:rPr>
              <w:t>8,343</w:t>
            </w:r>
          </w:p>
        </w:tc>
      </w:tr>
      <w:tr w:rsidR="00AA4E5B" w:rsidRPr="00486A07" w14:paraId="6BFEC6F1" w14:textId="77777777" w:rsidTr="008E3010">
        <w:tc>
          <w:tcPr>
            <w:tcW w:w="6210" w:type="dxa"/>
          </w:tcPr>
          <w:p w14:paraId="4AD23A69" w14:textId="5B04A287" w:rsidR="00AA4E5B" w:rsidRPr="00486A07" w:rsidRDefault="002B09D6" w:rsidP="00AA4E5B">
            <w:pPr>
              <w:autoSpaceDE w:val="0"/>
              <w:autoSpaceDN w:val="0"/>
              <w:adjustRightInd w:val="0"/>
              <w:spacing w:before="60" w:after="60"/>
              <w:rPr>
                <w:color w:val="000000"/>
              </w:rPr>
            </w:pPr>
            <w:r w:rsidRPr="00486A07">
              <w:rPr>
                <w:color w:val="000000"/>
              </w:rPr>
              <w:t>5</w:t>
            </w:r>
            <w:r w:rsidR="00AA4E5B" w:rsidRPr="00486A07">
              <w:rPr>
                <w:color w:val="000000"/>
              </w:rPr>
              <w:t xml:space="preserve">% of one Commissioned Corp </w:t>
            </w:r>
            <w:r w:rsidR="00170DD4" w:rsidRPr="00486A07">
              <w:rPr>
                <w:color w:val="000000"/>
              </w:rPr>
              <w:t xml:space="preserve">(epidemiologist) </w:t>
            </w:r>
            <w:r w:rsidR="00AA4E5B" w:rsidRPr="00486A07">
              <w:rPr>
                <w:color w:val="000000"/>
              </w:rPr>
              <w:t>equivalent to a GS-14 employee at $98,592/year</w:t>
            </w:r>
          </w:p>
        </w:tc>
        <w:tc>
          <w:tcPr>
            <w:tcW w:w="3510" w:type="dxa"/>
          </w:tcPr>
          <w:p w14:paraId="7E17A415" w14:textId="2D45BE55" w:rsidR="00AA4E5B" w:rsidRPr="00486A07" w:rsidRDefault="00AA4E5B" w:rsidP="008E3010">
            <w:pPr>
              <w:autoSpaceDE w:val="0"/>
              <w:autoSpaceDN w:val="0"/>
              <w:adjustRightInd w:val="0"/>
              <w:spacing w:before="60" w:after="60"/>
              <w:jc w:val="center"/>
              <w:rPr>
                <w:color w:val="000000"/>
              </w:rPr>
            </w:pPr>
            <w:r w:rsidRPr="00486A07">
              <w:rPr>
                <w:color w:val="000000"/>
              </w:rPr>
              <w:t>$</w:t>
            </w:r>
            <w:r w:rsidR="002B09D6" w:rsidRPr="00486A07">
              <w:rPr>
                <w:color w:val="000000"/>
              </w:rPr>
              <w:t>4,930</w:t>
            </w:r>
          </w:p>
        </w:tc>
      </w:tr>
      <w:tr w:rsidR="00AA4E5B" w:rsidRPr="00486A07" w14:paraId="5AE226C3" w14:textId="77777777" w:rsidTr="008E3010">
        <w:tc>
          <w:tcPr>
            <w:tcW w:w="6210" w:type="dxa"/>
          </w:tcPr>
          <w:p w14:paraId="379ECBE6" w14:textId="2DC76094" w:rsidR="00AA4E5B" w:rsidRPr="00486A07" w:rsidRDefault="00AA4E5B" w:rsidP="004E45AA">
            <w:pPr>
              <w:autoSpaceDE w:val="0"/>
              <w:autoSpaceDN w:val="0"/>
              <w:adjustRightInd w:val="0"/>
              <w:spacing w:before="60" w:after="60"/>
              <w:rPr>
                <w:color w:val="000000"/>
              </w:rPr>
            </w:pPr>
            <w:r w:rsidRPr="00486A07">
              <w:rPr>
                <w:color w:val="000000"/>
              </w:rPr>
              <w:t>2</w:t>
            </w:r>
            <w:r w:rsidR="004E45AA" w:rsidRPr="00486A07">
              <w:rPr>
                <w:color w:val="000000"/>
              </w:rPr>
              <w:t>0</w:t>
            </w:r>
            <w:r w:rsidRPr="00486A07">
              <w:rPr>
                <w:color w:val="000000"/>
              </w:rPr>
              <w:t>% of one contract employee (epidemiology fellow) equivalent to a GS-9 employee at $48,381/year</w:t>
            </w:r>
          </w:p>
        </w:tc>
        <w:tc>
          <w:tcPr>
            <w:tcW w:w="3510" w:type="dxa"/>
          </w:tcPr>
          <w:p w14:paraId="6200FC76" w14:textId="3901859D" w:rsidR="00AA4E5B" w:rsidRPr="00486A07" w:rsidRDefault="00AA4E5B" w:rsidP="008E3010">
            <w:pPr>
              <w:autoSpaceDE w:val="0"/>
              <w:autoSpaceDN w:val="0"/>
              <w:adjustRightInd w:val="0"/>
              <w:spacing w:before="60" w:after="60"/>
              <w:jc w:val="center"/>
              <w:rPr>
                <w:color w:val="000000"/>
              </w:rPr>
            </w:pPr>
            <w:r w:rsidRPr="00486A07">
              <w:rPr>
                <w:color w:val="000000"/>
              </w:rPr>
              <w:t>$</w:t>
            </w:r>
            <w:r w:rsidR="004E45AA" w:rsidRPr="00486A07">
              <w:rPr>
                <w:color w:val="000000"/>
              </w:rPr>
              <w:t>9,677</w:t>
            </w:r>
          </w:p>
        </w:tc>
      </w:tr>
      <w:tr w:rsidR="00AA4E5B" w:rsidRPr="00486A07" w14:paraId="4B2069F7" w14:textId="77777777" w:rsidTr="008E3010">
        <w:tc>
          <w:tcPr>
            <w:tcW w:w="6210" w:type="dxa"/>
          </w:tcPr>
          <w:p w14:paraId="002CFC74" w14:textId="358E0F02" w:rsidR="00AA4E5B" w:rsidRPr="00486A07" w:rsidRDefault="00AA4E5B" w:rsidP="00AA4E5B">
            <w:pPr>
              <w:autoSpaceDE w:val="0"/>
              <w:autoSpaceDN w:val="0"/>
              <w:adjustRightInd w:val="0"/>
              <w:spacing w:before="60" w:after="60"/>
              <w:rPr>
                <w:b/>
                <w:color w:val="000000"/>
              </w:rPr>
            </w:pPr>
            <w:r w:rsidRPr="00486A07">
              <w:rPr>
                <w:b/>
                <w:color w:val="000000"/>
              </w:rPr>
              <w:t>Total Cost</w:t>
            </w:r>
          </w:p>
        </w:tc>
        <w:tc>
          <w:tcPr>
            <w:tcW w:w="3510" w:type="dxa"/>
          </w:tcPr>
          <w:p w14:paraId="58DDAC1B" w14:textId="2852DB29" w:rsidR="00AA4E5B" w:rsidRPr="00486A07" w:rsidRDefault="00AA4E5B" w:rsidP="008E3010">
            <w:pPr>
              <w:autoSpaceDE w:val="0"/>
              <w:autoSpaceDN w:val="0"/>
              <w:adjustRightInd w:val="0"/>
              <w:spacing w:before="60" w:after="60"/>
              <w:jc w:val="center"/>
              <w:rPr>
                <w:color w:val="000000"/>
              </w:rPr>
            </w:pPr>
            <w:r w:rsidRPr="00486A07">
              <w:rPr>
                <w:color w:val="000000"/>
              </w:rPr>
              <w:t>$</w:t>
            </w:r>
            <w:r w:rsidR="002B09D6" w:rsidRPr="00486A07">
              <w:rPr>
                <w:color w:val="000000"/>
              </w:rPr>
              <w:t>81,293</w:t>
            </w:r>
          </w:p>
        </w:tc>
      </w:tr>
    </w:tbl>
    <w:p w14:paraId="661F39C5" w14:textId="77777777" w:rsidR="007C1142" w:rsidRPr="00486A07" w:rsidRDefault="007C1142" w:rsidP="00361F53">
      <w:pPr>
        <w:outlineLvl w:val="0"/>
        <w:rPr>
          <w:b/>
          <w:bCs/>
          <w:i/>
          <w:iCs/>
          <w:color w:val="000000"/>
        </w:rPr>
      </w:pPr>
    </w:p>
    <w:p w14:paraId="0958873F" w14:textId="7C49E7B8" w:rsidR="007C1142" w:rsidRPr="00486A07" w:rsidRDefault="007C1142" w:rsidP="00361F53">
      <w:pPr>
        <w:outlineLvl w:val="0"/>
        <w:rPr>
          <w:b/>
          <w:bCs/>
          <w:iCs/>
          <w:color w:val="000000"/>
        </w:rPr>
      </w:pPr>
      <w:bookmarkStart w:id="51" w:name="_Toc462300175"/>
      <w:r w:rsidRPr="00486A07">
        <w:rPr>
          <w:b/>
          <w:bCs/>
          <w:iCs/>
          <w:color w:val="000000"/>
        </w:rPr>
        <w:t>15. Explanation for Program Changes or Adjustments</w:t>
      </w:r>
      <w:bookmarkEnd w:id="51"/>
    </w:p>
    <w:p w14:paraId="24492BEB" w14:textId="77777777" w:rsidR="007C1142" w:rsidRPr="00486A07" w:rsidRDefault="007C1142" w:rsidP="00361F53">
      <w:pPr>
        <w:rPr>
          <w:color w:val="000000"/>
        </w:rPr>
      </w:pPr>
    </w:p>
    <w:p w14:paraId="5F5BBFD7" w14:textId="77E1F60D" w:rsidR="004366C8" w:rsidRPr="00486A07" w:rsidRDefault="004366C8" w:rsidP="004366C8">
      <w:r w:rsidRPr="00486A07">
        <w:t>This is a request for OMB Approval of an Information Collection in Use without an OMB Control Number</w:t>
      </w:r>
    </w:p>
    <w:p w14:paraId="31FE5EED" w14:textId="77777777" w:rsidR="007C1142" w:rsidRPr="00486A07" w:rsidRDefault="007C1142" w:rsidP="00361F53"/>
    <w:p w14:paraId="535BB1A6" w14:textId="2F11957D" w:rsidR="007C1142" w:rsidRPr="00486A07" w:rsidRDefault="007C1142" w:rsidP="00361F53">
      <w:pPr>
        <w:outlineLvl w:val="0"/>
        <w:rPr>
          <w:b/>
          <w:bCs/>
          <w:iCs/>
          <w:color w:val="000000"/>
        </w:rPr>
      </w:pPr>
      <w:bookmarkStart w:id="52" w:name="_Toc462300176"/>
      <w:r w:rsidRPr="00486A07">
        <w:rPr>
          <w:b/>
          <w:bCs/>
          <w:iCs/>
          <w:color w:val="000000"/>
        </w:rPr>
        <w:t>16. Plans for Tabulation and Publication and Project Time Schedule</w:t>
      </w:r>
      <w:bookmarkEnd w:id="52"/>
    </w:p>
    <w:p w14:paraId="7FBB1467" w14:textId="77777777" w:rsidR="007C1142" w:rsidRPr="00486A07" w:rsidRDefault="007C1142" w:rsidP="00361F53">
      <w:pPr>
        <w:rPr>
          <w:color w:val="000000"/>
        </w:rPr>
      </w:pPr>
    </w:p>
    <w:p w14:paraId="65992733" w14:textId="6E0D9974" w:rsidR="00FD22B1" w:rsidRPr="00486A07" w:rsidRDefault="00FD22B1" w:rsidP="00FD22B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53" w:name="_Toc295817070"/>
      <w:bookmarkStart w:id="54" w:name="_Toc295817605"/>
      <w:bookmarkStart w:id="55" w:name="_Toc295818086"/>
      <w:bookmarkStart w:id="56" w:name="_Toc295819859"/>
      <w:r w:rsidRPr="00486A07">
        <w:t xml:space="preserve">A report based on </w:t>
      </w:r>
      <w:r w:rsidR="00F0150F" w:rsidRPr="00486A07">
        <w:t>study</w:t>
      </w:r>
      <w:r w:rsidRPr="00486A07">
        <w:t xml:space="preserve"> results will be generated and the findings used to develop recommendations to prevent leptospirosis in dogs in Puerto Rico. This report will be shared with all study collaborators. Results from this information collection may be published in collaboration with the Puerto Rico Health Department.</w:t>
      </w:r>
    </w:p>
    <w:p w14:paraId="5C41DBC6" w14:textId="77777777" w:rsidR="00FD22B1" w:rsidRPr="00486A07" w:rsidRDefault="00FD22B1" w:rsidP="00275B13">
      <w:pPr>
        <w:rPr>
          <w:u w:val="single"/>
        </w:rPr>
      </w:pPr>
    </w:p>
    <w:p w14:paraId="470AB139" w14:textId="77777777" w:rsidR="007C1142" w:rsidRPr="00486A07" w:rsidRDefault="007C1142" w:rsidP="00275B13">
      <w:pPr>
        <w:rPr>
          <w:u w:val="single"/>
        </w:rPr>
      </w:pPr>
      <w:r w:rsidRPr="00486A07">
        <w:rPr>
          <w:u w:val="single"/>
        </w:rPr>
        <w:t>Project Time Schedule</w:t>
      </w:r>
      <w:bookmarkEnd w:id="53"/>
      <w:bookmarkEnd w:id="54"/>
      <w:bookmarkEnd w:id="55"/>
      <w:bookmarkEnd w:id="56"/>
    </w:p>
    <w:p w14:paraId="7011B97F" w14:textId="069D6315" w:rsidR="00C36E13" w:rsidRPr="00486A07" w:rsidRDefault="00C36E13" w:rsidP="001A6D50"/>
    <w:p w14:paraId="3F2A1ECC" w14:textId="66210F94" w:rsidR="001A6D50" w:rsidRPr="00486A07" w:rsidRDefault="00666F68" w:rsidP="008246B3">
      <w:r w:rsidRPr="00486A07">
        <w:t>Training of 8 participating sites</w:t>
      </w:r>
      <w:r w:rsidR="000F5549" w:rsidRPr="00486A07">
        <w:t xml:space="preserve"> and subsequent information collection</w:t>
      </w:r>
      <w:r w:rsidRPr="00486A07">
        <w:t xml:space="preserve"> </w:t>
      </w:r>
      <w:r w:rsidR="00A00085" w:rsidRPr="00486A07">
        <w:t xml:space="preserve">from the trained </w:t>
      </w:r>
      <w:r w:rsidR="00071CE0" w:rsidRPr="00486A07">
        <w:t xml:space="preserve">sites </w:t>
      </w:r>
      <w:r w:rsidRPr="00486A07">
        <w:t xml:space="preserve">began </w:t>
      </w:r>
      <w:r w:rsidR="00C36E13" w:rsidRPr="00486A07">
        <w:t xml:space="preserve">during a site visit in </w:t>
      </w:r>
      <w:r w:rsidRPr="00486A07">
        <w:t>June 2016</w:t>
      </w:r>
      <w:r w:rsidR="00071CE0" w:rsidRPr="00486A07">
        <w:t>. Training of th</w:t>
      </w:r>
      <w:r w:rsidR="00A00085" w:rsidRPr="00486A07">
        <w:t>e remainder of the</w:t>
      </w:r>
      <w:r w:rsidR="00071CE0" w:rsidRPr="00486A07">
        <w:t xml:space="preserve"> sites</w:t>
      </w:r>
      <w:r w:rsidR="00FD22B1" w:rsidRPr="00486A07">
        <w:t>, led by PRDH collaborators, will be conducted at a rolling basis and</w:t>
      </w:r>
      <w:r w:rsidR="00957766" w:rsidRPr="00486A07">
        <w:t xml:space="preserve"> may not be completed until</w:t>
      </w:r>
      <w:r w:rsidR="00071CE0" w:rsidRPr="00486A07">
        <w:t xml:space="preserve"> </w:t>
      </w:r>
      <w:r w:rsidR="00912B96" w:rsidRPr="00486A07">
        <w:t>February 2017</w:t>
      </w:r>
      <w:r w:rsidR="00FD22B1" w:rsidRPr="00486A07">
        <w:t xml:space="preserve"> due to limitations in staff availability. Data collection at each site is expected to continue for at least a year</w:t>
      </w:r>
      <w:r w:rsidR="002B20A4" w:rsidRPr="00486A07">
        <w:t xml:space="preserve"> or until a sample size of at least 385 dogs has been met</w:t>
      </w:r>
      <w:r w:rsidR="00FD22B1" w:rsidRPr="00486A07">
        <w:t>, after which</w:t>
      </w:r>
      <w:r w:rsidR="002B20A4" w:rsidRPr="00486A07">
        <w:t xml:space="preserve"> the study</w:t>
      </w:r>
      <w:r w:rsidR="00FD22B1" w:rsidRPr="00486A07">
        <w:t xml:space="preserve"> may be continued based on study outcome during the first year and if all participants and investigators are in agreement. </w:t>
      </w:r>
      <w:r w:rsidR="00957766" w:rsidRPr="00486A07">
        <w:t xml:space="preserve">As such, a 2-year approval </w:t>
      </w:r>
      <w:r w:rsidR="00FD22B1" w:rsidRPr="00486A07">
        <w:t xml:space="preserve">for this information collection is requested to ensure that sites enrolled later in the study period </w:t>
      </w:r>
      <w:r w:rsidR="002B20A4" w:rsidRPr="00486A07">
        <w:t xml:space="preserve">can collect information for at least a year and that the sample size is met. </w:t>
      </w:r>
    </w:p>
    <w:p w14:paraId="01F00431" w14:textId="65EC8EAB" w:rsidR="00C841BD" w:rsidRPr="00486A07" w:rsidRDefault="00C841BD" w:rsidP="00C841BD">
      <w:pPr>
        <w:rPr>
          <w:color w:val="000000"/>
        </w:rPr>
      </w:pPr>
    </w:p>
    <w:p w14:paraId="19969AC2" w14:textId="757C3878" w:rsidR="005A3ADA" w:rsidRPr="00486A07" w:rsidRDefault="00A26117" w:rsidP="005E53A3">
      <w:pPr>
        <w:pStyle w:val="NoSpacing"/>
        <w:outlineLvl w:val="2"/>
      </w:pPr>
      <w:bookmarkStart w:id="57" w:name="_Toc462300177"/>
      <w:r w:rsidRPr="00486A07">
        <w:t xml:space="preserve">Table </w:t>
      </w:r>
      <w:r w:rsidR="005A3ADA" w:rsidRPr="00486A07">
        <w:t>16</w:t>
      </w:r>
      <w:r w:rsidR="00A750FF" w:rsidRPr="00486A07">
        <w:t xml:space="preserve">-A: </w:t>
      </w:r>
      <w:r w:rsidR="00CD5125" w:rsidRPr="00486A07">
        <w:t>Project Time Schedule</w:t>
      </w:r>
      <w:bookmarkEnd w:id="57"/>
    </w:p>
    <w:tbl>
      <w:tblPr>
        <w:tblStyle w:val="TableGrid"/>
        <w:tblpPr w:leftFromText="180" w:rightFromText="180" w:vertAnchor="text" w:horzAnchor="margin" w:tblpY="137"/>
        <w:tblW w:w="0" w:type="auto"/>
        <w:tblLook w:val="04A0" w:firstRow="1" w:lastRow="0" w:firstColumn="1" w:lastColumn="0" w:noHBand="0" w:noVBand="1"/>
      </w:tblPr>
      <w:tblGrid>
        <w:gridCol w:w="2965"/>
        <w:gridCol w:w="6385"/>
      </w:tblGrid>
      <w:tr w:rsidR="002B09D6" w:rsidRPr="00486A07" w14:paraId="67A73CA8" w14:textId="77777777" w:rsidTr="008246B3">
        <w:trPr>
          <w:trHeight w:val="190"/>
        </w:trPr>
        <w:tc>
          <w:tcPr>
            <w:tcW w:w="9350" w:type="dxa"/>
            <w:gridSpan w:val="2"/>
          </w:tcPr>
          <w:p w14:paraId="594282F8" w14:textId="77777777" w:rsidR="002B09D6" w:rsidRPr="00486A07" w:rsidRDefault="002B09D6" w:rsidP="002B09D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sidRPr="00486A07">
              <w:rPr>
                <w:b/>
                <w:color w:val="000000"/>
              </w:rPr>
              <w:t>Project Time Schedule</w:t>
            </w:r>
          </w:p>
        </w:tc>
      </w:tr>
      <w:tr w:rsidR="002B09D6" w:rsidRPr="00486A07" w14:paraId="0CBFD5D3" w14:textId="77777777" w:rsidTr="008246B3">
        <w:trPr>
          <w:trHeight w:val="190"/>
        </w:trPr>
        <w:tc>
          <w:tcPr>
            <w:tcW w:w="2965" w:type="dxa"/>
          </w:tcPr>
          <w:p w14:paraId="15CEEDB3" w14:textId="77777777" w:rsidR="002B09D6" w:rsidRPr="00486A07" w:rsidRDefault="002B09D6" w:rsidP="002B09D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rPr>
            </w:pPr>
            <w:r w:rsidRPr="00486A07">
              <w:rPr>
                <w:i/>
                <w:color w:val="000000"/>
              </w:rPr>
              <w:t>Activity</w:t>
            </w:r>
          </w:p>
        </w:tc>
        <w:tc>
          <w:tcPr>
            <w:tcW w:w="6385" w:type="dxa"/>
          </w:tcPr>
          <w:p w14:paraId="3E819863" w14:textId="77777777" w:rsidR="002B09D6" w:rsidRPr="00486A07" w:rsidRDefault="002B09D6" w:rsidP="002B09D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rPr>
            </w:pPr>
            <w:r w:rsidRPr="00486A07">
              <w:rPr>
                <w:i/>
                <w:color w:val="000000"/>
              </w:rPr>
              <w:t>Time schedule</w:t>
            </w:r>
          </w:p>
        </w:tc>
      </w:tr>
      <w:tr w:rsidR="002B09D6" w:rsidRPr="00486A07" w14:paraId="224481F6" w14:textId="77777777" w:rsidTr="008246B3">
        <w:trPr>
          <w:trHeight w:val="390"/>
        </w:trPr>
        <w:tc>
          <w:tcPr>
            <w:tcW w:w="2965" w:type="dxa"/>
          </w:tcPr>
          <w:p w14:paraId="367ABA8C" w14:textId="0D2A6D3E" w:rsidR="002B09D6" w:rsidRPr="00486A07" w:rsidRDefault="002B09D6" w:rsidP="008246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86A07">
              <w:rPr>
                <w:color w:val="000000"/>
              </w:rPr>
              <w:t>Site enrollment</w:t>
            </w:r>
            <w:r w:rsidR="003A02BA" w:rsidRPr="00486A07">
              <w:rPr>
                <w:color w:val="000000"/>
              </w:rPr>
              <w:t xml:space="preserve"> and training</w:t>
            </w:r>
          </w:p>
        </w:tc>
        <w:tc>
          <w:tcPr>
            <w:tcW w:w="6385" w:type="dxa"/>
          </w:tcPr>
          <w:p w14:paraId="1D535DDC" w14:textId="746DACC7" w:rsidR="002B09D6" w:rsidRPr="00486A07" w:rsidRDefault="002B09D6" w:rsidP="00912B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86A07">
              <w:rPr>
                <w:color w:val="000000"/>
              </w:rPr>
              <w:t>June</w:t>
            </w:r>
            <w:r w:rsidR="00912B96" w:rsidRPr="00486A07">
              <w:rPr>
                <w:color w:val="000000"/>
              </w:rPr>
              <w:t xml:space="preserve"> 2016 </w:t>
            </w:r>
            <w:r w:rsidRPr="00486A07">
              <w:rPr>
                <w:color w:val="000000"/>
              </w:rPr>
              <w:t>-</w:t>
            </w:r>
            <w:r w:rsidR="00912B96" w:rsidRPr="00486A07">
              <w:rPr>
                <w:color w:val="000000"/>
              </w:rPr>
              <w:t xml:space="preserve"> February</w:t>
            </w:r>
            <w:r w:rsidRPr="00486A07">
              <w:rPr>
                <w:color w:val="000000"/>
              </w:rPr>
              <w:t>, 201</w:t>
            </w:r>
            <w:r w:rsidR="00912B96" w:rsidRPr="00486A07">
              <w:rPr>
                <w:color w:val="000000"/>
              </w:rPr>
              <w:t>7</w:t>
            </w:r>
          </w:p>
        </w:tc>
      </w:tr>
      <w:tr w:rsidR="002B09D6" w:rsidRPr="00486A07" w14:paraId="0979E64C" w14:textId="77777777" w:rsidTr="008246B3">
        <w:trPr>
          <w:trHeight w:val="362"/>
        </w:trPr>
        <w:tc>
          <w:tcPr>
            <w:tcW w:w="2965" w:type="dxa"/>
          </w:tcPr>
          <w:p w14:paraId="393A8752" w14:textId="77777777" w:rsidR="002B09D6" w:rsidRPr="00486A07" w:rsidRDefault="002B09D6" w:rsidP="008246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86A07">
              <w:rPr>
                <w:color w:val="000000"/>
              </w:rPr>
              <w:t>Data collection</w:t>
            </w:r>
          </w:p>
        </w:tc>
        <w:tc>
          <w:tcPr>
            <w:tcW w:w="6385" w:type="dxa"/>
          </w:tcPr>
          <w:p w14:paraId="15661D2C" w14:textId="518A7787" w:rsidR="002B09D6" w:rsidRPr="00486A07" w:rsidRDefault="002B09D6" w:rsidP="008246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86A07">
              <w:rPr>
                <w:color w:val="000000"/>
              </w:rPr>
              <w:t xml:space="preserve">June, 2016 – </w:t>
            </w:r>
            <w:r w:rsidR="009852E0" w:rsidRPr="00486A07">
              <w:rPr>
                <w:color w:val="000000"/>
              </w:rPr>
              <w:t xml:space="preserve">June </w:t>
            </w:r>
            <w:r w:rsidRPr="00486A07">
              <w:rPr>
                <w:color w:val="000000"/>
              </w:rPr>
              <w:t>201</w:t>
            </w:r>
            <w:r w:rsidR="009852E0" w:rsidRPr="00486A07">
              <w:rPr>
                <w:color w:val="000000"/>
              </w:rPr>
              <w:t>8</w:t>
            </w:r>
          </w:p>
        </w:tc>
      </w:tr>
      <w:tr w:rsidR="002B09D6" w:rsidRPr="00486A07" w14:paraId="69BF2229" w14:textId="77777777" w:rsidTr="008246B3">
        <w:trPr>
          <w:trHeight w:val="380"/>
        </w:trPr>
        <w:tc>
          <w:tcPr>
            <w:tcW w:w="2965" w:type="dxa"/>
          </w:tcPr>
          <w:p w14:paraId="2484A5C3" w14:textId="77777777" w:rsidR="002B09D6" w:rsidRPr="00486A07" w:rsidRDefault="002B09D6" w:rsidP="008246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86A07">
              <w:rPr>
                <w:color w:val="000000"/>
              </w:rPr>
              <w:lastRenderedPageBreak/>
              <w:t>Data analysis</w:t>
            </w:r>
          </w:p>
        </w:tc>
        <w:tc>
          <w:tcPr>
            <w:tcW w:w="6385" w:type="dxa"/>
          </w:tcPr>
          <w:p w14:paraId="0FD7ED81" w14:textId="77777777" w:rsidR="002B09D6" w:rsidRPr="00486A07" w:rsidRDefault="002B09D6" w:rsidP="008246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86A07">
              <w:rPr>
                <w:color w:val="000000"/>
              </w:rPr>
              <w:t>3-7 months after the end of data collection</w:t>
            </w:r>
          </w:p>
        </w:tc>
      </w:tr>
      <w:tr w:rsidR="002B09D6" w:rsidRPr="00486A07" w14:paraId="6BF14C87" w14:textId="77777777" w:rsidTr="008246B3">
        <w:trPr>
          <w:trHeight w:val="380"/>
        </w:trPr>
        <w:tc>
          <w:tcPr>
            <w:tcW w:w="2965" w:type="dxa"/>
          </w:tcPr>
          <w:p w14:paraId="648E76DA" w14:textId="77777777" w:rsidR="002B09D6" w:rsidRPr="00486A07" w:rsidRDefault="002B09D6" w:rsidP="008246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86A07">
              <w:rPr>
                <w:color w:val="000000"/>
              </w:rPr>
              <w:t>Generation of report</w:t>
            </w:r>
          </w:p>
        </w:tc>
        <w:tc>
          <w:tcPr>
            <w:tcW w:w="6385" w:type="dxa"/>
          </w:tcPr>
          <w:p w14:paraId="487281FB" w14:textId="77777777" w:rsidR="002B09D6" w:rsidRPr="00486A07" w:rsidRDefault="002B09D6" w:rsidP="008246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86A07">
              <w:rPr>
                <w:color w:val="000000"/>
              </w:rPr>
              <w:t xml:space="preserve">8-12 months after the end of data collection </w:t>
            </w:r>
          </w:p>
        </w:tc>
      </w:tr>
    </w:tbl>
    <w:p w14:paraId="1DC27B92" w14:textId="77777777" w:rsidR="002B09D6" w:rsidRPr="00486A07" w:rsidRDefault="002B09D6" w:rsidP="005E53A3">
      <w:pPr>
        <w:pStyle w:val="NoSpacing"/>
        <w:outlineLvl w:val="2"/>
      </w:pPr>
    </w:p>
    <w:p w14:paraId="0A0E49F0" w14:textId="77777777" w:rsidR="00A750FF" w:rsidRPr="00486A07" w:rsidRDefault="00A750FF" w:rsidP="00361F5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4"/>
          <w:szCs w:val="4"/>
        </w:rPr>
      </w:pPr>
    </w:p>
    <w:p w14:paraId="6F3F64BC" w14:textId="503C8C40" w:rsidR="007C1142" w:rsidRPr="00486A07" w:rsidRDefault="007C1142" w:rsidP="00C74314">
      <w:pPr>
        <w:outlineLvl w:val="0"/>
        <w:rPr>
          <w:b/>
          <w:bCs/>
          <w:iCs/>
          <w:color w:val="000000"/>
        </w:rPr>
      </w:pPr>
      <w:bookmarkStart w:id="58" w:name="_Toc462300178"/>
      <w:r w:rsidRPr="00486A07">
        <w:rPr>
          <w:b/>
          <w:bCs/>
          <w:iCs/>
          <w:color w:val="000000"/>
        </w:rPr>
        <w:t xml:space="preserve">17. Reason(s) </w:t>
      </w:r>
      <w:r w:rsidR="00C16160" w:rsidRPr="00486A07">
        <w:rPr>
          <w:b/>
          <w:bCs/>
          <w:iCs/>
          <w:color w:val="000000"/>
        </w:rPr>
        <w:t>Display of OMB Expiration Date i</w:t>
      </w:r>
      <w:r w:rsidRPr="00486A07">
        <w:rPr>
          <w:b/>
          <w:bCs/>
          <w:iCs/>
          <w:color w:val="000000"/>
        </w:rPr>
        <w:t>s Inappropriate</w:t>
      </w:r>
      <w:bookmarkEnd w:id="58"/>
    </w:p>
    <w:p w14:paraId="6E086BBE" w14:textId="77777777" w:rsidR="007C1142" w:rsidRPr="00486A07" w:rsidRDefault="007C1142" w:rsidP="00C74314"/>
    <w:p w14:paraId="541A4425" w14:textId="77777777" w:rsidR="007C1142" w:rsidRPr="00486A07" w:rsidRDefault="00C70719" w:rsidP="00C74314">
      <w:r w:rsidRPr="00486A07">
        <w:t>None.</w:t>
      </w:r>
    </w:p>
    <w:p w14:paraId="0EB51D7B" w14:textId="77777777" w:rsidR="0074782B" w:rsidRPr="00486A07" w:rsidRDefault="0074782B" w:rsidP="00C74314">
      <w:pPr>
        <w:rPr>
          <w:color w:val="000000"/>
        </w:rPr>
      </w:pPr>
    </w:p>
    <w:p w14:paraId="5538A996" w14:textId="385A7A5C" w:rsidR="007C1142" w:rsidRPr="00486A07" w:rsidRDefault="004435C4" w:rsidP="00C74314">
      <w:pPr>
        <w:outlineLvl w:val="0"/>
        <w:rPr>
          <w:b/>
          <w:bCs/>
          <w:iCs/>
          <w:color w:val="000000"/>
        </w:rPr>
      </w:pPr>
      <w:bookmarkStart w:id="59" w:name="_Toc462300179"/>
      <w:r w:rsidRPr="00486A07">
        <w:rPr>
          <w:b/>
          <w:bCs/>
          <w:iCs/>
          <w:color w:val="000000"/>
        </w:rPr>
        <w:t>18. Exceptions</w:t>
      </w:r>
      <w:r w:rsidR="007C1142" w:rsidRPr="00486A07">
        <w:rPr>
          <w:b/>
          <w:bCs/>
          <w:iCs/>
          <w:color w:val="000000"/>
        </w:rPr>
        <w:t xml:space="preserve"> to Certification for Paperwork Reduction Act Submissions</w:t>
      </w:r>
      <w:bookmarkEnd w:id="59"/>
    </w:p>
    <w:p w14:paraId="79CEB847" w14:textId="77777777" w:rsidR="007C1142" w:rsidRPr="00486A07" w:rsidRDefault="007C1142" w:rsidP="00C74314"/>
    <w:p w14:paraId="19E91EAE" w14:textId="721F953B" w:rsidR="00C74314" w:rsidRPr="00486A07" w:rsidRDefault="007C1142" w:rsidP="00C74314">
      <w:bookmarkStart w:id="60" w:name="_Toc295817074"/>
      <w:bookmarkStart w:id="61" w:name="_Toc295817609"/>
      <w:bookmarkStart w:id="62" w:name="_Toc295818090"/>
      <w:bookmarkStart w:id="63" w:name="_Toc295819863"/>
      <w:r w:rsidRPr="00486A07">
        <w:t>Not applicable. No certification exemption is being sought.</w:t>
      </w:r>
      <w:bookmarkEnd w:id="60"/>
      <w:bookmarkEnd w:id="61"/>
      <w:bookmarkEnd w:id="62"/>
      <w:bookmarkEnd w:id="63"/>
    </w:p>
    <w:p w14:paraId="0E363CF7" w14:textId="77777777" w:rsidR="00C74314" w:rsidRPr="00486A07" w:rsidRDefault="00C74314" w:rsidP="00C74314"/>
    <w:p w14:paraId="2EFF0914" w14:textId="1F4AABCA" w:rsidR="001B0FDF" w:rsidRPr="00486A07" w:rsidRDefault="003161FF" w:rsidP="00C74314">
      <w:pPr>
        <w:spacing w:after="200"/>
        <w:rPr>
          <w:color w:val="000000"/>
        </w:rPr>
      </w:pPr>
      <w:r w:rsidRPr="00486A07">
        <w:rPr>
          <w:b/>
          <w:color w:val="000000" w:themeColor="text1"/>
        </w:rPr>
        <w:t>A</w:t>
      </w:r>
      <w:r w:rsidR="00C74314" w:rsidRPr="00486A07">
        <w:rPr>
          <w:b/>
          <w:color w:val="000000" w:themeColor="text1"/>
        </w:rPr>
        <w:t>ttachments</w:t>
      </w:r>
    </w:p>
    <w:p w14:paraId="090C0BC0" w14:textId="53A8AE6F" w:rsidR="001B0FDF" w:rsidRPr="00486A07" w:rsidRDefault="001B0FDF" w:rsidP="00486A07">
      <w:pPr>
        <w:pStyle w:val="ListParagraph"/>
        <w:numPr>
          <w:ilvl w:val="0"/>
          <w:numId w:val="4"/>
        </w:numPr>
        <w:spacing w:line="360" w:lineRule="auto"/>
        <w:contextualSpacing w:val="0"/>
        <w:outlineLvl w:val="0"/>
        <w:rPr>
          <w:color w:val="000000"/>
        </w:rPr>
      </w:pPr>
      <w:bookmarkStart w:id="64" w:name="_Toc461530632"/>
      <w:bookmarkStart w:id="65" w:name="_Toc462300180"/>
      <w:bookmarkStart w:id="66" w:name="_Toc299968016"/>
      <w:r w:rsidRPr="00486A07">
        <w:rPr>
          <w:color w:val="000000"/>
        </w:rPr>
        <w:t xml:space="preserve">Public Health Service (PHS) Act (42 USC </w:t>
      </w:r>
      <w:r w:rsidR="00370367" w:rsidRPr="00486A07">
        <w:rPr>
          <w:color w:val="000000"/>
        </w:rPr>
        <w:t>241</w:t>
      </w:r>
      <w:r w:rsidRPr="00486A07">
        <w:rPr>
          <w:color w:val="000000"/>
        </w:rPr>
        <w:t>).</w:t>
      </w:r>
      <w:bookmarkEnd w:id="64"/>
      <w:bookmarkEnd w:id="65"/>
      <w:r w:rsidRPr="00486A07">
        <w:rPr>
          <w:color w:val="000000"/>
        </w:rPr>
        <w:t xml:space="preserve"> </w:t>
      </w:r>
      <w:bookmarkEnd w:id="66"/>
    </w:p>
    <w:p w14:paraId="2E2B832B" w14:textId="77777777" w:rsidR="001B0FDF" w:rsidRPr="00486A07" w:rsidRDefault="004544C4" w:rsidP="00486A07">
      <w:pPr>
        <w:pStyle w:val="ListParagraph"/>
        <w:numPr>
          <w:ilvl w:val="0"/>
          <w:numId w:val="4"/>
        </w:numPr>
        <w:spacing w:before="120" w:line="360" w:lineRule="auto"/>
        <w:contextualSpacing w:val="0"/>
        <w:outlineLvl w:val="0"/>
        <w:rPr>
          <w:color w:val="000000"/>
        </w:rPr>
      </w:pPr>
      <w:bookmarkStart w:id="67" w:name="_Toc299968019"/>
      <w:bookmarkStart w:id="68" w:name="_Toc438465331"/>
      <w:bookmarkStart w:id="69" w:name="_Toc461530633"/>
      <w:bookmarkStart w:id="70" w:name="_Toc462300181"/>
      <w:r w:rsidRPr="00486A07">
        <w:rPr>
          <w:color w:val="000000"/>
        </w:rPr>
        <w:t>60-Day Federal Register Notice</w:t>
      </w:r>
      <w:bookmarkEnd w:id="67"/>
      <w:bookmarkEnd w:id="68"/>
      <w:bookmarkEnd w:id="69"/>
      <w:bookmarkEnd w:id="70"/>
    </w:p>
    <w:p w14:paraId="04CE6504" w14:textId="1A530FC3" w:rsidR="005A3ADA" w:rsidRPr="00486A07" w:rsidRDefault="00943010" w:rsidP="00486A07">
      <w:pPr>
        <w:pStyle w:val="ListParagraph"/>
        <w:numPr>
          <w:ilvl w:val="0"/>
          <w:numId w:val="4"/>
        </w:numPr>
        <w:spacing w:before="120" w:line="360" w:lineRule="auto"/>
        <w:contextualSpacing w:val="0"/>
        <w:outlineLvl w:val="0"/>
        <w:rPr>
          <w:color w:val="000000"/>
        </w:rPr>
      </w:pPr>
      <w:bookmarkStart w:id="71" w:name="_Toc461530634"/>
      <w:bookmarkStart w:id="72" w:name="_Toc462300182"/>
      <w:r w:rsidRPr="00486A07">
        <w:rPr>
          <w:color w:val="000000"/>
        </w:rPr>
        <w:t>Site Enrollment Questionnaire</w:t>
      </w:r>
      <w:bookmarkEnd w:id="71"/>
      <w:bookmarkEnd w:id="72"/>
      <w:r w:rsidRPr="00486A07">
        <w:rPr>
          <w:color w:val="000000"/>
        </w:rPr>
        <w:t xml:space="preserve"> </w:t>
      </w:r>
    </w:p>
    <w:p w14:paraId="23E6542F" w14:textId="77777777" w:rsidR="007444AD" w:rsidRPr="00486A07" w:rsidRDefault="00C43014" w:rsidP="00486A07">
      <w:pPr>
        <w:pStyle w:val="ListParagraph"/>
        <w:numPr>
          <w:ilvl w:val="0"/>
          <w:numId w:val="4"/>
        </w:numPr>
        <w:spacing w:before="120" w:line="360" w:lineRule="auto"/>
        <w:contextualSpacing w:val="0"/>
        <w:outlineLvl w:val="0"/>
        <w:rPr>
          <w:color w:val="000000"/>
        </w:rPr>
      </w:pPr>
      <w:bookmarkStart w:id="73" w:name="_Toc461530635"/>
      <w:bookmarkStart w:id="74" w:name="_Toc462300183"/>
      <w:r w:rsidRPr="00486A07">
        <w:rPr>
          <w:color w:val="000000"/>
        </w:rPr>
        <w:t>Study Log Sheet</w:t>
      </w:r>
      <w:bookmarkStart w:id="75" w:name="_Toc461530636"/>
      <w:bookmarkStart w:id="76" w:name="_Toc462300184"/>
      <w:bookmarkEnd w:id="73"/>
      <w:bookmarkEnd w:id="74"/>
    </w:p>
    <w:p w14:paraId="2B2B9FED" w14:textId="563856EE" w:rsidR="00755C90" w:rsidRPr="00486A07" w:rsidRDefault="00943010" w:rsidP="00486A07">
      <w:pPr>
        <w:pStyle w:val="ListParagraph"/>
        <w:numPr>
          <w:ilvl w:val="0"/>
          <w:numId w:val="4"/>
        </w:numPr>
        <w:spacing w:before="120" w:line="360" w:lineRule="auto"/>
        <w:contextualSpacing w:val="0"/>
        <w:outlineLvl w:val="0"/>
        <w:rPr>
          <w:color w:val="000000"/>
        </w:rPr>
      </w:pPr>
      <w:r w:rsidRPr="00486A07">
        <w:rPr>
          <w:color w:val="000000"/>
        </w:rPr>
        <w:t>Case Questionnaire</w:t>
      </w:r>
      <w:bookmarkEnd w:id="75"/>
      <w:bookmarkEnd w:id="76"/>
      <w:r w:rsidRPr="00486A07">
        <w:rPr>
          <w:color w:val="000000"/>
        </w:rPr>
        <w:t xml:space="preserve"> </w:t>
      </w:r>
    </w:p>
    <w:p w14:paraId="1B30EAF2" w14:textId="5C8D6E3A" w:rsidR="007524D4" w:rsidRPr="00486A07" w:rsidRDefault="00943010" w:rsidP="00486A07">
      <w:pPr>
        <w:pStyle w:val="ListParagraph"/>
        <w:numPr>
          <w:ilvl w:val="0"/>
          <w:numId w:val="4"/>
        </w:numPr>
        <w:spacing w:line="360" w:lineRule="auto"/>
        <w:contextualSpacing w:val="0"/>
        <w:outlineLvl w:val="0"/>
        <w:rPr>
          <w:color w:val="000000"/>
        </w:rPr>
      </w:pPr>
      <w:bookmarkStart w:id="77" w:name="_Toc461530637"/>
      <w:bookmarkStart w:id="78" w:name="_Toc462300185"/>
      <w:r w:rsidRPr="00486A07">
        <w:rPr>
          <w:color w:val="000000"/>
        </w:rPr>
        <w:t xml:space="preserve">Owner </w:t>
      </w:r>
      <w:r w:rsidR="007524D4" w:rsidRPr="00486A07">
        <w:rPr>
          <w:color w:val="000000"/>
        </w:rPr>
        <w:t xml:space="preserve">Consent </w:t>
      </w:r>
      <w:r w:rsidRPr="00486A07">
        <w:rPr>
          <w:color w:val="000000"/>
        </w:rPr>
        <w:t>Form</w:t>
      </w:r>
      <w:bookmarkEnd w:id="77"/>
      <w:bookmarkEnd w:id="78"/>
    </w:p>
    <w:p w14:paraId="254E39B1" w14:textId="65BDAD58" w:rsidR="00EF51AE" w:rsidRPr="00486A07" w:rsidRDefault="007444AD" w:rsidP="00486A07">
      <w:pPr>
        <w:pStyle w:val="ListParagraph"/>
        <w:numPr>
          <w:ilvl w:val="0"/>
          <w:numId w:val="4"/>
        </w:numPr>
        <w:spacing w:line="360" w:lineRule="auto"/>
        <w:contextualSpacing w:val="0"/>
        <w:outlineLvl w:val="0"/>
        <w:rPr>
          <w:color w:val="000000"/>
        </w:rPr>
      </w:pPr>
      <w:r w:rsidRPr="00486A07">
        <w:rPr>
          <w:color w:val="000000"/>
        </w:rPr>
        <w:t>IACUC Exemption</w:t>
      </w:r>
    </w:p>
    <w:sectPr w:rsidR="00EF51AE" w:rsidRPr="00486A07" w:rsidSect="004C2774">
      <w:footerReference w:type="default" r:id="rId19"/>
      <w:pgSz w:w="12240" w:h="15840"/>
      <w:pgMar w:top="1440" w:right="1440" w:bottom="135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537DD" w14:textId="77777777" w:rsidR="001A47E0" w:rsidRDefault="001A47E0" w:rsidP="00827DF4">
      <w:r>
        <w:separator/>
      </w:r>
    </w:p>
  </w:endnote>
  <w:endnote w:type="continuationSeparator" w:id="0">
    <w:p w14:paraId="06CEDD1D" w14:textId="77777777" w:rsidR="001A47E0" w:rsidRDefault="001A47E0" w:rsidP="008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580614"/>
      <w:docPartObj>
        <w:docPartGallery w:val="Page Numbers (Bottom of Page)"/>
        <w:docPartUnique/>
      </w:docPartObj>
    </w:sdtPr>
    <w:sdtEndPr>
      <w:rPr>
        <w:noProof/>
      </w:rPr>
    </w:sdtEndPr>
    <w:sdtContent>
      <w:p w14:paraId="397901A6" w14:textId="43C33367" w:rsidR="00D504D4" w:rsidRDefault="00D504D4">
        <w:pPr>
          <w:pStyle w:val="Footer"/>
          <w:jc w:val="right"/>
        </w:pPr>
        <w:r>
          <w:fldChar w:fldCharType="begin"/>
        </w:r>
        <w:r>
          <w:instrText xml:space="preserve"> PAGE   \* MERGEFORMAT </w:instrText>
        </w:r>
        <w:r>
          <w:fldChar w:fldCharType="separate"/>
        </w:r>
        <w:r w:rsidR="007C3F0E">
          <w:rPr>
            <w:noProof/>
          </w:rPr>
          <w:t>11</w:t>
        </w:r>
        <w:r>
          <w:rPr>
            <w:noProof/>
          </w:rPr>
          <w:fldChar w:fldCharType="end"/>
        </w:r>
      </w:p>
    </w:sdtContent>
  </w:sdt>
  <w:p w14:paraId="51D6C631" w14:textId="77777777" w:rsidR="00D504D4" w:rsidRDefault="00D5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8146D" w14:textId="77777777" w:rsidR="001A47E0" w:rsidRDefault="001A47E0" w:rsidP="00827DF4">
      <w:r>
        <w:separator/>
      </w:r>
    </w:p>
  </w:footnote>
  <w:footnote w:type="continuationSeparator" w:id="0">
    <w:p w14:paraId="3E8F231D" w14:textId="77777777" w:rsidR="001A47E0" w:rsidRDefault="001A47E0" w:rsidP="00827DF4">
      <w:r>
        <w:continuationSeparator/>
      </w:r>
    </w:p>
  </w:footnote>
  <w:footnote w:id="1">
    <w:p w14:paraId="497B04D7" w14:textId="6D103A46" w:rsidR="00D504D4" w:rsidRDefault="00D504D4">
      <w:pPr>
        <w:pStyle w:val="FootnoteText"/>
        <w:rPr>
          <w:noProof/>
        </w:rPr>
      </w:pPr>
      <w:r>
        <w:rPr>
          <w:rStyle w:val="FootnoteReference"/>
        </w:rPr>
        <w:footnoteRef/>
      </w:r>
      <w:r>
        <w:t xml:space="preserve"> </w:t>
      </w:r>
      <w:r>
        <w:fldChar w:fldCharType="begin"/>
      </w:r>
      <w:r>
        <w:instrText xml:space="preserve"> ADDIN EN.CITE &lt;EndNote&gt;&lt;Cite&gt;&lt;Author&gt;Farrington&lt;/Author&gt;&lt;Year&gt;1982&lt;/Year&gt;&lt;RecNum&gt;46&lt;/RecNum&gt;&lt;DisplayText&gt;Farrington, N. P. and K. R. Sulzer (1982). &amp;quot;Canine leptospirosis in Puerto Rico.&amp;quot; &lt;style face="underline"&gt;Int J Zoonoses&lt;/style&gt; &lt;style face="bold"&gt;9&lt;/style&gt;(1): 45-50.&amp;#xD;&amp;#x9;&lt;/DisplayText&gt;&lt;record&gt;&lt;rec-number&gt;46&lt;/rec-number&gt;&lt;foreign-keys&gt;&lt;key app="EN" db-id="rwrrddasue25edefsz5psae0aezvxw5pzt5e" timestamp="1456783732"&gt;46&lt;/key&gt;&lt;/foreign-keys&gt;&lt;ref-type name="Journal Article"&gt;17&lt;/ref-type&gt;&lt;contributors&gt;&lt;authors&gt;&lt;author&gt;Farrington, N. P.&lt;/author&gt;&lt;author&gt;Sulzer, K. R.&lt;/author&gt;&lt;/authors&gt;&lt;/contributors&gt;&lt;titles&gt;&lt;title&gt;Canine leptospirosis in Puerto Rico&lt;/title&gt;&lt;secondary-title&gt;Int J Zoonoses&lt;/secondary-title&gt;&lt;alt-title&gt;International journal of zoonoses&lt;/alt-title&gt;&lt;/titles&gt;&lt;periodical&gt;&lt;full-title&gt;Int J Zoonoses&lt;/full-title&gt;&lt;abbr-1&gt;International journal of zoonoses&lt;/abbr-1&gt;&lt;/periodical&gt;&lt;alt-periodical&gt;&lt;full-title&gt;Int J Zoonoses&lt;/full-title&gt;&lt;abbr-1&gt;International journal of zoonoses&lt;/abbr-1&gt;&lt;/alt-periodical&gt;&lt;pages&gt;45-50&lt;/pages&gt;&lt;volume&gt;9&lt;/volume&gt;&lt;number&gt;1&lt;/number&gt;&lt;edition&gt;1982/06/01&lt;/edition&gt;&lt;keywords&gt;&lt;keyword&gt;Agglutination Tests/veterinary&lt;/keyword&gt;&lt;keyword&gt;Animals&lt;/keyword&gt;&lt;keyword&gt;Antigens, Bacterial/analysis&lt;/keyword&gt;&lt;keyword&gt;Dog Diseases/*microbiology&lt;/keyword&gt;&lt;keyword&gt;Dogs&lt;/keyword&gt;&lt;keyword&gt;Female&lt;/keyword&gt;&lt;keyword&gt;Leptospira/classification&lt;/keyword&gt;&lt;keyword&gt;Leptospirosis/microbiology/*veterinary&lt;/keyword&gt;&lt;keyword&gt;Male&lt;/keyword&gt;&lt;keyword&gt;Puerto Rico&lt;/keyword&gt;&lt;keyword&gt;Serotyping/veterinary&lt;/keyword&gt;&lt;keyword&gt;Zoonoses&lt;/keyword&gt;&lt;/keywords&gt;&lt;dates&gt;&lt;year&gt;1982&lt;/year&gt;&lt;pub-dates&gt;&lt;date&gt;Jun&lt;/date&gt;&lt;/pub-dates&gt;&lt;/dates&gt;&lt;isbn&gt;0377-0168 (Print)&amp;#xD;0377-0168&lt;/isbn&gt;&lt;accession-num&gt;7174233&lt;/accession-num&gt;&lt;urls&gt;&lt;/urls&gt;&lt;remote-database-provider&gt;NLM&lt;/remote-database-provider&gt;&lt;language&gt;eng&lt;/language&gt;&lt;/record&gt;&lt;/Cite&gt;&lt;/EndNote&gt;</w:instrText>
      </w:r>
      <w:r>
        <w:fldChar w:fldCharType="separate"/>
      </w:r>
      <w:r>
        <w:rPr>
          <w:noProof/>
        </w:rPr>
        <w:t xml:space="preserve">Farrington, N. P. and K. R. Sulzer (1982). "Canine leptospirosis in Puerto Rico." </w:t>
      </w:r>
      <w:r w:rsidRPr="00AB5E12">
        <w:rPr>
          <w:noProof/>
          <w:u w:val="single"/>
        </w:rPr>
        <w:t>Int J Zoonoses</w:t>
      </w:r>
      <w:r>
        <w:rPr>
          <w:noProof/>
        </w:rPr>
        <w:t xml:space="preserve"> </w:t>
      </w:r>
      <w:r w:rsidRPr="00AB5E12">
        <w:rPr>
          <w:b/>
          <w:noProof/>
        </w:rPr>
        <w:t>9</w:t>
      </w:r>
      <w:r>
        <w:rPr>
          <w:noProof/>
        </w:rPr>
        <w:t>(1): 45-50.</w:t>
      </w:r>
    </w:p>
    <w:p w14:paraId="0886C38B" w14:textId="0F758101" w:rsidR="00D504D4" w:rsidRDefault="00D504D4">
      <w:pPr>
        <w:pStyle w:val="FootnoteText"/>
      </w:pPr>
      <w:r>
        <w:rPr>
          <w:noProof/>
        </w:rPr>
        <w:tab/>
      </w:r>
      <w:r>
        <w:fldChar w:fldCharType="end"/>
      </w:r>
    </w:p>
  </w:footnote>
  <w:footnote w:id="2">
    <w:p w14:paraId="73BE5AFE" w14:textId="1F37A56A" w:rsidR="00D504D4" w:rsidRDefault="00D504D4">
      <w:pPr>
        <w:pStyle w:val="FootnoteText"/>
      </w:pPr>
      <w:r>
        <w:rPr>
          <w:rStyle w:val="FootnoteReference"/>
        </w:rPr>
        <w:footnoteRef/>
      </w:r>
      <w:r>
        <w:t xml:space="preserve"> Torres, et. al. “Canine Leptospirosis in Puerto Rico.” Unpublished study, Tuskegee University College of Veterinary Medicine, Nursing, and Allied Health, 1998. </w:t>
      </w:r>
    </w:p>
  </w:footnote>
  <w:footnote w:id="3">
    <w:p w14:paraId="35AC0AB1" w14:textId="0FF2CFB2" w:rsidR="00D504D4" w:rsidRDefault="00D504D4">
      <w:pPr>
        <w:pStyle w:val="FootnoteText"/>
      </w:pPr>
      <w:r>
        <w:rPr>
          <w:rStyle w:val="FootnoteReference"/>
        </w:rPr>
        <w:footnoteRef/>
      </w:r>
      <w:r>
        <w:t xml:space="preserve"> National Notifiable Diseases Surveillance System. Centers for Disease Control and Prevention. Atlanta, GA. Accessed on August 3,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C38"/>
    <w:multiLevelType w:val="hybridMultilevel"/>
    <w:tmpl w:val="AA9A5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3B7DC2"/>
    <w:multiLevelType w:val="hybridMultilevel"/>
    <w:tmpl w:val="F2BE0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C1B46"/>
    <w:multiLevelType w:val="hybridMultilevel"/>
    <w:tmpl w:val="22B4D7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6446DB"/>
    <w:multiLevelType w:val="hybridMultilevel"/>
    <w:tmpl w:val="FB56D13E"/>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30C11"/>
    <w:multiLevelType w:val="multilevel"/>
    <w:tmpl w:val="4D7AC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15572E7"/>
    <w:multiLevelType w:val="hybridMultilevel"/>
    <w:tmpl w:val="FB56D13E"/>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rrddasue25edefsz5psae0aezvxw5pzt5e&quot;&gt;canine&lt;record-ids&gt;&lt;item&gt;46&lt;/item&gt;&lt;/record-ids&gt;&lt;/item&gt;&lt;/Libraries&gt;"/>
  </w:docVars>
  <w:rsids>
    <w:rsidRoot w:val="008B0E6B"/>
    <w:rsid w:val="00000D56"/>
    <w:rsid w:val="0000457F"/>
    <w:rsid w:val="00007CCD"/>
    <w:rsid w:val="00016DFD"/>
    <w:rsid w:val="00016F81"/>
    <w:rsid w:val="00023744"/>
    <w:rsid w:val="00024F9D"/>
    <w:rsid w:val="00027600"/>
    <w:rsid w:val="00031E53"/>
    <w:rsid w:val="000363FF"/>
    <w:rsid w:val="000451FC"/>
    <w:rsid w:val="000452BD"/>
    <w:rsid w:val="000459FC"/>
    <w:rsid w:val="00046715"/>
    <w:rsid w:val="00047863"/>
    <w:rsid w:val="00052DEA"/>
    <w:rsid w:val="00053721"/>
    <w:rsid w:val="000540CE"/>
    <w:rsid w:val="0006201E"/>
    <w:rsid w:val="000622FB"/>
    <w:rsid w:val="00064B3F"/>
    <w:rsid w:val="00071CE0"/>
    <w:rsid w:val="00072062"/>
    <w:rsid w:val="00072C57"/>
    <w:rsid w:val="00076341"/>
    <w:rsid w:val="00083F56"/>
    <w:rsid w:val="00086A3D"/>
    <w:rsid w:val="000A1ADF"/>
    <w:rsid w:val="000A1B0D"/>
    <w:rsid w:val="000A2176"/>
    <w:rsid w:val="000A4D13"/>
    <w:rsid w:val="000A716E"/>
    <w:rsid w:val="000B2707"/>
    <w:rsid w:val="000C3A74"/>
    <w:rsid w:val="000C3C1F"/>
    <w:rsid w:val="000C5352"/>
    <w:rsid w:val="000D17CD"/>
    <w:rsid w:val="000D50A6"/>
    <w:rsid w:val="000D70BD"/>
    <w:rsid w:val="000E0CD5"/>
    <w:rsid w:val="000E200E"/>
    <w:rsid w:val="000E607F"/>
    <w:rsid w:val="000F0025"/>
    <w:rsid w:val="000F025A"/>
    <w:rsid w:val="000F43EA"/>
    <w:rsid w:val="000F5549"/>
    <w:rsid w:val="000F574A"/>
    <w:rsid w:val="000F6550"/>
    <w:rsid w:val="00101917"/>
    <w:rsid w:val="00104B90"/>
    <w:rsid w:val="001060DE"/>
    <w:rsid w:val="00106BA7"/>
    <w:rsid w:val="00110035"/>
    <w:rsid w:val="001100B3"/>
    <w:rsid w:val="00110290"/>
    <w:rsid w:val="0011190D"/>
    <w:rsid w:val="00115477"/>
    <w:rsid w:val="001156DB"/>
    <w:rsid w:val="00115D91"/>
    <w:rsid w:val="001206D9"/>
    <w:rsid w:val="0012146B"/>
    <w:rsid w:val="001254EA"/>
    <w:rsid w:val="001273CE"/>
    <w:rsid w:val="00131632"/>
    <w:rsid w:val="00131857"/>
    <w:rsid w:val="00132888"/>
    <w:rsid w:val="00132C4A"/>
    <w:rsid w:val="00140F5C"/>
    <w:rsid w:val="00141FB4"/>
    <w:rsid w:val="001427AB"/>
    <w:rsid w:val="0014375D"/>
    <w:rsid w:val="00146DA7"/>
    <w:rsid w:val="00152AD1"/>
    <w:rsid w:val="00152D0D"/>
    <w:rsid w:val="00153B27"/>
    <w:rsid w:val="00154F20"/>
    <w:rsid w:val="00155741"/>
    <w:rsid w:val="001575A5"/>
    <w:rsid w:val="001640FA"/>
    <w:rsid w:val="00170DD4"/>
    <w:rsid w:val="001727B0"/>
    <w:rsid w:val="0017390C"/>
    <w:rsid w:val="001834D0"/>
    <w:rsid w:val="00185BFC"/>
    <w:rsid w:val="0018726F"/>
    <w:rsid w:val="0019526B"/>
    <w:rsid w:val="00197F20"/>
    <w:rsid w:val="001A2774"/>
    <w:rsid w:val="001A47E0"/>
    <w:rsid w:val="001A5D00"/>
    <w:rsid w:val="001A6D50"/>
    <w:rsid w:val="001B0B25"/>
    <w:rsid w:val="001B0FDF"/>
    <w:rsid w:val="001B2721"/>
    <w:rsid w:val="001B3710"/>
    <w:rsid w:val="001C53BC"/>
    <w:rsid w:val="001C721B"/>
    <w:rsid w:val="001C79E2"/>
    <w:rsid w:val="001D0AAF"/>
    <w:rsid w:val="001D31AE"/>
    <w:rsid w:val="001D4F6E"/>
    <w:rsid w:val="001D77ED"/>
    <w:rsid w:val="001E085D"/>
    <w:rsid w:val="001E28A3"/>
    <w:rsid w:val="001E39B9"/>
    <w:rsid w:val="001E5D37"/>
    <w:rsid w:val="001F3D8A"/>
    <w:rsid w:val="001F43CC"/>
    <w:rsid w:val="001F5ADD"/>
    <w:rsid w:val="00200B80"/>
    <w:rsid w:val="00201A5F"/>
    <w:rsid w:val="0020373B"/>
    <w:rsid w:val="00207004"/>
    <w:rsid w:val="00210A19"/>
    <w:rsid w:val="002119E5"/>
    <w:rsid w:val="00211A41"/>
    <w:rsid w:val="002123B5"/>
    <w:rsid w:val="0021254B"/>
    <w:rsid w:val="00231433"/>
    <w:rsid w:val="00236646"/>
    <w:rsid w:val="002440A2"/>
    <w:rsid w:val="002455CF"/>
    <w:rsid w:val="00247487"/>
    <w:rsid w:val="00257768"/>
    <w:rsid w:val="0026285E"/>
    <w:rsid w:val="00265C9D"/>
    <w:rsid w:val="00267C6D"/>
    <w:rsid w:val="002703AB"/>
    <w:rsid w:val="00273A87"/>
    <w:rsid w:val="00275B13"/>
    <w:rsid w:val="00275E56"/>
    <w:rsid w:val="00277616"/>
    <w:rsid w:val="00282056"/>
    <w:rsid w:val="00282256"/>
    <w:rsid w:val="002844BF"/>
    <w:rsid w:val="00285044"/>
    <w:rsid w:val="002856BC"/>
    <w:rsid w:val="00286DC7"/>
    <w:rsid w:val="00287107"/>
    <w:rsid w:val="00287402"/>
    <w:rsid w:val="0029322D"/>
    <w:rsid w:val="00295FDE"/>
    <w:rsid w:val="0029618A"/>
    <w:rsid w:val="002A20F5"/>
    <w:rsid w:val="002A489F"/>
    <w:rsid w:val="002A6409"/>
    <w:rsid w:val="002B0956"/>
    <w:rsid w:val="002B09D6"/>
    <w:rsid w:val="002B20A4"/>
    <w:rsid w:val="002B288D"/>
    <w:rsid w:val="002B7DD4"/>
    <w:rsid w:val="002C121D"/>
    <w:rsid w:val="002C3767"/>
    <w:rsid w:val="002C5B61"/>
    <w:rsid w:val="002C5D12"/>
    <w:rsid w:val="002C7E67"/>
    <w:rsid w:val="002D0BE6"/>
    <w:rsid w:val="002D1791"/>
    <w:rsid w:val="002D3381"/>
    <w:rsid w:val="002D4437"/>
    <w:rsid w:val="002D60CF"/>
    <w:rsid w:val="002E1ABA"/>
    <w:rsid w:val="002E44C6"/>
    <w:rsid w:val="002E564F"/>
    <w:rsid w:val="002E7319"/>
    <w:rsid w:val="002F0686"/>
    <w:rsid w:val="002F11BD"/>
    <w:rsid w:val="002F2CEC"/>
    <w:rsid w:val="002F3795"/>
    <w:rsid w:val="002F399F"/>
    <w:rsid w:val="002F4A4F"/>
    <w:rsid w:val="00302599"/>
    <w:rsid w:val="003028A3"/>
    <w:rsid w:val="0030794A"/>
    <w:rsid w:val="003161FF"/>
    <w:rsid w:val="00317C29"/>
    <w:rsid w:val="003245A3"/>
    <w:rsid w:val="00332CC6"/>
    <w:rsid w:val="00332D84"/>
    <w:rsid w:val="00333F3C"/>
    <w:rsid w:val="003367F4"/>
    <w:rsid w:val="0034047D"/>
    <w:rsid w:val="003407A4"/>
    <w:rsid w:val="00343E4B"/>
    <w:rsid w:val="0034765E"/>
    <w:rsid w:val="00351185"/>
    <w:rsid w:val="0035127D"/>
    <w:rsid w:val="00352C67"/>
    <w:rsid w:val="00353D19"/>
    <w:rsid w:val="00356B33"/>
    <w:rsid w:val="00361961"/>
    <w:rsid w:val="00361F53"/>
    <w:rsid w:val="00366E12"/>
    <w:rsid w:val="00367849"/>
    <w:rsid w:val="00367D1D"/>
    <w:rsid w:val="003701B1"/>
    <w:rsid w:val="00370367"/>
    <w:rsid w:val="0037070C"/>
    <w:rsid w:val="00375858"/>
    <w:rsid w:val="00380743"/>
    <w:rsid w:val="00381331"/>
    <w:rsid w:val="00382922"/>
    <w:rsid w:val="00382EF1"/>
    <w:rsid w:val="0038564E"/>
    <w:rsid w:val="00385C3D"/>
    <w:rsid w:val="0038793E"/>
    <w:rsid w:val="003900EE"/>
    <w:rsid w:val="00390549"/>
    <w:rsid w:val="00391BBF"/>
    <w:rsid w:val="00392878"/>
    <w:rsid w:val="00393AFF"/>
    <w:rsid w:val="00393BA4"/>
    <w:rsid w:val="003942DE"/>
    <w:rsid w:val="00394692"/>
    <w:rsid w:val="00394978"/>
    <w:rsid w:val="0039530E"/>
    <w:rsid w:val="003A010D"/>
    <w:rsid w:val="003A02BA"/>
    <w:rsid w:val="003A38E9"/>
    <w:rsid w:val="003A4D97"/>
    <w:rsid w:val="003A66C4"/>
    <w:rsid w:val="003A7D54"/>
    <w:rsid w:val="003B3155"/>
    <w:rsid w:val="003B4139"/>
    <w:rsid w:val="003B4A45"/>
    <w:rsid w:val="003B668E"/>
    <w:rsid w:val="003C14DB"/>
    <w:rsid w:val="003C1CEA"/>
    <w:rsid w:val="003C5519"/>
    <w:rsid w:val="003C68C5"/>
    <w:rsid w:val="003D51F5"/>
    <w:rsid w:val="003E0BAC"/>
    <w:rsid w:val="003E16F5"/>
    <w:rsid w:val="003E3564"/>
    <w:rsid w:val="003E735B"/>
    <w:rsid w:val="003F0F47"/>
    <w:rsid w:val="003F195B"/>
    <w:rsid w:val="003F3CCC"/>
    <w:rsid w:val="003F481E"/>
    <w:rsid w:val="003F6D4C"/>
    <w:rsid w:val="003F7719"/>
    <w:rsid w:val="00401D23"/>
    <w:rsid w:val="004056A8"/>
    <w:rsid w:val="00405BC7"/>
    <w:rsid w:val="00410E20"/>
    <w:rsid w:val="00412A2B"/>
    <w:rsid w:val="004241DA"/>
    <w:rsid w:val="00430F18"/>
    <w:rsid w:val="00432484"/>
    <w:rsid w:val="00434087"/>
    <w:rsid w:val="00434B9D"/>
    <w:rsid w:val="00435585"/>
    <w:rsid w:val="004360F9"/>
    <w:rsid w:val="004366C8"/>
    <w:rsid w:val="00441DE3"/>
    <w:rsid w:val="004435C4"/>
    <w:rsid w:val="004437FE"/>
    <w:rsid w:val="00446358"/>
    <w:rsid w:val="00446C20"/>
    <w:rsid w:val="004474BF"/>
    <w:rsid w:val="004477C6"/>
    <w:rsid w:val="00453F6C"/>
    <w:rsid w:val="004544C4"/>
    <w:rsid w:val="00462002"/>
    <w:rsid w:val="004633CB"/>
    <w:rsid w:val="0047063E"/>
    <w:rsid w:val="00470F61"/>
    <w:rsid w:val="004730DA"/>
    <w:rsid w:val="004743D4"/>
    <w:rsid w:val="00475361"/>
    <w:rsid w:val="00475545"/>
    <w:rsid w:val="00475C10"/>
    <w:rsid w:val="0047633C"/>
    <w:rsid w:val="004804D5"/>
    <w:rsid w:val="00485163"/>
    <w:rsid w:val="004853EE"/>
    <w:rsid w:val="00486A07"/>
    <w:rsid w:val="00487904"/>
    <w:rsid w:val="00490245"/>
    <w:rsid w:val="004904BE"/>
    <w:rsid w:val="00492CF6"/>
    <w:rsid w:val="004940B2"/>
    <w:rsid w:val="004A07C6"/>
    <w:rsid w:val="004A22A0"/>
    <w:rsid w:val="004A2B52"/>
    <w:rsid w:val="004A43A2"/>
    <w:rsid w:val="004A4BD0"/>
    <w:rsid w:val="004B2638"/>
    <w:rsid w:val="004B36C9"/>
    <w:rsid w:val="004B3B2D"/>
    <w:rsid w:val="004B6DC1"/>
    <w:rsid w:val="004C1696"/>
    <w:rsid w:val="004C1B77"/>
    <w:rsid w:val="004C1C9A"/>
    <w:rsid w:val="004C2774"/>
    <w:rsid w:val="004C32D8"/>
    <w:rsid w:val="004C4475"/>
    <w:rsid w:val="004C5D22"/>
    <w:rsid w:val="004C6399"/>
    <w:rsid w:val="004C69CA"/>
    <w:rsid w:val="004C7758"/>
    <w:rsid w:val="004D4126"/>
    <w:rsid w:val="004D4179"/>
    <w:rsid w:val="004E1681"/>
    <w:rsid w:val="004E212E"/>
    <w:rsid w:val="004E45AA"/>
    <w:rsid w:val="004F0413"/>
    <w:rsid w:val="004F0ED8"/>
    <w:rsid w:val="004F306E"/>
    <w:rsid w:val="004F32FF"/>
    <w:rsid w:val="004F3B1D"/>
    <w:rsid w:val="0050008D"/>
    <w:rsid w:val="00503771"/>
    <w:rsid w:val="00505FC9"/>
    <w:rsid w:val="00506CF6"/>
    <w:rsid w:val="005074AC"/>
    <w:rsid w:val="005075D5"/>
    <w:rsid w:val="0051285D"/>
    <w:rsid w:val="00517C3A"/>
    <w:rsid w:val="00521362"/>
    <w:rsid w:val="00522277"/>
    <w:rsid w:val="00522FA3"/>
    <w:rsid w:val="00524E49"/>
    <w:rsid w:val="00525651"/>
    <w:rsid w:val="005263DA"/>
    <w:rsid w:val="00526DC9"/>
    <w:rsid w:val="00532F40"/>
    <w:rsid w:val="005342B3"/>
    <w:rsid w:val="00537DEE"/>
    <w:rsid w:val="00540E3A"/>
    <w:rsid w:val="00547161"/>
    <w:rsid w:val="005478E7"/>
    <w:rsid w:val="005534D9"/>
    <w:rsid w:val="00555C46"/>
    <w:rsid w:val="00565156"/>
    <w:rsid w:val="005663C8"/>
    <w:rsid w:val="00583D01"/>
    <w:rsid w:val="00584ABA"/>
    <w:rsid w:val="005855CA"/>
    <w:rsid w:val="00591F4A"/>
    <w:rsid w:val="00592A87"/>
    <w:rsid w:val="0059528F"/>
    <w:rsid w:val="005A0B7C"/>
    <w:rsid w:val="005A3ADA"/>
    <w:rsid w:val="005A4007"/>
    <w:rsid w:val="005A4B7B"/>
    <w:rsid w:val="005A5981"/>
    <w:rsid w:val="005A6913"/>
    <w:rsid w:val="005B0771"/>
    <w:rsid w:val="005B70BF"/>
    <w:rsid w:val="005C0361"/>
    <w:rsid w:val="005C1A68"/>
    <w:rsid w:val="005C37A1"/>
    <w:rsid w:val="005C6D6B"/>
    <w:rsid w:val="005D0240"/>
    <w:rsid w:val="005D14E9"/>
    <w:rsid w:val="005D271F"/>
    <w:rsid w:val="005D2920"/>
    <w:rsid w:val="005D3418"/>
    <w:rsid w:val="005D4423"/>
    <w:rsid w:val="005D7BFB"/>
    <w:rsid w:val="005E0954"/>
    <w:rsid w:val="005E2028"/>
    <w:rsid w:val="005E53A3"/>
    <w:rsid w:val="005E55C9"/>
    <w:rsid w:val="005E616A"/>
    <w:rsid w:val="005E7EAA"/>
    <w:rsid w:val="005F2A2E"/>
    <w:rsid w:val="005F4083"/>
    <w:rsid w:val="005F5798"/>
    <w:rsid w:val="005F66AD"/>
    <w:rsid w:val="00600E07"/>
    <w:rsid w:val="006011C7"/>
    <w:rsid w:val="00601928"/>
    <w:rsid w:val="00606D31"/>
    <w:rsid w:val="00607229"/>
    <w:rsid w:val="006108F5"/>
    <w:rsid w:val="006111CA"/>
    <w:rsid w:val="00612684"/>
    <w:rsid w:val="006132B5"/>
    <w:rsid w:val="006142D9"/>
    <w:rsid w:val="00620503"/>
    <w:rsid w:val="00621C9D"/>
    <w:rsid w:val="006336FB"/>
    <w:rsid w:val="00634C1D"/>
    <w:rsid w:val="00640AC0"/>
    <w:rsid w:val="006417C9"/>
    <w:rsid w:val="00643708"/>
    <w:rsid w:val="00643D2B"/>
    <w:rsid w:val="00644920"/>
    <w:rsid w:val="006453B8"/>
    <w:rsid w:val="006453C3"/>
    <w:rsid w:val="00646E24"/>
    <w:rsid w:val="00651A18"/>
    <w:rsid w:val="00653479"/>
    <w:rsid w:val="00654C70"/>
    <w:rsid w:val="00656C6B"/>
    <w:rsid w:val="0066145C"/>
    <w:rsid w:val="00666F68"/>
    <w:rsid w:val="006708A1"/>
    <w:rsid w:val="0067091C"/>
    <w:rsid w:val="0067288D"/>
    <w:rsid w:val="00674127"/>
    <w:rsid w:val="00681A14"/>
    <w:rsid w:val="00682186"/>
    <w:rsid w:val="00684429"/>
    <w:rsid w:val="0068481E"/>
    <w:rsid w:val="00684923"/>
    <w:rsid w:val="00684EE9"/>
    <w:rsid w:val="0068613D"/>
    <w:rsid w:val="00691B8A"/>
    <w:rsid w:val="00692D2C"/>
    <w:rsid w:val="00696648"/>
    <w:rsid w:val="006A0C51"/>
    <w:rsid w:val="006A37F0"/>
    <w:rsid w:val="006A46B5"/>
    <w:rsid w:val="006A55F7"/>
    <w:rsid w:val="006A60FC"/>
    <w:rsid w:val="006A6545"/>
    <w:rsid w:val="006B48C9"/>
    <w:rsid w:val="006B4F4E"/>
    <w:rsid w:val="006B56C9"/>
    <w:rsid w:val="006C02A1"/>
    <w:rsid w:val="006C0EC8"/>
    <w:rsid w:val="006C101B"/>
    <w:rsid w:val="006C1051"/>
    <w:rsid w:val="006C1202"/>
    <w:rsid w:val="006C13EE"/>
    <w:rsid w:val="006C232C"/>
    <w:rsid w:val="006C33A0"/>
    <w:rsid w:val="006D21E5"/>
    <w:rsid w:val="006D325F"/>
    <w:rsid w:val="006D3C61"/>
    <w:rsid w:val="006E1718"/>
    <w:rsid w:val="006E3B52"/>
    <w:rsid w:val="006F2146"/>
    <w:rsid w:val="006F4E9C"/>
    <w:rsid w:val="006F596D"/>
    <w:rsid w:val="006F70D3"/>
    <w:rsid w:val="00701543"/>
    <w:rsid w:val="0070208A"/>
    <w:rsid w:val="00705132"/>
    <w:rsid w:val="0071521A"/>
    <w:rsid w:val="007175C6"/>
    <w:rsid w:val="00720D14"/>
    <w:rsid w:val="00720D7C"/>
    <w:rsid w:val="00720F48"/>
    <w:rsid w:val="00721DCC"/>
    <w:rsid w:val="00723C5E"/>
    <w:rsid w:val="00725187"/>
    <w:rsid w:val="0072641D"/>
    <w:rsid w:val="00734449"/>
    <w:rsid w:val="00736A2A"/>
    <w:rsid w:val="007444AD"/>
    <w:rsid w:val="007457BD"/>
    <w:rsid w:val="00745921"/>
    <w:rsid w:val="0074612B"/>
    <w:rsid w:val="0074741E"/>
    <w:rsid w:val="0074782B"/>
    <w:rsid w:val="007524D4"/>
    <w:rsid w:val="007526B7"/>
    <w:rsid w:val="00754761"/>
    <w:rsid w:val="00755697"/>
    <w:rsid w:val="00755C90"/>
    <w:rsid w:val="00756385"/>
    <w:rsid w:val="007640B2"/>
    <w:rsid w:val="00774782"/>
    <w:rsid w:val="007819F0"/>
    <w:rsid w:val="00781D75"/>
    <w:rsid w:val="0078220F"/>
    <w:rsid w:val="0078347F"/>
    <w:rsid w:val="007932B2"/>
    <w:rsid w:val="007934CA"/>
    <w:rsid w:val="0079610E"/>
    <w:rsid w:val="00797A74"/>
    <w:rsid w:val="007A0252"/>
    <w:rsid w:val="007A329F"/>
    <w:rsid w:val="007A4A3B"/>
    <w:rsid w:val="007A74DD"/>
    <w:rsid w:val="007B2DC0"/>
    <w:rsid w:val="007B4CA1"/>
    <w:rsid w:val="007B4FA1"/>
    <w:rsid w:val="007B563A"/>
    <w:rsid w:val="007B67F0"/>
    <w:rsid w:val="007C1142"/>
    <w:rsid w:val="007C1958"/>
    <w:rsid w:val="007C3F0E"/>
    <w:rsid w:val="007C4223"/>
    <w:rsid w:val="007C61CC"/>
    <w:rsid w:val="007C654B"/>
    <w:rsid w:val="007D1AFC"/>
    <w:rsid w:val="007D7FC0"/>
    <w:rsid w:val="007E6BB0"/>
    <w:rsid w:val="007E705A"/>
    <w:rsid w:val="007E7916"/>
    <w:rsid w:val="007F446E"/>
    <w:rsid w:val="007F5B82"/>
    <w:rsid w:val="007F5BF3"/>
    <w:rsid w:val="00800507"/>
    <w:rsid w:val="00800C65"/>
    <w:rsid w:val="00801A44"/>
    <w:rsid w:val="00803367"/>
    <w:rsid w:val="00810B19"/>
    <w:rsid w:val="00810EB5"/>
    <w:rsid w:val="00812906"/>
    <w:rsid w:val="008143DD"/>
    <w:rsid w:val="008151EA"/>
    <w:rsid w:val="00815911"/>
    <w:rsid w:val="00821D2A"/>
    <w:rsid w:val="008246B3"/>
    <w:rsid w:val="00824DB4"/>
    <w:rsid w:val="00824FF7"/>
    <w:rsid w:val="00827DF4"/>
    <w:rsid w:val="00831AA3"/>
    <w:rsid w:val="008351BE"/>
    <w:rsid w:val="00851314"/>
    <w:rsid w:val="0085534F"/>
    <w:rsid w:val="00860DDA"/>
    <w:rsid w:val="0086114B"/>
    <w:rsid w:val="00862F5D"/>
    <w:rsid w:val="00864A05"/>
    <w:rsid w:val="00872AF7"/>
    <w:rsid w:val="008733AE"/>
    <w:rsid w:val="008816A4"/>
    <w:rsid w:val="00882548"/>
    <w:rsid w:val="00882A31"/>
    <w:rsid w:val="00882FB1"/>
    <w:rsid w:val="00885DBC"/>
    <w:rsid w:val="008901CD"/>
    <w:rsid w:val="00893309"/>
    <w:rsid w:val="0089737B"/>
    <w:rsid w:val="008A2CD1"/>
    <w:rsid w:val="008B0E6B"/>
    <w:rsid w:val="008B1855"/>
    <w:rsid w:val="008B4938"/>
    <w:rsid w:val="008B4CCD"/>
    <w:rsid w:val="008C2122"/>
    <w:rsid w:val="008C27C2"/>
    <w:rsid w:val="008C2CF4"/>
    <w:rsid w:val="008D0630"/>
    <w:rsid w:val="008D0766"/>
    <w:rsid w:val="008D0F45"/>
    <w:rsid w:val="008D12F6"/>
    <w:rsid w:val="008D4DFE"/>
    <w:rsid w:val="008E3010"/>
    <w:rsid w:val="008F3006"/>
    <w:rsid w:val="00901F44"/>
    <w:rsid w:val="0090233E"/>
    <w:rsid w:val="00904D13"/>
    <w:rsid w:val="00912B96"/>
    <w:rsid w:val="00917E72"/>
    <w:rsid w:val="0092182A"/>
    <w:rsid w:val="0092193A"/>
    <w:rsid w:val="00924B9B"/>
    <w:rsid w:val="00926761"/>
    <w:rsid w:val="0092729F"/>
    <w:rsid w:val="00935868"/>
    <w:rsid w:val="00941AB5"/>
    <w:rsid w:val="00941EA1"/>
    <w:rsid w:val="00943010"/>
    <w:rsid w:val="00944123"/>
    <w:rsid w:val="0094449F"/>
    <w:rsid w:val="00944DBF"/>
    <w:rsid w:val="009502D9"/>
    <w:rsid w:val="00953577"/>
    <w:rsid w:val="00957766"/>
    <w:rsid w:val="00960A53"/>
    <w:rsid w:val="00963F57"/>
    <w:rsid w:val="00970022"/>
    <w:rsid w:val="009714C5"/>
    <w:rsid w:val="00972372"/>
    <w:rsid w:val="00983FF1"/>
    <w:rsid w:val="009848E4"/>
    <w:rsid w:val="009852E0"/>
    <w:rsid w:val="009950AB"/>
    <w:rsid w:val="00996B71"/>
    <w:rsid w:val="00996D82"/>
    <w:rsid w:val="009A0C19"/>
    <w:rsid w:val="009A1438"/>
    <w:rsid w:val="009A1E54"/>
    <w:rsid w:val="009A2831"/>
    <w:rsid w:val="009A3FFD"/>
    <w:rsid w:val="009A496F"/>
    <w:rsid w:val="009A5E5B"/>
    <w:rsid w:val="009B130C"/>
    <w:rsid w:val="009B5F90"/>
    <w:rsid w:val="009B7B14"/>
    <w:rsid w:val="009C2AF8"/>
    <w:rsid w:val="009C5A35"/>
    <w:rsid w:val="009C65AD"/>
    <w:rsid w:val="009D1E64"/>
    <w:rsid w:val="009D22A7"/>
    <w:rsid w:val="009D2385"/>
    <w:rsid w:val="009D3476"/>
    <w:rsid w:val="009D507C"/>
    <w:rsid w:val="009D701B"/>
    <w:rsid w:val="009E2A82"/>
    <w:rsid w:val="009F4132"/>
    <w:rsid w:val="009F5181"/>
    <w:rsid w:val="009F713C"/>
    <w:rsid w:val="009F74BD"/>
    <w:rsid w:val="00A00085"/>
    <w:rsid w:val="00A0058B"/>
    <w:rsid w:val="00A00686"/>
    <w:rsid w:val="00A01DBB"/>
    <w:rsid w:val="00A0229C"/>
    <w:rsid w:val="00A03206"/>
    <w:rsid w:val="00A03568"/>
    <w:rsid w:val="00A03F29"/>
    <w:rsid w:val="00A057E7"/>
    <w:rsid w:val="00A10618"/>
    <w:rsid w:val="00A11FA6"/>
    <w:rsid w:val="00A17C45"/>
    <w:rsid w:val="00A2289A"/>
    <w:rsid w:val="00A2315C"/>
    <w:rsid w:val="00A23F34"/>
    <w:rsid w:val="00A24635"/>
    <w:rsid w:val="00A24F50"/>
    <w:rsid w:val="00A26117"/>
    <w:rsid w:val="00A30E4D"/>
    <w:rsid w:val="00A34B4D"/>
    <w:rsid w:val="00A35F72"/>
    <w:rsid w:val="00A365DD"/>
    <w:rsid w:val="00A36B7F"/>
    <w:rsid w:val="00A37809"/>
    <w:rsid w:val="00A37B12"/>
    <w:rsid w:val="00A37BAE"/>
    <w:rsid w:val="00A40133"/>
    <w:rsid w:val="00A43F58"/>
    <w:rsid w:val="00A44B23"/>
    <w:rsid w:val="00A45484"/>
    <w:rsid w:val="00A46610"/>
    <w:rsid w:val="00A52084"/>
    <w:rsid w:val="00A52513"/>
    <w:rsid w:val="00A6307E"/>
    <w:rsid w:val="00A67A6E"/>
    <w:rsid w:val="00A750FF"/>
    <w:rsid w:val="00A75E21"/>
    <w:rsid w:val="00A75E8E"/>
    <w:rsid w:val="00A80FC3"/>
    <w:rsid w:val="00A81995"/>
    <w:rsid w:val="00A825F8"/>
    <w:rsid w:val="00A84B5F"/>
    <w:rsid w:val="00A87539"/>
    <w:rsid w:val="00A879F4"/>
    <w:rsid w:val="00A91A0C"/>
    <w:rsid w:val="00A920BE"/>
    <w:rsid w:val="00A92D76"/>
    <w:rsid w:val="00A95446"/>
    <w:rsid w:val="00A962D8"/>
    <w:rsid w:val="00AA1D98"/>
    <w:rsid w:val="00AA1F03"/>
    <w:rsid w:val="00AA2A54"/>
    <w:rsid w:val="00AA36C4"/>
    <w:rsid w:val="00AA461D"/>
    <w:rsid w:val="00AA4E5B"/>
    <w:rsid w:val="00AA5973"/>
    <w:rsid w:val="00AB10DA"/>
    <w:rsid w:val="00AB368D"/>
    <w:rsid w:val="00AB4914"/>
    <w:rsid w:val="00AB4986"/>
    <w:rsid w:val="00AB5E12"/>
    <w:rsid w:val="00AB7812"/>
    <w:rsid w:val="00AC1599"/>
    <w:rsid w:val="00AC1C9E"/>
    <w:rsid w:val="00AC259D"/>
    <w:rsid w:val="00AC2F9D"/>
    <w:rsid w:val="00AC4E39"/>
    <w:rsid w:val="00AC5040"/>
    <w:rsid w:val="00AC77ED"/>
    <w:rsid w:val="00AD424A"/>
    <w:rsid w:val="00AD5AAD"/>
    <w:rsid w:val="00AD616C"/>
    <w:rsid w:val="00AE2DC9"/>
    <w:rsid w:val="00AE301E"/>
    <w:rsid w:val="00AE33D8"/>
    <w:rsid w:val="00AE3D41"/>
    <w:rsid w:val="00AE3EF6"/>
    <w:rsid w:val="00AE4686"/>
    <w:rsid w:val="00AE75FD"/>
    <w:rsid w:val="00AE776C"/>
    <w:rsid w:val="00AF1FC1"/>
    <w:rsid w:val="00AF43CC"/>
    <w:rsid w:val="00AF4EF5"/>
    <w:rsid w:val="00AF4FBC"/>
    <w:rsid w:val="00AF6ED7"/>
    <w:rsid w:val="00AF7E2D"/>
    <w:rsid w:val="00B00C1E"/>
    <w:rsid w:val="00B054E9"/>
    <w:rsid w:val="00B059F8"/>
    <w:rsid w:val="00B05DD7"/>
    <w:rsid w:val="00B1042D"/>
    <w:rsid w:val="00B12DD4"/>
    <w:rsid w:val="00B157CF"/>
    <w:rsid w:val="00B1597A"/>
    <w:rsid w:val="00B17955"/>
    <w:rsid w:val="00B17DC8"/>
    <w:rsid w:val="00B2241F"/>
    <w:rsid w:val="00B30258"/>
    <w:rsid w:val="00B3573D"/>
    <w:rsid w:val="00B371A5"/>
    <w:rsid w:val="00B4452C"/>
    <w:rsid w:val="00B4626D"/>
    <w:rsid w:val="00B47281"/>
    <w:rsid w:val="00B47B8B"/>
    <w:rsid w:val="00B5069D"/>
    <w:rsid w:val="00B51BBE"/>
    <w:rsid w:val="00B53356"/>
    <w:rsid w:val="00B54819"/>
    <w:rsid w:val="00B65AB6"/>
    <w:rsid w:val="00B671AF"/>
    <w:rsid w:val="00B712A5"/>
    <w:rsid w:val="00B756F6"/>
    <w:rsid w:val="00B75C5B"/>
    <w:rsid w:val="00B76F1A"/>
    <w:rsid w:val="00B77456"/>
    <w:rsid w:val="00B8007D"/>
    <w:rsid w:val="00B807CF"/>
    <w:rsid w:val="00B809E3"/>
    <w:rsid w:val="00B813BC"/>
    <w:rsid w:val="00B82F78"/>
    <w:rsid w:val="00B844C8"/>
    <w:rsid w:val="00B8486E"/>
    <w:rsid w:val="00B8494A"/>
    <w:rsid w:val="00B856C2"/>
    <w:rsid w:val="00B85F1D"/>
    <w:rsid w:val="00B864A2"/>
    <w:rsid w:val="00B87793"/>
    <w:rsid w:val="00B96C51"/>
    <w:rsid w:val="00B973C9"/>
    <w:rsid w:val="00BA6E48"/>
    <w:rsid w:val="00BB0CAC"/>
    <w:rsid w:val="00BB25E5"/>
    <w:rsid w:val="00BB5C36"/>
    <w:rsid w:val="00BC146D"/>
    <w:rsid w:val="00BC24E8"/>
    <w:rsid w:val="00BC3962"/>
    <w:rsid w:val="00BC4748"/>
    <w:rsid w:val="00BC794A"/>
    <w:rsid w:val="00BC7C87"/>
    <w:rsid w:val="00BD0108"/>
    <w:rsid w:val="00BD1B9B"/>
    <w:rsid w:val="00BD2DC1"/>
    <w:rsid w:val="00BD37D9"/>
    <w:rsid w:val="00BD5523"/>
    <w:rsid w:val="00BD6C1F"/>
    <w:rsid w:val="00BD728E"/>
    <w:rsid w:val="00BE0949"/>
    <w:rsid w:val="00BE4154"/>
    <w:rsid w:val="00BF0C62"/>
    <w:rsid w:val="00BF531B"/>
    <w:rsid w:val="00BF73F0"/>
    <w:rsid w:val="00C01ADE"/>
    <w:rsid w:val="00C025A9"/>
    <w:rsid w:val="00C05051"/>
    <w:rsid w:val="00C061A8"/>
    <w:rsid w:val="00C061BF"/>
    <w:rsid w:val="00C06A6D"/>
    <w:rsid w:val="00C1121E"/>
    <w:rsid w:val="00C11DC2"/>
    <w:rsid w:val="00C1235F"/>
    <w:rsid w:val="00C15CDE"/>
    <w:rsid w:val="00C16160"/>
    <w:rsid w:val="00C24E1C"/>
    <w:rsid w:val="00C2530B"/>
    <w:rsid w:val="00C33F19"/>
    <w:rsid w:val="00C3600D"/>
    <w:rsid w:val="00C36E13"/>
    <w:rsid w:val="00C40682"/>
    <w:rsid w:val="00C41557"/>
    <w:rsid w:val="00C43014"/>
    <w:rsid w:val="00C43BEC"/>
    <w:rsid w:val="00C45CA8"/>
    <w:rsid w:val="00C47980"/>
    <w:rsid w:val="00C53537"/>
    <w:rsid w:val="00C54B8D"/>
    <w:rsid w:val="00C57DE7"/>
    <w:rsid w:val="00C57FB7"/>
    <w:rsid w:val="00C61DC0"/>
    <w:rsid w:val="00C642C6"/>
    <w:rsid w:val="00C7067A"/>
    <w:rsid w:val="00C70719"/>
    <w:rsid w:val="00C739E4"/>
    <w:rsid w:val="00C74314"/>
    <w:rsid w:val="00C82850"/>
    <w:rsid w:val="00C82AED"/>
    <w:rsid w:val="00C8349F"/>
    <w:rsid w:val="00C841BD"/>
    <w:rsid w:val="00C851EF"/>
    <w:rsid w:val="00C85BAB"/>
    <w:rsid w:val="00C87933"/>
    <w:rsid w:val="00C92820"/>
    <w:rsid w:val="00C92A4A"/>
    <w:rsid w:val="00C92E90"/>
    <w:rsid w:val="00C93D96"/>
    <w:rsid w:val="00C941B3"/>
    <w:rsid w:val="00C94F55"/>
    <w:rsid w:val="00C970D1"/>
    <w:rsid w:val="00CA52F6"/>
    <w:rsid w:val="00CA5B44"/>
    <w:rsid w:val="00CA6945"/>
    <w:rsid w:val="00CB026A"/>
    <w:rsid w:val="00CB1888"/>
    <w:rsid w:val="00CB37AA"/>
    <w:rsid w:val="00CB46D1"/>
    <w:rsid w:val="00CB4786"/>
    <w:rsid w:val="00CC1530"/>
    <w:rsid w:val="00CC2D20"/>
    <w:rsid w:val="00CC3654"/>
    <w:rsid w:val="00CC5E74"/>
    <w:rsid w:val="00CC7DC0"/>
    <w:rsid w:val="00CD3460"/>
    <w:rsid w:val="00CD36C2"/>
    <w:rsid w:val="00CD5125"/>
    <w:rsid w:val="00CD539A"/>
    <w:rsid w:val="00CD7802"/>
    <w:rsid w:val="00CD7A2B"/>
    <w:rsid w:val="00CE45C7"/>
    <w:rsid w:val="00CE6921"/>
    <w:rsid w:val="00CF32F1"/>
    <w:rsid w:val="00CF348D"/>
    <w:rsid w:val="00CF3CA0"/>
    <w:rsid w:val="00D00FB8"/>
    <w:rsid w:val="00D01B36"/>
    <w:rsid w:val="00D01EA8"/>
    <w:rsid w:val="00D029CE"/>
    <w:rsid w:val="00D02FD7"/>
    <w:rsid w:val="00D03A37"/>
    <w:rsid w:val="00D064BC"/>
    <w:rsid w:val="00D0767C"/>
    <w:rsid w:val="00D12715"/>
    <w:rsid w:val="00D1309C"/>
    <w:rsid w:val="00D14CA9"/>
    <w:rsid w:val="00D155EA"/>
    <w:rsid w:val="00D15A86"/>
    <w:rsid w:val="00D1701D"/>
    <w:rsid w:val="00D25282"/>
    <w:rsid w:val="00D32350"/>
    <w:rsid w:val="00D33894"/>
    <w:rsid w:val="00D33EB1"/>
    <w:rsid w:val="00D3594F"/>
    <w:rsid w:val="00D3611F"/>
    <w:rsid w:val="00D36E95"/>
    <w:rsid w:val="00D37F26"/>
    <w:rsid w:val="00D423C4"/>
    <w:rsid w:val="00D45820"/>
    <w:rsid w:val="00D46053"/>
    <w:rsid w:val="00D46811"/>
    <w:rsid w:val="00D47218"/>
    <w:rsid w:val="00D504D4"/>
    <w:rsid w:val="00D54662"/>
    <w:rsid w:val="00D57AB3"/>
    <w:rsid w:val="00D61210"/>
    <w:rsid w:val="00D64124"/>
    <w:rsid w:val="00D74049"/>
    <w:rsid w:val="00D74DA8"/>
    <w:rsid w:val="00D807ED"/>
    <w:rsid w:val="00D81625"/>
    <w:rsid w:val="00D83C22"/>
    <w:rsid w:val="00D8779F"/>
    <w:rsid w:val="00D87FC0"/>
    <w:rsid w:val="00D90AF3"/>
    <w:rsid w:val="00D90D14"/>
    <w:rsid w:val="00D91CEC"/>
    <w:rsid w:val="00D93FE9"/>
    <w:rsid w:val="00D95FDB"/>
    <w:rsid w:val="00D97070"/>
    <w:rsid w:val="00DA0852"/>
    <w:rsid w:val="00DA0A5C"/>
    <w:rsid w:val="00DA0E9C"/>
    <w:rsid w:val="00DA196C"/>
    <w:rsid w:val="00DA2489"/>
    <w:rsid w:val="00DB035E"/>
    <w:rsid w:val="00DB083E"/>
    <w:rsid w:val="00DB20B7"/>
    <w:rsid w:val="00DB4C39"/>
    <w:rsid w:val="00DB5E72"/>
    <w:rsid w:val="00DB7944"/>
    <w:rsid w:val="00DC2107"/>
    <w:rsid w:val="00DC2EF8"/>
    <w:rsid w:val="00DD0E72"/>
    <w:rsid w:val="00DD234A"/>
    <w:rsid w:val="00DD2717"/>
    <w:rsid w:val="00DD2EC8"/>
    <w:rsid w:val="00DD4BC6"/>
    <w:rsid w:val="00DD79B1"/>
    <w:rsid w:val="00DE0261"/>
    <w:rsid w:val="00DE3AB7"/>
    <w:rsid w:val="00DE542A"/>
    <w:rsid w:val="00DF0885"/>
    <w:rsid w:val="00DF2F58"/>
    <w:rsid w:val="00DF37F7"/>
    <w:rsid w:val="00DF5950"/>
    <w:rsid w:val="00DF5FF4"/>
    <w:rsid w:val="00E00F5A"/>
    <w:rsid w:val="00E0428C"/>
    <w:rsid w:val="00E05012"/>
    <w:rsid w:val="00E1389B"/>
    <w:rsid w:val="00E15607"/>
    <w:rsid w:val="00E205A4"/>
    <w:rsid w:val="00E227A3"/>
    <w:rsid w:val="00E25011"/>
    <w:rsid w:val="00E2727F"/>
    <w:rsid w:val="00E278DC"/>
    <w:rsid w:val="00E303F9"/>
    <w:rsid w:val="00E3112A"/>
    <w:rsid w:val="00E4175A"/>
    <w:rsid w:val="00E419B6"/>
    <w:rsid w:val="00E45FE6"/>
    <w:rsid w:val="00E466D1"/>
    <w:rsid w:val="00E50F5E"/>
    <w:rsid w:val="00E5218B"/>
    <w:rsid w:val="00E52BC6"/>
    <w:rsid w:val="00E54502"/>
    <w:rsid w:val="00E54F1F"/>
    <w:rsid w:val="00E6224C"/>
    <w:rsid w:val="00E64FD5"/>
    <w:rsid w:val="00E669C1"/>
    <w:rsid w:val="00E66CA2"/>
    <w:rsid w:val="00E71684"/>
    <w:rsid w:val="00E73459"/>
    <w:rsid w:val="00E73B6D"/>
    <w:rsid w:val="00E774E9"/>
    <w:rsid w:val="00E8289F"/>
    <w:rsid w:val="00E85DB7"/>
    <w:rsid w:val="00E86DE9"/>
    <w:rsid w:val="00E9051B"/>
    <w:rsid w:val="00E90809"/>
    <w:rsid w:val="00E91280"/>
    <w:rsid w:val="00E914E4"/>
    <w:rsid w:val="00E94442"/>
    <w:rsid w:val="00E95C2C"/>
    <w:rsid w:val="00E969A2"/>
    <w:rsid w:val="00E97B8B"/>
    <w:rsid w:val="00EA1386"/>
    <w:rsid w:val="00EA553D"/>
    <w:rsid w:val="00EA7023"/>
    <w:rsid w:val="00EB5297"/>
    <w:rsid w:val="00EC0B1D"/>
    <w:rsid w:val="00EC3A3A"/>
    <w:rsid w:val="00EC3DCF"/>
    <w:rsid w:val="00EC3FE4"/>
    <w:rsid w:val="00EC6D5F"/>
    <w:rsid w:val="00EC71D7"/>
    <w:rsid w:val="00ED01A2"/>
    <w:rsid w:val="00ED335B"/>
    <w:rsid w:val="00ED3570"/>
    <w:rsid w:val="00ED4A56"/>
    <w:rsid w:val="00ED523F"/>
    <w:rsid w:val="00ED5D64"/>
    <w:rsid w:val="00ED6AA4"/>
    <w:rsid w:val="00ED7034"/>
    <w:rsid w:val="00EE1D22"/>
    <w:rsid w:val="00EE4488"/>
    <w:rsid w:val="00EE4698"/>
    <w:rsid w:val="00EE4D0B"/>
    <w:rsid w:val="00EE5DF5"/>
    <w:rsid w:val="00EE6A81"/>
    <w:rsid w:val="00EE7338"/>
    <w:rsid w:val="00EE7B95"/>
    <w:rsid w:val="00EF258D"/>
    <w:rsid w:val="00EF4BAC"/>
    <w:rsid w:val="00EF51AE"/>
    <w:rsid w:val="00EF76D8"/>
    <w:rsid w:val="00F0150F"/>
    <w:rsid w:val="00F02A14"/>
    <w:rsid w:val="00F03802"/>
    <w:rsid w:val="00F043B1"/>
    <w:rsid w:val="00F05ADA"/>
    <w:rsid w:val="00F069BD"/>
    <w:rsid w:val="00F1488B"/>
    <w:rsid w:val="00F15079"/>
    <w:rsid w:val="00F15CCD"/>
    <w:rsid w:val="00F17E6E"/>
    <w:rsid w:val="00F2062D"/>
    <w:rsid w:val="00F24136"/>
    <w:rsid w:val="00F2432E"/>
    <w:rsid w:val="00F26A92"/>
    <w:rsid w:val="00F26C66"/>
    <w:rsid w:val="00F275C3"/>
    <w:rsid w:val="00F278FD"/>
    <w:rsid w:val="00F27D7F"/>
    <w:rsid w:val="00F312EA"/>
    <w:rsid w:val="00F340D5"/>
    <w:rsid w:val="00F36459"/>
    <w:rsid w:val="00F40337"/>
    <w:rsid w:val="00F43690"/>
    <w:rsid w:val="00F50F52"/>
    <w:rsid w:val="00F52C4E"/>
    <w:rsid w:val="00F571E1"/>
    <w:rsid w:val="00F62D76"/>
    <w:rsid w:val="00F64805"/>
    <w:rsid w:val="00F65AC7"/>
    <w:rsid w:val="00F677BC"/>
    <w:rsid w:val="00F70BDA"/>
    <w:rsid w:val="00F70F7E"/>
    <w:rsid w:val="00F7238A"/>
    <w:rsid w:val="00F74857"/>
    <w:rsid w:val="00F74DAE"/>
    <w:rsid w:val="00F76637"/>
    <w:rsid w:val="00F83C70"/>
    <w:rsid w:val="00F85F4D"/>
    <w:rsid w:val="00F9330F"/>
    <w:rsid w:val="00F97924"/>
    <w:rsid w:val="00FA0CDA"/>
    <w:rsid w:val="00FA2C0F"/>
    <w:rsid w:val="00FA301C"/>
    <w:rsid w:val="00FA4C00"/>
    <w:rsid w:val="00FA5430"/>
    <w:rsid w:val="00FA6178"/>
    <w:rsid w:val="00FA7579"/>
    <w:rsid w:val="00FA7733"/>
    <w:rsid w:val="00FB194B"/>
    <w:rsid w:val="00FB43FF"/>
    <w:rsid w:val="00FB4476"/>
    <w:rsid w:val="00FB4A52"/>
    <w:rsid w:val="00FB56FA"/>
    <w:rsid w:val="00FB60AB"/>
    <w:rsid w:val="00FB7E80"/>
    <w:rsid w:val="00FC0EAF"/>
    <w:rsid w:val="00FC2F67"/>
    <w:rsid w:val="00FC3527"/>
    <w:rsid w:val="00FC425F"/>
    <w:rsid w:val="00FC50F4"/>
    <w:rsid w:val="00FC78AA"/>
    <w:rsid w:val="00FD086D"/>
    <w:rsid w:val="00FD22B1"/>
    <w:rsid w:val="00FD2EBB"/>
    <w:rsid w:val="00FD3DD1"/>
    <w:rsid w:val="00FD51B3"/>
    <w:rsid w:val="00FD7BBE"/>
    <w:rsid w:val="00FE542F"/>
    <w:rsid w:val="00FE5533"/>
    <w:rsid w:val="00FE75D2"/>
    <w:rsid w:val="00FF6B83"/>
    <w:rsid w:val="00FF6E13"/>
    <w:rsid w:val="00FF71FE"/>
    <w:rsid w:val="00FF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857DD51"/>
  <w15:docId w15:val="{D79C4745-54B2-4518-96CC-5C70A947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E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1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50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50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6B"/>
    <w:pPr>
      <w:ind w:left="720"/>
      <w:contextualSpacing/>
    </w:pPr>
  </w:style>
  <w:style w:type="character" w:styleId="CommentReference">
    <w:name w:val="annotation reference"/>
    <w:basedOn w:val="DefaultParagraphFont"/>
    <w:uiPriority w:val="99"/>
    <w:semiHidden/>
    <w:unhideWhenUsed/>
    <w:rsid w:val="008B0E6B"/>
    <w:rPr>
      <w:sz w:val="16"/>
      <w:szCs w:val="16"/>
    </w:rPr>
  </w:style>
  <w:style w:type="paragraph" w:styleId="CommentText">
    <w:name w:val="annotation text"/>
    <w:basedOn w:val="Normal"/>
    <w:link w:val="CommentTextChar"/>
    <w:uiPriority w:val="99"/>
    <w:unhideWhenUsed/>
    <w:rsid w:val="008B0E6B"/>
    <w:rPr>
      <w:sz w:val="20"/>
      <w:szCs w:val="20"/>
    </w:rPr>
  </w:style>
  <w:style w:type="character" w:customStyle="1" w:styleId="CommentTextChar">
    <w:name w:val="Comment Text Char"/>
    <w:basedOn w:val="DefaultParagraphFont"/>
    <w:link w:val="CommentText"/>
    <w:uiPriority w:val="99"/>
    <w:rsid w:val="008B0E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0E6B"/>
    <w:pPr>
      <w:tabs>
        <w:tab w:val="center" w:pos="4680"/>
        <w:tab w:val="right" w:pos="9360"/>
      </w:tabs>
    </w:pPr>
  </w:style>
  <w:style w:type="character" w:customStyle="1" w:styleId="FooterChar">
    <w:name w:val="Footer Char"/>
    <w:basedOn w:val="DefaultParagraphFont"/>
    <w:link w:val="Footer"/>
    <w:uiPriority w:val="99"/>
    <w:rsid w:val="008B0E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E6B"/>
    <w:rPr>
      <w:rFonts w:ascii="Tahoma" w:hAnsi="Tahoma" w:cs="Tahoma"/>
      <w:sz w:val="16"/>
      <w:szCs w:val="16"/>
    </w:rPr>
  </w:style>
  <w:style w:type="character" w:customStyle="1" w:styleId="BalloonTextChar">
    <w:name w:val="Balloon Text Char"/>
    <w:basedOn w:val="DefaultParagraphFont"/>
    <w:link w:val="BalloonText"/>
    <w:uiPriority w:val="99"/>
    <w:semiHidden/>
    <w:rsid w:val="008B0E6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1961"/>
    <w:rPr>
      <w:b/>
      <w:bCs/>
    </w:rPr>
  </w:style>
  <w:style w:type="character" w:customStyle="1" w:styleId="CommentSubjectChar">
    <w:name w:val="Comment Subject Char"/>
    <w:basedOn w:val="CommentTextChar"/>
    <w:link w:val="CommentSubject"/>
    <w:uiPriority w:val="99"/>
    <w:semiHidden/>
    <w:rsid w:val="00361961"/>
    <w:rPr>
      <w:rFonts w:ascii="Times New Roman" w:eastAsia="Times New Roman" w:hAnsi="Times New Roman" w:cs="Times New Roman"/>
      <w:b/>
      <w:bCs/>
      <w:sz w:val="20"/>
      <w:szCs w:val="20"/>
    </w:rPr>
  </w:style>
  <w:style w:type="character" w:styleId="Hyperlink">
    <w:name w:val="Hyperlink"/>
    <w:basedOn w:val="DefaultParagraphFont"/>
    <w:uiPriority w:val="99"/>
    <w:rsid w:val="00D25282"/>
    <w:rPr>
      <w:color w:val="0000FF"/>
      <w:u w:val="single"/>
    </w:rPr>
  </w:style>
  <w:style w:type="paragraph" w:styleId="PlainText">
    <w:name w:val="Plain Text"/>
    <w:basedOn w:val="Normal"/>
    <w:link w:val="PlainTextChar"/>
    <w:uiPriority w:val="99"/>
    <w:rsid w:val="00D25282"/>
    <w:pPr>
      <w:widowControl w:val="0"/>
    </w:pPr>
    <w:rPr>
      <w:rFonts w:ascii="Courier New" w:hAnsi="Courier New"/>
      <w:snapToGrid w:val="0"/>
      <w:sz w:val="20"/>
      <w:szCs w:val="20"/>
    </w:rPr>
  </w:style>
  <w:style w:type="character" w:customStyle="1" w:styleId="PlainTextChar">
    <w:name w:val="Plain Text Char"/>
    <w:basedOn w:val="DefaultParagraphFont"/>
    <w:link w:val="PlainText"/>
    <w:uiPriority w:val="99"/>
    <w:rsid w:val="00D25282"/>
    <w:rPr>
      <w:rFonts w:ascii="Courier New" w:eastAsia="Times New Roman" w:hAnsi="Courier New" w:cs="Times New Roman"/>
      <w:snapToGrid w:val="0"/>
      <w:sz w:val="20"/>
      <w:szCs w:val="20"/>
    </w:rPr>
  </w:style>
  <w:style w:type="table" w:styleId="TableGrid">
    <w:name w:val="Table Grid"/>
    <w:basedOn w:val="TableNormal"/>
    <w:uiPriority w:val="59"/>
    <w:rsid w:val="007C11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
    <w:name w:val="ti"/>
    <w:basedOn w:val="DefaultParagraphFont"/>
    <w:rsid w:val="007C1142"/>
  </w:style>
  <w:style w:type="character" w:customStyle="1" w:styleId="featuredlinkouts">
    <w:name w:val="featured_linkouts"/>
    <w:basedOn w:val="DefaultParagraphFont"/>
    <w:rsid w:val="007C1142"/>
  </w:style>
  <w:style w:type="paragraph" w:styleId="Revision">
    <w:name w:val="Revision"/>
    <w:hidden/>
    <w:uiPriority w:val="99"/>
    <w:semiHidden/>
    <w:rsid w:val="00F70BDA"/>
    <w:pPr>
      <w:spacing w:after="0" w:line="240" w:lineRule="auto"/>
    </w:pPr>
    <w:rPr>
      <w:rFonts w:ascii="Times New Roman" w:eastAsia="Times New Roman" w:hAnsi="Times New Roman" w:cs="Times New Roman"/>
      <w:sz w:val="24"/>
      <w:szCs w:val="24"/>
    </w:rPr>
  </w:style>
  <w:style w:type="paragraph" w:customStyle="1" w:styleId="Default">
    <w:name w:val="Default"/>
    <w:rsid w:val="003404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24635"/>
    <w:pPr>
      <w:tabs>
        <w:tab w:val="center" w:pos="4680"/>
        <w:tab w:val="right" w:pos="9360"/>
      </w:tabs>
    </w:pPr>
  </w:style>
  <w:style w:type="character" w:customStyle="1" w:styleId="HeaderChar">
    <w:name w:val="Header Char"/>
    <w:basedOn w:val="DefaultParagraphFont"/>
    <w:link w:val="Header"/>
    <w:uiPriority w:val="99"/>
    <w:rsid w:val="00A2463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C79E2"/>
    <w:rPr>
      <w:color w:val="800080" w:themeColor="followedHyperlink"/>
      <w:u w:val="single"/>
    </w:rPr>
  </w:style>
  <w:style w:type="paragraph" w:styleId="TOC2">
    <w:name w:val="toc 2"/>
    <w:autoRedefine/>
    <w:uiPriority w:val="39"/>
    <w:qFormat/>
    <w:rsid w:val="006E1718"/>
    <w:pPr>
      <w:tabs>
        <w:tab w:val="left" w:pos="720"/>
        <w:tab w:val="right" w:leader="dot" w:pos="9494"/>
      </w:tabs>
      <w:spacing w:beforeLines="120" w:afterLines="120" w:line="240" w:lineRule="auto"/>
    </w:pPr>
    <w:rPr>
      <w:rFonts w:eastAsia="Times New Roman" w:cs="Times New Roman"/>
      <w:b/>
      <w:smallCaps/>
      <w:noProof/>
      <w:sz w:val="24"/>
      <w:szCs w:val="20"/>
    </w:rPr>
  </w:style>
  <w:style w:type="paragraph" w:customStyle="1" w:styleId="Level1">
    <w:name w:val="Level 1"/>
    <w:rsid w:val="006E1718"/>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6E1718"/>
    <w:pPr>
      <w:widowControl w:val="0"/>
      <w:overflowPunct w:val="0"/>
      <w:autoSpaceDE w:val="0"/>
      <w:autoSpaceDN w:val="0"/>
      <w:adjustRightInd w:val="0"/>
      <w:textAlignment w:val="baseline"/>
    </w:pPr>
    <w:rPr>
      <w:b/>
      <w:szCs w:val="20"/>
    </w:rPr>
  </w:style>
  <w:style w:type="character" w:customStyle="1" w:styleId="Heading1Char">
    <w:name w:val="Heading 1 Char"/>
    <w:basedOn w:val="DefaultParagraphFont"/>
    <w:link w:val="Heading1"/>
    <w:uiPriority w:val="9"/>
    <w:rsid w:val="004C1B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1B77"/>
    <w:pPr>
      <w:spacing w:line="276" w:lineRule="auto"/>
      <w:outlineLvl w:val="9"/>
    </w:pPr>
  </w:style>
  <w:style w:type="paragraph" w:styleId="TOC1">
    <w:name w:val="toc 1"/>
    <w:basedOn w:val="Normal"/>
    <w:next w:val="Normal"/>
    <w:autoRedefine/>
    <w:uiPriority w:val="39"/>
    <w:unhideWhenUsed/>
    <w:qFormat/>
    <w:rsid w:val="003367F4"/>
    <w:pPr>
      <w:tabs>
        <w:tab w:val="right" w:leader="dot" w:pos="9350"/>
      </w:tabs>
      <w:spacing w:after="100"/>
      <w:ind w:left="450" w:hanging="450"/>
    </w:pPr>
    <w:rPr>
      <w:noProof/>
    </w:rPr>
  </w:style>
  <w:style w:type="paragraph" w:styleId="TOC3">
    <w:name w:val="toc 3"/>
    <w:basedOn w:val="Normal"/>
    <w:next w:val="Normal"/>
    <w:autoRedefine/>
    <w:uiPriority w:val="39"/>
    <w:unhideWhenUsed/>
    <w:qFormat/>
    <w:rsid w:val="004C1B77"/>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59528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950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950AB"/>
    <w:rPr>
      <w:rFonts w:asciiTheme="majorHAnsi" w:eastAsiaTheme="majorEastAsia" w:hAnsiTheme="majorHAnsi" w:cstheme="majorBidi"/>
      <w:b/>
      <w:bCs/>
      <w:color w:val="4F81BD" w:themeColor="accent1"/>
      <w:sz w:val="24"/>
      <w:szCs w:val="24"/>
    </w:rPr>
  </w:style>
  <w:style w:type="paragraph" w:styleId="NormalWeb">
    <w:name w:val="Normal (Web)"/>
    <w:basedOn w:val="Default"/>
    <w:next w:val="Default"/>
    <w:uiPriority w:val="99"/>
    <w:rsid w:val="00705132"/>
    <w:rPr>
      <w:rFonts w:eastAsiaTheme="minorHAnsi"/>
      <w:color w:val="auto"/>
    </w:rPr>
  </w:style>
  <w:style w:type="paragraph" w:styleId="FootnoteText">
    <w:name w:val="footnote text"/>
    <w:basedOn w:val="Normal"/>
    <w:link w:val="FootnoteTextChar"/>
    <w:uiPriority w:val="99"/>
    <w:unhideWhenUsed/>
    <w:rsid w:val="0070513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05132"/>
    <w:rPr>
      <w:sz w:val="20"/>
      <w:szCs w:val="20"/>
    </w:rPr>
  </w:style>
  <w:style w:type="character" w:styleId="FootnoteReference">
    <w:name w:val="footnote reference"/>
    <w:basedOn w:val="DefaultParagraphFont"/>
    <w:uiPriority w:val="99"/>
    <w:semiHidden/>
    <w:unhideWhenUsed/>
    <w:rsid w:val="00705132"/>
    <w:rPr>
      <w:vertAlign w:val="superscript"/>
    </w:rPr>
  </w:style>
  <w:style w:type="table" w:customStyle="1" w:styleId="TableGrid1">
    <w:name w:val="Table Grid1"/>
    <w:basedOn w:val="TableNormal"/>
    <w:next w:val="TableGrid"/>
    <w:uiPriority w:val="59"/>
    <w:rsid w:val="0070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B5E12"/>
    <w:pPr>
      <w:jc w:val="center"/>
    </w:pPr>
    <w:rPr>
      <w:noProof/>
    </w:rPr>
  </w:style>
  <w:style w:type="character" w:customStyle="1" w:styleId="EndNoteBibliographyTitleChar">
    <w:name w:val="EndNote Bibliography Title Char"/>
    <w:basedOn w:val="FootnoteTextChar"/>
    <w:link w:val="EndNoteBibliographyTitle"/>
    <w:rsid w:val="00AB5E12"/>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AB5E12"/>
    <w:rPr>
      <w:noProof/>
    </w:rPr>
  </w:style>
  <w:style w:type="character" w:customStyle="1" w:styleId="EndNoteBibliographyChar">
    <w:name w:val="EndNote Bibliography Char"/>
    <w:basedOn w:val="FootnoteTextChar"/>
    <w:link w:val="EndNoteBibliography"/>
    <w:rsid w:val="00AB5E12"/>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3599">
      <w:bodyDiv w:val="1"/>
      <w:marLeft w:val="0"/>
      <w:marRight w:val="0"/>
      <w:marTop w:val="0"/>
      <w:marBottom w:val="0"/>
      <w:divBdr>
        <w:top w:val="none" w:sz="0" w:space="0" w:color="auto"/>
        <w:left w:val="none" w:sz="0" w:space="0" w:color="auto"/>
        <w:bottom w:val="none" w:sz="0" w:space="0" w:color="auto"/>
        <w:right w:val="none" w:sz="0" w:space="0" w:color="auto"/>
      </w:divBdr>
    </w:div>
    <w:div w:id="153568170">
      <w:bodyDiv w:val="1"/>
      <w:marLeft w:val="0"/>
      <w:marRight w:val="0"/>
      <w:marTop w:val="0"/>
      <w:marBottom w:val="0"/>
      <w:divBdr>
        <w:top w:val="none" w:sz="0" w:space="0" w:color="auto"/>
        <w:left w:val="none" w:sz="0" w:space="0" w:color="auto"/>
        <w:bottom w:val="none" w:sz="0" w:space="0" w:color="auto"/>
        <w:right w:val="none" w:sz="0" w:space="0" w:color="auto"/>
      </w:divBdr>
    </w:div>
    <w:div w:id="425537393">
      <w:bodyDiv w:val="1"/>
      <w:marLeft w:val="60"/>
      <w:marRight w:val="60"/>
      <w:marTop w:val="60"/>
      <w:marBottom w:val="15"/>
      <w:divBdr>
        <w:top w:val="none" w:sz="0" w:space="0" w:color="auto"/>
        <w:left w:val="none" w:sz="0" w:space="0" w:color="auto"/>
        <w:bottom w:val="none" w:sz="0" w:space="0" w:color="auto"/>
        <w:right w:val="none" w:sz="0" w:space="0" w:color="auto"/>
      </w:divBdr>
      <w:divsChild>
        <w:div w:id="451556456">
          <w:marLeft w:val="0"/>
          <w:marRight w:val="0"/>
          <w:marTop w:val="0"/>
          <w:marBottom w:val="0"/>
          <w:divBdr>
            <w:top w:val="none" w:sz="0" w:space="0" w:color="auto"/>
            <w:left w:val="none" w:sz="0" w:space="0" w:color="auto"/>
            <w:bottom w:val="none" w:sz="0" w:space="0" w:color="auto"/>
            <w:right w:val="none" w:sz="0" w:space="0" w:color="auto"/>
          </w:divBdr>
        </w:div>
        <w:div w:id="517157544">
          <w:marLeft w:val="0"/>
          <w:marRight w:val="0"/>
          <w:marTop w:val="0"/>
          <w:marBottom w:val="0"/>
          <w:divBdr>
            <w:top w:val="none" w:sz="0" w:space="0" w:color="auto"/>
            <w:left w:val="none" w:sz="0" w:space="0" w:color="auto"/>
            <w:bottom w:val="none" w:sz="0" w:space="0" w:color="auto"/>
            <w:right w:val="none" w:sz="0" w:space="0" w:color="auto"/>
          </w:divBdr>
        </w:div>
        <w:div w:id="705526565">
          <w:marLeft w:val="0"/>
          <w:marRight w:val="0"/>
          <w:marTop w:val="0"/>
          <w:marBottom w:val="0"/>
          <w:divBdr>
            <w:top w:val="none" w:sz="0" w:space="0" w:color="auto"/>
            <w:left w:val="none" w:sz="0" w:space="0" w:color="auto"/>
            <w:bottom w:val="none" w:sz="0" w:space="0" w:color="auto"/>
            <w:right w:val="none" w:sz="0" w:space="0" w:color="auto"/>
          </w:divBdr>
        </w:div>
        <w:div w:id="1043558354">
          <w:marLeft w:val="0"/>
          <w:marRight w:val="0"/>
          <w:marTop w:val="0"/>
          <w:marBottom w:val="0"/>
          <w:divBdr>
            <w:top w:val="none" w:sz="0" w:space="0" w:color="auto"/>
            <w:left w:val="none" w:sz="0" w:space="0" w:color="auto"/>
            <w:bottom w:val="none" w:sz="0" w:space="0" w:color="auto"/>
            <w:right w:val="none" w:sz="0" w:space="0" w:color="auto"/>
          </w:divBdr>
        </w:div>
        <w:div w:id="1183663753">
          <w:marLeft w:val="0"/>
          <w:marRight w:val="0"/>
          <w:marTop w:val="0"/>
          <w:marBottom w:val="0"/>
          <w:divBdr>
            <w:top w:val="none" w:sz="0" w:space="0" w:color="auto"/>
            <w:left w:val="none" w:sz="0" w:space="0" w:color="auto"/>
            <w:bottom w:val="none" w:sz="0" w:space="0" w:color="auto"/>
            <w:right w:val="none" w:sz="0" w:space="0" w:color="auto"/>
          </w:divBdr>
        </w:div>
        <w:div w:id="1226840192">
          <w:marLeft w:val="0"/>
          <w:marRight w:val="0"/>
          <w:marTop w:val="0"/>
          <w:marBottom w:val="0"/>
          <w:divBdr>
            <w:top w:val="none" w:sz="0" w:space="0" w:color="auto"/>
            <w:left w:val="none" w:sz="0" w:space="0" w:color="auto"/>
            <w:bottom w:val="none" w:sz="0" w:space="0" w:color="auto"/>
            <w:right w:val="none" w:sz="0" w:space="0" w:color="auto"/>
          </w:divBdr>
        </w:div>
        <w:div w:id="1577083589">
          <w:marLeft w:val="0"/>
          <w:marRight w:val="0"/>
          <w:marTop w:val="0"/>
          <w:marBottom w:val="0"/>
          <w:divBdr>
            <w:top w:val="none" w:sz="0" w:space="0" w:color="auto"/>
            <w:left w:val="none" w:sz="0" w:space="0" w:color="auto"/>
            <w:bottom w:val="none" w:sz="0" w:space="0" w:color="auto"/>
            <w:right w:val="none" w:sz="0" w:space="0" w:color="auto"/>
          </w:divBdr>
        </w:div>
        <w:div w:id="1685551698">
          <w:marLeft w:val="0"/>
          <w:marRight w:val="0"/>
          <w:marTop w:val="0"/>
          <w:marBottom w:val="0"/>
          <w:divBdr>
            <w:top w:val="none" w:sz="0" w:space="0" w:color="auto"/>
            <w:left w:val="none" w:sz="0" w:space="0" w:color="auto"/>
            <w:bottom w:val="none" w:sz="0" w:space="0" w:color="auto"/>
            <w:right w:val="none" w:sz="0" w:space="0" w:color="auto"/>
          </w:divBdr>
        </w:div>
        <w:div w:id="1858152128">
          <w:marLeft w:val="0"/>
          <w:marRight w:val="0"/>
          <w:marTop w:val="120"/>
          <w:marBottom w:val="120"/>
          <w:divBdr>
            <w:top w:val="none" w:sz="0" w:space="0" w:color="auto"/>
            <w:left w:val="none" w:sz="0" w:space="0" w:color="auto"/>
            <w:bottom w:val="none" w:sz="0" w:space="0" w:color="auto"/>
            <w:right w:val="none" w:sz="0" w:space="0" w:color="auto"/>
          </w:divBdr>
        </w:div>
        <w:div w:id="1939098106">
          <w:marLeft w:val="0"/>
          <w:marRight w:val="0"/>
          <w:marTop w:val="0"/>
          <w:marBottom w:val="0"/>
          <w:divBdr>
            <w:top w:val="none" w:sz="0" w:space="0" w:color="auto"/>
            <w:left w:val="none" w:sz="0" w:space="0" w:color="auto"/>
            <w:bottom w:val="none" w:sz="0" w:space="0" w:color="auto"/>
            <w:right w:val="none" w:sz="0" w:space="0" w:color="auto"/>
          </w:divBdr>
        </w:div>
        <w:div w:id="2092701632">
          <w:marLeft w:val="0"/>
          <w:marRight w:val="0"/>
          <w:marTop w:val="0"/>
          <w:marBottom w:val="0"/>
          <w:divBdr>
            <w:top w:val="none" w:sz="0" w:space="0" w:color="auto"/>
            <w:left w:val="none" w:sz="0" w:space="0" w:color="auto"/>
            <w:bottom w:val="none" w:sz="0" w:space="0" w:color="auto"/>
            <w:right w:val="none" w:sz="0" w:space="0" w:color="auto"/>
          </w:divBdr>
        </w:div>
      </w:divsChild>
    </w:div>
    <w:div w:id="446044521">
      <w:bodyDiv w:val="1"/>
      <w:marLeft w:val="0"/>
      <w:marRight w:val="0"/>
      <w:marTop w:val="0"/>
      <w:marBottom w:val="0"/>
      <w:divBdr>
        <w:top w:val="none" w:sz="0" w:space="0" w:color="auto"/>
        <w:left w:val="none" w:sz="0" w:space="0" w:color="auto"/>
        <w:bottom w:val="none" w:sz="0" w:space="0" w:color="auto"/>
        <w:right w:val="none" w:sz="0" w:space="0" w:color="auto"/>
      </w:divBdr>
      <w:divsChild>
        <w:div w:id="662856304">
          <w:marLeft w:val="0"/>
          <w:marRight w:val="0"/>
          <w:marTop w:val="0"/>
          <w:marBottom w:val="0"/>
          <w:divBdr>
            <w:top w:val="none" w:sz="0" w:space="0" w:color="auto"/>
            <w:left w:val="single" w:sz="6" w:space="0" w:color="CCCCCC"/>
            <w:bottom w:val="none" w:sz="0" w:space="0" w:color="auto"/>
            <w:right w:val="single" w:sz="6" w:space="0" w:color="CCCCCC"/>
          </w:divBdr>
          <w:divsChild>
            <w:div w:id="103232406">
              <w:marLeft w:val="0"/>
              <w:marRight w:val="0"/>
              <w:marTop w:val="0"/>
              <w:marBottom w:val="0"/>
              <w:divBdr>
                <w:top w:val="none" w:sz="0" w:space="0" w:color="auto"/>
                <w:left w:val="none" w:sz="0" w:space="0" w:color="auto"/>
                <w:bottom w:val="none" w:sz="0" w:space="0" w:color="auto"/>
                <w:right w:val="none" w:sz="0" w:space="0" w:color="auto"/>
              </w:divBdr>
              <w:divsChild>
                <w:div w:id="39207691">
                  <w:marLeft w:val="0"/>
                  <w:marRight w:val="0"/>
                  <w:marTop w:val="0"/>
                  <w:marBottom w:val="0"/>
                  <w:divBdr>
                    <w:top w:val="none" w:sz="0" w:space="0" w:color="auto"/>
                    <w:left w:val="none" w:sz="0" w:space="0" w:color="auto"/>
                    <w:bottom w:val="none" w:sz="0" w:space="0" w:color="auto"/>
                    <w:right w:val="none" w:sz="0" w:space="0" w:color="auto"/>
                  </w:divBdr>
                  <w:divsChild>
                    <w:div w:id="3250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4999">
      <w:bodyDiv w:val="1"/>
      <w:marLeft w:val="0"/>
      <w:marRight w:val="0"/>
      <w:marTop w:val="0"/>
      <w:marBottom w:val="0"/>
      <w:divBdr>
        <w:top w:val="none" w:sz="0" w:space="0" w:color="auto"/>
        <w:left w:val="none" w:sz="0" w:space="0" w:color="auto"/>
        <w:bottom w:val="none" w:sz="0" w:space="0" w:color="auto"/>
        <w:right w:val="none" w:sz="0" w:space="0" w:color="auto"/>
      </w:divBdr>
    </w:div>
    <w:div w:id="764110324">
      <w:bodyDiv w:val="1"/>
      <w:marLeft w:val="0"/>
      <w:marRight w:val="0"/>
      <w:marTop w:val="0"/>
      <w:marBottom w:val="0"/>
      <w:divBdr>
        <w:top w:val="none" w:sz="0" w:space="0" w:color="auto"/>
        <w:left w:val="none" w:sz="0" w:space="0" w:color="auto"/>
        <w:bottom w:val="none" w:sz="0" w:space="0" w:color="auto"/>
        <w:right w:val="none" w:sz="0" w:space="0" w:color="auto"/>
      </w:divBdr>
    </w:div>
    <w:div w:id="1072890822">
      <w:bodyDiv w:val="1"/>
      <w:marLeft w:val="0"/>
      <w:marRight w:val="0"/>
      <w:marTop w:val="0"/>
      <w:marBottom w:val="0"/>
      <w:divBdr>
        <w:top w:val="none" w:sz="0" w:space="0" w:color="auto"/>
        <w:left w:val="none" w:sz="0" w:space="0" w:color="auto"/>
        <w:bottom w:val="none" w:sz="0" w:space="0" w:color="auto"/>
        <w:right w:val="none" w:sz="0" w:space="0" w:color="auto"/>
      </w:divBdr>
    </w:div>
    <w:div w:id="1142113331">
      <w:bodyDiv w:val="1"/>
      <w:marLeft w:val="0"/>
      <w:marRight w:val="0"/>
      <w:marTop w:val="0"/>
      <w:marBottom w:val="0"/>
      <w:divBdr>
        <w:top w:val="none" w:sz="0" w:space="0" w:color="auto"/>
        <w:left w:val="none" w:sz="0" w:space="0" w:color="auto"/>
        <w:bottom w:val="none" w:sz="0" w:space="0" w:color="auto"/>
        <w:right w:val="none" w:sz="0" w:space="0" w:color="auto"/>
      </w:divBdr>
    </w:div>
    <w:div w:id="1150749525">
      <w:bodyDiv w:val="1"/>
      <w:marLeft w:val="0"/>
      <w:marRight w:val="0"/>
      <w:marTop w:val="0"/>
      <w:marBottom w:val="0"/>
      <w:divBdr>
        <w:top w:val="none" w:sz="0" w:space="0" w:color="auto"/>
        <w:left w:val="none" w:sz="0" w:space="0" w:color="auto"/>
        <w:bottom w:val="none" w:sz="0" w:space="0" w:color="auto"/>
        <w:right w:val="none" w:sz="0" w:space="0" w:color="auto"/>
      </w:divBdr>
    </w:div>
    <w:div w:id="1349865820">
      <w:bodyDiv w:val="1"/>
      <w:marLeft w:val="0"/>
      <w:marRight w:val="0"/>
      <w:marTop w:val="0"/>
      <w:marBottom w:val="0"/>
      <w:divBdr>
        <w:top w:val="none" w:sz="0" w:space="0" w:color="auto"/>
        <w:left w:val="none" w:sz="0" w:space="0" w:color="auto"/>
        <w:bottom w:val="none" w:sz="0" w:space="0" w:color="auto"/>
        <w:right w:val="none" w:sz="0" w:space="0" w:color="auto"/>
      </w:divBdr>
    </w:div>
    <w:div w:id="1366716202">
      <w:bodyDiv w:val="1"/>
      <w:marLeft w:val="0"/>
      <w:marRight w:val="0"/>
      <w:marTop w:val="0"/>
      <w:marBottom w:val="0"/>
      <w:divBdr>
        <w:top w:val="none" w:sz="0" w:space="0" w:color="auto"/>
        <w:left w:val="none" w:sz="0" w:space="0" w:color="auto"/>
        <w:bottom w:val="none" w:sz="0" w:space="0" w:color="auto"/>
        <w:right w:val="none" w:sz="0" w:space="0" w:color="auto"/>
      </w:divBdr>
    </w:div>
    <w:div w:id="1647248106">
      <w:bodyDiv w:val="1"/>
      <w:marLeft w:val="0"/>
      <w:marRight w:val="0"/>
      <w:marTop w:val="0"/>
      <w:marBottom w:val="0"/>
      <w:divBdr>
        <w:top w:val="none" w:sz="0" w:space="0" w:color="auto"/>
        <w:left w:val="none" w:sz="0" w:space="0" w:color="auto"/>
        <w:bottom w:val="none" w:sz="0" w:space="0" w:color="auto"/>
        <w:right w:val="none" w:sz="0" w:space="0" w:color="auto"/>
      </w:divBdr>
      <w:divsChild>
        <w:div w:id="218594779">
          <w:marLeft w:val="0"/>
          <w:marRight w:val="0"/>
          <w:marTop w:val="0"/>
          <w:marBottom w:val="0"/>
          <w:divBdr>
            <w:top w:val="none" w:sz="0" w:space="0" w:color="auto"/>
            <w:left w:val="single" w:sz="6" w:space="0" w:color="CCCCCC"/>
            <w:bottom w:val="none" w:sz="0" w:space="0" w:color="auto"/>
            <w:right w:val="single" w:sz="6" w:space="0" w:color="CCCCCC"/>
          </w:divBdr>
          <w:divsChild>
            <w:div w:id="1301768313">
              <w:marLeft w:val="0"/>
              <w:marRight w:val="0"/>
              <w:marTop w:val="0"/>
              <w:marBottom w:val="0"/>
              <w:divBdr>
                <w:top w:val="none" w:sz="0" w:space="0" w:color="auto"/>
                <w:left w:val="none" w:sz="0" w:space="0" w:color="auto"/>
                <w:bottom w:val="none" w:sz="0" w:space="0" w:color="auto"/>
                <w:right w:val="none" w:sz="0" w:space="0" w:color="auto"/>
              </w:divBdr>
              <w:divsChild>
                <w:div w:id="5422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6355">
      <w:bodyDiv w:val="1"/>
      <w:marLeft w:val="0"/>
      <w:marRight w:val="0"/>
      <w:marTop w:val="0"/>
      <w:marBottom w:val="0"/>
      <w:divBdr>
        <w:top w:val="none" w:sz="0" w:space="0" w:color="auto"/>
        <w:left w:val="none" w:sz="0" w:space="0" w:color="auto"/>
        <w:bottom w:val="none" w:sz="0" w:space="0" w:color="auto"/>
        <w:right w:val="none" w:sz="0" w:space="0" w:color="auto"/>
      </w:divBdr>
    </w:div>
    <w:div w:id="1964725464">
      <w:bodyDiv w:val="1"/>
      <w:marLeft w:val="0"/>
      <w:marRight w:val="0"/>
      <w:marTop w:val="0"/>
      <w:marBottom w:val="0"/>
      <w:divBdr>
        <w:top w:val="none" w:sz="0" w:space="0" w:color="auto"/>
        <w:left w:val="none" w:sz="0" w:space="0" w:color="auto"/>
        <w:bottom w:val="none" w:sz="0" w:space="0" w:color="auto"/>
        <w:right w:val="none" w:sz="0" w:space="0" w:color="auto"/>
      </w:divBdr>
      <w:divsChild>
        <w:div w:id="784152823">
          <w:marLeft w:val="0"/>
          <w:marRight w:val="0"/>
          <w:marTop w:val="0"/>
          <w:marBottom w:val="0"/>
          <w:divBdr>
            <w:top w:val="none" w:sz="0" w:space="0" w:color="auto"/>
            <w:left w:val="none" w:sz="0" w:space="0" w:color="auto"/>
            <w:bottom w:val="none" w:sz="0" w:space="0" w:color="auto"/>
            <w:right w:val="none" w:sz="0" w:space="0" w:color="auto"/>
          </w:divBdr>
          <w:divsChild>
            <w:div w:id="1950039325">
              <w:marLeft w:val="0"/>
              <w:marRight w:val="0"/>
              <w:marTop w:val="0"/>
              <w:marBottom w:val="0"/>
              <w:divBdr>
                <w:top w:val="none" w:sz="0" w:space="0" w:color="auto"/>
                <w:left w:val="single" w:sz="6" w:space="0" w:color="E2E2E2"/>
                <w:bottom w:val="none" w:sz="0" w:space="0" w:color="auto"/>
                <w:right w:val="single" w:sz="6" w:space="0" w:color="E2E2E2"/>
              </w:divBdr>
              <w:divsChild>
                <w:div w:id="1623608405">
                  <w:marLeft w:val="0"/>
                  <w:marRight w:val="0"/>
                  <w:marTop w:val="0"/>
                  <w:marBottom w:val="0"/>
                  <w:divBdr>
                    <w:top w:val="none" w:sz="0" w:space="0" w:color="auto"/>
                    <w:left w:val="none" w:sz="0" w:space="0" w:color="auto"/>
                    <w:bottom w:val="none" w:sz="0" w:space="0" w:color="auto"/>
                    <w:right w:val="none" w:sz="0" w:space="0" w:color="auto"/>
                  </w:divBdr>
                  <w:divsChild>
                    <w:div w:id="1609004135">
                      <w:marLeft w:val="0"/>
                      <w:marRight w:val="0"/>
                      <w:marTop w:val="0"/>
                      <w:marBottom w:val="0"/>
                      <w:divBdr>
                        <w:top w:val="none" w:sz="0" w:space="0" w:color="auto"/>
                        <w:left w:val="none" w:sz="0" w:space="0" w:color="auto"/>
                        <w:bottom w:val="none" w:sz="0" w:space="0" w:color="auto"/>
                        <w:right w:val="none" w:sz="0" w:space="0" w:color="auto"/>
                      </w:divBdr>
                      <w:divsChild>
                        <w:div w:id="1868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1922">
      <w:bodyDiv w:val="1"/>
      <w:marLeft w:val="0"/>
      <w:marRight w:val="0"/>
      <w:marTop w:val="0"/>
      <w:marBottom w:val="0"/>
      <w:divBdr>
        <w:top w:val="none" w:sz="0" w:space="0" w:color="auto"/>
        <w:left w:val="none" w:sz="0" w:space="0" w:color="auto"/>
        <w:bottom w:val="none" w:sz="0" w:space="0" w:color="auto"/>
        <w:right w:val="none" w:sz="0" w:space="0" w:color="auto"/>
      </w:divBdr>
    </w:div>
    <w:div w:id="2091539064">
      <w:bodyDiv w:val="1"/>
      <w:marLeft w:val="0"/>
      <w:marRight w:val="0"/>
      <w:marTop w:val="0"/>
      <w:marBottom w:val="0"/>
      <w:divBdr>
        <w:top w:val="none" w:sz="0" w:space="0" w:color="auto"/>
        <w:left w:val="none" w:sz="0" w:space="0" w:color="auto"/>
        <w:bottom w:val="none" w:sz="0" w:space="0" w:color="auto"/>
        <w:right w:val="none" w:sz="0" w:space="0" w:color="auto"/>
      </w:divBdr>
    </w:div>
    <w:div w:id="2112431015">
      <w:bodyDiv w:val="1"/>
      <w:marLeft w:val="0"/>
      <w:marRight w:val="0"/>
      <w:marTop w:val="0"/>
      <w:marBottom w:val="0"/>
      <w:divBdr>
        <w:top w:val="none" w:sz="0" w:space="0" w:color="auto"/>
        <w:left w:val="none" w:sz="0" w:space="0" w:color="auto"/>
        <w:bottom w:val="none" w:sz="0" w:space="0" w:color="auto"/>
        <w:right w:val="none" w:sz="0" w:space="0" w:color="auto"/>
      </w:divBdr>
      <w:divsChild>
        <w:div w:id="144677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opm.gov/oca/09tables/html/atl_h.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bls.gov/oes/current/oes_pr.htm" TargetMode="External"/><Relationship Id="rId2" Type="http://schemas.openxmlformats.org/officeDocument/2006/relationships/customXml" Target="../customXml/item2.xml"/><Relationship Id="rId16" Type="http://schemas.openxmlformats.org/officeDocument/2006/relationships/hyperlink" Target="mailto:gsu2@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rv@cdc.gov"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PFY6PPX2AYTS-2589-1447</_dlc_DocId>
    <_dlc_DocIdUrl xmlns="81daf041-c113-401c-bf82-107f5d396711">
      <Url>https://esp.cdc.gov/sites/ncezid/OD/policy/PRA/_layouts/15/DocIdRedir.aspx?ID=PFY6PPX2AYTS-2589-1447</Url>
      <Description>PFY6PPX2AYTS-2589-1447</Description>
    </_dlc_DocIdUrl>
    <ydlv xmlns="d335559b-c20a-4874-978e-77d2be77e0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A617-A883-42C9-B64D-876188FE3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F06FD-1B2C-460B-9666-DF9D9E3DF8B4}">
  <ds:schemaRefs>
    <ds:schemaRef ds:uri="http://schemas.microsoft.com/sharepoint/events"/>
  </ds:schemaRefs>
</ds:datastoreItem>
</file>

<file path=customXml/itemProps3.xml><?xml version="1.0" encoding="utf-8"?>
<ds:datastoreItem xmlns:ds="http://schemas.openxmlformats.org/officeDocument/2006/customXml" ds:itemID="{D83EB3F0-8FB0-47D3-B75E-4C9C79ED7D8F}">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customXml/itemProps4.xml><?xml version="1.0" encoding="utf-8"?>
<ds:datastoreItem xmlns:ds="http://schemas.openxmlformats.org/officeDocument/2006/customXml" ds:itemID="{A3E6875C-BE09-48BB-B03D-2D562CF9F0FC}">
  <ds:schemaRefs>
    <ds:schemaRef ds:uri="http://schemas.microsoft.com/sharepoint/v3/contenttype/forms"/>
  </ds:schemaRefs>
</ds:datastoreItem>
</file>

<file path=customXml/itemProps5.xml><?xml version="1.0" encoding="utf-8"?>
<ds:datastoreItem xmlns:ds="http://schemas.openxmlformats.org/officeDocument/2006/customXml" ds:itemID="{1CC109EC-5436-47A2-BB4E-4AFC8DFB867B}">
  <ds:schemaRefs>
    <ds:schemaRef ds:uri="http://schemas.openxmlformats.org/officeDocument/2006/bibliography"/>
  </ds:schemaRefs>
</ds:datastoreItem>
</file>

<file path=customXml/itemProps6.xml><?xml version="1.0" encoding="utf-8"?>
<ds:datastoreItem xmlns:ds="http://schemas.openxmlformats.org/officeDocument/2006/customXml" ds:itemID="{07C966ED-EEDC-4B87-84DF-E936530C6B2E}">
  <ds:schemaRefs>
    <ds:schemaRef ds:uri="http://schemas.openxmlformats.org/officeDocument/2006/bibliography"/>
  </ds:schemaRefs>
</ds:datastoreItem>
</file>

<file path=customXml/itemProps7.xml><?xml version="1.0" encoding="utf-8"?>
<ds:datastoreItem xmlns:ds="http://schemas.openxmlformats.org/officeDocument/2006/customXml" ds:itemID="{C9E07A34-A241-457E-AFE4-AA574D5E8E1E}">
  <ds:schemaRefs>
    <ds:schemaRef ds:uri="http://schemas.openxmlformats.org/officeDocument/2006/bibliography"/>
  </ds:schemaRefs>
</ds:datastoreItem>
</file>

<file path=customXml/itemProps8.xml><?xml version="1.0" encoding="utf-8"?>
<ds:datastoreItem xmlns:ds="http://schemas.openxmlformats.org/officeDocument/2006/customXml" ds:itemID="{FB1B454B-3B4B-4459-8BD6-3A01A5EB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Samuel, Lee (CDC/OID/NCEZID)</cp:lastModifiedBy>
  <cp:revision>10</cp:revision>
  <cp:lastPrinted>2016-09-09T12:43:00Z</cp:lastPrinted>
  <dcterms:created xsi:type="dcterms:W3CDTF">2016-12-20T21:39:00Z</dcterms:created>
  <dcterms:modified xsi:type="dcterms:W3CDTF">2017-01-04T18:01:00Z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42cd74f0-c77c-405b-b2bf-d6c3da646fda</vt:lpwstr>
  </property>
</Properties>
</file>