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092" w:rsidRDefault="0059485A">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FB3752">
        <w:rPr>
          <w:rFonts w:ascii="Times New Roman" w:hAnsi="Times New Roman" w:cs="Times New Roman"/>
          <w:sz w:val="24"/>
          <w:szCs w:val="24"/>
        </w:rPr>
        <w:t>PART B. Statistical Methods</w:t>
      </w:r>
    </w:p>
    <w:p w:rsidR="00076204" w:rsidRDefault="00FB3752" w:rsidP="00076204">
      <w:pPr>
        <w:pStyle w:val="ListParagraph"/>
        <w:numPr>
          <w:ilvl w:val="0"/>
          <w:numId w:val="1"/>
        </w:numPr>
        <w:ind w:left="360"/>
        <w:rPr>
          <w:rFonts w:ascii="Times New Roman" w:hAnsi="Times New Roman" w:cs="Times New Roman"/>
          <w:sz w:val="24"/>
          <w:szCs w:val="24"/>
        </w:rPr>
      </w:pPr>
      <w:r w:rsidRPr="00CC764B">
        <w:rPr>
          <w:rFonts w:ascii="Times New Roman" w:hAnsi="Times New Roman" w:cs="Times New Roman"/>
          <w:sz w:val="24"/>
          <w:szCs w:val="24"/>
        </w:rPr>
        <w:t xml:space="preserve">The potential respondent universe of the form </w:t>
      </w:r>
      <w:r w:rsidRPr="00CC764B">
        <w:rPr>
          <w:rFonts w:ascii="Times New Roman" w:hAnsi="Times New Roman" w:cs="Times New Roman"/>
          <w:i/>
          <w:sz w:val="24"/>
          <w:szCs w:val="24"/>
        </w:rPr>
        <w:t xml:space="preserve">Monthly Return of Arson Offenses Known to Law Enforcement </w:t>
      </w:r>
      <w:r w:rsidRPr="00CC764B">
        <w:rPr>
          <w:rFonts w:ascii="Times New Roman" w:hAnsi="Times New Roman" w:cs="Times New Roman"/>
          <w:sz w:val="24"/>
          <w:szCs w:val="24"/>
        </w:rPr>
        <w:t>(OMB No. 1110-0008) includes all United States (U.S.) LEAs</w:t>
      </w:r>
      <w:r w:rsidR="00EC1727" w:rsidRPr="00CC764B">
        <w:rPr>
          <w:rFonts w:ascii="Times New Roman" w:hAnsi="Times New Roman" w:cs="Times New Roman"/>
          <w:sz w:val="24"/>
          <w:szCs w:val="24"/>
        </w:rPr>
        <w:t xml:space="preserve"> who submit their crime stats via the </w:t>
      </w:r>
      <w:r w:rsidR="00176AE9" w:rsidRPr="00CC764B">
        <w:rPr>
          <w:rFonts w:ascii="Times New Roman" w:hAnsi="Times New Roman" w:cs="Times New Roman"/>
          <w:sz w:val="24"/>
          <w:szCs w:val="24"/>
        </w:rPr>
        <w:t>SRS.  In 2015, 1</w:t>
      </w:r>
      <w:r w:rsidR="00BC106C" w:rsidRPr="00CC764B">
        <w:rPr>
          <w:rFonts w:ascii="Times New Roman" w:hAnsi="Times New Roman" w:cs="Times New Roman"/>
          <w:sz w:val="24"/>
          <w:szCs w:val="24"/>
        </w:rPr>
        <w:t>1,</w:t>
      </w:r>
      <w:r w:rsidR="00EE6A4D">
        <w:rPr>
          <w:rFonts w:ascii="Times New Roman" w:hAnsi="Times New Roman" w:cs="Times New Roman"/>
          <w:sz w:val="24"/>
          <w:szCs w:val="24"/>
        </w:rPr>
        <w:t xml:space="preserve">791 </w:t>
      </w:r>
      <w:r w:rsidR="00176AE9" w:rsidRPr="00CC764B">
        <w:rPr>
          <w:rFonts w:ascii="Times New Roman" w:hAnsi="Times New Roman" w:cs="Times New Roman"/>
          <w:sz w:val="24"/>
          <w:szCs w:val="24"/>
        </w:rPr>
        <w:t xml:space="preserve">SRS </w:t>
      </w:r>
      <w:r w:rsidRPr="00CC764B">
        <w:rPr>
          <w:rFonts w:ascii="Times New Roman" w:hAnsi="Times New Roman" w:cs="Times New Roman"/>
          <w:sz w:val="24"/>
          <w:szCs w:val="24"/>
        </w:rPr>
        <w:t xml:space="preserve">U.S. LEAs voluntarily </w:t>
      </w:r>
      <w:r w:rsidR="00176AE9" w:rsidRPr="00CC764B">
        <w:rPr>
          <w:rFonts w:ascii="Times New Roman" w:hAnsi="Times New Roman" w:cs="Times New Roman"/>
          <w:sz w:val="24"/>
          <w:szCs w:val="24"/>
        </w:rPr>
        <w:t>participated</w:t>
      </w:r>
      <w:r w:rsidRPr="00CC764B">
        <w:rPr>
          <w:rFonts w:ascii="Times New Roman" w:hAnsi="Times New Roman" w:cs="Times New Roman"/>
          <w:sz w:val="24"/>
          <w:szCs w:val="24"/>
        </w:rPr>
        <w:t xml:space="preserve"> in the FBI’s UCR Program.  Out of those agencies</w:t>
      </w:r>
      <w:r w:rsidR="00176AE9" w:rsidRPr="00CC764B">
        <w:rPr>
          <w:rFonts w:ascii="Times New Roman" w:hAnsi="Times New Roman" w:cs="Times New Roman"/>
          <w:sz w:val="24"/>
          <w:szCs w:val="24"/>
        </w:rPr>
        <w:t>, approximately 9,</w:t>
      </w:r>
      <w:r w:rsidR="006B6DEF" w:rsidRPr="00CC764B">
        <w:rPr>
          <w:rFonts w:ascii="Times New Roman" w:hAnsi="Times New Roman" w:cs="Times New Roman"/>
          <w:sz w:val="24"/>
          <w:szCs w:val="24"/>
        </w:rPr>
        <w:t>623</w:t>
      </w:r>
      <w:r w:rsidR="00076204" w:rsidRPr="00CC764B">
        <w:rPr>
          <w:rFonts w:ascii="Times New Roman" w:hAnsi="Times New Roman" w:cs="Times New Roman"/>
          <w:sz w:val="24"/>
          <w:szCs w:val="24"/>
        </w:rPr>
        <w:t xml:space="preserve"> voluntarily report </w:t>
      </w:r>
      <w:r w:rsidR="00402303">
        <w:rPr>
          <w:rFonts w:ascii="Times New Roman" w:hAnsi="Times New Roman" w:cs="Times New Roman"/>
          <w:sz w:val="24"/>
          <w:szCs w:val="24"/>
        </w:rPr>
        <w:t xml:space="preserve">           </w:t>
      </w:r>
      <w:r w:rsidR="00076204" w:rsidRPr="00CC764B">
        <w:rPr>
          <w:rFonts w:ascii="Times New Roman" w:hAnsi="Times New Roman" w:cs="Times New Roman"/>
          <w:sz w:val="24"/>
          <w:szCs w:val="24"/>
        </w:rPr>
        <w:t>1-12 months of arson data to the FBI UCR Program</w:t>
      </w:r>
      <w:r w:rsidR="009B79FE">
        <w:rPr>
          <w:rFonts w:ascii="Times New Roman" w:hAnsi="Times New Roman" w:cs="Times New Roman"/>
          <w:sz w:val="24"/>
          <w:szCs w:val="24"/>
        </w:rPr>
        <w:t>, leaving 4.1</w:t>
      </w:r>
      <w:r w:rsidR="00176AE9" w:rsidRPr="00CC764B">
        <w:rPr>
          <w:rFonts w:ascii="Times New Roman" w:hAnsi="Times New Roman" w:cs="Times New Roman"/>
          <w:sz w:val="24"/>
          <w:szCs w:val="24"/>
        </w:rPr>
        <w:t xml:space="preserve"> percent that</w:t>
      </w:r>
      <w:r w:rsidR="00076204" w:rsidRPr="00CC764B">
        <w:rPr>
          <w:rFonts w:ascii="Times New Roman" w:hAnsi="Times New Roman" w:cs="Times New Roman"/>
          <w:sz w:val="24"/>
          <w:szCs w:val="24"/>
        </w:rPr>
        <w:t xml:space="preserve"> do not report any arson data.  LEAs consist of local, county, state, tribal and federal agencies that correlate to all population group sizes and have many diverse attributes.  These agencies include a mix of population density and degrees of urbanization; various compositions of population</w:t>
      </w:r>
      <w:r w:rsidR="00573297" w:rsidRPr="00CC764B">
        <w:rPr>
          <w:rFonts w:ascii="Times New Roman" w:hAnsi="Times New Roman" w:cs="Times New Roman"/>
          <w:sz w:val="24"/>
          <w:szCs w:val="24"/>
        </w:rPr>
        <w:t>,</w:t>
      </w:r>
      <w:r w:rsidR="00076204" w:rsidRPr="00CC764B">
        <w:rPr>
          <w:rFonts w:ascii="Times New Roman" w:hAnsi="Times New Roman" w:cs="Times New Roman"/>
          <w:sz w:val="24"/>
          <w:szCs w:val="24"/>
        </w:rPr>
        <w:t xml:space="preserve"> particularly youth concentration; population mobility with respect to residents’ mobility, commuting patterns, and transient factors; different economic conditions including median income, poverty level, and job availability; areas with different modes of transportation and highway systems; different cultural factors and educational, recreational, and religious characteristics; family conditions with respect to divorce and family cohesiveness; climate; effective strength of law enforcement; policies of other components of the criminal justice system; citizens’ attitudes toward crime; and crime reporting practices of the citizenry.</w:t>
      </w:r>
      <w:r w:rsidR="00E16267" w:rsidRPr="00CC764B">
        <w:rPr>
          <w:rFonts w:ascii="Times New Roman" w:hAnsi="Times New Roman" w:cs="Times New Roman"/>
          <w:sz w:val="24"/>
          <w:szCs w:val="24"/>
        </w:rPr>
        <w:t xml:space="preserve">  </w:t>
      </w:r>
    </w:p>
    <w:p w:rsidR="00CC764B" w:rsidRPr="00CC764B" w:rsidRDefault="00CC764B" w:rsidP="00CC764B">
      <w:pPr>
        <w:pStyle w:val="ListParagraph"/>
        <w:ind w:left="36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770"/>
        <w:gridCol w:w="1170"/>
        <w:gridCol w:w="1350"/>
      </w:tblGrid>
      <w:tr w:rsidR="006606C3" w:rsidRPr="00076204" w:rsidTr="006B1001">
        <w:trPr>
          <w:jc w:val="center"/>
        </w:trPr>
        <w:tc>
          <w:tcPr>
            <w:tcW w:w="7218" w:type="dxa"/>
            <w:gridSpan w:val="4"/>
          </w:tcPr>
          <w:p w:rsidR="006606C3" w:rsidRPr="006606C3" w:rsidRDefault="001A1D12" w:rsidP="0046148B">
            <w:pPr>
              <w:tabs>
                <w:tab w:val="left" w:pos="360"/>
              </w:tabs>
              <w:contextualSpacing/>
              <w:rPr>
                <w:rFonts w:ascii="Times New Roman" w:hAnsi="Times New Roman" w:cs="Times New Roman"/>
                <w:b/>
                <w:sz w:val="20"/>
                <w:szCs w:val="20"/>
              </w:rPr>
            </w:pPr>
            <w:r>
              <w:rPr>
                <w:rFonts w:ascii="Times New Roman" w:hAnsi="Times New Roman" w:cs="Times New Roman"/>
                <w:b/>
                <w:sz w:val="20"/>
                <w:szCs w:val="20"/>
              </w:rPr>
              <w:t>SRS</w:t>
            </w:r>
            <w:r w:rsidR="006606C3">
              <w:rPr>
                <w:rFonts w:ascii="Times New Roman" w:hAnsi="Times New Roman" w:cs="Times New Roman"/>
                <w:b/>
                <w:sz w:val="20"/>
                <w:szCs w:val="20"/>
              </w:rPr>
              <w:t xml:space="preserve"> Agencies</w:t>
            </w:r>
            <w:r w:rsidR="00C60057">
              <w:rPr>
                <w:rFonts w:ascii="Times New Roman" w:hAnsi="Times New Roman" w:cs="Times New Roman"/>
                <w:b/>
                <w:sz w:val="20"/>
                <w:szCs w:val="20"/>
              </w:rPr>
              <w:t>, 2015</w:t>
            </w:r>
          </w:p>
        </w:tc>
      </w:tr>
      <w:tr w:rsidR="00076204" w:rsidRPr="00076204" w:rsidTr="00D213F3">
        <w:trPr>
          <w:jc w:val="center"/>
        </w:trPr>
        <w:tc>
          <w:tcPr>
            <w:tcW w:w="928" w:type="dxa"/>
          </w:tcPr>
          <w:p w:rsidR="00076204" w:rsidRPr="00076204" w:rsidRDefault="00076204" w:rsidP="00D213F3">
            <w:pPr>
              <w:tabs>
                <w:tab w:val="left" w:pos="360"/>
              </w:tabs>
              <w:contextualSpacing/>
              <w:rPr>
                <w:rFonts w:ascii="Times New Roman" w:hAnsi="Times New Roman" w:cs="Times New Roman"/>
                <w:sz w:val="20"/>
                <w:szCs w:val="20"/>
              </w:rPr>
            </w:pPr>
          </w:p>
        </w:tc>
        <w:tc>
          <w:tcPr>
            <w:tcW w:w="3770" w:type="dxa"/>
          </w:tcPr>
          <w:p w:rsidR="00076204" w:rsidRPr="00076204" w:rsidRDefault="00076204" w:rsidP="00D213F3">
            <w:pPr>
              <w:tabs>
                <w:tab w:val="left" w:pos="360"/>
              </w:tabs>
              <w:contextualSpacing/>
              <w:rPr>
                <w:rFonts w:ascii="Times New Roman" w:hAnsi="Times New Roman" w:cs="Times New Roman"/>
                <w:sz w:val="20"/>
                <w:szCs w:val="20"/>
              </w:rPr>
            </w:pPr>
            <w:r w:rsidRPr="00076204">
              <w:rPr>
                <w:rFonts w:ascii="Times New Roman" w:hAnsi="Times New Roman" w:cs="Times New Roman"/>
                <w:sz w:val="20"/>
                <w:szCs w:val="20"/>
              </w:rPr>
              <w:t>Population Group</w:t>
            </w:r>
          </w:p>
        </w:tc>
        <w:tc>
          <w:tcPr>
            <w:tcW w:w="1170" w:type="dxa"/>
          </w:tcPr>
          <w:p w:rsidR="00076204" w:rsidRPr="00076204" w:rsidRDefault="00076204" w:rsidP="00D213F3">
            <w:pPr>
              <w:tabs>
                <w:tab w:val="left" w:pos="360"/>
              </w:tabs>
              <w:contextualSpacing/>
              <w:rPr>
                <w:rFonts w:ascii="Times New Roman" w:hAnsi="Times New Roman" w:cs="Times New Roman"/>
                <w:sz w:val="20"/>
                <w:szCs w:val="20"/>
              </w:rPr>
            </w:pPr>
            <w:r w:rsidRPr="00076204">
              <w:rPr>
                <w:rFonts w:ascii="Times New Roman" w:hAnsi="Times New Roman" w:cs="Times New Roman"/>
                <w:sz w:val="20"/>
                <w:szCs w:val="20"/>
              </w:rPr>
              <w:t>Number of Agencies</w:t>
            </w:r>
          </w:p>
        </w:tc>
        <w:tc>
          <w:tcPr>
            <w:tcW w:w="1350" w:type="dxa"/>
          </w:tcPr>
          <w:p w:rsidR="00076204" w:rsidRPr="00076204" w:rsidRDefault="00076204" w:rsidP="00D213F3">
            <w:pPr>
              <w:tabs>
                <w:tab w:val="left" w:pos="360"/>
              </w:tabs>
              <w:contextualSpacing/>
              <w:rPr>
                <w:rFonts w:ascii="Times New Roman" w:hAnsi="Times New Roman" w:cs="Times New Roman"/>
                <w:sz w:val="20"/>
                <w:szCs w:val="20"/>
              </w:rPr>
            </w:pPr>
            <w:r w:rsidRPr="00076204">
              <w:rPr>
                <w:rFonts w:ascii="Times New Roman" w:hAnsi="Times New Roman" w:cs="Times New Roman"/>
                <w:sz w:val="20"/>
                <w:szCs w:val="20"/>
              </w:rPr>
              <w:t>Population Covered</w:t>
            </w:r>
          </w:p>
        </w:tc>
      </w:tr>
      <w:tr w:rsidR="00076204" w:rsidRPr="00076204" w:rsidTr="00076204">
        <w:trPr>
          <w:trHeight w:val="377"/>
          <w:jc w:val="center"/>
        </w:trPr>
        <w:tc>
          <w:tcPr>
            <w:tcW w:w="928" w:type="dxa"/>
            <w:vMerge w:val="restart"/>
          </w:tcPr>
          <w:p w:rsidR="00076204" w:rsidRPr="00076204" w:rsidRDefault="00076204" w:rsidP="00D213F3">
            <w:pPr>
              <w:tabs>
                <w:tab w:val="left" w:pos="360"/>
              </w:tabs>
              <w:contextualSpacing/>
              <w:rPr>
                <w:rFonts w:ascii="Times New Roman" w:hAnsi="Times New Roman" w:cs="Times New Roman"/>
                <w:sz w:val="20"/>
                <w:szCs w:val="20"/>
              </w:rPr>
            </w:pPr>
            <w:r w:rsidRPr="00076204">
              <w:rPr>
                <w:rFonts w:ascii="Times New Roman" w:hAnsi="Times New Roman" w:cs="Times New Roman"/>
                <w:sz w:val="20"/>
                <w:szCs w:val="20"/>
              </w:rPr>
              <w:t>Cities</w:t>
            </w:r>
          </w:p>
        </w:tc>
        <w:tc>
          <w:tcPr>
            <w:tcW w:w="3770" w:type="dxa"/>
          </w:tcPr>
          <w:p w:rsidR="00076204" w:rsidRPr="00076204" w:rsidRDefault="00076204" w:rsidP="00D213F3">
            <w:pPr>
              <w:tabs>
                <w:tab w:val="left" w:pos="360"/>
              </w:tabs>
              <w:contextualSpacing/>
              <w:rPr>
                <w:rFonts w:ascii="Times New Roman" w:hAnsi="Times New Roman" w:cs="Times New Roman"/>
                <w:sz w:val="20"/>
                <w:szCs w:val="20"/>
              </w:rPr>
            </w:pPr>
            <w:r w:rsidRPr="00076204">
              <w:rPr>
                <w:rFonts w:ascii="Times New Roman" w:hAnsi="Times New Roman" w:cs="Times New Roman"/>
                <w:sz w:val="20"/>
                <w:szCs w:val="20"/>
              </w:rPr>
              <w:t>Group I (250,000 inhabitants and more)</w:t>
            </w:r>
          </w:p>
        </w:tc>
        <w:tc>
          <w:tcPr>
            <w:tcW w:w="1170" w:type="dxa"/>
          </w:tcPr>
          <w:p w:rsidR="00076204" w:rsidRPr="00076204" w:rsidRDefault="00EE6A4D" w:rsidP="00D213F3">
            <w:pPr>
              <w:tabs>
                <w:tab w:val="left" w:pos="360"/>
              </w:tabs>
              <w:contextualSpacing/>
              <w:rPr>
                <w:rFonts w:ascii="Times New Roman" w:hAnsi="Times New Roman" w:cs="Times New Roman"/>
                <w:sz w:val="20"/>
                <w:szCs w:val="20"/>
              </w:rPr>
            </w:pPr>
            <w:r>
              <w:rPr>
                <w:rFonts w:ascii="Times New Roman" w:hAnsi="Times New Roman" w:cs="Times New Roman"/>
                <w:sz w:val="20"/>
                <w:szCs w:val="20"/>
              </w:rPr>
              <w:t>65</w:t>
            </w:r>
          </w:p>
        </w:tc>
        <w:tc>
          <w:tcPr>
            <w:tcW w:w="1350" w:type="dxa"/>
          </w:tcPr>
          <w:p w:rsidR="00076204" w:rsidRPr="00076204" w:rsidRDefault="00EE6A4D" w:rsidP="00EE6A4D">
            <w:pPr>
              <w:tabs>
                <w:tab w:val="left" w:pos="360"/>
              </w:tabs>
              <w:contextualSpacing/>
              <w:rPr>
                <w:rFonts w:ascii="Times New Roman" w:hAnsi="Times New Roman" w:cs="Times New Roman"/>
                <w:sz w:val="20"/>
                <w:szCs w:val="20"/>
              </w:rPr>
            </w:pPr>
            <w:r>
              <w:rPr>
                <w:rFonts w:ascii="Times New Roman" w:hAnsi="Times New Roman" w:cs="Times New Roman"/>
                <w:sz w:val="20"/>
                <w:szCs w:val="20"/>
              </w:rPr>
              <w:t>51</w:t>
            </w:r>
            <w:r w:rsidR="006B6DEF">
              <w:rPr>
                <w:rFonts w:ascii="Times New Roman" w:hAnsi="Times New Roman" w:cs="Times New Roman"/>
                <w:sz w:val="20"/>
                <w:szCs w:val="20"/>
              </w:rPr>
              <w:t>,</w:t>
            </w:r>
            <w:r>
              <w:rPr>
                <w:rFonts w:ascii="Times New Roman" w:hAnsi="Times New Roman" w:cs="Times New Roman"/>
                <w:sz w:val="20"/>
                <w:szCs w:val="20"/>
              </w:rPr>
              <w:t>448</w:t>
            </w:r>
            <w:r w:rsidR="006B6DEF">
              <w:rPr>
                <w:rFonts w:ascii="Times New Roman" w:hAnsi="Times New Roman" w:cs="Times New Roman"/>
                <w:sz w:val="20"/>
                <w:szCs w:val="20"/>
              </w:rPr>
              <w:t>,</w:t>
            </w:r>
            <w:r>
              <w:rPr>
                <w:rFonts w:ascii="Times New Roman" w:hAnsi="Times New Roman" w:cs="Times New Roman"/>
                <w:sz w:val="20"/>
                <w:szCs w:val="20"/>
              </w:rPr>
              <w:t>151</w:t>
            </w:r>
          </w:p>
        </w:tc>
      </w:tr>
      <w:tr w:rsidR="00076204" w:rsidRPr="00076204" w:rsidTr="00076204">
        <w:trPr>
          <w:trHeight w:val="359"/>
          <w:jc w:val="center"/>
        </w:trPr>
        <w:tc>
          <w:tcPr>
            <w:tcW w:w="928" w:type="dxa"/>
            <w:vMerge/>
          </w:tcPr>
          <w:p w:rsidR="00076204" w:rsidRPr="00076204" w:rsidRDefault="00076204" w:rsidP="00D213F3">
            <w:pPr>
              <w:tabs>
                <w:tab w:val="left" w:pos="360"/>
              </w:tabs>
              <w:contextualSpacing/>
              <w:rPr>
                <w:rFonts w:ascii="Times New Roman" w:hAnsi="Times New Roman" w:cs="Times New Roman"/>
                <w:sz w:val="20"/>
                <w:szCs w:val="20"/>
              </w:rPr>
            </w:pPr>
          </w:p>
        </w:tc>
        <w:tc>
          <w:tcPr>
            <w:tcW w:w="3770" w:type="dxa"/>
          </w:tcPr>
          <w:p w:rsidR="00076204" w:rsidRPr="00076204" w:rsidRDefault="00076204" w:rsidP="00D213F3">
            <w:pPr>
              <w:tabs>
                <w:tab w:val="left" w:pos="360"/>
              </w:tabs>
              <w:contextualSpacing/>
              <w:rPr>
                <w:rFonts w:ascii="Times New Roman" w:hAnsi="Times New Roman" w:cs="Times New Roman"/>
                <w:sz w:val="20"/>
                <w:szCs w:val="20"/>
              </w:rPr>
            </w:pPr>
            <w:r w:rsidRPr="00076204">
              <w:rPr>
                <w:rFonts w:ascii="Times New Roman" w:hAnsi="Times New Roman" w:cs="Times New Roman"/>
                <w:sz w:val="20"/>
                <w:szCs w:val="20"/>
              </w:rPr>
              <w:t>Group II (100,000 to 249,999 inhabitants)</w:t>
            </w:r>
          </w:p>
        </w:tc>
        <w:tc>
          <w:tcPr>
            <w:tcW w:w="1170" w:type="dxa"/>
          </w:tcPr>
          <w:p w:rsidR="00076204" w:rsidRPr="00076204" w:rsidRDefault="00EE6A4D" w:rsidP="00D213F3">
            <w:pPr>
              <w:tabs>
                <w:tab w:val="left" w:pos="360"/>
              </w:tabs>
              <w:contextualSpacing/>
              <w:rPr>
                <w:rFonts w:ascii="Times New Roman" w:hAnsi="Times New Roman" w:cs="Times New Roman"/>
                <w:sz w:val="20"/>
                <w:szCs w:val="20"/>
              </w:rPr>
            </w:pPr>
            <w:r>
              <w:rPr>
                <w:rFonts w:ascii="Times New Roman" w:hAnsi="Times New Roman" w:cs="Times New Roman"/>
                <w:sz w:val="20"/>
                <w:szCs w:val="20"/>
              </w:rPr>
              <w:t>150</w:t>
            </w:r>
          </w:p>
        </w:tc>
        <w:tc>
          <w:tcPr>
            <w:tcW w:w="1350" w:type="dxa"/>
          </w:tcPr>
          <w:p w:rsidR="00076204" w:rsidRPr="00076204" w:rsidRDefault="00EE6A4D" w:rsidP="00EE6A4D">
            <w:pPr>
              <w:tabs>
                <w:tab w:val="left" w:pos="360"/>
              </w:tabs>
              <w:contextualSpacing/>
              <w:rPr>
                <w:rFonts w:ascii="Times New Roman" w:hAnsi="Times New Roman" w:cs="Times New Roman"/>
                <w:sz w:val="20"/>
                <w:szCs w:val="20"/>
              </w:rPr>
            </w:pPr>
            <w:r>
              <w:rPr>
                <w:rFonts w:ascii="Times New Roman" w:hAnsi="Times New Roman" w:cs="Times New Roman"/>
                <w:sz w:val="20"/>
                <w:szCs w:val="20"/>
              </w:rPr>
              <w:t>22</w:t>
            </w:r>
            <w:r w:rsidR="00BA0127">
              <w:rPr>
                <w:rFonts w:ascii="Times New Roman" w:hAnsi="Times New Roman" w:cs="Times New Roman"/>
                <w:sz w:val="20"/>
                <w:szCs w:val="20"/>
              </w:rPr>
              <w:t>,</w:t>
            </w:r>
            <w:r>
              <w:rPr>
                <w:rFonts w:ascii="Times New Roman" w:hAnsi="Times New Roman" w:cs="Times New Roman"/>
                <w:sz w:val="20"/>
                <w:szCs w:val="20"/>
              </w:rPr>
              <w:t>312</w:t>
            </w:r>
            <w:r w:rsidR="00BA0127">
              <w:rPr>
                <w:rFonts w:ascii="Times New Roman" w:hAnsi="Times New Roman" w:cs="Times New Roman"/>
                <w:sz w:val="20"/>
                <w:szCs w:val="20"/>
              </w:rPr>
              <w:t>,</w:t>
            </w:r>
            <w:r>
              <w:rPr>
                <w:rFonts w:ascii="Times New Roman" w:hAnsi="Times New Roman" w:cs="Times New Roman"/>
                <w:sz w:val="20"/>
                <w:szCs w:val="20"/>
              </w:rPr>
              <w:t>003</w:t>
            </w:r>
          </w:p>
        </w:tc>
      </w:tr>
      <w:tr w:rsidR="00076204" w:rsidRPr="00076204" w:rsidTr="00076204">
        <w:trPr>
          <w:trHeight w:val="341"/>
          <w:jc w:val="center"/>
        </w:trPr>
        <w:tc>
          <w:tcPr>
            <w:tcW w:w="928" w:type="dxa"/>
            <w:vMerge/>
          </w:tcPr>
          <w:p w:rsidR="00076204" w:rsidRPr="00076204" w:rsidRDefault="00076204" w:rsidP="00D213F3">
            <w:pPr>
              <w:tabs>
                <w:tab w:val="left" w:pos="360"/>
              </w:tabs>
              <w:contextualSpacing/>
              <w:rPr>
                <w:rFonts w:ascii="Times New Roman" w:hAnsi="Times New Roman" w:cs="Times New Roman"/>
                <w:sz w:val="20"/>
                <w:szCs w:val="20"/>
              </w:rPr>
            </w:pPr>
          </w:p>
        </w:tc>
        <w:tc>
          <w:tcPr>
            <w:tcW w:w="3770" w:type="dxa"/>
          </w:tcPr>
          <w:p w:rsidR="00076204" w:rsidRPr="00076204" w:rsidRDefault="00076204" w:rsidP="00D213F3">
            <w:pPr>
              <w:tabs>
                <w:tab w:val="left" w:pos="360"/>
              </w:tabs>
              <w:contextualSpacing/>
              <w:rPr>
                <w:rFonts w:ascii="Times New Roman" w:hAnsi="Times New Roman" w:cs="Times New Roman"/>
                <w:sz w:val="20"/>
                <w:szCs w:val="20"/>
              </w:rPr>
            </w:pPr>
            <w:r w:rsidRPr="00076204">
              <w:rPr>
                <w:rFonts w:ascii="Times New Roman" w:hAnsi="Times New Roman" w:cs="Times New Roman"/>
                <w:sz w:val="20"/>
                <w:szCs w:val="20"/>
              </w:rPr>
              <w:t>Group III (50,000 to 99,999 inhabitants)</w:t>
            </w:r>
          </w:p>
        </w:tc>
        <w:tc>
          <w:tcPr>
            <w:tcW w:w="1170" w:type="dxa"/>
          </w:tcPr>
          <w:p w:rsidR="00076204" w:rsidRPr="00076204" w:rsidRDefault="00105CFB" w:rsidP="006B6DEF">
            <w:pPr>
              <w:tabs>
                <w:tab w:val="left" w:pos="360"/>
              </w:tabs>
              <w:contextualSpacing/>
              <w:rPr>
                <w:rFonts w:ascii="Times New Roman" w:hAnsi="Times New Roman" w:cs="Times New Roman"/>
                <w:sz w:val="20"/>
                <w:szCs w:val="20"/>
              </w:rPr>
            </w:pPr>
            <w:r>
              <w:rPr>
                <w:rFonts w:ascii="Times New Roman" w:hAnsi="Times New Roman" w:cs="Times New Roman"/>
                <w:sz w:val="20"/>
                <w:szCs w:val="20"/>
              </w:rPr>
              <w:t>3</w:t>
            </w:r>
            <w:r w:rsidR="00EE6A4D">
              <w:rPr>
                <w:rFonts w:ascii="Times New Roman" w:hAnsi="Times New Roman" w:cs="Times New Roman"/>
                <w:sz w:val="20"/>
                <w:szCs w:val="20"/>
              </w:rPr>
              <w:t>43</w:t>
            </w:r>
          </w:p>
        </w:tc>
        <w:tc>
          <w:tcPr>
            <w:tcW w:w="1350" w:type="dxa"/>
          </w:tcPr>
          <w:p w:rsidR="00076204" w:rsidRPr="00076204" w:rsidRDefault="00BA0127" w:rsidP="00EE6A4D">
            <w:pPr>
              <w:tabs>
                <w:tab w:val="left" w:pos="360"/>
              </w:tabs>
              <w:contextualSpacing/>
              <w:rPr>
                <w:rFonts w:ascii="Times New Roman" w:hAnsi="Times New Roman" w:cs="Times New Roman"/>
                <w:sz w:val="20"/>
                <w:szCs w:val="20"/>
              </w:rPr>
            </w:pPr>
            <w:r>
              <w:rPr>
                <w:rFonts w:ascii="Times New Roman" w:hAnsi="Times New Roman" w:cs="Times New Roman"/>
                <w:sz w:val="20"/>
                <w:szCs w:val="20"/>
              </w:rPr>
              <w:t>2</w:t>
            </w:r>
            <w:r w:rsidR="00EE6A4D">
              <w:rPr>
                <w:rFonts w:ascii="Times New Roman" w:hAnsi="Times New Roman" w:cs="Times New Roman"/>
                <w:sz w:val="20"/>
                <w:szCs w:val="20"/>
              </w:rPr>
              <w:t>3</w:t>
            </w:r>
            <w:r>
              <w:rPr>
                <w:rFonts w:ascii="Times New Roman" w:hAnsi="Times New Roman" w:cs="Times New Roman"/>
                <w:sz w:val="20"/>
                <w:szCs w:val="20"/>
              </w:rPr>
              <w:t>,</w:t>
            </w:r>
            <w:r w:rsidR="00EE6A4D">
              <w:rPr>
                <w:rFonts w:ascii="Times New Roman" w:hAnsi="Times New Roman" w:cs="Times New Roman"/>
                <w:sz w:val="20"/>
                <w:szCs w:val="20"/>
              </w:rPr>
              <w:t>737</w:t>
            </w:r>
            <w:r>
              <w:rPr>
                <w:rFonts w:ascii="Times New Roman" w:hAnsi="Times New Roman" w:cs="Times New Roman"/>
                <w:sz w:val="20"/>
                <w:szCs w:val="20"/>
              </w:rPr>
              <w:t>,</w:t>
            </w:r>
            <w:r w:rsidR="00EE6A4D">
              <w:rPr>
                <w:rFonts w:ascii="Times New Roman" w:hAnsi="Times New Roman" w:cs="Times New Roman"/>
                <w:sz w:val="20"/>
                <w:szCs w:val="20"/>
              </w:rPr>
              <w:t>500</w:t>
            </w:r>
          </w:p>
        </w:tc>
      </w:tr>
      <w:tr w:rsidR="00076204" w:rsidRPr="00076204" w:rsidTr="00076204">
        <w:trPr>
          <w:trHeight w:val="359"/>
          <w:jc w:val="center"/>
        </w:trPr>
        <w:tc>
          <w:tcPr>
            <w:tcW w:w="928" w:type="dxa"/>
            <w:vMerge/>
          </w:tcPr>
          <w:p w:rsidR="00076204" w:rsidRPr="00076204" w:rsidRDefault="00076204" w:rsidP="00D213F3">
            <w:pPr>
              <w:tabs>
                <w:tab w:val="left" w:pos="360"/>
              </w:tabs>
              <w:contextualSpacing/>
              <w:rPr>
                <w:rFonts w:ascii="Times New Roman" w:hAnsi="Times New Roman" w:cs="Times New Roman"/>
                <w:sz w:val="20"/>
                <w:szCs w:val="20"/>
              </w:rPr>
            </w:pPr>
          </w:p>
        </w:tc>
        <w:tc>
          <w:tcPr>
            <w:tcW w:w="3770" w:type="dxa"/>
          </w:tcPr>
          <w:p w:rsidR="00076204" w:rsidRPr="00076204" w:rsidRDefault="00076204" w:rsidP="00D213F3">
            <w:pPr>
              <w:tabs>
                <w:tab w:val="left" w:pos="360"/>
              </w:tabs>
              <w:contextualSpacing/>
              <w:rPr>
                <w:rFonts w:ascii="Times New Roman" w:hAnsi="Times New Roman" w:cs="Times New Roman"/>
                <w:sz w:val="20"/>
                <w:szCs w:val="20"/>
              </w:rPr>
            </w:pPr>
            <w:r w:rsidRPr="00076204">
              <w:rPr>
                <w:rFonts w:ascii="Times New Roman" w:hAnsi="Times New Roman" w:cs="Times New Roman"/>
                <w:sz w:val="20"/>
                <w:szCs w:val="20"/>
              </w:rPr>
              <w:t>Group IV (25,000 to 49,999 inhabitants)</w:t>
            </w:r>
          </w:p>
        </w:tc>
        <w:tc>
          <w:tcPr>
            <w:tcW w:w="1170" w:type="dxa"/>
          </w:tcPr>
          <w:p w:rsidR="00076204" w:rsidRPr="00076204" w:rsidRDefault="00105CFB" w:rsidP="006B6DEF">
            <w:pPr>
              <w:tabs>
                <w:tab w:val="left" w:pos="360"/>
              </w:tabs>
              <w:contextualSpacing/>
              <w:rPr>
                <w:rFonts w:ascii="Times New Roman" w:hAnsi="Times New Roman" w:cs="Times New Roman"/>
                <w:sz w:val="20"/>
                <w:szCs w:val="20"/>
              </w:rPr>
            </w:pPr>
            <w:r>
              <w:rPr>
                <w:rFonts w:ascii="Times New Roman" w:hAnsi="Times New Roman" w:cs="Times New Roman"/>
                <w:sz w:val="20"/>
                <w:szCs w:val="20"/>
              </w:rPr>
              <w:t>5</w:t>
            </w:r>
            <w:r w:rsidR="00EE6A4D">
              <w:rPr>
                <w:rFonts w:ascii="Times New Roman" w:hAnsi="Times New Roman" w:cs="Times New Roman"/>
                <w:sz w:val="20"/>
                <w:szCs w:val="20"/>
              </w:rPr>
              <w:t>86</w:t>
            </w:r>
          </w:p>
        </w:tc>
        <w:tc>
          <w:tcPr>
            <w:tcW w:w="1350" w:type="dxa"/>
          </w:tcPr>
          <w:p w:rsidR="00076204" w:rsidRPr="00076204" w:rsidRDefault="00EE6A4D" w:rsidP="00EE6A4D">
            <w:pPr>
              <w:tabs>
                <w:tab w:val="left" w:pos="360"/>
              </w:tabs>
              <w:contextualSpacing/>
              <w:rPr>
                <w:rFonts w:ascii="Times New Roman" w:hAnsi="Times New Roman" w:cs="Times New Roman"/>
                <w:sz w:val="20"/>
                <w:szCs w:val="20"/>
              </w:rPr>
            </w:pPr>
            <w:r>
              <w:rPr>
                <w:rFonts w:ascii="Times New Roman" w:hAnsi="Times New Roman" w:cs="Times New Roman"/>
                <w:sz w:val="20"/>
                <w:szCs w:val="20"/>
              </w:rPr>
              <w:t>20</w:t>
            </w:r>
            <w:r w:rsidR="00BA0127">
              <w:rPr>
                <w:rFonts w:ascii="Times New Roman" w:hAnsi="Times New Roman" w:cs="Times New Roman"/>
                <w:sz w:val="20"/>
                <w:szCs w:val="20"/>
              </w:rPr>
              <w:t>,</w:t>
            </w:r>
            <w:r>
              <w:rPr>
                <w:rFonts w:ascii="Times New Roman" w:hAnsi="Times New Roman" w:cs="Times New Roman"/>
                <w:sz w:val="20"/>
                <w:szCs w:val="20"/>
              </w:rPr>
              <w:t>227</w:t>
            </w:r>
            <w:r w:rsidR="00BA0127">
              <w:rPr>
                <w:rFonts w:ascii="Times New Roman" w:hAnsi="Times New Roman" w:cs="Times New Roman"/>
                <w:sz w:val="20"/>
                <w:szCs w:val="20"/>
              </w:rPr>
              <w:t>,</w:t>
            </w:r>
            <w:r>
              <w:rPr>
                <w:rFonts w:ascii="Times New Roman" w:hAnsi="Times New Roman" w:cs="Times New Roman"/>
                <w:sz w:val="20"/>
                <w:szCs w:val="20"/>
              </w:rPr>
              <w:t>802</w:t>
            </w:r>
          </w:p>
        </w:tc>
      </w:tr>
      <w:tr w:rsidR="00076204" w:rsidRPr="00076204" w:rsidTr="00076204">
        <w:trPr>
          <w:trHeight w:val="341"/>
          <w:jc w:val="center"/>
        </w:trPr>
        <w:tc>
          <w:tcPr>
            <w:tcW w:w="928" w:type="dxa"/>
            <w:vMerge/>
          </w:tcPr>
          <w:p w:rsidR="00076204" w:rsidRPr="00076204" w:rsidRDefault="00076204" w:rsidP="00D213F3">
            <w:pPr>
              <w:tabs>
                <w:tab w:val="left" w:pos="360"/>
              </w:tabs>
              <w:contextualSpacing/>
              <w:rPr>
                <w:rFonts w:ascii="Times New Roman" w:hAnsi="Times New Roman" w:cs="Times New Roman"/>
                <w:sz w:val="20"/>
                <w:szCs w:val="20"/>
              </w:rPr>
            </w:pPr>
          </w:p>
        </w:tc>
        <w:tc>
          <w:tcPr>
            <w:tcW w:w="3770" w:type="dxa"/>
          </w:tcPr>
          <w:p w:rsidR="00076204" w:rsidRPr="00076204" w:rsidRDefault="00076204" w:rsidP="00D213F3">
            <w:pPr>
              <w:tabs>
                <w:tab w:val="left" w:pos="360"/>
              </w:tabs>
              <w:contextualSpacing/>
              <w:rPr>
                <w:rFonts w:ascii="Times New Roman" w:hAnsi="Times New Roman" w:cs="Times New Roman"/>
                <w:sz w:val="20"/>
                <w:szCs w:val="20"/>
              </w:rPr>
            </w:pPr>
            <w:r w:rsidRPr="00076204">
              <w:rPr>
                <w:rFonts w:ascii="Times New Roman" w:hAnsi="Times New Roman" w:cs="Times New Roman"/>
                <w:sz w:val="20"/>
                <w:szCs w:val="20"/>
              </w:rPr>
              <w:t>Group V (10,000 to 24,999 inhabitants)</w:t>
            </w:r>
          </w:p>
        </w:tc>
        <w:tc>
          <w:tcPr>
            <w:tcW w:w="1170" w:type="dxa"/>
          </w:tcPr>
          <w:p w:rsidR="00076204" w:rsidRPr="00076204" w:rsidRDefault="003A5EDF" w:rsidP="00D213F3">
            <w:pPr>
              <w:tabs>
                <w:tab w:val="left" w:pos="360"/>
              </w:tabs>
              <w:contextualSpacing/>
              <w:rPr>
                <w:rFonts w:ascii="Times New Roman" w:hAnsi="Times New Roman" w:cs="Times New Roman"/>
                <w:sz w:val="20"/>
                <w:szCs w:val="20"/>
              </w:rPr>
            </w:pPr>
            <w:r>
              <w:rPr>
                <w:rFonts w:ascii="Times New Roman" w:hAnsi="Times New Roman" w:cs="Times New Roman"/>
                <w:sz w:val="20"/>
                <w:szCs w:val="20"/>
              </w:rPr>
              <w:t>1,272</w:t>
            </w:r>
          </w:p>
        </w:tc>
        <w:tc>
          <w:tcPr>
            <w:tcW w:w="1350" w:type="dxa"/>
          </w:tcPr>
          <w:p w:rsidR="00076204" w:rsidRPr="00076204" w:rsidRDefault="003A5EDF" w:rsidP="003A5EDF">
            <w:pPr>
              <w:tabs>
                <w:tab w:val="left" w:pos="360"/>
              </w:tabs>
              <w:contextualSpacing/>
              <w:rPr>
                <w:rFonts w:ascii="Times New Roman" w:hAnsi="Times New Roman" w:cs="Times New Roman"/>
                <w:sz w:val="20"/>
                <w:szCs w:val="20"/>
              </w:rPr>
            </w:pPr>
            <w:r>
              <w:rPr>
                <w:rFonts w:ascii="Times New Roman" w:hAnsi="Times New Roman" w:cs="Times New Roman"/>
                <w:sz w:val="20"/>
                <w:szCs w:val="20"/>
              </w:rPr>
              <w:t>20</w:t>
            </w:r>
            <w:r w:rsidR="00BA0127">
              <w:rPr>
                <w:rFonts w:ascii="Times New Roman" w:hAnsi="Times New Roman" w:cs="Times New Roman"/>
                <w:sz w:val="20"/>
                <w:szCs w:val="20"/>
              </w:rPr>
              <w:t>,</w:t>
            </w:r>
            <w:r>
              <w:rPr>
                <w:rFonts w:ascii="Times New Roman" w:hAnsi="Times New Roman" w:cs="Times New Roman"/>
                <w:sz w:val="20"/>
                <w:szCs w:val="20"/>
              </w:rPr>
              <w:t>294</w:t>
            </w:r>
            <w:r w:rsidR="00BA0127">
              <w:rPr>
                <w:rFonts w:ascii="Times New Roman" w:hAnsi="Times New Roman" w:cs="Times New Roman"/>
                <w:sz w:val="20"/>
                <w:szCs w:val="20"/>
              </w:rPr>
              <w:t>,</w:t>
            </w:r>
            <w:r>
              <w:rPr>
                <w:rFonts w:ascii="Times New Roman" w:hAnsi="Times New Roman" w:cs="Times New Roman"/>
                <w:sz w:val="20"/>
                <w:szCs w:val="20"/>
              </w:rPr>
              <w:t>222</w:t>
            </w:r>
          </w:p>
        </w:tc>
      </w:tr>
      <w:tr w:rsidR="00076204" w:rsidRPr="00076204" w:rsidTr="00076204">
        <w:trPr>
          <w:trHeight w:val="359"/>
          <w:jc w:val="center"/>
        </w:trPr>
        <w:tc>
          <w:tcPr>
            <w:tcW w:w="928" w:type="dxa"/>
            <w:vMerge/>
          </w:tcPr>
          <w:p w:rsidR="00076204" w:rsidRPr="00076204" w:rsidRDefault="00076204" w:rsidP="00D213F3">
            <w:pPr>
              <w:tabs>
                <w:tab w:val="left" w:pos="360"/>
              </w:tabs>
              <w:contextualSpacing/>
              <w:rPr>
                <w:rFonts w:ascii="Times New Roman" w:hAnsi="Times New Roman" w:cs="Times New Roman"/>
                <w:sz w:val="20"/>
                <w:szCs w:val="20"/>
              </w:rPr>
            </w:pPr>
          </w:p>
        </w:tc>
        <w:tc>
          <w:tcPr>
            <w:tcW w:w="3770" w:type="dxa"/>
          </w:tcPr>
          <w:p w:rsidR="00076204" w:rsidRPr="00076204" w:rsidRDefault="00076204" w:rsidP="001F1C00">
            <w:pPr>
              <w:tabs>
                <w:tab w:val="left" w:pos="360"/>
              </w:tabs>
              <w:contextualSpacing/>
              <w:rPr>
                <w:rFonts w:ascii="Times New Roman" w:hAnsi="Times New Roman" w:cs="Times New Roman"/>
                <w:sz w:val="20"/>
                <w:szCs w:val="20"/>
              </w:rPr>
            </w:pPr>
            <w:r w:rsidRPr="00076204">
              <w:rPr>
                <w:rFonts w:ascii="Times New Roman" w:hAnsi="Times New Roman" w:cs="Times New Roman"/>
                <w:sz w:val="20"/>
                <w:szCs w:val="20"/>
              </w:rPr>
              <w:t>Group VI (Less than 10,000 inhabitants)</w:t>
            </w:r>
            <w:r w:rsidR="001F1C00">
              <w:rPr>
                <w:rFonts w:ascii="Times New Roman" w:hAnsi="Times New Roman" w:cs="Times New Roman"/>
                <w:sz w:val="20"/>
                <w:szCs w:val="20"/>
                <w:vertAlign w:val="superscript"/>
              </w:rPr>
              <w:t>1</w:t>
            </w:r>
            <w:r w:rsidR="00105CFB">
              <w:rPr>
                <w:rFonts w:ascii="Times New Roman" w:hAnsi="Times New Roman" w:cs="Times New Roman"/>
                <w:sz w:val="20"/>
                <w:szCs w:val="20"/>
                <w:vertAlign w:val="superscript"/>
              </w:rPr>
              <w:t>,</w:t>
            </w:r>
            <w:r w:rsidR="001F1C00">
              <w:rPr>
                <w:rFonts w:ascii="Times New Roman" w:hAnsi="Times New Roman" w:cs="Times New Roman"/>
                <w:sz w:val="20"/>
                <w:szCs w:val="20"/>
                <w:vertAlign w:val="superscript"/>
              </w:rPr>
              <w:t>2</w:t>
            </w:r>
          </w:p>
        </w:tc>
        <w:tc>
          <w:tcPr>
            <w:tcW w:w="1170" w:type="dxa"/>
          </w:tcPr>
          <w:p w:rsidR="00076204" w:rsidRPr="00076204" w:rsidRDefault="003A5EDF" w:rsidP="006B6DEF">
            <w:pPr>
              <w:tabs>
                <w:tab w:val="left" w:pos="360"/>
              </w:tabs>
              <w:contextualSpacing/>
              <w:rPr>
                <w:rFonts w:ascii="Times New Roman" w:hAnsi="Times New Roman" w:cs="Times New Roman"/>
                <w:sz w:val="20"/>
                <w:szCs w:val="20"/>
              </w:rPr>
            </w:pPr>
            <w:r>
              <w:rPr>
                <w:rFonts w:ascii="Times New Roman" w:hAnsi="Times New Roman" w:cs="Times New Roman"/>
                <w:sz w:val="20"/>
                <w:szCs w:val="20"/>
              </w:rPr>
              <w:t>6,359</w:t>
            </w:r>
          </w:p>
        </w:tc>
        <w:tc>
          <w:tcPr>
            <w:tcW w:w="1350" w:type="dxa"/>
          </w:tcPr>
          <w:p w:rsidR="00076204" w:rsidRPr="00076204" w:rsidRDefault="00BA0127" w:rsidP="003A5EDF">
            <w:pPr>
              <w:tabs>
                <w:tab w:val="left" w:pos="360"/>
              </w:tabs>
              <w:contextualSpacing/>
              <w:rPr>
                <w:rFonts w:ascii="Times New Roman" w:hAnsi="Times New Roman" w:cs="Times New Roman"/>
                <w:sz w:val="20"/>
                <w:szCs w:val="20"/>
              </w:rPr>
            </w:pPr>
            <w:r>
              <w:rPr>
                <w:rFonts w:ascii="Times New Roman" w:hAnsi="Times New Roman" w:cs="Times New Roman"/>
                <w:sz w:val="20"/>
                <w:szCs w:val="20"/>
              </w:rPr>
              <w:t>1</w:t>
            </w:r>
            <w:r w:rsidR="003A5EDF">
              <w:rPr>
                <w:rFonts w:ascii="Times New Roman" w:hAnsi="Times New Roman" w:cs="Times New Roman"/>
                <w:sz w:val="20"/>
                <w:szCs w:val="20"/>
              </w:rPr>
              <w:t>7</w:t>
            </w:r>
            <w:r>
              <w:rPr>
                <w:rFonts w:ascii="Times New Roman" w:hAnsi="Times New Roman" w:cs="Times New Roman"/>
                <w:sz w:val="20"/>
                <w:szCs w:val="20"/>
              </w:rPr>
              <w:t>,</w:t>
            </w:r>
            <w:r w:rsidR="003A5EDF">
              <w:rPr>
                <w:rFonts w:ascii="Times New Roman" w:hAnsi="Times New Roman" w:cs="Times New Roman"/>
                <w:sz w:val="20"/>
                <w:szCs w:val="20"/>
              </w:rPr>
              <w:t>114</w:t>
            </w:r>
            <w:r>
              <w:rPr>
                <w:rFonts w:ascii="Times New Roman" w:hAnsi="Times New Roman" w:cs="Times New Roman"/>
                <w:sz w:val="20"/>
                <w:szCs w:val="20"/>
              </w:rPr>
              <w:t>,</w:t>
            </w:r>
            <w:r w:rsidR="003A5EDF">
              <w:rPr>
                <w:rFonts w:ascii="Times New Roman" w:hAnsi="Times New Roman" w:cs="Times New Roman"/>
                <w:sz w:val="20"/>
                <w:szCs w:val="20"/>
              </w:rPr>
              <w:t>079</w:t>
            </w:r>
          </w:p>
        </w:tc>
      </w:tr>
      <w:tr w:rsidR="00076204" w:rsidRPr="00076204" w:rsidTr="00076204">
        <w:trPr>
          <w:trHeight w:val="341"/>
          <w:jc w:val="center"/>
        </w:trPr>
        <w:tc>
          <w:tcPr>
            <w:tcW w:w="928" w:type="dxa"/>
            <w:vMerge w:val="restart"/>
          </w:tcPr>
          <w:p w:rsidR="00076204" w:rsidRPr="00076204" w:rsidRDefault="00076204" w:rsidP="00D213F3">
            <w:pPr>
              <w:tabs>
                <w:tab w:val="left" w:pos="360"/>
              </w:tabs>
              <w:contextualSpacing/>
              <w:rPr>
                <w:rFonts w:ascii="Times New Roman" w:hAnsi="Times New Roman" w:cs="Times New Roman"/>
                <w:sz w:val="20"/>
                <w:szCs w:val="20"/>
              </w:rPr>
            </w:pPr>
            <w:r w:rsidRPr="00076204">
              <w:rPr>
                <w:rFonts w:ascii="Times New Roman" w:hAnsi="Times New Roman" w:cs="Times New Roman"/>
                <w:sz w:val="20"/>
                <w:szCs w:val="20"/>
              </w:rPr>
              <w:t>Counties</w:t>
            </w:r>
          </w:p>
        </w:tc>
        <w:tc>
          <w:tcPr>
            <w:tcW w:w="3770" w:type="dxa"/>
          </w:tcPr>
          <w:p w:rsidR="00076204" w:rsidRPr="00076204" w:rsidRDefault="00076204" w:rsidP="00D213F3">
            <w:pPr>
              <w:tabs>
                <w:tab w:val="left" w:pos="360"/>
              </w:tabs>
              <w:contextualSpacing/>
              <w:rPr>
                <w:rFonts w:ascii="Times New Roman" w:hAnsi="Times New Roman" w:cs="Times New Roman"/>
                <w:sz w:val="20"/>
                <w:szCs w:val="20"/>
              </w:rPr>
            </w:pPr>
            <w:r w:rsidRPr="00076204">
              <w:rPr>
                <w:rFonts w:ascii="Times New Roman" w:hAnsi="Times New Roman" w:cs="Times New Roman"/>
                <w:sz w:val="20"/>
                <w:szCs w:val="20"/>
              </w:rPr>
              <w:t>Group VIII (Nonmetropolitan County)</w:t>
            </w:r>
            <w:r w:rsidR="001F1C00">
              <w:rPr>
                <w:rFonts w:ascii="Times New Roman" w:hAnsi="Times New Roman" w:cs="Times New Roman"/>
                <w:sz w:val="20"/>
                <w:szCs w:val="20"/>
                <w:vertAlign w:val="superscript"/>
              </w:rPr>
              <w:t>2</w:t>
            </w:r>
          </w:p>
        </w:tc>
        <w:tc>
          <w:tcPr>
            <w:tcW w:w="1170" w:type="dxa"/>
          </w:tcPr>
          <w:p w:rsidR="00076204" w:rsidRPr="00076204" w:rsidRDefault="00105CFB" w:rsidP="003A5EDF">
            <w:pPr>
              <w:tabs>
                <w:tab w:val="left" w:pos="360"/>
              </w:tabs>
              <w:contextualSpacing/>
              <w:rPr>
                <w:rFonts w:ascii="Times New Roman" w:hAnsi="Times New Roman" w:cs="Times New Roman"/>
                <w:sz w:val="20"/>
                <w:szCs w:val="20"/>
              </w:rPr>
            </w:pPr>
            <w:r>
              <w:rPr>
                <w:rFonts w:ascii="Times New Roman" w:hAnsi="Times New Roman" w:cs="Times New Roman"/>
                <w:sz w:val="20"/>
                <w:szCs w:val="20"/>
              </w:rPr>
              <w:t>1,</w:t>
            </w:r>
            <w:r w:rsidR="003A5EDF">
              <w:rPr>
                <w:rFonts w:ascii="Times New Roman" w:hAnsi="Times New Roman" w:cs="Times New Roman"/>
                <w:sz w:val="20"/>
                <w:szCs w:val="20"/>
              </w:rPr>
              <w:t>5</w:t>
            </w:r>
            <w:r w:rsidR="00EE6A4D">
              <w:rPr>
                <w:rFonts w:ascii="Times New Roman" w:hAnsi="Times New Roman" w:cs="Times New Roman"/>
                <w:sz w:val="20"/>
                <w:szCs w:val="20"/>
              </w:rPr>
              <w:t>5</w:t>
            </w:r>
            <w:r w:rsidR="003A5EDF">
              <w:rPr>
                <w:rFonts w:ascii="Times New Roman" w:hAnsi="Times New Roman" w:cs="Times New Roman"/>
                <w:sz w:val="20"/>
                <w:szCs w:val="20"/>
              </w:rPr>
              <w:t>9</w:t>
            </w:r>
          </w:p>
        </w:tc>
        <w:tc>
          <w:tcPr>
            <w:tcW w:w="1350" w:type="dxa"/>
          </w:tcPr>
          <w:p w:rsidR="00076204" w:rsidRPr="00076204" w:rsidRDefault="00BA0127" w:rsidP="003A5EDF">
            <w:pPr>
              <w:tabs>
                <w:tab w:val="left" w:pos="360"/>
              </w:tabs>
              <w:contextualSpacing/>
              <w:rPr>
                <w:rFonts w:ascii="Times New Roman" w:hAnsi="Times New Roman" w:cs="Times New Roman"/>
                <w:sz w:val="20"/>
                <w:szCs w:val="20"/>
              </w:rPr>
            </w:pPr>
            <w:r>
              <w:rPr>
                <w:rFonts w:ascii="Times New Roman" w:hAnsi="Times New Roman" w:cs="Times New Roman"/>
                <w:sz w:val="20"/>
                <w:szCs w:val="20"/>
              </w:rPr>
              <w:t>1</w:t>
            </w:r>
            <w:r w:rsidR="003A5EDF">
              <w:rPr>
                <w:rFonts w:ascii="Times New Roman" w:hAnsi="Times New Roman" w:cs="Times New Roman"/>
                <w:sz w:val="20"/>
                <w:szCs w:val="20"/>
              </w:rPr>
              <w:t>5</w:t>
            </w:r>
            <w:r>
              <w:rPr>
                <w:rFonts w:ascii="Times New Roman" w:hAnsi="Times New Roman" w:cs="Times New Roman"/>
                <w:sz w:val="20"/>
                <w:szCs w:val="20"/>
              </w:rPr>
              <w:t>,</w:t>
            </w:r>
            <w:r w:rsidR="003A5EDF">
              <w:rPr>
                <w:rFonts w:ascii="Times New Roman" w:hAnsi="Times New Roman" w:cs="Times New Roman"/>
                <w:sz w:val="20"/>
                <w:szCs w:val="20"/>
              </w:rPr>
              <w:t>419</w:t>
            </w:r>
            <w:r>
              <w:rPr>
                <w:rFonts w:ascii="Times New Roman" w:hAnsi="Times New Roman" w:cs="Times New Roman"/>
                <w:sz w:val="20"/>
                <w:szCs w:val="20"/>
              </w:rPr>
              <w:t>,</w:t>
            </w:r>
            <w:r w:rsidR="003A5EDF">
              <w:rPr>
                <w:rFonts w:ascii="Times New Roman" w:hAnsi="Times New Roman" w:cs="Times New Roman"/>
                <w:sz w:val="20"/>
                <w:szCs w:val="20"/>
              </w:rPr>
              <w:t>912</w:t>
            </w:r>
          </w:p>
        </w:tc>
      </w:tr>
      <w:tr w:rsidR="00076204" w:rsidRPr="00076204" w:rsidTr="00076204">
        <w:trPr>
          <w:trHeight w:val="359"/>
          <w:jc w:val="center"/>
        </w:trPr>
        <w:tc>
          <w:tcPr>
            <w:tcW w:w="928" w:type="dxa"/>
            <w:vMerge/>
          </w:tcPr>
          <w:p w:rsidR="00076204" w:rsidRPr="00076204" w:rsidRDefault="00076204" w:rsidP="00D213F3">
            <w:pPr>
              <w:tabs>
                <w:tab w:val="left" w:pos="360"/>
              </w:tabs>
              <w:contextualSpacing/>
              <w:rPr>
                <w:rFonts w:ascii="Times New Roman" w:hAnsi="Times New Roman" w:cs="Times New Roman"/>
                <w:sz w:val="20"/>
                <w:szCs w:val="20"/>
              </w:rPr>
            </w:pPr>
          </w:p>
        </w:tc>
        <w:tc>
          <w:tcPr>
            <w:tcW w:w="3770" w:type="dxa"/>
          </w:tcPr>
          <w:p w:rsidR="00076204" w:rsidRPr="00076204" w:rsidRDefault="00076204" w:rsidP="00D213F3">
            <w:pPr>
              <w:tabs>
                <w:tab w:val="left" w:pos="360"/>
              </w:tabs>
              <w:contextualSpacing/>
              <w:rPr>
                <w:rFonts w:ascii="Times New Roman" w:hAnsi="Times New Roman" w:cs="Times New Roman"/>
                <w:sz w:val="20"/>
                <w:szCs w:val="20"/>
              </w:rPr>
            </w:pPr>
            <w:r w:rsidRPr="00076204">
              <w:rPr>
                <w:rFonts w:ascii="Times New Roman" w:hAnsi="Times New Roman" w:cs="Times New Roman"/>
                <w:sz w:val="20"/>
                <w:szCs w:val="20"/>
              </w:rPr>
              <w:t>Group IX (Metropolitan County)</w:t>
            </w:r>
            <w:r w:rsidR="001F1C00">
              <w:rPr>
                <w:rFonts w:ascii="Times New Roman" w:hAnsi="Times New Roman" w:cs="Times New Roman"/>
                <w:sz w:val="20"/>
                <w:szCs w:val="20"/>
                <w:vertAlign w:val="superscript"/>
              </w:rPr>
              <w:t>2</w:t>
            </w:r>
          </w:p>
        </w:tc>
        <w:tc>
          <w:tcPr>
            <w:tcW w:w="1170" w:type="dxa"/>
          </w:tcPr>
          <w:p w:rsidR="00076204" w:rsidRPr="00076204" w:rsidRDefault="00105CFB" w:rsidP="006B6DEF">
            <w:pPr>
              <w:tabs>
                <w:tab w:val="left" w:pos="360"/>
              </w:tabs>
              <w:contextualSpacing/>
              <w:rPr>
                <w:rFonts w:ascii="Times New Roman" w:hAnsi="Times New Roman" w:cs="Times New Roman"/>
                <w:sz w:val="20"/>
                <w:szCs w:val="20"/>
              </w:rPr>
            </w:pPr>
            <w:r>
              <w:rPr>
                <w:rFonts w:ascii="Times New Roman" w:hAnsi="Times New Roman" w:cs="Times New Roman"/>
                <w:sz w:val="20"/>
                <w:szCs w:val="20"/>
              </w:rPr>
              <w:t>1,</w:t>
            </w:r>
            <w:r w:rsidR="003A5EDF">
              <w:rPr>
                <w:rFonts w:ascii="Times New Roman" w:hAnsi="Times New Roman" w:cs="Times New Roman"/>
                <w:sz w:val="20"/>
                <w:szCs w:val="20"/>
              </w:rPr>
              <w:t>457</w:t>
            </w:r>
          </w:p>
        </w:tc>
        <w:tc>
          <w:tcPr>
            <w:tcW w:w="1350" w:type="dxa"/>
          </w:tcPr>
          <w:p w:rsidR="00076204" w:rsidRPr="00076204" w:rsidRDefault="003A5EDF" w:rsidP="003A5EDF">
            <w:pPr>
              <w:tabs>
                <w:tab w:val="left" w:pos="360"/>
              </w:tabs>
              <w:contextualSpacing/>
              <w:rPr>
                <w:rFonts w:ascii="Times New Roman" w:hAnsi="Times New Roman" w:cs="Times New Roman"/>
                <w:sz w:val="20"/>
                <w:szCs w:val="20"/>
              </w:rPr>
            </w:pPr>
            <w:r>
              <w:rPr>
                <w:rFonts w:ascii="Times New Roman" w:hAnsi="Times New Roman" w:cs="Times New Roman"/>
                <w:sz w:val="20"/>
                <w:szCs w:val="20"/>
              </w:rPr>
              <w:t>5</w:t>
            </w:r>
            <w:r w:rsidR="00EE6A4D">
              <w:rPr>
                <w:rFonts w:ascii="Times New Roman" w:hAnsi="Times New Roman" w:cs="Times New Roman"/>
                <w:sz w:val="20"/>
                <w:szCs w:val="20"/>
              </w:rPr>
              <w:t>4</w:t>
            </w:r>
            <w:r w:rsidR="00BA0127">
              <w:rPr>
                <w:rFonts w:ascii="Times New Roman" w:hAnsi="Times New Roman" w:cs="Times New Roman"/>
                <w:sz w:val="20"/>
                <w:szCs w:val="20"/>
              </w:rPr>
              <w:t>,</w:t>
            </w:r>
            <w:r>
              <w:rPr>
                <w:rFonts w:ascii="Times New Roman" w:hAnsi="Times New Roman" w:cs="Times New Roman"/>
                <w:sz w:val="20"/>
                <w:szCs w:val="20"/>
              </w:rPr>
              <w:t>777</w:t>
            </w:r>
            <w:r w:rsidR="00BA0127">
              <w:rPr>
                <w:rFonts w:ascii="Times New Roman" w:hAnsi="Times New Roman" w:cs="Times New Roman"/>
                <w:sz w:val="20"/>
                <w:szCs w:val="20"/>
              </w:rPr>
              <w:t>,</w:t>
            </w:r>
            <w:r>
              <w:rPr>
                <w:rFonts w:ascii="Times New Roman" w:hAnsi="Times New Roman" w:cs="Times New Roman"/>
                <w:sz w:val="20"/>
                <w:szCs w:val="20"/>
              </w:rPr>
              <w:t>536</w:t>
            </w:r>
          </w:p>
        </w:tc>
      </w:tr>
      <w:tr w:rsidR="00076204" w:rsidRPr="00076204" w:rsidTr="00076204">
        <w:trPr>
          <w:trHeight w:val="341"/>
          <w:jc w:val="center"/>
        </w:trPr>
        <w:tc>
          <w:tcPr>
            <w:tcW w:w="928" w:type="dxa"/>
          </w:tcPr>
          <w:p w:rsidR="00076204" w:rsidRPr="00076204" w:rsidRDefault="00076204" w:rsidP="00D213F3">
            <w:pPr>
              <w:tabs>
                <w:tab w:val="left" w:pos="360"/>
              </w:tabs>
              <w:contextualSpacing/>
              <w:rPr>
                <w:rFonts w:ascii="Times New Roman" w:hAnsi="Times New Roman" w:cs="Times New Roman"/>
                <w:sz w:val="20"/>
                <w:szCs w:val="20"/>
              </w:rPr>
            </w:pPr>
          </w:p>
        </w:tc>
        <w:tc>
          <w:tcPr>
            <w:tcW w:w="3770" w:type="dxa"/>
          </w:tcPr>
          <w:p w:rsidR="00076204" w:rsidRPr="0046148B" w:rsidRDefault="00076204" w:rsidP="00D213F3">
            <w:pPr>
              <w:tabs>
                <w:tab w:val="left" w:pos="360"/>
              </w:tabs>
              <w:contextualSpacing/>
              <w:rPr>
                <w:rFonts w:ascii="Times New Roman" w:hAnsi="Times New Roman" w:cs="Times New Roman"/>
                <w:b/>
                <w:sz w:val="20"/>
                <w:szCs w:val="20"/>
              </w:rPr>
            </w:pPr>
            <w:r w:rsidRPr="0046148B">
              <w:rPr>
                <w:rFonts w:ascii="Times New Roman" w:hAnsi="Times New Roman" w:cs="Times New Roman"/>
                <w:b/>
                <w:sz w:val="20"/>
                <w:szCs w:val="20"/>
              </w:rPr>
              <w:t>Total</w:t>
            </w:r>
          </w:p>
        </w:tc>
        <w:tc>
          <w:tcPr>
            <w:tcW w:w="1170" w:type="dxa"/>
          </w:tcPr>
          <w:p w:rsidR="00076204" w:rsidRPr="0046148B" w:rsidRDefault="003A5EDF" w:rsidP="003A5EDF">
            <w:pPr>
              <w:tabs>
                <w:tab w:val="left" w:pos="360"/>
              </w:tabs>
              <w:contextualSpacing/>
              <w:rPr>
                <w:rFonts w:ascii="Times New Roman" w:hAnsi="Times New Roman" w:cs="Times New Roman"/>
                <w:b/>
                <w:sz w:val="20"/>
                <w:szCs w:val="20"/>
              </w:rPr>
            </w:pPr>
            <w:r w:rsidRPr="0046148B">
              <w:rPr>
                <w:rFonts w:ascii="Times New Roman" w:hAnsi="Times New Roman" w:cs="Times New Roman"/>
                <w:b/>
                <w:sz w:val="20"/>
                <w:szCs w:val="20"/>
              </w:rPr>
              <w:t>11,791</w:t>
            </w:r>
          </w:p>
        </w:tc>
        <w:tc>
          <w:tcPr>
            <w:tcW w:w="1350" w:type="dxa"/>
          </w:tcPr>
          <w:p w:rsidR="00076204" w:rsidRPr="0046148B" w:rsidRDefault="003A5EDF" w:rsidP="003A5EDF">
            <w:pPr>
              <w:tabs>
                <w:tab w:val="left" w:pos="360"/>
              </w:tabs>
              <w:contextualSpacing/>
              <w:rPr>
                <w:rFonts w:ascii="Times New Roman" w:hAnsi="Times New Roman" w:cs="Times New Roman"/>
                <w:b/>
                <w:sz w:val="20"/>
                <w:szCs w:val="20"/>
              </w:rPr>
            </w:pPr>
            <w:r w:rsidRPr="0046148B">
              <w:rPr>
                <w:rFonts w:ascii="Times New Roman" w:hAnsi="Times New Roman" w:cs="Times New Roman"/>
                <w:b/>
                <w:sz w:val="20"/>
                <w:szCs w:val="20"/>
              </w:rPr>
              <w:t>225</w:t>
            </w:r>
            <w:r w:rsidR="00BA0127" w:rsidRPr="0046148B">
              <w:rPr>
                <w:rFonts w:ascii="Times New Roman" w:hAnsi="Times New Roman" w:cs="Times New Roman"/>
                <w:b/>
                <w:sz w:val="20"/>
                <w:szCs w:val="20"/>
              </w:rPr>
              <w:t>,</w:t>
            </w:r>
            <w:r w:rsidRPr="0046148B">
              <w:rPr>
                <w:rFonts w:ascii="Times New Roman" w:hAnsi="Times New Roman" w:cs="Times New Roman"/>
                <w:b/>
                <w:sz w:val="20"/>
                <w:szCs w:val="20"/>
              </w:rPr>
              <w:t>331</w:t>
            </w:r>
            <w:r w:rsidR="00BA0127" w:rsidRPr="0046148B">
              <w:rPr>
                <w:rFonts w:ascii="Times New Roman" w:hAnsi="Times New Roman" w:cs="Times New Roman"/>
                <w:b/>
                <w:sz w:val="20"/>
                <w:szCs w:val="20"/>
              </w:rPr>
              <w:t>,2</w:t>
            </w:r>
            <w:r w:rsidRPr="0046148B">
              <w:rPr>
                <w:rFonts w:ascii="Times New Roman" w:hAnsi="Times New Roman" w:cs="Times New Roman"/>
                <w:b/>
                <w:sz w:val="20"/>
                <w:szCs w:val="20"/>
              </w:rPr>
              <w:t>0</w:t>
            </w:r>
            <w:r w:rsidR="00BA0127" w:rsidRPr="0046148B">
              <w:rPr>
                <w:rFonts w:ascii="Times New Roman" w:hAnsi="Times New Roman" w:cs="Times New Roman"/>
                <w:b/>
                <w:sz w:val="20"/>
                <w:szCs w:val="20"/>
              </w:rPr>
              <w:t>5</w:t>
            </w:r>
          </w:p>
        </w:tc>
      </w:tr>
    </w:tbl>
    <w:p w:rsidR="00076204" w:rsidRPr="00076204" w:rsidRDefault="001F1C00" w:rsidP="00076204">
      <w:pPr>
        <w:tabs>
          <w:tab w:val="left" w:pos="360"/>
        </w:tabs>
        <w:ind w:left="720"/>
        <w:contextualSpacing/>
        <w:rPr>
          <w:rFonts w:ascii="Times New Roman" w:hAnsi="Times New Roman" w:cs="Times New Roman"/>
          <w:sz w:val="24"/>
          <w:szCs w:val="24"/>
        </w:rPr>
      </w:pPr>
      <w:r>
        <w:rPr>
          <w:rFonts w:ascii="Times New Roman" w:hAnsi="Times New Roman" w:cs="Times New Roman"/>
          <w:sz w:val="24"/>
          <w:szCs w:val="24"/>
          <w:vertAlign w:val="superscript"/>
        </w:rPr>
        <w:t xml:space="preserve">         1</w:t>
      </w:r>
      <w:r w:rsidR="00105CFB">
        <w:rPr>
          <w:rFonts w:ascii="Times New Roman" w:hAnsi="Times New Roman" w:cs="Times New Roman"/>
          <w:sz w:val="24"/>
          <w:szCs w:val="24"/>
        </w:rPr>
        <w:t xml:space="preserve"> </w:t>
      </w:r>
      <w:r w:rsidR="00076204" w:rsidRPr="00076204">
        <w:rPr>
          <w:rFonts w:ascii="Times New Roman" w:hAnsi="Times New Roman" w:cs="Times New Roman"/>
          <w:sz w:val="24"/>
          <w:szCs w:val="24"/>
        </w:rPr>
        <w:t>Includes universities and colleges to which no population is attributed.</w:t>
      </w:r>
    </w:p>
    <w:p w:rsidR="00076204" w:rsidRDefault="001F1C00" w:rsidP="00076204">
      <w:pPr>
        <w:tabs>
          <w:tab w:val="left" w:pos="360"/>
        </w:tabs>
        <w:ind w:left="720"/>
        <w:contextualSpacing/>
        <w:rPr>
          <w:rFonts w:ascii="Times New Roman" w:hAnsi="Times New Roman" w:cs="Times New Roman"/>
          <w:sz w:val="24"/>
          <w:szCs w:val="24"/>
        </w:rPr>
      </w:pPr>
      <w:r>
        <w:rPr>
          <w:rFonts w:ascii="Times New Roman" w:hAnsi="Times New Roman" w:cs="Times New Roman"/>
          <w:sz w:val="24"/>
          <w:szCs w:val="24"/>
          <w:vertAlign w:val="superscript"/>
        </w:rPr>
        <w:t xml:space="preserve">         2</w:t>
      </w:r>
      <w:r w:rsidR="00076204" w:rsidRPr="00076204">
        <w:rPr>
          <w:rFonts w:ascii="Times New Roman" w:hAnsi="Times New Roman" w:cs="Times New Roman"/>
          <w:sz w:val="24"/>
          <w:szCs w:val="24"/>
        </w:rPr>
        <w:t xml:space="preserve"> Includes state police to which no population is attributed.</w:t>
      </w:r>
    </w:p>
    <w:p w:rsidR="00951EDE" w:rsidRDefault="00951EDE" w:rsidP="00076204">
      <w:pPr>
        <w:tabs>
          <w:tab w:val="left" w:pos="360"/>
        </w:tabs>
        <w:ind w:left="720"/>
        <w:contextualSpacing/>
        <w:rPr>
          <w:rFonts w:ascii="Times New Roman" w:hAnsi="Times New Roman" w:cs="Times New Roman"/>
          <w:sz w:val="24"/>
          <w:szCs w:val="24"/>
        </w:rPr>
      </w:pPr>
    </w:p>
    <w:p w:rsidR="001F1C00" w:rsidRDefault="001F1C00" w:rsidP="00076204">
      <w:pPr>
        <w:tabs>
          <w:tab w:val="left" w:pos="360"/>
        </w:tabs>
        <w:ind w:left="720"/>
        <w:contextualSpacing/>
        <w:rPr>
          <w:rFonts w:ascii="Times New Roman" w:hAnsi="Times New Roman" w:cs="Times New Roman"/>
          <w:sz w:val="24"/>
          <w:szCs w:val="24"/>
        </w:rPr>
      </w:pPr>
    </w:p>
    <w:p w:rsidR="00137CE7" w:rsidRDefault="00137CE7" w:rsidP="00FD4800">
      <w:pPr>
        <w:tabs>
          <w:tab w:val="left" w:pos="360"/>
        </w:tabs>
        <w:ind w:left="720"/>
        <w:contextualSpacing/>
        <w:rPr>
          <w:rFonts w:ascii="Times New Roman" w:hAnsi="Times New Roman" w:cs="Times New Roman"/>
          <w:sz w:val="24"/>
          <w:szCs w:val="24"/>
        </w:rPr>
      </w:pPr>
    </w:p>
    <w:p w:rsidR="00137CE7" w:rsidRDefault="00137CE7" w:rsidP="00FD4800">
      <w:pPr>
        <w:tabs>
          <w:tab w:val="left" w:pos="360"/>
        </w:tabs>
        <w:ind w:left="720"/>
        <w:contextualSpacing/>
        <w:rPr>
          <w:rFonts w:ascii="Times New Roman" w:hAnsi="Times New Roman" w:cs="Times New Roman"/>
          <w:sz w:val="24"/>
          <w:szCs w:val="24"/>
        </w:rPr>
      </w:pPr>
    </w:p>
    <w:p w:rsidR="00137CE7" w:rsidRDefault="00137CE7" w:rsidP="00FD4800">
      <w:pPr>
        <w:tabs>
          <w:tab w:val="left" w:pos="360"/>
        </w:tabs>
        <w:ind w:left="720"/>
        <w:contextualSpacing/>
        <w:rPr>
          <w:rFonts w:ascii="Times New Roman" w:hAnsi="Times New Roman" w:cs="Times New Roman"/>
          <w:sz w:val="24"/>
          <w:szCs w:val="24"/>
        </w:rPr>
      </w:pPr>
    </w:p>
    <w:p w:rsidR="00137CE7" w:rsidRDefault="00137CE7" w:rsidP="00FD4800">
      <w:pPr>
        <w:tabs>
          <w:tab w:val="left" w:pos="360"/>
        </w:tabs>
        <w:ind w:left="720"/>
        <w:contextualSpacing/>
        <w:rPr>
          <w:rFonts w:ascii="Times New Roman" w:hAnsi="Times New Roman" w:cs="Times New Roman"/>
          <w:sz w:val="24"/>
          <w:szCs w:val="24"/>
        </w:rPr>
      </w:pPr>
    </w:p>
    <w:p w:rsidR="00137CE7" w:rsidRDefault="0046148B" w:rsidP="00FD4800">
      <w:pPr>
        <w:tabs>
          <w:tab w:val="left" w:pos="360"/>
        </w:tabs>
        <w:ind w:left="720"/>
        <w:contextualSpacing/>
        <w:rPr>
          <w:rFonts w:ascii="Times New Roman" w:hAnsi="Times New Roman" w:cs="Times New Roman"/>
          <w:sz w:val="24"/>
          <w:szCs w:val="24"/>
        </w:rPr>
      </w:pPr>
      <w:r>
        <w:rPr>
          <w:rFonts w:ascii="Times New Roman" w:hAnsi="Times New Roman" w:cs="Times New Roman"/>
          <w:sz w:val="24"/>
          <w:szCs w:val="24"/>
        </w:rPr>
        <w:t xml:space="preserve"> </w:t>
      </w:r>
    </w:p>
    <w:p w:rsidR="00137CE7" w:rsidRDefault="00137CE7" w:rsidP="00FD4800">
      <w:pPr>
        <w:tabs>
          <w:tab w:val="left" w:pos="360"/>
        </w:tabs>
        <w:ind w:left="720"/>
        <w:contextualSpacing/>
        <w:rPr>
          <w:rFonts w:ascii="Times New Roman" w:hAnsi="Times New Roman" w:cs="Times New Roman"/>
          <w:sz w:val="24"/>
          <w:szCs w:val="24"/>
        </w:rPr>
      </w:pPr>
    </w:p>
    <w:p w:rsidR="00137CE7" w:rsidRDefault="00137CE7" w:rsidP="00FD4800">
      <w:pPr>
        <w:tabs>
          <w:tab w:val="left" w:pos="360"/>
        </w:tabs>
        <w:ind w:left="720"/>
        <w:contextualSpacing/>
        <w:rPr>
          <w:rFonts w:ascii="Times New Roman" w:hAnsi="Times New Roman" w:cs="Times New Roman"/>
          <w:sz w:val="24"/>
          <w:szCs w:val="24"/>
        </w:rPr>
      </w:pPr>
    </w:p>
    <w:tbl>
      <w:tblPr>
        <w:tblStyle w:val="TableGrid"/>
        <w:tblW w:w="0" w:type="auto"/>
        <w:tblInd w:w="1705" w:type="dxa"/>
        <w:tblLook w:val="04A0" w:firstRow="1" w:lastRow="0" w:firstColumn="1" w:lastColumn="0" w:noHBand="0" w:noVBand="1"/>
      </w:tblPr>
      <w:tblGrid>
        <w:gridCol w:w="3154"/>
        <w:gridCol w:w="2156"/>
      </w:tblGrid>
      <w:tr w:rsidR="00C60057" w:rsidRPr="00BA6F36" w:rsidTr="00C45CB2">
        <w:trPr>
          <w:trHeight w:val="350"/>
        </w:trPr>
        <w:tc>
          <w:tcPr>
            <w:tcW w:w="5310" w:type="dxa"/>
            <w:gridSpan w:val="2"/>
          </w:tcPr>
          <w:p w:rsidR="00C60057" w:rsidRPr="00BA6F36" w:rsidRDefault="00C60057" w:rsidP="00C60057">
            <w:pPr>
              <w:pStyle w:val="ListParagraph"/>
              <w:ind w:left="0"/>
              <w:rPr>
                <w:rFonts w:ascii="Times New Roman" w:hAnsi="Times New Roman" w:cs="Times New Roman"/>
                <w:b/>
              </w:rPr>
            </w:pPr>
            <w:r>
              <w:rPr>
                <w:rFonts w:ascii="Times New Roman" w:hAnsi="Times New Roman" w:cs="Times New Roman"/>
                <w:b/>
              </w:rPr>
              <w:lastRenderedPageBreak/>
              <w:t>SRS Arson Participation, 2015</w:t>
            </w:r>
          </w:p>
        </w:tc>
      </w:tr>
      <w:tr w:rsidR="00137CE7" w:rsidRPr="00BA6F36" w:rsidTr="0046148B">
        <w:trPr>
          <w:trHeight w:val="350"/>
        </w:trPr>
        <w:tc>
          <w:tcPr>
            <w:tcW w:w="3154" w:type="dxa"/>
          </w:tcPr>
          <w:p w:rsidR="00137CE7" w:rsidRPr="00BA6F36" w:rsidRDefault="00137CE7" w:rsidP="00445BE8">
            <w:pPr>
              <w:pStyle w:val="ListParagraph"/>
              <w:ind w:left="0"/>
              <w:jc w:val="center"/>
              <w:rPr>
                <w:rFonts w:ascii="Times New Roman" w:hAnsi="Times New Roman" w:cs="Times New Roman"/>
                <w:b/>
              </w:rPr>
            </w:pPr>
            <w:r w:rsidRPr="00BA6F36">
              <w:rPr>
                <w:rFonts w:ascii="Times New Roman" w:hAnsi="Times New Roman" w:cs="Times New Roman"/>
                <w:b/>
              </w:rPr>
              <w:t>Number of Months Submitted</w:t>
            </w:r>
          </w:p>
        </w:tc>
        <w:tc>
          <w:tcPr>
            <w:tcW w:w="2156" w:type="dxa"/>
          </w:tcPr>
          <w:p w:rsidR="00137CE7" w:rsidRPr="00BA6F36" w:rsidRDefault="00137CE7" w:rsidP="00445BE8">
            <w:pPr>
              <w:pStyle w:val="ListParagraph"/>
              <w:ind w:left="0"/>
              <w:jc w:val="center"/>
              <w:rPr>
                <w:rFonts w:ascii="Times New Roman" w:hAnsi="Times New Roman" w:cs="Times New Roman"/>
                <w:b/>
              </w:rPr>
            </w:pPr>
            <w:r w:rsidRPr="00BA6F36">
              <w:rPr>
                <w:rFonts w:ascii="Times New Roman" w:hAnsi="Times New Roman" w:cs="Times New Roman"/>
                <w:b/>
              </w:rPr>
              <w:t>Number of Agencies</w:t>
            </w:r>
          </w:p>
        </w:tc>
      </w:tr>
      <w:tr w:rsidR="00137CE7" w:rsidRPr="00BA6F36" w:rsidTr="0046148B">
        <w:trPr>
          <w:trHeight w:val="350"/>
        </w:trPr>
        <w:tc>
          <w:tcPr>
            <w:tcW w:w="3154"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1 month</w:t>
            </w:r>
          </w:p>
        </w:tc>
        <w:tc>
          <w:tcPr>
            <w:tcW w:w="2156"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51</w:t>
            </w:r>
          </w:p>
        </w:tc>
      </w:tr>
      <w:tr w:rsidR="00137CE7" w:rsidRPr="00BA6F36" w:rsidTr="0046148B">
        <w:trPr>
          <w:trHeight w:val="350"/>
        </w:trPr>
        <w:tc>
          <w:tcPr>
            <w:tcW w:w="3154"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2 months</w:t>
            </w:r>
          </w:p>
        </w:tc>
        <w:tc>
          <w:tcPr>
            <w:tcW w:w="2156"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57</w:t>
            </w:r>
          </w:p>
        </w:tc>
      </w:tr>
      <w:tr w:rsidR="00137CE7" w:rsidRPr="00BA6F36" w:rsidTr="0046148B">
        <w:trPr>
          <w:trHeight w:val="350"/>
        </w:trPr>
        <w:tc>
          <w:tcPr>
            <w:tcW w:w="3154"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3 months</w:t>
            </w:r>
          </w:p>
        </w:tc>
        <w:tc>
          <w:tcPr>
            <w:tcW w:w="2156"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69</w:t>
            </w:r>
          </w:p>
        </w:tc>
      </w:tr>
      <w:tr w:rsidR="00137CE7" w:rsidRPr="00BA6F36" w:rsidTr="0046148B">
        <w:trPr>
          <w:trHeight w:val="350"/>
        </w:trPr>
        <w:tc>
          <w:tcPr>
            <w:tcW w:w="3154"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4 months</w:t>
            </w:r>
          </w:p>
        </w:tc>
        <w:tc>
          <w:tcPr>
            <w:tcW w:w="2156"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58</w:t>
            </w:r>
          </w:p>
        </w:tc>
      </w:tr>
      <w:tr w:rsidR="00137CE7" w:rsidRPr="00BA6F36" w:rsidTr="0046148B">
        <w:trPr>
          <w:trHeight w:val="350"/>
        </w:trPr>
        <w:tc>
          <w:tcPr>
            <w:tcW w:w="3154"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5 months</w:t>
            </w:r>
          </w:p>
        </w:tc>
        <w:tc>
          <w:tcPr>
            <w:tcW w:w="2156"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52</w:t>
            </w:r>
          </w:p>
        </w:tc>
      </w:tr>
      <w:tr w:rsidR="00137CE7" w:rsidRPr="00BA6F36" w:rsidTr="0046148B">
        <w:trPr>
          <w:trHeight w:val="350"/>
        </w:trPr>
        <w:tc>
          <w:tcPr>
            <w:tcW w:w="3154"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6 months</w:t>
            </w:r>
          </w:p>
        </w:tc>
        <w:tc>
          <w:tcPr>
            <w:tcW w:w="2156"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59</w:t>
            </w:r>
          </w:p>
        </w:tc>
      </w:tr>
      <w:tr w:rsidR="00137CE7" w:rsidRPr="00BA6F36" w:rsidTr="0046148B">
        <w:trPr>
          <w:trHeight w:val="350"/>
        </w:trPr>
        <w:tc>
          <w:tcPr>
            <w:tcW w:w="3154"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7 months</w:t>
            </w:r>
          </w:p>
        </w:tc>
        <w:tc>
          <w:tcPr>
            <w:tcW w:w="2156"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70</w:t>
            </w:r>
          </w:p>
        </w:tc>
      </w:tr>
      <w:tr w:rsidR="00137CE7" w:rsidRPr="00BA6F36" w:rsidTr="0046148B">
        <w:trPr>
          <w:trHeight w:val="350"/>
        </w:trPr>
        <w:tc>
          <w:tcPr>
            <w:tcW w:w="3154"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8 months</w:t>
            </w:r>
          </w:p>
        </w:tc>
        <w:tc>
          <w:tcPr>
            <w:tcW w:w="2156"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71</w:t>
            </w:r>
          </w:p>
        </w:tc>
      </w:tr>
      <w:tr w:rsidR="00137CE7" w:rsidRPr="00BA6F36" w:rsidTr="0046148B">
        <w:trPr>
          <w:trHeight w:val="350"/>
        </w:trPr>
        <w:tc>
          <w:tcPr>
            <w:tcW w:w="3154"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9 months</w:t>
            </w:r>
          </w:p>
        </w:tc>
        <w:tc>
          <w:tcPr>
            <w:tcW w:w="2156"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77</w:t>
            </w:r>
          </w:p>
        </w:tc>
      </w:tr>
      <w:tr w:rsidR="00137CE7" w:rsidRPr="00BA6F36" w:rsidTr="0046148B">
        <w:trPr>
          <w:trHeight w:val="350"/>
        </w:trPr>
        <w:tc>
          <w:tcPr>
            <w:tcW w:w="3154"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10 months</w:t>
            </w:r>
          </w:p>
        </w:tc>
        <w:tc>
          <w:tcPr>
            <w:tcW w:w="2156"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110</w:t>
            </w:r>
          </w:p>
        </w:tc>
      </w:tr>
      <w:tr w:rsidR="00137CE7" w:rsidRPr="00BA6F36" w:rsidTr="0046148B">
        <w:trPr>
          <w:trHeight w:val="350"/>
        </w:trPr>
        <w:tc>
          <w:tcPr>
            <w:tcW w:w="3154"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11 months</w:t>
            </w:r>
          </w:p>
        </w:tc>
        <w:tc>
          <w:tcPr>
            <w:tcW w:w="2156"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235</w:t>
            </w:r>
          </w:p>
        </w:tc>
      </w:tr>
      <w:tr w:rsidR="00137CE7" w:rsidRPr="00BA6F36" w:rsidTr="0046148B">
        <w:trPr>
          <w:trHeight w:val="350"/>
        </w:trPr>
        <w:tc>
          <w:tcPr>
            <w:tcW w:w="3154" w:type="dxa"/>
          </w:tcPr>
          <w:p w:rsidR="00137CE7" w:rsidRPr="00BA6F36" w:rsidRDefault="00137CE7" w:rsidP="00445BE8">
            <w:pPr>
              <w:pStyle w:val="ListParagraph"/>
              <w:ind w:left="0"/>
              <w:jc w:val="center"/>
              <w:rPr>
                <w:rFonts w:ascii="Times New Roman" w:hAnsi="Times New Roman" w:cs="Times New Roman"/>
              </w:rPr>
            </w:pPr>
            <w:r w:rsidRPr="00BA6F36">
              <w:rPr>
                <w:rFonts w:ascii="Times New Roman" w:hAnsi="Times New Roman" w:cs="Times New Roman"/>
              </w:rPr>
              <w:t>12 months</w:t>
            </w:r>
          </w:p>
        </w:tc>
        <w:tc>
          <w:tcPr>
            <w:tcW w:w="2156" w:type="dxa"/>
          </w:tcPr>
          <w:p w:rsidR="00137CE7" w:rsidRPr="00BA6F36" w:rsidRDefault="00137CE7" w:rsidP="00445BE8">
            <w:pPr>
              <w:pStyle w:val="ListParagraph"/>
              <w:ind w:left="0"/>
              <w:jc w:val="center"/>
              <w:rPr>
                <w:rFonts w:ascii="Times New Roman" w:hAnsi="Times New Roman" w:cs="Times New Roman"/>
              </w:rPr>
            </w:pPr>
            <w:r>
              <w:rPr>
                <w:rFonts w:ascii="Times New Roman" w:hAnsi="Times New Roman" w:cs="Times New Roman"/>
              </w:rPr>
              <w:t>8,714</w:t>
            </w:r>
          </w:p>
        </w:tc>
      </w:tr>
      <w:tr w:rsidR="00137CE7" w:rsidRPr="00BA6F36" w:rsidTr="0046148B">
        <w:trPr>
          <w:trHeight w:val="350"/>
        </w:trPr>
        <w:tc>
          <w:tcPr>
            <w:tcW w:w="3154" w:type="dxa"/>
          </w:tcPr>
          <w:p w:rsidR="00137CE7" w:rsidRPr="00BA6F36" w:rsidRDefault="0046148B" w:rsidP="0046148B">
            <w:pPr>
              <w:pStyle w:val="ListParagraph"/>
              <w:ind w:left="0"/>
              <w:jc w:val="center"/>
              <w:rPr>
                <w:rFonts w:ascii="Times New Roman" w:hAnsi="Times New Roman" w:cs="Times New Roman"/>
              </w:rPr>
            </w:pPr>
            <w:r>
              <w:rPr>
                <w:rFonts w:ascii="Times New Roman" w:hAnsi="Times New Roman" w:cs="Times New Roman"/>
              </w:rPr>
              <w:t># of a</w:t>
            </w:r>
            <w:r w:rsidR="00137CE7">
              <w:rPr>
                <w:rFonts w:ascii="Times New Roman" w:hAnsi="Times New Roman" w:cs="Times New Roman"/>
              </w:rPr>
              <w:t>gencies</w:t>
            </w:r>
            <w:r>
              <w:rPr>
                <w:rFonts w:ascii="Times New Roman" w:hAnsi="Times New Roman" w:cs="Times New Roman"/>
              </w:rPr>
              <w:t xml:space="preserve"> not reporting arson</w:t>
            </w:r>
          </w:p>
        </w:tc>
        <w:tc>
          <w:tcPr>
            <w:tcW w:w="2156" w:type="dxa"/>
          </w:tcPr>
          <w:p w:rsidR="00137CE7" w:rsidRPr="00BA6F36" w:rsidRDefault="00137CE7" w:rsidP="00445BE8">
            <w:pPr>
              <w:pStyle w:val="ListParagraph"/>
              <w:ind w:left="0"/>
              <w:jc w:val="center"/>
              <w:rPr>
                <w:rFonts w:ascii="Times New Roman" w:hAnsi="Times New Roman" w:cs="Times New Roman"/>
              </w:rPr>
            </w:pPr>
            <w:r>
              <w:rPr>
                <w:rFonts w:ascii="Times New Roman" w:hAnsi="Times New Roman" w:cs="Times New Roman"/>
              </w:rPr>
              <w:t>483</w:t>
            </w:r>
          </w:p>
        </w:tc>
      </w:tr>
      <w:tr w:rsidR="00137CE7" w:rsidRPr="00BA6F36" w:rsidTr="0046148B">
        <w:trPr>
          <w:trHeight w:val="350"/>
        </w:trPr>
        <w:tc>
          <w:tcPr>
            <w:tcW w:w="3154" w:type="dxa"/>
          </w:tcPr>
          <w:p w:rsidR="00137CE7" w:rsidRPr="00BA6F36" w:rsidRDefault="0046148B" w:rsidP="0046148B">
            <w:pPr>
              <w:pStyle w:val="ListParagraph"/>
              <w:ind w:left="0"/>
              <w:jc w:val="center"/>
              <w:rPr>
                <w:rFonts w:ascii="Times New Roman" w:hAnsi="Times New Roman" w:cs="Times New Roman"/>
              </w:rPr>
            </w:pPr>
            <w:r>
              <w:rPr>
                <w:rFonts w:ascii="Times New Roman" w:hAnsi="Times New Roman" w:cs="Times New Roman"/>
              </w:rPr>
              <w:t># of a</w:t>
            </w:r>
            <w:r w:rsidR="00137CE7" w:rsidRPr="00BA6F36">
              <w:rPr>
                <w:rFonts w:ascii="Times New Roman" w:hAnsi="Times New Roman" w:cs="Times New Roman"/>
              </w:rPr>
              <w:t>gencies</w:t>
            </w:r>
            <w:r>
              <w:rPr>
                <w:rFonts w:ascii="Times New Roman" w:hAnsi="Times New Roman" w:cs="Times New Roman"/>
              </w:rPr>
              <w:t xml:space="preserve"> not participating in any UCR collection</w:t>
            </w:r>
          </w:p>
        </w:tc>
        <w:tc>
          <w:tcPr>
            <w:tcW w:w="2156" w:type="dxa"/>
          </w:tcPr>
          <w:p w:rsidR="00137CE7" w:rsidRPr="00BA6F36" w:rsidRDefault="003A5EDF" w:rsidP="00445BE8">
            <w:pPr>
              <w:pStyle w:val="ListParagraph"/>
              <w:ind w:left="0"/>
              <w:jc w:val="center"/>
              <w:rPr>
                <w:rFonts w:ascii="Times New Roman" w:hAnsi="Times New Roman" w:cs="Times New Roman"/>
              </w:rPr>
            </w:pPr>
            <w:r>
              <w:rPr>
                <w:rFonts w:ascii="Times New Roman" w:hAnsi="Times New Roman" w:cs="Times New Roman"/>
              </w:rPr>
              <w:t>1,685</w:t>
            </w:r>
          </w:p>
        </w:tc>
      </w:tr>
      <w:tr w:rsidR="00137CE7" w:rsidRPr="00BA6F36" w:rsidTr="0046148B">
        <w:trPr>
          <w:trHeight w:val="350"/>
        </w:trPr>
        <w:tc>
          <w:tcPr>
            <w:tcW w:w="3154" w:type="dxa"/>
          </w:tcPr>
          <w:p w:rsidR="00137CE7" w:rsidRPr="00BA6F36" w:rsidRDefault="00137CE7" w:rsidP="00445BE8">
            <w:pPr>
              <w:pStyle w:val="ListParagraph"/>
              <w:ind w:left="0"/>
              <w:jc w:val="center"/>
              <w:rPr>
                <w:rFonts w:ascii="Times New Roman" w:hAnsi="Times New Roman" w:cs="Times New Roman"/>
                <w:b/>
              </w:rPr>
            </w:pPr>
            <w:r w:rsidRPr="00BA6F36">
              <w:rPr>
                <w:rFonts w:ascii="Times New Roman" w:hAnsi="Times New Roman" w:cs="Times New Roman"/>
                <w:b/>
              </w:rPr>
              <w:t>Total</w:t>
            </w:r>
          </w:p>
        </w:tc>
        <w:tc>
          <w:tcPr>
            <w:tcW w:w="2156" w:type="dxa"/>
          </w:tcPr>
          <w:p w:rsidR="00137CE7" w:rsidRPr="00BA6F36" w:rsidRDefault="00137CE7" w:rsidP="00445BE8">
            <w:pPr>
              <w:pStyle w:val="ListParagraph"/>
              <w:ind w:left="0"/>
              <w:jc w:val="center"/>
              <w:rPr>
                <w:rFonts w:ascii="Times New Roman" w:hAnsi="Times New Roman" w:cs="Times New Roman"/>
                <w:b/>
              </w:rPr>
            </w:pPr>
            <w:r w:rsidRPr="00BA6F36">
              <w:rPr>
                <w:rFonts w:ascii="Times New Roman" w:hAnsi="Times New Roman" w:cs="Times New Roman"/>
                <w:b/>
              </w:rPr>
              <w:t>1</w:t>
            </w:r>
            <w:r w:rsidR="003A5EDF">
              <w:rPr>
                <w:rFonts w:ascii="Times New Roman" w:hAnsi="Times New Roman" w:cs="Times New Roman"/>
                <w:b/>
              </w:rPr>
              <w:t>1,791</w:t>
            </w:r>
          </w:p>
        </w:tc>
      </w:tr>
    </w:tbl>
    <w:p w:rsidR="00137CE7" w:rsidRDefault="00137CE7" w:rsidP="009B79FE">
      <w:pPr>
        <w:tabs>
          <w:tab w:val="left" w:pos="360"/>
        </w:tabs>
        <w:contextualSpacing/>
        <w:rPr>
          <w:rFonts w:ascii="Times New Roman" w:hAnsi="Times New Roman" w:cs="Times New Roman"/>
          <w:sz w:val="24"/>
          <w:szCs w:val="24"/>
        </w:rPr>
      </w:pPr>
    </w:p>
    <w:p w:rsidR="009B79FE" w:rsidRDefault="00951EDE" w:rsidP="009B79FE">
      <w:pPr>
        <w:tabs>
          <w:tab w:val="left" w:pos="360"/>
        </w:tabs>
        <w:ind w:left="360"/>
        <w:contextualSpacing/>
        <w:rPr>
          <w:rFonts w:ascii="Times New Roman" w:hAnsi="Times New Roman" w:cs="Times New Roman"/>
          <w:sz w:val="24"/>
          <w:szCs w:val="24"/>
        </w:rPr>
      </w:pPr>
      <w:r>
        <w:rPr>
          <w:rFonts w:ascii="Times New Roman" w:hAnsi="Times New Roman" w:cs="Times New Roman"/>
          <w:sz w:val="24"/>
          <w:szCs w:val="24"/>
        </w:rPr>
        <w:t>Out of the 1</w:t>
      </w:r>
      <w:r w:rsidR="00BA0127">
        <w:rPr>
          <w:rFonts w:ascii="Times New Roman" w:hAnsi="Times New Roman" w:cs="Times New Roman"/>
          <w:sz w:val="24"/>
          <w:szCs w:val="24"/>
        </w:rPr>
        <w:t>1</w:t>
      </w:r>
      <w:r>
        <w:rPr>
          <w:rFonts w:ascii="Times New Roman" w:hAnsi="Times New Roman" w:cs="Times New Roman"/>
          <w:sz w:val="24"/>
          <w:szCs w:val="24"/>
        </w:rPr>
        <w:t>,</w:t>
      </w:r>
      <w:r w:rsidR="00CC764B">
        <w:rPr>
          <w:rFonts w:ascii="Times New Roman" w:hAnsi="Times New Roman" w:cs="Times New Roman"/>
          <w:sz w:val="24"/>
          <w:szCs w:val="24"/>
        </w:rPr>
        <w:t>7</w:t>
      </w:r>
      <w:r w:rsidR="0046148B">
        <w:rPr>
          <w:rFonts w:ascii="Times New Roman" w:hAnsi="Times New Roman" w:cs="Times New Roman"/>
          <w:sz w:val="24"/>
          <w:szCs w:val="24"/>
        </w:rPr>
        <w:t>91</w:t>
      </w:r>
      <w:r>
        <w:rPr>
          <w:rFonts w:ascii="Times New Roman" w:hAnsi="Times New Roman" w:cs="Times New Roman"/>
          <w:sz w:val="24"/>
          <w:szCs w:val="24"/>
        </w:rPr>
        <w:t xml:space="preserve"> agencies that voluntarily </w:t>
      </w:r>
      <w:r w:rsidR="00137CE7">
        <w:rPr>
          <w:rFonts w:ascii="Times New Roman" w:hAnsi="Times New Roman" w:cs="Times New Roman"/>
          <w:sz w:val="24"/>
          <w:szCs w:val="24"/>
        </w:rPr>
        <w:t>participate in the FBI UCR Program, via the</w:t>
      </w:r>
      <w:r>
        <w:rPr>
          <w:rFonts w:ascii="Times New Roman" w:hAnsi="Times New Roman" w:cs="Times New Roman"/>
          <w:sz w:val="24"/>
          <w:szCs w:val="24"/>
        </w:rPr>
        <w:t xml:space="preserve"> </w:t>
      </w:r>
      <w:r w:rsidR="00FD4800">
        <w:rPr>
          <w:rFonts w:ascii="Times New Roman" w:hAnsi="Times New Roman" w:cs="Times New Roman"/>
          <w:sz w:val="24"/>
          <w:szCs w:val="24"/>
        </w:rPr>
        <w:t>SRS</w:t>
      </w:r>
      <w:r w:rsidR="00137CE7">
        <w:rPr>
          <w:rFonts w:ascii="Times New Roman" w:hAnsi="Times New Roman" w:cs="Times New Roman"/>
          <w:sz w:val="24"/>
          <w:szCs w:val="24"/>
        </w:rPr>
        <w:t>,</w:t>
      </w:r>
      <w:r w:rsidR="00FD4800">
        <w:rPr>
          <w:rFonts w:ascii="Times New Roman" w:hAnsi="Times New Roman" w:cs="Times New Roman"/>
          <w:sz w:val="24"/>
          <w:szCs w:val="24"/>
        </w:rPr>
        <w:t xml:space="preserve"> </w:t>
      </w:r>
      <w:r>
        <w:rPr>
          <w:rFonts w:ascii="Times New Roman" w:hAnsi="Times New Roman" w:cs="Times New Roman"/>
          <w:sz w:val="24"/>
          <w:szCs w:val="24"/>
        </w:rPr>
        <w:t xml:space="preserve">approximately </w:t>
      </w:r>
      <w:r w:rsidR="00CC764B">
        <w:rPr>
          <w:rFonts w:ascii="Times New Roman" w:hAnsi="Times New Roman" w:cs="Times New Roman"/>
          <w:sz w:val="24"/>
          <w:szCs w:val="24"/>
        </w:rPr>
        <w:t>8</w:t>
      </w:r>
      <w:r>
        <w:rPr>
          <w:rFonts w:ascii="Times New Roman" w:hAnsi="Times New Roman" w:cs="Times New Roman"/>
          <w:sz w:val="24"/>
          <w:szCs w:val="24"/>
        </w:rPr>
        <w:t>,</w:t>
      </w:r>
      <w:r w:rsidR="00CC764B">
        <w:rPr>
          <w:rFonts w:ascii="Times New Roman" w:hAnsi="Times New Roman" w:cs="Times New Roman"/>
          <w:sz w:val="24"/>
          <w:szCs w:val="24"/>
        </w:rPr>
        <w:t>714</w:t>
      </w:r>
      <w:r>
        <w:rPr>
          <w:rFonts w:ascii="Times New Roman" w:hAnsi="Times New Roman" w:cs="Times New Roman"/>
          <w:sz w:val="24"/>
          <w:szCs w:val="24"/>
        </w:rPr>
        <w:t xml:space="preserve"> submit twelve month</w:t>
      </w:r>
      <w:r w:rsidR="001F1C00">
        <w:rPr>
          <w:rFonts w:ascii="Times New Roman" w:hAnsi="Times New Roman" w:cs="Times New Roman"/>
          <w:sz w:val="24"/>
          <w:szCs w:val="24"/>
        </w:rPr>
        <w:t>s</w:t>
      </w:r>
      <w:r>
        <w:rPr>
          <w:rFonts w:ascii="Times New Roman" w:hAnsi="Times New Roman" w:cs="Times New Roman"/>
          <w:sz w:val="24"/>
          <w:szCs w:val="24"/>
        </w:rPr>
        <w:t xml:space="preserve"> complete data</w:t>
      </w:r>
      <w:r w:rsidR="00D51E30">
        <w:rPr>
          <w:rFonts w:ascii="Times New Roman" w:hAnsi="Times New Roman" w:cs="Times New Roman"/>
          <w:sz w:val="24"/>
          <w:szCs w:val="24"/>
        </w:rPr>
        <w:t xml:space="preserve"> (73.9</w:t>
      </w:r>
      <w:r w:rsidR="00137CE7">
        <w:rPr>
          <w:rFonts w:ascii="Times New Roman" w:hAnsi="Times New Roman" w:cs="Times New Roman"/>
          <w:sz w:val="24"/>
          <w:szCs w:val="24"/>
        </w:rPr>
        <w:t xml:space="preserve"> percent). </w:t>
      </w:r>
      <w:r>
        <w:rPr>
          <w:rFonts w:ascii="Times New Roman" w:hAnsi="Times New Roman" w:cs="Times New Roman"/>
          <w:sz w:val="24"/>
          <w:szCs w:val="24"/>
        </w:rPr>
        <w:t xml:space="preserve"> </w:t>
      </w:r>
      <w:r w:rsidR="00137CE7">
        <w:rPr>
          <w:rFonts w:ascii="Times New Roman" w:hAnsi="Times New Roman" w:cs="Times New Roman"/>
          <w:sz w:val="24"/>
          <w:szCs w:val="24"/>
        </w:rPr>
        <w:t>Of the remaining agencies,</w:t>
      </w:r>
      <w:r w:rsidR="00FD4800">
        <w:rPr>
          <w:rFonts w:ascii="Times New Roman" w:hAnsi="Times New Roman" w:cs="Times New Roman"/>
          <w:sz w:val="24"/>
          <w:szCs w:val="24"/>
        </w:rPr>
        <w:t xml:space="preserve"> </w:t>
      </w:r>
      <w:r w:rsidR="00BA0127">
        <w:rPr>
          <w:rFonts w:ascii="Times New Roman" w:hAnsi="Times New Roman" w:cs="Times New Roman"/>
          <w:sz w:val="24"/>
          <w:szCs w:val="24"/>
        </w:rPr>
        <w:t>909</w:t>
      </w:r>
      <w:r>
        <w:rPr>
          <w:rFonts w:ascii="Times New Roman" w:hAnsi="Times New Roman" w:cs="Times New Roman"/>
          <w:sz w:val="24"/>
          <w:szCs w:val="24"/>
        </w:rPr>
        <w:t xml:space="preserve"> submit between one and eleven months of data</w:t>
      </w:r>
      <w:r w:rsidR="00137CE7">
        <w:rPr>
          <w:rFonts w:ascii="Times New Roman" w:hAnsi="Times New Roman" w:cs="Times New Roman"/>
          <w:sz w:val="24"/>
          <w:szCs w:val="24"/>
        </w:rPr>
        <w:t xml:space="preserve">, </w:t>
      </w:r>
      <w:r w:rsidR="00BA0127" w:rsidRPr="00137CE7">
        <w:rPr>
          <w:rFonts w:ascii="Times New Roman" w:hAnsi="Times New Roman" w:cs="Times New Roman"/>
          <w:sz w:val="24"/>
          <w:szCs w:val="24"/>
        </w:rPr>
        <w:t>1,</w:t>
      </w:r>
      <w:r w:rsidR="003A5EDF">
        <w:rPr>
          <w:rFonts w:ascii="Times New Roman" w:hAnsi="Times New Roman" w:cs="Times New Roman"/>
          <w:sz w:val="24"/>
          <w:szCs w:val="24"/>
        </w:rPr>
        <w:t>685</w:t>
      </w:r>
      <w:r w:rsidR="00BA0127" w:rsidRPr="00137CE7">
        <w:rPr>
          <w:rFonts w:ascii="Times New Roman" w:hAnsi="Times New Roman" w:cs="Times New Roman"/>
          <w:sz w:val="24"/>
          <w:szCs w:val="24"/>
        </w:rPr>
        <w:t xml:space="preserve"> </w:t>
      </w:r>
      <w:r w:rsidR="00137CE7">
        <w:rPr>
          <w:rFonts w:ascii="Times New Roman" w:hAnsi="Times New Roman" w:cs="Times New Roman"/>
          <w:sz w:val="24"/>
          <w:szCs w:val="24"/>
        </w:rPr>
        <w:t xml:space="preserve">are </w:t>
      </w:r>
      <w:r w:rsidR="00BA0127" w:rsidRPr="00137CE7">
        <w:rPr>
          <w:rFonts w:ascii="Times New Roman" w:hAnsi="Times New Roman" w:cs="Times New Roman"/>
          <w:sz w:val="24"/>
          <w:szCs w:val="24"/>
        </w:rPr>
        <w:t xml:space="preserve">non-reporters, and 483 </w:t>
      </w:r>
      <w:r w:rsidR="00137CE7">
        <w:rPr>
          <w:rFonts w:ascii="Times New Roman" w:hAnsi="Times New Roman" w:cs="Times New Roman"/>
          <w:sz w:val="24"/>
          <w:szCs w:val="24"/>
        </w:rPr>
        <w:t xml:space="preserve">don’t provide </w:t>
      </w:r>
      <w:r w:rsidR="00BA0127" w:rsidRPr="00137CE7">
        <w:rPr>
          <w:rFonts w:ascii="Times New Roman" w:hAnsi="Times New Roman" w:cs="Times New Roman"/>
          <w:sz w:val="24"/>
          <w:szCs w:val="24"/>
        </w:rPr>
        <w:t xml:space="preserve">arson data.  </w:t>
      </w:r>
    </w:p>
    <w:p w:rsidR="009B79FE" w:rsidRDefault="009B79FE" w:rsidP="009B79FE">
      <w:pPr>
        <w:tabs>
          <w:tab w:val="left" w:pos="360"/>
        </w:tabs>
        <w:ind w:left="360"/>
        <w:contextualSpacing/>
        <w:rPr>
          <w:rFonts w:ascii="Times New Roman" w:hAnsi="Times New Roman" w:cs="Times New Roman"/>
          <w:sz w:val="24"/>
          <w:szCs w:val="24"/>
        </w:rPr>
      </w:pPr>
    </w:p>
    <w:p w:rsidR="00C60057" w:rsidRPr="009B79FE" w:rsidRDefault="00AC5BC9" w:rsidP="009B79FE">
      <w:pPr>
        <w:pStyle w:val="ListParagraph"/>
        <w:numPr>
          <w:ilvl w:val="0"/>
          <w:numId w:val="1"/>
        </w:numPr>
        <w:tabs>
          <w:tab w:val="left" w:pos="360"/>
        </w:tabs>
        <w:ind w:left="360"/>
        <w:rPr>
          <w:rFonts w:ascii="Times New Roman" w:hAnsi="Times New Roman" w:cs="Times New Roman"/>
          <w:sz w:val="24"/>
          <w:szCs w:val="24"/>
        </w:rPr>
      </w:pPr>
      <w:r w:rsidRPr="009B79FE">
        <w:rPr>
          <w:rFonts w:ascii="Times New Roman" w:hAnsi="Times New Roman" w:cs="Times New Roman"/>
          <w:sz w:val="24"/>
          <w:szCs w:val="24"/>
        </w:rPr>
        <w:t>Arson data are col</w:t>
      </w:r>
      <w:r w:rsidR="00402303">
        <w:rPr>
          <w:rFonts w:ascii="Times New Roman" w:hAnsi="Times New Roman" w:cs="Times New Roman"/>
          <w:sz w:val="24"/>
          <w:szCs w:val="24"/>
        </w:rPr>
        <w:t>lected/received from state UCR p</w:t>
      </w:r>
      <w:r w:rsidRPr="009B79FE">
        <w:rPr>
          <w:rFonts w:ascii="Times New Roman" w:hAnsi="Times New Roman" w:cs="Times New Roman"/>
          <w:sz w:val="24"/>
          <w:szCs w:val="24"/>
        </w:rPr>
        <w:t xml:space="preserve">rogram participants on a monthly basis.  The FBI UCR Program has established various time frames and deadlines for acquiring the monthly data.  Monthly reports/submissions should be received at the FBI by the seventh day after the close of each month.  Annual deadlines are also designated in order to collect/assess receipt of monthly submissions.  There are times when special circumstances may cause an agency to request an extension.  The FBI UCR Program has the authority to grant these extensions.  Although the law enforcement community requested </w:t>
      </w:r>
      <w:r w:rsidR="008D0FA6" w:rsidRPr="009B79FE">
        <w:rPr>
          <w:rFonts w:ascii="Times New Roman" w:hAnsi="Times New Roman" w:cs="Times New Roman"/>
          <w:sz w:val="24"/>
          <w:szCs w:val="24"/>
        </w:rPr>
        <w:t>crime data</w:t>
      </w:r>
      <w:r w:rsidRPr="009B79FE">
        <w:rPr>
          <w:rFonts w:ascii="Times New Roman" w:hAnsi="Times New Roman" w:cs="Times New Roman"/>
          <w:sz w:val="24"/>
          <w:szCs w:val="24"/>
        </w:rPr>
        <w:t xml:space="preserve"> be collected on a monthly basis since police records are run on a calendar month, the FBI UCR Program has agencies that submit data quarterly, twice a year, and even once a year.  Upon approval, the FBI UCR Program agencies can submit their data at intervals that minimizes the burdens to the agency.</w:t>
      </w:r>
    </w:p>
    <w:p w:rsidR="00151D29" w:rsidRPr="00151D29" w:rsidRDefault="00151D29" w:rsidP="00151D29">
      <w:pPr>
        <w:pStyle w:val="ListParagraph"/>
        <w:ind w:left="360"/>
        <w:rPr>
          <w:rFonts w:ascii="Times New Roman" w:hAnsi="Times New Roman" w:cs="Times New Roman"/>
          <w:sz w:val="24"/>
          <w:szCs w:val="24"/>
        </w:rPr>
      </w:pPr>
    </w:p>
    <w:p w:rsidR="00C60057" w:rsidRDefault="00C60057" w:rsidP="00C60057">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The FBI CJIS Division is projected to deploy the New UCR Project later this year.  This project will manage the acquisition, development, and integration of a new and improved data collection system which will affect UCR participating local, state, tribal, and federal </w:t>
      </w:r>
      <w:r>
        <w:rPr>
          <w:rFonts w:ascii="Times New Roman" w:hAnsi="Times New Roman" w:cs="Times New Roman"/>
          <w:sz w:val="24"/>
          <w:szCs w:val="24"/>
        </w:rPr>
        <w:lastRenderedPageBreak/>
        <w:t>LEAs.  The goal for the project is to improve the accuracy and timeliness of the crime data collection and delivery process.  The New UCR Project will provide enhanced data management tools for greater efficiency in data collection, processing, and maintenance of crime data.  The project will provide automated processes, tailored reports on an as-needed basis, and will streamline publication processes that will give users more timely access to the data.</w:t>
      </w:r>
    </w:p>
    <w:p w:rsidR="00C60057" w:rsidRDefault="00C60057" w:rsidP="00C60057">
      <w:pPr>
        <w:pStyle w:val="ListParagraph"/>
        <w:ind w:left="360"/>
        <w:rPr>
          <w:rFonts w:ascii="Times New Roman" w:hAnsi="Times New Roman" w:cs="Times New Roman"/>
          <w:sz w:val="24"/>
          <w:szCs w:val="24"/>
        </w:rPr>
      </w:pPr>
    </w:p>
    <w:p w:rsidR="00C60057" w:rsidRDefault="00C60057" w:rsidP="00C60057">
      <w:pPr>
        <w:pStyle w:val="ListParagraph"/>
        <w:ind w:left="360"/>
        <w:rPr>
          <w:rFonts w:ascii="Times New Roman" w:hAnsi="Times New Roman" w:cs="Times New Roman"/>
          <w:sz w:val="24"/>
          <w:szCs w:val="24"/>
        </w:rPr>
      </w:pPr>
      <w:r>
        <w:rPr>
          <w:rFonts w:ascii="Times New Roman" w:hAnsi="Times New Roman" w:cs="Times New Roman"/>
          <w:sz w:val="24"/>
          <w:szCs w:val="24"/>
        </w:rPr>
        <w:t>Although the FBI makes an effort through its editing procedures, training practices, and correspondence to ensure the validity of the data it receives, the accuracy of the statistics depends primarily on the adherence of each contributor to the established standards of reporting.  The FBI relies on the integrity of data contributors reporting data, however, staff from the CJIS Audit Unit are available, by request, to conduct Quality Assurance Reviews.  The results of the audits are not used to adjust crime data, but are used to educate reporting agencies on compliance with national UCR guidelines.</w:t>
      </w:r>
    </w:p>
    <w:p w:rsidR="00C60057" w:rsidRDefault="00C60057" w:rsidP="00AC5BC9">
      <w:pPr>
        <w:pStyle w:val="ListParagraph"/>
        <w:ind w:left="360"/>
        <w:rPr>
          <w:rFonts w:ascii="Times New Roman" w:hAnsi="Times New Roman" w:cs="Times New Roman"/>
          <w:sz w:val="24"/>
          <w:szCs w:val="24"/>
        </w:rPr>
      </w:pPr>
    </w:p>
    <w:p w:rsidR="00151D29" w:rsidRPr="00151D29" w:rsidRDefault="00151D29" w:rsidP="00151D29">
      <w:pPr>
        <w:pStyle w:val="ListParagraph"/>
        <w:ind w:left="360"/>
        <w:rPr>
          <w:rFonts w:ascii="Times New Roman" w:hAnsi="Times New Roman" w:cs="Times New Roman"/>
          <w:sz w:val="24"/>
          <w:szCs w:val="24"/>
        </w:rPr>
      </w:pPr>
      <w:r>
        <w:rPr>
          <w:rFonts w:ascii="Times New Roman" w:hAnsi="Times New Roman" w:cs="Times New Roman"/>
          <w:sz w:val="24"/>
          <w:szCs w:val="24"/>
        </w:rPr>
        <w:t>As the ICR arson data collection is intended to collect all arson offenses from law enforcement agencies in the U.S., sampling methodologies are not used.  Past arson data collections have not included national or subnational estimates for arson because the FBI UCR Program had not had the imputation procedures defined for the crime of arson.</w:t>
      </w:r>
    </w:p>
    <w:p w:rsidR="00315D7E" w:rsidRPr="00017296" w:rsidRDefault="00C60057" w:rsidP="00017296">
      <w:pPr>
        <w:ind w:left="360"/>
        <w:rPr>
          <w:rFonts w:ascii="Times New Roman" w:hAnsi="Times New Roman" w:cs="Times New Roman"/>
          <w:sz w:val="24"/>
          <w:szCs w:val="24"/>
        </w:rPr>
      </w:pPr>
      <w:r>
        <w:rPr>
          <w:rFonts w:ascii="Times New Roman" w:hAnsi="Times New Roman" w:cs="Times New Roman"/>
          <w:sz w:val="24"/>
          <w:szCs w:val="24"/>
        </w:rPr>
        <w:t>See Attachment 1.  Revising the UCR Part I Offense Count Imputation Methods–</w:t>
      </w:r>
      <w:r w:rsidR="00017296">
        <w:rPr>
          <w:rFonts w:ascii="Times New Roman" w:hAnsi="Times New Roman" w:cs="Times New Roman"/>
          <w:sz w:val="24"/>
          <w:szCs w:val="24"/>
        </w:rPr>
        <w:t>Status Report</w:t>
      </w:r>
    </w:p>
    <w:p w:rsidR="00315D7E" w:rsidRDefault="00315D7E" w:rsidP="00315D7E">
      <w:pPr>
        <w:pStyle w:val="ListParagraph"/>
        <w:ind w:left="1140"/>
        <w:rPr>
          <w:rFonts w:ascii="Times New Roman" w:hAnsi="Times New Roman" w:cs="Times New Roman"/>
          <w:sz w:val="24"/>
          <w:szCs w:val="24"/>
        </w:rPr>
      </w:pPr>
    </w:p>
    <w:p w:rsidR="00912EC4" w:rsidRDefault="00912EC4" w:rsidP="00315D7E">
      <w:pPr>
        <w:pStyle w:val="ListParagraph"/>
        <w:ind w:left="1140"/>
        <w:rPr>
          <w:rFonts w:ascii="Times New Roman" w:hAnsi="Times New Roman" w:cs="Times New Roman"/>
          <w:sz w:val="24"/>
          <w:szCs w:val="24"/>
        </w:rPr>
      </w:pPr>
    </w:p>
    <w:p w:rsidR="00315D7E" w:rsidRPr="00D51E30" w:rsidRDefault="00315D7E" w:rsidP="00D51E30">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Response rates are maximized </w:t>
      </w:r>
      <w:r w:rsidR="00402303">
        <w:rPr>
          <w:rFonts w:ascii="Times New Roman" w:hAnsi="Times New Roman" w:cs="Times New Roman"/>
          <w:sz w:val="24"/>
          <w:szCs w:val="24"/>
        </w:rPr>
        <w:t>through liaison with state UCR p</w:t>
      </w:r>
      <w:r>
        <w:rPr>
          <w:rFonts w:ascii="Times New Roman" w:hAnsi="Times New Roman" w:cs="Times New Roman"/>
          <w:sz w:val="24"/>
          <w:szCs w:val="24"/>
        </w:rPr>
        <w:t xml:space="preserve">rograms.  Communications encouraging data submissions occur frequently because of the relationship between the FBI UCR Program staff and </w:t>
      </w:r>
      <w:r w:rsidR="00FF02B9">
        <w:rPr>
          <w:rFonts w:ascii="Times New Roman" w:hAnsi="Times New Roman" w:cs="Times New Roman"/>
          <w:sz w:val="24"/>
          <w:szCs w:val="24"/>
        </w:rPr>
        <w:t>LEAs</w:t>
      </w:r>
      <w:r>
        <w:rPr>
          <w:rFonts w:ascii="Times New Roman" w:hAnsi="Times New Roman" w:cs="Times New Roman"/>
          <w:sz w:val="24"/>
          <w:szCs w:val="24"/>
        </w:rPr>
        <w:t xml:space="preserve">.  FBI UCR </w:t>
      </w:r>
      <w:r w:rsidR="00402303">
        <w:rPr>
          <w:rFonts w:ascii="Times New Roman" w:hAnsi="Times New Roman" w:cs="Times New Roman"/>
          <w:sz w:val="24"/>
          <w:szCs w:val="24"/>
        </w:rPr>
        <w:t xml:space="preserve">Program </w:t>
      </w:r>
      <w:r>
        <w:rPr>
          <w:rFonts w:ascii="Times New Roman" w:hAnsi="Times New Roman" w:cs="Times New Roman"/>
          <w:sz w:val="24"/>
          <w:szCs w:val="24"/>
        </w:rPr>
        <w:t xml:space="preserve">staff have a strong understanding of contextual challenges agencies face in reporting valid and reliable data and regularly work to </w:t>
      </w:r>
      <w:r w:rsidR="00FF02B9">
        <w:rPr>
          <w:rFonts w:ascii="Times New Roman" w:hAnsi="Times New Roman" w:cs="Times New Roman"/>
          <w:sz w:val="24"/>
          <w:szCs w:val="24"/>
        </w:rPr>
        <w:t>overcome no-response issues when</w:t>
      </w:r>
      <w:r>
        <w:rPr>
          <w:rFonts w:ascii="Times New Roman" w:hAnsi="Times New Roman" w:cs="Times New Roman"/>
          <w:sz w:val="24"/>
          <w:szCs w:val="24"/>
        </w:rPr>
        <w:t xml:space="preserve"> such challenges occur.  The mission of the FBI UCR Program is to acquire arson data, establish guidelines for the collection of such data, and publish arson data.</w:t>
      </w:r>
    </w:p>
    <w:p w:rsidR="00D51E30" w:rsidRPr="00137CE7" w:rsidRDefault="00140437" w:rsidP="00D51E30">
      <w:pPr>
        <w:tabs>
          <w:tab w:val="left" w:pos="360"/>
        </w:tabs>
        <w:ind w:left="360"/>
        <w:contextualSpacing/>
        <w:rPr>
          <w:rFonts w:ascii="Times New Roman" w:hAnsi="Times New Roman" w:cs="Times New Roman"/>
          <w:sz w:val="24"/>
          <w:szCs w:val="24"/>
        </w:rPr>
      </w:pPr>
      <w:r>
        <w:rPr>
          <w:rFonts w:ascii="Times New Roman" w:hAnsi="Times New Roman" w:cs="Times New Roman"/>
          <w:sz w:val="24"/>
          <w:szCs w:val="24"/>
        </w:rPr>
        <w:t>C</w:t>
      </w:r>
      <w:r w:rsidR="00D51E30">
        <w:rPr>
          <w:rFonts w:ascii="Times New Roman" w:hAnsi="Times New Roman" w:cs="Times New Roman"/>
          <w:sz w:val="24"/>
          <w:szCs w:val="24"/>
        </w:rPr>
        <w:t>urrently, 73.9</w:t>
      </w:r>
      <w:r>
        <w:rPr>
          <w:rFonts w:ascii="Times New Roman" w:hAnsi="Times New Roman" w:cs="Times New Roman"/>
          <w:sz w:val="24"/>
          <w:szCs w:val="24"/>
        </w:rPr>
        <w:t xml:space="preserve"> percent of the FBI UCR Program SRS reporting agencies report 12 months of complete arson data to the FBI</w:t>
      </w:r>
      <w:r w:rsidR="00D51E30">
        <w:rPr>
          <w:rFonts w:ascii="Times New Roman" w:hAnsi="Times New Roman" w:cs="Times New Roman"/>
          <w:sz w:val="24"/>
          <w:szCs w:val="24"/>
        </w:rPr>
        <w:t xml:space="preserve"> while 7.7 percent submit between 1-11 months of data</w:t>
      </w:r>
      <w:r>
        <w:rPr>
          <w:rFonts w:ascii="Times New Roman" w:hAnsi="Times New Roman" w:cs="Times New Roman"/>
          <w:sz w:val="24"/>
          <w:szCs w:val="24"/>
        </w:rPr>
        <w:t xml:space="preserve">.  </w:t>
      </w:r>
      <w:r w:rsidR="00D51E30">
        <w:rPr>
          <w:rFonts w:ascii="Times New Roman" w:hAnsi="Times New Roman" w:cs="Times New Roman"/>
          <w:sz w:val="24"/>
          <w:szCs w:val="24"/>
        </w:rPr>
        <w:t xml:space="preserve">The remaining 18.4 percent do not participate in the arson data collection.  </w:t>
      </w:r>
      <w:r w:rsidR="00D51E30" w:rsidRPr="00137CE7">
        <w:rPr>
          <w:rFonts w:ascii="Times New Roman" w:hAnsi="Times New Roman" w:cs="Times New Roman"/>
          <w:sz w:val="24"/>
          <w:szCs w:val="24"/>
        </w:rPr>
        <w:t xml:space="preserve">These agencies are nonresponsive due to being understaffed, underfunded, or are implementing a new data record system.  </w:t>
      </w:r>
      <w:r w:rsidR="00D51E30">
        <w:rPr>
          <w:rFonts w:ascii="Times New Roman" w:hAnsi="Times New Roman" w:cs="Times New Roman"/>
          <w:sz w:val="24"/>
          <w:szCs w:val="24"/>
        </w:rPr>
        <w:t xml:space="preserve">Additionally, the FBI UCR Program has determined that a number of “other agencies” and “other state agencies” consistently provide missing or incomplete data.  </w:t>
      </w:r>
      <w:r w:rsidR="00D51E30" w:rsidRPr="00137CE7">
        <w:rPr>
          <w:rFonts w:ascii="Times New Roman" w:hAnsi="Times New Roman" w:cs="Times New Roman"/>
          <w:sz w:val="24"/>
          <w:szCs w:val="24"/>
        </w:rPr>
        <w:t>Even though these agencies are non-reporters, they are considered participants of the Program and will submit data when the problems have been resolved.  Based on historical reporting trends, similar response rates are expected in future arson collections, however, the FBI UCR Program actively liaisons with national law enforcement agencies to encourage participation in UCR data collections.</w:t>
      </w:r>
    </w:p>
    <w:p w:rsidR="00315D7E" w:rsidRDefault="00140437" w:rsidP="00315D7E">
      <w:pPr>
        <w:pStyle w:val="ListParagraph"/>
        <w:ind w:left="360"/>
        <w:rPr>
          <w:rFonts w:ascii="Times New Roman" w:hAnsi="Times New Roman" w:cs="Times New Roman"/>
          <w:sz w:val="24"/>
          <w:szCs w:val="24"/>
        </w:rPr>
      </w:pPr>
      <w:r>
        <w:rPr>
          <w:rFonts w:ascii="Times New Roman" w:hAnsi="Times New Roman" w:cs="Times New Roman"/>
          <w:sz w:val="24"/>
          <w:szCs w:val="24"/>
        </w:rPr>
        <w:lastRenderedPageBreak/>
        <w:t xml:space="preserve">The FBI </w:t>
      </w:r>
      <w:r w:rsidR="00D51E30">
        <w:rPr>
          <w:rFonts w:ascii="Times New Roman" w:hAnsi="Times New Roman" w:cs="Times New Roman"/>
          <w:sz w:val="24"/>
          <w:szCs w:val="24"/>
        </w:rPr>
        <w:t>UCR Program assists agencies in submitting 12 months of complete data</w:t>
      </w:r>
      <w:r>
        <w:rPr>
          <w:rFonts w:ascii="Times New Roman" w:hAnsi="Times New Roman" w:cs="Times New Roman"/>
          <w:sz w:val="24"/>
          <w:szCs w:val="24"/>
        </w:rPr>
        <w:t xml:space="preserve"> through</w:t>
      </w:r>
      <w:r w:rsidR="0011082B">
        <w:rPr>
          <w:rFonts w:ascii="Times New Roman" w:hAnsi="Times New Roman" w:cs="Times New Roman"/>
          <w:sz w:val="24"/>
          <w:szCs w:val="24"/>
        </w:rPr>
        <w:t xml:space="preserve"> active</w:t>
      </w:r>
      <w:r w:rsidR="00315D7E">
        <w:rPr>
          <w:rFonts w:ascii="Times New Roman" w:hAnsi="Times New Roman" w:cs="Times New Roman"/>
          <w:sz w:val="24"/>
          <w:szCs w:val="24"/>
        </w:rPr>
        <w:t xml:space="preserve"> liaisons with the </w:t>
      </w:r>
      <w:r w:rsidR="00402303">
        <w:rPr>
          <w:rFonts w:ascii="Times New Roman" w:hAnsi="Times New Roman" w:cs="Times New Roman"/>
          <w:sz w:val="24"/>
          <w:szCs w:val="24"/>
        </w:rPr>
        <w:t>state UCR p</w:t>
      </w:r>
      <w:r w:rsidR="00315D7E">
        <w:rPr>
          <w:rFonts w:ascii="Times New Roman" w:hAnsi="Times New Roman" w:cs="Times New Roman"/>
          <w:sz w:val="24"/>
          <w:szCs w:val="24"/>
        </w:rPr>
        <w:t xml:space="preserve">rograms and the </w:t>
      </w:r>
      <w:r w:rsidR="00FF02B9">
        <w:rPr>
          <w:rFonts w:ascii="Times New Roman" w:hAnsi="Times New Roman" w:cs="Times New Roman"/>
          <w:sz w:val="24"/>
          <w:szCs w:val="24"/>
        </w:rPr>
        <w:t>individual</w:t>
      </w:r>
      <w:r w:rsidR="00315D7E">
        <w:rPr>
          <w:rFonts w:ascii="Times New Roman" w:hAnsi="Times New Roman" w:cs="Times New Roman"/>
          <w:sz w:val="24"/>
          <w:szCs w:val="24"/>
        </w:rPr>
        <w:t xml:space="preserve"> </w:t>
      </w:r>
      <w:r w:rsidR="00FF02B9">
        <w:rPr>
          <w:rFonts w:ascii="Times New Roman" w:hAnsi="Times New Roman" w:cs="Times New Roman"/>
          <w:sz w:val="24"/>
          <w:szCs w:val="24"/>
        </w:rPr>
        <w:t>LEAs</w:t>
      </w:r>
      <w:r w:rsidR="00315D7E">
        <w:rPr>
          <w:rFonts w:ascii="Times New Roman" w:hAnsi="Times New Roman" w:cs="Times New Roman"/>
          <w:sz w:val="24"/>
          <w:szCs w:val="24"/>
        </w:rPr>
        <w:t>.  To encourage the submission of data, a listing of missing</w:t>
      </w:r>
      <w:r w:rsidR="00402303">
        <w:rPr>
          <w:rFonts w:ascii="Times New Roman" w:hAnsi="Times New Roman" w:cs="Times New Roman"/>
          <w:sz w:val="24"/>
          <w:szCs w:val="24"/>
        </w:rPr>
        <w:t xml:space="preserve"> reports are sent to state UCR p</w:t>
      </w:r>
      <w:r w:rsidR="00315D7E">
        <w:rPr>
          <w:rFonts w:ascii="Times New Roman" w:hAnsi="Times New Roman" w:cs="Times New Roman"/>
          <w:sz w:val="24"/>
          <w:szCs w:val="24"/>
        </w:rPr>
        <w:t xml:space="preserve">rograms and individual </w:t>
      </w:r>
      <w:r w:rsidR="00FF02B9">
        <w:rPr>
          <w:rFonts w:ascii="Times New Roman" w:hAnsi="Times New Roman" w:cs="Times New Roman"/>
          <w:sz w:val="24"/>
          <w:szCs w:val="24"/>
        </w:rPr>
        <w:t>LEAs</w:t>
      </w:r>
      <w:r w:rsidR="00315D7E">
        <w:rPr>
          <w:rFonts w:ascii="Times New Roman" w:hAnsi="Times New Roman" w:cs="Times New Roman"/>
          <w:sz w:val="24"/>
          <w:szCs w:val="24"/>
        </w:rPr>
        <w:t xml:space="preserve"> twice a year and then follow up contact is also made to those agencies to further encourage the submission of missing data.  </w:t>
      </w:r>
    </w:p>
    <w:p w:rsidR="008C72B5" w:rsidRPr="00912EC4" w:rsidRDefault="008C72B5" w:rsidP="00912EC4">
      <w:pPr>
        <w:rPr>
          <w:rFonts w:ascii="Times New Roman" w:hAnsi="Times New Roman" w:cs="Times New Roman"/>
          <w:sz w:val="24"/>
          <w:szCs w:val="24"/>
        </w:rPr>
      </w:pPr>
    </w:p>
    <w:p w:rsidR="00F850B1" w:rsidRDefault="008C72B5" w:rsidP="008C72B5">
      <w:pPr>
        <w:pStyle w:val="ListParagraph"/>
        <w:numPr>
          <w:ilvl w:val="0"/>
          <w:numId w:val="1"/>
        </w:numPr>
        <w:ind w:left="360"/>
        <w:rPr>
          <w:rFonts w:ascii="Times New Roman" w:hAnsi="Times New Roman" w:cs="Times New Roman"/>
          <w:sz w:val="24"/>
          <w:szCs w:val="24"/>
        </w:rPr>
      </w:pPr>
      <w:r w:rsidRPr="005E009B">
        <w:rPr>
          <w:rFonts w:ascii="Times New Roman" w:hAnsi="Times New Roman" w:cs="Times New Roman"/>
          <w:sz w:val="24"/>
          <w:szCs w:val="24"/>
        </w:rPr>
        <w:t>The FBI has conducted the arson information collection since 1979</w:t>
      </w:r>
      <w:r w:rsidR="00912EC4">
        <w:rPr>
          <w:rFonts w:ascii="Times New Roman" w:hAnsi="Times New Roman" w:cs="Times New Roman"/>
          <w:sz w:val="24"/>
          <w:szCs w:val="24"/>
        </w:rPr>
        <w:t>.</w:t>
      </w:r>
      <w:r w:rsidRPr="005E009B">
        <w:rPr>
          <w:rFonts w:ascii="Times New Roman" w:hAnsi="Times New Roman" w:cs="Times New Roman"/>
          <w:sz w:val="24"/>
          <w:szCs w:val="24"/>
        </w:rPr>
        <w:t xml:space="preserve"> </w:t>
      </w:r>
      <w:r w:rsidR="00912EC4">
        <w:rPr>
          <w:rFonts w:ascii="Times New Roman" w:hAnsi="Times New Roman" w:cs="Times New Roman"/>
          <w:sz w:val="24"/>
          <w:szCs w:val="24"/>
        </w:rPr>
        <w:t xml:space="preserve"> The response rates for arson have remained relatively consistent from year</w:t>
      </w:r>
      <w:r w:rsidR="00310E87">
        <w:rPr>
          <w:rFonts w:ascii="Times New Roman" w:hAnsi="Times New Roman" w:cs="Times New Roman"/>
          <w:sz w:val="24"/>
          <w:szCs w:val="24"/>
        </w:rPr>
        <w:t>-</w:t>
      </w:r>
      <w:r w:rsidR="00912EC4">
        <w:rPr>
          <w:rFonts w:ascii="Times New Roman" w:hAnsi="Times New Roman" w:cs="Times New Roman"/>
          <w:sz w:val="24"/>
          <w:szCs w:val="24"/>
        </w:rPr>
        <w:t>to</w:t>
      </w:r>
      <w:r w:rsidR="00310E87">
        <w:rPr>
          <w:rFonts w:ascii="Times New Roman" w:hAnsi="Times New Roman" w:cs="Times New Roman"/>
          <w:sz w:val="24"/>
          <w:szCs w:val="24"/>
        </w:rPr>
        <w:t>-</w:t>
      </w:r>
      <w:r w:rsidR="00912EC4">
        <w:rPr>
          <w:rFonts w:ascii="Times New Roman" w:hAnsi="Times New Roman" w:cs="Times New Roman"/>
          <w:sz w:val="24"/>
          <w:szCs w:val="24"/>
        </w:rPr>
        <w:t>year.</w:t>
      </w:r>
      <w:r w:rsidRPr="005E009B">
        <w:rPr>
          <w:rFonts w:ascii="Times New Roman" w:hAnsi="Times New Roman" w:cs="Times New Roman"/>
          <w:sz w:val="24"/>
          <w:szCs w:val="24"/>
        </w:rPr>
        <w:t xml:space="preserve">  During </w:t>
      </w:r>
      <w:r w:rsidR="0012263B">
        <w:rPr>
          <w:rFonts w:ascii="Times New Roman" w:hAnsi="Times New Roman" w:cs="Times New Roman"/>
          <w:sz w:val="24"/>
          <w:szCs w:val="24"/>
        </w:rPr>
        <w:t>the implementation</w:t>
      </w:r>
      <w:r w:rsidRPr="005E009B">
        <w:rPr>
          <w:rFonts w:ascii="Times New Roman" w:hAnsi="Times New Roman" w:cs="Times New Roman"/>
          <w:sz w:val="24"/>
          <w:szCs w:val="24"/>
        </w:rPr>
        <w:t xml:space="preserve"> of th</w:t>
      </w:r>
      <w:r w:rsidR="00912EC4">
        <w:rPr>
          <w:rFonts w:ascii="Times New Roman" w:hAnsi="Times New Roman" w:cs="Times New Roman"/>
          <w:sz w:val="24"/>
          <w:szCs w:val="24"/>
        </w:rPr>
        <w:t>e arson information</w:t>
      </w:r>
      <w:r w:rsidRPr="005E009B">
        <w:rPr>
          <w:rFonts w:ascii="Times New Roman" w:hAnsi="Times New Roman" w:cs="Times New Roman"/>
          <w:sz w:val="24"/>
          <w:szCs w:val="24"/>
        </w:rPr>
        <w:t xml:space="preserve"> collection, extensive research regarding the offense of arson was conducted by members of the FBI’s UCR Program staff.  Liaison with members of law enforcement, fire services, and insurance communities had been effective in the effort to fulfill the congressional mandate to collect arson offense data and to design a collection form which would provide meaningful information to all those concerned.  Representatives of the FBI’s UCR Program, International Association of Chiefs of Police, National Sheriffs’ Association, U.S. Fire Administration, National Fire Protection Association, and a number of other national</w:t>
      </w:r>
      <w:r w:rsidR="00017296" w:rsidRPr="005E009B">
        <w:rPr>
          <w:rFonts w:ascii="Times New Roman" w:hAnsi="Times New Roman" w:cs="Times New Roman"/>
          <w:sz w:val="24"/>
          <w:szCs w:val="24"/>
        </w:rPr>
        <w:t xml:space="preserve"> and international fire service</w:t>
      </w:r>
      <w:r w:rsidRPr="005E009B">
        <w:rPr>
          <w:rFonts w:ascii="Times New Roman" w:hAnsi="Times New Roman" w:cs="Times New Roman"/>
          <w:sz w:val="24"/>
          <w:szCs w:val="24"/>
        </w:rPr>
        <w:t xml:space="preserve"> associations</w:t>
      </w:r>
      <w:r w:rsidR="00D72083" w:rsidRPr="005E009B">
        <w:rPr>
          <w:rFonts w:ascii="Times New Roman" w:hAnsi="Times New Roman" w:cs="Times New Roman"/>
          <w:sz w:val="24"/>
          <w:szCs w:val="24"/>
        </w:rPr>
        <w:t xml:space="preserve"> met to discuss the design of a viable collection device and other pertinent implementation procedures of fulfilling the legislative mandate to collect arson.  Representatives of the various agencies in attendance solicited suggestions and comments on a number of proposals concerning the collection of arson</w:t>
      </w:r>
      <w:r w:rsidR="00F850B1" w:rsidRPr="005E009B">
        <w:rPr>
          <w:rFonts w:ascii="Times New Roman" w:hAnsi="Times New Roman" w:cs="Times New Roman"/>
          <w:sz w:val="24"/>
          <w:szCs w:val="24"/>
        </w:rPr>
        <w:t>, some of which were implemented into the design of the proposed arson collection form</w:t>
      </w:r>
      <w:r w:rsidR="00D72083" w:rsidRPr="005E009B">
        <w:rPr>
          <w:rFonts w:ascii="Times New Roman" w:hAnsi="Times New Roman" w:cs="Times New Roman"/>
          <w:sz w:val="24"/>
          <w:szCs w:val="24"/>
        </w:rPr>
        <w:t xml:space="preserve">.  Numerous other meetings and liaison activities were conducted in order to obtain a base of information concerning the offense of arson.  Direct liaison with fire chiefs and arson investigators afforded an opportunity to discuss details of the arson form and persons directly involved in investigation, detection, and reporting of fires, </w:t>
      </w:r>
      <w:r w:rsidR="00F850B1" w:rsidRPr="005E009B">
        <w:rPr>
          <w:rFonts w:ascii="Times New Roman" w:hAnsi="Times New Roman" w:cs="Times New Roman"/>
          <w:sz w:val="24"/>
          <w:szCs w:val="24"/>
        </w:rPr>
        <w:t>and specifically, arson cases. The information shared throughout these meetings provided the designers of the arson collection form with the pertinent informati</w:t>
      </w:r>
      <w:r w:rsidR="00017296" w:rsidRPr="005E009B">
        <w:rPr>
          <w:rFonts w:ascii="Times New Roman" w:hAnsi="Times New Roman" w:cs="Times New Roman"/>
          <w:sz w:val="24"/>
          <w:szCs w:val="24"/>
        </w:rPr>
        <w:t>on to incorporate</w:t>
      </w:r>
      <w:r w:rsidR="00F850B1" w:rsidRPr="005E009B">
        <w:rPr>
          <w:rFonts w:ascii="Times New Roman" w:hAnsi="Times New Roman" w:cs="Times New Roman"/>
          <w:sz w:val="24"/>
          <w:szCs w:val="24"/>
        </w:rPr>
        <w:t xml:space="preserve"> into the new form.</w:t>
      </w:r>
    </w:p>
    <w:p w:rsidR="001663FD" w:rsidRDefault="001663FD" w:rsidP="001663FD">
      <w:pPr>
        <w:pStyle w:val="ListParagraph"/>
        <w:ind w:left="360"/>
        <w:rPr>
          <w:rFonts w:ascii="Times New Roman" w:hAnsi="Times New Roman" w:cs="Times New Roman"/>
          <w:sz w:val="24"/>
          <w:szCs w:val="24"/>
        </w:rPr>
      </w:pPr>
    </w:p>
    <w:p w:rsidR="001663FD" w:rsidRPr="005E009B" w:rsidRDefault="001663FD" w:rsidP="001663FD">
      <w:pPr>
        <w:pStyle w:val="ListParagraph"/>
        <w:ind w:left="360"/>
        <w:rPr>
          <w:rFonts w:ascii="Times New Roman" w:hAnsi="Times New Roman" w:cs="Times New Roman"/>
          <w:sz w:val="24"/>
          <w:szCs w:val="24"/>
        </w:rPr>
      </w:pPr>
      <w:r>
        <w:rPr>
          <w:rFonts w:ascii="Times New Roman" w:hAnsi="Times New Roman" w:cs="Times New Roman"/>
          <w:sz w:val="24"/>
          <w:szCs w:val="24"/>
        </w:rPr>
        <w:t>Today, the UCR Program receives guidance for implementing or making changes to a data collection from the CJIS Adviso</w:t>
      </w:r>
      <w:r w:rsidR="00402303">
        <w:rPr>
          <w:rFonts w:ascii="Times New Roman" w:hAnsi="Times New Roman" w:cs="Times New Roman"/>
          <w:sz w:val="24"/>
          <w:szCs w:val="24"/>
        </w:rPr>
        <w:t>ry Policy Board.  The FBI CJIS advisory p</w:t>
      </w:r>
      <w:r>
        <w:rPr>
          <w:rFonts w:ascii="Times New Roman" w:hAnsi="Times New Roman" w:cs="Times New Roman"/>
          <w:sz w:val="24"/>
          <w:szCs w:val="24"/>
        </w:rPr>
        <w:t xml:space="preserve">rocess was developed to obtain the user community’s advice and guidance on the development and operation of all </w:t>
      </w:r>
      <w:r w:rsidR="00402303">
        <w:rPr>
          <w:rFonts w:ascii="Times New Roman" w:hAnsi="Times New Roman" w:cs="Times New Roman"/>
          <w:sz w:val="24"/>
          <w:szCs w:val="24"/>
        </w:rPr>
        <w:t xml:space="preserve">the </w:t>
      </w:r>
      <w:r>
        <w:rPr>
          <w:rFonts w:ascii="Times New Roman" w:hAnsi="Times New Roman" w:cs="Times New Roman"/>
          <w:sz w:val="24"/>
          <w:szCs w:val="24"/>
        </w:rPr>
        <w:t>CJIS</w:t>
      </w:r>
      <w:r w:rsidR="00402303">
        <w:rPr>
          <w:rFonts w:ascii="Times New Roman" w:hAnsi="Times New Roman" w:cs="Times New Roman"/>
          <w:sz w:val="24"/>
          <w:szCs w:val="24"/>
        </w:rPr>
        <w:t xml:space="preserve"> Division</w:t>
      </w:r>
      <w:r>
        <w:rPr>
          <w:rFonts w:ascii="Times New Roman" w:hAnsi="Times New Roman" w:cs="Times New Roman"/>
          <w:sz w:val="24"/>
          <w:szCs w:val="24"/>
        </w:rPr>
        <w:t xml:space="preserve"> programs.  The philosophy underlying the advisory process is one of shared management; that is, the FBI along with local, state, tribal, and federal data providers, and system users share responsibility for the operation and management of all systems administered by the FBI for the benefit of the criminal justice community.  </w:t>
      </w:r>
    </w:p>
    <w:p w:rsidR="00F850B1" w:rsidRDefault="00F850B1" w:rsidP="00F850B1">
      <w:pPr>
        <w:pStyle w:val="ListParagraph"/>
        <w:ind w:left="360"/>
        <w:rPr>
          <w:rFonts w:ascii="Times New Roman" w:hAnsi="Times New Roman" w:cs="Times New Roman"/>
          <w:sz w:val="24"/>
          <w:szCs w:val="24"/>
        </w:rPr>
      </w:pPr>
    </w:p>
    <w:p w:rsidR="0012263B" w:rsidRPr="003250E5" w:rsidRDefault="00D72083" w:rsidP="003250E5">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There have not been any </w:t>
      </w:r>
      <w:r w:rsidR="0024565C">
        <w:rPr>
          <w:rFonts w:ascii="Times New Roman" w:hAnsi="Times New Roman" w:cs="Times New Roman"/>
          <w:sz w:val="24"/>
          <w:szCs w:val="24"/>
        </w:rPr>
        <w:t>changes to the current arson for</w:t>
      </w:r>
      <w:r>
        <w:rPr>
          <w:rFonts w:ascii="Times New Roman" w:hAnsi="Times New Roman" w:cs="Times New Roman"/>
          <w:sz w:val="24"/>
          <w:szCs w:val="24"/>
        </w:rPr>
        <w:t xml:space="preserve">m that would need to be tested.  No comments or suggestions of problems with the form have </w:t>
      </w:r>
      <w:r w:rsidR="001663FD">
        <w:rPr>
          <w:rFonts w:ascii="Times New Roman" w:hAnsi="Times New Roman" w:cs="Times New Roman"/>
          <w:sz w:val="24"/>
          <w:szCs w:val="24"/>
        </w:rPr>
        <w:t xml:space="preserve">been reported through the CJIS </w:t>
      </w:r>
      <w:r>
        <w:rPr>
          <w:rFonts w:ascii="Times New Roman" w:hAnsi="Times New Roman" w:cs="Times New Roman"/>
          <w:sz w:val="24"/>
          <w:szCs w:val="24"/>
        </w:rPr>
        <w:t xml:space="preserve">APB Working Groups, UCR Subcommittee, CJIS APB, or the </w:t>
      </w:r>
      <w:r w:rsidR="001663FD">
        <w:rPr>
          <w:rFonts w:ascii="Times New Roman" w:hAnsi="Times New Roman" w:cs="Times New Roman"/>
          <w:sz w:val="24"/>
          <w:szCs w:val="24"/>
        </w:rPr>
        <w:t>ASUCRP</w:t>
      </w:r>
      <w:r>
        <w:rPr>
          <w:rFonts w:ascii="Times New Roman" w:hAnsi="Times New Roman" w:cs="Times New Roman"/>
          <w:sz w:val="24"/>
          <w:szCs w:val="24"/>
        </w:rPr>
        <w:t xml:space="preserve"> which meet frequently throughout each year and are dedicated to improving the collection, use, and utility of crime data as reported through the FBI UCR Program and all state and local crime reporting programs. </w:t>
      </w:r>
      <w:r w:rsidR="003250E5">
        <w:rPr>
          <w:rFonts w:ascii="Times New Roman" w:hAnsi="Times New Roman" w:cs="Times New Roman"/>
          <w:sz w:val="24"/>
          <w:szCs w:val="24"/>
        </w:rPr>
        <w:t>However, a</w:t>
      </w:r>
      <w:r w:rsidR="003250E5" w:rsidRPr="003250E5">
        <w:rPr>
          <w:rFonts w:ascii="Times New Roman" w:hAnsi="Times New Roman" w:cs="Times New Roman"/>
          <w:sz w:val="24"/>
          <w:szCs w:val="24"/>
        </w:rPr>
        <w:t>s stated in the “Revising the UCR Part I Offense Count Imputation Methods” status report</w:t>
      </w:r>
      <w:r w:rsidR="003250E5">
        <w:rPr>
          <w:rFonts w:ascii="Times New Roman" w:hAnsi="Times New Roman" w:cs="Times New Roman"/>
          <w:sz w:val="24"/>
          <w:szCs w:val="24"/>
        </w:rPr>
        <w:t>, the FBI UCR Program will be conducting a nonresponse bias study in order to understand the mechanism for an agency’s nonresponse.</w:t>
      </w:r>
    </w:p>
    <w:p w:rsidR="00017296" w:rsidRPr="00017296" w:rsidRDefault="00017296" w:rsidP="00017296">
      <w:pPr>
        <w:pStyle w:val="ListParagraph"/>
        <w:ind w:left="360"/>
        <w:rPr>
          <w:rFonts w:ascii="Times New Roman" w:hAnsi="Times New Roman" w:cs="Times New Roman"/>
          <w:sz w:val="24"/>
          <w:szCs w:val="24"/>
        </w:rPr>
      </w:pPr>
    </w:p>
    <w:p w:rsidR="00D72083" w:rsidRDefault="00D72083" w:rsidP="00D72083">
      <w:pPr>
        <w:pStyle w:val="ListParagraph"/>
        <w:ind w:left="360"/>
        <w:rPr>
          <w:rFonts w:ascii="Times New Roman" w:hAnsi="Times New Roman" w:cs="Times New Roman"/>
          <w:sz w:val="24"/>
          <w:szCs w:val="24"/>
        </w:rPr>
      </w:pPr>
    </w:p>
    <w:p w:rsidR="00D72083" w:rsidRDefault="00D72083" w:rsidP="008C72B5">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Christopher A. Nicholas</w:t>
      </w:r>
    </w:p>
    <w:p w:rsidR="00D72083" w:rsidRDefault="00D72083" w:rsidP="00D72083">
      <w:pPr>
        <w:pStyle w:val="ListParagraph"/>
        <w:ind w:left="360"/>
        <w:rPr>
          <w:rFonts w:ascii="Times New Roman" w:hAnsi="Times New Roman" w:cs="Times New Roman"/>
          <w:sz w:val="24"/>
          <w:szCs w:val="24"/>
        </w:rPr>
      </w:pPr>
      <w:r>
        <w:rPr>
          <w:rFonts w:ascii="Times New Roman" w:hAnsi="Times New Roman" w:cs="Times New Roman"/>
          <w:sz w:val="24"/>
          <w:szCs w:val="24"/>
        </w:rPr>
        <w:t>LESS Chief</w:t>
      </w:r>
    </w:p>
    <w:p w:rsidR="00D72083" w:rsidRDefault="00402303" w:rsidP="00D72083">
      <w:pPr>
        <w:pStyle w:val="ListParagraph"/>
        <w:ind w:left="360"/>
        <w:rPr>
          <w:rFonts w:ascii="Times New Roman" w:hAnsi="Times New Roman" w:cs="Times New Roman"/>
          <w:sz w:val="24"/>
          <w:szCs w:val="24"/>
        </w:rPr>
      </w:pPr>
      <w:r>
        <w:t>&lt;</w:t>
      </w:r>
      <w:r>
        <w:rPr>
          <w:rFonts w:ascii="Times New Roman" w:hAnsi="Times New Roman" w:cs="Times New Roman"/>
          <w:sz w:val="24"/>
          <w:szCs w:val="24"/>
        </w:rPr>
        <w:t>christopher.nicholas@ic.fbi.gov&gt;</w:t>
      </w:r>
    </w:p>
    <w:p w:rsidR="00D72083" w:rsidRDefault="00D72083" w:rsidP="00D72083">
      <w:pPr>
        <w:pStyle w:val="ListParagraph"/>
        <w:ind w:left="360"/>
        <w:rPr>
          <w:rFonts w:ascii="Times New Roman" w:hAnsi="Times New Roman" w:cs="Times New Roman"/>
          <w:sz w:val="24"/>
          <w:szCs w:val="24"/>
        </w:rPr>
      </w:pPr>
      <w:r>
        <w:rPr>
          <w:rFonts w:ascii="Times New Roman" w:hAnsi="Times New Roman" w:cs="Times New Roman"/>
          <w:sz w:val="24"/>
          <w:szCs w:val="24"/>
        </w:rPr>
        <w:t>(304) 625-3690</w:t>
      </w:r>
    </w:p>
    <w:p w:rsidR="001F1C00" w:rsidRDefault="001F1C00" w:rsidP="00D72083">
      <w:pPr>
        <w:pStyle w:val="ListParagraph"/>
        <w:ind w:left="360"/>
        <w:rPr>
          <w:rFonts w:ascii="Times New Roman" w:hAnsi="Times New Roman" w:cs="Times New Roman"/>
          <w:sz w:val="24"/>
          <w:szCs w:val="24"/>
        </w:rPr>
      </w:pPr>
    </w:p>
    <w:p w:rsidR="001F1C00" w:rsidRDefault="001F1C00" w:rsidP="00D72083">
      <w:pPr>
        <w:pStyle w:val="ListParagraph"/>
        <w:ind w:left="360"/>
        <w:rPr>
          <w:rFonts w:ascii="Times New Roman" w:hAnsi="Times New Roman" w:cs="Times New Roman"/>
          <w:sz w:val="24"/>
          <w:szCs w:val="24"/>
        </w:rPr>
      </w:pPr>
      <w:r>
        <w:rPr>
          <w:rFonts w:ascii="Times New Roman" w:hAnsi="Times New Roman" w:cs="Times New Roman"/>
          <w:sz w:val="24"/>
          <w:szCs w:val="24"/>
        </w:rPr>
        <w:t>Amy C. Blasher</w:t>
      </w:r>
    </w:p>
    <w:p w:rsidR="001F1C00" w:rsidRDefault="001F1C00" w:rsidP="00D72083">
      <w:pPr>
        <w:pStyle w:val="ListParagraph"/>
        <w:ind w:left="360"/>
        <w:rPr>
          <w:rFonts w:ascii="Times New Roman" w:hAnsi="Times New Roman" w:cs="Times New Roman"/>
          <w:sz w:val="24"/>
          <w:szCs w:val="24"/>
        </w:rPr>
      </w:pPr>
      <w:r>
        <w:rPr>
          <w:rFonts w:ascii="Times New Roman" w:hAnsi="Times New Roman" w:cs="Times New Roman"/>
          <w:sz w:val="24"/>
          <w:szCs w:val="24"/>
        </w:rPr>
        <w:t>CSMU Chief</w:t>
      </w:r>
    </w:p>
    <w:p w:rsidR="001F1C00" w:rsidRDefault="00402303" w:rsidP="00D72083">
      <w:pPr>
        <w:pStyle w:val="ListParagraph"/>
        <w:ind w:left="360"/>
        <w:rPr>
          <w:rFonts w:ascii="Times New Roman" w:hAnsi="Times New Roman" w:cs="Times New Roman"/>
          <w:sz w:val="24"/>
          <w:szCs w:val="24"/>
        </w:rPr>
      </w:pPr>
      <w:r>
        <w:t>&lt;</w:t>
      </w:r>
      <w:r w:rsidR="001F1C00" w:rsidRPr="00402303">
        <w:rPr>
          <w:rFonts w:ascii="Times New Roman" w:hAnsi="Times New Roman" w:cs="Times New Roman"/>
          <w:sz w:val="24"/>
          <w:szCs w:val="24"/>
        </w:rPr>
        <w:t>amy.blasher@ic.fbi.gov</w:t>
      </w:r>
      <w:r>
        <w:rPr>
          <w:rFonts w:ascii="Times New Roman" w:hAnsi="Times New Roman" w:cs="Times New Roman"/>
          <w:sz w:val="24"/>
          <w:szCs w:val="24"/>
        </w:rPr>
        <w:t>&gt;</w:t>
      </w:r>
    </w:p>
    <w:p w:rsidR="001F1C00" w:rsidRDefault="001F1C00" w:rsidP="00D72083">
      <w:pPr>
        <w:pStyle w:val="ListParagraph"/>
        <w:ind w:left="360"/>
        <w:rPr>
          <w:rFonts w:ascii="Times New Roman" w:hAnsi="Times New Roman" w:cs="Times New Roman"/>
          <w:sz w:val="24"/>
          <w:szCs w:val="24"/>
        </w:rPr>
      </w:pPr>
      <w:r>
        <w:rPr>
          <w:rFonts w:ascii="Times New Roman" w:hAnsi="Times New Roman" w:cs="Times New Roman"/>
          <w:sz w:val="24"/>
          <w:szCs w:val="24"/>
        </w:rPr>
        <w:t>(304) 625-4840</w:t>
      </w:r>
    </w:p>
    <w:p w:rsidR="001663FD" w:rsidRDefault="001663FD" w:rsidP="00D72083">
      <w:pPr>
        <w:pStyle w:val="ListParagraph"/>
        <w:ind w:left="360"/>
        <w:rPr>
          <w:rFonts w:ascii="Times New Roman" w:hAnsi="Times New Roman" w:cs="Times New Roman"/>
          <w:sz w:val="24"/>
          <w:szCs w:val="24"/>
        </w:rPr>
      </w:pPr>
    </w:p>
    <w:p w:rsidR="001663FD" w:rsidRDefault="001663FD" w:rsidP="00D72083">
      <w:pPr>
        <w:pStyle w:val="ListParagraph"/>
        <w:ind w:left="360"/>
        <w:rPr>
          <w:rFonts w:ascii="Times New Roman" w:hAnsi="Times New Roman" w:cs="Times New Roman"/>
          <w:sz w:val="24"/>
          <w:szCs w:val="24"/>
        </w:rPr>
      </w:pPr>
      <w:r>
        <w:rPr>
          <w:rFonts w:ascii="Times New Roman" w:hAnsi="Times New Roman" w:cs="Times New Roman"/>
          <w:sz w:val="24"/>
          <w:szCs w:val="24"/>
        </w:rPr>
        <w:t>Cynthia Barnett-Ryan</w:t>
      </w:r>
    </w:p>
    <w:p w:rsidR="001663FD" w:rsidRDefault="001663FD" w:rsidP="00D72083">
      <w:pPr>
        <w:pStyle w:val="ListParagraph"/>
        <w:ind w:left="360"/>
        <w:rPr>
          <w:rFonts w:ascii="Times New Roman" w:hAnsi="Times New Roman" w:cs="Times New Roman"/>
          <w:sz w:val="24"/>
          <w:szCs w:val="24"/>
        </w:rPr>
      </w:pPr>
      <w:r>
        <w:rPr>
          <w:rFonts w:ascii="Times New Roman" w:hAnsi="Times New Roman" w:cs="Times New Roman"/>
          <w:sz w:val="24"/>
          <w:szCs w:val="24"/>
        </w:rPr>
        <w:t>Statistician</w:t>
      </w:r>
    </w:p>
    <w:p w:rsidR="001663FD" w:rsidRDefault="00402303" w:rsidP="00D72083">
      <w:pPr>
        <w:pStyle w:val="ListParagraph"/>
        <w:ind w:left="360"/>
        <w:rPr>
          <w:rFonts w:ascii="Times New Roman" w:hAnsi="Times New Roman" w:cs="Times New Roman"/>
          <w:sz w:val="24"/>
          <w:szCs w:val="24"/>
        </w:rPr>
      </w:pPr>
      <w:r>
        <w:t>&lt;</w:t>
      </w:r>
      <w:r w:rsidR="001663FD" w:rsidRPr="00402303">
        <w:rPr>
          <w:rFonts w:ascii="Times New Roman" w:hAnsi="Times New Roman" w:cs="Times New Roman"/>
          <w:sz w:val="24"/>
          <w:szCs w:val="24"/>
        </w:rPr>
        <w:t>cynthia.barnett-ryan@ic.fbi.gov</w:t>
      </w:r>
      <w:r>
        <w:rPr>
          <w:rFonts w:ascii="Times New Roman" w:hAnsi="Times New Roman" w:cs="Times New Roman"/>
          <w:sz w:val="24"/>
          <w:szCs w:val="24"/>
        </w:rPr>
        <w:t>&gt;</w:t>
      </w:r>
    </w:p>
    <w:p w:rsidR="001F1C00" w:rsidRDefault="001663FD" w:rsidP="001663FD">
      <w:pPr>
        <w:pStyle w:val="ListParagraph"/>
        <w:ind w:left="360"/>
        <w:rPr>
          <w:rFonts w:ascii="Times New Roman" w:hAnsi="Times New Roman" w:cs="Times New Roman"/>
          <w:sz w:val="24"/>
          <w:szCs w:val="24"/>
        </w:rPr>
      </w:pPr>
      <w:r>
        <w:rPr>
          <w:rFonts w:ascii="Times New Roman" w:hAnsi="Times New Roman" w:cs="Times New Roman"/>
          <w:sz w:val="24"/>
          <w:szCs w:val="24"/>
        </w:rPr>
        <w:t>(304) 625-3576</w:t>
      </w:r>
    </w:p>
    <w:p w:rsidR="001663FD" w:rsidRPr="001663FD" w:rsidRDefault="001663FD" w:rsidP="001663FD">
      <w:pPr>
        <w:pStyle w:val="ListParagraph"/>
        <w:ind w:left="360"/>
        <w:rPr>
          <w:rFonts w:ascii="Times New Roman" w:hAnsi="Times New Roman" w:cs="Times New Roman"/>
          <w:sz w:val="24"/>
          <w:szCs w:val="24"/>
        </w:rPr>
      </w:pPr>
    </w:p>
    <w:p w:rsidR="001F1C00" w:rsidRDefault="001F1C00" w:rsidP="00D72083">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Kristi </w:t>
      </w:r>
      <w:r w:rsidR="005E009B">
        <w:rPr>
          <w:rFonts w:ascii="Times New Roman" w:hAnsi="Times New Roman" w:cs="Times New Roman"/>
          <w:sz w:val="24"/>
          <w:szCs w:val="24"/>
        </w:rPr>
        <w:t xml:space="preserve">L. </w:t>
      </w:r>
      <w:r>
        <w:rPr>
          <w:rFonts w:ascii="Times New Roman" w:hAnsi="Times New Roman" w:cs="Times New Roman"/>
          <w:sz w:val="24"/>
          <w:szCs w:val="24"/>
        </w:rPr>
        <w:t>Donahue</w:t>
      </w:r>
    </w:p>
    <w:p w:rsidR="001F1C00" w:rsidRDefault="001F1C00" w:rsidP="00D72083">
      <w:pPr>
        <w:pStyle w:val="ListParagraph"/>
        <w:ind w:left="360"/>
        <w:rPr>
          <w:rFonts w:ascii="Times New Roman" w:hAnsi="Times New Roman" w:cs="Times New Roman"/>
          <w:sz w:val="24"/>
          <w:szCs w:val="24"/>
        </w:rPr>
      </w:pPr>
      <w:r>
        <w:rPr>
          <w:rFonts w:ascii="Times New Roman" w:hAnsi="Times New Roman" w:cs="Times New Roman"/>
          <w:sz w:val="24"/>
          <w:szCs w:val="24"/>
        </w:rPr>
        <w:t>Management/Program Analyst</w:t>
      </w:r>
    </w:p>
    <w:p w:rsidR="001F1C00" w:rsidRDefault="00402303" w:rsidP="00D72083">
      <w:pPr>
        <w:pStyle w:val="ListParagraph"/>
        <w:ind w:left="360"/>
        <w:rPr>
          <w:rFonts w:ascii="Times New Roman" w:hAnsi="Times New Roman" w:cs="Times New Roman"/>
          <w:sz w:val="24"/>
          <w:szCs w:val="24"/>
        </w:rPr>
      </w:pPr>
      <w:r>
        <w:t>&lt;</w:t>
      </w:r>
      <w:r w:rsidR="001F1C00" w:rsidRPr="00402303">
        <w:rPr>
          <w:rFonts w:ascii="Times New Roman" w:hAnsi="Times New Roman" w:cs="Times New Roman"/>
          <w:sz w:val="24"/>
          <w:szCs w:val="24"/>
        </w:rPr>
        <w:t>kristi.donahue@ic.fbi.gov</w:t>
      </w:r>
      <w:r>
        <w:rPr>
          <w:rFonts w:ascii="Times New Roman" w:hAnsi="Times New Roman" w:cs="Times New Roman"/>
          <w:sz w:val="24"/>
          <w:szCs w:val="24"/>
        </w:rPr>
        <w:t>&gt;</w:t>
      </w:r>
    </w:p>
    <w:p w:rsidR="001F1C00" w:rsidRDefault="001F1C00" w:rsidP="00D72083">
      <w:pPr>
        <w:pStyle w:val="ListParagraph"/>
        <w:ind w:left="360"/>
        <w:rPr>
          <w:rFonts w:ascii="Times New Roman" w:hAnsi="Times New Roman" w:cs="Times New Roman"/>
          <w:sz w:val="24"/>
          <w:szCs w:val="24"/>
        </w:rPr>
      </w:pPr>
      <w:r>
        <w:rPr>
          <w:rFonts w:ascii="Times New Roman" w:hAnsi="Times New Roman" w:cs="Times New Roman"/>
          <w:sz w:val="24"/>
          <w:szCs w:val="24"/>
        </w:rPr>
        <w:t>(304) 625-2972</w:t>
      </w:r>
    </w:p>
    <w:p w:rsidR="008C72B5" w:rsidRPr="00315D7E" w:rsidRDefault="008C72B5" w:rsidP="00315D7E">
      <w:pPr>
        <w:pStyle w:val="ListParagraph"/>
        <w:ind w:left="360"/>
        <w:rPr>
          <w:rFonts w:ascii="Times New Roman" w:hAnsi="Times New Roman" w:cs="Times New Roman"/>
          <w:sz w:val="24"/>
          <w:szCs w:val="24"/>
        </w:rPr>
      </w:pPr>
    </w:p>
    <w:sectPr w:rsidR="008C72B5" w:rsidRPr="00315D7E" w:rsidSect="003250E5">
      <w:footerReference w:type="default" r:id="rId8"/>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800" w:rsidRDefault="00FD4800" w:rsidP="00FD4800">
      <w:pPr>
        <w:spacing w:after="0" w:line="240" w:lineRule="auto"/>
      </w:pPr>
      <w:r>
        <w:separator/>
      </w:r>
    </w:p>
  </w:endnote>
  <w:endnote w:type="continuationSeparator" w:id="0">
    <w:p w:rsidR="00FD4800" w:rsidRDefault="00FD4800" w:rsidP="00FD4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527392"/>
      <w:docPartObj>
        <w:docPartGallery w:val="Page Numbers (Bottom of Page)"/>
        <w:docPartUnique/>
      </w:docPartObj>
    </w:sdtPr>
    <w:sdtEndPr>
      <w:rPr>
        <w:noProof/>
      </w:rPr>
    </w:sdtEndPr>
    <w:sdtContent>
      <w:p w:rsidR="007107CB" w:rsidRDefault="007107CB">
        <w:pPr>
          <w:pStyle w:val="Footer"/>
          <w:jc w:val="center"/>
        </w:pPr>
        <w:r>
          <w:fldChar w:fldCharType="begin"/>
        </w:r>
        <w:r>
          <w:instrText xml:space="preserve"> PAGE   \* MERGEFORMAT </w:instrText>
        </w:r>
        <w:r>
          <w:fldChar w:fldCharType="separate"/>
        </w:r>
        <w:r w:rsidR="000A3A34">
          <w:rPr>
            <w:noProof/>
          </w:rPr>
          <w:t>13</w:t>
        </w:r>
        <w:r>
          <w:rPr>
            <w:noProof/>
          </w:rPr>
          <w:fldChar w:fldCharType="end"/>
        </w:r>
      </w:p>
    </w:sdtContent>
  </w:sdt>
  <w:p w:rsidR="00FD4800" w:rsidRDefault="00FD4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800" w:rsidRDefault="00FD4800" w:rsidP="00FD4800">
      <w:pPr>
        <w:spacing w:after="0" w:line="240" w:lineRule="auto"/>
      </w:pPr>
      <w:r>
        <w:separator/>
      </w:r>
    </w:p>
  </w:footnote>
  <w:footnote w:type="continuationSeparator" w:id="0">
    <w:p w:rsidR="00FD4800" w:rsidRDefault="00FD4800" w:rsidP="00FD48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E5F33"/>
    <w:multiLevelType w:val="hybridMultilevel"/>
    <w:tmpl w:val="CC462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D7151"/>
    <w:multiLevelType w:val="hybridMultilevel"/>
    <w:tmpl w:val="1C8C65A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52"/>
    <w:rsid w:val="00017296"/>
    <w:rsid w:val="00075D65"/>
    <w:rsid w:val="00076204"/>
    <w:rsid w:val="000A3A34"/>
    <w:rsid w:val="00105CFB"/>
    <w:rsid w:val="0011082B"/>
    <w:rsid w:val="00117D9F"/>
    <w:rsid w:val="0012263B"/>
    <w:rsid w:val="00126F1F"/>
    <w:rsid w:val="00131DAE"/>
    <w:rsid w:val="00137CE7"/>
    <w:rsid w:val="00140437"/>
    <w:rsid w:val="00151D29"/>
    <w:rsid w:val="001663FD"/>
    <w:rsid w:val="00176AE9"/>
    <w:rsid w:val="001A1D12"/>
    <w:rsid w:val="001F1C00"/>
    <w:rsid w:val="0024565C"/>
    <w:rsid w:val="00310E87"/>
    <w:rsid w:val="00315D7E"/>
    <w:rsid w:val="003250E5"/>
    <w:rsid w:val="00354CAD"/>
    <w:rsid w:val="003A5EDF"/>
    <w:rsid w:val="003F5CAD"/>
    <w:rsid w:val="00402303"/>
    <w:rsid w:val="00445073"/>
    <w:rsid w:val="0046148B"/>
    <w:rsid w:val="004C0F47"/>
    <w:rsid w:val="004E4FF8"/>
    <w:rsid w:val="00573297"/>
    <w:rsid w:val="0057561B"/>
    <w:rsid w:val="0059485A"/>
    <w:rsid w:val="005E009B"/>
    <w:rsid w:val="006606C3"/>
    <w:rsid w:val="006B6DEF"/>
    <w:rsid w:val="007107CB"/>
    <w:rsid w:val="00737445"/>
    <w:rsid w:val="00825092"/>
    <w:rsid w:val="00843FA6"/>
    <w:rsid w:val="008C72B5"/>
    <w:rsid w:val="008D0FA6"/>
    <w:rsid w:val="00912EC4"/>
    <w:rsid w:val="00951EDE"/>
    <w:rsid w:val="009B79FE"/>
    <w:rsid w:val="00AA06DC"/>
    <w:rsid w:val="00AC5BC9"/>
    <w:rsid w:val="00BA0127"/>
    <w:rsid w:val="00BC106C"/>
    <w:rsid w:val="00BF79B2"/>
    <w:rsid w:val="00C55D60"/>
    <w:rsid w:val="00C60057"/>
    <w:rsid w:val="00CC764B"/>
    <w:rsid w:val="00D35C85"/>
    <w:rsid w:val="00D51E30"/>
    <w:rsid w:val="00D72083"/>
    <w:rsid w:val="00DD6A7E"/>
    <w:rsid w:val="00E16267"/>
    <w:rsid w:val="00E70DBE"/>
    <w:rsid w:val="00EC1727"/>
    <w:rsid w:val="00EC4543"/>
    <w:rsid w:val="00EE6A4D"/>
    <w:rsid w:val="00F850B1"/>
    <w:rsid w:val="00FB3752"/>
    <w:rsid w:val="00FC110C"/>
    <w:rsid w:val="00FD4800"/>
    <w:rsid w:val="00FE4001"/>
    <w:rsid w:val="00FF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C18EC-1554-40A4-8D8B-B8ADFF89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752"/>
    <w:pPr>
      <w:ind w:left="720"/>
      <w:contextualSpacing/>
    </w:pPr>
  </w:style>
  <w:style w:type="character" w:styleId="Hyperlink">
    <w:name w:val="Hyperlink"/>
    <w:basedOn w:val="DefaultParagraphFont"/>
    <w:uiPriority w:val="99"/>
    <w:unhideWhenUsed/>
    <w:rsid w:val="00D72083"/>
    <w:rPr>
      <w:color w:val="0563C1" w:themeColor="hyperlink"/>
      <w:u w:val="single"/>
    </w:rPr>
  </w:style>
  <w:style w:type="paragraph" w:styleId="Header">
    <w:name w:val="header"/>
    <w:basedOn w:val="Normal"/>
    <w:link w:val="HeaderChar"/>
    <w:uiPriority w:val="99"/>
    <w:unhideWhenUsed/>
    <w:rsid w:val="00FD4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800"/>
  </w:style>
  <w:style w:type="paragraph" w:styleId="Footer">
    <w:name w:val="footer"/>
    <w:basedOn w:val="Normal"/>
    <w:link w:val="FooterChar"/>
    <w:uiPriority w:val="99"/>
    <w:unhideWhenUsed/>
    <w:rsid w:val="00FD4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800"/>
  </w:style>
  <w:style w:type="paragraph" w:styleId="BalloonText">
    <w:name w:val="Balloon Text"/>
    <w:basedOn w:val="Normal"/>
    <w:link w:val="BalloonTextChar"/>
    <w:uiPriority w:val="99"/>
    <w:semiHidden/>
    <w:unhideWhenUsed/>
    <w:rsid w:val="00710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CB"/>
    <w:rPr>
      <w:rFonts w:ascii="Segoe UI" w:hAnsi="Segoe UI" w:cs="Segoe UI"/>
      <w:sz w:val="18"/>
      <w:szCs w:val="18"/>
    </w:rPr>
  </w:style>
  <w:style w:type="table" w:styleId="TableGrid">
    <w:name w:val="Table Grid"/>
    <w:basedOn w:val="TableNormal"/>
    <w:uiPriority w:val="39"/>
    <w:rsid w:val="0013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02108-532C-4F90-AE7F-44DC8E8C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10764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Donahue, Kristi L</dc:creator>
  <cp:keywords/>
  <dc:description/>
  <cp:lastModifiedBy>Donahue, Kristi L. (CJIS) (FBI)</cp:lastModifiedBy>
  <cp:revision>3</cp:revision>
  <cp:lastPrinted>2017-02-24T21:24:00Z</cp:lastPrinted>
  <dcterms:created xsi:type="dcterms:W3CDTF">2017-04-28T15:11:00Z</dcterms:created>
  <dcterms:modified xsi:type="dcterms:W3CDTF">2017-04-28T15:29:00Z</dcterms:modified>
</cp:coreProperties>
</file>