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37" w:rsidRPr="00B051D2" w:rsidRDefault="000C153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Supporting Statement for Paperwork Reduction Act Submissions</w:t>
      </w:r>
    </w:p>
    <w:p w:rsidR="001A64B0" w:rsidRPr="00B051D2" w:rsidRDefault="001A64B0"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Controlled Substance</w:t>
      </w:r>
      <w:r w:rsidR="000936D4" w:rsidRPr="00B051D2">
        <w:rPr>
          <w:rFonts w:ascii="Times New Roman" w:hAnsi="Times New Roman"/>
          <w:b/>
          <w:noProof w:val="0"/>
          <w:sz w:val="24"/>
        </w:rPr>
        <w:t>s</w:t>
      </w:r>
      <w:r w:rsidR="00460751" w:rsidRPr="00B051D2">
        <w:rPr>
          <w:rFonts w:ascii="Times New Roman" w:hAnsi="Times New Roman"/>
          <w:b/>
          <w:noProof w:val="0"/>
          <w:sz w:val="24"/>
        </w:rPr>
        <w:t xml:space="preserve"> </w:t>
      </w:r>
      <w:r w:rsidR="000936D4" w:rsidRPr="00B051D2">
        <w:rPr>
          <w:rFonts w:ascii="Times New Roman" w:hAnsi="Times New Roman"/>
          <w:b/>
          <w:noProof w:val="0"/>
          <w:sz w:val="24"/>
        </w:rPr>
        <w:t>Import/Export Declaration</w:t>
      </w:r>
    </w:p>
    <w:p w:rsidR="000936D4" w:rsidRPr="00B051D2" w:rsidRDefault="000936D4"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DEA Form 236</w:t>
      </w:r>
    </w:p>
    <w:p w:rsidR="001A64B0" w:rsidRDefault="001A64B0"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 xml:space="preserve">OMB </w:t>
      </w:r>
      <w:r w:rsidR="004A0B75" w:rsidRPr="00B051D2">
        <w:rPr>
          <w:rFonts w:ascii="Times New Roman" w:hAnsi="Times New Roman"/>
          <w:b/>
          <w:noProof w:val="0"/>
          <w:sz w:val="24"/>
        </w:rPr>
        <w:t xml:space="preserve">Approval </w:t>
      </w:r>
      <w:r w:rsidRPr="00B051D2">
        <w:rPr>
          <w:rFonts w:ascii="Times New Roman" w:hAnsi="Times New Roman"/>
          <w:b/>
          <w:noProof w:val="0"/>
          <w:sz w:val="24"/>
        </w:rPr>
        <w:t># 1117-000</w:t>
      </w:r>
      <w:r w:rsidR="000936D4" w:rsidRPr="00B051D2">
        <w:rPr>
          <w:rFonts w:ascii="Times New Roman" w:hAnsi="Times New Roman"/>
          <w:b/>
          <w:noProof w:val="0"/>
          <w:sz w:val="24"/>
        </w:rPr>
        <w:t>9</w:t>
      </w:r>
    </w:p>
    <w:p w:rsidR="00B051D2" w:rsidRDefault="00B051D2"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p>
    <w:p w:rsidR="00B051D2" w:rsidRPr="00B051D2" w:rsidRDefault="00B051D2" w:rsidP="00B051D2">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The Drug Enforcement Administration (DEA) seeks</w:t>
      </w:r>
      <w:r w:rsidR="00653989">
        <w:rPr>
          <w:rFonts w:ascii="Times New Roman" w:hAnsi="Times New Roman"/>
          <w:noProof w:val="0"/>
          <w:sz w:val="24"/>
        </w:rPr>
        <w:t xml:space="preserve"> approval by</w:t>
      </w:r>
      <w:r>
        <w:rPr>
          <w:rFonts w:ascii="Times New Roman" w:hAnsi="Times New Roman"/>
          <w:noProof w:val="0"/>
          <w:sz w:val="24"/>
        </w:rPr>
        <w:t xml:space="preserve"> </w:t>
      </w:r>
      <w:r w:rsidR="009151B2">
        <w:rPr>
          <w:rFonts w:ascii="Times New Roman" w:hAnsi="Times New Roman"/>
          <w:noProof w:val="0"/>
          <w:sz w:val="24"/>
        </w:rPr>
        <w:t xml:space="preserve">the </w:t>
      </w:r>
      <w:r>
        <w:rPr>
          <w:rFonts w:ascii="Times New Roman" w:hAnsi="Times New Roman"/>
          <w:noProof w:val="0"/>
          <w:sz w:val="24"/>
        </w:rPr>
        <w:t xml:space="preserve">Office of Management and Budget (OMB) </w:t>
      </w:r>
      <w:r w:rsidR="00653989">
        <w:rPr>
          <w:rFonts w:ascii="Times New Roman" w:hAnsi="Times New Roman"/>
          <w:noProof w:val="0"/>
          <w:sz w:val="24"/>
        </w:rPr>
        <w:t xml:space="preserve">for a revision of an </w:t>
      </w:r>
      <w:r>
        <w:rPr>
          <w:rFonts w:ascii="Times New Roman" w:hAnsi="Times New Roman"/>
          <w:noProof w:val="0"/>
          <w:sz w:val="24"/>
        </w:rPr>
        <w:t>existing collection of information that was previously approved by OMB</w:t>
      </w:r>
      <w:r w:rsidR="00FB41E0">
        <w:rPr>
          <w:rFonts w:ascii="Times New Roman" w:hAnsi="Times New Roman"/>
          <w:noProof w:val="0"/>
          <w:sz w:val="24"/>
        </w:rPr>
        <w:t xml:space="preserve"> </w:t>
      </w:r>
      <w:r w:rsidR="00FB41E0" w:rsidRPr="00FB41E0">
        <w:rPr>
          <w:rFonts w:ascii="Times New Roman" w:hAnsi="Times New Roman"/>
          <w:noProof w:val="0"/>
          <w:sz w:val="24"/>
        </w:rPr>
        <w:t xml:space="preserve">– </w:t>
      </w:r>
      <w:r>
        <w:rPr>
          <w:rFonts w:ascii="Times New Roman" w:hAnsi="Times New Roman"/>
          <w:noProof w:val="0"/>
          <w:sz w:val="24"/>
        </w:rPr>
        <w:t xml:space="preserve">OMB Approval </w:t>
      </w:r>
      <w:r w:rsidR="00A92142">
        <w:rPr>
          <w:rFonts w:ascii="Times New Roman" w:hAnsi="Times New Roman"/>
          <w:noProof w:val="0"/>
          <w:sz w:val="24"/>
        </w:rPr>
        <w:t>#</w:t>
      </w:r>
      <w:r>
        <w:rPr>
          <w:rFonts w:ascii="Times New Roman" w:hAnsi="Times New Roman"/>
          <w:noProof w:val="0"/>
          <w:sz w:val="24"/>
        </w:rPr>
        <w:t xml:space="preserve"> 1117-0009, Controlled Substances Import/Export Declaration, DEA Form 236</w:t>
      </w:r>
      <w:r w:rsidR="00403678">
        <w:rPr>
          <w:rFonts w:ascii="Times New Roman" w:hAnsi="Times New Roman"/>
          <w:noProof w:val="0"/>
          <w:sz w:val="24"/>
        </w:rPr>
        <w:t>.</w:t>
      </w:r>
    </w:p>
    <w:p w:rsidR="000C1537" w:rsidRPr="00B051D2" w:rsidRDefault="000C1537"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p>
    <w:p w:rsidR="000C1537" w:rsidRPr="00B051D2"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r w:rsidRPr="00B051D2">
        <w:rPr>
          <w:rFonts w:ascii="Times New Roman" w:hAnsi="Times New Roman"/>
          <w:b/>
          <w:noProof w:val="0"/>
          <w:sz w:val="24"/>
        </w:rPr>
        <w:t xml:space="preserve">Part </w:t>
      </w:r>
      <w:r w:rsidR="000C1537" w:rsidRPr="00B051D2">
        <w:rPr>
          <w:rFonts w:ascii="Times New Roman" w:hAnsi="Times New Roman"/>
          <w:b/>
          <w:noProof w:val="0"/>
          <w:sz w:val="24"/>
        </w:rPr>
        <w:t xml:space="preserve">A. </w:t>
      </w:r>
      <w:r w:rsidR="00D52432">
        <w:rPr>
          <w:rFonts w:ascii="Times New Roman" w:hAnsi="Times New Roman"/>
          <w:b/>
          <w:noProof w:val="0"/>
          <w:sz w:val="24"/>
        </w:rPr>
        <w:t>Justification</w:t>
      </w:r>
      <w:r w:rsidR="00B051D2" w:rsidRPr="00B051D2">
        <w:rPr>
          <w:rFonts w:ascii="Times New Roman" w:hAnsi="Times New Roman"/>
          <w:b/>
          <w:noProof w:val="0"/>
          <w:sz w:val="24"/>
        </w:rPr>
        <w:t xml:space="preserve"> </w:t>
      </w:r>
    </w:p>
    <w:p w:rsidR="001A64B0"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1.</w:t>
      </w:r>
      <w:r w:rsidR="00477399">
        <w:rPr>
          <w:rFonts w:ascii="Times New Roman" w:hAnsi="Times New Roman"/>
          <w:noProof w:val="0"/>
          <w:sz w:val="24"/>
        </w:rPr>
        <w:t xml:space="preserve"> </w:t>
      </w:r>
      <w:r>
        <w:rPr>
          <w:rFonts w:ascii="Times New Roman" w:hAnsi="Times New Roman"/>
          <w:noProof w:val="0"/>
          <w:sz w:val="24"/>
        </w:rPr>
        <w:t xml:space="preserve"> </w:t>
      </w:r>
      <w:r w:rsidR="004202AA" w:rsidRPr="00B051D2">
        <w:rPr>
          <w:rFonts w:ascii="Times New Roman" w:hAnsi="Times New Roman"/>
          <w:noProof w:val="0"/>
          <w:sz w:val="24"/>
          <w:u w:val="single"/>
        </w:rPr>
        <w:t>Necessity of Information:</w:t>
      </w:r>
    </w:p>
    <w:p w:rsidR="001A64B0" w:rsidRDefault="001A64B0" w:rsidP="001A64B0">
      <w:pPr>
        <w:jc w:val="both"/>
        <w:rPr>
          <w:rFonts w:ascii="Times New Roman" w:hAnsi="Times New Roman"/>
          <w:noProof w:val="0"/>
          <w:sz w:val="24"/>
        </w:rPr>
      </w:pPr>
    </w:p>
    <w:p w:rsidR="00072531" w:rsidRDefault="008E1FB0" w:rsidP="001A6B52">
      <w:pPr>
        <w:rPr>
          <w:rFonts w:ascii="Times New Roman" w:hAnsi="Times New Roman"/>
          <w:sz w:val="24"/>
          <w:szCs w:val="24"/>
        </w:rPr>
      </w:pPr>
      <w:r>
        <w:rPr>
          <w:rFonts w:ascii="Times New Roman" w:hAnsi="Times New Roman"/>
          <w:sz w:val="24"/>
          <w:szCs w:val="24"/>
        </w:rPr>
        <w:t>DEA Form 236 provides the DEA with oversight and control over the importation and exportation of controlled substances.  21 CFR part 1312,</w:t>
      </w:r>
      <w:r w:rsidR="000936D4" w:rsidRPr="000936D4">
        <w:rPr>
          <w:rFonts w:ascii="Times New Roman" w:hAnsi="Times New Roman"/>
          <w:sz w:val="24"/>
          <w:szCs w:val="24"/>
        </w:rPr>
        <w:t xml:space="preserve"> promulgated </w:t>
      </w:r>
      <w:r>
        <w:rPr>
          <w:rFonts w:ascii="Times New Roman" w:hAnsi="Times New Roman"/>
          <w:sz w:val="24"/>
          <w:szCs w:val="24"/>
        </w:rPr>
        <w:t>pursuant to</w:t>
      </w:r>
      <w:r w:rsidR="000936D4" w:rsidRPr="000936D4">
        <w:rPr>
          <w:rFonts w:ascii="Times New Roman" w:hAnsi="Times New Roman"/>
          <w:sz w:val="24"/>
          <w:szCs w:val="24"/>
        </w:rPr>
        <w:t xml:space="preserve"> </w:t>
      </w:r>
      <w:r w:rsidR="001A6B52">
        <w:rPr>
          <w:rFonts w:ascii="Times New Roman" w:hAnsi="Times New Roman"/>
          <w:sz w:val="24"/>
          <w:szCs w:val="24"/>
        </w:rPr>
        <w:t xml:space="preserve">        </w:t>
      </w:r>
      <w:r w:rsidR="000936D4" w:rsidRPr="000936D4">
        <w:rPr>
          <w:rFonts w:ascii="Times New Roman" w:hAnsi="Times New Roman"/>
          <w:sz w:val="24"/>
          <w:szCs w:val="24"/>
        </w:rPr>
        <w:t>21 U.S.C. 952 and 21 U.S.C. 953, require</w:t>
      </w:r>
      <w:r w:rsidR="009151B2">
        <w:rPr>
          <w:rFonts w:ascii="Times New Roman" w:hAnsi="Times New Roman"/>
          <w:sz w:val="24"/>
          <w:szCs w:val="24"/>
        </w:rPr>
        <w:t>s</w:t>
      </w:r>
      <w:r w:rsidR="000936D4" w:rsidRPr="000936D4">
        <w:rPr>
          <w:rFonts w:ascii="Times New Roman" w:hAnsi="Times New Roman"/>
          <w:sz w:val="24"/>
          <w:szCs w:val="24"/>
        </w:rPr>
        <w:t xml:space="preserve"> registrants </w:t>
      </w:r>
      <w:r w:rsidR="009151B2">
        <w:rPr>
          <w:rFonts w:ascii="Times New Roman" w:hAnsi="Times New Roman"/>
          <w:sz w:val="24"/>
          <w:szCs w:val="24"/>
        </w:rPr>
        <w:t>who desire</w:t>
      </w:r>
      <w:r w:rsidR="000936D4" w:rsidRPr="000936D4">
        <w:rPr>
          <w:rFonts w:ascii="Times New Roman" w:hAnsi="Times New Roman"/>
          <w:sz w:val="24"/>
          <w:szCs w:val="24"/>
        </w:rPr>
        <w:t xml:space="preserve"> to import non-narcotic substances in Schedules III, IV, and V or to export non-narcotic substances in Schedules III and IV and any other substance in Schedule V</w:t>
      </w:r>
      <w:r w:rsidR="001A6B52">
        <w:rPr>
          <w:rFonts w:ascii="Times New Roman" w:hAnsi="Times New Roman"/>
          <w:sz w:val="24"/>
          <w:szCs w:val="24"/>
        </w:rPr>
        <w:t>,</w:t>
      </w:r>
      <w:r w:rsidR="000936D4" w:rsidRPr="000936D4">
        <w:rPr>
          <w:rFonts w:ascii="Times New Roman" w:hAnsi="Times New Roman"/>
          <w:sz w:val="24"/>
          <w:szCs w:val="24"/>
        </w:rPr>
        <w:t xml:space="preserve"> to furnish a controlled substances import declaration/controlled substances exp</w:t>
      </w:r>
      <w:r w:rsidR="00697EC4">
        <w:rPr>
          <w:rFonts w:ascii="Times New Roman" w:hAnsi="Times New Roman"/>
          <w:sz w:val="24"/>
          <w:szCs w:val="24"/>
        </w:rPr>
        <w:t>ort invoice on a DEA Form 236</w:t>
      </w:r>
      <w:r w:rsidR="00F83073">
        <w:rPr>
          <w:rFonts w:ascii="Times New Roman" w:hAnsi="Times New Roman"/>
          <w:sz w:val="24"/>
          <w:szCs w:val="24"/>
        </w:rPr>
        <w:t xml:space="preserve"> (if those activities are not otherwise subject to import/export permit requirements)</w:t>
      </w:r>
      <w:r w:rsidR="00697EC4">
        <w:rPr>
          <w:rFonts w:ascii="Times New Roman" w:hAnsi="Times New Roman"/>
          <w:sz w:val="24"/>
          <w:szCs w:val="24"/>
        </w:rPr>
        <w:t xml:space="preserve">.  </w:t>
      </w:r>
      <w:r w:rsidR="000936D4" w:rsidRPr="000936D4">
        <w:rPr>
          <w:rFonts w:ascii="Times New Roman" w:hAnsi="Times New Roman"/>
          <w:sz w:val="24"/>
          <w:szCs w:val="24"/>
        </w:rPr>
        <w:t xml:space="preserve">In addition, </w:t>
      </w:r>
      <w:r w:rsidR="005A0509" w:rsidRPr="000936D4">
        <w:rPr>
          <w:rFonts w:ascii="Times New Roman" w:hAnsi="Times New Roman"/>
          <w:sz w:val="24"/>
          <w:szCs w:val="24"/>
        </w:rPr>
        <w:t xml:space="preserve">Article 12 of </w:t>
      </w:r>
      <w:r w:rsidR="000936D4" w:rsidRPr="000936D4">
        <w:rPr>
          <w:rFonts w:ascii="Times New Roman" w:hAnsi="Times New Roman"/>
          <w:sz w:val="24"/>
          <w:szCs w:val="24"/>
        </w:rPr>
        <w:t xml:space="preserve"> the Convention on </w:t>
      </w:r>
      <w:r w:rsidR="00697EC4">
        <w:rPr>
          <w:rFonts w:ascii="Times New Roman" w:hAnsi="Times New Roman"/>
          <w:sz w:val="24"/>
          <w:szCs w:val="24"/>
        </w:rPr>
        <w:t>Psychotropic Substances</w:t>
      </w:r>
      <w:r w:rsidR="001A6B52">
        <w:rPr>
          <w:rFonts w:ascii="Times New Roman" w:hAnsi="Times New Roman"/>
          <w:sz w:val="24"/>
          <w:szCs w:val="24"/>
        </w:rPr>
        <w:t xml:space="preserve"> of 1971</w:t>
      </w:r>
      <w:r w:rsidR="00E55C83">
        <w:rPr>
          <w:rFonts w:ascii="Times New Roman" w:hAnsi="Times New Roman"/>
          <w:sz w:val="24"/>
          <w:szCs w:val="24"/>
        </w:rPr>
        <w:t xml:space="preserve"> (Convention) </w:t>
      </w:r>
      <w:r w:rsidR="00C76348">
        <w:rPr>
          <w:rFonts w:ascii="Times New Roman" w:hAnsi="Times New Roman"/>
          <w:sz w:val="24"/>
          <w:szCs w:val="24"/>
        </w:rPr>
        <w:t>requires</w:t>
      </w:r>
      <w:r w:rsidR="000936D4" w:rsidRPr="000936D4">
        <w:rPr>
          <w:rFonts w:ascii="Times New Roman" w:hAnsi="Times New Roman"/>
          <w:sz w:val="24"/>
          <w:szCs w:val="24"/>
        </w:rPr>
        <w:t xml:space="preserve"> a system of export declarations for certain </w:t>
      </w:r>
      <w:r w:rsidR="005A0509">
        <w:rPr>
          <w:rFonts w:ascii="Times New Roman" w:hAnsi="Times New Roman"/>
          <w:sz w:val="24"/>
          <w:szCs w:val="24"/>
        </w:rPr>
        <w:t>substances</w:t>
      </w:r>
      <w:r w:rsidR="00533EAF">
        <w:rPr>
          <w:rFonts w:ascii="Times New Roman" w:hAnsi="Times New Roman"/>
          <w:sz w:val="24"/>
          <w:szCs w:val="24"/>
        </w:rPr>
        <w:t xml:space="preserve"> </w:t>
      </w:r>
      <w:r w:rsidR="000936D4" w:rsidRPr="000936D4">
        <w:rPr>
          <w:rFonts w:ascii="Times New Roman" w:hAnsi="Times New Roman"/>
          <w:sz w:val="24"/>
          <w:szCs w:val="24"/>
        </w:rPr>
        <w:t>controlled under the Convention.</w:t>
      </w:r>
    </w:p>
    <w:p w:rsidR="00C64283" w:rsidRDefault="00C64283" w:rsidP="001A6B52">
      <w:pPr>
        <w:rPr>
          <w:rFonts w:ascii="Times New Roman" w:hAnsi="Times New Roman"/>
          <w:sz w:val="24"/>
          <w:szCs w:val="24"/>
        </w:rPr>
      </w:pPr>
    </w:p>
    <w:p w:rsidR="00C64283" w:rsidRPr="00C64283" w:rsidRDefault="007757EF" w:rsidP="00C64283">
      <w:pPr>
        <w:rPr>
          <w:rFonts w:ascii="Times New Roman" w:hAnsi="Times New Roman"/>
          <w:noProof w:val="0"/>
          <w:sz w:val="24"/>
          <w:szCs w:val="24"/>
        </w:rPr>
      </w:pPr>
      <w:r>
        <w:rPr>
          <w:rFonts w:ascii="Times New Roman" w:hAnsi="Times New Roman"/>
          <w:noProof w:val="0"/>
          <w:sz w:val="24"/>
          <w:szCs w:val="24"/>
        </w:rPr>
        <w:t>As pa</w:t>
      </w:r>
      <w:r w:rsidR="0069223A">
        <w:rPr>
          <w:rFonts w:ascii="Times New Roman" w:hAnsi="Times New Roman"/>
          <w:noProof w:val="0"/>
          <w:sz w:val="24"/>
          <w:szCs w:val="24"/>
        </w:rPr>
        <w:t>rt of the implementation of</w:t>
      </w:r>
      <w:r w:rsidR="00DD4067">
        <w:rPr>
          <w:rFonts w:ascii="Times New Roman" w:hAnsi="Times New Roman"/>
          <w:noProof w:val="0"/>
          <w:sz w:val="24"/>
          <w:szCs w:val="24"/>
        </w:rPr>
        <w:t xml:space="preserve"> the International Trade Data System</w:t>
      </w:r>
      <w:r w:rsidR="0069223A">
        <w:rPr>
          <w:rFonts w:ascii="Times New Roman" w:hAnsi="Times New Roman"/>
          <w:noProof w:val="0"/>
          <w:sz w:val="24"/>
          <w:szCs w:val="24"/>
        </w:rPr>
        <w:t xml:space="preserve"> </w:t>
      </w:r>
      <w:r w:rsidR="00DD4067">
        <w:rPr>
          <w:rFonts w:ascii="Times New Roman" w:hAnsi="Times New Roman"/>
          <w:noProof w:val="0"/>
          <w:sz w:val="24"/>
          <w:szCs w:val="24"/>
        </w:rPr>
        <w:t>(</w:t>
      </w:r>
      <w:r w:rsidR="0069223A">
        <w:rPr>
          <w:rFonts w:ascii="Times New Roman" w:hAnsi="Times New Roman"/>
          <w:noProof w:val="0"/>
          <w:sz w:val="24"/>
          <w:szCs w:val="24"/>
        </w:rPr>
        <w:t>ITDS</w:t>
      </w:r>
      <w:r w:rsidR="00DD4067">
        <w:rPr>
          <w:rFonts w:ascii="Times New Roman" w:hAnsi="Times New Roman"/>
          <w:noProof w:val="0"/>
          <w:sz w:val="24"/>
          <w:szCs w:val="24"/>
        </w:rPr>
        <w:t>)</w:t>
      </w:r>
      <w:r>
        <w:rPr>
          <w:rFonts w:ascii="Times New Roman" w:hAnsi="Times New Roman"/>
          <w:noProof w:val="0"/>
          <w:sz w:val="24"/>
          <w:szCs w:val="24"/>
        </w:rPr>
        <w:t xml:space="preserve">, </w:t>
      </w:r>
      <w:r w:rsidR="00DD4067">
        <w:rPr>
          <w:rFonts w:ascii="Times New Roman" w:hAnsi="Times New Roman"/>
          <w:noProof w:val="0"/>
          <w:sz w:val="24"/>
          <w:szCs w:val="24"/>
        </w:rPr>
        <w:t>t</w:t>
      </w:r>
      <w:r w:rsidR="00C64283" w:rsidRPr="00C64283">
        <w:rPr>
          <w:rFonts w:ascii="Times New Roman" w:hAnsi="Times New Roman"/>
          <w:noProof w:val="0"/>
          <w:sz w:val="24"/>
          <w:szCs w:val="24"/>
        </w:rPr>
        <w:t xml:space="preserve">he DEA </w:t>
      </w:r>
      <w:r w:rsidR="00267EB7">
        <w:rPr>
          <w:rFonts w:ascii="Times New Roman" w:hAnsi="Times New Roman"/>
          <w:noProof w:val="0"/>
          <w:sz w:val="24"/>
          <w:szCs w:val="24"/>
        </w:rPr>
        <w:t xml:space="preserve">is </w:t>
      </w:r>
      <w:r>
        <w:rPr>
          <w:rFonts w:ascii="Times New Roman" w:hAnsi="Times New Roman"/>
          <w:noProof w:val="0"/>
          <w:sz w:val="24"/>
          <w:szCs w:val="24"/>
        </w:rPr>
        <w:t>mandating electronic</w:t>
      </w:r>
      <w:r w:rsidR="00C64283" w:rsidRPr="00C64283">
        <w:rPr>
          <w:rFonts w:ascii="Times New Roman" w:hAnsi="Times New Roman"/>
          <w:noProof w:val="0"/>
          <w:sz w:val="24"/>
          <w:szCs w:val="24"/>
        </w:rPr>
        <w:t xml:space="preserve"> filing of return information for any person who desires to import non-narcotic substances in schedules III, IV, and V or to export non-narcotic substances in schedules III and IV and any other substance in schedule V, to furnish a controlled substances import declaration/controlled substance export invoice on a DEA Form 236.  </w:t>
      </w:r>
    </w:p>
    <w:p w:rsidR="001A64B0" w:rsidRDefault="001A64B0" w:rsidP="001A64B0">
      <w:pPr>
        <w:jc w:val="both"/>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2. </w:t>
      </w:r>
      <w:r w:rsidR="00477399">
        <w:rPr>
          <w:rFonts w:ascii="Times New Roman" w:hAnsi="Times New Roman"/>
          <w:noProof w:val="0"/>
          <w:sz w:val="24"/>
        </w:rPr>
        <w:t xml:space="preserve"> </w:t>
      </w:r>
      <w:r w:rsidR="004202AA" w:rsidRPr="00B051D2">
        <w:rPr>
          <w:rFonts w:ascii="Times New Roman" w:hAnsi="Times New Roman"/>
          <w:noProof w:val="0"/>
          <w:sz w:val="24"/>
          <w:u w:val="single"/>
        </w:rPr>
        <w:t>Needs and Uses:</w:t>
      </w:r>
    </w:p>
    <w:p w:rsidR="001A64B0" w:rsidRDefault="001A64B0" w:rsidP="001A64B0">
      <w:pPr>
        <w:rPr>
          <w:rFonts w:ascii="Times New Roman" w:hAnsi="Times New Roman"/>
          <w:noProof w:val="0"/>
          <w:sz w:val="24"/>
        </w:rPr>
      </w:pPr>
    </w:p>
    <w:p w:rsidR="00072531" w:rsidRDefault="000936D4" w:rsidP="001A64B0">
      <w:pPr>
        <w:rPr>
          <w:rFonts w:ascii="Times New Roman" w:hAnsi="Times New Roman"/>
          <w:sz w:val="24"/>
          <w:szCs w:val="24"/>
        </w:rPr>
      </w:pPr>
      <w:r w:rsidRPr="000936D4">
        <w:rPr>
          <w:rFonts w:ascii="Times New Roman" w:hAnsi="Times New Roman"/>
          <w:sz w:val="24"/>
          <w:szCs w:val="24"/>
        </w:rPr>
        <w:t xml:space="preserve">DEA Form 236 </w:t>
      </w:r>
      <w:r w:rsidR="00533EAF">
        <w:rPr>
          <w:rFonts w:ascii="Times New Roman" w:hAnsi="Times New Roman"/>
          <w:sz w:val="24"/>
          <w:szCs w:val="24"/>
        </w:rPr>
        <w:t>enables</w:t>
      </w:r>
      <w:r w:rsidRPr="000936D4">
        <w:rPr>
          <w:rFonts w:ascii="Times New Roman" w:hAnsi="Times New Roman"/>
          <w:sz w:val="24"/>
          <w:szCs w:val="24"/>
        </w:rPr>
        <w:t xml:space="preserve"> the </w:t>
      </w:r>
      <w:r w:rsidR="00FB41E0">
        <w:rPr>
          <w:rFonts w:ascii="Times New Roman" w:hAnsi="Times New Roman"/>
          <w:sz w:val="24"/>
          <w:szCs w:val="24"/>
        </w:rPr>
        <w:t>DEA</w:t>
      </w:r>
      <w:r w:rsidRPr="000936D4">
        <w:rPr>
          <w:rFonts w:ascii="Times New Roman" w:hAnsi="Times New Roman"/>
          <w:sz w:val="24"/>
          <w:szCs w:val="24"/>
        </w:rPr>
        <w:t xml:space="preserve"> </w:t>
      </w:r>
      <w:r w:rsidR="00E55C83">
        <w:rPr>
          <w:rFonts w:ascii="Times New Roman" w:hAnsi="Times New Roman"/>
          <w:sz w:val="24"/>
          <w:szCs w:val="24"/>
        </w:rPr>
        <w:t xml:space="preserve">to monitor and </w:t>
      </w:r>
      <w:r w:rsidRPr="000936D4">
        <w:rPr>
          <w:rFonts w:ascii="Times New Roman" w:hAnsi="Times New Roman"/>
          <w:sz w:val="24"/>
          <w:szCs w:val="24"/>
        </w:rPr>
        <w:t>control</w:t>
      </w:r>
      <w:r w:rsidR="00E55C83">
        <w:rPr>
          <w:rFonts w:ascii="Times New Roman" w:hAnsi="Times New Roman"/>
          <w:sz w:val="24"/>
          <w:szCs w:val="24"/>
        </w:rPr>
        <w:t xml:space="preserve"> </w:t>
      </w:r>
      <w:r w:rsidRPr="000936D4">
        <w:rPr>
          <w:rFonts w:ascii="Times New Roman" w:hAnsi="Times New Roman"/>
          <w:sz w:val="24"/>
          <w:szCs w:val="24"/>
        </w:rPr>
        <w:t>the importation and exportation of controlled substances.  Analysis of thes</w:t>
      </w:r>
      <w:r w:rsidR="00697EC4">
        <w:rPr>
          <w:rFonts w:ascii="Times New Roman" w:hAnsi="Times New Roman"/>
          <w:sz w:val="24"/>
          <w:szCs w:val="24"/>
        </w:rPr>
        <w:t>e documents provide</w:t>
      </w:r>
      <w:r w:rsidRPr="000936D4">
        <w:rPr>
          <w:rFonts w:ascii="Times New Roman" w:hAnsi="Times New Roman"/>
          <w:sz w:val="24"/>
          <w:szCs w:val="24"/>
        </w:rPr>
        <w:t xml:space="preserve"> </w:t>
      </w:r>
      <w:r w:rsidR="0059407C">
        <w:rPr>
          <w:rFonts w:ascii="Times New Roman" w:hAnsi="Times New Roman"/>
          <w:sz w:val="24"/>
          <w:szCs w:val="24"/>
        </w:rPr>
        <w:t xml:space="preserve">the </w:t>
      </w:r>
      <w:r w:rsidRPr="000936D4">
        <w:rPr>
          <w:rFonts w:ascii="Times New Roman" w:hAnsi="Times New Roman"/>
          <w:sz w:val="24"/>
          <w:szCs w:val="24"/>
        </w:rPr>
        <w:t xml:space="preserve">DEA with important intelligence regarding the international commerce in controlled substances and assists in the identification of suspected points of diversion.  In addition, the compiled data </w:t>
      </w:r>
      <w:r w:rsidR="00697EC4">
        <w:rPr>
          <w:rFonts w:ascii="Times New Roman" w:hAnsi="Times New Roman"/>
          <w:sz w:val="24"/>
          <w:szCs w:val="24"/>
        </w:rPr>
        <w:t>is</w:t>
      </w:r>
      <w:r w:rsidRPr="000936D4">
        <w:rPr>
          <w:rFonts w:ascii="Times New Roman" w:hAnsi="Times New Roman"/>
          <w:sz w:val="24"/>
          <w:szCs w:val="24"/>
        </w:rPr>
        <w:t xml:space="preserve"> reported to the International Narcotics Control Board (INCB) annually, as required by Article 16 of the Convention.  </w:t>
      </w:r>
      <w:r w:rsidR="007F1BC8">
        <w:rPr>
          <w:rFonts w:ascii="Times New Roman" w:hAnsi="Times New Roman"/>
          <w:sz w:val="24"/>
          <w:szCs w:val="24"/>
        </w:rPr>
        <w:t>F</w:t>
      </w:r>
      <w:r w:rsidRPr="000936D4">
        <w:rPr>
          <w:rFonts w:ascii="Times New Roman" w:hAnsi="Times New Roman"/>
          <w:sz w:val="24"/>
          <w:szCs w:val="24"/>
        </w:rPr>
        <w:t>ailure to require import/export declarations</w:t>
      </w:r>
      <w:r w:rsidR="00697EC4">
        <w:rPr>
          <w:rFonts w:ascii="Times New Roman" w:hAnsi="Times New Roman"/>
          <w:sz w:val="24"/>
          <w:szCs w:val="24"/>
        </w:rPr>
        <w:t>,</w:t>
      </w:r>
      <w:r w:rsidRPr="000936D4">
        <w:rPr>
          <w:rFonts w:ascii="Times New Roman" w:hAnsi="Times New Roman"/>
          <w:sz w:val="24"/>
          <w:szCs w:val="24"/>
        </w:rPr>
        <w:t xml:space="preserve"> and the information provided thereon</w:t>
      </w:r>
      <w:r w:rsidR="00697EC4">
        <w:rPr>
          <w:rFonts w:ascii="Times New Roman" w:hAnsi="Times New Roman"/>
          <w:sz w:val="24"/>
          <w:szCs w:val="24"/>
        </w:rPr>
        <w:t>,</w:t>
      </w:r>
      <w:r w:rsidRPr="000936D4">
        <w:rPr>
          <w:rFonts w:ascii="Times New Roman" w:hAnsi="Times New Roman"/>
          <w:sz w:val="24"/>
          <w:szCs w:val="24"/>
        </w:rPr>
        <w:t xml:space="preserve"> would violate the requirements imp</w:t>
      </w:r>
      <w:r w:rsidR="00562D6D">
        <w:rPr>
          <w:rFonts w:ascii="Times New Roman" w:hAnsi="Times New Roman"/>
          <w:sz w:val="24"/>
          <w:szCs w:val="24"/>
        </w:rPr>
        <w:t xml:space="preserve">osed by </w:t>
      </w:r>
      <w:r w:rsidR="00202FD8">
        <w:rPr>
          <w:rFonts w:ascii="Times New Roman" w:hAnsi="Times New Roman"/>
          <w:sz w:val="24"/>
          <w:szCs w:val="24"/>
        </w:rPr>
        <w:t>the Controlled Substances Act</w:t>
      </w:r>
      <w:r w:rsidR="003E19B7">
        <w:rPr>
          <w:rFonts w:ascii="Times New Roman" w:hAnsi="Times New Roman"/>
          <w:sz w:val="24"/>
          <w:szCs w:val="24"/>
        </w:rPr>
        <w:t xml:space="preserve"> (CSA)</w:t>
      </w:r>
      <w:r w:rsidR="00202FD8">
        <w:rPr>
          <w:rFonts w:ascii="Times New Roman" w:hAnsi="Times New Roman"/>
          <w:sz w:val="24"/>
          <w:szCs w:val="24"/>
        </w:rPr>
        <w:t xml:space="preserve"> and the United States’ international obligations</w:t>
      </w:r>
      <w:r w:rsidRPr="000936D4">
        <w:rPr>
          <w:rFonts w:ascii="Times New Roman" w:hAnsi="Times New Roman"/>
          <w:sz w:val="24"/>
          <w:szCs w:val="24"/>
        </w:rPr>
        <w:t>.</w:t>
      </w:r>
    </w:p>
    <w:p w:rsidR="00C64283" w:rsidRDefault="00C64283" w:rsidP="001A64B0">
      <w:pPr>
        <w:rPr>
          <w:rFonts w:ascii="Times New Roman" w:hAnsi="Times New Roman"/>
          <w:sz w:val="24"/>
          <w:szCs w:val="24"/>
        </w:rPr>
      </w:pPr>
    </w:p>
    <w:p w:rsidR="00C64283" w:rsidRDefault="00C64283" w:rsidP="00C64283">
      <w:pPr>
        <w:rPr>
          <w:rFonts w:ascii="Times New Roman" w:hAnsi="Times New Roman"/>
          <w:sz w:val="24"/>
          <w:szCs w:val="24"/>
        </w:rPr>
      </w:pPr>
      <w:r w:rsidRPr="00C64283">
        <w:rPr>
          <w:rFonts w:ascii="Times New Roman" w:hAnsi="Times New Roman"/>
          <w:sz w:val="24"/>
          <w:szCs w:val="24"/>
        </w:rPr>
        <w:t>The DEA</w:t>
      </w:r>
      <w:r w:rsidR="0023149B">
        <w:rPr>
          <w:rFonts w:ascii="Times New Roman" w:hAnsi="Times New Roman"/>
          <w:sz w:val="24"/>
          <w:szCs w:val="24"/>
        </w:rPr>
        <w:t xml:space="preserve"> </w:t>
      </w:r>
      <w:r w:rsidR="00267EB7">
        <w:rPr>
          <w:rFonts w:ascii="Times New Roman" w:hAnsi="Times New Roman"/>
          <w:sz w:val="24"/>
          <w:szCs w:val="24"/>
        </w:rPr>
        <w:t xml:space="preserve">is </w:t>
      </w:r>
      <w:r w:rsidR="009A5202">
        <w:rPr>
          <w:rFonts w:ascii="Times New Roman" w:hAnsi="Times New Roman"/>
          <w:sz w:val="24"/>
          <w:szCs w:val="24"/>
        </w:rPr>
        <w:t>amending</w:t>
      </w:r>
      <w:r w:rsidRPr="00C64283">
        <w:rPr>
          <w:rFonts w:ascii="Times New Roman" w:hAnsi="Times New Roman"/>
          <w:sz w:val="24"/>
          <w:szCs w:val="24"/>
        </w:rPr>
        <w:t xml:space="preserve"> to § 1312.18(e) to provide clear instructions on the process of return information for controlled substances imported under declaration procedures, which will be submitted electronically as part of the DEA Form 236 (Import declaration).  The amended regulation states that within 30 calendar days of the actual import, or within 10 calendar days after the receipt of a written request by the </w:t>
      </w:r>
      <w:r w:rsidRPr="00C64283">
        <w:rPr>
          <w:rFonts w:ascii="Times New Roman" w:hAnsi="Times New Roman"/>
          <w:sz w:val="24"/>
          <w:szCs w:val="24"/>
        </w:rPr>
        <w:lastRenderedPageBreak/>
        <w:t>Administration to the importer, whichever is sooner, the importer must report to the Administration utilizing the secure network application available on the DEA Office of Diversion Control Web site certifying that such import occurred and the details of the transaction.  The report must include information relating to key dates of the transaction and actual quantities involved in the import process.</w:t>
      </w:r>
    </w:p>
    <w:p w:rsidR="00C64283" w:rsidRPr="00C64283" w:rsidRDefault="00C64283" w:rsidP="00C64283">
      <w:pPr>
        <w:rPr>
          <w:rFonts w:ascii="Times New Roman" w:hAnsi="Times New Roman"/>
          <w:sz w:val="24"/>
          <w:szCs w:val="24"/>
        </w:rPr>
      </w:pPr>
    </w:p>
    <w:p w:rsidR="00C64283" w:rsidRPr="00C64283" w:rsidRDefault="001C5DD2" w:rsidP="00C64283">
      <w:pPr>
        <w:rPr>
          <w:rFonts w:ascii="Times New Roman" w:hAnsi="Times New Roman"/>
          <w:sz w:val="24"/>
          <w:szCs w:val="24"/>
        </w:rPr>
      </w:pPr>
      <w:r>
        <w:rPr>
          <w:rFonts w:ascii="Times New Roman" w:hAnsi="Times New Roman"/>
          <w:sz w:val="24"/>
          <w:szCs w:val="24"/>
        </w:rPr>
        <w:t xml:space="preserve">The DEA </w:t>
      </w:r>
      <w:r w:rsidR="006A483A">
        <w:rPr>
          <w:rFonts w:ascii="Times New Roman" w:hAnsi="Times New Roman"/>
          <w:sz w:val="24"/>
          <w:szCs w:val="24"/>
        </w:rPr>
        <w:t>is amending</w:t>
      </w:r>
      <w:r w:rsidR="00C64283" w:rsidRPr="00C64283">
        <w:rPr>
          <w:rFonts w:ascii="Times New Roman" w:hAnsi="Times New Roman"/>
          <w:sz w:val="24"/>
          <w:szCs w:val="24"/>
        </w:rPr>
        <w:t xml:space="preserve"> to § 1312.27(d) </w:t>
      </w:r>
      <w:r w:rsidR="00E30516">
        <w:rPr>
          <w:rFonts w:ascii="Times New Roman" w:hAnsi="Times New Roman"/>
          <w:sz w:val="24"/>
          <w:szCs w:val="24"/>
        </w:rPr>
        <w:t>in the final rule</w:t>
      </w:r>
      <w:r w:rsidR="00C64283" w:rsidRPr="00C64283">
        <w:rPr>
          <w:rFonts w:ascii="Times New Roman" w:hAnsi="Times New Roman"/>
          <w:sz w:val="24"/>
          <w:szCs w:val="24"/>
        </w:rPr>
        <w:t xml:space="preserve"> to provide clear instructions on the process of return information for controlled substances exported and reexported under declaration procedures, which will be submitted electronically as part of the DEA Form 236 (Export declaration).  The amended regulation states that within 30 calendar days after the controlled substance is exported or within 10 calendar days after receipt of a written request by the Administration to the exporter, whichever is sooner, the exporter must report to the Administration through the DEA Office of Diversion Control Web secure network application (available on the DEA Office of Diversion Control Web site) certifying that such export has occurred and the details of the transaction.  The report must include information relating to key dates of the transaction and actual quantities involved in the import process.  For reexports under declaration procedures, the amended regulation states that within 30 calendar days after the controlled substance is exported from the first country to the second country, or within 10 calendar days after the receipt of a written request by the Administration to the exporter, whichever is sooner, the exporter must report to the Administration through the DEA Office of Diversion Control Web secure network application (available on the DEA Office of Diversion Control Web site) certifying that such export from the first country has occurred and the details of the transaction.  The report must include the name of the second country and the quantity shipped.</w:t>
      </w:r>
    </w:p>
    <w:p w:rsidR="001A64B0" w:rsidRDefault="001A64B0" w:rsidP="001A64B0">
      <w:pPr>
        <w:rPr>
          <w:rFonts w:ascii="Times New Roman" w:hAnsi="Times New Roman"/>
          <w:noProof w:val="0"/>
          <w:sz w:val="24"/>
        </w:rPr>
      </w:pPr>
    </w:p>
    <w:p w:rsidR="004202AA" w:rsidRDefault="000C1537" w:rsidP="001A64B0">
      <w:pPr>
        <w:rPr>
          <w:rFonts w:ascii="Times New Roman" w:hAnsi="Times New Roman"/>
          <w:noProof w:val="0"/>
          <w:sz w:val="24"/>
        </w:rPr>
      </w:pPr>
      <w:r>
        <w:rPr>
          <w:rFonts w:ascii="Times New Roman" w:hAnsi="Times New Roman"/>
          <w:noProof w:val="0"/>
          <w:sz w:val="24"/>
        </w:rPr>
        <w:t xml:space="preserve">3. </w:t>
      </w:r>
      <w:r w:rsidR="00477399">
        <w:rPr>
          <w:rFonts w:ascii="Times New Roman" w:hAnsi="Times New Roman"/>
          <w:noProof w:val="0"/>
          <w:sz w:val="24"/>
        </w:rPr>
        <w:t xml:space="preserve"> </w:t>
      </w:r>
      <w:r w:rsidR="00F304A0">
        <w:rPr>
          <w:rFonts w:ascii="Times New Roman" w:hAnsi="Times New Roman"/>
          <w:noProof w:val="0"/>
          <w:sz w:val="24"/>
          <w:u w:val="single"/>
        </w:rPr>
        <w:t xml:space="preserve">Use of Information </w:t>
      </w:r>
      <w:r w:rsidR="004202AA" w:rsidRPr="00B051D2">
        <w:rPr>
          <w:rFonts w:ascii="Times New Roman" w:hAnsi="Times New Roman"/>
          <w:noProof w:val="0"/>
          <w:sz w:val="24"/>
          <w:u w:val="single"/>
        </w:rPr>
        <w:t>Technology:</w:t>
      </w:r>
    </w:p>
    <w:p w:rsidR="00072531" w:rsidRDefault="00072531" w:rsidP="001A64B0">
      <w:pPr>
        <w:rPr>
          <w:rFonts w:ascii="Times New Roman" w:hAnsi="Times New Roman"/>
          <w:sz w:val="24"/>
        </w:rPr>
      </w:pPr>
    </w:p>
    <w:p w:rsidR="00477399" w:rsidRDefault="00333696" w:rsidP="001A64B0">
      <w:pPr>
        <w:tabs>
          <w:tab w:val="left" w:pos="720"/>
          <w:tab w:val="left" w:pos="1440"/>
          <w:tab w:val="left" w:pos="2160"/>
        </w:tabs>
        <w:rPr>
          <w:rFonts w:ascii="Times New Roman" w:hAnsi="Times New Roman"/>
          <w:noProof w:val="0"/>
          <w:sz w:val="24"/>
        </w:rPr>
      </w:pPr>
      <w:r w:rsidRPr="00333696">
        <w:rPr>
          <w:rFonts w:ascii="Times New Roman" w:hAnsi="Times New Roman"/>
          <w:sz w:val="24"/>
        </w:rPr>
        <mc:AlternateContent>
          <mc:Choice Requires="wps">
            <w:drawing>
              <wp:anchor distT="0" distB="0" distL="114300" distR="114300" simplePos="0" relativeHeight="251659264" behindDoc="0" locked="0" layoutInCell="1" allowOverlap="1" wp14:anchorId="539AD3D5" wp14:editId="75BD7176">
                <wp:simplePos x="0" y="0"/>
                <wp:positionH relativeFrom="column">
                  <wp:posOffset>5891842</wp:posOffset>
                </wp:positionH>
                <wp:positionV relativeFrom="paragraph">
                  <wp:posOffset>6123317</wp:posOffset>
                </wp:positionV>
                <wp:extent cx="2087592" cy="534838"/>
                <wp:effectExtent l="0" t="0" r="27305" b="17780"/>
                <wp:wrapNone/>
                <wp:docPr id="22" name="Text Box 22"/>
                <wp:cNvGraphicFramePr/>
                <a:graphic xmlns:a="http://schemas.openxmlformats.org/drawingml/2006/main">
                  <a:graphicData uri="http://schemas.microsoft.com/office/word/2010/wordprocessingShape">
                    <wps:wsp>
                      <wps:cNvSpPr txBox="1"/>
                      <wps:spPr bwMode="auto">
                        <a:xfrm>
                          <a:off x="0" y="0"/>
                          <a:ext cx="2087592" cy="534838"/>
                        </a:xfrm>
                        <a:prstGeom prst="rect">
                          <a:avLst/>
                        </a:prstGeom>
                        <a:solidFill>
                          <a:srgbClr val="FFFFFF"/>
                        </a:solidFill>
                        <a:ln w="9525">
                          <a:solidFill>
                            <a:srgbClr val="000000"/>
                          </a:solidFill>
                          <a:miter lim="800000"/>
                          <a:headEnd/>
                          <a:tailEnd/>
                        </a:ln>
                      </wps:spPr>
                      <wps:txbx>
                        <w:txbxContent>
                          <w:p w:rsidR="00333696" w:rsidRPr="002A4DF0" w:rsidRDefault="00333696" w:rsidP="00333696">
                            <w:pPr>
                              <w:rPr>
                                <w:sz w:val="16"/>
                              </w:rPr>
                            </w:pPr>
                            <w:r>
                              <w:rPr>
                                <w:sz w:val="16"/>
                              </w:rPr>
                              <w:t>CEM:  I don’t necessarily have a problem accepting the edit, but it seems a bit redundant when we have two footnotes telling people that “registrant “also means people who are exempt from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63.9pt;margin-top:482.15pt;width:164.4pt;height:4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">
                <v:textbox style="mso-fit-shape-to-text:t">
                  <w:txbxContent>
                    <w:p w:rsidR="00333696" w:rsidRPr="002A4DF0" w:rsidRDefault="00333696" w:rsidP="00333696">
                      <w:pPr>
                        <w:rPr>
                          <w:sz w:val="16"/>
                        </w:rPr>
                      </w:pPr>
                      <w:r>
                        <w:rPr>
                          <w:sz w:val="16"/>
                        </w:rPr>
                        <w:t>CEM:  I don’t necessarily have a problem accepting the edit, but it seems a bit redundant when we have two footnotes telling people that “registrant “also means people who are exempt from registration.</w:t>
                      </w:r>
                    </w:p>
                  </w:txbxContent>
                </v:textbox>
              </v:shape>
            </w:pict>
          </mc:Fallback>
        </mc:AlternateContent>
      </w:r>
      <w:r>
        <w:rPr>
          <w:rFonts w:ascii="Times New Roman" w:hAnsi="Times New Roman"/>
          <w:noProof w:val="0"/>
          <w:sz w:val="24"/>
        </w:rPr>
        <w:t>With the implementation of ITDS, a</w:t>
      </w:r>
      <w:r w:rsidRPr="00333696">
        <w:rPr>
          <w:rFonts w:ascii="Times New Roman" w:hAnsi="Times New Roman"/>
          <w:noProof w:val="0"/>
          <w:sz w:val="24"/>
        </w:rPr>
        <w:t xml:space="preserve">pplications, declarations, and notices filed through the DEA Office of Diversion Control secure network application would generally not be deemed filed until the DEA assigns a single-use, randomly-generated, unique identifier.  This identifier would be referenced as the “transaction identification number” except for permits, where the transaction identification number would continue to be called the “permit number” to correspond with current business practice.  A permit number would be assigned once the DEA has approved an application for a permit.  A transaction identification number would be assigned once the DEA reviews a declaration, notice, or other filing for </w:t>
      </w:r>
      <w:r w:rsidR="00D07114" w:rsidRPr="00333696">
        <w:rPr>
          <w:rFonts w:ascii="Times New Roman" w:hAnsi="Times New Roman"/>
          <w:noProof w:val="0"/>
          <w:sz w:val="24"/>
        </w:rPr>
        <w:t>completeness</w:t>
      </w:r>
      <w:r w:rsidRPr="00333696">
        <w:rPr>
          <w:rFonts w:ascii="Times New Roman" w:hAnsi="Times New Roman"/>
          <w:noProof w:val="0"/>
          <w:sz w:val="24"/>
        </w:rPr>
        <w:t xml:space="preserve"> and it is accepted for filing.  Although issuance of a transaction identification number would signify that the declaration, notice, or other filing has been reviewed for completeness, the issuance of the transaction identification number does not mean that such filing has been “approved” by the DEA.  The DEA reserves the right to cancel an import or export permit or declaration for cause and suspend shipments of listed chemicals in accordance with applicable regulations.</w:t>
      </w:r>
    </w:p>
    <w:p w:rsidR="00C76348" w:rsidRDefault="00333696" w:rsidP="001A64B0">
      <w:pPr>
        <w:tabs>
          <w:tab w:val="left" w:pos="720"/>
          <w:tab w:val="left" w:pos="1440"/>
          <w:tab w:val="left" w:pos="2160"/>
        </w:tabs>
        <w:rPr>
          <w:rFonts w:ascii="Times New Roman" w:hAnsi="Times New Roman"/>
          <w:noProof w:val="0"/>
          <w:sz w:val="24"/>
        </w:rPr>
      </w:pPr>
      <w:r w:rsidRPr="00333696">
        <w:rPr>
          <w:rFonts w:ascii="Times New Roman" w:hAnsi="Times New Roman"/>
          <w:noProof w:val="0"/>
          <w:sz w:val="24"/>
        </w:rPr>
        <w:t xml:space="preserve">    </w:t>
      </w:r>
    </w:p>
    <w:p w:rsidR="00B51731" w:rsidRDefault="00B51731" w:rsidP="001A64B0">
      <w:pPr>
        <w:tabs>
          <w:tab w:val="left" w:pos="720"/>
          <w:tab w:val="left" w:pos="1440"/>
          <w:tab w:val="left" w:pos="2160"/>
        </w:tabs>
        <w:rPr>
          <w:rFonts w:ascii="Times New Roman" w:hAnsi="Times New Roman"/>
          <w:noProof w:val="0"/>
          <w:sz w:val="24"/>
        </w:rPr>
      </w:pPr>
    </w:p>
    <w:p w:rsidR="00B51731" w:rsidRDefault="00B51731" w:rsidP="001A64B0">
      <w:pPr>
        <w:tabs>
          <w:tab w:val="left" w:pos="720"/>
          <w:tab w:val="left" w:pos="1440"/>
          <w:tab w:val="left" w:pos="2160"/>
        </w:tabs>
        <w:rPr>
          <w:rFonts w:ascii="Times New Roman" w:hAnsi="Times New Roman"/>
          <w:noProof w:val="0"/>
          <w:sz w:val="24"/>
        </w:rPr>
      </w:pPr>
    </w:p>
    <w:p w:rsidR="00B51731" w:rsidRDefault="00B51731" w:rsidP="001A64B0">
      <w:pPr>
        <w:tabs>
          <w:tab w:val="left" w:pos="720"/>
          <w:tab w:val="left" w:pos="1440"/>
          <w:tab w:val="left" w:pos="216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lastRenderedPageBreak/>
        <w:t xml:space="preserve">4. </w:t>
      </w:r>
      <w:r w:rsidR="00477399">
        <w:rPr>
          <w:rFonts w:ascii="Times New Roman" w:hAnsi="Times New Roman"/>
          <w:noProof w:val="0"/>
          <w:sz w:val="24"/>
        </w:rPr>
        <w:t xml:space="preserve"> </w:t>
      </w:r>
      <w:r w:rsidR="004202AA" w:rsidRPr="00B051D2">
        <w:rPr>
          <w:rFonts w:ascii="Times New Roman" w:hAnsi="Times New Roman"/>
          <w:noProof w:val="0"/>
          <w:sz w:val="24"/>
          <w:u w:val="single"/>
        </w:rPr>
        <w:t>Efforts to Identify Duplication:</w:t>
      </w:r>
    </w:p>
    <w:p w:rsidR="009151B2" w:rsidRDefault="009151B2" w:rsidP="001A64B0">
      <w:pPr>
        <w:tabs>
          <w:tab w:val="left" w:pos="720"/>
          <w:tab w:val="left" w:pos="1440"/>
          <w:tab w:val="left" w:pos="2160"/>
        </w:tabs>
        <w:jc w:val="both"/>
        <w:rPr>
          <w:rFonts w:ascii="Times New Roman" w:hAnsi="Times New Roman"/>
          <w:noProof w:val="0"/>
          <w:sz w:val="24"/>
        </w:rPr>
      </w:pPr>
    </w:p>
    <w:p w:rsidR="009151B2" w:rsidRDefault="009151B2" w:rsidP="00C76348">
      <w:pPr>
        <w:tabs>
          <w:tab w:val="left" w:pos="720"/>
          <w:tab w:val="left" w:pos="1440"/>
          <w:tab w:val="left" w:pos="2160"/>
        </w:tabs>
        <w:rPr>
          <w:rFonts w:ascii="Times New Roman" w:hAnsi="Times New Roman"/>
          <w:noProof w:val="0"/>
          <w:sz w:val="24"/>
        </w:rPr>
      </w:pPr>
      <w:r w:rsidRPr="009151B2">
        <w:rPr>
          <w:rFonts w:ascii="Times New Roman" w:hAnsi="Times New Roman"/>
          <w:noProof w:val="0"/>
          <w:sz w:val="24"/>
        </w:rPr>
        <w:t xml:space="preserve">The DEA has made efforts to identify and prevent duplication of the </w:t>
      </w:r>
      <w:r w:rsidR="00FB41E0" w:rsidRPr="009151B2">
        <w:rPr>
          <w:rFonts w:ascii="Times New Roman" w:hAnsi="Times New Roman"/>
          <w:noProof w:val="0"/>
          <w:sz w:val="24"/>
        </w:rPr>
        <w:t>collection</w:t>
      </w:r>
      <w:r w:rsidRPr="009151B2">
        <w:rPr>
          <w:rFonts w:ascii="Times New Roman" w:hAnsi="Times New Roman"/>
          <w:noProof w:val="0"/>
          <w:sz w:val="24"/>
        </w:rPr>
        <w:t xml:space="preserve"> of information.  The existing DEA Form </w:t>
      </w:r>
      <w:r>
        <w:rPr>
          <w:rFonts w:ascii="Times New Roman" w:hAnsi="Times New Roman"/>
          <w:noProof w:val="0"/>
          <w:sz w:val="24"/>
        </w:rPr>
        <w:t>236</w:t>
      </w:r>
      <w:r w:rsidRPr="009151B2">
        <w:rPr>
          <w:rFonts w:ascii="Times New Roman" w:hAnsi="Times New Roman"/>
          <w:noProof w:val="0"/>
          <w:sz w:val="24"/>
        </w:rPr>
        <w:t xml:space="preserve"> is not duplicative.  The collection of this information is unique to the DEA.</w:t>
      </w:r>
    </w:p>
    <w:p w:rsidR="009151B2" w:rsidRDefault="009151B2" w:rsidP="00C76348">
      <w:pPr>
        <w:tabs>
          <w:tab w:val="left" w:pos="720"/>
          <w:tab w:val="left" w:pos="1440"/>
          <w:tab w:val="left" w:pos="2160"/>
        </w:tabs>
        <w:rPr>
          <w:rFonts w:ascii="Times New Roman" w:hAnsi="Times New Roman"/>
          <w:noProof w:val="0"/>
          <w:sz w:val="24"/>
        </w:rPr>
      </w:pPr>
    </w:p>
    <w:p w:rsidR="004202AA"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5. </w:t>
      </w:r>
      <w:r w:rsidR="00477399">
        <w:rPr>
          <w:rFonts w:ascii="Times New Roman" w:hAnsi="Times New Roman"/>
          <w:noProof w:val="0"/>
          <w:sz w:val="24"/>
        </w:rPr>
        <w:t xml:space="preserve"> </w:t>
      </w:r>
      <w:r w:rsidR="00B051D2" w:rsidRPr="00B051D2">
        <w:rPr>
          <w:rFonts w:ascii="Times New Roman" w:hAnsi="Times New Roman"/>
          <w:noProof w:val="0"/>
          <w:sz w:val="24"/>
          <w:u w:val="single"/>
        </w:rPr>
        <w:t>Impact on Small Businesses or Entities</w:t>
      </w:r>
      <w:r w:rsidR="004202AA" w:rsidRPr="00B051D2">
        <w:rPr>
          <w:rFonts w:ascii="Times New Roman" w:hAnsi="Times New Roman"/>
          <w:noProof w:val="0"/>
          <w:sz w:val="24"/>
          <w:u w:val="single"/>
        </w:rPr>
        <w:t>:</w:t>
      </w:r>
    </w:p>
    <w:p w:rsidR="001A64B0" w:rsidRDefault="001A64B0" w:rsidP="001A64B0">
      <w:pPr>
        <w:rPr>
          <w:rFonts w:ascii="Times New Roman" w:hAnsi="Times New Roman"/>
          <w:noProof w:val="0"/>
          <w:sz w:val="24"/>
        </w:rPr>
      </w:pPr>
    </w:p>
    <w:p w:rsidR="00C46DA6" w:rsidRDefault="009151B2" w:rsidP="001A64B0">
      <w:pPr>
        <w:rPr>
          <w:rFonts w:ascii="Times New Roman" w:hAnsi="Times New Roman"/>
          <w:noProof w:val="0"/>
          <w:sz w:val="24"/>
        </w:rPr>
      </w:pPr>
      <w:r w:rsidRPr="009151B2">
        <w:rPr>
          <w:rFonts w:ascii="Times New Roman" w:hAnsi="Times New Roman"/>
          <w:noProof w:val="0"/>
          <w:sz w:val="24"/>
        </w:rPr>
        <w:t xml:space="preserve">This is a </w:t>
      </w:r>
      <w:r w:rsidR="00D04246">
        <w:rPr>
          <w:rFonts w:ascii="Times New Roman" w:hAnsi="Times New Roman"/>
          <w:noProof w:val="0"/>
          <w:sz w:val="24"/>
        </w:rPr>
        <w:t>revision</w:t>
      </w:r>
      <w:r w:rsidRPr="009151B2">
        <w:rPr>
          <w:rFonts w:ascii="Times New Roman" w:hAnsi="Times New Roman"/>
          <w:noProof w:val="0"/>
          <w:sz w:val="24"/>
        </w:rPr>
        <w:t xml:space="preserve"> of DEA Form </w:t>
      </w:r>
      <w:r>
        <w:rPr>
          <w:rFonts w:ascii="Times New Roman" w:hAnsi="Times New Roman"/>
          <w:noProof w:val="0"/>
          <w:sz w:val="24"/>
        </w:rPr>
        <w:t>236</w:t>
      </w:r>
      <w:r w:rsidRPr="009151B2">
        <w:rPr>
          <w:rFonts w:ascii="Times New Roman" w:hAnsi="Times New Roman"/>
          <w:noProof w:val="0"/>
          <w:sz w:val="24"/>
        </w:rPr>
        <w:t>.  The DEA does not anticipate any additional impact on small businesses or other small entities since the initial approval of this form</w:t>
      </w:r>
      <w:r w:rsidR="00C76348">
        <w:rPr>
          <w:rFonts w:ascii="Times New Roman" w:hAnsi="Times New Roman"/>
          <w:noProof w:val="0"/>
          <w:sz w:val="24"/>
        </w:rPr>
        <w:t xml:space="preserve">. </w:t>
      </w:r>
      <w:r w:rsidRPr="009151B2">
        <w:rPr>
          <w:rFonts w:ascii="Times New Roman" w:hAnsi="Times New Roman"/>
          <w:noProof w:val="0"/>
          <w:sz w:val="24"/>
        </w:rPr>
        <w:t xml:space="preserve"> </w:t>
      </w:r>
      <w:r w:rsidR="00C76348">
        <w:rPr>
          <w:rFonts w:ascii="Times New Roman" w:hAnsi="Times New Roman"/>
          <w:noProof w:val="0"/>
          <w:sz w:val="24"/>
        </w:rPr>
        <w:t>T</w:t>
      </w:r>
      <w:r w:rsidRPr="009151B2">
        <w:rPr>
          <w:rFonts w:ascii="Times New Roman" w:hAnsi="Times New Roman"/>
          <w:noProof w:val="0"/>
          <w:sz w:val="24"/>
        </w:rPr>
        <w:t>he collection will not have a significant economic impact on small businesses or other small entities within the meaning and intent of the Regulatory Flexibility Act, 5 U.S.C. 601-612.</w:t>
      </w:r>
    </w:p>
    <w:p w:rsidR="009151B2" w:rsidRDefault="009151B2" w:rsidP="001A64B0">
      <w:pPr>
        <w:rPr>
          <w:rFonts w:ascii="Times New Roman" w:hAnsi="Times New Roman"/>
          <w:noProof w:val="0"/>
          <w:sz w:val="24"/>
        </w:rPr>
      </w:pPr>
    </w:p>
    <w:p w:rsidR="004202AA" w:rsidRDefault="000C1537" w:rsidP="001A64B0">
      <w:pPr>
        <w:rPr>
          <w:rFonts w:ascii="Times New Roman" w:hAnsi="Times New Roman"/>
          <w:noProof w:val="0"/>
          <w:sz w:val="24"/>
        </w:rPr>
      </w:pPr>
      <w:r>
        <w:rPr>
          <w:rFonts w:ascii="Times New Roman" w:hAnsi="Times New Roman"/>
          <w:noProof w:val="0"/>
          <w:sz w:val="24"/>
        </w:rPr>
        <w:t xml:space="preserve">6. </w:t>
      </w:r>
      <w:r w:rsidR="00477399">
        <w:rPr>
          <w:rFonts w:ascii="Times New Roman" w:hAnsi="Times New Roman"/>
          <w:noProof w:val="0"/>
          <w:sz w:val="24"/>
        </w:rPr>
        <w:t xml:space="preserve"> </w:t>
      </w:r>
      <w:r w:rsidR="004202AA" w:rsidRPr="00B051D2">
        <w:rPr>
          <w:rFonts w:ascii="Times New Roman" w:hAnsi="Times New Roman"/>
          <w:noProof w:val="0"/>
          <w:sz w:val="24"/>
          <w:u w:val="single"/>
        </w:rPr>
        <w:t>Consequences of Less Frequent Collection:</w:t>
      </w:r>
    </w:p>
    <w:p w:rsidR="001A64B0" w:rsidRDefault="001A64B0" w:rsidP="001A64B0">
      <w:pPr>
        <w:rPr>
          <w:rFonts w:ascii="Times New Roman" w:hAnsi="Times New Roman"/>
          <w:noProof w:val="0"/>
          <w:sz w:val="24"/>
        </w:rPr>
      </w:pPr>
    </w:p>
    <w:p w:rsidR="00072531" w:rsidRPr="000936D4" w:rsidRDefault="00FB41E0" w:rsidP="001A64B0">
      <w:pPr>
        <w:rPr>
          <w:rFonts w:ascii="Times New Roman" w:hAnsi="Times New Roman"/>
          <w:noProof w:val="0"/>
          <w:sz w:val="24"/>
          <w:szCs w:val="24"/>
        </w:rPr>
      </w:pPr>
      <w:r>
        <w:rPr>
          <w:rFonts w:ascii="Times New Roman" w:hAnsi="Times New Roman"/>
          <w:sz w:val="24"/>
          <w:szCs w:val="24"/>
        </w:rPr>
        <w:t xml:space="preserve">The DEA uses the information collected to monitor the import </w:t>
      </w:r>
      <w:r w:rsidR="00F178A6">
        <w:rPr>
          <w:rFonts w:ascii="Times New Roman" w:hAnsi="Times New Roman"/>
          <w:sz w:val="24"/>
          <w:szCs w:val="24"/>
        </w:rPr>
        <w:t>and</w:t>
      </w:r>
      <w:r>
        <w:rPr>
          <w:rFonts w:ascii="Times New Roman" w:hAnsi="Times New Roman"/>
          <w:sz w:val="24"/>
          <w:szCs w:val="24"/>
        </w:rPr>
        <w:t xml:space="preserve"> export of controlled substances.  </w:t>
      </w:r>
      <w:r w:rsidR="000936D4" w:rsidRPr="000936D4">
        <w:rPr>
          <w:rFonts w:ascii="Times New Roman" w:hAnsi="Times New Roman"/>
          <w:sz w:val="24"/>
          <w:szCs w:val="24"/>
        </w:rPr>
        <w:t xml:space="preserve">Information is provided each time the registrant proposes to import or export controlled substances and therefore cannot be collected less frequently.  Failure to collect the information would impair </w:t>
      </w:r>
      <w:r w:rsidR="000E728F">
        <w:rPr>
          <w:rFonts w:ascii="Times New Roman" w:hAnsi="Times New Roman"/>
          <w:sz w:val="24"/>
          <w:szCs w:val="24"/>
        </w:rPr>
        <w:t xml:space="preserve">the </w:t>
      </w:r>
      <w:r w:rsidR="000936D4" w:rsidRPr="000936D4">
        <w:rPr>
          <w:rFonts w:ascii="Times New Roman" w:hAnsi="Times New Roman"/>
          <w:sz w:val="24"/>
          <w:szCs w:val="24"/>
        </w:rPr>
        <w:t>DEA</w:t>
      </w:r>
      <w:r w:rsidR="00F178A6">
        <w:rPr>
          <w:rFonts w:ascii="Times New Roman" w:hAnsi="Times New Roman"/>
          <w:sz w:val="24"/>
          <w:szCs w:val="24"/>
        </w:rPr>
        <w:t>’</w:t>
      </w:r>
      <w:r w:rsidR="000936D4" w:rsidRPr="000936D4">
        <w:rPr>
          <w:rFonts w:ascii="Times New Roman" w:hAnsi="Times New Roman"/>
          <w:sz w:val="24"/>
          <w:szCs w:val="24"/>
        </w:rPr>
        <w:t xml:space="preserve">s enforcement activities and violate the requirements imposed by </w:t>
      </w:r>
      <w:r w:rsidR="00F178A6">
        <w:rPr>
          <w:rFonts w:ascii="Times New Roman" w:hAnsi="Times New Roman"/>
          <w:sz w:val="24"/>
          <w:szCs w:val="24"/>
        </w:rPr>
        <w:t>the CSA and the United States</w:t>
      </w:r>
      <w:r w:rsidR="001A7C2B">
        <w:rPr>
          <w:rFonts w:ascii="Times New Roman" w:hAnsi="Times New Roman"/>
          <w:sz w:val="24"/>
          <w:szCs w:val="24"/>
        </w:rPr>
        <w:t>’</w:t>
      </w:r>
      <w:r w:rsidR="00F178A6">
        <w:rPr>
          <w:rFonts w:ascii="Times New Roman" w:hAnsi="Times New Roman"/>
          <w:sz w:val="24"/>
          <w:szCs w:val="24"/>
        </w:rPr>
        <w:t xml:space="preserve"> international obligations.</w:t>
      </w:r>
    </w:p>
    <w:p w:rsidR="001A64B0" w:rsidRDefault="001A64B0" w:rsidP="001A64B0">
      <w:pPr>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477399">
        <w:rPr>
          <w:rFonts w:ascii="Times New Roman" w:hAnsi="Times New Roman"/>
          <w:noProof w:val="0"/>
          <w:sz w:val="24"/>
        </w:rPr>
        <w:t xml:space="preserve"> </w:t>
      </w:r>
      <w:r w:rsidR="004202AA" w:rsidRPr="00B051D2">
        <w:rPr>
          <w:rFonts w:ascii="Times New Roman" w:hAnsi="Times New Roman"/>
          <w:noProof w:val="0"/>
          <w:sz w:val="24"/>
          <w:u w:val="single"/>
        </w:rPr>
        <w:t>Special Circumstances Influencing Collection:</w:t>
      </w:r>
    </w:p>
    <w:p w:rsidR="001A64B0" w:rsidRDefault="001A64B0" w:rsidP="001A64B0">
      <w:pPr>
        <w:rPr>
          <w:rFonts w:ascii="Times New Roman" w:hAnsi="Times New Roman"/>
          <w:noProof w:val="0"/>
          <w:sz w:val="24"/>
        </w:rPr>
      </w:pPr>
    </w:p>
    <w:p w:rsidR="001A64B0" w:rsidRDefault="000E728F" w:rsidP="001A64B0">
      <w:pPr>
        <w:rPr>
          <w:rFonts w:ascii="Times New Roman" w:hAnsi="Times New Roman"/>
          <w:sz w:val="24"/>
          <w:szCs w:val="24"/>
        </w:rPr>
      </w:pPr>
      <w:r w:rsidRPr="000E728F">
        <w:rPr>
          <w:rFonts w:ascii="Times New Roman" w:hAnsi="Times New Roman"/>
          <w:sz w:val="24"/>
          <w:szCs w:val="24"/>
        </w:rPr>
        <w:t xml:space="preserve">There are no special circumstances applicable to this information collection.  </w:t>
      </w:r>
    </w:p>
    <w:p w:rsidR="000E728F" w:rsidRDefault="000E728F" w:rsidP="001A64B0">
      <w:pPr>
        <w:rPr>
          <w:rFonts w:ascii="Times New Roman" w:hAnsi="Times New Roman"/>
          <w:noProof w:val="0"/>
          <w:sz w:val="24"/>
        </w:rPr>
      </w:pPr>
    </w:p>
    <w:p w:rsidR="008E7B3E"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477399">
        <w:rPr>
          <w:rFonts w:ascii="Times New Roman" w:hAnsi="Times New Roman"/>
          <w:noProof w:val="0"/>
          <w:sz w:val="24"/>
        </w:rPr>
        <w:t xml:space="preserve"> </w:t>
      </w:r>
      <w:r w:rsidR="00B051D2" w:rsidRPr="00B051D2">
        <w:rPr>
          <w:rFonts w:ascii="Times New Roman" w:hAnsi="Times New Roman"/>
          <w:noProof w:val="0"/>
          <w:sz w:val="24"/>
          <w:u w:val="single"/>
        </w:rPr>
        <w:t>Consultation with persons outside the Agency</w:t>
      </w:r>
      <w:r w:rsidR="008E7B3E" w:rsidRPr="00B051D2">
        <w:rPr>
          <w:rFonts w:ascii="Times New Roman" w:hAnsi="Times New Roman"/>
          <w:noProof w:val="0"/>
          <w:sz w:val="24"/>
          <w:u w:val="single"/>
        </w:rPr>
        <w:t>:</w:t>
      </w:r>
    </w:p>
    <w:p w:rsidR="001A64B0" w:rsidRDefault="001A64B0" w:rsidP="001A64B0">
      <w:pPr>
        <w:rPr>
          <w:rFonts w:ascii="Times New Roman" w:hAnsi="Times New Roman"/>
          <w:noProof w:val="0"/>
          <w:sz w:val="24"/>
        </w:rPr>
      </w:pPr>
    </w:p>
    <w:p w:rsidR="00024B5B" w:rsidRDefault="00024B5B" w:rsidP="00024B5B">
      <w:pPr>
        <w:rPr>
          <w:rFonts w:ascii="Times New Roman" w:hAnsi="Times New Roman"/>
          <w:noProof w:val="0"/>
          <w:sz w:val="24"/>
          <w:szCs w:val="24"/>
        </w:rPr>
      </w:pPr>
      <w:r w:rsidRPr="00024B5B">
        <w:rPr>
          <w:rFonts w:ascii="Times New Roman" w:hAnsi="Times New Roman"/>
          <w:noProof w:val="0"/>
          <w:sz w:val="24"/>
          <w:szCs w:val="24"/>
        </w:rPr>
        <w:t>The notic</w:t>
      </w:r>
      <w:r w:rsidR="003167F1">
        <w:rPr>
          <w:rFonts w:ascii="Times New Roman" w:hAnsi="Times New Roman"/>
          <w:noProof w:val="0"/>
          <w:sz w:val="24"/>
          <w:szCs w:val="24"/>
        </w:rPr>
        <w:t xml:space="preserve">e of proposed rulemaking </w:t>
      </w:r>
      <w:r w:rsidRPr="00024B5B">
        <w:rPr>
          <w:rFonts w:ascii="Times New Roman" w:hAnsi="Times New Roman"/>
          <w:noProof w:val="0"/>
          <w:sz w:val="24"/>
          <w:szCs w:val="24"/>
        </w:rPr>
        <w:t xml:space="preserve">on the Revision of Import and Export Requirements for Controlled Substances, Listed Chemicals, and Tableting and Encapsulating Machines, Including Changes To Implement the International Trade Data System; Revision of Reporting Requirements for Domestic Transactions in Listed Chemicals and Tableting and Encapsulating machines; and Technical Amendments (RIN 1117-AB41) was published in the Federal Register at 81 FR 63576, on September 15, 2016.  The DEA received </w:t>
      </w:r>
      <w:r w:rsidR="009C67E8">
        <w:rPr>
          <w:rFonts w:ascii="Times New Roman" w:hAnsi="Times New Roman"/>
          <w:noProof w:val="0"/>
          <w:sz w:val="24"/>
          <w:szCs w:val="24"/>
        </w:rPr>
        <w:t>no</w:t>
      </w:r>
      <w:r w:rsidRPr="00024B5B">
        <w:rPr>
          <w:rFonts w:ascii="Times New Roman" w:hAnsi="Times New Roman"/>
          <w:noProof w:val="0"/>
          <w:sz w:val="24"/>
          <w:szCs w:val="24"/>
        </w:rPr>
        <w:t xml:space="preserve"> comments concerning this collection.</w:t>
      </w:r>
    </w:p>
    <w:p w:rsidR="003167F1" w:rsidRDefault="003167F1" w:rsidP="00024B5B">
      <w:pPr>
        <w:rPr>
          <w:rFonts w:ascii="Times New Roman" w:hAnsi="Times New Roman"/>
          <w:noProof w:val="0"/>
          <w:sz w:val="24"/>
          <w:szCs w:val="24"/>
        </w:rPr>
      </w:pPr>
    </w:p>
    <w:p w:rsidR="003167F1" w:rsidRPr="00024B5B" w:rsidRDefault="003167F1" w:rsidP="00024B5B">
      <w:pPr>
        <w:rPr>
          <w:rFonts w:ascii="Times New Roman" w:hAnsi="Times New Roman"/>
          <w:noProof w:val="0"/>
          <w:sz w:val="24"/>
          <w:szCs w:val="24"/>
        </w:rPr>
      </w:pPr>
      <w:r>
        <w:rPr>
          <w:rFonts w:ascii="Times New Roman" w:hAnsi="Times New Roman"/>
          <w:noProof w:val="0"/>
          <w:sz w:val="24"/>
          <w:szCs w:val="24"/>
        </w:rPr>
        <w:t xml:space="preserve">The final rulemaking </w:t>
      </w:r>
      <w:r w:rsidRPr="00024B5B">
        <w:rPr>
          <w:rFonts w:ascii="Times New Roman" w:hAnsi="Times New Roman"/>
          <w:noProof w:val="0"/>
          <w:sz w:val="24"/>
          <w:szCs w:val="24"/>
        </w:rPr>
        <w:t xml:space="preserve">on the Revision of Import and Export Requirements for Controlled Substances, Listed Chemicals, and Tableting and Encapsulating Machines, Including Changes To Implement the International Trade Data System; Revision of Reporting Requirements for Domestic Transactions in Listed Chemicals and Tableting and Encapsulating machines; and Technical Amendments (RIN 1117-AB41) was published in the Federal Register at 81 FR </w:t>
      </w:r>
      <w:r>
        <w:rPr>
          <w:rFonts w:ascii="Times New Roman" w:hAnsi="Times New Roman"/>
          <w:noProof w:val="0"/>
          <w:sz w:val="24"/>
          <w:szCs w:val="24"/>
        </w:rPr>
        <w:t>96992</w:t>
      </w:r>
      <w:r w:rsidRPr="00024B5B">
        <w:rPr>
          <w:rFonts w:ascii="Times New Roman" w:hAnsi="Times New Roman"/>
          <w:noProof w:val="0"/>
          <w:sz w:val="24"/>
          <w:szCs w:val="24"/>
        </w:rPr>
        <w:t xml:space="preserve">, on </w:t>
      </w:r>
      <w:r>
        <w:rPr>
          <w:rFonts w:ascii="Times New Roman" w:hAnsi="Times New Roman"/>
          <w:noProof w:val="0"/>
          <w:sz w:val="24"/>
          <w:szCs w:val="24"/>
        </w:rPr>
        <w:t>December 30</w:t>
      </w:r>
      <w:bookmarkStart w:id="0" w:name="_GoBack"/>
      <w:bookmarkEnd w:id="0"/>
      <w:r w:rsidRPr="00024B5B">
        <w:rPr>
          <w:rFonts w:ascii="Times New Roman" w:hAnsi="Times New Roman"/>
          <w:noProof w:val="0"/>
          <w:sz w:val="24"/>
          <w:szCs w:val="24"/>
        </w:rPr>
        <w:t xml:space="preserve">, 2016.  The DEA received </w:t>
      </w:r>
      <w:r>
        <w:rPr>
          <w:rFonts w:ascii="Times New Roman" w:hAnsi="Times New Roman"/>
          <w:noProof w:val="0"/>
          <w:sz w:val="24"/>
          <w:szCs w:val="24"/>
        </w:rPr>
        <w:t>no</w:t>
      </w:r>
      <w:r w:rsidRPr="00024B5B">
        <w:rPr>
          <w:rFonts w:ascii="Times New Roman" w:hAnsi="Times New Roman"/>
          <w:noProof w:val="0"/>
          <w:sz w:val="24"/>
          <w:szCs w:val="24"/>
        </w:rPr>
        <w:t xml:space="preserve"> comments concerning this collection.</w:t>
      </w:r>
    </w:p>
    <w:p w:rsidR="009151B2" w:rsidRDefault="009151B2" w:rsidP="001A64B0">
      <w:pPr>
        <w:rPr>
          <w:rFonts w:ascii="Times New Roman" w:hAnsi="Times New Roman"/>
          <w:sz w:val="24"/>
          <w:szCs w:val="24"/>
        </w:rPr>
      </w:pPr>
    </w:p>
    <w:p w:rsidR="009151B2" w:rsidRDefault="009151B2" w:rsidP="001A64B0">
      <w:pPr>
        <w:rPr>
          <w:rFonts w:ascii="Times New Roman" w:hAnsi="Times New Roman"/>
          <w:sz w:val="24"/>
          <w:szCs w:val="24"/>
        </w:rPr>
      </w:pPr>
      <w:r w:rsidRPr="009151B2">
        <w:rPr>
          <w:rFonts w:ascii="Times New Roman" w:hAnsi="Times New Roman"/>
          <w:sz w:val="24"/>
          <w:szCs w:val="24"/>
        </w:rPr>
        <w:lastRenderedPageBreak/>
        <w:t>The DEA meets regularly with the affected industry to discuss policies, programs, and regulations.  These meetings provide an open forum to discuss matters of mutual concern with representatives of those entities from whom the information is obtained.</w:t>
      </w:r>
    </w:p>
    <w:p w:rsidR="00A52C58" w:rsidRDefault="00A52C58" w:rsidP="001A64B0">
      <w:pPr>
        <w:rPr>
          <w:rFonts w:ascii="Times New Roman" w:hAnsi="Times New Roman"/>
          <w:noProof w:val="0"/>
          <w:sz w:val="24"/>
        </w:rPr>
      </w:pPr>
    </w:p>
    <w:p w:rsidR="008E7B3E"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9. </w:t>
      </w:r>
      <w:r w:rsidR="00477399">
        <w:rPr>
          <w:rFonts w:ascii="Times New Roman" w:hAnsi="Times New Roman"/>
          <w:noProof w:val="0"/>
          <w:sz w:val="24"/>
        </w:rPr>
        <w:t xml:space="preserve"> </w:t>
      </w:r>
      <w:r w:rsidR="008E7B3E" w:rsidRPr="00B051D2">
        <w:rPr>
          <w:rFonts w:ascii="Times New Roman" w:hAnsi="Times New Roman"/>
          <w:noProof w:val="0"/>
          <w:sz w:val="24"/>
          <w:u w:val="single"/>
        </w:rPr>
        <w:t>Payment or Gift to Claimants:</w:t>
      </w:r>
    </w:p>
    <w:p w:rsidR="001A64B0" w:rsidRDefault="001A64B0" w:rsidP="001A64B0">
      <w:pPr>
        <w:rPr>
          <w:rFonts w:ascii="Times New Roman" w:hAnsi="Times New Roman"/>
          <w:noProof w:val="0"/>
          <w:sz w:val="24"/>
        </w:rPr>
      </w:pPr>
    </w:p>
    <w:p w:rsidR="00072531" w:rsidRDefault="00A52C58" w:rsidP="001A64B0">
      <w:pPr>
        <w:rPr>
          <w:rFonts w:ascii="Times New Roman" w:hAnsi="Times New Roman"/>
          <w:noProof w:val="0"/>
          <w:sz w:val="24"/>
        </w:rPr>
      </w:pPr>
      <w:r w:rsidRPr="00A52C58">
        <w:rPr>
          <w:rFonts w:ascii="Times New Roman" w:hAnsi="Times New Roman"/>
          <w:noProof w:val="0"/>
          <w:sz w:val="24"/>
        </w:rPr>
        <w:t>This collection of information does not propose to provide any payment or gift to respondents.</w:t>
      </w:r>
    </w:p>
    <w:p w:rsidR="00A52C58" w:rsidRDefault="00A52C58" w:rsidP="001A64B0">
      <w:pPr>
        <w:rPr>
          <w:rFonts w:ascii="Times New Roman" w:hAnsi="Times New Roman"/>
          <w:noProof w:val="0"/>
          <w:sz w:val="24"/>
        </w:rPr>
      </w:pPr>
    </w:p>
    <w:p w:rsidR="008E7B3E"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10. </w:t>
      </w:r>
      <w:r w:rsidR="00477399">
        <w:rPr>
          <w:rFonts w:ascii="Times New Roman" w:hAnsi="Times New Roman"/>
          <w:noProof w:val="0"/>
          <w:sz w:val="24"/>
        </w:rPr>
        <w:t xml:space="preserve"> </w:t>
      </w:r>
      <w:r w:rsidR="008E7B3E" w:rsidRPr="00B051D2">
        <w:rPr>
          <w:rFonts w:ascii="Times New Roman" w:hAnsi="Times New Roman"/>
          <w:noProof w:val="0"/>
          <w:sz w:val="24"/>
          <w:u w:val="single"/>
        </w:rPr>
        <w:t>Assurance of Confidentiality:</w:t>
      </w:r>
    </w:p>
    <w:p w:rsidR="001A64B0" w:rsidRDefault="001A64B0" w:rsidP="001A64B0">
      <w:pPr>
        <w:rPr>
          <w:rFonts w:ascii="Times New Roman" w:hAnsi="Times New Roman"/>
          <w:noProof w:val="0"/>
          <w:sz w:val="24"/>
        </w:rPr>
      </w:pPr>
    </w:p>
    <w:p w:rsidR="001A64B0" w:rsidRDefault="009151B2" w:rsidP="001A64B0">
      <w:pPr>
        <w:rPr>
          <w:rFonts w:ascii="Times New Roman" w:hAnsi="Times New Roman"/>
          <w:sz w:val="24"/>
          <w:szCs w:val="24"/>
        </w:rPr>
      </w:pPr>
      <w:r w:rsidRPr="009151B2">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9151B2" w:rsidRDefault="009151B2" w:rsidP="001A64B0">
      <w:pPr>
        <w:rPr>
          <w:rFonts w:ascii="Times New Roman" w:hAnsi="Times New Roman"/>
          <w:noProof w:val="0"/>
          <w:sz w:val="24"/>
        </w:rPr>
      </w:pPr>
    </w:p>
    <w:p w:rsidR="008E7B3E"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11. </w:t>
      </w:r>
      <w:r w:rsidR="00477399">
        <w:rPr>
          <w:rFonts w:ascii="Times New Roman" w:hAnsi="Times New Roman"/>
          <w:noProof w:val="0"/>
          <w:sz w:val="24"/>
        </w:rPr>
        <w:t xml:space="preserve"> </w:t>
      </w:r>
      <w:r w:rsidR="008E7B3E" w:rsidRPr="00B051D2">
        <w:rPr>
          <w:rFonts w:ascii="Times New Roman" w:hAnsi="Times New Roman"/>
          <w:noProof w:val="0"/>
          <w:sz w:val="24"/>
          <w:u w:val="single"/>
        </w:rPr>
        <w:t>Justification for Sensitive Questions:</w:t>
      </w:r>
    </w:p>
    <w:p w:rsidR="001A64B0" w:rsidRDefault="001A64B0" w:rsidP="001A64B0">
      <w:pPr>
        <w:tabs>
          <w:tab w:val="left" w:pos="720"/>
          <w:tab w:val="left" w:pos="1440"/>
          <w:tab w:val="left" w:pos="2160"/>
        </w:tabs>
        <w:rPr>
          <w:rFonts w:ascii="Times New Roman" w:hAnsi="Times New Roman"/>
          <w:noProof w:val="0"/>
          <w:sz w:val="24"/>
        </w:rPr>
      </w:pPr>
    </w:p>
    <w:p w:rsidR="00072531" w:rsidRDefault="00B051D2" w:rsidP="001A64B0">
      <w:pPr>
        <w:tabs>
          <w:tab w:val="left" w:pos="720"/>
          <w:tab w:val="left" w:pos="1440"/>
          <w:tab w:val="left" w:pos="2160"/>
        </w:tabs>
        <w:rPr>
          <w:rFonts w:ascii="Times New Roman" w:hAnsi="Times New Roman"/>
          <w:noProof w:val="0"/>
          <w:sz w:val="24"/>
        </w:rPr>
      </w:pPr>
      <w:r w:rsidRPr="00B051D2">
        <w:rPr>
          <w:rFonts w:ascii="Times New Roman" w:hAnsi="Times New Roman"/>
          <w:noProof w:val="0"/>
          <w:sz w:val="24"/>
        </w:rPr>
        <w:t>This collection of information does not ask any questions of a sensitive nature.</w:t>
      </w:r>
    </w:p>
    <w:p w:rsidR="00B051D2" w:rsidRDefault="00B051D2" w:rsidP="001A64B0">
      <w:pPr>
        <w:tabs>
          <w:tab w:val="left" w:pos="720"/>
          <w:tab w:val="left" w:pos="1440"/>
          <w:tab w:val="left" w:pos="2160"/>
        </w:tabs>
        <w:rPr>
          <w:rFonts w:ascii="Times New Roman" w:hAnsi="Times New Roman"/>
          <w:noProof w:val="0"/>
          <w:sz w:val="24"/>
        </w:rPr>
      </w:pPr>
    </w:p>
    <w:p w:rsidR="008E7B3E" w:rsidRDefault="000C1537" w:rsidP="001A64B0">
      <w:pPr>
        <w:pStyle w:val="BodyText2"/>
        <w:spacing w:line="240" w:lineRule="auto"/>
      </w:pPr>
      <w:r>
        <w:t xml:space="preserve">12. </w:t>
      </w:r>
      <w:r w:rsidR="00477399">
        <w:t xml:space="preserve"> </w:t>
      </w:r>
      <w:r w:rsidR="008E7B3E" w:rsidRPr="00B051D2">
        <w:rPr>
          <w:u w:val="single"/>
        </w:rPr>
        <w:t>Estimate</w:t>
      </w:r>
      <w:r w:rsidR="00477399">
        <w:rPr>
          <w:u w:val="single"/>
        </w:rPr>
        <w:t xml:space="preserve"> of</w:t>
      </w:r>
      <w:r w:rsidR="008E7B3E" w:rsidRPr="00B051D2">
        <w:rPr>
          <w:u w:val="single"/>
        </w:rPr>
        <w:t xml:space="preserve"> Hour Burden:</w:t>
      </w:r>
    </w:p>
    <w:p w:rsidR="00C002A3" w:rsidRDefault="00C002A3" w:rsidP="00B577EF">
      <w:pPr>
        <w:rPr>
          <w:rFonts w:ascii="Times New Roman" w:hAnsi="Times New Roman"/>
          <w:sz w:val="24"/>
          <w:szCs w:val="24"/>
        </w:rPr>
      </w:pPr>
    </w:p>
    <w:p w:rsidR="008315BB" w:rsidRPr="008315BB" w:rsidRDefault="008315BB" w:rsidP="008315BB">
      <w:pPr>
        <w:rPr>
          <w:rFonts w:ascii="Times New Roman" w:hAnsi="Times New Roman"/>
          <w:sz w:val="24"/>
          <w:szCs w:val="24"/>
        </w:rPr>
      </w:pPr>
      <w:r>
        <w:rPr>
          <w:rFonts w:ascii="Times New Roman" w:hAnsi="Times New Roman"/>
          <w:sz w:val="24"/>
          <w:szCs w:val="24"/>
        </w:rPr>
        <w:t>DEA Form 236 is</w:t>
      </w:r>
      <w:r w:rsidRPr="008315BB">
        <w:rPr>
          <w:rFonts w:ascii="Times New Roman" w:hAnsi="Times New Roman"/>
          <w:sz w:val="24"/>
          <w:szCs w:val="24"/>
        </w:rPr>
        <w:t xml:space="preserve"> submitted on an as-needed basis by any person who desires to import non-narcotic substances in schedules III, IV, and V or to export non-narcotic substances in schedules III and IV and any other substance in schedule V, to furnish a controlled substances import declaration/controlled substance </w:t>
      </w:r>
      <w:r>
        <w:rPr>
          <w:rFonts w:ascii="Times New Roman" w:hAnsi="Times New Roman"/>
          <w:sz w:val="24"/>
          <w:szCs w:val="24"/>
        </w:rPr>
        <w:t>export invoice.</w:t>
      </w:r>
    </w:p>
    <w:p w:rsidR="008315BB" w:rsidRPr="00B577EF" w:rsidRDefault="008315BB" w:rsidP="008315BB">
      <w:pPr>
        <w:rPr>
          <w:szCs w:val="24"/>
        </w:rPr>
      </w:pPr>
    </w:p>
    <w:tbl>
      <w:tblPr>
        <w:tblW w:w="67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440"/>
        <w:gridCol w:w="1080"/>
        <w:gridCol w:w="1080"/>
        <w:gridCol w:w="1080"/>
      </w:tblGrid>
      <w:tr w:rsidR="008315BB" w:rsidRPr="008315BB" w:rsidTr="008315BB">
        <w:trPr>
          <w:trHeight w:val="800"/>
        </w:trPr>
        <w:tc>
          <w:tcPr>
            <w:tcW w:w="2075" w:type="dxa"/>
            <w:shd w:val="clear" w:color="auto" w:fill="B8CCE4" w:themeFill="accent1" w:themeFillTint="66"/>
            <w:vAlign w:val="center"/>
            <w:hideMark/>
          </w:tcPr>
          <w:p w:rsidR="008315BB" w:rsidRPr="008315BB" w:rsidRDefault="008315BB" w:rsidP="003343B7">
            <w:pPr>
              <w:rPr>
                <w:rFonts w:ascii="Times New Roman" w:hAnsi="Times New Roman"/>
                <w:color w:val="000000"/>
              </w:rPr>
            </w:pPr>
          </w:p>
        </w:tc>
        <w:tc>
          <w:tcPr>
            <w:tcW w:w="1440" w:type="dxa"/>
            <w:shd w:val="clear" w:color="auto" w:fill="B8CCE4" w:themeFill="accent1" w:themeFillTint="66"/>
            <w:vAlign w:val="center"/>
            <w:hideMark/>
          </w:tcPr>
          <w:p w:rsidR="008315BB" w:rsidRPr="008315BB" w:rsidRDefault="008315BB" w:rsidP="003343B7">
            <w:pPr>
              <w:jc w:val="center"/>
              <w:rPr>
                <w:rFonts w:ascii="Times New Roman" w:hAnsi="Times New Roman"/>
                <w:b/>
                <w:bCs/>
                <w:color w:val="000000"/>
              </w:rPr>
            </w:pPr>
            <w:r w:rsidRPr="008315BB">
              <w:rPr>
                <w:rFonts w:ascii="Times New Roman" w:hAnsi="Times New Roman"/>
                <w:b/>
                <w:bCs/>
                <w:color w:val="000000"/>
              </w:rPr>
              <w:t>Number of Annual Respondents</w:t>
            </w:r>
          </w:p>
        </w:tc>
        <w:tc>
          <w:tcPr>
            <w:tcW w:w="1080" w:type="dxa"/>
            <w:shd w:val="clear" w:color="auto" w:fill="B8CCE4" w:themeFill="accent1" w:themeFillTint="66"/>
            <w:vAlign w:val="center"/>
            <w:hideMark/>
          </w:tcPr>
          <w:p w:rsidR="008315BB" w:rsidRPr="008315BB" w:rsidRDefault="008315BB" w:rsidP="003343B7">
            <w:pPr>
              <w:jc w:val="center"/>
              <w:rPr>
                <w:rFonts w:ascii="Times New Roman" w:hAnsi="Times New Roman"/>
                <w:b/>
                <w:bCs/>
                <w:color w:val="000000"/>
              </w:rPr>
            </w:pPr>
            <w:r w:rsidRPr="008315BB">
              <w:rPr>
                <w:rFonts w:ascii="Times New Roman" w:hAnsi="Times New Roman"/>
                <w:b/>
                <w:bCs/>
                <w:color w:val="000000"/>
              </w:rPr>
              <w:t>Number of Annual responses</w:t>
            </w:r>
          </w:p>
        </w:tc>
        <w:tc>
          <w:tcPr>
            <w:tcW w:w="1080" w:type="dxa"/>
            <w:shd w:val="clear" w:color="auto" w:fill="B8CCE4" w:themeFill="accent1" w:themeFillTint="66"/>
            <w:vAlign w:val="center"/>
            <w:hideMark/>
          </w:tcPr>
          <w:p w:rsidR="008315BB" w:rsidRPr="008315BB" w:rsidRDefault="008315BB" w:rsidP="003343B7">
            <w:pPr>
              <w:jc w:val="center"/>
              <w:rPr>
                <w:rFonts w:ascii="Times New Roman" w:hAnsi="Times New Roman"/>
                <w:b/>
                <w:bCs/>
                <w:color w:val="000000"/>
              </w:rPr>
            </w:pPr>
            <w:r w:rsidRPr="008315BB">
              <w:rPr>
                <w:rFonts w:ascii="Times New Roman" w:hAnsi="Times New Roman"/>
                <w:b/>
                <w:bCs/>
                <w:color w:val="000000"/>
              </w:rPr>
              <w:t>Average Time per Response</w:t>
            </w:r>
            <w:r>
              <w:rPr>
                <w:rFonts w:ascii="Times New Roman" w:hAnsi="Times New Roman"/>
                <w:b/>
                <w:bCs/>
                <w:color w:val="000000"/>
              </w:rPr>
              <w:t xml:space="preserve"> (Hrs)</w:t>
            </w:r>
          </w:p>
        </w:tc>
        <w:tc>
          <w:tcPr>
            <w:tcW w:w="1080" w:type="dxa"/>
            <w:shd w:val="clear" w:color="auto" w:fill="B8CCE4" w:themeFill="accent1" w:themeFillTint="66"/>
            <w:vAlign w:val="center"/>
            <w:hideMark/>
          </w:tcPr>
          <w:p w:rsidR="008315BB" w:rsidRPr="008315BB" w:rsidRDefault="008315BB" w:rsidP="003343B7">
            <w:pPr>
              <w:jc w:val="center"/>
              <w:rPr>
                <w:rFonts w:ascii="Times New Roman" w:hAnsi="Times New Roman"/>
                <w:b/>
                <w:bCs/>
                <w:color w:val="000000"/>
              </w:rPr>
            </w:pPr>
            <w:r w:rsidRPr="008315BB">
              <w:rPr>
                <w:rFonts w:ascii="Times New Roman" w:hAnsi="Times New Roman"/>
                <w:b/>
                <w:bCs/>
                <w:color w:val="000000"/>
              </w:rPr>
              <w:t>Total Annual Hours</w:t>
            </w:r>
          </w:p>
        </w:tc>
      </w:tr>
      <w:tr w:rsidR="008315BB" w:rsidRPr="008315BB" w:rsidTr="003343B7">
        <w:trPr>
          <w:trHeight w:val="510"/>
        </w:trPr>
        <w:tc>
          <w:tcPr>
            <w:tcW w:w="2075" w:type="dxa"/>
            <w:vAlign w:val="center"/>
            <w:hideMark/>
          </w:tcPr>
          <w:p w:rsidR="008315BB" w:rsidRPr="008315BB" w:rsidRDefault="008315BB" w:rsidP="003343B7">
            <w:pPr>
              <w:rPr>
                <w:rFonts w:ascii="Times New Roman" w:hAnsi="Times New Roman"/>
                <w:color w:val="000000"/>
              </w:rPr>
            </w:pPr>
            <w:r w:rsidRPr="008315BB">
              <w:rPr>
                <w:rFonts w:ascii="Times New Roman" w:hAnsi="Times New Roman"/>
                <w:color w:val="000000"/>
              </w:rPr>
              <w:t>DEA 161</w:t>
            </w:r>
          </w:p>
        </w:tc>
        <w:tc>
          <w:tcPr>
            <w:tcW w:w="1440" w:type="dxa"/>
            <w:vAlign w:val="center"/>
          </w:tcPr>
          <w:p w:rsidR="008315BB" w:rsidRPr="008315BB" w:rsidRDefault="008315BB" w:rsidP="003343B7">
            <w:pPr>
              <w:jc w:val="right"/>
              <w:rPr>
                <w:rFonts w:ascii="Times New Roman" w:hAnsi="Times New Roman"/>
                <w:color w:val="000000"/>
              </w:rPr>
            </w:pPr>
            <w:r>
              <w:rPr>
                <w:rFonts w:ascii="Times New Roman" w:hAnsi="Times New Roman"/>
                <w:color w:val="000000"/>
              </w:rPr>
              <w:t>341</w:t>
            </w:r>
          </w:p>
        </w:tc>
        <w:tc>
          <w:tcPr>
            <w:tcW w:w="1080" w:type="dxa"/>
            <w:vAlign w:val="center"/>
            <w:hideMark/>
          </w:tcPr>
          <w:p w:rsidR="008315BB" w:rsidRPr="008315BB" w:rsidRDefault="008315BB" w:rsidP="003343B7">
            <w:pPr>
              <w:jc w:val="right"/>
              <w:rPr>
                <w:rFonts w:ascii="Times New Roman" w:hAnsi="Times New Roman"/>
                <w:color w:val="000000"/>
              </w:rPr>
            </w:pPr>
            <w:r>
              <w:rPr>
                <w:rFonts w:ascii="Times New Roman" w:hAnsi="Times New Roman"/>
                <w:color w:val="000000"/>
              </w:rPr>
              <w:t>6,026</w:t>
            </w:r>
          </w:p>
        </w:tc>
        <w:tc>
          <w:tcPr>
            <w:tcW w:w="1080" w:type="dxa"/>
            <w:vAlign w:val="center"/>
            <w:hideMark/>
          </w:tcPr>
          <w:p w:rsidR="008315BB" w:rsidRPr="008315BB" w:rsidRDefault="008315BB" w:rsidP="003343B7">
            <w:pPr>
              <w:jc w:val="right"/>
              <w:rPr>
                <w:rFonts w:ascii="Times New Roman" w:hAnsi="Times New Roman"/>
                <w:color w:val="000000"/>
              </w:rPr>
            </w:pPr>
            <w:r>
              <w:rPr>
                <w:rFonts w:ascii="Times New Roman" w:hAnsi="Times New Roman"/>
                <w:color w:val="000000"/>
              </w:rPr>
              <w:t>0.25</w:t>
            </w:r>
          </w:p>
        </w:tc>
        <w:tc>
          <w:tcPr>
            <w:tcW w:w="1080" w:type="dxa"/>
            <w:vAlign w:val="center"/>
            <w:hideMark/>
          </w:tcPr>
          <w:p w:rsidR="008315BB" w:rsidRPr="008315BB" w:rsidRDefault="008315BB" w:rsidP="003343B7">
            <w:pPr>
              <w:jc w:val="right"/>
              <w:rPr>
                <w:rFonts w:ascii="Times New Roman" w:hAnsi="Times New Roman"/>
                <w:color w:val="000000"/>
              </w:rPr>
            </w:pPr>
            <w:r>
              <w:rPr>
                <w:rFonts w:ascii="Times New Roman" w:hAnsi="Times New Roman"/>
                <w:color w:val="000000"/>
              </w:rPr>
              <w:t>1,507</w:t>
            </w:r>
          </w:p>
        </w:tc>
      </w:tr>
      <w:tr w:rsidR="008315BB" w:rsidRPr="008315BB" w:rsidTr="003343B7">
        <w:trPr>
          <w:trHeight w:val="300"/>
        </w:trPr>
        <w:tc>
          <w:tcPr>
            <w:tcW w:w="2075" w:type="dxa"/>
            <w:shd w:val="clear" w:color="auto" w:fill="B8CCE4" w:themeFill="accent1" w:themeFillTint="66"/>
            <w:vAlign w:val="center"/>
            <w:hideMark/>
          </w:tcPr>
          <w:p w:rsidR="008315BB" w:rsidRPr="008315BB" w:rsidRDefault="008315BB" w:rsidP="003343B7">
            <w:pPr>
              <w:rPr>
                <w:rFonts w:ascii="Times New Roman" w:hAnsi="Times New Roman"/>
                <w:b/>
                <w:bCs/>
                <w:color w:val="000000"/>
              </w:rPr>
            </w:pPr>
            <w:r w:rsidRPr="008315BB">
              <w:rPr>
                <w:rFonts w:ascii="Times New Roman" w:hAnsi="Times New Roman"/>
                <w:b/>
                <w:bCs/>
                <w:color w:val="000000"/>
              </w:rPr>
              <w:t>Total</w:t>
            </w:r>
          </w:p>
        </w:tc>
        <w:tc>
          <w:tcPr>
            <w:tcW w:w="1440" w:type="dxa"/>
            <w:shd w:val="clear" w:color="auto" w:fill="B8CCE4" w:themeFill="accent1" w:themeFillTint="66"/>
            <w:vAlign w:val="center"/>
            <w:hideMark/>
          </w:tcPr>
          <w:p w:rsidR="008315BB" w:rsidRPr="008315BB" w:rsidRDefault="008315BB" w:rsidP="003343B7">
            <w:pPr>
              <w:jc w:val="right"/>
              <w:rPr>
                <w:rFonts w:ascii="Times New Roman" w:hAnsi="Times New Roman"/>
                <w:b/>
                <w:bCs/>
                <w:color w:val="000000"/>
              </w:rPr>
            </w:pPr>
            <w:r>
              <w:rPr>
                <w:rFonts w:ascii="Times New Roman" w:hAnsi="Times New Roman"/>
                <w:b/>
                <w:bCs/>
                <w:color w:val="000000"/>
              </w:rPr>
              <w:t>341</w:t>
            </w:r>
          </w:p>
        </w:tc>
        <w:tc>
          <w:tcPr>
            <w:tcW w:w="1080" w:type="dxa"/>
            <w:shd w:val="clear" w:color="auto" w:fill="B8CCE4" w:themeFill="accent1" w:themeFillTint="66"/>
            <w:vAlign w:val="center"/>
            <w:hideMark/>
          </w:tcPr>
          <w:p w:rsidR="008315BB" w:rsidRPr="008315BB" w:rsidRDefault="008315BB" w:rsidP="003343B7">
            <w:pPr>
              <w:jc w:val="right"/>
              <w:rPr>
                <w:rFonts w:ascii="Times New Roman" w:hAnsi="Times New Roman"/>
                <w:b/>
                <w:bCs/>
                <w:color w:val="000000"/>
              </w:rPr>
            </w:pPr>
            <w:r>
              <w:rPr>
                <w:rFonts w:ascii="Times New Roman" w:hAnsi="Times New Roman"/>
                <w:b/>
                <w:bCs/>
                <w:color w:val="000000"/>
              </w:rPr>
              <w:t>6,026</w:t>
            </w:r>
          </w:p>
        </w:tc>
        <w:tc>
          <w:tcPr>
            <w:tcW w:w="1080" w:type="dxa"/>
            <w:shd w:val="clear" w:color="auto" w:fill="B8CCE4" w:themeFill="accent1" w:themeFillTint="66"/>
            <w:vAlign w:val="center"/>
            <w:hideMark/>
          </w:tcPr>
          <w:p w:rsidR="008315BB" w:rsidRPr="008315BB" w:rsidRDefault="008315BB" w:rsidP="003343B7">
            <w:pPr>
              <w:jc w:val="right"/>
              <w:rPr>
                <w:rFonts w:ascii="Times New Roman" w:hAnsi="Times New Roman"/>
                <w:b/>
                <w:bCs/>
                <w:color w:val="000000"/>
              </w:rPr>
            </w:pPr>
          </w:p>
        </w:tc>
        <w:tc>
          <w:tcPr>
            <w:tcW w:w="1080" w:type="dxa"/>
            <w:shd w:val="clear" w:color="auto" w:fill="B8CCE4" w:themeFill="accent1" w:themeFillTint="66"/>
            <w:vAlign w:val="center"/>
            <w:hideMark/>
          </w:tcPr>
          <w:p w:rsidR="008315BB" w:rsidRPr="008315BB" w:rsidRDefault="008315BB" w:rsidP="003343B7">
            <w:pPr>
              <w:jc w:val="right"/>
              <w:rPr>
                <w:rFonts w:ascii="Times New Roman" w:hAnsi="Times New Roman"/>
                <w:b/>
                <w:bCs/>
                <w:color w:val="000000"/>
              </w:rPr>
            </w:pPr>
            <w:r>
              <w:rPr>
                <w:rFonts w:ascii="Times New Roman" w:hAnsi="Times New Roman"/>
                <w:b/>
                <w:bCs/>
                <w:color w:val="000000"/>
              </w:rPr>
              <w:t>1,507</w:t>
            </w:r>
          </w:p>
        </w:tc>
      </w:tr>
    </w:tbl>
    <w:p w:rsidR="008315BB" w:rsidRDefault="008315BB" w:rsidP="008315BB">
      <w:pPr>
        <w:tabs>
          <w:tab w:val="left" w:pos="2880"/>
        </w:tabs>
      </w:pPr>
    </w:p>
    <w:tbl>
      <w:tblPr>
        <w:tblW w:w="7120" w:type="dxa"/>
        <w:tblInd w:w="720" w:type="dxa"/>
        <w:tblLook w:val="04A0" w:firstRow="1" w:lastRow="0" w:firstColumn="1" w:lastColumn="0" w:noHBand="0" w:noVBand="1"/>
      </w:tblPr>
      <w:tblGrid>
        <w:gridCol w:w="4762"/>
        <w:gridCol w:w="1116"/>
        <w:gridCol w:w="1242"/>
      </w:tblGrid>
      <w:tr w:rsidR="008315BB" w:rsidRPr="008315BB" w:rsidTr="003343B7">
        <w:trPr>
          <w:trHeight w:val="315"/>
        </w:trPr>
        <w:tc>
          <w:tcPr>
            <w:tcW w:w="4762" w:type="dxa"/>
            <w:tcBorders>
              <w:top w:val="nil"/>
              <w:left w:val="nil"/>
              <w:bottom w:val="nil"/>
              <w:right w:val="nil"/>
            </w:tcBorders>
            <w:shd w:val="clear" w:color="auto" w:fill="auto"/>
            <w:noWrap/>
            <w:vAlign w:val="center"/>
            <w:hideMark/>
          </w:tcPr>
          <w:p w:rsidR="008315BB" w:rsidRPr="008315BB" w:rsidRDefault="008315BB" w:rsidP="003343B7">
            <w:pPr>
              <w:rPr>
                <w:rFonts w:ascii="Times New Roman" w:hAnsi="Times New Roman"/>
                <w:color w:val="000000"/>
                <w:sz w:val="24"/>
                <w:szCs w:val="24"/>
              </w:rPr>
            </w:pPr>
            <w:r w:rsidRPr="008315BB">
              <w:rPr>
                <w:rFonts w:ascii="Times New Roman" w:hAnsi="Times New Roman"/>
                <w:color w:val="000000"/>
                <w:sz w:val="24"/>
                <w:szCs w:val="24"/>
              </w:rPr>
              <w:t>Total number of respondents:</w:t>
            </w:r>
          </w:p>
        </w:tc>
        <w:tc>
          <w:tcPr>
            <w:tcW w:w="1116" w:type="dxa"/>
            <w:tcBorders>
              <w:top w:val="nil"/>
              <w:left w:val="nil"/>
              <w:bottom w:val="nil"/>
              <w:right w:val="nil"/>
            </w:tcBorders>
            <w:shd w:val="clear" w:color="auto" w:fill="auto"/>
            <w:noWrap/>
            <w:vAlign w:val="bottom"/>
            <w:hideMark/>
          </w:tcPr>
          <w:p w:rsidR="008315BB" w:rsidRPr="008315BB" w:rsidRDefault="008315BB" w:rsidP="003343B7">
            <w:pPr>
              <w:jc w:val="right"/>
              <w:rPr>
                <w:rFonts w:ascii="Times New Roman" w:hAnsi="Times New Roman"/>
                <w:color w:val="000000"/>
                <w:sz w:val="24"/>
                <w:szCs w:val="24"/>
              </w:rPr>
            </w:pPr>
            <w:r>
              <w:rPr>
                <w:rFonts w:ascii="Times New Roman" w:hAnsi="Times New Roman"/>
                <w:color w:val="000000"/>
                <w:sz w:val="24"/>
                <w:szCs w:val="24"/>
              </w:rPr>
              <w:t>341</w:t>
            </w:r>
          </w:p>
        </w:tc>
        <w:tc>
          <w:tcPr>
            <w:tcW w:w="1242" w:type="dxa"/>
            <w:tcBorders>
              <w:top w:val="nil"/>
              <w:left w:val="nil"/>
              <w:bottom w:val="nil"/>
              <w:right w:val="nil"/>
            </w:tcBorders>
            <w:shd w:val="clear" w:color="auto" w:fill="auto"/>
            <w:noWrap/>
            <w:vAlign w:val="bottom"/>
            <w:hideMark/>
          </w:tcPr>
          <w:p w:rsidR="008315BB" w:rsidRPr="008315BB" w:rsidRDefault="008315BB" w:rsidP="003343B7">
            <w:pPr>
              <w:rPr>
                <w:rFonts w:ascii="Times New Roman" w:hAnsi="Times New Roman"/>
                <w:color w:val="000000"/>
                <w:sz w:val="24"/>
                <w:szCs w:val="24"/>
              </w:rPr>
            </w:pPr>
          </w:p>
        </w:tc>
      </w:tr>
      <w:tr w:rsidR="008315BB" w:rsidRPr="008315BB" w:rsidTr="003343B7">
        <w:trPr>
          <w:trHeight w:val="315"/>
        </w:trPr>
        <w:tc>
          <w:tcPr>
            <w:tcW w:w="4762" w:type="dxa"/>
            <w:tcBorders>
              <w:top w:val="nil"/>
              <w:left w:val="nil"/>
              <w:bottom w:val="nil"/>
              <w:right w:val="nil"/>
            </w:tcBorders>
            <w:shd w:val="clear" w:color="auto" w:fill="auto"/>
            <w:noWrap/>
            <w:vAlign w:val="center"/>
            <w:hideMark/>
          </w:tcPr>
          <w:p w:rsidR="008315BB" w:rsidRPr="008315BB" w:rsidRDefault="008315BB" w:rsidP="003343B7">
            <w:pPr>
              <w:rPr>
                <w:rFonts w:ascii="Times New Roman" w:hAnsi="Times New Roman"/>
                <w:color w:val="000000"/>
                <w:sz w:val="24"/>
                <w:szCs w:val="24"/>
              </w:rPr>
            </w:pPr>
            <w:r w:rsidRPr="008315BB">
              <w:rPr>
                <w:rFonts w:ascii="Times New Roman" w:hAnsi="Times New Roman"/>
                <w:color w:val="000000"/>
                <w:sz w:val="24"/>
                <w:szCs w:val="24"/>
              </w:rPr>
              <w:t>Total annual responses</w:t>
            </w:r>
          </w:p>
        </w:tc>
        <w:tc>
          <w:tcPr>
            <w:tcW w:w="1116" w:type="dxa"/>
            <w:tcBorders>
              <w:top w:val="nil"/>
              <w:left w:val="nil"/>
              <w:bottom w:val="nil"/>
              <w:right w:val="nil"/>
            </w:tcBorders>
            <w:shd w:val="clear" w:color="auto" w:fill="auto"/>
            <w:noWrap/>
            <w:vAlign w:val="bottom"/>
            <w:hideMark/>
          </w:tcPr>
          <w:p w:rsidR="008315BB" w:rsidRPr="008315BB" w:rsidRDefault="008315BB" w:rsidP="008315BB">
            <w:pPr>
              <w:jc w:val="right"/>
              <w:rPr>
                <w:rFonts w:ascii="Times New Roman" w:hAnsi="Times New Roman"/>
                <w:color w:val="000000"/>
                <w:sz w:val="24"/>
                <w:szCs w:val="24"/>
              </w:rPr>
            </w:pPr>
            <w:r w:rsidRPr="008315BB">
              <w:rPr>
                <w:rFonts w:ascii="Times New Roman" w:hAnsi="Times New Roman"/>
                <w:color w:val="000000"/>
                <w:sz w:val="24"/>
                <w:szCs w:val="24"/>
              </w:rPr>
              <w:t>6,</w:t>
            </w:r>
            <w:r>
              <w:rPr>
                <w:rFonts w:ascii="Times New Roman" w:hAnsi="Times New Roman"/>
                <w:color w:val="000000"/>
                <w:sz w:val="24"/>
                <w:szCs w:val="24"/>
              </w:rPr>
              <w:t>026</w:t>
            </w:r>
          </w:p>
        </w:tc>
        <w:tc>
          <w:tcPr>
            <w:tcW w:w="1242" w:type="dxa"/>
            <w:tcBorders>
              <w:top w:val="nil"/>
              <w:left w:val="nil"/>
              <w:bottom w:val="nil"/>
              <w:right w:val="nil"/>
            </w:tcBorders>
            <w:shd w:val="clear" w:color="auto" w:fill="auto"/>
            <w:noWrap/>
            <w:vAlign w:val="bottom"/>
            <w:hideMark/>
          </w:tcPr>
          <w:p w:rsidR="008315BB" w:rsidRPr="008315BB" w:rsidRDefault="008315BB" w:rsidP="003343B7">
            <w:pPr>
              <w:rPr>
                <w:rFonts w:ascii="Times New Roman" w:hAnsi="Times New Roman"/>
                <w:color w:val="000000"/>
                <w:sz w:val="24"/>
                <w:szCs w:val="24"/>
              </w:rPr>
            </w:pPr>
          </w:p>
        </w:tc>
      </w:tr>
      <w:tr w:rsidR="008315BB" w:rsidRPr="008315BB" w:rsidTr="003343B7">
        <w:trPr>
          <w:trHeight w:val="315"/>
        </w:trPr>
        <w:tc>
          <w:tcPr>
            <w:tcW w:w="4762" w:type="dxa"/>
            <w:tcBorders>
              <w:top w:val="nil"/>
              <w:left w:val="nil"/>
              <w:bottom w:val="nil"/>
              <w:right w:val="nil"/>
            </w:tcBorders>
            <w:shd w:val="clear" w:color="auto" w:fill="auto"/>
            <w:noWrap/>
            <w:vAlign w:val="center"/>
            <w:hideMark/>
          </w:tcPr>
          <w:p w:rsidR="008315BB" w:rsidRPr="008315BB" w:rsidRDefault="008315BB" w:rsidP="003343B7">
            <w:pPr>
              <w:rPr>
                <w:rFonts w:ascii="Times New Roman" w:hAnsi="Times New Roman"/>
                <w:color w:val="000000"/>
                <w:sz w:val="24"/>
                <w:szCs w:val="24"/>
              </w:rPr>
            </w:pPr>
            <w:r w:rsidRPr="008315BB">
              <w:rPr>
                <w:rFonts w:ascii="Times New Roman" w:hAnsi="Times New Roman"/>
                <w:color w:val="000000"/>
                <w:sz w:val="24"/>
                <w:szCs w:val="24"/>
              </w:rPr>
              <w:t>Number of responses per respondent per year:</w:t>
            </w:r>
          </w:p>
        </w:tc>
        <w:tc>
          <w:tcPr>
            <w:tcW w:w="1116" w:type="dxa"/>
            <w:tcBorders>
              <w:top w:val="nil"/>
              <w:left w:val="nil"/>
              <w:bottom w:val="nil"/>
              <w:right w:val="nil"/>
            </w:tcBorders>
            <w:shd w:val="clear" w:color="auto" w:fill="auto"/>
            <w:noWrap/>
            <w:vAlign w:val="bottom"/>
            <w:hideMark/>
          </w:tcPr>
          <w:p w:rsidR="008315BB" w:rsidRPr="008315BB" w:rsidRDefault="008315BB" w:rsidP="003343B7">
            <w:pPr>
              <w:jc w:val="right"/>
              <w:rPr>
                <w:rFonts w:ascii="Times New Roman" w:hAnsi="Times New Roman"/>
                <w:color w:val="000000"/>
                <w:sz w:val="24"/>
                <w:szCs w:val="24"/>
              </w:rPr>
            </w:pPr>
            <w:r w:rsidRPr="008315BB">
              <w:rPr>
                <w:rFonts w:ascii="Times New Roman" w:hAnsi="Times New Roman"/>
                <w:color w:val="000000"/>
                <w:sz w:val="24"/>
                <w:szCs w:val="24"/>
              </w:rPr>
              <w:t xml:space="preserve">       </w:t>
            </w:r>
            <w:r>
              <w:rPr>
                <w:rFonts w:ascii="Times New Roman" w:hAnsi="Times New Roman"/>
                <w:color w:val="000000"/>
                <w:sz w:val="24"/>
                <w:szCs w:val="24"/>
              </w:rPr>
              <w:t>17.7</w:t>
            </w:r>
            <w:r w:rsidRPr="008315BB">
              <w:rPr>
                <w:rFonts w:ascii="Times New Roman" w:hAnsi="Times New Roman"/>
                <w:color w:val="000000"/>
                <w:sz w:val="24"/>
                <w:szCs w:val="24"/>
              </w:rPr>
              <w:t xml:space="preserve"> </w:t>
            </w:r>
          </w:p>
        </w:tc>
        <w:tc>
          <w:tcPr>
            <w:tcW w:w="1242" w:type="dxa"/>
            <w:tcBorders>
              <w:top w:val="nil"/>
              <w:left w:val="nil"/>
              <w:bottom w:val="nil"/>
              <w:right w:val="nil"/>
            </w:tcBorders>
            <w:shd w:val="clear" w:color="auto" w:fill="auto"/>
            <w:noWrap/>
            <w:vAlign w:val="bottom"/>
            <w:hideMark/>
          </w:tcPr>
          <w:p w:rsidR="008315BB" w:rsidRPr="008315BB" w:rsidRDefault="008315BB" w:rsidP="003343B7">
            <w:pPr>
              <w:rPr>
                <w:rFonts w:ascii="Times New Roman" w:hAnsi="Times New Roman"/>
                <w:color w:val="000000"/>
                <w:sz w:val="24"/>
                <w:szCs w:val="24"/>
              </w:rPr>
            </w:pPr>
            <w:r w:rsidRPr="008315BB">
              <w:rPr>
                <w:rFonts w:ascii="Times New Roman" w:hAnsi="Times New Roman"/>
                <w:color w:val="000000"/>
                <w:sz w:val="24"/>
                <w:szCs w:val="24"/>
              </w:rPr>
              <w:t>(average)</w:t>
            </w:r>
          </w:p>
        </w:tc>
      </w:tr>
      <w:tr w:rsidR="008315BB" w:rsidRPr="008315BB" w:rsidTr="003343B7">
        <w:trPr>
          <w:trHeight w:val="315"/>
        </w:trPr>
        <w:tc>
          <w:tcPr>
            <w:tcW w:w="4762" w:type="dxa"/>
            <w:tcBorders>
              <w:top w:val="nil"/>
              <w:left w:val="nil"/>
              <w:bottom w:val="nil"/>
              <w:right w:val="nil"/>
            </w:tcBorders>
            <w:shd w:val="clear" w:color="auto" w:fill="auto"/>
            <w:noWrap/>
            <w:vAlign w:val="center"/>
            <w:hideMark/>
          </w:tcPr>
          <w:p w:rsidR="008315BB" w:rsidRPr="008315BB" w:rsidRDefault="008315BB" w:rsidP="003343B7">
            <w:pPr>
              <w:rPr>
                <w:rFonts w:ascii="Times New Roman" w:hAnsi="Times New Roman"/>
                <w:color w:val="000000"/>
                <w:sz w:val="24"/>
                <w:szCs w:val="24"/>
              </w:rPr>
            </w:pPr>
            <w:r w:rsidRPr="008315BB">
              <w:rPr>
                <w:rFonts w:ascii="Times New Roman" w:hAnsi="Times New Roman"/>
                <w:color w:val="000000"/>
                <w:sz w:val="24"/>
                <w:szCs w:val="24"/>
              </w:rPr>
              <w:t>Total annual hour burden</w:t>
            </w:r>
          </w:p>
        </w:tc>
        <w:tc>
          <w:tcPr>
            <w:tcW w:w="1116" w:type="dxa"/>
            <w:tcBorders>
              <w:top w:val="nil"/>
              <w:left w:val="nil"/>
              <w:bottom w:val="nil"/>
              <w:right w:val="nil"/>
            </w:tcBorders>
            <w:shd w:val="clear" w:color="auto" w:fill="auto"/>
            <w:noWrap/>
            <w:vAlign w:val="bottom"/>
            <w:hideMark/>
          </w:tcPr>
          <w:p w:rsidR="008315BB" w:rsidRPr="008315BB" w:rsidRDefault="006253B7" w:rsidP="003343B7">
            <w:pPr>
              <w:jc w:val="right"/>
              <w:rPr>
                <w:rFonts w:ascii="Times New Roman" w:hAnsi="Times New Roman"/>
                <w:color w:val="000000"/>
                <w:sz w:val="24"/>
                <w:szCs w:val="24"/>
              </w:rPr>
            </w:pPr>
            <w:r>
              <w:rPr>
                <w:rFonts w:ascii="Times New Roman" w:hAnsi="Times New Roman"/>
                <w:color w:val="000000"/>
                <w:sz w:val="24"/>
                <w:szCs w:val="24"/>
              </w:rPr>
              <w:t>1,507</w:t>
            </w:r>
          </w:p>
        </w:tc>
        <w:tc>
          <w:tcPr>
            <w:tcW w:w="1242" w:type="dxa"/>
            <w:tcBorders>
              <w:top w:val="nil"/>
              <w:left w:val="nil"/>
              <w:bottom w:val="nil"/>
              <w:right w:val="nil"/>
            </w:tcBorders>
            <w:shd w:val="clear" w:color="auto" w:fill="auto"/>
            <w:noWrap/>
            <w:vAlign w:val="bottom"/>
            <w:hideMark/>
          </w:tcPr>
          <w:p w:rsidR="008315BB" w:rsidRPr="008315BB" w:rsidRDefault="008315BB" w:rsidP="003343B7">
            <w:pPr>
              <w:rPr>
                <w:rFonts w:ascii="Times New Roman" w:hAnsi="Times New Roman"/>
                <w:color w:val="000000"/>
                <w:sz w:val="24"/>
                <w:szCs w:val="24"/>
              </w:rPr>
            </w:pPr>
          </w:p>
        </w:tc>
      </w:tr>
      <w:tr w:rsidR="008315BB" w:rsidRPr="008315BB" w:rsidTr="003343B7">
        <w:trPr>
          <w:trHeight w:val="315"/>
        </w:trPr>
        <w:tc>
          <w:tcPr>
            <w:tcW w:w="4762" w:type="dxa"/>
            <w:tcBorders>
              <w:top w:val="nil"/>
              <w:left w:val="nil"/>
              <w:bottom w:val="nil"/>
              <w:right w:val="nil"/>
            </w:tcBorders>
            <w:shd w:val="clear" w:color="auto" w:fill="auto"/>
            <w:noWrap/>
            <w:vAlign w:val="center"/>
            <w:hideMark/>
          </w:tcPr>
          <w:p w:rsidR="008315BB" w:rsidRPr="008315BB" w:rsidRDefault="008315BB" w:rsidP="003343B7">
            <w:pPr>
              <w:rPr>
                <w:rFonts w:ascii="Times New Roman" w:hAnsi="Times New Roman"/>
                <w:color w:val="000000"/>
                <w:sz w:val="24"/>
                <w:szCs w:val="24"/>
              </w:rPr>
            </w:pPr>
          </w:p>
        </w:tc>
        <w:tc>
          <w:tcPr>
            <w:tcW w:w="1116" w:type="dxa"/>
            <w:tcBorders>
              <w:top w:val="nil"/>
              <w:left w:val="nil"/>
              <w:bottom w:val="nil"/>
              <w:right w:val="nil"/>
            </w:tcBorders>
            <w:shd w:val="clear" w:color="auto" w:fill="auto"/>
            <w:noWrap/>
            <w:vAlign w:val="bottom"/>
            <w:hideMark/>
          </w:tcPr>
          <w:p w:rsidR="008315BB" w:rsidRPr="008315BB" w:rsidRDefault="008315BB" w:rsidP="003343B7">
            <w:pPr>
              <w:jc w:val="right"/>
              <w:rPr>
                <w:rFonts w:ascii="Times New Roman" w:hAnsi="Times New Roman"/>
                <w:color w:val="000000"/>
                <w:sz w:val="24"/>
                <w:szCs w:val="24"/>
              </w:rPr>
            </w:pPr>
          </w:p>
        </w:tc>
        <w:tc>
          <w:tcPr>
            <w:tcW w:w="1242" w:type="dxa"/>
            <w:tcBorders>
              <w:top w:val="nil"/>
              <w:left w:val="nil"/>
              <w:bottom w:val="nil"/>
              <w:right w:val="nil"/>
            </w:tcBorders>
            <w:shd w:val="clear" w:color="auto" w:fill="auto"/>
            <w:noWrap/>
            <w:vAlign w:val="bottom"/>
            <w:hideMark/>
          </w:tcPr>
          <w:p w:rsidR="008315BB" w:rsidRPr="008315BB" w:rsidRDefault="008315BB" w:rsidP="003343B7">
            <w:pPr>
              <w:rPr>
                <w:rFonts w:ascii="Times New Roman" w:hAnsi="Times New Roman"/>
                <w:color w:val="000000"/>
                <w:sz w:val="24"/>
                <w:szCs w:val="24"/>
              </w:rPr>
            </w:pPr>
          </w:p>
        </w:tc>
      </w:tr>
      <w:tr w:rsidR="008315BB" w:rsidRPr="008315BB" w:rsidTr="003343B7">
        <w:trPr>
          <w:trHeight w:val="315"/>
        </w:trPr>
        <w:tc>
          <w:tcPr>
            <w:tcW w:w="4762" w:type="dxa"/>
            <w:tcBorders>
              <w:top w:val="nil"/>
              <w:left w:val="nil"/>
              <w:bottom w:val="nil"/>
              <w:right w:val="nil"/>
            </w:tcBorders>
            <w:shd w:val="clear" w:color="auto" w:fill="auto"/>
            <w:noWrap/>
            <w:vAlign w:val="center"/>
            <w:hideMark/>
          </w:tcPr>
          <w:p w:rsidR="008315BB" w:rsidRPr="008315BB" w:rsidRDefault="008315BB" w:rsidP="003343B7">
            <w:pPr>
              <w:rPr>
                <w:rFonts w:ascii="Times New Roman" w:hAnsi="Times New Roman"/>
                <w:color w:val="000000"/>
                <w:sz w:val="24"/>
                <w:szCs w:val="24"/>
              </w:rPr>
            </w:pPr>
            <w:r w:rsidRPr="008315BB">
              <w:rPr>
                <w:rFonts w:ascii="Times New Roman" w:hAnsi="Times New Roman"/>
                <w:color w:val="000000"/>
                <w:sz w:val="24"/>
                <w:szCs w:val="24"/>
              </w:rPr>
              <w:lastRenderedPageBreak/>
              <w:t>Average burden, per collection</w:t>
            </w:r>
            <w:r w:rsidR="006253B7">
              <w:rPr>
                <w:rFonts w:ascii="Times New Roman" w:hAnsi="Times New Roman"/>
                <w:color w:val="000000"/>
                <w:sz w:val="24"/>
                <w:szCs w:val="24"/>
              </w:rPr>
              <w:t xml:space="preserve"> (hrs)</w:t>
            </w:r>
            <w:r w:rsidRPr="008315BB">
              <w:rPr>
                <w:rFonts w:ascii="Times New Roman" w:hAnsi="Times New Roman"/>
                <w:color w:val="000000"/>
                <w:sz w:val="24"/>
                <w:szCs w:val="24"/>
              </w:rPr>
              <w:t>:</w:t>
            </w:r>
          </w:p>
        </w:tc>
        <w:tc>
          <w:tcPr>
            <w:tcW w:w="1116" w:type="dxa"/>
            <w:tcBorders>
              <w:top w:val="nil"/>
              <w:left w:val="nil"/>
              <w:bottom w:val="nil"/>
              <w:right w:val="nil"/>
            </w:tcBorders>
            <w:shd w:val="clear" w:color="auto" w:fill="auto"/>
            <w:noWrap/>
            <w:vAlign w:val="bottom"/>
            <w:hideMark/>
          </w:tcPr>
          <w:p w:rsidR="008315BB" w:rsidRPr="008315BB" w:rsidRDefault="008315BB" w:rsidP="006253B7">
            <w:pPr>
              <w:jc w:val="right"/>
              <w:rPr>
                <w:rFonts w:ascii="Times New Roman" w:hAnsi="Times New Roman"/>
                <w:color w:val="000000"/>
                <w:sz w:val="24"/>
                <w:szCs w:val="24"/>
              </w:rPr>
            </w:pPr>
            <w:r w:rsidRPr="008315BB">
              <w:rPr>
                <w:rFonts w:ascii="Times New Roman" w:hAnsi="Times New Roman"/>
                <w:color w:val="000000"/>
                <w:sz w:val="24"/>
                <w:szCs w:val="24"/>
              </w:rPr>
              <w:t xml:space="preserve">     0.</w:t>
            </w:r>
            <w:r w:rsidR="006253B7">
              <w:rPr>
                <w:rFonts w:ascii="Times New Roman" w:hAnsi="Times New Roman"/>
                <w:color w:val="000000"/>
                <w:sz w:val="24"/>
                <w:szCs w:val="24"/>
              </w:rPr>
              <w:t>25</w:t>
            </w:r>
            <w:r w:rsidRPr="008315BB">
              <w:rPr>
                <w:rFonts w:ascii="Times New Roman" w:hAnsi="Times New Roman"/>
                <w:color w:val="000000"/>
                <w:sz w:val="24"/>
                <w:szCs w:val="24"/>
              </w:rPr>
              <w:t xml:space="preserve"> </w:t>
            </w:r>
          </w:p>
        </w:tc>
        <w:tc>
          <w:tcPr>
            <w:tcW w:w="1242" w:type="dxa"/>
            <w:tcBorders>
              <w:top w:val="nil"/>
              <w:left w:val="nil"/>
              <w:bottom w:val="nil"/>
              <w:right w:val="nil"/>
            </w:tcBorders>
            <w:shd w:val="clear" w:color="auto" w:fill="auto"/>
            <w:noWrap/>
            <w:vAlign w:val="bottom"/>
            <w:hideMark/>
          </w:tcPr>
          <w:p w:rsidR="008315BB" w:rsidRPr="008315BB" w:rsidRDefault="008315BB" w:rsidP="003343B7">
            <w:pPr>
              <w:rPr>
                <w:rFonts w:ascii="Times New Roman" w:hAnsi="Times New Roman"/>
                <w:color w:val="000000"/>
                <w:sz w:val="24"/>
                <w:szCs w:val="24"/>
              </w:rPr>
            </w:pPr>
          </w:p>
        </w:tc>
      </w:tr>
      <w:tr w:rsidR="008315BB" w:rsidRPr="008315BB" w:rsidTr="003343B7">
        <w:trPr>
          <w:trHeight w:val="315"/>
        </w:trPr>
        <w:tc>
          <w:tcPr>
            <w:tcW w:w="4762" w:type="dxa"/>
            <w:tcBorders>
              <w:top w:val="nil"/>
              <w:left w:val="nil"/>
              <w:bottom w:val="nil"/>
              <w:right w:val="nil"/>
            </w:tcBorders>
            <w:shd w:val="clear" w:color="auto" w:fill="auto"/>
            <w:noWrap/>
            <w:vAlign w:val="center"/>
            <w:hideMark/>
          </w:tcPr>
          <w:p w:rsidR="008315BB" w:rsidRPr="008315BB" w:rsidRDefault="008315BB" w:rsidP="003343B7">
            <w:pPr>
              <w:rPr>
                <w:rFonts w:ascii="Times New Roman" w:hAnsi="Times New Roman"/>
                <w:color w:val="000000"/>
                <w:sz w:val="24"/>
                <w:szCs w:val="24"/>
              </w:rPr>
            </w:pPr>
            <w:r w:rsidRPr="008315BB">
              <w:rPr>
                <w:rFonts w:ascii="Times New Roman" w:hAnsi="Times New Roman"/>
                <w:color w:val="000000"/>
                <w:sz w:val="24"/>
                <w:szCs w:val="24"/>
              </w:rPr>
              <w:t>Average burden, per respondent</w:t>
            </w:r>
            <w:r w:rsidR="006253B7">
              <w:rPr>
                <w:rFonts w:ascii="Times New Roman" w:hAnsi="Times New Roman"/>
                <w:color w:val="000000"/>
                <w:sz w:val="24"/>
                <w:szCs w:val="24"/>
              </w:rPr>
              <w:t xml:space="preserve"> (hrs)</w:t>
            </w:r>
            <w:r w:rsidRPr="008315BB">
              <w:rPr>
                <w:rFonts w:ascii="Times New Roman" w:hAnsi="Times New Roman"/>
                <w:color w:val="000000"/>
                <w:sz w:val="24"/>
                <w:szCs w:val="24"/>
              </w:rPr>
              <w:t>:</w:t>
            </w:r>
          </w:p>
        </w:tc>
        <w:tc>
          <w:tcPr>
            <w:tcW w:w="1116" w:type="dxa"/>
            <w:tcBorders>
              <w:top w:val="nil"/>
              <w:left w:val="nil"/>
              <w:bottom w:val="nil"/>
              <w:right w:val="nil"/>
            </w:tcBorders>
            <w:shd w:val="clear" w:color="auto" w:fill="auto"/>
            <w:noWrap/>
            <w:vAlign w:val="bottom"/>
            <w:hideMark/>
          </w:tcPr>
          <w:p w:rsidR="008315BB" w:rsidRPr="008315BB" w:rsidRDefault="008315BB" w:rsidP="003343B7">
            <w:pPr>
              <w:jc w:val="right"/>
              <w:rPr>
                <w:rFonts w:ascii="Times New Roman" w:hAnsi="Times New Roman"/>
                <w:color w:val="000000"/>
                <w:sz w:val="24"/>
                <w:szCs w:val="24"/>
              </w:rPr>
            </w:pPr>
            <w:r w:rsidRPr="008315BB">
              <w:rPr>
                <w:rFonts w:ascii="Times New Roman" w:hAnsi="Times New Roman"/>
                <w:color w:val="000000"/>
                <w:sz w:val="24"/>
                <w:szCs w:val="24"/>
              </w:rPr>
              <w:t xml:space="preserve">       </w:t>
            </w:r>
            <w:r w:rsidR="006253B7">
              <w:rPr>
                <w:rFonts w:ascii="Times New Roman" w:hAnsi="Times New Roman"/>
                <w:color w:val="000000"/>
                <w:sz w:val="24"/>
                <w:szCs w:val="24"/>
              </w:rPr>
              <w:t>4.42</w:t>
            </w:r>
            <w:r w:rsidRPr="008315BB">
              <w:rPr>
                <w:rFonts w:ascii="Times New Roman" w:hAnsi="Times New Roman"/>
                <w:color w:val="000000"/>
                <w:sz w:val="24"/>
                <w:szCs w:val="24"/>
              </w:rPr>
              <w:t xml:space="preserve"> </w:t>
            </w:r>
          </w:p>
        </w:tc>
        <w:tc>
          <w:tcPr>
            <w:tcW w:w="1242" w:type="dxa"/>
            <w:tcBorders>
              <w:top w:val="nil"/>
              <w:left w:val="nil"/>
              <w:bottom w:val="nil"/>
              <w:right w:val="nil"/>
            </w:tcBorders>
            <w:shd w:val="clear" w:color="auto" w:fill="auto"/>
            <w:noWrap/>
            <w:vAlign w:val="bottom"/>
            <w:hideMark/>
          </w:tcPr>
          <w:p w:rsidR="008315BB" w:rsidRPr="008315BB" w:rsidRDefault="008315BB" w:rsidP="003343B7">
            <w:pPr>
              <w:rPr>
                <w:rFonts w:ascii="Times New Roman" w:hAnsi="Times New Roman"/>
                <w:color w:val="000000"/>
                <w:sz w:val="24"/>
                <w:szCs w:val="24"/>
              </w:rPr>
            </w:pPr>
          </w:p>
        </w:tc>
      </w:tr>
    </w:tbl>
    <w:p w:rsidR="008315BB" w:rsidRDefault="008315BB" w:rsidP="008315BB">
      <w:pPr>
        <w:tabs>
          <w:tab w:val="left" w:pos="2880"/>
        </w:tabs>
      </w:pPr>
    </w:p>
    <w:p w:rsidR="006253B7" w:rsidRDefault="006253B7" w:rsidP="008315BB">
      <w:pPr>
        <w:tabs>
          <w:tab w:val="left" w:pos="2880"/>
        </w:tabs>
      </w:pPr>
    </w:p>
    <w:p w:rsidR="008315BB" w:rsidRPr="006253B7" w:rsidRDefault="008315BB" w:rsidP="008315BB">
      <w:pPr>
        <w:rPr>
          <w:rFonts w:ascii="Times New Roman" w:hAnsi="Times New Roman"/>
          <w:sz w:val="24"/>
          <w:szCs w:val="24"/>
        </w:rPr>
      </w:pPr>
      <w:r w:rsidRPr="006253B7">
        <w:rPr>
          <w:rFonts w:ascii="Times New Roman" w:hAnsi="Times New Roman"/>
          <w:sz w:val="24"/>
          <w:szCs w:val="24"/>
        </w:rPr>
        <w:t>Burden dollars:</w:t>
      </w:r>
    </w:p>
    <w:p w:rsidR="008315BB" w:rsidRDefault="008315BB" w:rsidP="008315BB"/>
    <w:tbl>
      <w:tblPr>
        <w:tblW w:w="0" w:type="auto"/>
        <w:tblInd w:w="720" w:type="dxa"/>
        <w:tblLayout w:type="fixed"/>
        <w:tblLook w:val="04A0" w:firstRow="1" w:lastRow="0" w:firstColumn="1" w:lastColumn="0" w:noHBand="0" w:noVBand="1"/>
      </w:tblPr>
      <w:tblGrid>
        <w:gridCol w:w="4405"/>
        <w:gridCol w:w="1553"/>
      </w:tblGrid>
      <w:tr w:rsidR="006253B7" w:rsidRPr="006253B7" w:rsidTr="003343B7">
        <w:tc>
          <w:tcPr>
            <w:tcW w:w="4405" w:type="dxa"/>
          </w:tcPr>
          <w:p w:rsidR="006253B7" w:rsidRPr="006253B7" w:rsidRDefault="006253B7" w:rsidP="003343B7">
            <w:pPr>
              <w:rPr>
                <w:rFonts w:ascii="Times New Roman" w:eastAsia="SimSun" w:hAnsi="Times New Roman"/>
                <w:sz w:val="24"/>
                <w:szCs w:val="24"/>
              </w:rPr>
            </w:pPr>
            <w:r w:rsidRPr="006253B7">
              <w:rPr>
                <w:rFonts w:ascii="Times New Roman" w:eastAsia="SimSun" w:hAnsi="Times New Roman"/>
                <w:sz w:val="24"/>
                <w:szCs w:val="24"/>
              </w:rPr>
              <w:t>Estimate hourly wage ($/hour):</w:t>
            </w:r>
            <w:r w:rsidRPr="006253B7">
              <w:rPr>
                <w:rStyle w:val="FootnoteReference"/>
                <w:rFonts w:ascii="Times New Roman" w:eastAsia="SimSun" w:hAnsi="Times New Roman"/>
                <w:sz w:val="24"/>
                <w:szCs w:val="24"/>
                <w:vertAlign w:val="superscript"/>
              </w:rPr>
              <w:footnoteReference w:id="1"/>
            </w:r>
          </w:p>
        </w:tc>
        <w:tc>
          <w:tcPr>
            <w:tcW w:w="1553" w:type="dxa"/>
          </w:tcPr>
          <w:p w:rsidR="006253B7" w:rsidRPr="006253B7" w:rsidRDefault="006253B7" w:rsidP="003343B7">
            <w:pPr>
              <w:jc w:val="right"/>
              <w:rPr>
                <w:rFonts w:ascii="Times New Roman" w:eastAsia="SimSun" w:hAnsi="Times New Roman"/>
                <w:sz w:val="24"/>
                <w:szCs w:val="24"/>
              </w:rPr>
            </w:pPr>
            <w:r w:rsidRPr="006253B7">
              <w:rPr>
                <w:rFonts w:ascii="Times New Roman" w:eastAsia="SimSun" w:hAnsi="Times New Roman"/>
                <w:sz w:val="24"/>
                <w:szCs w:val="24"/>
              </w:rPr>
              <w:t>$36.13</w:t>
            </w:r>
          </w:p>
        </w:tc>
      </w:tr>
      <w:tr w:rsidR="006253B7" w:rsidRPr="006253B7" w:rsidTr="003343B7">
        <w:tc>
          <w:tcPr>
            <w:tcW w:w="4405" w:type="dxa"/>
          </w:tcPr>
          <w:p w:rsidR="006253B7" w:rsidRPr="006253B7" w:rsidRDefault="006253B7" w:rsidP="003343B7">
            <w:pPr>
              <w:rPr>
                <w:rFonts w:ascii="Times New Roman" w:eastAsia="SimSun" w:hAnsi="Times New Roman"/>
                <w:sz w:val="24"/>
                <w:szCs w:val="24"/>
              </w:rPr>
            </w:pPr>
            <w:r w:rsidRPr="006253B7">
              <w:rPr>
                <w:rFonts w:ascii="Times New Roman" w:eastAsia="SimSun" w:hAnsi="Times New Roman"/>
                <w:sz w:val="24"/>
                <w:szCs w:val="24"/>
              </w:rPr>
              <w:t>Load for benefits (percent of labor rate):</w:t>
            </w:r>
            <w:r w:rsidRPr="006253B7">
              <w:rPr>
                <w:rStyle w:val="FootnoteReference"/>
                <w:rFonts w:ascii="Times New Roman" w:eastAsia="SimSun" w:hAnsi="Times New Roman"/>
                <w:sz w:val="24"/>
                <w:szCs w:val="24"/>
                <w:vertAlign w:val="superscript"/>
              </w:rPr>
              <w:footnoteReference w:id="2"/>
            </w:r>
          </w:p>
        </w:tc>
        <w:tc>
          <w:tcPr>
            <w:tcW w:w="1553" w:type="dxa"/>
          </w:tcPr>
          <w:p w:rsidR="006253B7" w:rsidRPr="006253B7" w:rsidRDefault="006253B7" w:rsidP="003343B7">
            <w:pPr>
              <w:jc w:val="right"/>
              <w:rPr>
                <w:rFonts w:ascii="Times New Roman" w:eastAsia="SimSun" w:hAnsi="Times New Roman"/>
                <w:sz w:val="24"/>
                <w:szCs w:val="24"/>
              </w:rPr>
            </w:pPr>
            <w:r w:rsidRPr="006253B7">
              <w:rPr>
                <w:rFonts w:ascii="Times New Roman" w:eastAsia="SimSun" w:hAnsi="Times New Roman"/>
                <w:sz w:val="24"/>
                <w:szCs w:val="24"/>
              </w:rPr>
              <w:t>44.1%</w:t>
            </w:r>
          </w:p>
        </w:tc>
      </w:tr>
      <w:tr w:rsidR="006253B7" w:rsidRPr="006253B7" w:rsidTr="003343B7">
        <w:tc>
          <w:tcPr>
            <w:tcW w:w="4405" w:type="dxa"/>
          </w:tcPr>
          <w:p w:rsidR="006253B7" w:rsidRPr="006253B7" w:rsidRDefault="006253B7" w:rsidP="003343B7">
            <w:pPr>
              <w:rPr>
                <w:rFonts w:ascii="Times New Roman" w:eastAsia="SimSun" w:hAnsi="Times New Roman"/>
                <w:sz w:val="24"/>
                <w:szCs w:val="24"/>
              </w:rPr>
            </w:pPr>
            <w:r w:rsidRPr="006253B7">
              <w:rPr>
                <w:rFonts w:ascii="Times New Roman" w:eastAsia="SimSun" w:hAnsi="Times New Roman"/>
                <w:sz w:val="24"/>
                <w:szCs w:val="24"/>
              </w:rPr>
              <w:t>Loaded labor rate ($/hour):</w:t>
            </w:r>
            <w:r w:rsidRPr="006253B7">
              <w:rPr>
                <w:rStyle w:val="FootnoteReference"/>
                <w:rFonts w:ascii="Times New Roman" w:eastAsia="SimSun" w:hAnsi="Times New Roman"/>
                <w:sz w:val="24"/>
                <w:szCs w:val="24"/>
                <w:vertAlign w:val="superscript"/>
              </w:rPr>
              <w:footnoteReference w:id="3"/>
            </w:r>
          </w:p>
        </w:tc>
        <w:tc>
          <w:tcPr>
            <w:tcW w:w="1553" w:type="dxa"/>
          </w:tcPr>
          <w:p w:rsidR="006253B7" w:rsidRPr="006253B7" w:rsidRDefault="006253B7" w:rsidP="003343B7">
            <w:pPr>
              <w:jc w:val="right"/>
              <w:rPr>
                <w:rFonts w:ascii="Times New Roman" w:eastAsia="SimSun" w:hAnsi="Times New Roman"/>
                <w:sz w:val="24"/>
                <w:szCs w:val="24"/>
              </w:rPr>
            </w:pPr>
            <w:r w:rsidRPr="006253B7">
              <w:rPr>
                <w:rFonts w:ascii="Times New Roman" w:eastAsia="SimSun" w:hAnsi="Times New Roman"/>
                <w:sz w:val="24"/>
                <w:szCs w:val="24"/>
              </w:rPr>
              <w:t>$52.06</w:t>
            </w:r>
          </w:p>
        </w:tc>
      </w:tr>
      <w:tr w:rsidR="006253B7" w:rsidRPr="006253B7" w:rsidTr="003343B7">
        <w:tc>
          <w:tcPr>
            <w:tcW w:w="4405" w:type="dxa"/>
          </w:tcPr>
          <w:p w:rsidR="006253B7" w:rsidRPr="006253B7" w:rsidRDefault="006253B7" w:rsidP="003343B7">
            <w:pPr>
              <w:rPr>
                <w:rFonts w:ascii="Times New Roman" w:eastAsia="SimSun" w:hAnsi="Times New Roman"/>
                <w:sz w:val="24"/>
                <w:szCs w:val="24"/>
              </w:rPr>
            </w:pPr>
          </w:p>
        </w:tc>
        <w:tc>
          <w:tcPr>
            <w:tcW w:w="1553" w:type="dxa"/>
          </w:tcPr>
          <w:p w:rsidR="006253B7" w:rsidRPr="006253B7" w:rsidRDefault="006253B7" w:rsidP="003343B7">
            <w:pPr>
              <w:jc w:val="right"/>
              <w:rPr>
                <w:rFonts w:ascii="Times New Roman" w:eastAsia="SimSun" w:hAnsi="Times New Roman"/>
                <w:sz w:val="24"/>
                <w:szCs w:val="24"/>
                <w:u w:val="single"/>
              </w:rPr>
            </w:pPr>
          </w:p>
        </w:tc>
      </w:tr>
      <w:tr w:rsidR="006253B7" w:rsidRPr="006253B7" w:rsidTr="003343B7">
        <w:tc>
          <w:tcPr>
            <w:tcW w:w="4405" w:type="dxa"/>
          </w:tcPr>
          <w:p w:rsidR="006253B7" w:rsidRPr="006253B7" w:rsidRDefault="006253B7" w:rsidP="003343B7">
            <w:pPr>
              <w:rPr>
                <w:rFonts w:ascii="Times New Roman" w:eastAsia="SimSun" w:hAnsi="Times New Roman"/>
                <w:sz w:val="24"/>
                <w:szCs w:val="24"/>
              </w:rPr>
            </w:pPr>
            <w:r w:rsidRPr="006253B7">
              <w:rPr>
                <w:rFonts w:ascii="Times New Roman" w:eastAsia="SimSun" w:hAnsi="Times New Roman"/>
                <w:sz w:val="24"/>
                <w:szCs w:val="24"/>
              </w:rPr>
              <w:t>Number of responses:</w:t>
            </w:r>
          </w:p>
        </w:tc>
        <w:tc>
          <w:tcPr>
            <w:tcW w:w="1553" w:type="dxa"/>
          </w:tcPr>
          <w:p w:rsidR="006253B7" w:rsidRPr="006253B7" w:rsidRDefault="006253B7" w:rsidP="003343B7">
            <w:pPr>
              <w:jc w:val="right"/>
              <w:rPr>
                <w:rFonts w:ascii="Times New Roman" w:eastAsia="SimSun" w:hAnsi="Times New Roman"/>
                <w:sz w:val="24"/>
                <w:szCs w:val="24"/>
              </w:rPr>
            </w:pPr>
            <w:r>
              <w:rPr>
                <w:rFonts w:ascii="Times New Roman" w:eastAsia="SimSun" w:hAnsi="Times New Roman"/>
                <w:sz w:val="24"/>
                <w:szCs w:val="24"/>
              </w:rPr>
              <w:t>6,026</w:t>
            </w:r>
          </w:p>
        </w:tc>
      </w:tr>
      <w:tr w:rsidR="006253B7" w:rsidRPr="006253B7" w:rsidTr="003343B7">
        <w:tc>
          <w:tcPr>
            <w:tcW w:w="4405" w:type="dxa"/>
          </w:tcPr>
          <w:p w:rsidR="006253B7" w:rsidRPr="006253B7" w:rsidRDefault="006253B7" w:rsidP="003343B7">
            <w:pPr>
              <w:rPr>
                <w:rFonts w:ascii="Times New Roman" w:eastAsia="SimSun" w:hAnsi="Times New Roman"/>
                <w:sz w:val="24"/>
                <w:szCs w:val="24"/>
              </w:rPr>
            </w:pPr>
            <w:r w:rsidRPr="006253B7">
              <w:rPr>
                <w:rFonts w:ascii="Times New Roman" w:eastAsia="SimSun" w:hAnsi="Times New Roman"/>
                <w:sz w:val="24"/>
                <w:szCs w:val="24"/>
              </w:rPr>
              <w:t>Burden per response (hours):</w:t>
            </w:r>
          </w:p>
        </w:tc>
        <w:tc>
          <w:tcPr>
            <w:tcW w:w="1553" w:type="dxa"/>
          </w:tcPr>
          <w:p w:rsidR="006253B7" w:rsidRPr="006253B7" w:rsidRDefault="006253B7" w:rsidP="003343B7">
            <w:pPr>
              <w:jc w:val="right"/>
              <w:rPr>
                <w:rFonts w:ascii="Times New Roman" w:eastAsia="SimSun" w:hAnsi="Times New Roman"/>
                <w:sz w:val="24"/>
                <w:szCs w:val="24"/>
              </w:rPr>
            </w:pPr>
            <w:r w:rsidRPr="006253B7">
              <w:rPr>
                <w:rFonts w:ascii="Times New Roman" w:eastAsia="SimSun" w:hAnsi="Times New Roman"/>
                <w:sz w:val="24"/>
                <w:szCs w:val="24"/>
              </w:rPr>
              <w:t>0.</w:t>
            </w:r>
            <w:r>
              <w:rPr>
                <w:rFonts w:ascii="Times New Roman" w:eastAsia="SimSun" w:hAnsi="Times New Roman"/>
                <w:sz w:val="24"/>
                <w:szCs w:val="24"/>
              </w:rPr>
              <w:t>2</w:t>
            </w:r>
            <w:r w:rsidRPr="006253B7">
              <w:rPr>
                <w:rFonts w:ascii="Times New Roman" w:eastAsia="SimSun" w:hAnsi="Times New Roman"/>
                <w:sz w:val="24"/>
                <w:szCs w:val="24"/>
              </w:rPr>
              <w:t>5</w:t>
            </w:r>
          </w:p>
        </w:tc>
      </w:tr>
      <w:tr w:rsidR="006253B7" w:rsidRPr="006253B7" w:rsidTr="003343B7">
        <w:tc>
          <w:tcPr>
            <w:tcW w:w="4405" w:type="dxa"/>
          </w:tcPr>
          <w:p w:rsidR="006253B7" w:rsidRPr="006253B7" w:rsidRDefault="006253B7" w:rsidP="003343B7">
            <w:pPr>
              <w:rPr>
                <w:rFonts w:ascii="Times New Roman" w:eastAsia="SimSun" w:hAnsi="Times New Roman"/>
                <w:sz w:val="24"/>
                <w:szCs w:val="24"/>
              </w:rPr>
            </w:pPr>
            <w:r>
              <w:rPr>
                <w:rFonts w:ascii="Times New Roman" w:eastAsia="SimSun" w:hAnsi="Times New Roman"/>
                <w:sz w:val="24"/>
                <w:szCs w:val="24"/>
              </w:rPr>
              <w:t>Burden dollars per response</w:t>
            </w:r>
            <w:r w:rsidRPr="006253B7">
              <w:rPr>
                <w:rFonts w:ascii="Times New Roman" w:eastAsia="SimSun" w:hAnsi="Times New Roman"/>
                <w:sz w:val="24"/>
                <w:szCs w:val="24"/>
              </w:rPr>
              <w:t>:</w:t>
            </w:r>
          </w:p>
        </w:tc>
        <w:tc>
          <w:tcPr>
            <w:tcW w:w="1553" w:type="dxa"/>
          </w:tcPr>
          <w:p w:rsidR="006253B7" w:rsidRPr="00E05E8E" w:rsidRDefault="006253B7" w:rsidP="006253B7">
            <w:pPr>
              <w:jc w:val="right"/>
              <w:rPr>
                <w:rFonts w:ascii="Times New Roman" w:hAnsi="Times New Roman"/>
                <w:color w:val="000000"/>
                <w:sz w:val="24"/>
                <w:szCs w:val="24"/>
                <w:u w:val="single"/>
              </w:rPr>
            </w:pPr>
            <w:r w:rsidRPr="00E05E8E">
              <w:rPr>
                <w:rFonts w:ascii="Times New Roman" w:hAnsi="Times New Roman"/>
                <w:color w:val="000000"/>
                <w:sz w:val="24"/>
                <w:szCs w:val="24"/>
                <w:u w:val="single"/>
              </w:rPr>
              <w:t xml:space="preserve"> $      13.0151 </w:t>
            </w:r>
          </w:p>
        </w:tc>
      </w:tr>
      <w:tr w:rsidR="006253B7" w:rsidRPr="00E05E8E" w:rsidTr="003343B7">
        <w:tc>
          <w:tcPr>
            <w:tcW w:w="4405" w:type="dxa"/>
          </w:tcPr>
          <w:p w:rsidR="006253B7" w:rsidRPr="00E05E8E" w:rsidRDefault="006253B7" w:rsidP="003343B7">
            <w:pPr>
              <w:rPr>
                <w:rFonts w:ascii="Times New Roman" w:eastAsia="SimSun" w:hAnsi="Times New Roman"/>
                <w:b/>
                <w:sz w:val="24"/>
                <w:szCs w:val="24"/>
              </w:rPr>
            </w:pPr>
            <w:r w:rsidRPr="00E05E8E">
              <w:rPr>
                <w:rFonts w:ascii="Times New Roman" w:eastAsia="SimSun" w:hAnsi="Times New Roman"/>
                <w:b/>
                <w:sz w:val="24"/>
                <w:szCs w:val="24"/>
              </w:rPr>
              <w:t>Total burden dollars</w:t>
            </w:r>
          </w:p>
        </w:tc>
        <w:tc>
          <w:tcPr>
            <w:tcW w:w="1553" w:type="dxa"/>
          </w:tcPr>
          <w:p w:rsidR="006253B7" w:rsidRPr="00E05E8E" w:rsidRDefault="006253B7" w:rsidP="006253B7">
            <w:pPr>
              <w:jc w:val="right"/>
              <w:rPr>
                <w:rFonts w:ascii="Times New Roman" w:hAnsi="Times New Roman"/>
                <w:b/>
                <w:color w:val="000000"/>
                <w:sz w:val="24"/>
                <w:szCs w:val="24"/>
              </w:rPr>
            </w:pPr>
            <w:r w:rsidRPr="00E05E8E">
              <w:rPr>
                <w:rFonts w:ascii="Times New Roman" w:hAnsi="Times New Roman"/>
                <w:b/>
                <w:color w:val="000000"/>
                <w:sz w:val="24"/>
                <w:szCs w:val="24"/>
              </w:rPr>
              <w:t xml:space="preserve"> $        78,429 </w:t>
            </w:r>
          </w:p>
        </w:tc>
      </w:tr>
    </w:tbl>
    <w:p w:rsidR="008315BB" w:rsidRPr="00E05E8E" w:rsidRDefault="008315BB" w:rsidP="00B577EF">
      <w:pPr>
        <w:rPr>
          <w:rFonts w:ascii="Times New Roman" w:hAnsi="Times New Roman"/>
          <w:b/>
          <w:sz w:val="24"/>
          <w:szCs w:val="24"/>
        </w:rPr>
      </w:pPr>
    </w:p>
    <w:p w:rsidR="00335B7D" w:rsidRPr="00B577EF" w:rsidRDefault="00335B7D" w:rsidP="00B577EF">
      <w:pPr>
        <w:rPr>
          <w:rFonts w:ascii="Times New Roman" w:hAnsi="Times New Roman"/>
          <w:sz w:val="24"/>
          <w:szCs w:val="24"/>
        </w:rPr>
      </w:pPr>
    </w:p>
    <w:p w:rsidR="00885594" w:rsidRDefault="000C1537" w:rsidP="001A64B0">
      <w:pPr>
        <w:tabs>
          <w:tab w:val="left" w:pos="720"/>
          <w:tab w:val="left" w:pos="1440"/>
          <w:tab w:val="left" w:pos="2160"/>
        </w:tabs>
        <w:ind w:right="-984"/>
        <w:rPr>
          <w:rFonts w:ascii="Times New Roman" w:hAnsi="Times New Roman"/>
          <w:noProof w:val="0"/>
          <w:sz w:val="24"/>
        </w:rPr>
      </w:pPr>
      <w:r>
        <w:rPr>
          <w:rFonts w:ascii="Times New Roman" w:hAnsi="Times New Roman"/>
          <w:noProof w:val="0"/>
          <w:sz w:val="24"/>
        </w:rPr>
        <w:t xml:space="preserve">13. </w:t>
      </w:r>
      <w:r w:rsidR="00477399">
        <w:rPr>
          <w:rFonts w:ascii="Times New Roman" w:hAnsi="Times New Roman"/>
          <w:noProof w:val="0"/>
          <w:sz w:val="24"/>
        </w:rPr>
        <w:t xml:space="preserve"> </w:t>
      </w:r>
      <w:r w:rsidR="00885594" w:rsidRPr="00B051D2">
        <w:rPr>
          <w:rFonts w:ascii="Times New Roman" w:hAnsi="Times New Roman"/>
          <w:noProof w:val="0"/>
          <w:sz w:val="24"/>
          <w:u w:val="single"/>
        </w:rPr>
        <w:t>Estimate</w:t>
      </w:r>
      <w:r w:rsidR="00477399">
        <w:rPr>
          <w:rFonts w:ascii="Times New Roman" w:hAnsi="Times New Roman"/>
          <w:noProof w:val="0"/>
          <w:sz w:val="24"/>
          <w:u w:val="single"/>
        </w:rPr>
        <w:t xml:space="preserve"> of</w:t>
      </w:r>
      <w:r w:rsidR="00885594" w:rsidRPr="00B051D2">
        <w:rPr>
          <w:rFonts w:ascii="Times New Roman" w:hAnsi="Times New Roman"/>
          <w:noProof w:val="0"/>
          <w:sz w:val="24"/>
          <w:u w:val="single"/>
        </w:rPr>
        <w:t xml:space="preserve"> Cost</w:t>
      </w:r>
      <w:r w:rsidR="00BA21AB">
        <w:rPr>
          <w:rFonts w:ascii="Times New Roman" w:hAnsi="Times New Roman"/>
          <w:noProof w:val="0"/>
          <w:sz w:val="24"/>
          <w:u w:val="single"/>
        </w:rPr>
        <w:t xml:space="preserve"> </w:t>
      </w:r>
      <w:r w:rsidR="00885594" w:rsidRPr="00B051D2">
        <w:rPr>
          <w:rFonts w:ascii="Times New Roman" w:hAnsi="Times New Roman"/>
          <w:noProof w:val="0"/>
          <w:sz w:val="24"/>
          <w:u w:val="single"/>
        </w:rPr>
        <w:t>Burden:</w:t>
      </w:r>
    </w:p>
    <w:p w:rsidR="00335B7D" w:rsidRDefault="00335B7D" w:rsidP="00335B7D">
      <w:pPr>
        <w:rPr>
          <w:rFonts w:ascii="Times New Roman" w:hAnsi="Times New Roman"/>
          <w:sz w:val="24"/>
          <w:szCs w:val="24"/>
        </w:rPr>
      </w:pPr>
    </w:p>
    <w:p w:rsidR="005D4B62" w:rsidRPr="005D4B62" w:rsidRDefault="005D4B62" w:rsidP="00335B7D">
      <w:pPr>
        <w:rPr>
          <w:rFonts w:ascii="Times New Roman" w:hAnsi="Times New Roman"/>
          <w:sz w:val="24"/>
          <w:szCs w:val="24"/>
        </w:rPr>
      </w:pPr>
      <w:r w:rsidRPr="005D4B62">
        <w:rPr>
          <w:rFonts w:ascii="Times New Roman" w:hAnsi="Times New Roman"/>
          <w:sz w:val="24"/>
          <w:szCs w:val="24"/>
        </w:rPr>
        <w:t>The estimated annual cost burden is zero.  Respondents are not estimated to incur any    a) additional start-up cost or capital expenditure, or b) additional operation and maintenance costs or purchase services as a result of this information collection.</w:t>
      </w:r>
    </w:p>
    <w:p w:rsidR="00335B7D" w:rsidRDefault="00335B7D" w:rsidP="00335B7D">
      <w:pPr>
        <w:rPr>
          <w:rFonts w:ascii="Times New Roman" w:hAnsi="Times New Roman"/>
          <w:sz w:val="24"/>
          <w:szCs w:val="24"/>
        </w:rPr>
      </w:pPr>
    </w:p>
    <w:p w:rsidR="00885594"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14. </w:t>
      </w:r>
      <w:r w:rsidR="00477399">
        <w:rPr>
          <w:rFonts w:ascii="Times New Roman" w:hAnsi="Times New Roman"/>
          <w:noProof w:val="0"/>
          <w:sz w:val="24"/>
        </w:rPr>
        <w:t xml:space="preserve"> </w:t>
      </w:r>
      <w:r w:rsidR="00885594" w:rsidRPr="00B051D2">
        <w:rPr>
          <w:rFonts w:ascii="Times New Roman" w:hAnsi="Times New Roman"/>
          <w:noProof w:val="0"/>
          <w:sz w:val="24"/>
          <w:u w:val="single"/>
        </w:rPr>
        <w:t>Estimated Annualized Cost to Federal Government:</w:t>
      </w:r>
    </w:p>
    <w:p w:rsidR="001A64B0" w:rsidRDefault="001A64B0" w:rsidP="001A64B0">
      <w:pPr>
        <w:rPr>
          <w:rFonts w:ascii="Times New Roman" w:hAnsi="Times New Roman"/>
          <w:noProof w:val="0"/>
          <w:sz w:val="24"/>
        </w:rPr>
      </w:pPr>
    </w:p>
    <w:p w:rsidR="00707072" w:rsidRPr="00A71AA6" w:rsidRDefault="00885594" w:rsidP="00707072">
      <w:pPr>
        <w:rPr>
          <w:rFonts w:ascii="Times New Roman" w:hAnsi="Times New Roman"/>
          <w:noProof w:val="0"/>
          <w:sz w:val="24"/>
        </w:rPr>
      </w:pPr>
      <w:r>
        <w:rPr>
          <w:rFonts w:ascii="Times New Roman" w:hAnsi="Times New Roman"/>
          <w:noProof w:val="0"/>
          <w:sz w:val="24"/>
        </w:rPr>
        <w:t>Estimated Annual Cost to Federal Government:</w:t>
      </w:r>
    </w:p>
    <w:p w:rsidR="00707072" w:rsidRDefault="00707072" w:rsidP="00707072">
      <w:pPr>
        <w:rPr>
          <w:rFonts w:ascii="Times New Roman" w:hAnsi="Times New Roman"/>
          <w:sz w:val="24"/>
          <w:szCs w:val="24"/>
        </w:rPr>
      </w:pPr>
    </w:p>
    <w:tbl>
      <w:tblPr>
        <w:tblW w:w="8745" w:type="dxa"/>
        <w:tblInd w:w="93" w:type="dxa"/>
        <w:tblLook w:val="04A0" w:firstRow="1" w:lastRow="0" w:firstColumn="1" w:lastColumn="0" w:noHBand="0" w:noVBand="1"/>
      </w:tblPr>
      <w:tblGrid>
        <w:gridCol w:w="3011"/>
        <w:gridCol w:w="928"/>
        <w:gridCol w:w="1296"/>
        <w:gridCol w:w="1170"/>
        <w:gridCol w:w="1080"/>
        <w:gridCol w:w="1260"/>
      </w:tblGrid>
      <w:tr w:rsidR="00C12AD6" w:rsidRPr="00C12AD6" w:rsidTr="00C12AD6">
        <w:trPr>
          <w:trHeight w:val="345"/>
        </w:trPr>
        <w:tc>
          <w:tcPr>
            <w:tcW w:w="301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C12AD6" w:rsidRPr="00C12AD6" w:rsidRDefault="00C12AD6" w:rsidP="00C12AD6">
            <w:pPr>
              <w:rPr>
                <w:rFonts w:ascii="Times New Roman" w:hAnsi="Times New Roman"/>
                <w:b/>
                <w:bCs/>
                <w:noProof w:val="0"/>
                <w:color w:val="000000"/>
              </w:rPr>
            </w:pPr>
            <w:r w:rsidRPr="00C12AD6">
              <w:rPr>
                <w:rFonts w:ascii="Times New Roman" w:hAnsi="Times New Roman"/>
                <w:b/>
                <w:bCs/>
                <w:noProof w:val="0"/>
                <w:color w:val="000000"/>
              </w:rPr>
              <w:t>Labor Category</w:t>
            </w:r>
          </w:p>
        </w:tc>
        <w:tc>
          <w:tcPr>
            <w:tcW w:w="928" w:type="dxa"/>
            <w:tcBorders>
              <w:top w:val="single" w:sz="4" w:space="0" w:color="auto"/>
              <w:left w:val="nil"/>
              <w:bottom w:val="single" w:sz="4" w:space="0" w:color="auto"/>
              <w:right w:val="single" w:sz="4" w:space="0" w:color="auto"/>
            </w:tcBorders>
            <w:shd w:val="clear" w:color="000000" w:fill="B8CCE4"/>
            <w:noWrap/>
            <w:vAlign w:val="bottom"/>
            <w:hideMark/>
          </w:tcPr>
          <w:p w:rsidR="00C12AD6" w:rsidRPr="00C12AD6" w:rsidRDefault="00C12AD6" w:rsidP="00C12AD6">
            <w:pPr>
              <w:jc w:val="center"/>
              <w:rPr>
                <w:rFonts w:ascii="Times New Roman" w:hAnsi="Times New Roman"/>
                <w:b/>
                <w:bCs/>
                <w:noProof w:val="0"/>
                <w:color w:val="000000"/>
              </w:rPr>
            </w:pPr>
            <w:r w:rsidRPr="00C12AD6">
              <w:rPr>
                <w:rFonts w:ascii="Times New Roman" w:hAnsi="Times New Roman"/>
                <w:b/>
                <w:bCs/>
                <w:noProof w:val="0"/>
                <w:color w:val="000000"/>
              </w:rPr>
              <w:t>Number</w:t>
            </w:r>
          </w:p>
        </w:tc>
        <w:tc>
          <w:tcPr>
            <w:tcW w:w="1296" w:type="dxa"/>
            <w:tcBorders>
              <w:top w:val="single" w:sz="4" w:space="0" w:color="auto"/>
              <w:left w:val="nil"/>
              <w:bottom w:val="single" w:sz="4" w:space="0" w:color="auto"/>
              <w:right w:val="single" w:sz="4" w:space="0" w:color="auto"/>
            </w:tcBorders>
            <w:shd w:val="clear" w:color="000000" w:fill="B8CCE4"/>
            <w:noWrap/>
            <w:vAlign w:val="bottom"/>
            <w:hideMark/>
          </w:tcPr>
          <w:p w:rsidR="00C12AD6" w:rsidRPr="00C12AD6" w:rsidRDefault="00C12AD6" w:rsidP="00C12AD6">
            <w:pPr>
              <w:jc w:val="center"/>
              <w:rPr>
                <w:rFonts w:ascii="Times New Roman" w:hAnsi="Times New Roman"/>
                <w:b/>
                <w:bCs/>
                <w:noProof w:val="0"/>
                <w:color w:val="000000"/>
              </w:rPr>
            </w:pPr>
            <w:r w:rsidRPr="00C12AD6">
              <w:rPr>
                <w:rFonts w:ascii="Times New Roman" w:hAnsi="Times New Roman"/>
                <w:b/>
                <w:bCs/>
                <w:noProof w:val="0"/>
                <w:color w:val="000000"/>
              </w:rPr>
              <w:t xml:space="preserve"> Annual rate ($)</w:t>
            </w:r>
            <w:r>
              <w:rPr>
                <w:rStyle w:val="FootnoteReference"/>
                <w:b/>
                <w:bCs/>
                <w:color w:val="000000"/>
                <w:szCs w:val="24"/>
                <w:vertAlign w:val="superscript"/>
              </w:rPr>
              <w:footnoteReference w:id="4"/>
            </w:r>
          </w:p>
        </w:tc>
        <w:tc>
          <w:tcPr>
            <w:tcW w:w="1170" w:type="dxa"/>
            <w:tcBorders>
              <w:top w:val="single" w:sz="4" w:space="0" w:color="auto"/>
              <w:left w:val="nil"/>
              <w:bottom w:val="single" w:sz="4" w:space="0" w:color="auto"/>
              <w:right w:val="single" w:sz="4" w:space="0" w:color="auto"/>
            </w:tcBorders>
            <w:shd w:val="clear" w:color="000000" w:fill="B8CCE4"/>
            <w:noWrap/>
            <w:vAlign w:val="bottom"/>
            <w:hideMark/>
          </w:tcPr>
          <w:p w:rsidR="00C12AD6" w:rsidRPr="00C12AD6" w:rsidRDefault="00C12AD6" w:rsidP="00C12AD6">
            <w:pPr>
              <w:jc w:val="center"/>
              <w:rPr>
                <w:rFonts w:ascii="Times New Roman" w:hAnsi="Times New Roman"/>
                <w:b/>
                <w:bCs/>
                <w:noProof w:val="0"/>
                <w:color w:val="000000"/>
              </w:rPr>
            </w:pPr>
            <w:r w:rsidRPr="00C12AD6">
              <w:rPr>
                <w:rFonts w:ascii="Times New Roman" w:hAnsi="Times New Roman"/>
                <w:b/>
                <w:bCs/>
                <w:noProof w:val="0"/>
                <w:color w:val="000000"/>
              </w:rPr>
              <w:t>Load</w:t>
            </w:r>
            <w:r>
              <w:rPr>
                <w:rStyle w:val="FootnoteReference"/>
                <w:b/>
                <w:bCs/>
                <w:color w:val="000000"/>
                <w:szCs w:val="24"/>
                <w:vertAlign w:val="superscript"/>
              </w:rPr>
              <w:footnoteReference w:id="5"/>
            </w:r>
          </w:p>
        </w:tc>
        <w:tc>
          <w:tcPr>
            <w:tcW w:w="1080" w:type="dxa"/>
            <w:tcBorders>
              <w:top w:val="single" w:sz="4" w:space="0" w:color="auto"/>
              <w:left w:val="nil"/>
              <w:bottom w:val="single" w:sz="4" w:space="0" w:color="auto"/>
              <w:right w:val="single" w:sz="4" w:space="0" w:color="auto"/>
            </w:tcBorders>
            <w:shd w:val="clear" w:color="000000" w:fill="B8CCE4"/>
            <w:noWrap/>
            <w:vAlign w:val="bottom"/>
            <w:hideMark/>
          </w:tcPr>
          <w:p w:rsidR="00C12AD6" w:rsidRPr="00C12AD6" w:rsidRDefault="00C12AD6" w:rsidP="00C12AD6">
            <w:pPr>
              <w:jc w:val="center"/>
              <w:rPr>
                <w:rFonts w:ascii="Times New Roman" w:hAnsi="Times New Roman"/>
                <w:b/>
                <w:bCs/>
                <w:noProof w:val="0"/>
                <w:color w:val="000000"/>
              </w:rPr>
            </w:pPr>
            <w:r w:rsidRPr="00C12AD6">
              <w:rPr>
                <w:rFonts w:ascii="Times New Roman" w:hAnsi="Times New Roman"/>
                <w:b/>
                <w:bCs/>
                <w:noProof w:val="0"/>
                <w:color w:val="000000"/>
              </w:rPr>
              <w:t>% of time</w:t>
            </w:r>
          </w:p>
        </w:tc>
        <w:tc>
          <w:tcPr>
            <w:tcW w:w="1260" w:type="dxa"/>
            <w:tcBorders>
              <w:top w:val="single" w:sz="4" w:space="0" w:color="auto"/>
              <w:left w:val="nil"/>
              <w:bottom w:val="single" w:sz="4" w:space="0" w:color="auto"/>
              <w:right w:val="single" w:sz="4" w:space="0" w:color="auto"/>
            </w:tcBorders>
            <w:shd w:val="clear" w:color="000000" w:fill="B8CCE4"/>
            <w:noWrap/>
            <w:vAlign w:val="bottom"/>
            <w:hideMark/>
          </w:tcPr>
          <w:p w:rsidR="00C12AD6" w:rsidRPr="00C12AD6" w:rsidRDefault="00C12AD6" w:rsidP="00C12AD6">
            <w:pPr>
              <w:jc w:val="center"/>
              <w:rPr>
                <w:rFonts w:ascii="Times New Roman" w:hAnsi="Times New Roman"/>
                <w:b/>
                <w:bCs/>
                <w:noProof w:val="0"/>
                <w:color w:val="000000"/>
              </w:rPr>
            </w:pPr>
            <w:r w:rsidRPr="00C12AD6">
              <w:rPr>
                <w:rFonts w:ascii="Times New Roman" w:hAnsi="Times New Roman"/>
                <w:b/>
                <w:bCs/>
                <w:noProof w:val="0"/>
                <w:color w:val="000000"/>
              </w:rPr>
              <w:t>Cost ($)</w:t>
            </w:r>
          </w:p>
        </w:tc>
      </w:tr>
      <w:tr w:rsidR="00C12AD6" w:rsidRPr="00C12AD6" w:rsidTr="00C12AD6">
        <w:trPr>
          <w:trHeight w:val="300"/>
        </w:trPr>
        <w:tc>
          <w:tcPr>
            <w:tcW w:w="3011" w:type="dxa"/>
            <w:tcBorders>
              <w:top w:val="nil"/>
              <w:left w:val="single" w:sz="4" w:space="0" w:color="auto"/>
              <w:bottom w:val="single" w:sz="4" w:space="0" w:color="auto"/>
              <w:right w:val="single" w:sz="4" w:space="0" w:color="auto"/>
            </w:tcBorders>
            <w:shd w:val="clear" w:color="auto" w:fill="auto"/>
            <w:noWrap/>
            <w:vAlign w:val="bottom"/>
            <w:hideMark/>
          </w:tcPr>
          <w:p w:rsidR="00C12AD6" w:rsidRPr="00C12AD6" w:rsidRDefault="00C12AD6" w:rsidP="00C12AD6">
            <w:pPr>
              <w:rPr>
                <w:rFonts w:ascii="Times New Roman" w:hAnsi="Times New Roman"/>
                <w:noProof w:val="0"/>
                <w:color w:val="000000"/>
              </w:rPr>
            </w:pPr>
            <w:r w:rsidRPr="00C12AD6">
              <w:rPr>
                <w:rFonts w:ascii="Times New Roman" w:hAnsi="Times New Roman"/>
                <w:noProof w:val="0"/>
                <w:color w:val="000000"/>
              </w:rPr>
              <w:t>Program Analyst – GS-13</w:t>
            </w:r>
          </w:p>
        </w:tc>
        <w:tc>
          <w:tcPr>
            <w:tcW w:w="928" w:type="dxa"/>
            <w:tcBorders>
              <w:top w:val="nil"/>
              <w:left w:val="nil"/>
              <w:bottom w:val="single" w:sz="4" w:space="0" w:color="auto"/>
              <w:right w:val="single" w:sz="4" w:space="0" w:color="auto"/>
            </w:tcBorders>
            <w:shd w:val="clear" w:color="auto" w:fill="auto"/>
            <w:noWrap/>
            <w:vAlign w:val="bottom"/>
            <w:hideMark/>
          </w:tcPr>
          <w:p w:rsidR="00C12AD6" w:rsidRPr="00C12AD6" w:rsidRDefault="00C12AD6" w:rsidP="00C12AD6">
            <w:pPr>
              <w:jc w:val="center"/>
              <w:rPr>
                <w:rFonts w:ascii="Times New Roman" w:hAnsi="Times New Roman"/>
                <w:noProof w:val="0"/>
                <w:color w:val="000000"/>
              </w:rPr>
            </w:pPr>
            <w:r w:rsidRPr="00C12AD6">
              <w:rPr>
                <w:rFonts w:ascii="Times New Roman" w:hAnsi="Times New Roman"/>
                <w:noProof w:val="0"/>
                <w:color w:val="000000"/>
              </w:rPr>
              <w:t>1</w:t>
            </w:r>
          </w:p>
        </w:tc>
        <w:tc>
          <w:tcPr>
            <w:tcW w:w="1296" w:type="dxa"/>
            <w:tcBorders>
              <w:top w:val="nil"/>
              <w:left w:val="nil"/>
              <w:bottom w:val="single" w:sz="4" w:space="0" w:color="auto"/>
              <w:right w:val="single" w:sz="4" w:space="0" w:color="auto"/>
            </w:tcBorders>
            <w:shd w:val="clear" w:color="auto" w:fill="auto"/>
            <w:noWrap/>
            <w:vAlign w:val="bottom"/>
            <w:hideMark/>
          </w:tcPr>
          <w:p w:rsidR="00C12AD6" w:rsidRPr="00C12AD6" w:rsidRDefault="00C12AD6" w:rsidP="00C12AD6">
            <w:pPr>
              <w:jc w:val="center"/>
              <w:rPr>
                <w:rFonts w:ascii="Times New Roman" w:hAnsi="Times New Roman"/>
                <w:noProof w:val="0"/>
                <w:color w:val="000000"/>
              </w:rPr>
            </w:pPr>
            <w:r w:rsidRPr="00C12AD6">
              <w:rPr>
                <w:rFonts w:ascii="Times New Roman" w:hAnsi="Times New Roman"/>
                <w:noProof w:val="0"/>
                <w:color w:val="000000"/>
              </w:rPr>
              <w:t>104,431</w:t>
            </w:r>
          </w:p>
        </w:tc>
        <w:tc>
          <w:tcPr>
            <w:tcW w:w="1170" w:type="dxa"/>
            <w:tcBorders>
              <w:top w:val="nil"/>
              <w:left w:val="nil"/>
              <w:bottom w:val="single" w:sz="4" w:space="0" w:color="auto"/>
              <w:right w:val="single" w:sz="4" w:space="0" w:color="auto"/>
            </w:tcBorders>
            <w:shd w:val="clear" w:color="auto" w:fill="auto"/>
            <w:noWrap/>
            <w:vAlign w:val="bottom"/>
            <w:hideMark/>
          </w:tcPr>
          <w:p w:rsidR="00C12AD6" w:rsidRPr="00C12AD6" w:rsidRDefault="00C12AD6" w:rsidP="00C12AD6">
            <w:pPr>
              <w:jc w:val="center"/>
              <w:rPr>
                <w:rFonts w:ascii="Times New Roman" w:hAnsi="Times New Roman"/>
                <w:noProof w:val="0"/>
                <w:color w:val="000000"/>
              </w:rPr>
            </w:pPr>
            <w:r w:rsidRPr="00C12AD6">
              <w:rPr>
                <w:rFonts w:ascii="Times New Roman" w:hAnsi="Times New Roman"/>
                <w:noProof w:val="0"/>
                <w:color w:val="000000"/>
              </w:rPr>
              <w:t>1.41</w:t>
            </w:r>
          </w:p>
        </w:tc>
        <w:tc>
          <w:tcPr>
            <w:tcW w:w="1080" w:type="dxa"/>
            <w:tcBorders>
              <w:top w:val="nil"/>
              <w:left w:val="nil"/>
              <w:bottom w:val="single" w:sz="4" w:space="0" w:color="auto"/>
              <w:right w:val="single" w:sz="4" w:space="0" w:color="auto"/>
            </w:tcBorders>
            <w:shd w:val="clear" w:color="auto" w:fill="auto"/>
            <w:noWrap/>
            <w:vAlign w:val="bottom"/>
            <w:hideMark/>
          </w:tcPr>
          <w:p w:rsidR="00C12AD6" w:rsidRPr="00C12AD6" w:rsidRDefault="00C12AD6" w:rsidP="00C12AD6">
            <w:pPr>
              <w:jc w:val="center"/>
              <w:rPr>
                <w:rFonts w:ascii="Times New Roman" w:hAnsi="Times New Roman"/>
                <w:noProof w:val="0"/>
                <w:color w:val="000000"/>
              </w:rPr>
            </w:pPr>
            <w:r w:rsidRPr="00C12AD6">
              <w:rPr>
                <w:rFonts w:ascii="Times New Roman" w:hAnsi="Times New Roman"/>
                <w:noProof w:val="0"/>
                <w:color w:val="00000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C12AD6" w:rsidRPr="00C12AD6" w:rsidRDefault="00C12AD6" w:rsidP="00C12AD6">
            <w:pPr>
              <w:rPr>
                <w:rFonts w:ascii="Times New Roman" w:hAnsi="Times New Roman"/>
                <w:noProof w:val="0"/>
                <w:color w:val="000000"/>
              </w:rPr>
            </w:pPr>
            <w:r w:rsidRPr="00C12AD6">
              <w:rPr>
                <w:rFonts w:ascii="Times New Roman" w:hAnsi="Times New Roman"/>
                <w:noProof w:val="0"/>
                <w:color w:val="000000"/>
              </w:rPr>
              <w:t xml:space="preserve">    147,501 </w:t>
            </w:r>
          </w:p>
        </w:tc>
      </w:tr>
      <w:tr w:rsidR="00C12AD6" w:rsidRPr="00C12AD6" w:rsidTr="00C12AD6">
        <w:trPr>
          <w:trHeight w:val="315"/>
        </w:trPr>
        <w:tc>
          <w:tcPr>
            <w:tcW w:w="3011" w:type="dxa"/>
            <w:tcBorders>
              <w:top w:val="nil"/>
              <w:left w:val="single" w:sz="4" w:space="0" w:color="auto"/>
              <w:bottom w:val="single" w:sz="4" w:space="0" w:color="auto"/>
              <w:right w:val="single" w:sz="4" w:space="0" w:color="auto"/>
            </w:tcBorders>
            <w:shd w:val="clear" w:color="auto" w:fill="auto"/>
            <w:noWrap/>
            <w:vAlign w:val="bottom"/>
            <w:hideMark/>
          </w:tcPr>
          <w:p w:rsidR="00C12AD6" w:rsidRPr="00C12AD6" w:rsidRDefault="00C12AD6" w:rsidP="00C12AD6">
            <w:pPr>
              <w:rPr>
                <w:rFonts w:ascii="Times New Roman" w:hAnsi="Times New Roman"/>
                <w:noProof w:val="0"/>
                <w:color w:val="000000"/>
              </w:rPr>
            </w:pPr>
            <w:r w:rsidRPr="00C12AD6">
              <w:rPr>
                <w:rFonts w:ascii="Times New Roman" w:hAnsi="Times New Roman"/>
                <w:noProof w:val="0"/>
                <w:color w:val="000000"/>
              </w:rPr>
              <w:t>Import/Export Specialist – GS-13</w:t>
            </w:r>
          </w:p>
        </w:tc>
        <w:tc>
          <w:tcPr>
            <w:tcW w:w="928" w:type="dxa"/>
            <w:tcBorders>
              <w:top w:val="nil"/>
              <w:left w:val="nil"/>
              <w:bottom w:val="single" w:sz="4" w:space="0" w:color="auto"/>
              <w:right w:val="single" w:sz="4" w:space="0" w:color="auto"/>
            </w:tcBorders>
            <w:shd w:val="clear" w:color="auto" w:fill="auto"/>
            <w:noWrap/>
            <w:vAlign w:val="bottom"/>
            <w:hideMark/>
          </w:tcPr>
          <w:p w:rsidR="00C12AD6" w:rsidRPr="00C12AD6" w:rsidRDefault="00C12AD6" w:rsidP="00C12AD6">
            <w:pPr>
              <w:jc w:val="center"/>
              <w:rPr>
                <w:rFonts w:ascii="Times New Roman" w:hAnsi="Times New Roman"/>
                <w:noProof w:val="0"/>
                <w:color w:val="000000"/>
              </w:rPr>
            </w:pPr>
            <w:r w:rsidRPr="00C12AD6">
              <w:rPr>
                <w:rFonts w:ascii="Times New Roman" w:hAnsi="Times New Roman"/>
                <w:noProof w:val="0"/>
                <w:color w:val="000000"/>
              </w:rPr>
              <w:t>1</w:t>
            </w:r>
          </w:p>
        </w:tc>
        <w:tc>
          <w:tcPr>
            <w:tcW w:w="1296" w:type="dxa"/>
            <w:tcBorders>
              <w:top w:val="nil"/>
              <w:left w:val="nil"/>
              <w:bottom w:val="nil"/>
              <w:right w:val="nil"/>
            </w:tcBorders>
            <w:shd w:val="clear" w:color="auto" w:fill="auto"/>
            <w:noWrap/>
            <w:vAlign w:val="bottom"/>
            <w:hideMark/>
          </w:tcPr>
          <w:p w:rsidR="00C12AD6" w:rsidRPr="00C12AD6" w:rsidRDefault="00C12AD6" w:rsidP="00C12AD6">
            <w:pPr>
              <w:jc w:val="center"/>
              <w:rPr>
                <w:rFonts w:ascii="Times New Roman" w:hAnsi="Times New Roman"/>
                <w:noProof w:val="0"/>
                <w:color w:val="000000"/>
              </w:rPr>
            </w:pPr>
            <w:r w:rsidRPr="00C12AD6">
              <w:rPr>
                <w:rFonts w:ascii="Times New Roman" w:hAnsi="Times New Roman"/>
                <w:noProof w:val="0"/>
                <w:color w:val="000000"/>
              </w:rPr>
              <w:t>104,431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C12AD6" w:rsidRPr="00C12AD6" w:rsidRDefault="00C12AD6" w:rsidP="00C12AD6">
            <w:pPr>
              <w:jc w:val="center"/>
              <w:rPr>
                <w:rFonts w:ascii="Times New Roman" w:hAnsi="Times New Roman"/>
                <w:noProof w:val="0"/>
                <w:color w:val="000000"/>
              </w:rPr>
            </w:pPr>
            <w:r w:rsidRPr="00C12AD6">
              <w:rPr>
                <w:rFonts w:ascii="Times New Roman" w:hAnsi="Times New Roman"/>
                <w:noProof w:val="0"/>
                <w:color w:val="000000"/>
              </w:rPr>
              <w:t>1.41</w:t>
            </w:r>
          </w:p>
        </w:tc>
        <w:tc>
          <w:tcPr>
            <w:tcW w:w="1080" w:type="dxa"/>
            <w:tcBorders>
              <w:top w:val="nil"/>
              <w:left w:val="nil"/>
              <w:bottom w:val="single" w:sz="4" w:space="0" w:color="auto"/>
              <w:right w:val="single" w:sz="4" w:space="0" w:color="auto"/>
            </w:tcBorders>
            <w:shd w:val="clear" w:color="auto" w:fill="auto"/>
            <w:noWrap/>
            <w:vAlign w:val="bottom"/>
            <w:hideMark/>
          </w:tcPr>
          <w:p w:rsidR="00C12AD6" w:rsidRPr="00C12AD6" w:rsidRDefault="00C12AD6" w:rsidP="00C12AD6">
            <w:pPr>
              <w:jc w:val="center"/>
              <w:rPr>
                <w:rFonts w:ascii="Times New Roman" w:hAnsi="Times New Roman"/>
                <w:noProof w:val="0"/>
                <w:color w:val="000000"/>
              </w:rPr>
            </w:pPr>
            <w:r w:rsidRPr="00C12AD6">
              <w:rPr>
                <w:rFonts w:ascii="Times New Roman" w:hAnsi="Times New Roman"/>
                <w:noProof w:val="0"/>
                <w:color w:val="00000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C12AD6" w:rsidRPr="00C12AD6" w:rsidRDefault="00C12AD6" w:rsidP="00C12AD6">
            <w:pPr>
              <w:rPr>
                <w:rFonts w:ascii="Times New Roman" w:hAnsi="Times New Roman"/>
                <w:noProof w:val="0"/>
                <w:color w:val="000000"/>
              </w:rPr>
            </w:pPr>
            <w:r w:rsidRPr="00C12AD6">
              <w:rPr>
                <w:rFonts w:ascii="Times New Roman" w:hAnsi="Times New Roman"/>
                <w:noProof w:val="0"/>
                <w:color w:val="000000"/>
              </w:rPr>
              <w:t xml:space="preserve">    147,501 </w:t>
            </w:r>
          </w:p>
        </w:tc>
      </w:tr>
      <w:tr w:rsidR="00C12AD6" w:rsidRPr="00C12AD6" w:rsidTr="00C12AD6">
        <w:trPr>
          <w:trHeight w:val="300"/>
        </w:trPr>
        <w:tc>
          <w:tcPr>
            <w:tcW w:w="3011" w:type="dxa"/>
            <w:tcBorders>
              <w:top w:val="nil"/>
              <w:left w:val="single" w:sz="4" w:space="0" w:color="auto"/>
              <w:bottom w:val="single" w:sz="4" w:space="0" w:color="auto"/>
              <w:right w:val="single" w:sz="4" w:space="0" w:color="auto"/>
            </w:tcBorders>
            <w:shd w:val="clear" w:color="000000" w:fill="B8CCE4"/>
            <w:noWrap/>
            <w:vAlign w:val="bottom"/>
            <w:hideMark/>
          </w:tcPr>
          <w:p w:rsidR="00C12AD6" w:rsidRPr="00C12AD6" w:rsidRDefault="00C12AD6" w:rsidP="00C12AD6">
            <w:pPr>
              <w:rPr>
                <w:rFonts w:ascii="Times New Roman" w:hAnsi="Times New Roman"/>
                <w:b/>
                <w:bCs/>
                <w:noProof w:val="0"/>
                <w:color w:val="000000"/>
              </w:rPr>
            </w:pPr>
            <w:r w:rsidRPr="00C12AD6">
              <w:rPr>
                <w:rFonts w:ascii="Times New Roman" w:hAnsi="Times New Roman"/>
                <w:b/>
                <w:bCs/>
                <w:noProof w:val="0"/>
                <w:color w:val="000000"/>
              </w:rPr>
              <w:t>Total</w:t>
            </w:r>
          </w:p>
        </w:tc>
        <w:tc>
          <w:tcPr>
            <w:tcW w:w="928" w:type="dxa"/>
            <w:tcBorders>
              <w:top w:val="nil"/>
              <w:left w:val="nil"/>
              <w:bottom w:val="single" w:sz="4" w:space="0" w:color="auto"/>
              <w:right w:val="single" w:sz="4" w:space="0" w:color="auto"/>
            </w:tcBorders>
            <w:shd w:val="clear" w:color="000000" w:fill="B8CCE4"/>
            <w:noWrap/>
            <w:vAlign w:val="bottom"/>
            <w:hideMark/>
          </w:tcPr>
          <w:p w:rsidR="00C12AD6" w:rsidRPr="00C12AD6" w:rsidRDefault="00C12AD6" w:rsidP="00C12AD6">
            <w:pPr>
              <w:rPr>
                <w:rFonts w:ascii="Times New Roman" w:hAnsi="Times New Roman"/>
                <w:b/>
                <w:bCs/>
                <w:noProof w:val="0"/>
                <w:color w:val="000000"/>
              </w:rPr>
            </w:pPr>
            <w:r w:rsidRPr="00C12AD6">
              <w:rPr>
                <w:rFonts w:ascii="Times New Roman" w:hAnsi="Times New Roman"/>
                <w:b/>
                <w:bCs/>
                <w:noProof w:val="0"/>
                <w:color w:val="000000"/>
              </w:rPr>
              <w:t> </w:t>
            </w:r>
          </w:p>
        </w:tc>
        <w:tc>
          <w:tcPr>
            <w:tcW w:w="1296" w:type="dxa"/>
            <w:tcBorders>
              <w:top w:val="single" w:sz="4" w:space="0" w:color="auto"/>
              <w:left w:val="nil"/>
              <w:bottom w:val="single" w:sz="4" w:space="0" w:color="auto"/>
              <w:right w:val="single" w:sz="4" w:space="0" w:color="auto"/>
            </w:tcBorders>
            <w:shd w:val="clear" w:color="000000" w:fill="B8CCE4"/>
            <w:noWrap/>
            <w:vAlign w:val="bottom"/>
            <w:hideMark/>
          </w:tcPr>
          <w:p w:rsidR="00C12AD6" w:rsidRPr="00C12AD6" w:rsidRDefault="00C12AD6" w:rsidP="00C12AD6">
            <w:pPr>
              <w:rPr>
                <w:rFonts w:ascii="Times New Roman" w:hAnsi="Times New Roman"/>
                <w:b/>
                <w:bCs/>
                <w:noProof w:val="0"/>
                <w:color w:val="000000"/>
              </w:rPr>
            </w:pPr>
            <w:r w:rsidRPr="00C12AD6">
              <w:rPr>
                <w:rFonts w:ascii="Times New Roman" w:hAnsi="Times New Roman"/>
                <w:b/>
                <w:bCs/>
                <w:noProof w:val="0"/>
                <w:color w:val="000000"/>
              </w:rPr>
              <w:t> </w:t>
            </w:r>
          </w:p>
        </w:tc>
        <w:tc>
          <w:tcPr>
            <w:tcW w:w="1170" w:type="dxa"/>
            <w:tcBorders>
              <w:top w:val="nil"/>
              <w:left w:val="nil"/>
              <w:bottom w:val="single" w:sz="4" w:space="0" w:color="auto"/>
              <w:right w:val="single" w:sz="4" w:space="0" w:color="auto"/>
            </w:tcBorders>
            <w:shd w:val="clear" w:color="000000" w:fill="B8CCE4"/>
            <w:noWrap/>
            <w:vAlign w:val="bottom"/>
            <w:hideMark/>
          </w:tcPr>
          <w:p w:rsidR="00C12AD6" w:rsidRPr="00C12AD6" w:rsidRDefault="00C12AD6" w:rsidP="00C12AD6">
            <w:pPr>
              <w:rPr>
                <w:rFonts w:ascii="Times New Roman" w:hAnsi="Times New Roman"/>
                <w:b/>
                <w:bCs/>
                <w:noProof w:val="0"/>
                <w:color w:val="000000"/>
              </w:rPr>
            </w:pPr>
            <w:r w:rsidRPr="00C12AD6">
              <w:rPr>
                <w:rFonts w:ascii="Times New Roman" w:hAnsi="Times New Roman"/>
                <w:b/>
                <w:bCs/>
                <w:noProof w:val="0"/>
                <w:color w:val="000000"/>
              </w:rPr>
              <w:t> </w:t>
            </w:r>
          </w:p>
        </w:tc>
        <w:tc>
          <w:tcPr>
            <w:tcW w:w="1080" w:type="dxa"/>
            <w:tcBorders>
              <w:top w:val="nil"/>
              <w:left w:val="nil"/>
              <w:bottom w:val="single" w:sz="4" w:space="0" w:color="auto"/>
              <w:right w:val="single" w:sz="4" w:space="0" w:color="auto"/>
            </w:tcBorders>
            <w:shd w:val="clear" w:color="000000" w:fill="B8CCE4"/>
            <w:noWrap/>
            <w:vAlign w:val="bottom"/>
            <w:hideMark/>
          </w:tcPr>
          <w:p w:rsidR="00C12AD6" w:rsidRPr="00C12AD6" w:rsidRDefault="00C12AD6" w:rsidP="00C12AD6">
            <w:pPr>
              <w:rPr>
                <w:rFonts w:ascii="Times New Roman" w:hAnsi="Times New Roman"/>
                <w:b/>
                <w:bCs/>
                <w:noProof w:val="0"/>
                <w:color w:val="000000"/>
              </w:rPr>
            </w:pPr>
            <w:r w:rsidRPr="00C12AD6">
              <w:rPr>
                <w:rFonts w:ascii="Times New Roman" w:hAnsi="Times New Roman"/>
                <w:b/>
                <w:bCs/>
                <w:noProof w:val="0"/>
                <w:color w:val="000000"/>
              </w:rPr>
              <w:t> </w:t>
            </w:r>
          </w:p>
        </w:tc>
        <w:tc>
          <w:tcPr>
            <w:tcW w:w="1260" w:type="dxa"/>
            <w:tcBorders>
              <w:top w:val="nil"/>
              <w:left w:val="nil"/>
              <w:bottom w:val="single" w:sz="4" w:space="0" w:color="auto"/>
              <w:right w:val="single" w:sz="4" w:space="0" w:color="auto"/>
            </w:tcBorders>
            <w:shd w:val="clear" w:color="000000" w:fill="B8CCE4"/>
            <w:noWrap/>
            <w:vAlign w:val="bottom"/>
            <w:hideMark/>
          </w:tcPr>
          <w:p w:rsidR="00C12AD6" w:rsidRPr="00C12AD6" w:rsidRDefault="00C12AD6" w:rsidP="00C12AD6">
            <w:pPr>
              <w:rPr>
                <w:rFonts w:ascii="Times New Roman" w:hAnsi="Times New Roman"/>
                <w:b/>
                <w:bCs/>
                <w:noProof w:val="0"/>
                <w:color w:val="000000"/>
              </w:rPr>
            </w:pPr>
            <w:r w:rsidRPr="00C12AD6">
              <w:rPr>
                <w:rFonts w:ascii="Times New Roman" w:hAnsi="Times New Roman"/>
                <w:b/>
                <w:bCs/>
                <w:noProof w:val="0"/>
                <w:color w:val="000000"/>
              </w:rPr>
              <w:t xml:space="preserve">    295,003 </w:t>
            </w:r>
          </w:p>
        </w:tc>
      </w:tr>
    </w:tbl>
    <w:p w:rsidR="00C12AD6" w:rsidRPr="00707072" w:rsidRDefault="00C12AD6" w:rsidP="00707072">
      <w:pPr>
        <w:rPr>
          <w:rFonts w:ascii="Times New Roman" w:hAnsi="Times New Roman"/>
          <w:sz w:val="24"/>
          <w:szCs w:val="24"/>
        </w:rPr>
      </w:pPr>
    </w:p>
    <w:p w:rsidR="001A64B0" w:rsidRDefault="000E2DEA" w:rsidP="001A64B0">
      <w:pPr>
        <w:tabs>
          <w:tab w:val="left" w:pos="0"/>
          <w:tab w:val="left" w:pos="0"/>
        </w:tabs>
        <w:rPr>
          <w:rFonts w:ascii="Times New Roman" w:hAnsi="Times New Roman"/>
          <w:noProof w:val="0"/>
          <w:sz w:val="24"/>
        </w:rPr>
      </w:pPr>
      <w:r>
        <w:rPr>
          <w:rFonts w:ascii="Times New Roman" w:hAnsi="Times New Roman"/>
          <w:noProof w:val="0"/>
          <w:sz w:val="24"/>
        </w:rPr>
        <w:t>Total cost to government:  295,003</w:t>
      </w:r>
    </w:p>
    <w:p w:rsidR="000E2DEA" w:rsidRDefault="000E2DEA" w:rsidP="001A64B0">
      <w:pPr>
        <w:tabs>
          <w:tab w:val="left" w:pos="0"/>
          <w:tab w:val="left" w:pos="0"/>
        </w:tabs>
        <w:rPr>
          <w:rFonts w:ascii="Times New Roman" w:hAnsi="Times New Roman"/>
          <w:noProof w:val="0"/>
          <w:sz w:val="24"/>
        </w:rPr>
      </w:pPr>
    </w:p>
    <w:p w:rsidR="000C1537" w:rsidRDefault="0023781B" w:rsidP="001A64B0">
      <w:pPr>
        <w:tabs>
          <w:tab w:val="left" w:pos="0"/>
          <w:tab w:val="left" w:pos="0"/>
        </w:tabs>
        <w:rPr>
          <w:rFonts w:ascii="Times New Roman" w:hAnsi="Times New Roman"/>
          <w:noProof w:val="0"/>
          <w:sz w:val="24"/>
        </w:rPr>
      </w:pPr>
      <w:r>
        <w:rPr>
          <w:rFonts w:ascii="Times New Roman" w:hAnsi="Times New Roman"/>
          <w:noProof w:val="0"/>
          <w:sz w:val="24"/>
        </w:rPr>
        <w:t>A</w:t>
      </w:r>
      <w:r w:rsidR="000C1537">
        <w:rPr>
          <w:rFonts w:ascii="Times New Roman" w:hAnsi="Times New Roman"/>
          <w:noProof w:val="0"/>
          <w:sz w:val="24"/>
        </w:rPr>
        <w:t>ll costs are recovered from the registrants through registration fees, as required by the</w:t>
      </w:r>
      <w:r w:rsidR="009E10CB">
        <w:rPr>
          <w:rFonts w:ascii="Times New Roman" w:hAnsi="Times New Roman"/>
          <w:noProof w:val="0"/>
          <w:sz w:val="24"/>
        </w:rPr>
        <w:t xml:space="preserve"> CSA.  21 U.S.C. 886a.  </w:t>
      </w:r>
    </w:p>
    <w:p w:rsidR="00072531" w:rsidRDefault="00072531" w:rsidP="001A64B0">
      <w:pPr>
        <w:tabs>
          <w:tab w:val="left" w:pos="0"/>
          <w:tab w:val="left" w:pos="0"/>
        </w:tabs>
        <w:rPr>
          <w:rFonts w:ascii="Times New Roman" w:hAnsi="Times New Roman"/>
          <w:noProof w:val="0"/>
          <w:sz w:val="24"/>
        </w:rPr>
      </w:pPr>
    </w:p>
    <w:p w:rsidR="00331303"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lastRenderedPageBreak/>
        <w:t xml:space="preserve">15. </w:t>
      </w:r>
      <w:r w:rsidR="00477399">
        <w:rPr>
          <w:rFonts w:ascii="Times New Roman" w:hAnsi="Times New Roman"/>
          <w:noProof w:val="0"/>
          <w:sz w:val="24"/>
        </w:rPr>
        <w:t xml:space="preserve"> </w:t>
      </w:r>
      <w:r w:rsidR="00331303" w:rsidRPr="00B051D2">
        <w:rPr>
          <w:rFonts w:ascii="Times New Roman" w:hAnsi="Times New Roman"/>
          <w:noProof w:val="0"/>
          <w:sz w:val="24"/>
          <w:u w:val="single"/>
        </w:rPr>
        <w:t>Reasons for Change in Burden:</w:t>
      </w:r>
    </w:p>
    <w:p w:rsidR="001A64B0" w:rsidRDefault="001A64B0" w:rsidP="001A64B0">
      <w:pPr>
        <w:rPr>
          <w:rFonts w:ascii="Times New Roman" w:hAnsi="Times New Roman"/>
          <w:noProof w:val="0"/>
          <w:sz w:val="24"/>
        </w:rPr>
      </w:pPr>
    </w:p>
    <w:p w:rsidR="00677CC2" w:rsidRDefault="00677CC2" w:rsidP="00677CC2">
      <w:pPr>
        <w:rPr>
          <w:rFonts w:ascii="Times New Roman" w:hAnsi="Times New Roman"/>
          <w:sz w:val="24"/>
          <w:szCs w:val="24"/>
        </w:rPr>
      </w:pPr>
      <w:r>
        <w:rPr>
          <w:rFonts w:ascii="Times New Roman" w:hAnsi="Times New Roman"/>
          <w:sz w:val="24"/>
          <w:szCs w:val="24"/>
        </w:rPr>
        <w:t>Although there is an increase in the number of responses, t</w:t>
      </w:r>
      <w:r w:rsidRPr="00677CC2">
        <w:rPr>
          <w:rFonts w:ascii="Times New Roman" w:hAnsi="Times New Roman"/>
          <w:sz w:val="24"/>
          <w:szCs w:val="24"/>
        </w:rPr>
        <w:t xml:space="preserve">he </w:t>
      </w:r>
      <w:r>
        <w:rPr>
          <w:rFonts w:ascii="Times New Roman" w:hAnsi="Times New Roman"/>
          <w:sz w:val="24"/>
          <w:szCs w:val="24"/>
        </w:rPr>
        <w:t>decrease</w:t>
      </w:r>
      <w:r w:rsidRPr="00677CC2">
        <w:rPr>
          <w:rFonts w:ascii="Times New Roman" w:hAnsi="Times New Roman"/>
          <w:sz w:val="24"/>
          <w:szCs w:val="24"/>
        </w:rPr>
        <w:t xml:space="preserve"> in burden hours is due to</w:t>
      </w:r>
      <w:r>
        <w:rPr>
          <w:rFonts w:ascii="Times New Roman" w:hAnsi="Times New Roman"/>
          <w:sz w:val="24"/>
          <w:szCs w:val="24"/>
        </w:rPr>
        <w:t xml:space="preserve"> all responses being submitted on line and the reduced time to complete online forms</w:t>
      </w:r>
      <w:r w:rsidRPr="00677CC2">
        <w:rPr>
          <w:rFonts w:ascii="Times New Roman" w:hAnsi="Times New Roman"/>
          <w:sz w:val="24"/>
          <w:szCs w:val="24"/>
        </w:rPr>
        <w:t xml:space="preserve">.  The increase in the burden dollars is due to a change in calculation </w:t>
      </w:r>
      <w:r>
        <w:rPr>
          <w:rFonts w:ascii="Times New Roman" w:hAnsi="Times New Roman"/>
          <w:sz w:val="24"/>
          <w:szCs w:val="24"/>
        </w:rPr>
        <w:t xml:space="preserve">method.*  </w:t>
      </w:r>
      <w:r w:rsidRPr="00677CC2">
        <w:rPr>
          <w:rFonts w:ascii="Times New Roman" w:hAnsi="Times New Roman"/>
          <w:sz w:val="24"/>
          <w:szCs w:val="24"/>
        </w:rPr>
        <w:t xml:space="preserve">There have been no statutory changes affecting this information collection.  The main regulatory change affecting this information collection is the mandatory use of online DEA Form </w:t>
      </w:r>
      <w:r>
        <w:rPr>
          <w:rFonts w:ascii="Times New Roman" w:hAnsi="Times New Roman"/>
          <w:sz w:val="24"/>
          <w:szCs w:val="24"/>
        </w:rPr>
        <w:t>236</w:t>
      </w:r>
      <w:r w:rsidRPr="00677CC2">
        <w:rPr>
          <w:rFonts w:ascii="Times New Roman" w:hAnsi="Times New Roman"/>
          <w:sz w:val="24"/>
          <w:szCs w:val="24"/>
        </w:rPr>
        <w:t xml:space="preserve"> as part of the implementation of ITDS.  .  The table below summarizes the changes since the last renewal of this information collection.</w:t>
      </w:r>
    </w:p>
    <w:p w:rsidR="00677CC2" w:rsidRDefault="00677CC2" w:rsidP="00677CC2">
      <w:pPr>
        <w:rPr>
          <w:rFonts w:ascii="Times New Roman" w:hAnsi="Times New Roman"/>
          <w:sz w:val="24"/>
          <w:szCs w:val="24"/>
        </w:rPr>
      </w:pPr>
    </w:p>
    <w:tbl>
      <w:tblPr>
        <w:tblW w:w="7215" w:type="dxa"/>
        <w:tblInd w:w="93" w:type="dxa"/>
        <w:tblLook w:val="04A0" w:firstRow="1" w:lastRow="0" w:firstColumn="1" w:lastColumn="0" w:noHBand="0" w:noVBand="1"/>
      </w:tblPr>
      <w:tblGrid>
        <w:gridCol w:w="2005"/>
        <w:gridCol w:w="1700"/>
        <w:gridCol w:w="1890"/>
        <w:gridCol w:w="1620"/>
      </w:tblGrid>
      <w:tr w:rsidR="00677CC2" w:rsidRPr="00677CC2" w:rsidTr="00677CC2">
        <w:trPr>
          <w:trHeight w:val="602"/>
        </w:trPr>
        <w:tc>
          <w:tcPr>
            <w:tcW w:w="2005"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77CC2" w:rsidRPr="00677CC2" w:rsidRDefault="00677CC2" w:rsidP="00677CC2">
            <w:pPr>
              <w:rPr>
                <w:rFonts w:ascii="Times New Roman" w:hAnsi="Times New Roman"/>
                <w:noProof w:val="0"/>
                <w:color w:val="000000"/>
              </w:rPr>
            </w:pPr>
            <w:r w:rsidRPr="00677CC2">
              <w:rPr>
                <w:rFonts w:ascii="Times New Roman" w:hAnsi="Times New Roman"/>
                <w:noProof w:val="0"/>
                <w:color w:val="000000"/>
              </w:rPr>
              <w:t> </w:t>
            </w:r>
          </w:p>
        </w:tc>
        <w:tc>
          <w:tcPr>
            <w:tcW w:w="1700" w:type="dxa"/>
            <w:tcBorders>
              <w:top w:val="single" w:sz="4" w:space="0" w:color="auto"/>
              <w:left w:val="nil"/>
              <w:bottom w:val="single" w:sz="4" w:space="0" w:color="auto"/>
              <w:right w:val="single" w:sz="4" w:space="0" w:color="auto"/>
            </w:tcBorders>
            <w:shd w:val="clear" w:color="000000" w:fill="B8CCE4"/>
            <w:vAlign w:val="center"/>
            <w:hideMark/>
          </w:tcPr>
          <w:p w:rsidR="00677CC2" w:rsidRPr="00677CC2" w:rsidRDefault="00677CC2" w:rsidP="00677CC2">
            <w:pPr>
              <w:jc w:val="center"/>
              <w:rPr>
                <w:rFonts w:ascii="Times New Roman" w:hAnsi="Times New Roman"/>
                <w:b/>
                <w:bCs/>
                <w:noProof w:val="0"/>
                <w:color w:val="000000"/>
              </w:rPr>
            </w:pPr>
            <w:r w:rsidRPr="00677CC2">
              <w:rPr>
                <w:rFonts w:ascii="Times New Roman" w:hAnsi="Times New Roman"/>
                <w:b/>
                <w:bCs/>
                <w:noProof w:val="0"/>
                <w:color w:val="000000"/>
              </w:rPr>
              <w:t>2014 Approved Burden</w:t>
            </w:r>
          </w:p>
        </w:tc>
        <w:tc>
          <w:tcPr>
            <w:tcW w:w="1890" w:type="dxa"/>
            <w:tcBorders>
              <w:top w:val="single" w:sz="4" w:space="0" w:color="auto"/>
              <w:left w:val="nil"/>
              <w:bottom w:val="single" w:sz="4" w:space="0" w:color="auto"/>
              <w:right w:val="single" w:sz="4" w:space="0" w:color="auto"/>
            </w:tcBorders>
            <w:shd w:val="clear" w:color="000000" w:fill="B8CCE4"/>
            <w:vAlign w:val="center"/>
            <w:hideMark/>
          </w:tcPr>
          <w:p w:rsidR="00677CC2" w:rsidRPr="00677CC2" w:rsidRDefault="00677CC2" w:rsidP="00677CC2">
            <w:pPr>
              <w:jc w:val="center"/>
              <w:rPr>
                <w:rFonts w:ascii="Times New Roman" w:hAnsi="Times New Roman"/>
                <w:b/>
                <w:bCs/>
                <w:noProof w:val="0"/>
                <w:color w:val="000000"/>
              </w:rPr>
            </w:pPr>
            <w:r w:rsidRPr="00677CC2">
              <w:rPr>
                <w:rFonts w:ascii="Times New Roman" w:hAnsi="Times New Roman"/>
                <w:b/>
                <w:bCs/>
                <w:noProof w:val="0"/>
                <w:color w:val="000000"/>
              </w:rPr>
              <w:t>2016 Requested Burden</w:t>
            </w:r>
          </w:p>
        </w:tc>
        <w:tc>
          <w:tcPr>
            <w:tcW w:w="1620" w:type="dxa"/>
            <w:tcBorders>
              <w:top w:val="single" w:sz="4" w:space="0" w:color="auto"/>
              <w:left w:val="nil"/>
              <w:bottom w:val="single" w:sz="4" w:space="0" w:color="auto"/>
              <w:right w:val="single" w:sz="4" w:space="0" w:color="auto"/>
            </w:tcBorders>
            <w:shd w:val="clear" w:color="000000" w:fill="B8CCE4"/>
            <w:vAlign w:val="center"/>
            <w:hideMark/>
          </w:tcPr>
          <w:p w:rsidR="00677CC2" w:rsidRPr="00677CC2" w:rsidRDefault="00677CC2" w:rsidP="00677CC2">
            <w:pPr>
              <w:jc w:val="center"/>
              <w:rPr>
                <w:rFonts w:ascii="Times New Roman" w:hAnsi="Times New Roman"/>
                <w:b/>
                <w:bCs/>
                <w:noProof w:val="0"/>
                <w:color w:val="000000"/>
              </w:rPr>
            </w:pPr>
            <w:r w:rsidRPr="00677CC2">
              <w:rPr>
                <w:rFonts w:ascii="Times New Roman" w:hAnsi="Times New Roman"/>
                <w:b/>
                <w:bCs/>
                <w:noProof w:val="0"/>
                <w:color w:val="000000"/>
              </w:rPr>
              <w:t>Difference</w:t>
            </w:r>
          </w:p>
        </w:tc>
      </w:tr>
      <w:tr w:rsidR="00677CC2" w:rsidRPr="00677CC2" w:rsidTr="00677CC2">
        <w:trPr>
          <w:trHeight w:val="30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677CC2" w:rsidRPr="00677CC2" w:rsidRDefault="00677CC2" w:rsidP="00677CC2">
            <w:pPr>
              <w:rPr>
                <w:rFonts w:ascii="Times New Roman" w:hAnsi="Times New Roman"/>
                <w:noProof w:val="0"/>
                <w:color w:val="000000"/>
              </w:rPr>
            </w:pPr>
            <w:r w:rsidRPr="00677CC2">
              <w:rPr>
                <w:rFonts w:ascii="Times New Roman" w:hAnsi="Times New Roman"/>
                <w:noProof w:val="0"/>
                <w:color w:val="000000"/>
              </w:rPr>
              <w:t>Annual responses</w:t>
            </w:r>
          </w:p>
        </w:tc>
        <w:tc>
          <w:tcPr>
            <w:tcW w:w="1700" w:type="dxa"/>
            <w:tcBorders>
              <w:top w:val="nil"/>
              <w:left w:val="nil"/>
              <w:bottom w:val="single" w:sz="4" w:space="0" w:color="auto"/>
              <w:right w:val="single" w:sz="4" w:space="0" w:color="auto"/>
            </w:tcBorders>
            <w:shd w:val="clear" w:color="auto" w:fill="auto"/>
            <w:vAlign w:val="center"/>
            <w:hideMark/>
          </w:tcPr>
          <w:p w:rsidR="00677CC2" w:rsidRPr="00677CC2" w:rsidRDefault="00677CC2" w:rsidP="00677CC2">
            <w:pPr>
              <w:jc w:val="right"/>
              <w:rPr>
                <w:rFonts w:ascii="Times New Roman" w:hAnsi="Times New Roman"/>
                <w:noProof w:val="0"/>
                <w:color w:val="000000"/>
              </w:rPr>
            </w:pPr>
            <w:r w:rsidRPr="00677CC2">
              <w:rPr>
                <w:rFonts w:ascii="Times New Roman" w:hAnsi="Times New Roman"/>
                <w:noProof w:val="0"/>
                <w:color w:val="000000"/>
              </w:rPr>
              <w:t xml:space="preserve">               5,064 </w:t>
            </w:r>
          </w:p>
        </w:tc>
        <w:tc>
          <w:tcPr>
            <w:tcW w:w="1890" w:type="dxa"/>
            <w:tcBorders>
              <w:top w:val="nil"/>
              <w:left w:val="nil"/>
              <w:bottom w:val="single" w:sz="4" w:space="0" w:color="auto"/>
              <w:right w:val="single" w:sz="4" w:space="0" w:color="auto"/>
            </w:tcBorders>
            <w:shd w:val="clear" w:color="auto" w:fill="auto"/>
            <w:vAlign w:val="center"/>
            <w:hideMark/>
          </w:tcPr>
          <w:p w:rsidR="00677CC2" w:rsidRPr="00677CC2" w:rsidRDefault="00677CC2" w:rsidP="00677CC2">
            <w:pPr>
              <w:jc w:val="right"/>
              <w:rPr>
                <w:rFonts w:ascii="Times New Roman" w:hAnsi="Times New Roman"/>
                <w:noProof w:val="0"/>
                <w:color w:val="000000"/>
              </w:rPr>
            </w:pPr>
            <w:r>
              <w:rPr>
                <w:rFonts w:ascii="Times New Roman" w:hAnsi="Times New Roman"/>
                <w:noProof w:val="0"/>
                <w:color w:val="000000"/>
              </w:rPr>
              <w:t xml:space="preserve">               </w:t>
            </w:r>
            <w:r w:rsidRPr="00677CC2">
              <w:rPr>
                <w:rFonts w:ascii="Times New Roman" w:hAnsi="Times New Roman"/>
                <w:noProof w:val="0"/>
                <w:color w:val="000000"/>
              </w:rPr>
              <w:t xml:space="preserve">6,026 </w:t>
            </w:r>
          </w:p>
        </w:tc>
        <w:tc>
          <w:tcPr>
            <w:tcW w:w="1620" w:type="dxa"/>
            <w:tcBorders>
              <w:top w:val="nil"/>
              <w:left w:val="nil"/>
              <w:bottom w:val="single" w:sz="4" w:space="0" w:color="auto"/>
              <w:right w:val="single" w:sz="4" w:space="0" w:color="auto"/>
            </w:tcBorders>
            <w:shd w:val="clear" w:color="auto" w:fill="auto"/>
            <w:vAlign w:val="center"/>
            <w:hideMark/>
          </w:tcPr>
          <w:p w:rsidR="00677CC2" w:rsidRPr="00677CC2" w:rsidRDefault="00677CC2" w:rsidP="00677CC2">
            <w:pPr>
              <w:jc w:val="right"/>
              <w:rPr>
                <w:rFonts w:ascii="Times New Roman" w:hAnsi="Times New Roman"/>
                <w:noProof w:val="0"/>
                <w:color w:val="000000"/>
              </w:rPr>
            </w:pPr>
            <w:r w:rsidRPr="00677CC2">
              <w:rPr>
                <w:rFonts w:ascii="Times New Roman" w:hAnsi="Times New Roman"/>
                <w:noProof w:val="0"/>
                <w:color w:val="000000"/>
              </w:rPr>
              <w:t xml:space="preserve">                 962 </w:t>
            </w:r>
          </w:p>
        </w:tc>
      </w:tr>
      <w:tr w:rsidR="00677CC2" w:rsidRPr="00677CC2" w:rsidTr="00677CC2">
        <w:trPr>
          <w:trHeight w:val="30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677CC2" w:rsidRPr="00677CC2" w:rsidRDefault="00677CC2" w:rsidP="00677CC2">
            <w:pPr>
              <w:rPr>
                <w:rFonts w:ascii="Times New Roman" w:hAnsi="Times New Roman"/>
                <w:noProof w:val="0"/>
                <w:color w:val="000000"/>
              </w:rPr>
            </w:pPr>
            <w:r w:rsidRPr="00677CC2">
              <w:rPr>
                <w:rFonts w:ascii="Times New Roman" w:hAnsi="Times New Roman"/>
                <w:noProof w:val="0"/>
                <w:color w:val="000000"/>
              </w:rPr>
              <w:t>Annual burden hours</w:t>
            </w:r>
          </w:p>
        </w:tc>
        <w:tc>
          <w:tcPr>
            <w:tcW w:w="1700" w:type="dxa"/>
            <w:tcBorders>
              <w:top w:val="nil"/>
              <w:left w:val="nil"/>
              <w:bottom w:val="single" w:sz="4" w:space="0" w:color="auto"/>
              <w:right w:val="single" w:sz="4" w:space="0" w:color="auto"/>
            </w:tcBorders>
            <w:shd w:val="clear" w:color="auto" w:fill="auto"/>
            <w:vAlign w:val="center"/>
            <w:hideMark/>
          </w:tcPr>
          <w:p w:rsidR="00677CC2" w:rsidRPr="00677CC2" w:rsidRDefault="00677CC2" w:rsidP="00677CC2">
            <w:pPr>
              <w:jc w:val="right"/>
              <w:rPr>
                <w:rFonts w:ascii="Times New Roman" w:hAnsi="Times New Roman"/>
                <w:noProof w:val="0"/>
                <w:color w:val="000000"/>
              </w:rPr>
            </w:pPr>
            <w:r w:rsidRPr="00677CC2">
              <w:rPr>
                <w:rFonts w:ascii="Times New Roman" w:hAnsi="Times New Roman"/>
                <w:noProof w:val="0"/>
                <w:color w:val="000000"/>
              </w:rPr>
              <w:t xml:space="preserve">               2,283 </w:t>
            </w:r>
          </w:p>
        </w:tc>
        <w:tc>
          <w:tcPr>
            <w:tcW w:w="1890" w:type="dxa"/>
            <w:tcBorders>
              <w:top w:val="nil"/>
              <w:left w:val="nil"/>
              <w:bottom w:val="single" w:sz="4" w:space="0" w:color="auto"/>
              <w:right w:val="single" w:sz="4" w:space="0" w:color="auto"/>
            </w:tcBorders>
            <w:shd w:val="clear" w:color="auto" w:fill="auto"/>
            <w:vAlign w:val="center"/>
            <w:hideMark/>
          </w:tcPr>
          <w:p w:rsidR="00677CC2" w:rsidRPr="00677CC2" w:rsidRDefault="00677CC2" w:rsidP="00677CC2">
            <w:pPr>
              <w:jc w:val="right"/>
              <w:rPr>
                <w:rFonts w:ascii="Times New Roman" w:hAnsi="Times New Roman"/>
                <w:noProof w:val="0"/>
                <w:color w:val="000000"/>
              </w:rPr>
            </w:pPr>
            <w:r>
              <w:rPr>
                <w:rFonts w:ascii="Times New Roman" w:hAnsi="Times New Roman"/>
                <w:noProof w:val="0"/>
                <w:color w:val="000000"/>
              </w:rPr>
              <w:t xml:space="preserve">               </w:t>
            </w:r>
            <w:r w:rsidRPr="00677CC2">
              <w:rPr>
                <w:rFonts w:ascii="Times New Roman" w:hAnsi="Times New Roman"/>
                <w:noProof w:val="0"/>
                <w:color w:val="000000"/>
              </w:rPr>
              <w:t xml:space="preserve">1,507 </w:t>
            </w:r>
          </w:p>
        </w:tc>
        <w:tc>
          <w:tcPr>
            <w:tcW w:w="1620" w:type="dxa"/>
            <w:tcBorders>
              <w:top w:val="nil"/>
              <w:left w:val="nil"/>
              <w:bottom w:val="single" w:sz="4" w:space="0" w:color="auto"/>
              <w:right w:val="single" w:sz="4" w:space="0" w:color="auto"/>
            </w:tcBorders>
            <w:shd w:val="clear" w:color="auto" w:fill="auto"/>
            <w:vAlign w:val="center"/>
            <w:hideMark/>
          </w:tcPr>
          <w:p w:rsidR="00677CC2" w:rsidRPr="00677CC2" w:rsidRDefault="00677CC2" w:rsidP="00677CC2">
            <w:pPr>
              <w:jc w:val="right"/>
              <w:rPr>
                <w:rFonts w:ascii="Times New Roman" w:hAnsi="Times New Roman"/>
                <w:noProof w:val="0"/>
                <w:color w:val="000000"/>
              </w:rPr>
            </w:pPr>
            <w:r w:rsidRPr="00677CC2">
              <w:rPr>
                <w:rFonts w:ascii="Times New Roman" w:hAnsi="Times New Roman"/>
                <w:noProof w:val="0"/>
                <w:color w:val="000000"/>
              </w:rPr>
              <w:t xml:space="preserve">                (777)</w:t>
            </w:r>
          </w:p>
        </w:tc>
      </w:tr>
      <w:tr w:rsidR="00677CC2" w:rsidRPr="00677CC2" w:rsidTr="00677CC2">
        <w:trPr>
          <w:trHeight w:val="30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677CC2" w:rsidRPr="00677CC2" w:rsidRDefault="00677CC2" w:rsidP="00677CC2">
            <w:pPr>
              <w:rPr>
                <w:rFonts w:ascii="Times New Roman" w:hAnsi="Times New Roman"/>
                <w:noProof w:val="0"/>
                <w:color w:val="000000"/>
              </w:rPr>
            </w:pPr>
            <w:r w:rsidRPr="00677CC2">
              <w:rPr>
                <w:rFonts w:ascii="Times New Roman" w:hAnsi="Times New Roman"/>
                <w:noProof w:val="0"/>
                <w:color w:val="000000"/>
              </w:rPr>
              <w:t>Annual cost ($)</w:t>
            </w:r>
          </w:p>
        </w:tc>
        <w:tc>
          <w:tcPr>
            <w:tcW w:w="1700" w:type="dxa"/>
            <w:tcBorders>
              <w:top w:val="nil"/>
              <w:left w:val="nil"/>
              <w:bottom w:val="single" w:sz="4" w:space="0" w:color="auto"/>
              <w:right w:val="single" w:sz="4" w:space="0" w:color="auto"/>
            </w:tcBorders>
            <w:shd w:val="clear" w:color="auto" w:fill="auto"/>
            <w:vAlign w:val="center"/>
            <w:hideMark/>
          </w:tcPr>
          <w:p w:rsidR="00677CC2" w:rsidRPr="00677CC2" w:rsidRDefault="00677CC2" w:rsidP="00677CC2">
            <w:pPr>
              <w:jc w:val="right"/>
              <w:rPr>
                <w:rFonts w:ascii="Times New Roman" w:hAnsi="Times New Roman"/>
                <w:noProof w:val="0"/>
                <w:color w:val="000000"/>
              </w:rPr>
            </w:pPr>
            <w:r w:rsidRPr="00677CC2">
              <w:rPr>
                <w:rFonts w:ascii="Times New Roman" w:hAnsi="Times New Roman"/>
                <w:noProof w:val="0"/>
                <w:color w:val="000000"/>
              </w:rPr>
              <w:t xml:space="preserve">             60,570 </w:t>
            </w:r>
          </w:p>
        </w:tc>
        <w:tc>
          <w:tcPr>
            <w:tcW w:w="1890" w:type="dxa"/>
            <w:tcBorders>
              <w:top w:val="nil"/>
              <w:left w:val="nil"/>
              <w:bottom w:val="single" w:sz="4" w:space="0" w:color="auto"/>
              <w:right w:val="single" w:sz="4" w:space="0" w:color="auto"/>
            </w:tcBorders>
            <w:shd w:val="clear" w:color="auto" w:fill="auto"/>
            <w:vAlign w:val="center"/>
            <w:hideMark/>
          </w:tcPr>
          <w:p w:rsidR="00677CC2" w:rsidRPr="00677CC2" w:rsidRDefault="00677CC2" w:rsidP="00677CC2">
            <w:pPr>
              <w:jc w:val="right"/>
              <w:rPr>
                <w:rFonts w:ascii="Times New Roman" w:hAnsi="Times New Roman"/>
                <w:noProof w:val="0"/>
                <w:color w:val="000000"/>
              </w:rPr>
            </w:pPr>
            <w:r>
              <w:rPr>
                <w:rFonts w:ascii="Times New Roman" w:hAnsi="Times New Roman"/>
                <w:noProof w:val="0"/>
                <w:color w:val="000000"/>
              </w:rPr>
              <w:t xml:space="preserve">             </w:t>
            </w:r>
            <w:r w:rsidRPr="00677CC2">
              <w:rPr>
                <w:rFonts w:ascii="Times New Roman" w:hAnsi="Times New Roman"/>
                <w:noProof w:val="0"/>
                <w:color w:val="000000"/>
              </w:rPr>
              <w:t xml:space="preserve">78,429 </w:t>
            </w:r>
          </w:p>
        </w:tc>
        <w:tc>
          <w:tcPr>
            <w:tcW w:w="1620" w:type="dxa"/>
            <w:tcBorders>
              <w:top w:val="nil"/>
              <w:left w:val="nil"/>
              <w:bottom w:val="single" w:sz="4" w:space="0" w:color="auto"/>
              <w:right w:val="single" w:sz="4" w:space="0" w:color="auto"/>
            </w:tcBorders>
            <w:shd w:val="clear" w:color="auto" w:fill="auto"/>
            <w:vAlign w:val="center"/>
            <w:hideMark/>
          </w:tcPr>
          <w:p w:rsidR="00677CC2" w:rsidRPr="00677CC2" w:rsidRDefault="00677CC2" w:rsidP="00677CC2">
            <w:pPr>
              <w:jc w:val="right"/>
              <w:rPr>
                <w:rFonts w:ascii="Times New Roman" w:hAnsi="Times New Roman"/>
                <w:noProof w:val="0"/>
                <w:color w:val="000000"/>
              </w:rPr>
            </w:pPr>
            <w:r w:rsidRPr="00677CC2">
              <w:rPr>
                <w:rFonts w:ascii="Times New Roman" w:hAnsi="Times New Roman"/>
                <w:noProof w:val="0"/>
                <w:color w:val="000000"/>
              </w:rPr>
              <w:t xml:space="preserve">            17,859 </w:t>
            </w:r>
          </w:p>
        </w:tc>
      </w:tr>
    </w:tbl>
    <w:p w:rsidR="00677CC2" w:rsidRPr="00677CC2" w:rsidRDefault="00677CC2" w:rsidP="008E0063">
      <w:pPr>
        <w:rPr>
          <w:rFonts w:ascii="Times New Roman" w:hAnsi="Times New Roman"/>
          <w:sz w:val="24"/>
          <w:szCs w:val="24"/>
        </w:rPr>
      </w:pPr>
      <w:r w:rsidRPr="00677CC2">
        <w:rPr>
          <w:rFonts w:ascii="Times New Roman" w:hAnsi="Times New Roman"/>
        </w:rPr>
        <w:t>(*In prior information collection requests, the estimated cost burden was described as “a usual and customary business expense not directly associated with this information collection.”  The DEA believes the estimated cost burden associated with this information collection should be included.  This change in calculation method is employed in this and future information collection requests.)</w:t>
      </w:r>
    </w:p>
    <w:p w:rsidR="008E0063" w:rsidRDefault="008E0063" w:rsidP="008E0063">
      <w:pPr>
        <w:rPr>
          <w:rFonts w:ascii="Times New Roman" w:hAnsi="Times New Roman"/>
          <w:noProof w:val="0"/>
          <w:sz w:val="24"/>
        </w:rPr>
      </w:pPr>
    </w:p>
    <w:p w:rsidR="00331303"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477399">
        <w:rPr>
          <w:rFonts w:ascii="Times New Roman" w:hAnsi="Times New Roman"/>
          <w:noProof w:val="0"/>
          <w:sz w:val="24"/>
        </w:rPr>
        <w:t xml:space="preserve"> </w:t>
      </w:r>
      <w:r w:rsidR="00331303" w:rsidRPr="00B051D2">
        <w:rPr>
          <w:rFonts w:ascii="Times New Roman" w:hAnsi="Times New Roman"/>
          <w:noProof w:val="0"/>
          <w:sz w:val="24"/>
          <w:u w:val="single"/>
        </w:rPr>
        <w:t>Plans for Publication:</w:t>
      </w:r>
    </w:p>
    <w:p w:rsidR="001A64B0" w:rsidRDefault="001A64B0" w:rsidP="001A64B0">
      <w:pPr>
        <w:tabs>
          <w:tab w:val="left" w:pos="720"/>
          <w:tab w:val="left" w:pos="1440"/>
          <w:tab w:val="left" w:pos="2160"/>
        </w:tabs>
        <w:rPr>
          <w:rFonts w:ascii="Times New Roman" w:hAnsi="Times New Roman"/>
          <w:noProof w:val="0"/>
          <w:sz w:val="24"/>
        </w:rPr>
      </w:pPr>
    </w:p>
    <w:p w:rsidR="00477399" w:rsidRDefault="00B8519D" w:rsidP="001A64B0">
      <w:pPr>
        <w:tabs>
          <w:tab w:val="left" w:pos="720"/>
          <w:tab w:val="left" w:pos="1440"/>
          <w:tab w:val="left" w:pos="2160"/>
        </w:tabs>
        <w:rPr>
          <w:rFonts w:ascii="Times New Roman" w:hAnsi="Times New Roman"/>
          <w:noProof w:val="0"/>
          <w:sz w:val="24"/>
        </w:rPr>
      </w:pPr>
      <w:r w:rsidRPr="00B8519D">
        <w:t xml:space="preserve"> </w:t>
      </w:r>
      <w:r w:rsidRPr="00B8519D">
        <w:rPr>
          <w:rFonts w:ascii="Times New Roman" w:hAnsi="Times New Roman"/>
          <w:noProof w:val="0"/>
          <w:sz w:val="24"/>
        </w:rPr>
        <w:t xml:space="preserve">The DEA will not </w:t>
      </w:r>
      <w:r w:rsidR="00C51739">
        <w:rPr>
          <w:rFonts w:ascii="Times New Roman" w:hAnsi="Times New Roman"/>
          <w:noProof w:val="0"/>
          <w:sz w:val="24"/>
        </w:rPr>
        <w:t>publish</w:t>
      </w:r>
      <w:r w:rsidRPr="00B8519D">
        <w:rPr>
          <w:rFonts w:ascii="Times New Roman" w:hAnsi="Times New Roman"/>
          <w:noProof w:val="0"/>
          <w:sz w:val="24"/>
        </w:rPr>
        <w:t xml:space="preserve"> the results</w:t>
      </w:r>
      <w:r w:rsidR="00C51739">
        <w:rPr>
          <w:rFonts w:ascii="Times New Roman" w:hAnsi="Times New Roman"/>
          <w:noProof w:val="0"/>
          <w:sz w:val="24"/>
        </w:rPr>
        <w:t xml:space="preserve"> of the information collected.</w:t>
      </w:r>
    </w:p>
    <w:p w:rsidR="00072531" w:rsidRDefault="00072531" w:rsidP="001A64B0">
      <w:pPr>
        <w:tabs>
          <w:tab w:val="left" w:pos="720"/>
          <w:tab w:val="left" w:pos="1440"/>
          <w:tab w:val="left" w:pos="2160"/>
        </w:tabs>
        <w:rPr>
          <w:rFonts w:ascii="Times New Roman" w:hAnsi="Times New Roman"/>
          <w:noProof w:val="0"/>
          <w:sz w:val="24"/>
        </w:rPr>
      </w:pPr>
    </w:p>
    <w:p w:rsidR="00D17456" w:rsidRDefault="000C1537" w:rsidP="001A64B0">
      <w:pPr>
        <w:rPr>
          <w:rFonts w:ascii="Times New Roman" w:hAnsi="Times New Roman"/>
          <w:noProof w:val="0"/>
          <w:sz w:val="24"/>
          <w:u w:val="single"/>
        </w:rPr>
      </w:pPr>
      <w:r>
        <w:rPr>
          <w:rFonts w:ascii="Times New Roman" w:hAnsi="Times New Roman"/>
          <w:noProof w:val="0"/>
          <w:sz w:val="24"/>
        </w:rPr>
        <w:t xml:space="preserve">17. </w:t>
      </w:r>
      <w:r w:rsidR="00477399">
        <w:rPr>
          <w:rFonts w:ascii="Times New Roman" w:hAnsi="Times New Roman"/>
          <w:noProof w:val="0"/>
          <w:sz w:val="24"/>
        </w:rPr>
        <w:t xml:space="preserve"> </w:t>
      </w:r>
      <w:r w:rsidRPr="00B051D2">
        <w:rPr>
          <w:rFonts w:ascii="Times New Roman" w:hAnsi="Times New Roman"/>
          <w:noProof w:val="0"/>
          <w:sz w:val="24"/>
          <w:u w:val="single"/>
        </w:rPr>
        <w:t>Expiration Date</w:t>
      </w:r>
      <w:r w:rsidR="00BA21AB">
        <w:rPr>
          <w:rFonts w:ascii="Times New Roman" w:hAnsi="Times New Roman"/>
          <w:noProof w:val="0"/>
          <w:sz w:val="24"/>
          <w:u w:val="single"/>
        </w:rPr>
        <w:t xml:space="preserve"> </w:t>
      </w:r>
      <w:r w:rsidRPr="00B051D2">
        <w:rPr>
          <w:rFonts w:ascii="Times New Roman" w:hAnsi="Times New Roman"/>
          <w:noProof w:val="0"/>
          <w:sz w:val="24"/>
          <w:u w:val="single"/>
        </w:rPr>
        <w:t>Approval:</w:t>
      </w:r>
    </w:p>
    <w:p w:rsidR="00E05E8E" w:rsidRDefault="00E05E8E" w:rsidP="001A64B0">
      <w:pPr>
        <w:rPr>
          <w:rFonts w:ascii="Times New Roman" w:hAnsi="Times New Roman"/>
          <w:noProof w:val="0"/>
          <w:sz w:val="24"/>
        </w:rPr>
      </w:pPr>
    </w:p>
    <w:p w:rsidR="00D17456" w:rsidRDefault="00D17456" w:rsidP="001A64B0">
      <w:pPr>
        <w:rPr>
          <w:rFonts w:ascii="Times New Roman" w:hAnsi="Times New Roman"/>
          <w:noProof w:val="0"/>
          <w:sz w:val="24"/>
        </w:rPr>
      </w:pPr>
      <w:r>
        <w:rPr>
          <w:rFonts w:ascii="Times New Roman" w:hAnsi="Times New Roman"/>
          <w:noProof w:val="0"/>
          <w:sz w:val="24"/>
        </w:rPr>
        <w:t>The DEA does not object to OMB displaying the expiration date.</w:t>
      </w:r>
    </w:p>
    <w:p w:rsidR="00072531" w:rsidRDefault="00072531" w:rsidP="001A64B0">
      <w:pPr>
        <w:rPr>
          <w:rFonts w:ascii="Times New Roman" w:hAnsi="Times New Roman"/>
          <w:noProof w:val="0"/>
          <w:sz w:val="24"/>
        </w:rPr>
      </w:pPr>
    </w:p>
    <w:p w:rsidR="000C1537"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18. </w:t>
      </w:r>
      <w:r w:rsidR="00477399">
        <w:rPr>
          <w:rFonts w:ascii="Times New Roman" w:hAnsi="Times New Roman"/>
          <w:noProof w:val="0"/>
          <w:sz w:val="24"/>
        </w:rPr>
        <w:t xml:space="preserve"> </w:t>
      </w:r>
      <w:r w:rsidRPr="00B051D2">
        <w:rPr>
          <w:rFonts w:ascii="Times New Roman" w:hAnsi="Times New Roman"/>
          <w:noProof w:val="0"/>
          <w:sz w:val="24"/>
          <w:u w:val="single"/>
        </w:rPr>
        <w:t>Exceptions to the Certification Statement:</w:t>
      </w:r>
    </w:p>
    <w:p w:rsidR="001A64B0" w:rsidRDefault="001A64B0" w:rsidP="001A64B0">
      <w:pPr>
        <w:tabs>
          <w:tab w:val="left" w:pos="720"/>
          <w:tab w:val="left" w:pos="1440"/>
          <w:tab w:val="left" w:pos="2160"/>
        </w:tabs>
        <w:jc w:val="both"/>
        <w:rPr>
          <w:rFonts w:ascii="Times New Roman" w:hAnsi="Times New Roman"/>
          <w:noProof w:val="0"/>
          <w:sz w:val="24"/>
        </w:rPr>
      </w:pPr>
    </w:p>
    <w:p w:rsidR="00D17456" w:rsidRDefault="00D17456" w:rsidP="001A64B0">
      <w:pPr>
        <w:rPr>
          <w:rFonts w:ascii="Times New Roman" w:hAnsi="Times New Roman"/>
          <w:noProof w:val="0"/>
          <w:sz w:val="24"/>
        </w:rPr>
      </w:pPr>
      <w:r>
        <w:rPr>
          <w:rFonts w:ascii="Times New Roman" w:hAnsi="Times New Roman"/>
          <w:noProof w:val="0"/>
          <w:sz w:val="24"/>
        </w:rPr>
        <w:t>The DEA is not seeking an exception to the certification statement “Certification for Paperwork Reduction Act Submissions” for this collection of information.</w:t>
      </w:r>
    </w:p>
    <w:p w:rsidR="000C1537" w:rsidRDefault="000C1537" w:rsidP="001A64B0">
      <w:pPr>
        <w:rPr>
          <w:rFonts w:ascii="Times New Roman" w:hAnsi="Times New Roman"/>
          <w:noProof w:val="0"/>
          <w:sz w:val="24"/>
        </w:rPr>
      </w:pPr>
    </w:p>
    <w:p w:rsidR="000C1537" w:rsidRDefault="000C1537" w:rsidP="001A64B0">
      <w:pPr>
        <w:rPr>
          <w:rFonts w:ascii="Times New Roman" w:hAnsi="Times New Roman"/>
          <w:noProof w:val="0"/>
          <w:sz w:val="24"/>
        </w:rPr>
      </w:pPr>
    </w:p>
    <w:p w:rsidR="000C1537" w:rsidRPr="00B051D2" w:rsidRDefault="000C1537" w:rsidP="001A64B0">
      <w:pPr>
        <w:rPr>
          <w:rFonts w:ascii="Times New Roman" w:hAnsi="Times New Roman"/>
          <w:b/>
          <w:sz w:val="24"/>
          <w:szCs w:val="24"/>
        </w:rPr>
      </w:pPr>
      <w:r w:rsidRPr="00B051D2">
        <w:rPr>
          <w:rFonts w:ascii="Times New Roman" w:hAnsi="Times New Roman"/>
          <w:b/>
          <w:sz w:val="24"/>
          <w:szCs w:val="24"/>
        </w:rPr>
        <w:t>Part B. Statistical Methods</w:t>
      </w:r>
    </w:p>
    <w:p w:rsidR="001A64B0" w:rsidRPr="000C1537" w:rsidRDefault="001A64B0" w:rsidP="001A64B0">
      <w:pPr>
        <w:rPr>
          <w:rFonts w:ascii="Times New Roman" w:hAnsi="Times New Roman"/>
          <w:sz w:val="24"/>
          <w:szCs w:val="24"/>
        </w:rPr>
      </w:pPr>
    </w:p>
    <w:p w:rsidR="000C1537" w:rsidRPr="000C1537" w:rsidRDefault="000C1537" w:rsidP="001A64B0">
      <w:pPr>
        <w:rPr>
          <w:rFonts w:ascii="Times New Roman" w:hAnsi="Times New Roman"/>
          <w:sz w:val="24"/>
          <w:szCs w:val="24"/>
        </w:rPr>
      </w:pPr>
      <w:r w:rsidRPr="000C1537">
        <w:rPr>
          <w:rFonts w:ascii="Times New Roman" w:hAnsi="Times New Roman"/>
          <w:sz w:val="24"/>
          <w:szCs w:val="24"/>
        </w:rPr>
        <w:t xml:space="preserve">The </w:t>
      </w:r>
      <w:r w:rsidR="00024B5B">
        <w:rPr>
          <w:rFonts w:ascii="Times New Roman" w:hAnsi="Times New Roman"/>
          <w:sz w:val="24"/>
          <w:szCs w:val="24"/>
        </w:rPr>
        <w:t xml:space="preserve">DEA does not employ statistical methods in this information collection.  </w:t>
      </w:r>
    </w:p>
    <w:sectPr w:rsidR="000C1537" w:rsidRPr="000C1537" w:rsidSect="00213992">
      <w:headerReference w:type="default" r:id="rId9"/>
      <w:pgSz w:w="11436"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A5" w:rsidRDefault="00181AA5">
      <w:r>
        <w:separator/>
      </w:r>
    </w:p>
  </w:endnote>
  <w:endnote w:type="continuationSeparator" w:id="0">
    <w:p w:rsidR="00181AA5" w:rsidRDefault="001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A5" w:rsidRDefault="00181AA5">
      <w:r>
        <w:separator/>
      </w:r>
    </w:p>
  </w:footnote>
  <w:footnote w:type="continuationSeparator" w:id="0">
    <w:p w:rsidR="00181AA5" w:rsidRDefault="00181AA5">
      <w:r>
        <w:continuationSeparator/>
      </w:r>
    </w:p>
  </w:footnote>
  <w:footnote w:id="1">
    <w:p w:rsidR="006253B7" w:rsidRDefault="006253B7" w:rsidP="008315BB">
      <w:pPr>
        <w:pStyle w:val="FootnoteText"/>
      </w:pPr>
      <w:r w:rsidRPr="00D34495">
        <w:rPr>
          <w:rStyle w:val="FootnoteReference"/>
          <w:rFonts w:ascii="Times New Roman" w:hAnsi="Times New Roman"/>
          <w:vertAlign w:val="superscript"/>
        </w:rPr>
        <w:footnoteRef/>
      </w:r>
      <w:r w:rsidRPr="00D34495">
        <w:rPr>
          <w:rFonts w:ascii="Times New Roman" w:hAnsi="Times New Roman"/>
        </w:rPr>
        <w:t xml:space="preserve"> </w:t>
      </w:r>
      <w:r>
        <w:rPr>
          <w:rFonts w:ascii="Times New Roman" w:hAnsi="Times New Roman"/>
        </w:rPr>
        <w:t xml:space="preserve">Median hourly wage, </w:t>
      </w:r>
      <w:r w:rsidRPr="00D34495">
        <w:rPr>
          <w:rFonts w:ascii="Times New Roman" w:hAnsi="Times New Roman"/>
        </w:rPr>
        <w:t xml:space="preserve">Bureau of Labor Statistics, Occupational and Employment and Wages, May </w:t>
      </w:r>
      <w:r>
        <w:rPr>
          <w:rFonts w:ascii="Times New Roman" w:hAnsi="Times New Roman"/>
        </w:rPr>
        <w:t>2014</w:t>
      </w:r>
      <w:r w:rsidRPr="00D34495">
        <w:rPr>
          <w:rFonts w:ascii="Times New Roman" w:hAnsi="Times New Roman"/>
        </w:rPr>
        <w:t xml:space="preserve">, </w:t>
      </w:r>
      <w:r w:rsidRPr="004910DA">
        <w:rPr>
          <w:rFonts w:ascii="Times New Roman" w:hAnsi="Times New Roman"/>
        </w:rPr>
        <w:t>41-4011 Sales Representatives, Wholesale and Manufacturing, Technical and Scientific Products</w:t>
      </w:r>
      <w:r w:rsidRPr="00D34495">
        <w:rPr>
          <w:rFonts w:ascii="Times New Roman" w:hAnsi="Times New Roman"/>
        </w:rPr>
        <w:t xml:space="preserve"> (</w:t>
      </w:r>
      <w:r w:rsidRPr="000F7D87">
        <w:rPr>
          <w:rFonts w:ascii="Times New Roman" w:hAnsi="Times New Roman"/>
        </w:rPr>
        <w:t>http://www.bls.gov/oes/current/oes_nat.htm</w:t>
      </w:r>
      <w:r w:rsidRPr="00D34495">
        <w:rPr>
          <w:rFonts w:ascii="Times New Roman" w:hAnsi="Times New Roman"/>
        </w:rPr>
        <w:t>).</w:t>
      </w:r>
    </w:p>
  </w:footnote>
  <w:footnote w:id="2">
    <w:p w:rsidR="006253B7" w:rsidRDefault="006253B7" w:rsidP="008315BB">
      <w:pPr>
        <w:pStyle w:val="FootnoteText"/>
      </w:pPr>
      <w:r w:rsidRPr="007B3740">
        <w:rPr>
          <w:rStyle w:val="FootnoteReference"/>
          <w:rFonts w:ascii="Times New Roman" w:hAnsi="Times New Roman"/>
          <w:vertAlign w:val="superscript"/>
        </w:rPr>
        <w:footnoteRef/>
      </w:r>
      <w:r w:rsidRPr="007B3740">
        <w:rPr>
          <w:rFonts w:ascii="Times New Roman" w:hAnsi="Times New Roman"/>
        </w:rPr>
        <w:t xml:space="preserve"> Bureau of Labor Statistics, “Employer Costs for Employee Compensation – </w:t>
      </w:r>
      <w:r>
        <w:rPr>
          <w:rFonts w:ascii="Times New Roman" w:hAnsi="Times New Roman"/>
        </w:rPr>
        <w:t>December</w:t>
      </w:r>
      <w:r w:rsidRPr="007B3740">
        <w:rPr>
          <w:rFonts w:ascii="Times New Roman" w:hAnsi="Times New Roman"/>
        </w:rPr>
        <w:t xml:space="preserve"> </w:t>
      </w:r>
      <w:r>
        <w:rPr>
          <w:rFonts w:ascii="Times New Roman" w:hAnsi="Times New Roman"/>
        </w:rPr>
        <w:t>2014</w:t>
      </w:r>
      <w:r w:rsidRPr="007B3740">
        <w:rPr>
          <w:rFonts w:ascii="Times New Roman" w:hAnsi="Times New Roman"/>
        </w:rPr>
        <w:t xml:space="preserv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Pr>
          <w:rFonts w:ascii="Times New Roman" w:hAnsi="Times New Roman"/>
        </w:rPr>
        <w:t>its for private industry is 30.2</w:t>
      </w:r>
      <w:r w:rsidRPr="007B3740">
        <w:rPr>
          <w:rFonts w:ascii="Times New Roman" w:hAnsi="Times New Roman"/>
        </w:rPr>
        <w:t xml:space="preserve">% </w:t>
      </w:r>
      <w:r>
        <w:rPr>
          <w:rFonts w:ascii="Times New Roman" w:hAnsi="Times New Roman"/>
        </w:rPr>
        <w:t>of total compensation.  The 30.6</w:t>
      </w:r>
      <w:r w:rsidRPr="007B3740">
        <w:rPr>
          <w:rFonts w:ascii="Times New Roman" w:hAnsi="Times New Roman"/>
        </w:rPr>
        <w:t>% of total com</w:t>
      </w:r>
      <w:r>
        <w:rPr>
          <w:rFonts w:ascii="Times New Roman" w:hAnsi="Times New Roman"/>
        </w:rPr>
        <w:t>pensation equates to 44.1% (30.6% / 69.4</w:t>
      </w:r>
      <w:r w:rsidRPr="007B3740">
        <w:rPr>
          <w:rFonts w:ascii="Times New Roman" w:hAnsi="Times New Roman"/>
        </w:rPr>
        <w:t>%) load on wages and salaries.</w:t>
      </w:r>
    </w:p>
  </w:footnote>
  <w:footnote w:id="3">
    <w:p w:rsidR="006253B7" w:rsidRDefault="006253B7" w:rsidP="008315BB">
      <w:pPr>
        <w:pStyle w:val="FootnoteText"/>
      </w:pPr>
      <w:r w:rsidRPr="007B3740">
        <w:rPr>
          <w:rStyle w:val="FootnoteReference"/>
          <w:rFonts w:ascii="Times New Roman" w:hAnsi="Times New Roman"/>
          <w:vertAlign w:val="superscript"/>
        </w:rPr>
        <w:footnoteRef/>
      </w:r>
      <w:r>
        <w:rPr>
          <w:rFonts w:ascii="Times New Roman" w:hAnsi="Times New Roman"/>
        </w:rPr>
        <w:t xml:space="preserve"> $36.13 x (1 + 0.441) = $52.06.</w:t>
      </w:r>
    </w:p>
  </w:footnote>
  <w:footnote w:id="4">
    <w:p w:rsidR="00C12AD6" w:rsidRDefault="00C12AD6" w:rsidP="00C12AD6">
      <w:pPr>
        <w:pStyle w:val="FootnoteText"/>
      </w:pPr>
      <w:r>
        <w:rPr>
          <w:rStyle w:val="FootnoteReference"/>
          <w:vertAlign w:val="superscript"/>
        </w:rPr>
        <w:footnoteRef/>
      </w:r>
      <w:r>
        <w:rPr>
          <w:rFonts w:ascii="Times New Roman" w:hAnsi="Times New Roman"/>
        </w:rPr>
        <w:t xml:space="preserve"> Government salary figures are based on Washington, DC locality pay at step 5 for each grade level.</w:t>
      </w:r>
    </w:p>
  </w:footnote>
  <w:footnote w:id="5">
    <w:p w:rsidR="00C12AD6" w:rsidRDefault="00C12AD6" w:rsidP="00C12AD6">
      <w:pPr>
        <w:pStyle w:val="FootnoteText"/>
      </w:pPr>
      <w:r>
        <w:rPr>
          <w:rStyle w:val="FootnoteReference"/>
          <w:vertAlign w:val="superscript"/>
        </w:rPr>
        <w:footnoteRef/>
      </w:r>
      <w:r>
        <w:rPr>
          <w:rFonts w:ascii="Times New Roman" w:hAnsi="Times New Roman"/>
        </w:rPr>
        <w:t xml:space="preserve"> The ECEC does not include figures for the Federal Government, 41% load for benefits based on the ECEC for “State and local government” (adjusted for paid leave).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1B" w:rsidRDefault="0023781B">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6">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0">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18">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17"/>
  </w:num>
  <w:num w:numId="4">
    <w:abstractNumId w:val="6"/>
  </w:num>
  <w:num w:numId="5">
    <w:abstractNumId w:val="15"/>
  </w:num>
  <w:num w:numId="6">
    <w:abstractNumId w:val="5"/>
  </w:num>
  <w:num w:numId="7">
    <w:abstractNumId w:val="0"/>
  </w:num>
  <w:num w:numId="8">
    <w:abstractNumId w:val="16"/>
  </w:num>
  <w:num w:numId="9">
    <w:abstractNumId w:val="18"/>
  </w:num>
  <w:num w:numId="10">
    <w:abstractNumId w:val="3"/>
  </w:num>
  <w:num w:numId="11">
    <w:abstractNumId w:val="13"/>
  </w:num>
  <w:num w:numId="12">
    <w:abstractNumId w:val="7"/>
  </w:num>
  <w:num w:numId="13">
    <w:abstractNumId w:val="14"/>
  </w:num>
  <w:num w:numId="14">
    <w:abstractNumId w:val="11"/>
  </w:num>
  <w:num w:numId="15">
    <w:abstractNumId w:val="4"/>
  </w:num>
  <w:num w:numId="16">
    <w:abstractNumId w:val="10"/>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1166E"/>
    <w:rsid w:val="00024B5B"/>
    <w:rsid w:val="00072531"/>
    <w:rsid w:val="000936D4"/>
    <w:rsid w:val="000B05CC"/>
    <w:rsid w:val="000C1537"/>
    <w:rsid w:val="000C46D6"/>
    <w:rsid w:val="000E2DEA"/>
    <w:rsid w:val="000E728F"/>
    <w:rsid w:val="0010264F"/>
    <w:rsid w:val="001200DB"/>
    <w:rsid w:val="001275B6"/>
    <w:rsid w:val="001610B9"/>
    <w:rsid w:val="00181AA5"/>
    <w:rsid w:val="001A64B0"/>
    <w:rsid w:val="001A6B52"/>
    <w:rsid w:val="001A7C2B"/>
    <w:rsid w:val="001C5DD2"/>
    <w:rsid w:val="001F31A3"/>
    <w:rsid w:val="0020105A"/>
    <w:rsid w:val="00202FD8"/>
    <w:rsid w:val="00204F60"/>
    <w:rsid w:val="00213992"/>
    <w:rsid w:val="0023149B"/>
    <w:rsid w:val="002364CB"/>
    <w:rsid w:val="0023781B"/>
    <w:rsid w:val="00267EB7"/>
    <w:rsid w:val="002A25E7"/>
    <w:rsid w:val="002D03DF"/>
    <w:rsid w:val="003167F1"/>
    <w:rsid w:val="00331303"/>
    <w:rsid w:val="00333696"/>
    <w:rsid w:val="00335B7D"/>
    <w:rsid w:val="003415E1"/>
    <w:rsid w:val="00356C68"/>
    <w:rsid w:val="003632C4"/>
    <w:rsid w:val="003B1894"/>
    <w:rsid w:val="003B3FF9"/>
    <w:rsid w:val="003B51FF"/>
    <w:rsid w:val="003E19B7"/>
    <w:rsid w:val="00403678"/>
    <w:rsid w:val="004202AA"/>
    <w:rsid w:val="00436B13"/>
    <w:rsid w:val="00451D6C"/>
    <w:rsid w:val="004523E4"/>
    <w:rsid w:val="00460751"/>
    <w:rsid w:val="00467779"/>
    <w:rsid w:val="00473372"/>
    <w:rsid w:val="00477399"/>
    <w:rsid w:val="00480BEE"/>
    <w:rsid w:val="0049276B"/>
    <w:rsid w:val="004965E6"/>
    <w:rsid w:val="004A0B75"/>
    <w:rsid w:val="004C4324"/>
    <w:rsid w:val="004F5024"/>
    <w:rsid w:val="00516270"/>
    <w:rsid w:val="00521C94"/>
    <w:rsid w:val="00533EAF"/>
    <w:rsid w:val="00562D6D"/>
    <w:rsid w:val="0059407C"/>
    <w:rsid w:val="005A0509"/>
    <w:rsid w:val="005A4781"/>
    <w:rsid w:val="005D4B62"/>
    <w:rsid w:val="005D7A95"/>
    <w:rsid w:val="00603426"/>
    <w:rsid w:val="00606C77"/>
    <w:rsid w:val="006253B7"/>
    <w:rsid w:val="00630832"/>
    <w:rsid w:val="00653989"/>
    <w:rsid w:val="00653D0F"/>
    <w:rsid w:val="00677CC2"/>
    <w:rsid w:val="0069223A"/>
    <w:rsid w:val="00697EC4"/>
    <w:rsid w:val="006A483A"/>
    <w:rsid w:val="00707072"/>
    <w:rsid w:val="00711DA2"/>
    <w:rsid w:val="007257A3"/>
    <w:rsid w:val="00727DE4"/>
    <w:rsid w:val="0074519B"/>
    <w:rsid w:val="00747910"/>
    <w:rsid w:val="007757EF"/>
    <w:rsid w:val="0079012C"/>
    <w:rsid w:val="007B0F32"/>
    <w:rsid w:val="007B20CA"/>
    <w:rsid w:val="007D6549"/>
    <w:rsid w:val="007F1BC8"/>
    <w:rsid w:val="0080166A"/>
    <w:rsid w:val="0082139D"/>
    <w:rsid w:val="008248A2"/>
    <w:rsid w:val="008315BB"/>
    <w:rsid w:val="008535D1"/>
    <w:rsid w:val="00860ED2"/>
    <w:rsid w:val="00885594"/>
    <w:rsid w:val="008B7B24"/>
    <w:rsid w:val="008C00BD"/>
    <w:rsid w:val="008E0063"/>
    <w:rsid w:val="008E1FB0"/>
    <w:rsid w:val="008E7B3E"/>
    <w:rsid w:val="009151B2"/>
    <w:rsid w:val="009356AB"/>
    <w:rsid w:val="009523DE"/>
    <w:rsid w:val="009A5202"/>
    <w:rsid w:val="009B3EBD"/>
    <w:rsid w:val="009B4914"/>
    <w:rsid w:val="009C5ECB"/>
    <w:rsid w:val="009C67E8"/>
    <w:rsid w:val="009D6B26"/>
    <w:rsid w:val="009E10CB"/>
    <w:rsid w:val="00A03B7A"/>
    <w:rsid w:val="00A07710"/>
    <w:rsid w:val="00A13A11"/>
    <w:rsid w:val="00A42A92"/>
    <w:rsid w:val="00A52C58"/>
    <w:rsid w:val="00A71AA6"/>
    <w:rsid w:val="00A808A3"/>
    <w:rsid w:val="00A92142"/>
    <w:rsid w:val="00AD6472"/>
    <w:rsid w:val="00AE52E1"/>
    <w:rsid w:val="00B051D2"/>
    <w:rsid w:val="00B50163"/>
    <w:rsid w:val="00B51731"/>
    <w:rsid w:val="00B51820"/>
    <w:rsid w:val="00B558D9"/>
    <w:rsid w:val="00B577EF"/>
    <w:rsid w:val="00B64108"/>
    <w:rsid w:val="00B8519D"/>
    <w:rsid w:val="00BA21AB"/>
    <w:rsid w:val="00BC6D43"/>
    <w:rsid w:val="00BE16A2"/>
    <w:rsid w:val="00C002A3"/>
    <w:rsid w:val="00C11AD3"/>
    <w:rsid w:val="00C12AD6"/>
    <w:rsid w:val="00C31749"/>
    <w:rsid w:val="00C42F38"/>
    <w:rsid w:val="00C462E8"/>
    <w:rsid w:val="00C46DA6"/>
    <w:rsid w:val="00C51739"/>
    <w:rsid w:val="00C5178D"/>
    <w:rsid w:val="00C55291"/>
    <w:rsid w:val="00C55954"/>
    <w:rsid w:val="00C64283"/>
    <w:rsid w:val="00C76348"/>
    <w:rsid w:val="00C90095"/>
    <w:rsid w:val="00CA3BC6"/>
    <w:rsid w:val="00CB0C55"/>
    <w:rsid w:val="00CB24B8"/>
    <w:rsid w:val="00D04246"/>
    <w:rsid w:val="00D07114"/>
    <w:rsid w:val="00D11975"/>
    <w:rsid w:val="00D17456"/>
    <w:rsid w:val="00D274B8"/>
    <w:rsid w:val="00D41931"/>
    <w:rsid w:val="00D52432"/>
    <w:rsid w:val="00DB7313"/>
    <w:rsid w:val="00DC2025"/>
    <w:rsid w:val="00DD1F7C"/>
    <w:rsid w:val="00DD4067"/>
    <w:rsid w:val="00DE2AC2"/>
    <w:rsid w:val="00E05E8E"/>
    <w:rsid w:val="00E27D78"/>
    <w:rsid w:val="00E30516"/>
    <w:rsid w:val="00E357DE"/>
    <w:rsid w:val="00E41DE5"/>
    <w:rsid w:val="00E55C83"/>
    <w:rsid w:val="00ED7611"/>
    <w:rsid w:val="00EF4675"/>
    <w:rsid w:val="00F03D41"/>
    <w:rsid w:val="00F11648"/>
    <w:rsid w:val="00F178A6"/>
    <w:rsid w:val="00F304A0"/>
    <w:rsid w:val="00F37A40"/>
    <w:rsid w:val="00F51A69"/>
    <w:rsid w:val="00F83073"/>
    <w:rsid w:val="00FB41E0"/>
    <w:rsid w:val="00FB7BDC"/>
    <w:rsid w:val="00FC3989"/>
    <w:rsid w:val="00FD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FootnoteText">
    <w:name w:val="footnote text"/>
    <w:basedOn w:val="Normal"/>
    <w:link w:val="FootnoteTextChar"/>
    <w:uiPriority w:val="99"/>
    <w:semiHidden/>
    <w:unhideWhenUsed/>
    <w:rsid w:val="008315BB"/>
    <w:rPr>
      <w:rFonts w:ascii="Cambria" w:hAnsi="Cambria"/>
      <w:noProof w:val="0"/>
    </w:rPr>
  </w:style>
  <w:style w:type="character" w:customStyle="1" w:styleId="FootnoteTextChar">
    <w:name w:val="Footnote Text Char"/>
    <w:basedOn w:val="DefaultParagraphFont"/>
    <w:link w:val="FootnoteText"/>
    <w:uiPriority w:val="99"/>
    <w:semiHidden/>
    <w:rsid w:val="008315BB"/>
    <w:rPr>
      <w:rFonts w:ascii="Cambria" w:hAnsi="Cambria"/>
    </w:rPr>
  </w:style>
  <w:style w:type="character" w:styleId="FootnoteReference">
    <w:name w:val="footnote reference"/>
    <w:basedOn w:val="DefaultParagraphFont"/>
    <w:uiPriority w:val="99"/>
    <w:semiHidden/>
    <w:unhideWhenUsed/>
    <w:rsid w:val="008315BB"/>
    <w:rPr>
      <w:rFonts w:cs="Times New Roman"/>
    </w:rPr>
  </w:style>
  <w:style w:type="paragraph" w:styleId="ListParagraph">
    <w:name w:val="List Paragraph"/>
    <w:basedOn w:val="Normal"/>
    <w:uiPriority w:val="34"/>
    <w:qFormat/>
    <w:rsid w:val="004773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FootnoteText">
    <w:name w:val="footnote text"/>
    <w:basedOn w:val="Normal"/>
    <w:link w:val="FootnoteTextChar"/>
    <w:uiPriority w:val="99"/>
    <w:semiHidden/>
    <w:unhideWhenUsed/>
    <w:rsid w:val="008315BB"/>
    <w:rPr>
      <w:rFonts w:ascii="Cambria" w:hAnsi="Cambria"/>
      <w:noProof w:val="0"/>
    </w:rPr>
  </w:style>
  <w:style w:type="character" w:customStyle="1" w:styleId="FootnoteTextChar">
    <w:name w:val="Footnote Text Char"/>
    <w:basedOn w:val="DefaultParagraphFont"/>
    <w:link w:val="FootnoteText"/>
    <w:uiPriority w:val="99"/>
    <w:semiHidden/>
    <w:rsid w:val="008315BB"/>
    <w:rPr>
      <w:rFonts w:ascii="Cambria" w:hAnsi="Cambria"/>
    </w:rPr>
  </w:style>
  <w:style w:type="character" w:styleId="FootnoteReference">
    <w:name w:val="footnote reference"/>
    <w:basedOn w:val="DefaultParagraphFont"/>
    <w:uiPriority w:val="99"/>
    <w:semiHidden/>
    <w:unhideWhenUsed/>
    <w:rsid w:val="008315BB"/>
    <w:rPr>
      <w:rFonts w:cs="Times New Roman"/>
    </w:rPr>
  </w:style>
  <w:style w:type="paragraph" w:styleId="ListParagraph">
    <w:name w:val="List Paragraph"/>
    <w:basedOn w:val="Normal"/>
    <w:uiPriority w:val="34"/>
    <w:qFormat/>
    <w:rsid w:val="00477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00297951">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1067457505">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DA6C-A247-428E-90EA-FD612DCC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11544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Coward, Clifton A</cp:lastModifiedBy>
  <cp:revision>2</cp:revision>
  <cp:lastPrinted>2016-10-17T14:47:00Z</cp:lastPrinted>
  <dcterms:created xsi:type="dcterms:W3CDTF">2017-01-05T18:45:00Z</dcterms:created>
  <dcterms:modified xsi:type="dcterms:W3CDTF">2017-01-05T18:45:00Z</dcterms:modified>
</cp:coreProperties>
</file>