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8E2AA" w14:textId="77777777"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F429FD" w:rsidRPr="00F429FD">
        <w:rPr>
          <w:b/>
          <w:sz w:val="32"/>
        </w:rPr>
        <w:t>Application to Determine Returning Resident Status</w:t>
      </w:r>
      <w:r w:rsidR="00F429FD">
        <w:rPr>
          <w:sz w:val="32"/>
        </w:rPr>
        <w:t xml:space="preserve"> </w:t>
      </w:r>
      <w:r w:rsidR="00D11A71">
        <w:rPr>
          <w:b/>
          <w:sz w:val="32"/>
        </w:rPr>
        <w:br/>
        <w:t>OMB Number 1405-</w:t>
      </w:r>
      <w:r w:rsidR="00F429FD">
        <w:rPr>
          <w:b/>
          <w:sz w:val="32"/>
        </w:rPr>
        <w:t>0091</w:t>
      </w:r>
      <w:r w:rsidR="00D11A71">
        <w:rPr>
          <w:b/>
          <w:i/>
          <w:color w:val="0000FF"/>
          <w:sz w:val="32"/>
        </w:rPr>
        <w:br/>
      </w:r>
      <w:r w:rsidR="00D11A71" w:rsidRPr="00F429FD">
        <w:rPr>
          <w:b/>
          <w:sz w:val="32"/>
        </w:rPr>
        <w:t>DS</w:t>
      </w:r>
      <w:r w:rsidR="00F429FD" w:rsidRPr="00F429FD">
        <w:rPr>
          <w:b/>
          <w:sz w:val="32"/>
        </w:rPr>
        <w:t>-0117</w:t>
      </w:r>
    </w:p>
    <w:p w14:paraId="0678E2AB" w14:textId="77777777" w:rsidR="000C1691" w:rsidRDefault="000C1691">
      <w:pPr>
        <w:pStyle w:val="Heading1"/>
      </w:pPr>
      <w:r>
        <w:t>A.</w:t>
      </w:r>
      <w:r>
        <w:tab/>
        <w:t>JUSTIFICATION</w:t>
      </w:r>
    </w:p>
    <w:p w14:paraId="0678E2AC" w14:textId="77777777" w:rsidR="00885C81" w:rsidRDefault="00885C81" w:rsidP="000864E3">
      <w:pPr>
        <w:spacing w:before="240" w:after="240"/>
      </w:pPr>
      <w:r>
        <w:t xml:space="preserve">1.  </w:t>
      </w:r>
      <w:r w:rsidR="00E74651" w:rsidRPr="00E74651">
        <w:t>A permanen</w:t>
      </w:r>
      <w:r w:rsidR="00E74651">
        <w:t xml:space="preserve">t resident or conditional resident </w:t>
      </w:r>
      <w:r w:rsidR="00E74651" w:rsidRPr="00E74651">
        <w:t>who has remained outside the United States for longer than one year, or beyond the validity pe</w:t>
      </w:r>
      <w:r w:rsidR="00E74651">
        <w:t xml:space="preserve">riod of a Re-entry Permit, </w:t>
      </w:r>
      <w:r w:rsidR="00E74651" w:rsidRPr="00E74651">
        <w:t>require</w:t>
      </w:r>
      <w:r w:rsidR="00E74651">
        <w:t>s</w:t>
      </w:r>
      <w:r w:rsidR="00E74651" w:rsidRPr="00E74651">
        <w:t xml:space="preserve"> a new immigrant visa to enter the United States and resume permanent residence</w:t>
      </w:r>
      <w:r w:rsidR="00E74651">
        <w:t xml:space="preserve"> under section 101</w:t>
      </w:r>
      <w:r w:rsidR="000804F7">
        <w:t>(a</w:t>
      </w:r>
      <w:proofErr w:type="gramStart"/>
      <w:r w:rsidR="000804F7">
        <w:t>)(</w:t>
      </w:r>
      <w:proofErr w:type="gramEnd"/>
      <w:r w:rsidR="000804F7">
        <w:t>27)(A)</w:t>
      </w:r>
      <w:r w:rsidR="00E74651">
        <w:t xml:space="preserve"> of the</w:t>
      </w:r>
      <w:r w:rsidR="00E74651" w:rsidRPr="00E74651">
        <w:t xml:space="preserve"> Immigration and Nationality Act (</w:t>
      </w:r>
      <w:r w:rsidR="00E74651">
        <w:t>“INA”), 8 U.S.C. § 1101</w:t>
      </w:r>
      <w:r w:rsidR="000804F7">
        <w:t>(a)(27)(A)</w:t>
      </w:r>
      <w:r w:rsidR="00D64E34">
        <w:t xml:space="preserve"> and 8 CFR 211.1</w:t>
      </w:r>
      <w:r w:rsidR="00E74651">
        <w:t xml:space="preserve">.  Section 221(a) of the INA, 8 U.S.C. § 1201(a),gives consular officers authority to issue an immigrant visa to a </w:t>
      </w:r>
      <w:r w:rsidR="00E74651" w:rsidRPr="00E74651">
        <w:t>returning resident</w:t>
      </w:r>
      <w:r w:rsidR="00E74651">
        <w:t xml:space="preserve"> as a</w:t>
      </w:r>
      <w:r w:rsidR="00E74651" w:rsidRPr="00E74651">
        <w:t xml:space="preserve"> speci</w:t>
      </w:r>
      <w:r w:rsidR="00E74651">
        <w:t xml:space="preserve">al immigrant if the applicant establishes that he or she </w:t>
      </w:r>
      <w:r w:rsidR="00E74651" w:rsidRPr="00E74651">
        <w:t xml:space="preserve">remained outside the United States </w:t>
      </w:r>
      <w:r w:rsidR="00E74651">
        <w:t xml:space="preserve">due to circumstances beyond his or </w:t>
      </w:r>
      <w:r w:rsidR="00E74651" w:rsidRPr="00E74651">
        <w:t>her control.</w:t>
      </w:r>
      <w:r w:rsidR="00E74651">
        <w:t xml:space="preserve">  </w:t>
      </w:r>
    </w:p>
    <w:p w14:paraId="0678E2AD" w14:textId="77777777" w:rsidR="00885C81" w:rsidRDefault="00885C81" w:rsidP="00C65D71">
      <w:pPr>
        <w:spacing w:before="240" w:after="240"/>
      </w:pPr>
      <w:r>
        <w:t>The regulations of the Department of Homela</w:t>
      </w:r>
      <w:r w:rsidR="00A0149A">
        <w:t>nd Security (DHS), 8 CFR 211.1</w:t>
      </w:r>
      <w:r>
        <w:t xml:space="preserve"> establish conditions under which an immigrant alien may return to an </w:t>
      </w:r>
      <w:proofErr w:type="spellStart"/>
      <w:r>
        <w:t>unrelinquished</w:t>
      </w:r>
      <w:proofErr w:type="spellEnd"/>
      <w:r>
        <w:t xml:space="preserve"> lawful permanent residence in the United States without an immigrant visa.  These regulations provide for entry with an Alien Registration Receipt Card (</w:t>
      </w:r>
      <w:r w:rsidR="00A0149A">
        <w:t>Form I</w:t>
      </w:r>
      <w:r>
        <w:t>-551) or a reentry permit in lieu of a visa</w:t>
      </w:r>
      <w:r w:rsidR="000804F7">
        <w:t>, if the individual is seeking readmission after a temporary absence of less than 1 year</w:t>
      </w:r>
      <w:r>
        <w:t xml:space="preserve"> in certain circumstances.  Aliens not covered by these regulations must obtain a special immigrant visa as a returning resident under INA </w:t>
      </w:r>
      <w:r w:rsidR="00CA6DAE">
        <w:t>§</w:t>
      </w:r>
      <w:r w:rsidR="004831AA">
        <w:t xml:space="preserve"> </w:t>
      </w:r>
      <w:r>
        <w:t>101(a</w:t>
      </w:r>
      <w:proofErr w:type="gramStart"/>
      <w:r>
        <w:t>)(</w:t>
      </w:r>
      <w:proofErr w:type="gramEnd"/>
      <w:r>
        <w:t>27)(</w:t>
      </w:r>
      <w:r w:rsidR="00481555">
        <w:t xml:space="preserve">A)[8 U.S.C. </w:t>
      </w:r>
      <w:r w:rsidR="004831AA">
        <w:t xml:space="preserve">§ </w:t>
      </w:r>
      <w:r w:rsidR="00481555">
        <w:t>1101</w:t>
      </w:r>
      <w:r w:rsidR="004831AA">
        <w:t>(a)(27)(A)</w:t>
      </w:r>
      <w:r w:rsidR="00481555">
        <w:t>]</w:t>
      </w:r>
      <w:r>
        <w:t>.</w:t>
      </w:r>
    </w:p>
    <w:p w14:paraId="0678E2AE" w14:textId="77777777" w:rsidR="00885C81" w:rsidRDefault="00885C81" w:rsidP="00C65D71">
      <w:pPr>
        <w:spacing w:before="240" w:after="240"/>
      </w:pPr>
      <w:r>
        <w:t xml:space="preserve">INA </w:t>
      </w:r>
      <w:r w:rsidR="00CA6DAE">
        <w:t>§</w:t>
      </w:r>
      <w:r w:rsidR="004831AA">
        <w:t xml:space="preserve"> </w:t>
      </w:r>
      <w:r>
        <w:t>101(a</w:t>
      </w:r>
      <w:proofErr w:type="gramStart"/>
      <w:r>
        <w:t>)(</w:t>
      </w:r>
      <w:proofErr w:type="gramEnd"/>
      <w:r>
        <w:t xml:space="preserve">27)(A)[8 U.S.C. </w:t>
      </w:r>
      <w:r w:rsidR="004831AA">
        <w:t xml:space="preserve">§ </w:t>
      </w:r>
      <w:r>
        <w:t>1101</w:t>
      </w:r>
      <w:r w:rsidR="004831AA">
        <w:t>(a)(27)(A)</w:t>
      </w:r>
      <w:r>
        <w:t xml:space="preserve">] </w:t>
      </w:r>
      <w:r w:rsidR="00CA6DAE">
        <w:t>includes in the</w:t>
      </w:r>
      <w:r>
        <w:t xml:space="preserve"> special immigrant</w:t>
      </w:r>
      <w:r w:rsidR="00CA6DAE">
        <w:t xml:space="preserve"> definition</w:t>
      </w:r>
      <w:r>
        <w:t xml:space="preserve"> an alien lawfully admitted for permanent residence who is returning from a temporary visit abroad.  The regulations governing the implementation of this section of the law ar</w:t>
      </w:r>
      <w:r w:rsidR="00481555">
        <w:t>e in 22 CFR 42.22</w:t>
      </w:r>
      <w:r>
        <w:t xml:space="preserve">.  </w:t>
      </w:r>
    </w:p>
    <w:p w14:paraId="0678E2AF" w14:textId="77777777" w:rsidR="00885C81" w:rsidRPr="00885C81" w:rsidRDefault="00885C81" w:rsidP="00C65D71">
      <w:pPr>
        <w:spacing w:before="240" w:after="240"/>
      </w:pPr>
      <w:r>
        <w:t>2.  Department of State consular officers use Form DS-</w:t>
      </w:r>
      <w:r w:rsidR="004E7DCC">
        <w:t>0</w:t>
      </w:r>
      <w:r>
        <w:t xml:space="preserve">117 (Application to Determine Returning Resident Status) in conjunction with a personal interview, to elicit information necessary to ascertain the applicability of the legal requirements for a returning resident.  The information requested on the form is limited to that which is necessary for consular officers to determine the eligibility of an alien applicant for special immigrant classification as a returning resident.  The applicant must provide the reasons he or she was unable to return to the </w:t>
      </w:r>
      <w:smartTag w:uri="urn:schemas-microsoft-com:office:smarttags" w:element="country-region">
        <w:smartTag w:uri="urn:schemas-microsoft-com:office:smarttags" w:element="place">
          <w:r>
            <w:t>United States</w:t>
          </w:r>
        </w:smartTag>
      </w:smartTag>
      <w:r>
        <w:t xml:space="preserve">, thereby losing permanent resident status. </w:t>
      </w:r>
      <w:r w:rsidR="00094A62">
        <w:t xml:space="preserve"> </w:t>
      </w:r>
      <w:r>
        <w:t xml:space="preserve">A consular officer is unable to approve such immigrant visa status without collecting this information.  Consular officers currently use the form as an indispensable part of adjudicating the cases of approximately </w:t>
      </w:r>
      <w:r w:rsidR="00584F29">
        <w:t>4,</w:t>
      </w:r>
      <w:r w:rsidR="00824D2F">
        <w:t>400</w:t>
      </w:r>
      <w:r>
        <w:t xml:space="preserve"> applicants for returning resident status each year. </w:t>
      </w:r>
    </w:p>
    <w:p w14:paraId="0678E2B0" w14:textId="77777777" w:rsidR="00885C81" w:rsidRPr="00885C81" w:rsidRDefault="00885C81" w:rsidP="000864E3">
      <w:pPr>
        <w:spacing w:before="240" w:after="240"/>
        <w:rPr>
          <w:szCs w:val="24"/>
        </w:rPr>
      </w:pPr>
      <w:r w:rsidRPr="00170B29">
        <w:rPr>
          <w:szCs w:val="24"/>
        </w:rPr>
        <w:t>3.  The form is available to download from the Interne</w:t>
      </w:r>
      <w:r w:rsidR="00035E95">
        <w:rPr>
          <w:szCs w:val="24"/>
        </w:rPr>
        <w:t xml:space="preserve">t at </w:t>
      </w:r>
      <w:hyperlink r:id="rId13" w:history="1">
        <w:r w:rsidR="00035E95" w:rsidRPr="00555B61">
          <w:rPr>
            <w:rStyle w:val="Hyperlink"/>
            <w:szCs w:val="24"/>
          </w:rPr>
          <w:t>http://www.travel.state.gov</w:t>
        </w:r>
      </w:hyperlink>
      <w:r w:rsidR="00035E95">
        <w:rPr>
          <w:szCs w:val="24"/>
        </w:rPr>
        <w:t xml:space="preserve">. </w:t>
      </w:r>
      <w:r w:rsidR="00072788">
        <w:rPr>
          <w:szCs w:val="24"/>
        </w:rPr>
        <w:t xml:space="preserve"> Applicants are able to fill out the form online, print it and submit to their respective </w:t>
      </w:r>
      <w:r w:rsidR="000864E3">
        <w:rPr>
          <w:szCs w:val="24"/>
        </w:rPr>
        <w:t>c</w:t>
      </w:r>
      <w:r w:rsidR="00072788">
        <w:rPr>
          <w:szCs w:val="24"/>
        </w:rPr>
        <w:t xml:space="preserve">onsular </w:t>
      </w:r>
      <w:r w:rsidR="000864E3">
        <w:rPr>
          <w:szCs w:val="24"/>
        </w:rPr>
        <w:t>p</w:t>
      </w:r>
      <w:r w:rsidR="00072788">
        <w:rPr>
          <w:szCs w:val="24"/>
        </w:rPr>
        <w:t>ost</w:t>
      </w:r>
      <w:r w:rsidR="00587249">
        <w:rPr>
          <w:szCs w:val="24"/>
        </w:rPr>
        <w:t>s</w:t>
      </w:r>
      <w:r w:rsidR="00072788">
        <w:rPr>
          <w:szCs w:val="24"/>
        </w:rPr>
        <w:t xml:space="preserve">. </w:t>
      </w:r>
    </w:p>
    <w:p w14:paraId="0678E2B1" w14:textId="62206410" w:rsidR="00885C81" w:rsidRDefault="00885C81" w:rsidP="00C65D71">
      <w:pPr>
        <w:spacing w:before="240" w:after="240"/>
      </w:pPr>
      <w:r>
        <w:lastRenderedPageBreak/>
        <w:t xml:space="preserve">4.  The information is unique to each applicant and is not a duplication of other data.  While the information requested in questions 7, 8 and 9 might be available from the files of the DHS, consular officers abroad do not have direct access to such files.  </w:t>
      </w:r>
    </w:p>
    <w:p w14:paraId="0678E2B2" w14:textId="77777777" w:rsidR="00885C81" w:rsidRDefault="00885C81" w:rsidP="00C65D71">
      <w:pPr>
        <w:spacing w:before="240" w:after="240"/>
      </w:pPr>
      <w:r>
        <w:t>5.  The information collection does not involve small businesses or other small entities.</w:t>
      </w:r>
    </w:p>
    <w:p w14:paraId="0678E2B3" w14:textId="77777777" w:rsidR="00885C81" w:rsidRDefault="00885C81" w:rsidP="00C65D71">
      <w:pPr>
        <w:spacing w:before="240" w:after="240"/>
      </w:pPr>
      <w:r>
        <w:t>6.  The information collected on Form DS-</w:t>
      </w:r>
      <w:r w:rsidR="004E7DCC">
        <w:t>0</w:t>
      </w:r>
      <w:r>
        <w:t xml:space="preserve">117 is essential for determining whether an applicant is eligible for returning resident status.  An applicant fills out the form one time; it is not possible to collect the information less frequently. </w:t>
      </w:r>
    </w:p>
    <w:p w14:paraId="0678E2B4" w14:textId="77777777" w:rsidR="00885C81" w:rsidRDefault="00885C81" w:rsidP="00C65D71">
      <w:pPr>
        <w:spacing w:before="240" w:after="240"/>
      </w:pPr>
      <w:r>
        <w:t xml:space="preserve">7.   </w:t>
      </w:r>
      <w:r w:rsidR="008D2691">
        <w:t xml:space="preserve">No special </w:t>
      </w:r>
      <w:r>
        <w:t>circumstances exist.</w:t>
      </w:r>
    </w:p>
    <w:p w14:paraId="0678E2B5" w14:textId="130DA0E9" w:rsidR="00C65D71" w:rsidRPr="0070111D" w:rsidRDefault="00824D2F" w:rsidP="00C65D71">
      <w:pPr>
        <w:pStyle w:val="p6"/>
        <w:widowControl/>
        <w:tabs>
          <w:tab w:val="clear" w:pos="204"/>
        </w:tabs>
        <w:spacing w:before="240" w:after="240" w:line="276" w:lineRule="auto"/>
        <w:rPr>
          <w:rStyle w:val="Hyperlink"/>
          <w:color w:val="auto"/>
          <w:u w:val="none"/>
        </w:rPr>
      </w:pPr>
      <w:r>
        <w:t xml:space="preserve">8. </w:t>
      </w:r>
      <w:r w:rsidRPr="00D46FFD">
        <w:t xml:space="preserve">The Department of State </w:t>
      </w:r>
      <w:r w:rsidR="009F0508">
        <w:t xml:space="preserve">published a 60-day notice in the </w:t>
      </w:r>
      <w:r w:rsidR="009F0508">
        <w:rPr>
          <w:i/>
        </w:rPr>
        <w:t>Federal Register</w:t>
      </w:r>
      <w:r w:rsidR="009F0508">
        <w:t xml:space="preserve"> on July 20, 2016, </w:t>
      </w:r>
      <w:r w:rsidRPr="00D46FFD">
        <w:t>solicit</w:t>
      </w:r>
      <w:r w:rsidR="009F0508">
        <w:t>ing</w:t>
      </w:r>
      <w:r w:rsidRPr="00D46FFD">
        <w:t xml:space="preserve"> public comments on this collection</w:t>
      </w:r>
      <w:r w:rsidRPr="0070111D">
        <w:t>.</w:t>
      </w:r>
      <w:r w:rsidR="00C65D71" w:rsidRPr="0070111D">
        <w:rPr>
          <w:rStyle w:val="Hyperlink"/>
          <w:color w:val="auto"/>
        </w:rPr>
        <w:t xml:space="preserve"> </w:t>
      </w:r>
      <w:r w:rsidR="009F0508" w:rsidRPr="0070111D">
        <w:rPr>
          <w:rStyle w:val="Hyperlink"/>
          <w:color w:val="auto"/>
        </w:rPr>
        <w:t xml:space="preserve"> </w:t>
      </w:r>
      <w:proofErr w:type="gramStart"/>
      <w:r w:rsidR="009F0508" w:rsidRPr="0070111D">
        <w:rPr>
          <w:rStyle w:val="Hyperlink"/>
          <w:color w:val="auto"/>
        </w:rPr>
        <w:t>81 FR 47234</w:t>
      </w:r>
      <w:r w:rsidR="00FB3905">
        <w:rPr>
          <w:rStyle w:val="Hyperlink"/>
          <w:color w:val="auto"/>
          <w:u w:val="none"/>
        </w:rPr>
        <w:t>.</w:t>
      </w:r>
      <w:proofErr w:type="gramEnd"/>
      <w:r w:rsidR="00FB3905">
        <w:rPr>
          <w:rStyle w:val="Hyperlink"/>
          <w:color w:val="auto"/>
          <w:u w:val="none"/>
        </w:rPr>
        <w:t xml:space="preserve"> The Department received one comment </w:t>
      </w:r>
      <w:r w:rsidR="00006D2F">
        <w:rPr>
          <w:rStyle w:val="Hyperlink"/>
          <w:color w:val="auto"/>
          <w:u w:val="none"/>
        </w:rPr>
        <w:t>on July 2</w:t>
      </w:r>
      <w:r w:rsidR="00FB3905">
        <w:rPr>
          <w:rStyle w:val="Hyperlink"/>
          <w:color w:val="auto"/>
          <w:u w:val="none"/>
        </w:rPr>
        <w:t>6, 2016</w:t>
      </w:r>
      <w:r w:rsidR="00110722">
        <w:rPr>
          <w:rStyle w:val="Hyperlink"/>
          <w:color w:val="auto"/>
          <w:u w:val="none"/>
        </w:rPr>
        <w:t xml:space="preserve">. After reviewing the comment, the Department determined that the comment was unrelated to the information collection. </w:t>
      </w:r>
    </w:p>
    <w:p w14:paraId="0678E2B6" w14:textId="77777777" w:rsidR="00885C81" w:rsidRDefault="00885C81" w:rsidP="00A14578">
      <w:pPr>
        <w:pStyle w:val="p6"/>
        <w:widowControl/>
        <w:tabs>
          <w:tab w:val="clear" w:pos="204"/>
        </w:tabs>
        <w:spacing w:before="240" w:after="240" w:line="276" w:lineRule="auto"/>
      </w:pPr>
      <w:r>
        <w:t>9.  No payment or gift is provided to respondents.</w:t>
      </w:r>
    </w:p>
    <w:p w14:paraId="0678E2B7" w14:textId="77777777" w:rsidR="00824D2F" w:rsidRPr="0065526A" w:rsidRDefault="00824D2F" w:rsidP="00C65D71">
      <w:pPr>
        <w:pStyle w:val="p6"/>
        <w:tabs>
          <w:tab w:val="clear" w:pos="204"/>
          <w:tab w:val="left" w:pos="720"/>
        </w:tabs>
        <w:spacing w:before="240" w:after="240" w:line="276" w:lineRule="auto"/>
        <w:rPr>
          <w:color w:val="000000"/>
        </w:rPr>
      </w:pPr>
      <w:r>
        <w:t xml:space="preserve">10.  </w:t>
      </w:r>
      <w:r>
        <w:rPr>
          <w:color w:val="000000"/>
        </w:rPr>
        <w:t xml:space="preserve">In accordance with section 222(f) of the INA, information obtained from applicants in the immigrant visa process is considered confidential and is to be used only for the formulation, amendment, administration, or enforcement of the immigration, nationality, and other laws of the United States.  </w:t>
      </w:r>
      <w:r w:rsidRPr="00DC2370">
        <w:rPr>
          <w:color w:val="000000"/>
        </w:rPr>
        <w:t>Certified copies may be made available to a court which certifies that the information is needed in a case pending before the court.  Visa records can also be shared with foreign governments in certain circumstances.</w:t>
      </w:r>
    </w:p>
    <w:p w14:paraId="0678E2B8" w14:textId="77777777" w:rsidR="000864E3" w:rsidRDefault="00885C81" w:rsidP="00C65D71">
      <w:pPr>
        <w:spacing w:before="240" w:after="240"/>
      </w:pPr>
      <w:r>
        <w:t>11.  The DS-</w:t>
      </w:r>
      <w:r w:rsidR="00A9057B">
        <w:t>0</w:t>
      </w:r>
      <w:r>
        <w:t xml:space="preserve">117 does not </w:t>
      </w:r>
      <w:r w:rsidR="00686D0B">
        <w:t>seek personal information of a sensitive nature</w:t>
      </w:r>
      <w:r>
        <w:t>.</w:t>
      </w:r>
    </w:p>
    <w:p w14:paraId="0678E2B9" w14:textId="440C84EC" w:rsidR="00885C81" w:rsidRDefault="00885C81" w:rsidP="000864E3">
      <w:pPr>
        <w:spacing w:before="240" w:after="240"/>
      </w:pPr>
      <w:r w:rsidRPr="00974CB0">
        <w:t xml:space="preserve">12.  The form is completed by </w:t>
      </w:r>
      <w:r w:rsidR="008D2691" w:rsidRPr="00974CB0">
        <w:t xml:space="preserve">an estimated </w:t>
      </w:r>
      <w:r w:rsidR="00584F29">
        <w:t>4,400</w:t>
      </w:r>
      <w:r w:rsidR="00072788" w:rsidRPr="00974CB0">
        <w:t xml:space="preserve"> </w:t>
      </w:r>
      <w:r w:rsidRPr="00974CB0">
        <w:t xml:space="preserve">respondents each year.  The information collected does not require any special research on the part of the applicant and will require that an applicant spend thirty minutes filling out the entire form. </w:t>
      </w:r>
      <w:r w:rsidR="00094A62">
        <w:t xml:space="preserve"> </w:t>
      </w:r>
      <w:r w:rsidRPr="00974CB0">
        <w:t xml:space="preserve">The hour burden is </w:t>
      </w:r>
      <w:r w:rsidR="00584F29">
        <w:t>2,200</w:t>
      </w:r>
      <w:r w:rsidR="00A33297" w:rsidRPr="00974CB0">
        <w:t xml:space="preserve"> </w:t>
      </w:r>
      <w:r w:rsidRPr="00974CB0">
        <w:t>hou</w:t>
      </w:r>
      <w:r w:rsidR="00686D0B" w:rsidRPr="00974CB0">
        <w:t>rs annually (</w:t>
      </w:r>
      <w:r w:rsidR="00584F29">
        <w:t>4</w:t>
      </w:r>
      <w:r w:rsidR="00340BD2">
        <w:t>,400</w:t>
      </w:r>
      <w:r w:rsidR="00072788" w:rsidRPr="00974CB0">
        <w:t xml:space="preserve"> </w:t>
      </w:r>
      <w:r w:rsidR="00686D0B" w:rsidRPr="00974CB0">
        <w:t>x 30 minutes</w:t>
      </w:r>
      <w:r w:rsidR="00BA4F7E">
        <w:t xml:space="preserve"> / 60 minutes</w:t>
      </w:r>
      <w:r w:rsidR="00686D0B" w:rsidRPr="00974CB0">
        <w:t xml:space="preserve">).  </w:t>
      </w:r>
      <w:r w:rsidR="00584F29">
        <w:t>According to the U.S. Department of Labor, Bureau of Labor Statistics website (</w:t>
      </w:r>
      <w:hyperlink r:id="rId14" w:history="1">
        <w:r w:rsidR="00584F29" w:rsidRPr="00134809">
          <w:rPr>
            <w:rStyle w:val="Hyperlink"/>
          </w:rPr>
          <w:t>www.bls.gov</w:t>
        </w:r>
      </w:hyperlink>
      <w:r w:rsidR="00584F29">
        <w:t>), the weighted a</w:t>
      </w:r>
      <w:r w:rsidR="00584F29" w:rsidRPr="009C772B">
        <w:t xml:space="preserve">verage hourly </w:t>
      </w:r>
      <w:r w:rsidR="00584F29">
        <w:t xml:space="preserve">wage </w:t>
      </w:r>
      <w:r w:rsidR="00584F29" w:rsidRPr="009C772B">
        <w:t>of all employees</w:t>
      </w:r>
      <w:r w:rsidR="00584F29">
        <w:t xml:space="preserve"> on</w:t>
      </w:r>
      <w:r w:rsidR="00584F29" w:rsidRPr="009C772B">
        <w:t xml:space="preserve"> private payrolls</w:t>
      </w:r>
      <w:r w:rsidR="00584F29">
        <w:t xml:space="preserve"> (chosen because the respondent could be from any occupation) is estimated to be $3</w:t>
      </w:r>
      <w:r w:rsidR="00E50641">
        <w:t>2.52</w:t>
      </w:r>
      <w:r w:rsidR="00584F29">
        <w:t xml:space="preserve"> per hour ($2</w:t>
      </w:r>
      <w:r w:rsidR="00BA4F7E">
        <w:t>3.23</w:t>
      </w:r>
      <w:r w:rsidR="00584F29">
        <w:t xml:space="preserve"> average wage x 1.4 multiplier). </w:t>
      </w:r>
      <w:r w:rsidR="00094A62">
        <w:t xml:space="preserve"> </w:t>
      </w:r>
      <w:r w:rsidR="00584F29">
        <w:t xml:space="preserve">Therefore, the estimated annual </w:t>
      </w:r>
      <w:r w:rsidR="009F0508">
        <w:t>wage burden for</w:t>
      </w:r>
      <w:r w:rsidR="00584F29">
        <w:t xml:space="preserve"> respondents is $7</w:t>
      </w:r>
      <w:r w:rsidR="00E50641">
        <w:t>1,544</w:t>
      </w:r>
      <w:r w:rsidR="00584F29">
        <w:t xml:space="preserve"> (2,200 annual burden hours x $3</w:t>
      </w:r>
      <w:r w:rsidR="00E50641">
        <w:t>2.52</w:t>
      </w:r>
      <w:r w:rsidR="00584F29">
        <w:t>).</w:t>
      </w:r>
    </w:p>
    <w:p w14:paraId="0678E2BA" w14:textId="77777777" w:rsidR="00885C81" w:rsidRDefault="00885C81" w:rsidP="00C65D71">
      <w:pPr>
        <w:spacing w:before="240" w:after="240"/>
      </w:pPr>
      <w:r>
        <w:t xml:space="preserve">13.  </w:t>
      </w:r>
      <w:r w:rsidR="00072788">
        <w:t>There is no cost burden to respondents</w:t>
      </w:r>
      <w:r w:rsidR="007B0B65">
        <w:t xml:space="preserve">. </w:t>
      </w:r>
    </w:p>
    <w:p w14:paraId="0678E2BB" w14:textId="086A5A46" w:rsidR="00885C81" w:rsidRDefault="00084F27" w:rsidP="00C65D71">
      <w:pPr>
        <w:spacing w:before="240" w:after="240"/>
      </w:pPr>
      <w:r>
        <w:t xml:space="preserve">14.  </w:t>
      </w:r>
      <w:r w:rsidR="00577DD6" w:rsidRPr="002E28F5">
        <w:t xml:space="preserve">The Department </w:t>
      </w:r>
      <w:r w:rsidR="00577DD6">
        <w:t xml:space="preserve">of State </w:t>
      </w:r>
      <w:r w:rsidR="00577DD6" w:rsidRPr="002E28F5">
        <w:t xml:space="preserve">estimates that this information collection costs the Federal Government </w:t>
      </w:r>
      <w:r w:rsidR="00577DD6">
        <w:t>$</w:t>
      </w:r>
      <w:r w:rsidR="00EA5FE1">
        <w:t>73,480</w:t>
      </w:r>
      <w:r w:rsidR="00577DD6">
        <w:t xml:space="preserve"> </w:t>
      </w:r>
      <w:r w:rsidR="00577DD6" w:rsidRPr="002E28F5">
        <w:t xml:space="preserve">annually.  It takes approximately </w:t>
      </w:r>
      <w:r w:rsidR="00577DD6">
        <w:t>15</w:t>
      </w:r>
      <w:r w:rsidR="00577DD6" w:rsidRPr="002E28F5">
        <w:t xml:space="preserve"> minutes </w:t>
      </w:r>
      <w:r w:rsidR="00577DD6">
        <w:t xml:space="preserve">for locally employed staff </w:t>
      </w:r>
      <w:r w:rsidR="00577DD6" w:rsidRPr="002E28F5">
        <w:t>to process the form</w:t>
      </w:r>
      <w:r w:rsidR="00577DD6">
        <w:t xml:space="preserve"> and one minute for a consular officer to review it</w:t>
      </w:r>
      <w:r w:rsidR="00577DD6" w:rsidRPr="002E28F5">
        <w:t xml:space="preserve">.  Since </w:t>
      </w:r>
      <w:r w:rsidR="00577DD6">
        <w:t>4,400</w:t>
      </w:r>
      <w:r w:rsidR="00577DD6" w:rsidRPr="002E28F5">
        <w:t xml:space="preserve"> respondents each year will complete the form, </w:t>
      </w:r>
      <w:r w:rsidR="00EA5FE1">
        <w:t>1,100</w:t>
      </w:r>
      <w:r w:rsidR="00577DD6">
        <w:t xml:space="preserve"> hours of local</w:t>
      </w:r>
      <w:r w:rsidR="00587249">
        <w:t>ly</w:t>
      </w:r>
      <w:r w:rsidR="00577DD6">
        <w:t xml:space="preserve"> employed staff time and </w:t>
      </w:r>
      <w:r w:rsidR="00EA5FE1">
        <w:t>73</w:t>
      </w:r>
      <w:r w:rsidR="00577DD6">
        <w:t xml:space="preserve"> hours of consular officer time</w:t>
      </w:r>
      <w:r w:rsidR="00577DD6" w:rsidRPr="002E28F5">
        <w:t xml:space="preserve"> will be dedicated to processing the form</w:t>
      </w:r>
      <w:r w:rsidR="00577DD6">
        <w:t xml:space="preserve"> annually</w:t>
      </w:r>
      <w:r w:rsidR="00577DD6" w:rsidRPr="002E28F5">
        <w:t xml:space="preserve">.  </w:t>
      </w:r>
      <w:r w:rsidR="00577DD6">
        <w:t>The Bureau of Consular Affairs calculates that the average global hourly cost for locally employed staff in FY 2016 including overhead is $53.32.  This yields a processing time cost of $</w:t>
      </w:r>
      <w:r w:rsidR="00EA5FE1">
        <w:t>13.32</w:t>
      </w:r>
      <w:r w:rsidR="00577DD6">
        <w:t xml:space="preserve"> per application.  </w:t>
      </w:r>
      <w:r w:rsidR="00577DD6">
        <w:lastRenderedPageBreak/>
        <w:t>Based on recurring costs in the Bureau of Budget and Planning New Position Cost Model, the hourly cost of a Foreign Service Officer in FY 2016 is $202.39.  This yield</w:t>
      </w:r>
      <w:r w:rsidR="00094A62">
        <w:t>s</w:t>
      </w:r>
      <w:r w:rsidR="00577DD6">
        <w:t xml:space="preserve"> a processing time cost of $3.37 per application.  The total cost per application is $</w:t>
      </w:r>
      <w:r w:rsidR="00EE29E9">
        <w:t>16.70</w:t>
      </w:r>
      <w:r w:rsidR="00577DD6">
        <w:t>.  Thus, w</w:t>
      </w:r>
      <w:r w:rsidR="00577DD6" w:rsidRPr="002E28F5">
        <w:t xml:space="preserve">e estimate the annual cost </w:t>
      </w:r>
      <w:r w:rsidR="00577DD6">
        <w:t xml:space="preserve">to the Federal Government </w:t>
      </w:r>
      <w:r w:rsidR="00577DD6" w:rsidRPr="002E28F5">
        <w:t>to process the form is $</w:t>
      </w:r>
      <w:r w:rsidR="00EE29E9">
        <w:t>7</w:t>
      </w:r>
      <w:r w:rsidR="00577DD6">
        <w:t>3,</w:t>
      </w:r>
      <w:r w:rsidR="00EE29E9">
        <w:t>480</w:t>
      </w:r>
      <w:r w:rsidR="00577DD6">
        <w:t xml:space="preserve"> per year</w:t>
      </w:r>
      <w:r w:rsidR="009F0508">
        <w:t xml:space="preserve"> (4,400 x $16.70)</w:t>
      </w:r>
      <w:r w:rsidR="00577DD6" w:rsidRPr="002E28F5">
        <w:t>.</w:t>
      </w:r>
    </w:p>
    <w:p w14:paraId="0678E2BC" w14:textId="77777777" w:rsidR="00084F27" w:rsidRDefault="00885C81" w:rsidP="000864E3">
      <w:pPr>
        <w:spacing w:before="240" w:after="240"/>
      </w:pPr>
      <w:r>
        <w:t>15</w:t>
      </w:r>
      <w:r w:rsidR="007B0B65">
        <w:t xml:space="preserve">.  </w:t>
      </w:r>
      <w:r w:rsidR="00824D2F" w:rsidRPr="00824D2F">
        <w:t>There are adjustments in this collection from the previous renewal due to a more accurate estimat</w:t>
      </w:r>
      <w:r w:rsidR="000864E3">
        <w:t>e</w:t>
      </w:r>
      <w:r w:rsidR="00824D2F" w:rsidRPr="00824D2F">
        <w:t xml:space="preserve"> of the number of respondents.</w:t>
      </w:r>
      <w:r w:rsidR="00094A62">
        <w:t xml:space="preserve"> </w:t>
      </w:r>
      <w:r w:rsidR="00824D2F" w:rsidRPr="00824D2F">
        <w:t xml:space="preserve"> From fiscal year 2013 to fiscal year 2015, the Department of State saw an increase in applicants.  </w:t>
      </w:r>
    </w:p>
    <w:p w14:paraId="0678E2BD" w14:textId="77777777" w:rsidR="00885C81" w:rsidRDefault="00084F27" w:rsidP="00C65D71">
      <w:pPr>
        <w:spacing w:before="240" w:after="240"/>
      </w:pPr>
      <w:r>
        <w:t xml:space="preserve">16.  A quantitative summary of all Department of State visa activities is published in the annual </w:t>
      </w:r>
      <w:r>
        <w:rPr>
          <w:u w:val="single"/>
        </w:rPr>
        <w:t xml:space="preserve">Report </w:t>
      </w:r>
      <w:r w:rsidR="00276737">
        <w:rPr>
          <w:u w:val="single"/>
        </w:rPr>
        <w:t xml:space="preserve">of </w:t>
      </w:r>
      <w:r>
        <w:rPr>
          <w:u w:val="single"/>
        </w:rPr>
        <w:t>the Visa Office</w:t>
      </w:r>
      <w: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rsidR="00B566D6">
        <w:t>5</w:t>
      </w:r>
      <w:r w:rsidR="00A33297">
        <w:t>.</w:t>
      </w:r>
      <w:r>
        <w:t xml:space="preserve">  </w:t>
      </w:r>
      <w:r w:rsidR="00B566D6">
        <w:t xml:space="preserve"> The reports can be found </w:t>
      </w:r>
      <w:hyperlink r:id="rId15" w:history="1">
        <w:r w:rsidR="00B566D6" w:rsidRPr="00B566D6">
          <w:rPr>
            <w:rStyle w:val="Hyperlink"/>
          </w:rPr>
          <w:t>here</w:t>
        </w:r>
      </w:hyperlink>
      <w:r w:rsidR="00B566D6">
        <w:t>.</w:t>
      </w:r>
    </w:p>
    <w:p w14:paraId="0678E2BE" w14:textId="77777777" w:rsidR="00885C81" w:rsidRDefault="00885C81" w:rsidP="00C65D71">
      <w:pPr>
        <w:spacing w:before="240" w:after="240"/>
      </w:pPr>
      <w:r>
        <w:t xml:space="preserve">17.  The Department will display the expiration date for OMB approval of the information collection.  </w:t>
      </w:r>
    </w:p>
    <w:p w14:paraId="0678E2BF" w14:textId="77777777" w:rsidR="00165D5C" w:rsidRDefault="00885C81" w:rsidP="00C65D71">
      <w:pPr>
        <w:spacing w:before="240" w:after="240"/>
      </w:pPr>
      <w:r>
        <w:t>18.  The Department is not requesting any exception to the certification statement</w:t>
      </w:r>
      <w:r w:rsidR="008D2691">
        <w:t>.</w:t>
      </w:r>
      <w:r>
        <w:t xml:space="preserve"> </w:t>
      </w:r>
    </w:p>
    <w:p w14:paraId="0678E2C0" w14:textId="77777777" w:rsidR="000C1691" w:rsidRDefault="000C1691">
      <w:pPr>
        <w:pStyle w:val="Heading1"/>
      </w:pPr>
      <w:r>
        <w:t>B.</w:t>
      </w:r>
      <w:r>
        <w:tab/>
        <w:t>COLLECTION OF INFORMATION EMPLOYING STATISTICAL METHODS</w:t>
      </w:r>
    </w:p>
    <w:p w14:paraId="0678E2C1" w14:textId="77777777" w:rsidR="00D17A96" w:rsidRDefault="000C1691" w:rsidP="00F429FD">
      <w:r>
        <w:t xml:space="preserve">This collection does not employ statistical methods. </w:t>
      </w:r>
    </w:p>
    <w:p w14:paraId="52FB04E1" w14:textId="77777777" w:rsidR="00FB466D" w:rsidRDefault="00FB466D" w:rsidP="00F429FD"/>
    <w:p w14:paraId="02F71FBB" w14:textId="77777777" w:rsidR="00FB466D" w:rsidRPr="00D17A96" w:rsidRDefault="00FB466D" w:rsidP="00F429FD">
      <w:pPr>
        <w:rPr>
          <w:b/>
          <w:i/>
        </w:rPr>
      </w:pPr>
      <w:bookmarkStart w:id="0" w:name="_GoBack"/>
      <w:bookmarkEnd w:id="0"/>
    </w:p>
    <w:sectPr w:rsidR="00FB466D" w:rsidRPr="00D17A96" w:rsidSect="00966FD2">
      <w:headerReference w:type="defaul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1972F" w14:textId="77777777" w:rsidR="00933880" w:rsidRDefault="00933880">
      <w:r>
        <w:separator/>
      </w:r>
    </w:p>
  </w:endnote>
  <w:endnote w:type="continuationSeparator" w:id="0">
    <w:p w14:paraId="109862A7" w14:textId="77777777" w:rsidR="00933880" w:rsidRDefault="0093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6CD96" w14:textId="77777777" w:rsidR="00933880" w:rsidRDefault="00933880">
      <w:r>
        <w:separator/>
      </w:r>
    </w:p>
  </w:footnote>
  <w:footnote w:type="continuationSeparator" w:id="0">
    <w:p w14:paraId="241B9279" w14:textId="77777777" w:rsidR="00933880" w:rsidRDefault="00933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E2C7" w14:textId="77777777" w:rsidR="00553FE0" w:rsidRDefault="00553FE0">
    <w:pPr>
      <w:pStyle w:val="Header"/>
      <w:jc w:val="center"/>
    </w:pPr>
    <w:r>
      <w:rPr>
        <w:rStyle w:val="PageNumber"/>
      </w:rPr>
      <w:fldChar w:fldCharType="begin"/>
    </w:r>
    <w:r>
      <w:rPr>
        <w:rStyle w:val="PageNumber"/>
      </w:rPr>
      <w:instrText xml:space="preserve"> PAGE </w:instrText>
    </w:r>
    <w:r>
      <w:rPr>
        <w:rStyle w:val="PageNumber"/>
      </w:rPr>
      <w:fldChar w:fldCharType="separate"/>
    </w:r>
    <w:r w:rsidR="00FB466D">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4E54960"/>
    <w:multiLevelType w:val="hybridMultilevel"/>
    <w:tmpl w:val="B914A2B6"/>
    <w:lvl w:ilvl="0" w:tplc="AE8250B2">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6D2F"/>
    <w:rsid w:val="00035E95"/>
    <w:rsid w:val="000643C1"/>
    <w:rsid w:val="00072788"/>
    <w:rsid w:val="000804F7"/>
    <w:rsid w:val="00084F27"/>
    <w:rsid w:val="000864E3"/>
    <w:rsid w:val="00093E6F"/>
    <w:rsid w:val="00094A62"/>
    <w:rsid w:val="000C1691"/>
    <w:rsid w:val="000E160A"/>
    <w:rsid w:val="00103229"/>
    <w:rsid w:val="00110722"/>
    <w:rsid w:val="00165D5C"/>
    <w:rsid w:val="00177D89"/>
    <w:rsid w:val="00182656"/>
    <w:rsid w:val="00257724"/>
    <w:rsid w:val="00276737"/>
    <w:rsid w:val="00282B98"/>
    <w:rsid w:val="002A087F"/>
    <w:rsid w:val="00340BD2"/>
    <w:rsid w:val="00380E47"/>
    <w:rsid w:val="00442602"/>
    <w:rsid w:val="00481555"/>
    <w:rsid w:val="004831AA"/>
    <w:rsid w:val="0049518D"/>
    <w:rsid w:val="004D4414"/>
    <w:rsid w:val="004E7DCC"/>
    <w:rsid w:val="005059E0"/>
    <w:rsid w:val="00516A9F"/>
    <w:rsid w:val="00553FE0"/>
    <w:rsid w:val="00577DD6"/>
    <w:rsid w:val="00584F29"/>
    <w:rsid w:val="00587249"/>
    <w:rsid w:val="005D074A"/>
    <w:rsid w:val="00686D0B"/>
    <w:rsid w:val="006A5968"/>
    <w:rsid w:val="006C5248"/>
    <w:rsid w:val="0070111D"/>
    <w:rsid w:val="007057C3"/>
    <w:rsid w:val="00716860"/>
    <w:rsid w:val="00724B76"/>
    <w:rsid w:val="00753AF7"/>
    <w:rsid w:val="00764A4A"/>
    <w:rsid w:val="007B0B65"/>
    <w:rsid w:val="00810388"/>
    <w:rsid w:val="00824D2F"/>
    <w:rsid w:val="008302D2"/>
    <w:rsid w:val="008617DF"/>
    <w:rsid w:val="00872A76"/>
    <w:rsid w:val="00885C81"/>
    <w:rsid w:val="008C0025"/>
    <w:rsid w:val="008D2691"/>
    <w:rsid w:val="00910D89"/>
    <w:rsid w:val="00920812"/>
    <w:rsid w:val="009336A9"/>
    <w:rsid w:val="00933880"/>
    <w:rsid w:val="00936412"/>
    <w:rsid w:val="009448DA"/>
    <w:rsid w:val="00966FD2"/>
    <w:rsid w:val="00974CB0"/>
    <w:rsid w:val="009F0508"/>
    <w:rsid w:val="009F22A2"/>
    <w:rsid w:val="009F2B93"/>
    <w:rsid w:val="00A0149A"/>
    <w:rsid w:val="00A14578"/>
    <w:rsid w:val="00A33297"/>
    <w:rsid w:val="00A43D10"/>
    <w:rsid w:val="00A74245"/>
    <w:rsid w:val="00A9057B"/>
    <w:rsid w:val="00A946AC"/>
    <w:rsid w:val="00AA7F65"/>
    <w:rsid w:val="00AB2900"/>
    <w:rsid w:val="00AC105E"/>
    <w:rsid w:val="00AF1C65"/>
    <w:rsid w:val="00B067FC"/>
    <w:rsid w:val="00B409FC"/>
    <w:rsid w:val="00B566D6"/>
    <w:rsid w:val="00BA4F7E"/>
    <w:rsid w:val="00BB160D"/>
    <w:rsid w:val="00BC42C7"/>
    <w:rsid w:val="00BC7D50"/>
    <w:rsid w:val="00BE1CFA"/>
    <w:rsid w:val="00C0774A"/>
    <w:rsid w:val="00C444E8"/>
    <w:rsid w:val="00C65D71"/>
    <w:rsid w:val="00CA6DAE"/>
    <w:rsid w:val="00D11A71"/>
    <w:rsid w:val="00D17A96"/>
    <w:rsid w:val="00D30A42"/>
    <w:rsid w:val="00D4160C"/>
    <w:rsid w:val="00D64E34"/>
    <w:rsid w:val="00D77AC1"/>
    <w:rsid w:val="00E149C3"/>
    <w:rsid w:val="00E30A24"/>
    <w:rsid w:val="00E32E3B"/>
    <w:rsid w:val="00E50641"/>
    <w:rsid w:val="00E74651"/>
    <w:rsid w:val="00EA5FE1"/>
    <w:rsid w:val="00EB1145"/>
    <w:rsid w:val="00EE2993"/>
    <w:rsid w:val="00EE29E9"/>
    <w:rsid w:val="00EF6B53"/>
    <w:rsid w:val="00F429FD"/>
    <w:rsid w:val="00F60076"/>
    <w:rsid w:val="00F82BE7"/>
    <w:rsid w:val="00FB3905"/>
    <w:rsid w:val="00FB466D"/>
    <w:rsid w:val="00FE5415"/>
    <w:rsid w:val="00FE5D79"/>
    <w:rsid w:val="00FF7A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78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FD2"/>
    <w:pPr>
      <w:spacing w:after="120"/>
    </w:pPr>
    <w:rPr>
      <w:sz w:val="24"/>
    </w:rPr>
  </w:style>
  <w:style w:type="paragraph" w:styleId="Heading1">
    <w:name w:val="heading 1"/>
    <w:basedOn w:val="Normal"/>
    <w:next w:val="Normal"/>
    <w:qFormat/>
    <w:rsid w:val="00966FD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FD2"/>
    <w:pPr>
      <w:tabs>
        <w:tab w:val="center" w:pos="4320"/>
        <w:tab w:val="right" w:pos="8640"/>
      </w:tabs>
    </w:pPr>
  </w:style>
  <w:style w:type="paragraph" w:styleId="NormalIndent">
    <w:name w:val="Normal Indent"/>
    <w:basedOn w:val="Normal"/>
    <w:rsid w:val="00966FD2"/>
    <w:pPr>
      <w:ind w:left="360"/>
    </w:pPr>
  </w:style>
  <w:style w:type="paragraph" w:styleId="Footer">
    <w:name w:val="footer"/>
    <w:basedOn w:val="Normal"/>
    <w:rsid w:val="00966FD2"/>
    <w:pPr>
      <w:tabs>
        <w:tab w:val="center" w:pos="4320"/>
        <w:tab w:val="right" w:pos="8640"/>
      </w:tabs>
    </w:pPr>
  </w:style>
  <w:style w:type="character" w:styleId="PageNumber">
    <w:name w:val="page number"/>
    <w:basedOn w:val="DefaultParagraphFont"/>
    <w:rsid w:val="00966FD2"/>
  </w:style>
  <w:style w:type="paragraph" w:customStyle="1" w:styleId="p6">
    <w:name w:val="p6"/>
    <w:basedOn w:val="Normal"/>
    <w:rsid w:val="00885C81"/>
    <w:pPr>
      <w:widowControl w:val="0"/>
      <w:tabs>
        <w:tab w:val="left" w:pos="204"/>
      </w:tabs>
      <w:spacing w:after="0" w:line="238" w:lineRule="atLeast"/>
    </w:pPr>
  </w:style>
  <w:style w:type="character" w:styleId="Hyperlink">
    <w:name w:val="Hyperlink"/>
    <w:basedOn w:val="DefaultParagraphFont"/>
    <w:rsid w:val="00084F27"/>
    <w:rPr>
      <w:color w:val="003366"/>
      <w:u w:val="single"/>
    </w:rPr>
  </w:style>
  <w:style w:type="character" w:styleId="CommentReference">
    <w:name w:val="annotation reference"/>
    <w:basedOn w:val="DefaultParagraphFont"/>
    <w:rsid w:val="008D2691"/>
    <w:rPr>
      <w:sz w:val="16"/>
      <w:szCs w:val="16"/>
    </w:rPr>
  </w:style>
  <w:style w:type="paragraph" w:styleId="CommentText">
    <w:name w:val="annotation text"/>
    <w:basedOn w:val="Normal"/>
    <w:link w:val="CommentTextChar"/>
    <w:rsid w:val="008D2691"/>
    <w:rPr>
      <w:sz w:val="20"/>
    </w:rPr>
  </w:style>
  <w:style w:type="character" w:customStyle="1" w:styleId="CommentTextChar">
    <w:name w:val="Comment Text Char"/>
    <w:basedOn w:val="DefaultParagraphFont"/>
    <w:link w:val="CommentText"/>
    <w:rsid w:val="008D2691"/>
  </w:style>
  <w:style w:type="paragraph" w:styleId="CommentSubject">
    <w:name w:val="annotation subject"/>
    <w:basedOn w:val="CommentText"/>
    <w:next w:val="CommentText"/>
    <w:link w:val="CommentSubjectChar"/>
    <w:rsid w:val="008D2691"/>
    <w:rPr>
      <w:b/>
      <w:bCs/>
    </w:rPr>
  </w:style>
  <w:style w:type="character" w:customStyle="1" w:styleId="CommentSubjectChar">
    <w:name w:val="Comment Subject Char"/>
    <w:basedOn w:val="CommentTextChar"/>
    <w:link w:val="CommentSubject"/>
    <w:rsid w:val="008D2691"/>
    <w:rPr>
      <w:b/>
      <w:bCs/>
    </w:rPr>
  </w:style>
  <w:style w:type="paragraph" w:styleId="BalloonText">
    <w:name w:val="Balloon Text"/>
    <w:basedOn w:val="Normal"/>
    <w:link w:val="BalloonTextChar"/>
    <w:rsid w:val="008D2691"/>
    <w:pPr>
      <w:spacing w:after="0"/>
    </w:pPr>
    <w:rPr>
      <w:rFonts w:ascii="Tahoma" w:hAnsi="Tahoma" w:cs="Tahoma"/>
      <w:sz w:val="16"/>
      <w:szCs w:val="16"/>
    </w:rPr>
  </w:style>
  <w:style w:type="character" w:customStyle="1" w:styleId="BalloonTextChar">
    <w:name w:val="Balloon Text Char"/>
    <w:basedOn w:val="DefaultParagraphFont"/>
    <w:link w:val="BalloonText"/>
    <w:rsid w:val="008D2691"/>
    <w:rPr>
      <w:rFonts w:ascii="Tahoma" w:hAnsi="Tahoma" w:cs="Tahoma"/>
      <w:sz w:val="16"/>
      <w:szCs w:val="16"/>
    </w:rPr>
  </w:style>
  <w:style w:type="character" w:styleId="FollowedHyperlink">
    <w:name w:val="FollowedHyperlink"/>
    <w:basedOn w:val="DefaultParagraphFont"/>
    <w:rsid w:val="008D2691"/>
    <w:rPr>
      <w:color w:val="800080"/>
      <w:u w:val="single"/>
    </w:rPr>
  </w:style>
  <w:style w:type="paragraph" w:styleId="ListParagraph">
    <w:name w:val="List Paragraph"/>
    <w:basedOn w:val="Normal"/>
    <w:uiPriority w:val="34"/>
    <w:qFormat/>
    <w:rsid w:val="00584F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FD2"/>
    <w:pPr>
      <w:spacing w:after="120"/>
    </w:pPr>
    <w:rPr>
      <w:sz w:val="24"/>
    </w:rPr>
  </w:style>
  <w:style w:type="paragraph" w:styleId="Heading1">
    <w:name w:val="heading 1"/>
    <w:basedOn w:val="Normal"/>
    <w:next w:val="Normal"/>
    <w:qFormat/>
    <w:rsid w:val="00966FD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FD2"/>
    <w:pPr>
      <w:tabs>
        <w:tab w:val="center" w:pos="4320"/>
        <w:tab w:val="right" w:pos="8640"/>
      </w:tabs>
    </w:pPr>
  </w:style>
  <w:style w:type="paragraph" w:styleId="NormalIndent">
    <w:name w:val="Normal Indent"/>
    <w:basedOn w:val="Normal"/>
    <w:rsid w:val="00966FD2"/>
    <w:pPr>
      <w:ind w:left="360"/>
    </w:pPr>
  </w:style>
  <w:style w:type="paragraph" w:styleId="Footer">
    <w:name w:val="footer"/>
    <w:basedOn w:val="Normal"/>
    <w:rsid w:val="00966FD2"/>
    <w:pPr>
      <w:tabs>
        <w:tab w:val="center" w:pos="4320"/>
        <w:tab w:val="right" w:pos="8640"/>
      </w:tabs>
    </w:pPr>
  </w:style>
  <w:style w:type="character" w:styleId="PageNumber">
    <w:name w:val="page number"/>
    <w:basedOn w:val="DefaultParagraphFont"/>
    <w:rsid w:val="00966FD2"/>
  </w:style>
  <w:style w:type="paragraph" w:customStyle="1" w:styleId="p6">
    <w:name w:val="p6"/>
    <w:basedOn w:val="Normal"/>
    <w:rsid w:val="00885C81"/>
    <w:pPr>
      <w:widowControl w:val="0"/>
      <w:tabs>
        <w:tab w:val="left" w:pos="204"/>
      </w:tabs>
      <w:spacing w:after="0" w:line="238" w:lineRule="atLeast"/>
    </w:pPr>
  </w:style>
  <w:style w:type="character" w:styleId="Hyperlink">
    <w:name w:val="Hyperlink"/>
    <w:basedOn w:val="DefaultParagraphFont"/>
    <w:rsid w:val="00084F27"/>
    <w:rPr>
      <w:color w:val="003366"/>
      <w:u w:val="single"/>
    </w:rPr>
  </w:style>
  <w:style w:type="character" w:styleId="CommentReference">
    <w:name w:val="annotation reference"/>
    <w:basedOn w:val="DefaultParagraphFont"/>
    <w:rsid w:val="008D2691"/>
    <w:rPr>
      <w:sz w:val="16"/>
      <w:szCs w:val="16"/>
    </w:rPr>
  </w:style>
  <w:style w:type="paragraph" w:styleId="CommentText">
    <w:name w:val="annotation text"/>
    <w:basedOn w:val="Normal"/>
    <w:link w:val="CommentTextChar"/>
    <w:rsid w:val="008D2691"/>
    <w:rPr>
      <w:sz w:val="20"/>
    </w:rPr>
  </w:style>
  <w:style w:type="character" w:customStyle="1" w:styleId="CommentTextChar">
    <w:name w:val="Comment Text Char"/>
    <w:basedOn w:val="DefaultParagraphFont"/>
    <w:link w:val="CommentText"/>
    <w:rsid w:val="008D2691"/>
  </w:style>
  <w:style w:type="paragraph" w:styleId="CommentSubject">
    <w:name w:val="annotation subject"/>
    <w:basedOn w:val="CommentText"/>
    <w:next w:val="CommentText"/>
    <w:link w:val="CommentSubjectChar"/>
    <w:rsid w:val="008D2691"/>
    <w:rPr>
      <w:b/>
      <w:bCs/>
    </w:rPr>
  </w:style>
  <w:style w:type="character" w:customStyle="1" w:styleId="CommentSubjectChar">
    <w:name w:val="Comment Subject Char"/>
    <w:basedOn w:val="CommentTextChar"/>
    <w:link w:val="CommentSubject"/>
    <w:rsid w:val="008D2691"/>
    <w:rPr>
      <w:b/>
      <w:bCs/>
    </w:rPr>
  </w:style>
  <w:style w:type="paragraph" w:styleId="BalloonText">
    <w:name w:val="Balloon Text"/>
    <w:basedOn w:val="Normal"/>
    <w:link w:val="BalloonTextChar"/>
    <w:rsid w:val="008D2691"/>
    <w:pPr>
      <w:spacing w:after="0"/>
    </w:pPr>
    <w:rPr>
      <w:rFonts w:ascii="Tahoma" w:hAnsi="Tahoma" w:cs="Tahoma"/>
      <w:sz w:val="16"/>
      <w:szCs w:val="16"/>
    </w:rPr>
  </w:style>
  <w:style w:type="character" w:customStyle="1" w:styleId="BalloonTextChar">
    <w:name w:val="Balloon Text Char"/>
    <w:basedOn w:val="DefaultParagraphFont"/>
    <w:link w:val="BalloonText"/>
    <w:rsid w:val="008D2691"/>
    <w:rPr>
      <w:rFonts w:ascii="Tahoma" w:hAnsi="Tahoma" w:cs="Tahoma"/>
      <w:sz w:val="16"/>
      <w:szCs w:val="16"/>
    </w:rPr>
  </w:style>
  <w:style w:type="character" w:styleId="FollowedHyperlink">
    <w:name w:val="FollowedHyperlink"/>
    <w:basedOn w:val="DefaultParagraphFont"/>
    <w:rsid w:val="008D2691"/>
    <w:rPr>
      <w:color w:val="800080"/>
      <w:u w:val="single"/>
    </w:rPr>
  </w:style>
  <w:style w:type="paragraph" w:styleId="ListParagraph">
    <w:name w:val="List Paragraph"/>
    <w:basedOn w:val="Normal"/>
    <w:uiPriority w:val="34"/>
    <w:qFormat/>
    <w:rsid w:val="00584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438938">
      <w:bodyDiv w:val="1"/>
      <w:marLeft w:val="0"/>
      <w:marRight w:val="0"/>
      <w:marTop w:val="0"/>
      <w:marBottom w:val="0"/>
      <w:divBdr>
        <w:top w:val="none" w:sz="0" w:space="0" w:color="auto"/>
        <w:left w:val="none" w:sz="0" w:space="0" w:color="auto"/>
        <w:bottom w:val="none" w:sz="0" w:space="0" w:color="auto"/>
        <w:right w:val="none" w:sz="0" w:space="0" w:color="auto"/>
      </w:divBdr>
    </w:div>
    <w:div w:id="708341936">
      <w:bodyDiv w:val="1"/>
      <w:marLeft w:val="0"/>
      <w:marRight w:val="0"/>
      <w:marTop w:val="0"/>
      <w:marBottom w:val="0"/>
      <w:divBdr>
        <w:top w:val="none" w:sz="0" w:space="0" w:color="auto"/>
        <w:left w:val="none" w:sz="0" w:space="0" w:color="auto"/>
        <w:bottom w:val="none" w:sz="0" w:space="0" w:color="auto"/>
        <w:right w:val="none" w:sz="0" w:space="0" w:color="auto"/>
      </w:divBdr>
    </w:div>
    <w:div w:id="1078017527">
      <w:bodyDiv w:val="1"/>
      <w:marLeft w:val="0"/>
      <w:marRight w:val="0"/>
      <w:marTop w:val="0"/>
      <w:marBottom w:val="0"/>
      <w:divBdr>
        <w:top w:val="none" w:sz="0" w:space="0" w:color="auto"/>
        <w:left w:val="none" w:sz="0" w:space="0" w:color="auto"/>
        <w:bottom w:val="none" w:sz="0" w:space="0" w:color="auto"/>
        <w:right w:val="none" w:sz="0" w:space="0" w:color="auto"/>
      </w:divBdr>
    </w:div>
    <w:div w:id="193077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ravel.stat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ravel.state.gov/content/visas/en/law-and-policy/statistics/annual-reports.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d12f4795-8311-4122-bb29-020dccd42eaf">QF4QKZM235UP-1442912103-298</_dlc_DocId>
    <_dlc_DocIdUrl xmlns="d12f4795-8311-4122-bb29-020dccd42eaf">
      <Url>http://ca.m.state.sbu/sites/VO/L/R/_layouts/DocIdRedir.aspx?ID=QF4QKZM235UP-1442912103-298</Url>
      <Description>QF4QKZM235UP-1442912103-298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12F52-5FFB-46BF-90F7-E17E95AB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457A1-DC01-4FD5-9669-B96CDC512728}">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d12f4795-8311-4122-bb29-020dccd42eaf"/>
    <ds:schemaRef ds:uri="http://purl.org/dc/terms/"/>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740E881B-5E27-4215-BE69-7DFA731B65B3}">
  <ds:schemaRefs>
    <ds:schemaRef ds:uri="http://schemas.microsoft.com/sharepoint/events"/>
  </ds:schemaRefs>
</ds:datastoreItem>
</file>

<file path=customXml/itemProps5.xml><?xml version="1.0" encoding="utf-8"?>
<ds:datastoreItem xmlns:ds="http://schemas.openxmlformats.org/officeDocument/2006/customXml" ds:itemID="{A6C14EDD-409E-47CE-A155-2E24460D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67</TotalTime>
  <Pages>3</Pages>
  <Words>1129</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2016-12-20T13:39:00Z</cp:lastPrinted>
  <dcterms:created xsi:type="dcterms:W3CDTF">2017-01-17T17:40:00Z</dcterms:created>
  <dcterms:modified xsi:type="dcterms:W3CDTF">2017-01-17T18:45:00Z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2c1dc220-235e-42cc-b6ff-91f3dd98537f</vt:lpwstr>
  </property>
</Properties>
</file>