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bookmarkStart w:id="0" w:name="_GoBack"/>
      <w:bookmarkEnd w:id="0"/>
      <w:r w:rsidRPr="00314EE2">
        <w:rPr>
          <w:rFonts w:ascii="Times New Roman" w:hAnsi="Times New Roman"/>
          <w:sz w:val="20"/>
          <w:szCs w:val="20"/>
        </w:rPr>
        <w:t xml:space="preserve">Tracking and OMB Number: (XXXX) </w:t>
      </w:r>
      <w:r w:rsidR="00532847">
        <w:rPr>
          <w:rFonts w:ascii="Times New Roman" w:hAnsi="Times New Roman"/>
          <w:sz w:val="20"/>
          <w:szCs w:val="20"/>
        </w:rPr>
        <w:t>1840</w:t>
      </w:r>
      <w:r w:rsidRPr="00314EE2">
        <w:rPr>
          <w:rFonts w:ascii="Times New Roman" w:hAnsi="Times New Roman"/>
          <w:sz w:val="20"/>
          <w:szCs w:val="20"/>
        </w:rPr>
        <w:t>-</w:t>
      </w:r>
      <w:r w:rsidR="00532847">
        <w:rPr>
          <w:rFonts w:ascii="Times New Roman" w:hAnsi="Times New Roman"/>
          <w:sz w:val="20"/>
          <w:szCs w:val="20"/>
        </w:rPr>
        <w:t>082</w:t>
      </w:r>
      <w:r w:rsidR="007E0033">
        <w:rPr>
          <w:rFonts w:ascii="Times New Roman" w:hAnsi="Times New Roman"/>
          <w:sz w:val="20"/>
          <w:szCs w:val="20"/>
        </w:rPr>
        <w:t>3</w:t>
      </w:r>
    </w:p>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r w:rsidRPr="00314EE2">
        <w:rPr>
          <w:rFonts w:ascii="Times New Roman" w:hAnsi="Times New Roman"/>
          <w:sz w:val="20"/>
          <w:szCs w:val="20"/>
        </w:rPr>
        <w:t xml:space="preserve">Revised: </w:t>
      </w:r>
      <w:r w:rsidR="00CA1F51">
        <w:rPr>
          <w:rFonts w:ascii="Times New Roman" w:hAnsi="Times New Roman"/>
          <w:sz w:val="20"/>
          <w:szCs w:val="20"/>
        </w:rPr>
        <w:t>1/4/2017</w:t>
      </w:r>
    </w:p>
    <w:p w:rsidR="00314EE2" w:rsidRDefault="00314EE2" w:rsidP="00314EE2">
      <w:pPr>
        <w:pStyle w:val="Title"/>
        <w:jc w:val="left"/>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C53CEF" w:rsidRDefault="00C53CEF">
      <w:pPr>
        <w:pStyle w:val="Title"/>
        <w:rPr>
          <w:rFonts w:ascii="Times New Roman" w:hAnsi="Times New Roman"/>
          <w:sz w:val="24"/>
        </w:rPr>
      </w:pPr>
      <w:r>
        <w:rPr>
          <w:rFonts w:ascii="Times New Roman" w:hAnsi="Times New Roman"/>
          <w:sz w:val="24"/>
        </w:rPr>
        <w:t>Application for Grants under the</w:t>
      </w:r>
    </w:p>
    <w:p w:rsidR="00CC4FEC" w:rsidRPr="00074C4A" w:rsidRDefault="00C53CEF">
      <w:pPr>
        <w:pStyle w:val="Title"/>
        <w:rPr>
          <w:rFonts w:ascii="Times New Roman" w:hAnsi="Times New Roman"/>
          <w:sz w:val="24"/>
        </w:rPr>
      </w:pPr>
      <w:r>
        <w:rPr>
          <w:rFonts w:ascii="Times New Roman" w:hAnsi="Times New Roman"/>
          <w:sz w:val="24"/>
        </w:rPr>
        <w:t xml:space="preserve"> </w:t>
      </w:r>
      <w:r w:rsidR="00750124">
        <w:rPr>
          <w:rFonts w:ascii="Times New Roman" w:hAnsi="Times New Roman"/>
          <w:sz w:val="24"/>
        </w:rPr>
        <w:t xml:space="preserve">Veterans </w:t>
      </w:r>
      <w:r>
        <w:rPr>
          <w:rFonts w:ascii="Times New Roman" w:hAnsi="Times New Roman"/>
          <w:sz w:val="24"/>
        </w:rPr>
        <w:t>Upward Bound</w:t>
      </w:r>
      <w:r w:rsidR="00646578">
        <w:rPr>
          <w:rFonts w:ascii="Times New Roman" w:hAnsi="Times New Roman"/>
          <w:sz w:val="24"/>
        </w:rPr>
        <w:t xml:space="preserve"> </w:t>
      </w:r>
      <w:r>
        <w:rPr>
          <w:rFonts w:ascii="Times New Roman" w:hAnsi="Times New Roman"/>
          <w:sz w:val="24"/>
        </w:rPr>
        <w:t>Program for Federal TRIO Programs</w:t>
      </w:r>
      <w:r w:rsidR="00CC4FEC" w:rsidRPr="00074C4A">
        <w:rPr>
          <w:rFonts w:ascii="Times New Roman" w:hAnsi="Times New Roman"/>
          <w:sz w:val="24"/>
        </w:rPr>
        <w:t xml:space="preserve"> </w:t>
      </w:r>
    </w:p>
    <w:p w:rsidR="002C6092" w:rsidRPr="00074C4A" w:rsidRDefault="00CC4FEC">
      <w:pPr>
        <w:jc w:val="center"/>
        <w:rPr>
          <w:rFonts w:ascii="Times New Roman" w:hAnsi="Times New Roman"/>
          <w:b/>
          <w:bCs/>
          <w:i/>
          <w:sz w:val="24"/>
        </w:rPr>
      </w:pPr>
      <w:r w:rsidRPr="00074C4A">
        <w:rPr>
          <w:rFonts w:ascii="Times New Roman" w:hAnsi="Times New Roman"/>
          <w:b/>
          <w:bCs/>
          <w:i/>
          <w:sz w:val="24"/>
        </w:rPr>
        <w:t xml:space="preserve">Supporting Statement </w:t>
      </w:r>
      <w:r w:rsidR="002C6092" w:rsidRPr="00074C4A">
        <w:rPr>
          <w:rFonts w:ascii="Times New Roman" w:hAnsi="Times New Roman"/>
          <w:b/>
          <w:bCs/>
          <w:i/>
          <w:sz w:val="24"/>
        </w:rPr>
        <w:t xml:space="preserve">for Paperwork Reduction Act </w:t>
      </w:r>
      <w:r w:rsidR="00314EE2">
        <w:rPr>
          <w:rFonts w:ascii="Times New Roman" w:hAnsi="Times New Roman"/>
          <w:b/>
          <w:bCs/>
          <w:i/>
          <w:sz w:val="24"/>
        </w:rPr>
        <w:t>Submission</w:t>
      </w:r>
      <w:r w:rsidR="008075A2" w:rsidRPr="00074C4A">
        <w:rPr>
          <w:rFonts w:ascii="Times New Roman" w:hAnsi="Times New Roman"/>
          <w:b/>
          <w:bCs/>
          <w:i/>
          <w:sz w:val="24"/>
        </w:rPr>
        <w:br/>
      </w:r>
    </w:p>
    <w:p w:rsidR="002C6092" w:rsidRPr="00926645" w:rsidRDefault="002C6092">
      <w:pPr>
        <w:jc w:val="center"/>
        <w:rPr>
          <w:rFonts w:ascii="Times New Roman" w:hAnsi="Times New Roman"/>
          <w:sz w:val="24"/>
        </w:rPr>
      </w:pPr>
    </w:p>
    <w:p w:rsidR="002C6092" w:rsidRPr="00926645" w:rsidRDefault="002C6092">
      <w:pPr>
        <w:pStyle w:val="Heading2"/>
        <w:rPr>
          <w:rFonts w:ascii="Times New Roman" w:hAnsi="Times New Roman"/>
          <w:sz w:val="24"/>
        </w:rPr>
      </w:pPr>
      <w:r w:rsidRPr="00926645">
        <w:rPr>
          <w:rFonts w:ascii="Times New Roman" w:hAnsi="Times New Roman"/>
          <w:sz w:val="24"/>
        </w:rPr>
        <w:t>A.  Justification</w:t>
      </w:r>
    </w:p>
    <w:p w:rsidR="002C6092" w:rsidRPr="00926645" w:rsidRDefault="002C6092">
      <w:pPr>
        <w:rPr>
          <w:rFonts w:ascii="Times New Roman" w:hAnsi="Times New Roman"/>
          <w:sz w:val="24"/>
        </w:rPr>
      </w:pPr>
    </w:p>
    <w:p w:rsidR="00CC4FEC" w:rsidRPr="00926645" w:rsidRDefault="00314EE2" w:rsidP="00314EE2">
      <w:pPr>
        <w:pStyle w:val="ListParagraph"/>
        <w:numPr>
          <w:ilvl w:val="0"/>
          <w:numId w:val="6"/>
        </w:numPr>
        <w:tabs>
          <w:tab w:val="left" w:pos="0"/>
        </w:tabs>
        <w:suppressAutoHyphens/>
        <w:rPr>
          <w:rFonts w:ascii="Times New Roman" w:hAnsi="Times New Roman"/>
          <w:sz w:val="24"/>
        </w:rPr>
      </w:pPr>
      <w:r w:rsidRPr="00926645">
        <w:rPr>
          <w:rFonts w:ascii="Times New Roman" w:hAnsi="Times New Roman"/>
          <w:bCs/>
          <w:sz w:val="24"/>
        </w:rPr>
        <w:t>Explain the circumstances</w:t>
      </w:r>
      <w:r w:rsidRPr="00926645">
        <w:rPr>
          <w:rFonts w:ascii="Times New Roman" w:hAnsi="Times New Roman"/>
          <w:sz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26645">
        <w:rPr>
          <w:rFonts w:ascii="Times New Roman" w:hAnsi="Times New Roman"/>
          <w:sz w:val="24"/>
          <w:vertAlign w:val="superscript"/>
        </w:rPr>
        <w:footnoteReference w:id="1"/>
      </w:r>
      <w:r w:rsidRPr="00926645">
        <w:rPr>
          <w:rFonts w:ascii="Times New Roman" w:hAnsi="Times New Roman"/>
          <w:sz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CC4FEC" w:rsidRPr="00926645" w:rsidRDefault="00CC4FEC" w:rsidP="00CC4FEC">
      <w:pPr>
        <w:ind w:left="720"/>
        <w:rPr>
          <w:rFonts w:ascii="Times New Roman" w:hAnsi="Times New Roman"/>
          <w:sz w:val="24"/>
        </w:rPr>
      </w:pPr>
    </w:p>
    <w:p w:rsidR="00C53CEF" w:rsidRDefault="00C53CEF" w:rsidP="00D75BCF">
      <w:pPr>
        <w:ind w:left="720"/>
        <w:rPr>
          <w:sz w:val="24"/>
        </w:rPr>
      </w:pPr>
      <w:r>
        <w:rPr>
          <w:sz w:val="24"/>
        </w:rPr>
        <w:t xml:space="preserve">The U.S. Department of Education is requesting a reinstatement with change of a previously approved collection to make new grants under the </w:t>
      </w:r>
      <w:r w:rsidR="00750124">
        <w:rPr>
          <w:sz w:val="24"/>
        </w:rPr>
        <w:t xml:space="preserve">Veterans </w:t>
      </w:r>
      <w:r>
        <w:rPr>
          <w:sz w:val="24"/>
        </w:rPr>
        <w:t>Upward Bound</w:t>
      </w:r>
      <w:r w:rsidR="00646578">
        <w:rPr>
          <w:sz w:val="24"/>
        </w:rPr>
        <w:t xml:space="preserve"> </w:t>
      </w:r>
      <w:r>
        <w:rPr>
          <w:sz w:val="24"/>
        </w:rPr>
        <w:t>(</w:t>
      </w:r>
      <w:r w:rsidR="00750124">
        <w:rPr>
          <w:sz w:val="24"/>
        </w:rPr>
        <w:t>VUB</w:t>
      </w:r>
      <w:r>
        <w:rPr>
          <w:sz w:val="24"/>
        </w:rPr>
        <w:t xml:space="preserve">) Program.  The </w:t>
      </w:r>
      <w:r w:rsidR="00A312B1">
        <w:rPr>
          <w:sz w:val="24"/>
        </w:rPr>
        <w:t xml:space="preserve">previous </w:t>
      </w:r>
      <w:r>
        <w:rPr>
          <w:sz w:val="24"/>
        </w:rPr>
        <w:t xml:space="preserve">collection </w:t>
      </w:r>
      <w:r w:rsidR="00A312B1">
        <w:rPr>
          <w:sz w:val="24"/>
        </w:rPr>
        <w:t>was discontinued</w:t>
      </w:r>
      <w:r>
        <w:rPr>
          <w:sz w:val="24"/>
        </w:rPr>
        <w:t xml:space="preserve"> and approval </w:t>
      </w:r>
      <w:r w:rsidR="00A312B1">
        <w:rPr>
          <w:sz w:val="24"/>
        </w:rPr>
        <w:t xml:space="preserve">of this new collection </w:t>
      </w:r>
      <w:r>
        <w:rPr>
          <w:sz w:val="24"/>
        </w:rPr>
        <w:t xml:space="preserve">will allow the Department to use the application to award new grants and collect data under the </w:t>
      </w:r>
      <w:r w:rsidR="00750124">
        <w:rPr>
          <w:sz w:val="24"/>
        </w:rPr>
        <w:t>VUB</w:t>
      </w:r>
      <w:r>
        <w:rPr>
          <w:sz w:val="24"/>
        </w:rPr>
        <w:t xml:space="preserve"> program.  </w:t>
      </w:r>
      <w:r w:rsidR="00365BF5">
        <w:rPr>
          <w:sz w:val="24"/>
        </w:rPr>
        <w:t xml:space="preserve">The fiscal year (FY) 2017 application incorporates </w:t>
      </w:r>
      <w:r w:rsidR="00750124">
        <w:rPr>
          <w:sz w:val="24"/>
        </w:rPr>
        <w:t>the evidence-based standard of “s</w:t>
      </w:r>
      <w:r w:rsidR="007E0033">
        <w:rPr>
          <w:sz w:val="24"/>
        </w:rPr>
        <w:t>t</w:t>
      </w:r>
      <w:r w:rsidR="00750124">
        <w:rPr>
          <w:sz w:val="24"/>
        </w:rPr>
        <w:t>rong theory”</w:t>
      </w:r>
      <w:r w:rsidR="00365BF5">
        <w:rPr>
          <w:sz w:val="24"/>
        </w:rPr>
        <w:t xml:space="preserve"> and removes previously used competitive preference priorities.</w:t>
      </w:r>
    </w:p>
    <w:p w:rsidR="00C53CEF" w:rsidRDefault="00C53CEF" w:rsidP="00C53CEF">
      <w:pPr>
        <w:ind w:left="1080"/>
        <w:rPr>
          <w:sz w:val="24"/>
        </w:rPr>
      </w:pPr>
    </w:p>
    <w:p w:rsidR="00C53CEF" w:rsidRDefault="00C53CEF" w:rsidP="00D75BCF">
      <w:pPr>
        <w:ind w:left="720"/>
        <w:rPr>
          <w:sz w:val="24"/>
        </w:rPr>
      </w:pPr>
      <w:r>
        <w:rPr>
          <w:sz w:val="24"/>
        </w:rPr>
        <w:t xml:space="preserve">The </w:t>
      </w:r>
      <w:r w:rsidR="00750124">
        <w:rPr>
          <w:sz w:val="24"/>
        </w:rPr>
        <w:t>VUB</w:t>
      </w:r>
      <w:r>
        <w:rPr>
          <w:sz w:val="24"/>
        </w:rPr>
        <w:t xml:space="preserve"> program provides grants to institutions of higher education, public and private agencies and organizations, community-based organization</w:t>
      </w:r>
      <w:r w:rsidR="00A312B1">
        <w:rPr>
          <w:sz w:val="24"/>
        </w:rPr>
        <w:t>s</w:t>
      </w:r>
      <w:r>
        <w:rPr>
          <w:sz w:val="24"/>
        </w:rPr>
        <w:t xml:space="preserve"> with experience in serving disadvantaged youth, combinations of such institutions, agencies and organizations, and secondary schools.</w:t>
      </w:r>
      <w:r w:rsidR="00750124">
        <w:rPr>
          <w:sz w:val="24"/>
        </w:rPr>
        <w:t xml:space="preserve"> </w:t>
      </w:r>
      <w:r>
        <w:rPr>
          <w:sz w:val="24"/>
        </w:rPr>
        <w:t xml:space="preserve"> The </w:t>
      </w:r>
      <w:r w:rsidR="00750124">
        <w:rPr>
          <w:sz w:val="24"/>
        </w:rPr>
        <w:t>VUB</w:t>
      </w:r>
      <w:r>
        <w:rPr>
          <w:sz w:val="24"/>
        </w:rPr>
        <w:t xml:space="preserve"> program provides grants t</w:t>
      </w:r>
      <w:r w:rsidR="00750124">
        <w:rPr>
          <w:sz w:val="24"/>
        </w:rPr>
        <w:t>o projects designed to prepare, motivate, and assist military veterans in the development of academic and other skills necessary for acceptance into and success in a program of postsecondary education.</w:t>
      </w:r>
      <w:r>
        <w:rPr>
          <w:sz w:val="24"/>
        </w:rPr>
        <w:t xml:space="preserve"> </w:t>
      </w:r>
    </w:p>
    <w:p w:rsidR="00C53CEF" w:rsidRDefault="00C53CEF" w:rsidP="00C53CEF">
      <w:pPr>
        <w:ind w:left="1080"/>
        <w:rPr>
          <w:sz w:val="24"/>
        </w:rPr>
      </w:pPr>
    </w:p>
    <w:p w:rsidR="00C53CEF" w:rsidRDefault="00C53CEF" w:rsidP="00D75BCF">
      <w:pPr>
        <w:ind w:left="720"/>
        <w:rPr>
          <w:sz w:val="24"/>
        </w:rPr>
      </w:pPr>
      <w:r>
        <w:rPr>
          <w:sz w:val="24"/>
        </w:rPr>
        <w:t xml:space="preserve">The </w:t>
      </w:r>
      <w:r w:rsidR="00750124">
        <w:rPr>
          <w:sz w:val="24"/>
        </w:rPr>
        <w:t>VUB</w:t>
      </w:r>
      <w:r>
        <w:rPr>
          <w:sz w:val="24"/>
        </w:rPr>
        <w:t xml:space="preserve"> program grant competition is authorized by Title IV, Part A, Section</w:t>
      </w:r>
      <w:r w:rsidR="00A312B1">
        <w:rPr>
          <w:sz w:val="24"/>
        </w:rPr>
        <w:t>s</w:t>
      </w:r>
      <w:r>
        <w:rPr>
          <w:sz w:val="24"/>
        </w:rPr>
        <w:t xml:space="preserve"> 402A and C of the Higher Education Act of 1965, as amended by the </w:t>
      </w:r>
      <w:r w:rsidR="00A312B1">
        <w:rPr>
          <w:sz w:val="24"/>
        </w:rPr>
        <w:t>Higher Education Opportunity Act (</w:t>
      </w:r>
      <w:r>
        <w:rPr>
          <w:sz w:val="24"/>
        </w:rPr>
        <w:t>HEOA</w:t>
      </w:r>
      <w:r w:rsidR="00A312B1">
        <w:rPr>
          <w:sz w:val="24"/>
        </w:rPr>
        <w:t>)</w:t>
      </w:r>
      <w:r>
        <w:rPr>
          <w:sz w:val="24"/>
        </w:rPr>
        <w:t xml:space="preserve">; and governed by the </w:t>
      </w:r>
      <w:r>
        <w:rPr>
          <w:sz w:val="24"/>
        </w:rPr>
        <w:lastRenderedPageBreak/>
        <w:t>program regulations in 34 CFR Part 645; the</w:t>
      </w:r>
      <w:r w:rsidR="00D75BCF">
        <w:rPr>
          <w:sz w:val="24"/>
        </w:rPr>
        <w:t xml:space="preserve"> Uniform Guidance 2 CFR Part 200.74 and 200.80; and the</w:t>
      </w:r>
      <w:r>
        <w:rPr>
          <w:sz w:val="24"/>
        </w:rPr>
        <w:t xml:space="preserve"> Education Department General Administrative Regulations (EDGAR), Parts 75 (except for §§ 75.215-75.221), 77, 79, 82, 84, 85, 86, 97, 98 and 99.    </w:t>
      </w:r>
    </w:p>
    <w:p w:rsidR="00C53CEF" w:rsidRDefault="00C53CEF" w:rsidP="00C53CEF">
      <w:pPr>
        <w:ind w:left="1080"/>
        <w:rPr>
          <w:sz w:val="24"/>
        </w:rPr>
      </w:pPr>
    </w:p>
    <w:p w:rsidR="0081683E" w:rsidRPr="006D266C" w:rsidRDefault="002760C6" w:rsidP="0081683E">
      <w:pPr>
        <w:ind w:left="720"/>
        <w:rPr>
          <w:sz w:val="24"/>
        </w:rPr>
      </w:pPr>
      <w:hyperlink r:id="rId9" w:history="1">
        <w:r w:rsidR="00750124" w:rsidRPr="00DE5BE5">
          <w:rPr>
            <w:rStyle w:val="Hyperlink"/>
            <w:sz w:val="24"/>
          </w:rPr>
          <w:t>http://www2.ed.gov/programs/triovub/legislation.html</w:t>
        </w:r>
      </w:hyperlink>
    </w:p>
    <w:p w:rsidR="00A312B1" w:rsidRPr="00926645" w:rsidRDefault="00A312B1" w:rsidP="0081683E">
      <w:pPr>
        <w:ind w:left="720"/>
        <w:rPr>
          <w:rFonts w:ascii="Times New Roman" w:hAnsi="Times New Roman"/>
          <w:sz w:val="24"/>
        </w:rPr>
      </w:pPr>
    </w:p>
    <w:p w:rsidR="001D0998" w:rsidRPr="00926645" w:rsidRDefault="001D0998" w:rsidP="00314EE2">
      <w:pPr>
        <w:pStyle w:val="ListParagraph"/>
        <w:numPr>
          <w:ilvl w:val="0"/>
          <w:numId w:val="6"/>
        </w:numPr>
        <w:rPr>
          <w:rFonts w:ascii="Times New Roman" w:hAnsi="Times New Roman"/>
          <w:sz w:val="24"/>
        </w:rPr>
      </w:pPr>
      <w:r w:rsidRPr="00926645">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1D0998" w:rsidRPr="00926645" w:rsidRDefault="001D0998">
      <w:pPr>
        <w:rPr>
          <w:rFonts w:ascii="Times New Roman" w:hAnsi="Times New Roman"/>
          <w:sz w:val="24"/>
        </w:rPr>
      </w:pPr>
    </w:p>
    <w:p w:rsidR="002C6092" w:rsidRPr="00926645" w:rsidRDefault="00C53CEF" w:rsidP="001D0998">
      <w:pPr>
        <w:ind w:left="720"/>
        <w:rPr>
          <w:rFonts w:ascii="Times New Roman" w:hAnsi="Times New Roman"/>
          <w:sz w:val="24"/>
        </w:rPr>
      </w:pPr>
      <w:r>
        <w:rPr>
          <w:sz w:val="24"/>
        </w:rPr>
        <w:t xml:space="preserve">The application package requests programmatic and budgetary information needed to evaluate new applications and make funding decisions based on the authorizing statute, program regulations, </w:t>
      </w:r>
      <w:r w:rsidR="00D75BCF">
        <w:rPr>
          <w:sz w:val="24"/>
        </w:rPr>
        <w:t xml:space="preserve">the Uniform Guidance 2 CFR Part 200.74 and 200.80 </w:t>
      </w:r>
      <w:r>
        <w:rPr>
          <w:sz w:val="24"/>
        </w:rPr>
        <w:t xml:space="preserve">and EDGAR.   Failure to collect this information would prevent the awarding of appropriated funds; essential information would not be available for evaluating the applications in accordance with the statute and </w:t>
      </w:r>
      <w:r w:rsidR="00F843C2">
        <w:rPr>
          <w:sz w:val="24"/>
        </w:rPr>
        <w:t>regulations.</w:t>
      </w:r>
    </w:p>
    <w:p w:rsidR="002C6092" w:rsidRPr="00926645" w:rsidRDefault="002C6092">
      <w:pPr>
        <w:rPr>
          <w:rFonts w:ascii="Times New Roman" w:hAnsi="Times New Roman"/>
          <w:sz w:val="24"/>
        </w:rPr>
      </w:pPr>
    </w:p>
    <w:p w:rsidR="008628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7535" w:rsidRPr="00926645" w:rsidRDefault="00987535" w:rsidP="008628E2">
      <w:pPr>
        <w:ind w:left="720"/>
        <w:rPr>
          <w:rFonts w:ascii="Times New Roman" w:hAnsi="Times New Roman"/>
          <w:sz w:val="24"/>
        </w:rPr>
      </w:pPr>
    </w:p>
    <w:p w:rsidR="00F843C2" w:rsidRDefault="00F843C2" w:rsidP="00F843C2">
      <w:pPr>
        <w:ind w:left="720"/>
        <w:rPr>
          <w:sz w:val="24"/>
        </w:rPr>
      </w:pPr>
      <w:r>
        <w:rPr>
          <w:sz w:val="24"/>
        </w:rPr>
        <w:t xml:space="preserve">For fiscal year 2017, as a part of the Department’s goal to increase the electronic submission of applications, applications for grants under the </w:t>
      </w:r>
      <w:r w:rsidR="00750124">
        <w:rPr>
          <w:sz w:val="24"/>
        </w:rPr>
        <w:t>VUB</w:t>
      </w:r>
      <w:r>
        <w:rPr>
          <w:sz w:val="24"/>
        </w:rPr>
        <w:t xml:space="preserve"> program will be submitted electronically via the Grants.gov portal.  We estimate that the Department will receive 9</w:t>
      </w:r>
      <w:r w:rsidR="00D75BCF">
        <w:rPr>
          <w:sz w:val="24"/>
        </w:rPr>
        <w:t>9</w:t>
      </w:r>
      <w:r>
        <w:rPr>
          <w:sz w:val="24"/>
        </w:rPr>
        <w:t xml:space="preserve"> percent of the applications electronically.</w:t>
      </w:r>
    </w:p>
    <w:p w:rsidR="00F843C2" w:rsidRDefault="00F843C2" w:rsidP="00F843C2">
      <w:pPr>
        <w:ind w:left="720"/>
        <w:rPr>
          <w:sz w:val="24"/>
        </w:rPr>
      </w:pPr>
    </w:p>
    <w:p w:rsidR="00F843C2" w:rsidRDefault="00F843C2" w:rsidP="00F843C2">
      <w:pPr>
        <w:ind w:left="720"/>
        <w:rPr>
          <w:rFonts w:ascii="Times New Roman" w:hAnsi="Times New Roman"/>
          <w:sz w:val="24"/>
        </w:rPr>
      </w:pPr>
      <w:r>
        <w:rPr>
          <w:sz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10" w:history="1">
        <w:r>
          <w:rPr>
            <w:color w:val="0000FF"/>
            <w:sz w:val="24"/>
            <w:u w:val="single"/>
          </w:rPr>
          <w:t>http://www.Grants.Gov</w:t>
        </w:r>
      </w:hyperlink>
      <w:r>
        <w:t>.</w:t>
      </w:r>
    </w:p>
    <w:p w:rsidR="008628E2" w:rsidRPr="00926645" w:rsidRDefault="008628E2">
      <w:pPr>
        <w:rPr>
          <w:rFonts w:ascii="Times New Roman" w:hAnsi="Times New Roman"/>
          <w:sz w:val="24"/>
        </w:rPr>
      </w:pPr>
    </w:p>
    <w:p w:rsidR="00314E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 xml:space="preserve">Describe efforts to identify duplication.  Show specifically why any similar </w:t>
      </w:r>
    </w:p>
    <w:p w:rsidR="008628E2" w:rsidRPr="00926645" w:rsidRDefault="008628E2" w:rsidP="00314EE2">
      <w:pPr>
        <w:pStyle w:val="ListParagraph"/>
        <w:tabs>
          <w:tab w:val="left" w:pos="-720"/>
        </w:tabs>
        <w:suppressAutoHyphens/>
        <w:rPr>
          <w:rFonts w:ascii="Times New Roman" w:hAnsi="Times New Roman"/>
          <w:sz w:val="24"/>
        </w:rPr>
      </w:pPr>
      <w:r w:rsidRPr="00926645">
        <w:rPr>
          <w:rFonts w:ascii="Times New Roman" w:hAnsi="Times New Roman"/>
          <w:sz w:val="24"/>
        </w:rPr>
        <w:t>information already available cannot be used or modified for use for the purposes described in Item 2 above.</w:t>
      </w:r>
    </w:p>
    <w:p w:rsidR="008628E2" w:rsidRPr="00926645" w:rsidRDefault="008628E2">
      <w:pPr>
        <w:rPr>
          <w:rFonts w:ascii="Times New Roman" w:hAnsi="Times New Roman"/>
          <w:sz w:val="24"/>
        </w:rPr>
      </w:pPr>
    </w:p>
    <w:p w:rsidR="00F843C2" w:rsidRDefault="00F843C2" w:rsidP="008628E2">
      <w:pPr>
        <w:ind w:left="720"/>
        <w:rPr>
          <w:rFonts w:ascii="Times New Roman" w:hAnsi="Times New Roman"/>
          <w:sz w:val="24"/>
        </w:rPr>
      </w:pPr>
      <w:r>
        <w:rPr>
          <w:sz w:val="24"/>
        </w:rPr>
        <w:t xml:space="preserve">Since the information submitted in the application is unique to each respondent, no duplication exists as far as can be determined.  There is no </w:t>
      </w:r>
      <w:r>
        <w:rPr>
          <w:sz w:val="24"/>
        </w:rPr>
        <w:lastRenderedPageBreak/>
        <w:t>other collection instrument available to collect the information that is being requested</w:t>
      </w:r>
      <w:r w:rsidR="003205FF">
        <w:rPr>
          <w:sz w:val="24"/>
        </w:rPr>
        <w:t>.</w:t>
      </w:r>
    </w:p>
    <w:p w:rsidR="00F843C2" w:rsidRDefault="00F843C2" w:rsidP="008628E2">
      <w:pPr>
        <w:ind w:left="720"/>
        <w:rPr>
          <w:rFonts w:ascii="Times New Roman" w:hAnsi="Times New Roman"/>
          <w:sz w:val="24"/>
        </w:rPr>
      </w:pPr>
    </w:p>
    <w:p w:rsidR="00314EE2" w:rsidRPr="00926645" w:rsidRDefault="008628E2" w:rsidP="00314EE2">
      <w:pPr>
        <w:pStyle w:val="ListParagraph"/>
        <w:numPr>
          <w:ilvl w:val="0"/>
          <w:numId w:val="6"/>
        </w:numPr>
        <w:rPr>
          <w:rFonts w:ascii="Times New Roman" w:hAnsi="Times New Roman"/>
          <w:sz w:val="24"/>
        </w:rPr>
      </w:pPr>
      <w:r w:rsidRPr="00926645">
        <w:rPr>
          <w:rFonts w:ascii="Times New Roman" w:hAnsi="Times New Roman"/>
          <w:sz w:val="24"/>
        </w:rPr>
        <w:t>If the collection of information impacts small busi</w:t>
      </w:r>
      <w:r w:rsidR="008776FE" w:rsidRPr="00926645">
        <w:rPr>
          <w:rFonts w:ascii="Times New Roman" w:hAnsi="Times New Roman"/>
          <w:sz w:val="24"/>
        </w:rPr>
        <w:t>nesses or other small entities</w:t>
      </w:r>
      <w:r w:rsidRPr="00926645">
        <w:rPr>
          <w:rFonts w:ascii="Times New Roman" w:hAnsi="Times New Roman"/>
          <w:sz w:val="24"/>
        </w:rPr>
        <w:t xml:space="preserve">, </w:t>
      </w:r>
    </w:p>
    <w:p w:rsidR="008628E2" w:rsidRPr="00926645" w:rsidRDefault="008628E2" w:rsidP="00314EE2">
      <w:pPr>
        <w:pStyle w:val="ListParagraph"/>
        <w:rPr>
          <w:rFonts w:ascii="Times New Roman" w:hAnsi="Times New Roman"/>
          <w:sz w:val="24"/>
        </w:rPr>
      </w:pPr>
      <w:r w:rsidRPr="00926645">
        <w:rPr>
          <w:rFonts w:ascii="Times New Roman" w:hAnsi="Times New Roman"/>
          <w:sz w:val="24"/>
        </w:rPr>
        <w:t>describe any methods used to minimize burden.</w:t>
      </w:r>
    </w:p>
    <w:p w:rsidR="008628E2" w:rsidRPr="00926645" w:rsidRDefault="008628E2">
      <w:pPr>
        <w:rPr>
          <w:rFonts w:ascii="Times New Roman" w:hAnsi="Times New Roman"/>
          <w:sz w:val="24"/>
        </w:rPr>
      </w:pPr>
    </w:p>
    <w:p w:rsidR="002C6092" w:rsidRPr="006D266C" w:rsidRDefault="002C6092" w:rsidP="008628E2">
      <w:pPr>
        <w:ind w:left="720"/>
        <w:rPr>
          <w:sz w:val="24"/>
        </w:rPr>
      </w:pPr>
      <w:r w:rsidRPr="006D266C">
        <w:rPr>
          <w:sz w:val="24"/>
        </w:rPr>
        <w:t>This information collection does not affect small businesses or other small entities.</w:t>
      </w:r>
    </w:p>
    <w:p w:rsidR="002C6092" w:rsidRPr="00926645" w:rsidRDefault="002C6092">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the consequences to Federal program or policy activities if the collection is</w:t>
      </w:r>
      <w:r w:rsidR="00314EE2" w:rsidRPr="00926645">
        <w:rPr>
          <w:rFonts w:ascii="Times New Roman" w:hAnsi="Times New Roman"/>
          <w:sz w:val="24"/>
        </w:rPr>
        <w:t xml:space="preserve"> </w:t>
      </w:r>
      <w:r w:rsidRPr="00926645">
        <w:rPr>
          <w:rFonts w:ascii="Times New Roman" w:hAnsi="Times New Roman"/>
          <w:sz w:val="24"/>
        </w:rPr>
        <w:t>not conducted or is conducted less frequently, as well as any technical or legal obstacles to reducing burden.</w:t>
      </w:r>
    </w:p>
    <w:p w:rsidR="00641415" w:rsidRPr="00926645" w:rsidRDefault="00641415" w:rsidP="00641415">
      <w:pPr>
        <w:tabs>
          <w:tab w:val="left" w:pos="-720"/>
        </w:tabs>
        <w:suppressAutoHyphens/>
        <w:rPr>
          <w:rFonts w:ascii="Times New Roman" w:hAnsi="Times New Roman"/>
          <w:sz w:val="24"/>
        </w:rPr>
      </w:pPr>
    </w:p>
    <w:p w:rsidR="00F843C2" w:rsidRDefault="00F843C2" w:rsidP="00F843C2">
      <w:pPr>
        <w:tabs>
          <w:tab w:val="left" w:pos="-720"/>
        </w:tabs>
        <w:suppressAutoHyphens/>
        <w:ind w:left="720"/>
        <w:rPr>
          <w:sz w:val="24"/>
        </w:rPr>
      </w:pPr>
      <w:r>
        <w:rPr>
          <w:sz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F843C2" w:rsidRDefault="00F843C2" w:rsidP="00F843C2">
      <w:pPr>
        <w:tabs>
          <w:tab w:val="left" w:pos="-720"/>
        </w:tabs>
        <w:suppressAutoHyphens/>
        <w:rPr>
          <w:sz w:val="24"/>
        </w:rPr>
      </w:pPr>
    </w:p>
    <w:p w:rsidR="00F843C2" w:rsidRDefault="00F843C2" w:rsidP="00F843C2">
      <w:pPr>
        <w:ind w:left="720"/>
        <w:rPr>
          <w:sz w:val="24"/>
        </w:rPr>
      </w:pPr>
      <w:r>
        <w:rPr>
          <w:sz w:val="24"/>
        </w:rPr>
        <w:t xml:space="preserve">The Department needs to make grant applications available to its constituencies to give eligible applicants time to develop and submit applications, and to make new fiscal year grant awards in a timely manner.    </w:t>
      </w:r>
    </w:p>
    <w:p w:rsidR="00F843C2" w:rsidRDefault="00F843C2" w:rsidP="00641415">
      <w:pPr>
        <w:ind w:left="720"/>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Explain any special circumstances that would cause an information collection to be conducted in a manner: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report information to the agency more often than quarterly;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prepare a written response to a collection of information in fewer than 30 days after receipt of it;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more than an original and two copies of any document;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retain records, other than health, medical, government contract, grant-in-aid, or tax records for more than three years;</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in connection with a statistical survey, that is not designed to produce valid and reliable results than can be generalized to the universe of study;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the use of a statistical data classification that has not been reviewed and approved by OMB;</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 xml:space="preserve">that includes a pledge of confidentiality that is not supported by authority established in statute or regulation, that is not supported by disclosure and data security policies that are consistent with the pledge, or that unnecessarily </w:t>
      </w:r>
      <w:r w:rsidRPr="00926645">
        <w:rPr>
          <w:rFonts w:ascii="Times New Roman" w:hAnsi="Times New Roman"/>
          <w:sz w:val="24"/>
        </w:rPr>
        <w:lastRenderedPageBreak/>
        <w:t>impedes sharing of data with other agencies for compatible confidential use; or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proprietary trade secrets, or other confidential information unless the agency can demonstrate that it has instituted procedures to protect the information’s confidentiality to the extent permitted by law.</w:t>
      </w:r>
    </w:p>
    <w:p w:rsidR="00641415" w:rsidRPr="00926645" w:rsidRDefault="00641415">
      <w:pPr>
        <w:rPr>
          <w:rFonts w:ascii="Times New Roman" w:hAnsi="Times New Roman"/>
          <w:sz w:val="24"/>
        </w:rPr>
      </w:pPr>
    </w:p>
    <w:p w:rsidR="002C6092" w:rsidRDefault="00F843C2" w:rsidP="00F843C2">
      <w:pPr>
        <w:ind w:left="720"/>
        <w:rPr>
          <w:sz w:val="24"/>
        </w:rPr>
      </w:pPr>
      <w:r>
        <w:rPr>
          <w:sz w:val="24"/>
        </w:rPr>
        <w:t>No information will be collected in the manner covered under any of the special circumstances outlined.</w:t>
      </w:r>
    </w:p>
    <w:p w:rsidR="00F843C2" w:rsidRPr="00926645" w:rsidRDefault="00F843C2" w:rsidP="00F843C2">
      <w:pPr>
        <w:ind w:left="720"/>
        <w:rPr>
          <w:rFonts w:ascii="Times New Roman" w:hAnsi="Times New Roman"/>
          <w:sz w:val="24"/>
        </w:rPr>
      </w:pPr>
    </w:p>
    <w:p w:rsidR="00641415" w:rsidRPr="00926645" w:rsidRDefault="008F429B" w:rsidP="000C472A">
      <w:pPr>
        <w:numPr>
          <w:ilvl w:val="0"/>
          <w:numId w:val="1"/>
        </w:numPr>
        <w:tabs>
          <w:tab w:val="left" w:pos="-720"/>
        </w:tabs>
        <w:suppressAutoHyphens/>
        <w:ind w:left="720" w:hanging="720"/>
        <w:rPr>
          <w:rFonts w:ascii="Times New Roman" w:hAnsi="Times New Roman"/>
          <w:sz w:val="24"/>
        </w:rPr>
      </w:pPr>
      <w:r w:rsidRPr="00926645">
        <w:rPr>
          <w:rFonts w:ascii="Times New Roman" w:hAnsi="Times New Roman"/>
          <w:sz w:val="24"/>
        </w:rPr>
        <w:t>As</w:t>
      </w:r>
      <w:r w:rsidR="00641415" w:rsidRPr="00926645">
        <w:rPr>
          <w:rFonts w:ascii="Times New Roman" w:hAnsi="Times New Roman"/>
          <w:sz w:val="24"/>
        </w:rPr>
        <w:t xml:space="preserve"> </w:t>
      </w:r>
      <w:r w:rsidRPr="00926645">
        <w:rPr>
          <w:rFonts w:ascii="Times New Roman" w:hAnsi="Times New Roman"/>
          <w:sz w:val="24"/>
        </w:rPr>
        <w:t>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w:t>
      </w:r>
      <w:r w:rsidR="00350FF4" w:rsidRPr="00926645">
        <w:rPr>
          <w:rFonts w:ascii="Times New Roman" w:hAnsi="Times New Roman"/>
          <w:sz w:val="24"/>
        </w:rPr>
        <w:t>n.</w:t>
      </w:r>
    </w:p>
    <w:p w:rsidR="00641415" w:rsidRPr="00926645" w:rsidRDefault="00641415" w:rsidP="000C472A">
      <w:pPr>
        <w:ind w:left="720" w:hanging="720"/>
        <w:rPr>
          <w:rFonts w:ascii="Times New Roman" w:hAnsi="Times New Roman"/>
          <w:sz w:val="24"/>
        </w:rPr>
      </w:pPr>
    </w:p>
    <w:p w:rsidR="00B95065"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r w:rsidR="00B95065" w:rsidRPr="00926645">
        <w:rPr>
          <w:rStyle w:val="a"/>
          <w:rFonts w:ascii="Times New Roman" w:hAnsi="Times New Roman"/>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843C2" w:rsidRPr="00926645" w:rsidRDefault="00F843C2" w:rsidP="000C472A">
      <w:pPr>
        <w:tabs>
          <w:tab w:val="left" w:pos="-720"/>
        </w:tabs>
        <w:suppressAutoHyphens/>
        <w:ind w:left="720" w:hanging="720"/>
        <w:rPr>
          <w:rStyle w:val="a"/>
          <w:rFonts w:ascii="Times New Roman" w:hAnsi="Times New Roman"/>
          <w:sz w:val="24"/>
        </w:rPr>
      </w:pPr>
    </w:p>
    <w:p w:rsidR="00F843C2" w:rsidRPr="006D266C" w:rsidRDefault="00F843C2" w:rsidP="00F843C2">
      <w:pPr>
        <w:tabs>
          <w:tab w:val="left" w:pos="-720"/>
        </w:tabs>
        <w:suppressAutoHyphens/>
        <w:ind w:left="720"/>
        <w:rPr>
          <w:rFonts w:ascii="Times New Roman" w:hAnsi="Times New Roman"/>
          <w:sz w:val="24"/>
        </w:rPr>
      </w:pPr>
      <w:r w:rsidRPr="006D266C">
        <w:rPr>
          <w:rFonts w:ascii="Times New Roman" w:hAnsi="Times New Roman"/>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3C2" w:rsidRDefault="00F843C2" w:rsidP="00F843C2">
      <w:pPr>
        <w:tabs>
          <w:tab w:val="left" w:pos="-720"/>
        </w:tabs>
        <w:suppressAutoHyphens/>
        <w:rPr>
          <w:sz w:val="24"/>
        </w:rPr>
      </w:pPr>
    </w:p>
    <w:p w:rsidR="00B95065" w:rsidRPr="00926645" w:rsidRDefault="00F843C2" w:rsidP="00F843C2">
      <w:pPr>
        <w:ind w:left="720"/>
        <w:rPr>
          <w:rFonts w:ascii="Times New Roman" w:hAnsi="Times New Roman"/>
          <w:sz w:val="24"/>
        </w:rPr>
      </w:pPr>
      <w:r>
        <w:rPr>
          <w:sz w:val="24"/>
        </w:rPr>
        <w:t xml:space="preserve">The Department will solicit informal views and comments from persons outside the Department during pre-application workshops for </w:t>
      </w:r>
      <w:r w:rsidR="00750124">
        <w:rPr>
          <w:sz w:val="24"/>
        </w:rPr>
        <w:t>VUB</w:t>
      </w:r>
      <w:r>
        <w:rPr>
          <w:sz w:val="24"/>
        </w:rPr>
        <w:t xml:space="preserve"> throughout the country as mandated by statute.  The Department</w:t>
      </w:r>
      <w:r w:rsidR="00E62752">
        <w:rPr>
          <w:sz w:val="24"/>
        </w:rPr>
        <w:t xml:space="preserve"> will </w:t>
      </w:r>
      <w:r>
        <w:rPr>
          <w:sz w:val="24"/>
        </w:rPr>
        <w:t xml:space="preserve">also publish a 30-day </w:t>
      </w:r>
      <w:r>
        <w:rPr>
          <w:sz w:val="24"/>
          <w:u w:val="single"/>
        </w:rPr>
        <w:t>Federal Register</w:t>
      </w:r>
      <w:r>
        <w:rPr>
          <w:sz w:val="24"/>
        </w:rPr>
        <w:t xml:space="preserve"> notice allowing public comment on this collection</w:t>
      </w:r>
      <w:r w:rsidR="007635F0">
        <w:rPr>
          <w:sz w:val="24"/>
        </w:rPr>
        <w:t>.</w:t>
      </w:r>
    </w:p>
    <w:p w:rsidR="00F843C2"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p>
    <w:p w:rsidR="00314EE2" w:rsidRPr="00926645" w:rsidRDefault="00B95065" w:rsidP="000C472A">
      <w:pPr>
        <w:pStyle w:val="ListParagraph"/>
        <w:numPr>
          <w:ilvl w:val="0"/>
          <w:numId w:val="1"/>
        </w:numPr>
        <w:ind w:left="720" w:hanging="720"/>
        <w:rPr>
          <w:rStyle w:val="a"/>
          <w:rFonts w:ascii="Times New Roman" w:hAnsi="Times New Roman"/>
          <w:sz w:val="24"/>
        </w:rPr>
      </w:pPr>
      <w:r w:rsidRPr="00926645">
        <w:rPr>
          <w:rStyle w:val="a"/>
          <w:rFonts w:ascii="Times New Roman" w:hAnsi="Times New Roman"/>
          <w:sz w:val="24"/>
        </w:rPr>
        <w:t xml:space="preserve">Explain any decision to provide any payment or gift to respondents, other than </w:t>
      </w:r>
    </w:p>
    <w:p w:rsidR="00B95065" w:rsidRPr="00926645" w:rsidRDefault="00B95065" w:rsidP="002063F3">
      <w:pPr>
        <w:pStyle w:val="ListParagraph"/>
        <w:rPr>
          <w:rFonts w:ascii="Times New Roman" w:hAnsi="Times New Roman"/>
          <w:sz w:val="24"/>
        </w:rPr>
      </w:pPr>
      <w:proofErr w:type="gramStart"/>
      <w:r w:rsidRPr="00926645">
        <w:rPr>
          <w:rStyle w:val="a"/>
          <w:rFonts w:ascii="Times New Roman" w:hAnsi="Times New Roman"/>
          <w:sz w:val="24"/>
        </w:rPr>
        <w:t>remuneration</w:t>
      </w:r>
      <w:proofErr w:type="gramEnd"/>
      <w:r w:rsidRPr="00926645">
        <w:rPr>
          <w:rStyle w:val="a"/>
          <w:rFonts w:ascii="Times New Roman" w:hAnsi="Times New Roman"/>
          <w:sz w:val="24"/>
        </w:rPr>
        <w:t xml:space="preserve"> of contractors or grantees.</w:t>
      </w:r>
    </w:p>
    <w:p w:rsidR="00B95065" w:rsidRPr="00926645" w:rsidRDefault="00B95065" w:rsidP="000C472A">
      <w:pPr>
        <w:ind w:left="720" w:hanging="720"/>
        <w:rPr>
          <w:rFonts w:ascii="Times New Roman" w:hAnsi="Times New Roman"/>
          <w:sz w:val="24"/>
        </w:rPr>
      </w:pPr>
    </w:p>
    <w:p w:rsidR="002C6092" w:rsidRPr="006D266C" w:rsidRDefault="002C6092" w:rsidP="002063F3">
      <w:pPr>
        <w:ind w:left="720"/>
        <w:rPr>
          <w:sz w:val="24"/>
        </w:rPr>
      </w:pPr>
      <w:r w:rsidRPr="006D266C">
        <w:rPr>
          <w:sz w:val="24"/>
        </w:rPr>
        <w:t xml:space="preserve">The Department </w:t>
      </w:r>
      <w:r w:rsidR="008943E3" w:rsidRPr="006D266C">
        <w:rPr>
          <w:sz w:val="24"/>
        </w:rPr>
        <w:t>wi</w:t>
      </w:r>
      <w:r w:rsidRPr="006D266C">
        <w:rPr>
          <w:sz w:val="24"/>
        </w:rPr>
        <w:t>ll not provide payment or gifts to respondents.</w:t>
      </w:r>
    </w:p>
    <w:p w:rsidR="002C6092" w:rsidRPr="00926645" w:rsidRDefault="002C6092" w:rsidP="000C472A">
      <w:pPr>
        <w:ind w:left="720" w:hanging="720"/>
        <w:rPr>
          <w:rFonts w:ascii="Times New Roman" w:hAnsi="Times New Roman"/>
          <w:sz w:val="24"/>
        </w:rPr>
      </w:pPr>
    </w:p>
    <w:p w:rsidR="00314EE2" w:rsidRPr="000C472A" w:rsidRDefault="00314EE2" w:rsidP="002063F3">
      <w:pPr>
        <w:pStyle w:val="ListParagraph"/>
        <w:numPr>
          <w:ilvl w:val="0"/>
          <w:numId w:val="1"/>
        </w:numPr>
        <w:ind w:left="720" w:hanging="720"/>
        <w:rPr>
          <w:rFonts w:ascii="Times New Roman" w:hAnsi="Times New Roman"/>
          <w:sz w:val="24"/>
        </w:rPr>
      </w:pPr>
      <w:r w:rsidRPr="000C472A">
        <w:rPr>
          <w:rFonts w:ascii="Times New Roman" w:hAnsi="Times New Roman"/>
          <w:sz w:val="24"/>
        </w:rPr>
        <w:t>Describe any assurance of confidentiality provided to respondents and the basis for the assurance in statute, regulation, or agency policy. If personally   identifiable information (PII) is being collected, a Privacy Act statement</w:t>
      </w:r>
      <w:r w:rsidR="000C472A">
        <w:rPr>
          <w:rFonts w:ascii="Times New Roman" w:hAnsi="Times New Roman"/>
          <w:sz w:val="24"/>
        </w:rPr>
        <w:t xml:space="preserve"> </w:t>
      </w:r>
      <w:r w:rsidRPr="002063F3">
        <w:rPr>
          <w:rFonts w:ascii="Times New Roman" w:hAnsi="Times New Roman"/>
          <w:sz w:val="24"/>
        </w:rPr>
        <w:t xml:space="preserve">should be included on the instrument. Please provide a citation for the </w:t>
      </w:r>
      <w:r w:rsidRPr="000C472A">
        <w:rPr>
          <w:rFonts w:ascii="Times New Roman" w:hAnsi="Times New Roman"/>
          <w:sz w:val="24"/>
        </w:rPr>
        <w:t xml:space="preserve">Systems of Record Notice and the date a Privacy Impact Assessment was completed as indicated on the IC Data Form. A confidentiality statement with a legal citation that authorizes </w:t>
      </w:r>
      <w:r w:rsidRPr="000C472A">
        <w:rPr>
          <w:rFonts w:ascii="Times New Roman" w:hAnsi="Times New Roman"/>
          <w:sz w:val="24"/>
        </w:rPr>
        <w:lastRenderedPageBreak/>
        <w:t>the pledge of confidentiality should be provided.</w:t>
      </w:r>
      <w:r w:rsidRPr="00926645">
        <w:rPr>
          <w:rFonts w:ascii="Times New Roman" w:hAnsi="Times New Roman"/>
          <w:sz w:val="24"/>
          <w:vertAlign w:val="superscript"/>
        </w:rPr>
        <w:footnoteReference w:id="2"/>
      </w:r>
      <w:r w:rsidRPr="000C472A">
        <w:rPr>
          <w:rFonts w:ascii="Times New Roman" w:hAnsi="Times New Roman"/>
          <w:sz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314EE2" w:rsidRPr="00926645" w:rsidRDefault="00314EE2" w:rsidP="000C472A">
      <w:pPr>
        <w:ind w:left="720" w:hanging="720"/>
        <w:rPr>
          <w:rFonts w:ascii="Times New Roman" w:hAnsi="Times New Roman"/>
          <w:sz w:val="24"/>
        </w:rPr>
      </w:pPr>
    </w:p>
    <w:p w:rsidR="002C6092" w:rsidRPr="006D266C" w:rsidRDefault="002C6092" w:rsidP="002063F3">
      <w:pPr>
        <w:ind w:left="720"/>
        <w:rPr>
          <w:sz w:val="24"/>
        </w:rPr>
      </w:pPr>
      <w:r w:rsidRPr="006D266C">
        <w:rPr>
          <w:sz w:val="24"/>
        </w:rPr>
        <w:t>No assurances of confidentiality are provided to the respondents</w:t>
      </w:r>
      <w:r w:rsidR="008508FB" w:rsidRPr="006D266C">
        <w:rPr>
          <w:sz w:val="24"/>
        </w:rPr>
        <w:t xml:space="preserve">.  </w:t>
      </w:r>
    </w:p>
    <w:p w:rsidR="00314EE2" w:rsidRPr="00926645" w:rsidRDefault="00314EE2" w:rsidP="000C472A">
      <w:pPr>
        <w:ind w:left="720" w:hanging="720"/>
        <w:rPr>
          <w:rFonts w:ascii="Times New Roman" w:hAnsi="Times New Roman"/>
          <w:sz w:val="24"/>
        </w:rPr>
      </w:pPr>
    </w:p>
    <w:p w:rsidR="00B95065" w:rsidRPr="000C472A" w:rsidRDefault="00B95065" w:rsidP="002063F3">
      <w:pPr>
        <w:pStyle w:val="ListParagraph"/>
        <w:numPr>
          <w:ilvl w:val="0"/>
          <w:numId w:val="1"/>
        </w:numPr>
        <w:tabs>
          <w:tab w:val="left" w:pos="-720"/>
        </w:tabs>
        <w:suppressAutoHyphens/>
        <w:ind w:left="720" w:hanging="720"/>
        <w:rPr>
          <w:rFonts w:ascii="Times New Roman" w:hAnsi="Times New Roman"/>
          <w:sz w:val="24"/>
        </w:rPr>
      </w:pPr>
      <w:r w:rsidRPr="000C472A">
        <w:rPr>
          <w:rFonts w:ascii="Times New Roman" w:hAnsi="Times New Roman"/>
          <w:sz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926645" w:rsidRDefault="00B95065" w:rsidP="000C472A">
      <w:pPr>
        <w:ind w:left="720" w:hanging="720"/>
        <w:rPr>
          <w:rFonts w:ascii="Times New Roman" w:hAnsi="Times New Roman"/>
          <w:sz w:val="24"/>
        </w:rPr>
      </w:pPr>
    </w:p>
    <w:p w:rsidR="002C6092" w:rsidRPr="006D266C" w:rsidRDefault="002C6092" w:rsidP="000C472A">
      <w:pPr>
        <w:ind w:left="720"/>
        <w:rPr>
          <w:sz w:val="24"/>
        </w:rPr>
      </w:pPr>
      <w:r w:rsidRPr="006D266C">
        <w:rPr>
          <w:sz w:val="24"/>
        </w:rPr>
        <w:t xml:space="preserve">The </w:t>
      </w:r>
      <w:r w:rsidR="00F843C2" w:rsidRPr="006D266C">
        <w:rPr>
          <w:sz w:val="24"/>
        </w:rPr>
        <w:t>application does not</w:t>
      </w:r>
      <w:r w:rsidRPr="006D266C">
        <w:rPr>
          <w:sz w:val="24"/>
        </w:rPr>
        <w:t xml:space="preserve"> include questions about sexual behavior and attitudes, religious beliefs, or other </w:t>
      </w:r>
      <w:r w:rsidR="00B51FB4" w:rsidRPr="006D266C">
        <w:rPr>
          <w:sz w:val="24"/>
        </w:rPr>
        <w:t xml:space="preserve">matters </w:t>
      </w:r>
      <w:r w:rsidRPr="006D266C">
        <w:rPr>
          <w:sz w:val="24"/>
        </w:rPr>
        <w:t>that are commonly considered sensitive and private.</w:t>
      </w:r>
    </w:p>
    <w:p w:rsidR="002C6092" w:rsidRPr="00926645" w:rsidRDefault="002C6092" w:rsidP="000C472A">
      <w:pPr>
        <w:ind w:left="720" w:hanging="720"/>
        <w:rPr>
          <w:rFonts w:ascii="Times New Roman" w:hAnsi="Times New Roman"/>
          <w:sz w:val="24"/>
        </w:rPr>
      </w:pPr>
    </w:p>
    <w:p w:rsidR="00B95065" w:rsidRPr="00D304E6" w:rsidRDefault="00B95065" w:rsidP="002063F3">
      <w:pPr>
        <w:pStyle w:val="ListParagraph"/>
        <w:numPr>
          <w:ilvl w:val="0"/>
          <w:numId w:val="1"/>
        </w:numPr>
        <w:tabs>
          <w:tab w:val="left" w:pos="-720"/>
        </w:tabs>
        <w:suppressAutoHyphens/>
        <w:ind w:left="720" w:hanging="720"/>
        <w:rPr>
          <w:rStyle w:val="a"/>
          <w:rFonts w:ascii="Times New Roman" w:hAnsi="Times New Roman"/>
          <w:sz w:val="24"/>
        </w:rPr>
      </w:pPr>
      <w:r w:rsidRPr="00D304E6">
        <w:rPr>
          <w:rStyle w:val="a"/>
          <w:rFonts w:ascii="Times New Roman" w:hAnsi="Times New Roman"/>
          <w:sz w:val="24"/>
        </w:rPr>
        <w:t>Provide estimates of the hour burden of the collection of information.  The statement should:</w:t>
      </w:r>
    </w:p>
    <w:p w:rsidR="00532961" w:rsidRPr="00926645" w:rsidRDefault="00532961" w:rsidP="00532961">
      <w:pPr>
        <w:pStyle w:val="ListParagraph"/>
        <w:tabs>
          <w:tab w:val="left" w:pos="-720"/>
        </w:tabs>
        <w:suppressAutoHyphens/>
        <w:ind w:left="375"/>
        <w:rPr>
          <w:rStyle w:val="a"/>
          <w:rFonts w:ascii="Times New Roman" w:hAnsi="Times New Roman"/>
          <w:sz w:val="24"/>
        </w:rPr>
      </w:pPr>
    </w:p>
    <w:p w:rsidR="00350FF4" w:rsidRPr="00926645" w:rsidRDefault="00350FF4" w:rsidP="00EF028D">
      <w:pPr>
        <w:pStyle w:val="ListParagraph"/>
        <w:numPr>
          <w:ilvl w:val="0"/>
          <w:numId w:val="5"/>
        </w:numPr>
        <w:spacing w:before="120" w:after="120"/>
        <w:contextualSpacing/>
        <w:rPr>
          <w:rStyle w:val="a"/>
          <w:rFonts w:ascii="Times New Roman" w:hAnsi="Times New Roman"/>
          <w:sz w:val="24"/>
        </w:rPr>
      </w:pPr>
      <w:r w:rsidRPr="00926645">
        <w:rPr>
          <w:rStyle w:val="a"/>
          <w:rFonts w:ascii="Times New Roman" w:hAnsi="Times New Roman"/>
          <w:sz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926645" w:rsidRDefault="005343B0" w:rsidP="00EF028D">
      <w:pPr>
        <w:numPr>
          <w:ilvl w:val="0"/>
          <w:numId w:val="2"/>
        </w:numPr>
        <w:tabs>
          <w:tab w:val="left" w:pos="-720"/>
          <w:tab w:val="left" w:pos="1247"/>
        </w:tabs>
        <w:suppressAutoHyphens/>
        <w:contextualSpacing/>
        <w:rPr>
          <w:rStyle w:val="a"/>
          <w:rFonts w:ascii="Times New Roman" w:hAnsi="Times New Roman"/>
          <w:sz w:val="24"/>
        </w:rPr>
      </w:pPr>
      <w:r w:rsidRPr="00926645">
        <w:rPr>
          <w:rStyle w:val="a"/>
          <w:rFonts w:ascii="Times New Roman" w:hAnsi="Times New Roman"/>
          <w:sz w:val="24"/>
        </w:rPr>
        <w:t xml:space="preserve">If this request for approval covers more than one form, provide separate hour burden estimates for each form and aggregate the hour burdens. </w:t>
      </w:r>
    </w:p>
    <w:p w:rsidR="005343B0" w:rsidRPr="00926645" w:rsidRDefault="005343B0" w:rsidP="00EF028D">
      <w:pPr>
        <w:pStyle w:val="ListParagraph"/>
        <w:contextualSpacing/>
        <w:rPr>
          <w:rStyle w:val="a"/>
          <w:rFonts w:ascii="Times New Roman" w:hAnsi="Times New Roman"/>
          <w:sz w:val="24"/>
        </w:rPr>
      </w:pPr>
    </w:p>
    <w:p w:rsidR="005343B0" w:rsidRPr="00926645" w:rsidRDefault="005343B0" w:rsidP="00EF028D">
      <w:pPr>
        <w:numPr>
          <w:ilvl w:val="0"/>
          <w:numId w:val="2"/>
        </w:numPr>
        <w:contextualSpacing/>
        <w:rPr>
          <w:rStyle w:val="a"/>
          <w:rFonts w:ascii="Times New Roman" w:hAnsi="Times New Roman"/>
          <w:sz w:val="24"/>
        </w:rPr>
      </w:pPr>
      <w:r w:rsidRPr="00926645">
        <w:rPr>
          <w:rStyle w:val="a"/>
          <w:rFonts w:ascii="Times New Roman" w:hAnsi="Times New Roman"/>
          <w:sz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926645" w:rsidRDefault="005343B0" w:rsidP="005343B0">
      <w:pPr>
        <w:tabs>
          <w:tab w:val="left" w:pos="-720"/>
          <w:tab w:val="left" w:pos="1247"/>
        </w:tabs>
        <w:suppressAutoHyphens/>
        <w:rPr>
          <w:rStyle w:val="a"/>
          <w:rFonts w:ascii="Times New Roman" w:hAnsi="Times New Roman"/>
          <w:sz w:val="24"/>
        </w:rPr>
      </w:pPr>
    </w:p>
    <w:p w:rsidR="00A71064" w:rsidRDefault="00A71064" w:rsidP="00A71064">
      <w:pPr>
        <w:ind w:left="360"/>
        <w:rPr>
          <w:sz w:val="24"/>
        </w:rPr>
      </w:pPr>
      <w:r>
        <w:rPr>
          <w:sz w:val="24"/>
        </w:rPr>
        <w:t xml:space="preserve">The </w:t>
      </w:r>
      <w:r w:rsidR="007635F0">
        <w:rPr>
          <w:sz w:val="24"/>
        </w:rPr>
        <w:t xml:space="preserve">total </w:t>
      </w:r>
      <w:r>
        <w:rPr>
          <w:sz w:val="24"/>
        </w:rPr>
        <w:t xml:space="preserve">estimated burden hours for this collection of information are </w:t>
      </w:r>
      <w:r w:rsidR="00CE5761">
        <w:rPr>
          <w:sz w:val="24"/>
        </w:rPr>
        <w:t>4,606</w:t>
      </w:r>
      <w:r>
        <w:rPr>
          <w:sz w:val="24"/>
        </w:rPr>
        <w:t xml:space="preserve"> hours.  We estimate approximately </w:t>
      </w:r>
      <w:r w:rsidR="00CE5761">
        <w:rPr>
          <w:sz w:val="24"/>
        </w:rPr>
        <w:t>143</w:t>
      </w:r>
      <w:r>
        <w:rPr>
          <w:sz w:val="24"/>
        </w:rPr>
        <w:t xml:space="preserve"> respondents, </w:t>
      </w:r>
      <w:r w:rsidR="00D75BCF">
        <w:rPr>
          <w:sz w:val="24"/>
        </w:rPr>
        <w:t xml:space="preserve">which includes </w:t>
      </w:r>
      <w:r w:rsidR="00CE5761">
        <w:rPr>
          <w:sz w:val="24"/>
        </w:rPr>
        <w:t>135</w:t>
      </w:r>
      <w:r w:rsidR="00D75BCF">
        <w:rPr>
          <w:sz w:val="24"/>
        </w:rPr>
        <w:t xml:space="preserve"> original respondents and </w:t>
      </w:r>
      <w:r w:rsidR="001E5E8F">
        <w:rPr>
          <w:sz w:val="24"/>
        </w:rPr>
        <w:t>8</w:t>
      </w:r>
      <w:r w:rsidR="00D75BCF">
        <w:rPr>
          <w:sz w:val="24"/>
        </w:rPr>
        <w:t xml:space="preserve"> respondents</w:t>
      </w:r>
      <w:r>
        <w:rPr>
          <w:sz w:val="24"/>
        </w:rPr>
        <w:t xml:space="preserve"> under the second review process.  Applications are submitted annually during a competition year.  </w:t>
      </w:r>
    </w:p>
    <w:p w:rsidR="00A71064" w:rsidRDefault="00A71064" w:rsidP="00A71064">
      <w:pPr>
        <w:ind w:left="360"/>
        <w:rPr>
          <w:sz w:val="24"/>
        </w:rPr>
      </w:pPr>
    </w:p>
    <w:p w:rsidR="00A71064" w:rsidRDefault="00D75BCF" w:rsidP="00A71064">
      <w:pPr>
        <w:ind w:left="360"/>
        <w:rPr>
          <w:sz w:val="24"/>
        </w:rPr>
      </w:pPr>
      <w:r>
        <w:rPr>
          <w:sz w:val="24"/>
        </w:rPr>
        <w:t>T</w:t>
      </w:r>
      <w:r w:rsidR="00A71064">
        <w:rPr>
          <w:sz w:val="24"/>
        </w:rPr>
        <w:t xml:space="preserve">he regulations include a formal second review process for unsuccessful applicants that fall within the funding band.  We estimate that approximately </w:t>
      </w:r>
      <w:r w:rsidR="001E5E8F">
        <w:rPr>
          <w:sz w:val="24"/>
        </w:rPr>
        <w:t>8</w:t>
      </w:r>
      <w:r w:rsidR="00A71064">
        <w:rPr>
          <w:sz w:val="24"/>
        </w:rPr>
        <w:t xml:space="preserve"> applications will score within the funding band, resulting in </w:t>
      </w:r>
      <w:r w:rsidR="001E5E8F">
        <w:rPr>
          <w:sz w:val="24"/>
        </w:rPr>
        <w:t>16</w:t>
      </w:r>
      <w:r w:rsidR="00A71064">
        <w:rPr>
          <w:sz w:val="24"/>
        </w:rPr>
        <w:t xml:space="preserve"> additional burden hours from the previous applications (</w:t>
      </w:r>
      <w:r w:rsidR="001E5E8F">
        <w:rPr>
          <w:sz w:val="24"/>
        </w:rPr>
        <w:t>8</w:t>
      </w:r>
      <w:r w:rsidR="00A71064">
        <w:rPr>
          <w:sz w:val="24"/>
        </w:rPr>
        <w:t xml:space="preserve"> applications received x 2 hours = </w:t>
      </w:r>
      <w:r w:rsidR="001E5E8F">
        <w:rPr>
          <w:sz w:val="24"/>
        </w:rPr>
        <w:t>16</w:t>
      </w:r>
      <w:r w:rsidR="00A71064">
        <w:rPr>
          <w:sz w:val="24"/>
        </w:rPr>
        <w:t xml:space="preserve"> hours</w:t>
      </w:r>
      <w:r w:rsidR="007635F0">
        <w:rPr>
          <w:sz w:val="24"/>
        </w:rPr>
        <w:t>)</w:t>
      </w:r>
      <w:r w:rsidR="00A71064">
        <w:rPr>
          <w:sz w:val="24"/>
        </w:rPr>
        <w:t xml:space="preserve">. </w:t>
      </w:r>
    </w:p>
    <w:p w:rsidR="00A71064" w:rsidRDefault="00A71064" w:rsidP="00A71064">
      <w:pPr>
        <w:ind w:left="1080"/>
        <w:rPr>
          <w:sz w:val="24"/>
        </w:rPr>
      </w:pPr>
    </w:p>
    <w:p w:rsidR="00A71064" w:rsidRDefault="00A71064" w:rsidP="00A71064">
      <w:pPr>
        <w:ind w:firstLine="360"/>
        <w:rPr>
          <w:sz w:val="24"/>
        </w:rPr>
      </w:pPr>
      <w:r>
        <w:rPr>
          <w:sz w:val="24"/>
        </w:rPr>
        <w:t>Estimated number of respondents under the first review</w:t>
      </w:r>
      <w:r>
        <w:rPr>
          <w:sz w:val="24"/>
        </w:rPr>
        <w:tab/>
      </w:r>
      <w:r>
        <w:rPr>
          <w:sz w:val="24"/>
        </w:rPr>
        <w:tab/>
      </w:r>
      <w:r w:rsidR="000118F0">
        <w:rPr>
          <w:sz w:val="24"/>
        </w:rPr>
        <w:t>1</w:t>
      </w:r>
      <w:r w:rsidR="00CE5761">
        <w:rPr>
          <w:sz w:val="24"/>
        </w:rPr>
        <w:t>3</w:t>
      </w:r>
      <w:r w:rsidR="000118F0">
        <w:rPr>
          <w:sz w:val="24"/>
        </w:rPr>
        <w:t>5</w:t>
      </w:r>
    </w:p>
    <w:p w:rsidR="00A71064" w:rsidRDefault="00A71064" w:rsidP="00A71064">
      <w:pPr>
        <w:ind w:firstLine="360"/>
        <w:rPr>
          <w:sz w:val="24"/>
        </w:rPr>
      </w:pPr>
      <w:r>
        <w:rPr>
          <w:sz w:val="24"/>
        </w:rPr>
        <w:t xml:space="preserve">Estimated preparation time under the first review           </w:t>
      </w:r>
      <w:r>
        <w:rPr>
          <w:sz w:val="24"/>
        </w:rPr>
        <w:tab/>
      </w:r>
      <w:r>
        <w:rPr>
          <w:sz w:val="24"/>
        </w:rPr>
        <w:tab/>
        <w:t>34 hours</w:t>
      </w:r>
    </w:p>
    <w:p w:rsidR="00A71064" w:rsidRDefault="00A71064" w:rsidP="00A71064">
      <w:pPr>
        <w:ind w:firstLine="360"/>
        <w:rPr>
          <w:sz w:val="24"/>
        </w:rPr>
      </w:pPr>
      <w:r>
        <w:rPr>
          <w:sz w:val="24"/>
        </w:rPr>
        <w:t xml:space="preserve">Estimated burden hours under the first review   </w:t>
      </w:r>
      <w:r>
        <w:rPr>
          <w:sz w:val="24"/>
        </w:rPr>
        <w:tab/>
        <w:t xml:space="preserve">            </w:t>
      </w:r>
      <w:r>
        <w:rPr>
          <w:sz w:val="24"/>
        </w:rPr>
        <w:tab/>
      </w:r>
      <w:r w:rsidR="001E5E8F">
        <w:rPr>
          <w:sz w:val="24"/>
        </w:rPr>
        <w:t>4,</w:t>
      </w:r>
      <w:r w:rsidR="00CE5761">
        <w:rPr>
          <w:sz w:val="24"/>
        </w:rPr>
        <w:t>590</w:t>
      </w:r>
      <w:r>
        <w:rPr>
          <w:sz w:val="24"/>
        </w:rPr>
        <w:t xml:space="preserve"> hours</w:t>
      </w:r>
    </w:p>
    <w:p w:rsidR="00A71064" w:rsidRDefault="00A71064" w:rsidP="00A71064">
      <w:pPr>
        <w:ind w:firstLine="360"/>
        <w:rPr>
          <w:sz w:val="24"/>
        </w:rPr>
      </w:pPr>
    </w:p>
    <w:p w:rsidR="00A71064" w:rsidRDefault="00A71064" w:rsidP="00A71064">
      <w:pPr>
        <w:ind w:firstLine="360"/>
        <w:rPr>
          <w:sz w:val="24"/>
        </w:rPr>
      </w:pPr>
      <w:r>
        <w:rPr>
          <w:sz w:val="24"/>
        </w:rPr>
        <w:t>Estimated number of respondents under the second review</w:t>
      </w:r>
      <w:r>
        <w:rPr>
          <w:sz w:val="24"/>
        </w:rPr>
        <w:tab/>
      </w:r>
      <w:r w:rsidR="001E5E8F">
        <w:rPr>
          <w:sz w:val="24"/>
        </w:rPr>
        <w:t>8</w:t>
      </w:r>
    </w:p>
    <w:p w:rsidR="00A71064" w:rsidRDefault="00A71064" w:rsidP="00A71064">
      <w:pPr>
        <w:ind w:firstLine="360"/>
        <w:rPr>
          <w:sz w:val="24"/>
        </w:rPr>
      </w:pPr>
      <w:r>
        <w:rPr>
          <w:sz w:val="24"/>
        </w:rPr>
        <w:t xml:space="preserve">Estimated preparation time under the second review      </w:t>
      </w:r>
      <w:r>
        <w:rPr>
          <w:sz w:val="24"/>
        </w:rPr>
        <w:tab/>
      </w:r>
      <w:r>
        <w:rPr>
          <w:sz w:val="24"/>
        </w:rPr>
        <w:tab/>
        <w:t xml:space="preserve">2 hours   </w:t>
      </w:r>
    </w:p>
    <w:p w:rsidR="00A71064" w:rsidRDefault="00A71064" w:rsidP="00A71064">
      <w:pPr>
        <w:ind w:firstLine="360"/>
        <w:rPr>
          <w:sz w:val="24"/>
        </w:rPr>
      </w:pPr>
      <w:r>
        <w:rPr>
          <w:sz w:val="24"/>
        </w:rPr>
        <w:t xml:space="preserve">Estimated burden hours under the second review            </w:t>
      </w:r>
      <w:r>
        <w:rPr>
          <w:sz w:val="24"/>
        </w:rPr>
        <w:tab/>
      </w:r>
      <w:r>
        <w:rPr>
          <w:sz w:val="24"/>
        </w:rPr>
        <w:tab/>
      </w:r>
      <w:r w:rsidR="001E5E8F">
        <w:rPr>
          <w:sz w:val="24"/>
        </w:rPr>
        <w:t>16</w:t>
      </w:r>
      <w:r>
        <w:rPr>
          <w:sz w:val="24"/>
        </w:rPr>
        <w:t xml:space="preserve"> hours</w:t>
      </w:r>
    </w:p>
    <w:p w:rsidR="00A71064" w:rsidRDefault="00A71064" w:rsidP="00A71064">
      <w:pPr>
        <w:ind w:firstLine="360"/>
        <w:rPr>
          <w:sz w:val="24"/>
        </w:rPr>
      </w:pPr>
    </w:p>
    <w:p w:rsidR="00A71064" w:rsidRDefault="00A71064" w:rsidP="00A71064">
      <w:pPr>
        <w:ind w:firstLine="360"/>
        <w:rPr>
          <w:sz w:val="24"/>
        </w:rPr>
      </w:pPr>
      <w:r>
        <w:rPr>
          <w:sz w:val="24"/>
        </w:rPr>
        <w:t>Total estimated burden hours</w:t>
      </w:r>
      <w:r>
        <w:rPr>
          <w:sz w:val="24"/>
        </w:rPr>
        <w:tab/>
      </w:r>
      <w:r>
        <w:rPr>
          <w:sz w:val="24"/>
        </w:rPr>
        <w:tab/>
      </w:r>
      <w:r>
        <w:rPr>
          <w:sz w:val="24"/>
        </w:rPr>
        <w:tab/>
      </w:r>
      <w:r>
        <w:rPr>
          <w:sz w:val="24"/>
        </w:rPr>
        <w:tab/>
      </w:r>
      <w:r>
        <w:rPr>
          <w:sz w:val="24"/>
        </w:rPr>
        <w:tab/>
      </w:r>
      <w:r w:rsidR="0087079F">
        <w:rPr>
          <w:sz w:val="24"/>
        </w:rPr>
        <w:tab/>
      </w:r>
      <w:r w:rsidR="000118F0">
        <w:rPr>
          <w:sz w:val="24"/>
        </w:rPr>
        <w:t>4,</w:t>
      </w:r>
      <w:r w:rsidR="00CE5761">
        <w:rPr>
          <w:sz w:val="24"/>
        </w:rPr>
        <w:t>606</w:t>
      </w:r>
    </w:p>
    <w:p w:rsidR="00A71064" w:rsidRDefault="00A71064" w:rsidP="00A71064">
      <w:pPr>
        <w:rPr>
          <w:sz w:val="24"/>
        </w:rPr>
      </w:pPr>
    </w:p>
    <w:p w:rsidR="00A71064" w:rsidRDefault="00A71064" w:rsidP="00A71064">
      <w:pPr>
        <w:jc w:val="center"/>
        <w:rPr>
          <w:sz w:val="24"/>
        </w:rPr>
      </w:pPr>
      <w:r>
        <w:rPr>
          <w:sz w:val="24"/>
        </w:rPr>
        <w:t>Affected Public</w:t>
      </w:r>
    </w:p>
    <w:p w:rsidR="00A71064" w:rsidRDefault="00A71064" w:rsidP="00A71064">
      <w:pPr>
        <w:jc w:val="center"/>
        <w:rPr>
          <w:sz w:val="24"/>
        </w:rPr>
      </w:pPr>
      <w:r>
        <w:rPr>
          <w:sz w:val="24"/>
        </w:rPr>
        <w:t>(Estimated Burden Hours):</w:t>
      </w:r>
    </w:p>
    <w:tbl>
      <w:tblPr>
        <w:tblW w:w="9358" w:type="dxa"/>
        <w:tblInd w:w="-178" w:type="dxa"/>
        <w:tblLayout w:type="fixed"/>
        <w:tblCellMar>
          <w:left w:w="180" w:type="dxa"/>
          <w:right w:w="180" w:type="dxa"/>
        </w:tblCellMar>
        <w:tblLook w:val="0000" w:firstRow="0" w:lastRow="0" w:firstColumn="0" w:lastColumn="0" w:noHBand="0" w:noVBand="0"/>
      </w:tblPr>
      <w:tblGrid>
        <w:gridCol w:w="3510"/>
        <w:gridCol w:w="5848"/>
      </w:tblGrid>
      <w:tr w:rsidR="00A71064" w:rsidRPr="00AB54C4" w:rsidTr="00A52B2F">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Public, State, Local Institutions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CE5761" w:rsidP="00CE5761">
            <w:pPr>
              <w:rPr>
                <w:sz w:val="24"/>
              </w:rPr>
            </w:pPr>
            <w:r>
              <w:rPr>
                <w:sz w:val="24"/>
              </w:rPr>
              <w:t>113</w:t>
            </w:r>
            <w:r w:rsidR="00A71064" w:rsidRPr="00AB54C4">
              <w:rPr>
                <w:sz w:val="24"/>
              </w:rPr>
              <w:t xml:space="preserve"> respondent</w:t>
            </w:r>
            <w:r w:rsidR="00A71064">
              <w:rPr>
                <w:sz w:val="24"/>
              </w:rPr>
              <w:t>s x 34</w:t>
            </w:r>
            <w:r w:rsidR="00A71064" w:rsidRPr="00AB54C4">
              <w:rPr>
                <w:sz w:val="24"/>
              </w:rPr>
              <w:t xml:space="preserve"> hours = </w:t>
            </w:r>
            <w:r>
              <w:rPr>
                <w:sz w:val="24"/>
              </w:rPr>
              <w:t>3,842</w:t>
            </w:r>
            <w:r w:rsidR="00A71064" w:rsidRPr="00AB54C4">
              <w:rPr>
                <w:sz w:val="24"/>
              </w:rPr>
              <w:t xml:space="preserve"> estimated burden hours</w:t>
            </w:r>
          </w:p>
        </w:tc>
      </w:tr>
      <w:tr w:rsidR="00A71064" w:rsidRPr="00AB54C4" w:rsidTr="00A52B2F">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Private Non-Profits</w:t>
            </w:r>
            <w:r w:rsidR="00FA59C1">
              <w:rPr>
                <w:sz w:val="24"/>
              </w:rPr>
              <w:t>, For-Profits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C90734" w:rsidP="00C90734">
            <w:pPr>
              <w:rPr>
                <w:sz w:val="24"/>
              </w:rPr>
            </w:pPr>
            <w:r>
              <w:rPr>
                <w:sz w:val="24"/>
              </w:rPr>
              <w:t>22</w:t>
            </w:r>
            <w:r w:rsidR="00E62752">
              <w:rPr>
                <w:sz w:val="24"/>
              </w:rPr>
              <w:t xml:space="preserve"> </w:t>
            </w:r>
            <w:r w:rsidR="00A71064">
              <w:rPr>
                <w:sz w:val="24"/>
              </w:rPr>
              <w:t>respondents x 34</w:t>
            </w:r>
            <w:r w:rsidR="00A71064" w:rsidRPr="00AB54C4">
              <w:rPr>
                <w:sz w:val="24"/>
              </w:rPr>
              <w:t xml:space="preserve"> hours =</w:t>
            </w:r>
            <w:r w:rsidR="0017051A">
              <w:rPr>
                <w:sz w:val="24"/>
              </w:rPr>
              <w:t xml:space="preserve"> </w:t>
            </w:r>
            <w:r>
              <w:rPr>
                <w:sz w:val="24"/>
              </w:rPr>
              <w:t>748</w:t>
            </w:r>
            <w:r w:rsidR="00A71064" w:rsidRPr="00AB54C4">
              <w:rPr>
                <w:sz w:val="24"/>
              </w:rPr>
              <w:t xml:space="preserve"> estimated burden hours</w:t>
            </w:r>
          </w:p>
        </w:tc>
      </w:tr>
      <w:tr w:rsidR="00A71064" w:rsidRPr="00AB54C4" w:rsidTr="00A52B2F">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7635F0" w:rsidP="007F0CFA">
            <w:pPr>
              <w:rPr>
                <w:sz w:val="24"/>
              </w:rPr>
            </w:pPr>
            <w:r>
              <w:rPr>
                <w:sz w:val="24"/>
              </w:rPr>
              <w:t xml:space="preserve">Total </w:t>
            </w:r>
            <w:r w:rsidR="00A71064" w:rsidRPr="00AB54C4">
              <w:rPr>
                <w:sz w:val="24"/>
              </w:rPr>
              <w:t>Estimated Burden Hours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C90734" w:rsidP="00CE5761">
            <w:pPr>
              <w:rPr>
                <w:sz w:val="24"/>
              </w:rPr>
            </w:pPr>
            <w:r>
              <w:rPr>
                <w:sz w:val="24"/>
              </w:rPr>
              <w:t>4,</w:t>
            </w:r>
            <w:r w:rsidR="00CE5761">
              <w:rPr>
                <w:sz w:val="24"/>
              </w:rPr>
              <w:t>590</w:t>
            </w:r>
            <w:r w:rsidR="00A71064" w:rsidRPr="00AB54C4">
              <w:rPr>
                <w:sz w:val="24"/>
              </w:rPr>
              <w:t xml:space="preserve"> hours</w:t>
            </w:r>
          </w:p>
        </w:tc>
      </w:tr>
    </w:tbl>
    <w:p w:rsidR="00A71064" w:rsidRDefault="00A71064" w:rsidP="00A71064">
      <w:pPr>
        <w:autoSpaceDE w:val="0"/>
        <w:autoSpaceDN w:val="0"/>
        <w:rPr>
          <w:sz w:val="24"/>
        </w:rPr>
      </w:pPr>
    </w:p>
    <w:p w:rsidR="00A71064" w:rsidRDefault="00A71064" w:rsidP="00A71064">
      <w:pPr>
        <w:rPr>
          <w:sz w:val="24"/>
        </w:rPr>
      </w:pPr>
    </w:p>
    <w:p w:rsidR="00A71064" w:rsidRDefault="00A71064" w:rsidP="00A71064">
      <w:pPr>
        <w:ind w:left="720"/>
        <w:jc w:val="center"/>
        <w:rPr>
          <w:sz w:val="24"/>
        </w:rPr>
      </w:pPr>
      <w:r>
        <w:rPr>
          <w:sz w:val="24"/>
        </w:rPr>
        <w:t>(Estimated Burden Hours for Second Review):</w:t>
      </w:r>
    </w:p>
    <w:tbl>
      <w:tblPr>
        <w:tblW w:w="9358" w:type="dxa"/>
        <w:tblInd w:w="-178" w:type="dxa"/>
        <w:tblLayout w:type="fixed"/>
        <w:tblCellMar>
          <w:left w:w="180" w:type="dxa"/>
          <w:right w:w="180" w:type="dxa"/>
        </w:tblCellMar>
        <w:tblLook w:val="0000" w:firstRow="0" w:lastRow="0" w:firstColumn="0" w:lastColumn="0" w:noHBand="0" w:noVBand="0"/>
      </w:tblPr>
      <w:tblGrid>
        <w:gridCol w:w="3510"/>
        <w:gridCol w:w="5848"/>
      </w:tblGrid>
      <w:tr w:rsidR="00A71064" w:rsidRPr="00AB54C4" w:rsidTr="005812B2">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Public, State, Local Institutions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A71064" w:rsidP="000118F0">
            <w:pPr>
              <w:rPr>
                <w:sz w:val="24"/>
              </w:rPr>
            </w:pPr>
            <w:r w:rsidRPr="00AB54C4">
              <w:rPr>
                <w:sz w:val="24"/>
              </w:rPr>
              <w:t>Estimated b</w:t>
            </w:r>
            <w:r>
              <w:rPr>
                <w:sz w:val="24"/>
              </w:rPr>
              <w:t>urden hours for second review</w:t>
            </w:r>
            <w:r w:rsidR="007635F0">
              <w:rPr>
                <w:sz w:val="24"/>
              </w:rPr>
              <w:t>:</w:t>
            </w:r>
            <w:r>
              <w:rPr>
                <w:sz w:val="24"/>
              </w:rPr>
              <w:t xml:space="preserve">  </w:t>
            </w:r>
            <w:r w:rsidR="000118F0">
              <w:rPr>
                <w:sz w:val="24"/>
              </w:rPr>
              <w:t>7</w:t>
            </w:r>
            <w:r>
              <w:rPr>
                <w:sz w:val="24"/>
              </w:rPr>
              <w:t xml:space="preserve"> respondents x 2 hours = </w:t>
            </w:r>
            <w:r w:rsidR="00E62752">
              <w:rPr>
                <w:sz w:val="24"/>
              </w:rPr>
              <w:t>1</w:t>
            </w:r>
            <w:r w:rsidR="000118F0">
              <w:rPr>
                <w:sz w:val="24"/>
              </w:rPr>
              <w:t>4</w:t>
            </w:r>
            <w:r w:rsidRPr="00AB54C4">
              <w:rPr>
                <w:sz w:val="24"/>
              </w:rPr>
              <w:t xml:space="preserve"> hours</w:t>
            </w:r>
          </w:p>
        </w:tc>
      </w:tr>
      <w:tr w:rsidR="00A71064" w:rsidRPr="00AB54C4" w:rsidTr="005812B2">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Private Non-Profits</w:t>
            </w:r>
            <w:r w:rsidR="00FA59C1">
              <w:rPr>
                <w:sz w:val="24"/>
              </w:rPr>
              <w:t>, For-Profits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A71064" w:rsidP="000118F0">
            <w:pPr>
              <w:rPr>
                <w:sz w:val="24"/>
              </w:rPr>
            </w:pPr>
            <w:r w:rsidRPr="00AB54C4">
              <w:rPr>
                <w:sz w:val="24"/>
              </w:rPr>
              <w:t xml:space="preserve">Estimated </w:t>
            </w:r>
            <w:r>
              <w:rPr>
                <w:sz w:val="24"/>
              </w:rPr>
              <w:t>burden hours for second review</w:t>
            </w:r>
            <w:r w:rsidR="007635F0">
              <w:rPr>
                <w:sz w:val="24"/>
              </w:rPr>
              <w:t>:</w:t>
            </w:r>
            <w:r>
              <w:rPr>
                <w:sz w:val="24"/>
              </w:rPr>
              <w:t xml:space="preserve"> </w:t>
            </w:r>
            <w:r w:rsidR="000118F0">
              <w:rPr>
                <w:sz w:val="24"/>
              </w:rPr>
              <w:t>1</w:t>
            </w:r>
            <w:r>
              <w:rPr>
                <w:sz w:val="24"/>
              </w:rPr>
              <w:t xml:space="preserve"> respondents x 2 hours = </w:t>
            </w:r>
            <w:r w:rsidR="000118F0">
              <w:rPr>
                <w:sz w:val="24"/>
              </w:rPr>
              <w:t>2</w:t>
            </w:r>
            <w:r w:rsidR="00E62752">
              <w:rPr>
                <w:sz w:val="24"/>
              </w:rPr>
              <w:t xml:space="preserve"> </w:t>
            </w:r>
            <w:r w:rsidRPr="00AB54C4">
              <w:rPr>
                <w:sz w:val="24"/>
              </w:rPr>
              <w:t>hours</w:t>
            </w:r>
          </w:p>
        </w:tc>
      </w:tr>
      <w:tr w:rsidR="00A71064" w:rsidRPr="00AB54C4" w:rsidTr="006D266C">
        <w:trPr>
          <w:trHeight w:val="700"/>
        </w:trPr>
        <w:tc>
          <w:tcPr>
            <w:tcW w:w="3510" w:type="dxa"/>
            <w:tcBorders>
              <w:top w:val="single" w:sz="8" w:space="0" w:color="000000"/>
              <w:left w:val="single" w:sz="8" w:space="0" w:color="000000"/>
              <w:bottom w:val="single" w:sz="8" w:space="0" w:color="000000"/>
              <w:right w:val="nil"/>
            </w:tcBorders>
          </w:tcPr>
          <w:p w:rsidR="00A71064" w:rsidRPr="00AB54C4" w:rsidRDefault="007635F0" w:rsidP="007F0CFA">
            <w:pPr>
              <w:rPr>
                <w:sz w:val="24"/>
              </w:rPr>
            </w:pPr>
            <w:r>
              <w:rPr>
                <w:sz w:val="24"/>
              </w:rPr>
              <w:lastRenderedPageBreak/>
              <w:t xml:space="preserve">Total </w:t>
            </w:r>
            <w:r w:rsidR="00A71064" w:rsidRPr="00AB54C4">
              <w:rPr>
                <w:sz w:val="24"/>
              </w:rPr>
              <w:t>Estimated Burden Hours for Second Review</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0118F0" w:rsidP="00325FF5">
            <w:pPr>
              <w:rPr>
                <w:sz w:val="24"/>
              </w:rPr>
            </w:pPr>
            <w:r>
              <w:rPr>
                <w:sz w:val="24"/>
              </w:rPr>
              <w:t>16</w:t>
            </w:r>
            <w:r w:rsidR="00A71064" w:rsidRPr="00AB54C4">
              <w:rPr>
                <w:sz w:val="24"/>
              </w:rPr>
              <w:t xml:space="preserve"> hours</w:t>
            </w:r>
          </w:p>
        </w:tc>
      </w:tr>
    </w:tbl>
    <w:p w:rsidR="00A71064" w:rsidRDefault="00A71064" w:rsidP="00A71064">
      <w:pPr>
        <w:autoSpaceDE w:val="0"/>
        <w:autoSpaceDN w:val="0"/>
        <w:rPr>
          <w:sz w:val="24"/>
        </w:rPr>
      </w:pPr>
    </w:p>
    <w:p w:rsidR="00A71064" w:rsidRDefault="00A71064" w:rsidP="00A71064">
      <w:pPr>
        <w:rPr>
          <w:sz w:val="24"/>
        </w:rPr>
      </w:pPr>
    </w:p>
    <w:p w:rsidR="00A71064" w:rsidRDefault="00A71064" w:rsidP="00A71064">
      <w:pPr>
        <w:rPr>
          <w:sz w:val="24"/>
        </w:rPr>
      </w:pPr>
      <w:r>
        <w:rPr>
          <w:sz w:val="24"/>
        </w:rPr>
        <w:tab/>
      </w:r>
      <w:r>
        <w:rPr>
          <w:sz w:val="24"/>
        </w:rPr>
        <w:tab/>
        <w:t>Total Affected Public Estimated Burden Hours……………</w:t>
      </w:r>
      <w:r w:rsidR="000118F0">
        <w:rPr>
          <w:sz w:val="24"/>
        </w:rPr>
        <w:t>4,</w:t>
      </w:r>
      <w:r w:rsidR="00CE5761">
        <w:rPr>
          <w:sz w:val="24"/>
        </w:rPr>
        <w:t>606</w:t>
      </w:r>
    </w:p>
    <w:p w:rsidR="00A71064" w:rsidRDefault="00A71064" w:rsidP="00A71064">
      <w:pPr>
        <w:rPr>
          <w:b/>
          <w:bCs/>
          <w:sz w:val="24"/>
        </w:rPr>
      </w:pPr>
    </w:p>
    <w:p w:rsidR="00A71064" w:rsidRDefault="00A71064" w:rsidP="00A71064">
      <w:pPr>
        <w:ind w:left="1440"/>
        <w:rPr>
          <w:sz w:val="24"/>
        </w:rPr>
      </w:pPr>
    </w:p>
    <w:p w:rsidR="00A71064" w:rsidRDefault="00A71064" w:rsidP="00A71064">
      <w:pPr>
        <w:ind w:left="1440"/>
        <w:rPr>
          <w:sz w:val="24"/>
        </w:rPr>
      </w:pPr>
      <w:r>
        <w:rPr>
          <w:sz w:val="24"/>
        </w:rPr>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2076"/>
      </w:tblGrid>
      <w:tr w:rsidR="00A71064" w:rsidRPr="00AB54C4" w:rsidTr="00325FF5">
        <w:trPr>
          <w:trHeight w:val="949"/>
        </w:trPr>
        <w:tc>
          <w:tcPr>
            <w:tcW w:w="7302" w:type="dxa"/>
            <w:tcBorders>
              <w:top w:val="single" w:sz="8" w:space="0" w:color="auto"/>
              <w:left w:val="single" w:sz="8" w:space="0" w:color="auto"/>
              <w:bottom w:val="single" w:sz="8" w:space="0" w:color="auto"/>
              <w:right w:val="nil"/>
            </w:tcBorders>
          </w:tcPr>
          <w:p w:rsidR="00A71064" w:rsidRPr="00563440" w:rsidRDefault="00A71064" w:rsidP="00325FF5">
            <w:pPr>
              <w:rPr>
                <w:sz w:val="24"/>
              </w:rPr>
            </w:pPr>
            <w:r w:rsidRPr="00563440">
              <w:rPr>
                <w:sz w:val="24"/>
              </w:rPr>
              <w:t>Professionals:</w:t>
            </w:r>
          </w:p>
          <w:p w:rsidR="00A71064" w:rsidRPr="00563440" w:rsidRDefault="000118F0" w:rsidP="00325FF5">
            <w:pPr>
              <w:rPr>
                <w:sz w:val="24"/>
              </w:rPr>
            </w:pPr>
            <w:r>
              <w:rPr>
                <w:sz w:val="24"/>
              </w:rPr>
              <w:t>1</w:t>
            </w:r>
            <w:r w:rsidR="00CE5761">
              <w:rPr>
                <w:sz w:val="24"/>
              </w:rPr>
              <w:t>35</w:t>
            </w:r>
            <w:r w:rsidR="00A71064">
              <w:rPr>
                <w:sz w:val="24"/>
              </w:rPr>
              <w:t xml:space="preserve"> </w:t>
            </w:r>
            <w:r w:rsidR="00A71064" w:rsidRPr="00563440">
              <w:rPr>
                <w:sz w:val="24"/>
              </w:rPr>
              <w:t xml:space="preserve">personnel </w:t>
            </w:r>
            <w:r w:rsidR="00A71064">
              <w:rPr>
                <w:sz w:val="24"/>
              </w:rPr>
              <w:t>x 2</w:t>
            </w:r>
            <w:r w:rsidR="00D75BCF">
              <w:rPr>
                <w:sz w:val="24"/>
              </w:rPr>
              <w:t>7</w:t>
            </w:r>
            <w:r w:rsidR="00A71064">
              <w:rPr>
                <w:sz w:val="24"/>
              </w:rPr>
              <w:t xml:space="preserve"> hours x $30 per hour = $</w:t>
            </w:r>
            <w:r w:rsidR="00CE5761">
              <w:rPr>
                <w:sz w:val="24"/>
              </w:rPr>
              <w:t>109,350</w:t>
            </w:r>
          </w:p>
          <w:p w:rsidR="00A71064" w:rsidRPr="00AB54C4" w:rsidRDefault="00A71064" w:rsidP="00CE5761">
            <w:pPr>
              <w:rPr>
                <w:sz w:val="24"/>
              </w:rPr>
            </w:pPr>
            <w:r>
              <w:rPr>
                <w:sz w:val="24"/>
              </w:rPr>
              <w:t>Overhead at 50% of salary</w:t>
            </w:r>
            <w:r w:rsidR="000D1985">
              <w:rPr>
                <w:sz w:val="24"/>
              </w:rPr>
              <w:t xml:space="preserve"> </w:t>
            </w:r>
            <w:r>
              <w:rPr>
                <w:sz w:val="24"/>
              </w:rPr>
              <w:t>=</w:t>
            </w:r>
            <w:r w:rsidR="000D1985">
              <w:rPr>
                <w:sz w:val="24"/>
              </w:rPr>
              <w:t xml:space="preserve"> </w:t>
            </w:r>
            <w:r>
              <w:rPr>
                <w:sz w:val="24"/>
              </w:rPr>
              <w:t>$</w:t>
            </w:r>
            <w:r w:rsidR="00CE5761">
              <w:rPr>
                <w:sz w:val="24"/>
              </w:rPr>
              <w:t>54,675</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CE5761">
            <w:pPr>
              <w:rPr>
                <w:sz w:val="24"/>
              </w:rPr>
            </w:pPr>
            <w:r w:rsidRPr="00AB54C4">
              <w:rPr>
                <w:sz w:val="24"/>
              </w:rPr>
              <w:t>$</w:t>
            </w:r>
            <w:r w:rsidR="00CE5761">
              <w:rPr>
                <w:sz w:val="24"/>
              </w:rPr>
              <w:t>164,025</w:t>
            </w:r>
          </w:p>
        </w:tc>
      </w:tr>
      <w:tr w:rsidR="00A71064" w:rsidRPr="00AB54C4" w:rsidTr="00325FF5">
        <w:trPr>
          <w:trHeight w:val="949"/>
        </w:trPr>
        <w:tc>
          <w:tcPr>
            <w:tcW w:w="7302"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sz w:val="24"/>
              </w:rPr>
              <w:t>Clericals:</w:t>
            </w:r>
          </w:p>
          <w:p w:rsidR="00A71064" w:rsidRPr="00AB54C4" w:rsidRDefault="000118F0" w:rsidP="00325FF5">
            <w:pPr>
              <w:rPr>
                <w:sz w:val="24"/>
              </w:rPr>
            </w:pPr>
            <w:r>
              <w:rPr>
                <w:sz w:val="24"/>
              </w:rPr>
              <w:t>1</w:t>
            </w:r>
            <w:r w:rsidR="00CE5761">
              <w:rPr>
                <w:sz w:val="24"/>
              </w:rPr>
              <w:t>35</w:t>
            </w:r>
            <w:r w:rsidR="00A71064">
              <w:rPr>
                <w:sz w:val="24"/>
              </w:rPr>
              <w:t xml:space="preserve"> personnel</w:t>
            </w:r>
            <w:r w:rsidR="00A71064" w:rsidRPr="00AB54C4">
              <w:rPr>
                <w:sz w:val="24"/>
              </w:rPr>
              <w:t xml:space="preserve"> x 7 hours x </w:t>
            </w:r>
            <w:r w:rsidR="00A71064">
              <w:rPr>
                <w:sz w:val="24"/>
              </w:rPr>
              <w:t>$</w:t>
            </w:r>
            <w:r w:rsidR="00A71064" w:rsidRPr="00AB54C4">
              <w:rPr>
                <w:sz w:val="24"/>
              </w:rPr>
              <w:t>12 per hour = $</w:t>
            </w:r>
            <w:r w:rsidR="00CE5761">
              <w:rPr>
                <w:sz w:val="24"/>
              </w:rPr>
              <w:t>11,340</w:t>
            </w:r>
          </w:p>
          <w:p w:rsidR="00A71064" w:rsidRPr="00AB54C4" w:rsidRDefault="00A71064" w:rsidP="00CE5761">
            <w:pPr>
              <w:rPr>
                <w:sz w:val="24"/>
              </w:rPr>
            </w:pPr>
            <w:r w:rsidRPr="00AB54C4">
              <w:rPr>
                <w:sz w:val="24"/>
              </w:rPr>
              <w:t xml:space="preserve">Overhead at 50% of </w:t>
            </w:r>
            <w:r w:rsidR="000342D0">
              <w:rPr>
                <w:sz w:val="24"/>
              </w:rPr>
              <w:t>s</w:t>
            </w:r>
            <w:r w:rsidRPr="00AB54C4">
              <w:rPr>
                <w:sz w:val="24"/>
              </w:rPr>
              <w:t>alary</w:t>
            </w:r>
            <w:r w:rsidR="000D1985">
              <w:rPr>
                <w:sz w:val="24"/>
              </w:rPr>
              <w:t xml:space="preserve"> </w:t>
            </w:r>
            <w:r w:rsidRPr="00AB54C4">
              <w:rPr>
                <w:sz w:val="24"/>
              </w:rPr>
              <w:t>=</w:t>
            </w:r>
            <w:r w:rsidR="000D1985">
              <w:rPr>
                <w:sz w:val="24"/>
              </w:rPr>
              <w:t xml:space="preserve"> </w:t>
            </w:r>
            <w:r w:rsidRPr="00AB54C4">
              <w:rPr>
                <w:sz w:val="24"/>
              </w:rPr>
              <w:t>$</w:t>
            </w:r>
            <w:r w:rsidR="00CE5761">
              <w:rPr>
                <w:sz w:val="24"/>
              </w:rPr>
              <w:t>5,670</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CE5761">
            <w:pPr>
              <w:rPr>
                <w:sz w:val="24"/>
              </w:rPr>
            </w:pPr>
            <w:r w:rsidRPr="00AB54C4">
              <w:rPr>
                <w:sz w:val="24"/>
              </w:rPr>
              <w:t>$</w:t>
            </w:r>
            <w:r w:rsidR="00CE5761">
              <w:rPr>
                <w:sz w:val="24"/>
              </w:rPr>
              <w:t>17,010</w:t>
            </w:r>
          </w:p>
        </w:tc>
      </w:tr>
      <w:tr w:rsidR="00A71064" w:rsidRPr="00AB54C4" w:rsidTr="00325FF5">
        <w:trPr>
          <w:trHeight w:val="383"/>
        </w:trPr>
        <w:tc>
          <w:tcPr>
            <w:tcW w:w="7302"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i/>
                <w:iCs/>
                <w:sz w:val="24"/>
              </w:rPr>
              <w:t>Total estimated staff costs to respondents</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CE5761">
            <w:pPr>
              <w:rPr>
                <w:sz w:val="24"/>
              </w:rPr>
            </w:pPr>
            <w:r w:rsidRPr="00AB54C4">
              <w:rPr>
                <w:sz w:val="24"/>
              </w:rPr>
              <w:t>$</w:t>
            </w:r>
            <w:r w:rsidR="00CE5761">
              <w:rPr>
                <w:sz w:val="24"/>
              </w:rPr>
              <w:t>181,035</w:t>
            </w:r>
          </w:p>
        </w:tc>
      </w:tr>
    </w:tbl>
    <w:p w:rsidR="00A71064" w:rsidRDefault="00A71064" w:rsidP="00A71064">
      <w:pPr>
        <w:autoSpaceDE w:val="0"/>
        <w:autoSpaceDN w:val="0"/>
        <w:rPr>
          <w:sz w:val="24"/>
        </w:rPr>
      </w:pPr>
    </w:p>
    <w:p w:rsidR="00A71064" w:rsidRDefault="00A71064" w:rsidP="00A71064">
      <w:pPr>
        <w:rPr>
          <w:sz w:val="24"/>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A71064" w:rsidRPr="00AB54C4" w:rsidTr="00325FF5">
        <w:trPr>
          <w:trHeight w:val="1232"/>
        </w:trPr>
        <w:tc>
          <w:tcPr>
            <w:tcW w:w="7407"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sz w:val="24"/>
              </w:rPr>
              <w:t>(a) One time cost to applicant:</w:t>
            </w:r>
          </w:p>
          <w:p w:rsidR="00A71064" w:rsidRPr="00AB54C4" w:rsidRDefault="00A71064" w:rsidP="00CE5761">
            <w:pPr>
              <w:rPr>
                <w:sz w:val="24"/>
              </w:rPr>
            </w:pPr>
            <w:r w:rsidRPr="00AB54C4">
              <w:rPr>
                <w:sz w:val="24"/>
              </w:rPr>
              <w:t xml:space="preserve">Use of computer equipment to search for data and generate application in required format.  Computer time is $200 and </w:t>
            </w:r>
            <w:r w:rsidR="000342D0">
              <w:rPr>
                <w:sz w:val="24"/>
              </w:rPr>
              <w:t>p</w:t>
            </w:r>
            <w:r w:rsidRPr="00AB54C4">
              <w:rPr>
                <w:sz w:val="24"/>
              </w:rPr>
              <w:t>rinting is $10</w:t>
            </w:r>
            <w:r w:rsidR="000342D0">
              <w:rPr>
                <w:sz w:val="24"/>
              </w:rPr>
              <w:t>.</w:t>
            </w:r>
            <w:r w:rsidRPr="00AB54C4">
              <w:rPr>
                <w:sz w:val="24"/>
              </w:rPr>
              <w:t xml:space="preserve"> (</w:t>
            </w:r>
            <w:r w:rsidR="00CE5761">
              <w:rPr>
                <w:sz w:val="24"/>
              </w:rPr>
              <w:t xml:space="preserve">135 </w:t>
            </w:r>
            <w:r w:rsidRPr="00AB54C4">
              <w:rPr>
                <w:sz w:val="24"/>
              </w:rPr>
              <w:t>applicants x $210)</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CE5761">
            <w:pPr>
              <w:rPr>
                <w:sz w:val="24"/>
              </w:rPr>
            </w:pPr>
            <w:r w:rsidRPr="00AB54C4">
              <w:rPr>
                <w:sz w:val="24"/>
              </w:rPr>
              <w:t>$</w:t>
            </w:r>
            <w:r w:rsidR="00CE5761">
              <w:rPr>
                <w:sz w:val="24"/>
              </w:rPr>
              <w:t>28,350</w:t>
            </w:r>
          </w:p>
        </w:tc>
      </w:tr>
      <w:tr w:rsidR="00A71064" w:rsidRPr="00AB54C4" w:rsidTr="006D266C">
        <w:trPr>
          <w:trHeight w:val="898"/>
        </w:trPr>
        <w:tc>
          <w:tcPr>
            <w:tcW w:w="7407"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6D266C">
              <w:rPr>
                <w:bCs/>
                <w:sz w:val="24"/>
              </w:rPr>
              <w:t>(</w:t>
            </w:r>
            <w:r w:rsidRPr="00AB54C4">
              <w:rPr>
                <w:sz w:val="24"/>
              </w:rPr>
              <w:t>b) Operation Cost</w:t>
            </w:r>
            <w:r w:rsidR="000342D0">
              <w:rPr>
                <w:sz w:val="24"/>
              </w:rPr>
              <w:t>:</w:t>
            </w:r>
          </w:p>
          <w:p w:rsidR="00A71064" w:rsidRPr="00AB54C4" w:rsidRDefault="00A71064" w:rsidP="00CE5761">
            <w:pPr>
              <w:rPr>
                <w:sz w:val="24"/>
              </w:rPr>
            </w:pPr>
            <w:r w:rsidRPr="00AB54C4">
              <w:rPr>
                <w:sz w:val="24"/>
              </w:rPr>
              <w:t>Annual cost to applicant to find and maintain application materials is $100.</w:t>
            </w:r>
            <w:r w:rsidR="000342D0">
              <w:rPr>
                <w:sz w:val="24"/>
              </w:rPr>
              <w:t xml:space="preserve"> </w:t>
            </w:r>
            <w:r w:rsidRPr="00AB54C4">
              <w:rPr>
                <w:sz w:val="24"/>
              </w:rPr>
              <w:t>(</w:t>
            </w:r>
            <w:r w:rsidR="000118F0">
              <w:rPr>
                <w:sz w:val="24"/>
              </w:rPr>
              <w:t>1</w:t>
            </w:r>
            <w:r w:rsidR="00CE5761">
              <w:rPr>
                <w:sz w:val="24"/>
              </w:rPr>
              <w:t>35</w:t>
            </w:r>
            <w:r>
              <w:rPr>
                <w:sz w:val="24"/>
              </w:rPr>
              <w:t xml:space="preserve"> </w:t>
            </w:r>
            <w:r w:rsidRPr="00AB54C4">
              <w:rPr>
                <w:sz w:val="24"/>
              </w:rPr>
              <w:t>applicants x $100)</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CE5761">
            <w:pPr>
              <w:rPr>
                <w:sz w:val="24"/>
              </w:rPr>
            </w:pPr>
            <w:r w:rsidRPr="00AB54C4">
              <w:rPr>
                <w:sz w:val="24"/>
              </w:rPr>
              <w:t>$</w:t>
            </w:r>
            <w:r w:rsidR="00CE5761">
              <w:rPr>
                <w:sz w:val="24"/>
              </w:rPr>
              <w:t>13,500</w:t>
            </w:r>
          </w:p>
        </w:tc>
      </w:tr>
      <w:tr w:rsidR="00A71064" w:rsidRPr="00AB54C4" w:rsidTr="00325FF5">
        <w:trPr>
          <w:trHeight w:val="383"/>
        </w:trPr>
        <w:tc>
          <w:tcPr>
            <w:tcW w:w="7407"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i/>
                <w:iCs/>
                <w:sz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CE5761">
            <w:pPr>
              <w:rPr>
                <w:sz w:val="24"/>
              </w:rPr>
            </w:pPr>
            <w:r w:rsidRPr="00AB54C4">
              <w:rPr>
                <w:sz w:val="24"/>
              </w:rPr>
              <w:t>$</w:t>
            </w:r>
            <w:r w:rsidR="00CE5761">
              <w:rPr>
                <w:sz w:val="24"/>
              </w:rPr>
              <w:t>41,850</w:t>
            </w:r>
          </w:p>
        </w:tc>
      </w:tr>
    </w:tbl>
    <w:p w:rsidR="00A71064" w:rsidRDefault="00A71064" w:rsidP="00A71064">
      <w:pPr>
        <w:autoSpaceDE w:val="0"/>
        <w:autoSpaceDN w:val="0"/>
        <w:rPr>
          <w:sz w:val="24"/>
        </w:rPr>
      </w:pPr>
    </w:p>
    <w:p w:rsidR="00A71064" w:rsidRDefault="00A71064" w:rsidP="00A71064">
      <w:pPr>
        <w:ind w:left="1440"/>
        <w:rPr>
          <w:sz w:val="24"/>
        </w:rPr>
      </w:pPr>
    </w:p>
    <w:p w:rsidR="00A71064" w:rsidRDefault="00A71064" w:rsidP="00A71064">
      <w:pPr>
        <w:keepNext/>
        <w:ind w:left="720"/>
        <w:rPr>
          <w:i/>
          <w:iCs/>
          <w:sz w:val="24"/>
          <w:u w:val="single"/>
        </w:rPr>
      </w:pPr>
      <w:r>
        <w:rPr>
          <w:b/>
          <w:bCs/>
          <w:sz w:val="24"/>
          <w:u w:val="single"/>
        </w:rPr>
        <w:t>Total Annual Costs to Respondents:  $</w:t>
      </w:r>
      <w:r w:rsidR="00CE5761">
        <w:rPr>
          <w:b/>
          <w:bCs/>
          <w:sz w:val="24"/>
          <w:u w:val="single"/>
        </w:rPr>
        <w:t>222,885</w:t>
      </w:r>
    </w:p>
    <w:p w:rsidR="00A71064" w:rsidRDefault="00A71064" w:rsidP="00A71064">
      <w:pPr>
        <w:ind w:firstLine="720"/>
        <w:rPr>
          <w:sz w:val="24"/>
        </w:rPr>
      </w:pPr>
      <w:r>
        <w:rPr>
          <w:sz w:val="24"/>
        </w:rPr>
        <w:t>(Staff Costs:  $</w:t>
      </w:r>
      <w:r w:rsidR="007E0033">
        <w:rPr>
          <w:sz w:val="24"/>
        </w:rPr>
        <w:t xml:space="preserve">181,035 </w:t>
      </w:r>
      <w:r>
        <w:rPr>
          <w:sz w:val="24"/>
        </w:rPr>
        <w:t xml:space="preserve">+ Annual Costs for </w:t>
      </w:r>
      <w:r w:rsidR="0085062B">
        <w:rPr>
          <w:sz w:val="24"/>
        </w:rPr>
        <w:t>Responding</w:t>
      </w:r>
      <w:r>
        <w:rPr>
          <w:sz w:val="24"/>
        </w:rPr>
        <w:t>:  $</w:t>
      </w:r>
      <w:r w:rsidR="007E0033">
        <w:rPr>
          <w:sz w:val="24"/>
        </w:rPr>
        <w:t>41,850</w:t>
      </w:r>
      <w:r>
        <w:rPr>
          <w:sz w:val="24"/>
        </w:rPr>
        <w:t>)</w:t>
      </w:r>
    </w:p>
    <w:p w:rsidR="00A71064" w:rsidRDefault="00A71064" w:rsidP="00A71064">
      <w:pPr>
        <w:jc w:val="center"/>
        <w:rPr>
          <w:sz w:val="24"/>
        </w:rPr>
      </w:pPr>
    </w:p>
    <w:p w:rsidR="00A71064" w:rsidRDefault="00A71064" w:rsidP="00A71064">
      <w:pPr>
        <w:jc w:val="center"/>
        <w:rPr>
          <w:sz w:val="24"/>
        </w:rPr>
      </w:pPr>
    </w:p>
    <w:p w:rsidR="00A71064" w:rsidRDefault="00A71064" w:rsidP="00A71064">
      <w:pPr>
        <w:jc w:val="center"/>
        <w:rPr>
          <w:sz w:val="24"/>
        </w:rPr>
      </w:pPr>
    </w:p>
    <w:p w:rsidR="00A71064" w:rsidRDefault="00A71064" w:rsidP="00A71064">
      <w:pPr>
        <w:jc w:val="center"/>
        <w:rPr>
          <w:sz w:val="24"/>
        </w:rPr>
      </w:pPr>
      <w:r>
        <w:rPr>
          <w:sz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A71064" w:rsidRPr="00AB54C4" w:rsidTr="00325FF5">
        <w:trPr>
          <w:trHeight w:val="666"/>
        </w:trPr>
        <w:tc>
          <w:tcPr>
            <w:tcW w:w="729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Professionals:</w:t>
            </w:r>
          </w:p>
          <w:p w:rsidR="00A71064" w:rsidRDefault="000118F0" w:rsidP="00325FF5">
            <w:pPr>
              <w:rPr>
                <w:sz w:val="24"/>
              </w:rPr>
            </w:pPr>
            <w:r>
              <w:rPr>
                <w:sz w:val="24"/>
              </w:rPr>
              <w:t>8</w:t>
            </w:r>
            <w:r w:rsidR="007E0033">
              <w:rPr>
                <w:sz w:val="24"/>
              </w:rPr>
              <w:t xml:space="preserve"> </w:t>
            </w:r>
            <w:r w:rsidR="00A71064" w:rsidRPr="00AB54C4">
              <w:rPr>
                <w:sz w:val="24"/>
              </w:rPr>
              <w:t>personnel x 1 hour x $30 per hour =</w:t>
            </w:r>
            <w:r w:rsidR="000342D0">
              <w:rPr>
                <w:sz w:val="24"/>
              </w:rPr>
              <w:t xml:space="preserve"> $</w:t>
            </w:r>
            <w:r>
              <w:rPr>
                <w:sz w:val="24"/>
              </w:rPr>
              <w:t>240</w:t>
            </w:r>
          </w:p>
          <w:p w:rsidR="000342D0" w:rsidRPr="00AB54C4" w:rsidRDefault="000342D0" w:rsidP="00DC2E4B">
            <w:pPr>
              <w:rPr>
                <w:sz w:val="24"/>
              </w:rPr>
            </w:pPr>
            <w:r>
              <w:rPr>
                <w:sz w:val="24"/>
              </w:rPr>
              <w:t>Overhead at 50% of salary</w:t>
            </w:r>
            <w:r w:rsidR="000D1985">
              <w:rPr>
                <w:sz w:val="24"/>
              </w:rPr>
              <w:t xml:space="preserve"> </w:t>
            </w:r>
            <w:r>
              <w:rPr>
                <w:sz w:val="24"/>
              </w:rPr>
              <w:t>=</w:t>
            </w:r>
            <w:r w:rsidR="000D1985">
              <w:rPr>
                <w:sz w:val="24"/>
              </w:rPr>
              <w:t xml:space="preserve"> </w:t>
            </w:r>
            <w:r>
              <w:rPr>
                <w:sz w:val="24"/>
              </w:rPr>
              <w:t>$</w:t>
            </w:r>
            <w:r w:rsidR="007E0033">
              <w:rPr>
                <w:sz w:val="24"/>
              </w:rPr>
              <w:t>120</w:t>
            </w:r>
          </w:p>
        </w:tc>
        <w:tc>
          <w:tcPr>
            <w:tcW w:w="2085" w:type="dxa"/>
            <w:tcBorders>
              <w:top w:val="single" w:sz="8" w:space="0" w:color="000000"/>
              <w:left w:val="single" w:sz="8" w:space="0" w:color="000000"/>
              <w:bottom w:val="single" w:sz="8" w:space="0" w:color="000000"/>
              <w:right w:val="single" w:sz="8" w:space="0" w:color="000000"/>
            </w:tcBorders>
          </w:tcPr>
          <w:p w:rsidR="00A71064" w:rsidRPr="00AB54C4" w:rsidRDefault="00A71064" w:rsidP="000118F0">
            <w:pPr>
              <w:rPr>
                <w:sz w:val="24"/>
              </w:rPr>
            </w:pPr>
            <w:r>
              <w:rPr>
                <w:sz w:val="24"/>
              </w:rPr>
              <w:t>$</w:t>
            </w:r>
            <w:r w:rsidR="000118F0">
              <w:rPr>
                <w:sz w:val="24"/>
              </w:rPr>
              <w:t>360</w:t>
            </w:r>
          </w:p>
        </w:tc>
      </w:tr>
      <w:tr w:rsidR="00A71064" w:rsidRPr="00AB54C4" w:rsidTr="00325FF5">
        <w:trPr>
          <w:trHeight w:val="666"/>
        </w:trPr>
        <w:tc>
          <w:tcPr>
            <w:tcW w:w="7290"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sz w:val="24"/>
              </w:rPr>
              <w:t>Clericals:</w:t>
            </w:r>
          </w:p>
          <w:p w:rsidR="00A71064" w:rsidRDefault="000118F0" w:rsidP="00325FF5">
            <w:pPr>
              <w:rPr>
                <w:b/>
                <w:bCs/>
                <w:sz w:val="24"/>
              </w:rPr>
            </w:pPr>
            <w:r>
              <w:rPr>
                <w:sz w:val="24"/>
              </w:rPr>
              <w:t>8</w:t>
            </w:r>
            <w:r w:rsidR="00A71064" w:rsidRPr="00AB54C4">
              <w:rPr>
                <w:sz w:val="24"/>
              </w:rPr>
              <w:t xml:space="preserve"> </w:t>
            </w:r>
            <w:r w:rsidR="00A71064">
              <w:rPr>
                <w:sz w:val="24"/>
              </w:rPr>
              <w:t xml:space="preserve">personnel </w:t>
            </w:r>
            <w:r w:rsidR="00A71064" w:rsidRPr="00AB54C4">
              <w:rPr>
                <w:sz w:val="24"/>
              </w:rPr>
              <w:t>x 1 hour x $12 per hour =</w:t>
            </w:r>
            <w:r w:rsidR="00A71064" w:rsidRPr="00AB54C4">
              <w:rPr>
                <w:b/>
                <w:bCs/>
                <w:sz w:val="24"/>
              </w:rPr>
              <w:t xml:space="preserve"> </w:t>
            </w:r>
            <w:r w:rsidR="000342D0" w:rsidRPr="006D266C">
              <w:rPr>
                <w:bCs/>
                <w:sz w:val="24"/>
              </w:rPr>
              <w:t>$</w:t>
            </w:r>
            <w:r>
              <w:rPr>
                <w:bCs/>
                <w:sz w:val="24"/>
              </w:rPr>
              <w:t>96</w:t>
            </w:r>
            <w:r w:rsidR="00A71064" w:rsidRPr="00AB54C4">
              <w:rPr>
                <w:b/>
                <w:bCs/>
                <w:sz w:val="24"/>
              </w:rPr>
              <w:t xml:space="preserve"> </w:t>
            </w:r>
          </w:p>
          <w:p w:rsidR="000342D0" w:rsidRPr="00AB54C4" w:rsidRDefault="000342D0" w:rsidP="000118F0">
            <w:pPr>
              <w:rPr>
                <w:sz w:val="24"/>
              </w:rPr>
            </w:pPr>
            <w:r>
              <w:rPr>
                <w:sz w:val="24"/>
              </w:rPr>
              <w:t>Overhead at 50% of salary</w:t>
            </w:r>
            <w:r w:rsidR="000D1985">
              <w:rPr>
                <w:sz w:val="24"/>
              </w:rPr>
              <w:t xml:space="preserve"> </w:t>
            </w:r>
            <w:r>
              <w:rPr>
                <w:sz w:val="24"/>
              </w:rPr>
              <w:t>=</w:t>
            </w:r>
            <w:r w:rsidR="000D1985">
              <w:rPr>
                <w:sz w:val="24"/>
              </w:rPr>
              <w:t xml:space="preserve"> </w:t>
            </w:r>
            <w:r>
              <w:rPr>
                <w:sz w:val="24"/>
              </w:rPr>
              <w:t>$</w:t>
            </w:r>
            <w:r w:rsidR="000118F0">
              <w:rPr>
                <w:sz w:val="24"/>
              </w:rPr>
              <w:t>48</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0118F0">
            <w:pPr>
              <w:rPr>
                <w:sz w:val="24"/>
              </w:rPr>
            </w:pPr>
            <w:r>
              <w:rPr>
                <w:sz w:val="24"/>
              </w:rPr>
              <w:t>$</w:t>
            </w:r>
            <w:r w:rsidR="000118F0">
              <w:rPr>
                <w:sz w:val="24"/>
              </w:rPr>
              <w:t>144</w:t>
            </w:r>
          </w:p>
        </w:tc>
      </w:tr>
      <w:tr w:rsidR="00A71064" w:rsidRPr="00AB54C4" w:rsidTr="00325FF5">
        <w:trPr>
          <w:trHeight w:val="242"/>
        </w:trPr>
        <w:tc>
          <w:tcPr>
            <w:tcW w:w="7290" w:type="dxa"/>
            <w:tcBorders>
              <w:top w:val="single" w:sz="8" w:space="0" w:color="auto"/>
              <w:left w:val="single" w:sz="8" w:space="0" w:color="auto"/>
              <w:bottom w:val="single" w:sz="8" w:space="0" w:color="auto"/>
              <w:right w:val="nil"/>
            </w:tcBorders>
          </w:tcPr>
          <w:p w:rsidR="00A71064" w:rsidRPr="00AB54C4" w:rsidRDefault="00A71064" w:rsidP="007F0CFA">
            <w:pPr>
              <w:rPr>
                <w:sz w:val="24"/>
              </w:rPr>
            </w:pPr>
            <w:r w:rsidRPr="00AB54C4">
              <w:rPr>
                <w:i/>
                <w:iCs/>
                <w:sz w:val="24"/>
              </w:rPr>
              <w:t xml:space="preserve">Total estimated staff costs to respondents for </w:t>
            </w:r>
            <w:r w:rsidR="000342D0">
              <w:rPr>
                <w:i/>
                <w:iCs/>
                <w:sz w:val="24"/>
              </w:rPr>
              <w:t>a</w:t>
            </w:r>
            <w:r w:rsidR="000342D0" w:rsidRPr="00AB54C4">
              <w:rPr>
                <w:i/>
                <w:iCs/>
                <w:sz w:val="24"/>
              </w:rPr>
              <w:t>ppeals</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0118F0">
            <w:pPr>
              <w:rPr>
                <w:sz w:val="24"/>
              </w:rPr>
            </w:pPr>
            <w:r>
              <w:rPr>
                <w:sz w:val="24"/>
              </w:rPr>
              <w:t>$</w:t>
            </w:r>
            <w:r w:rsidR="000118F0">
              <w:rPr>
                <w:sz w:val="24"/>
              </w:rPr>
              <w:t>504</w:t>
            </w:r>
          </w:p>
        </w:tc>
      </w:tr>
      <w:tr w:rsidR="00A71064" w:rsidRPr="00AB54C4" w:rsidTr="00325FF5">
        <w:trPr>
          <w:trHeight w:val="1232"/>
        </w:trPr>
        <w:tc>
          <w:tcPr>
            <w:tcW w:w="7290" w:type="dxa"/>
            <w:tcBorders>
              <w:top w:val="single" w:sz="8" w:space="0" w:color="auto"/>
              <w:left w:val="single" w:sz="8" w:space="0" w:color="auto"/>
              <w:bottom w:val="single" w:sz="8" w:space="0" w:color="auto"/>
              <w:right w:val="nil"/>
            </w:tcBorders>
          </w:tcPr>
          <w:p w:rsidR="00A71064" w:rsidRDefault="00A71064" w:rsidP="00325FF5">
            <w:pPr>
              <w:ind w:left="720" w:hanging="360"/>
              <w:rPr>
                <w:sz w:val="24"/>
              </w:rPr>
            </w:pPr>
            <w:r>
              <w:rPr>
                <w:sz w:val="24"/>
              </w:rPr>
              <w:lastRenderedPageBreak/>
              <w:t>(a)</w:t>
            </w:r>
            <w:r>
              <w:rPr>
                <w:sz w:val="24"/>
              </w:rPr>
              <w:tab/>
              <w:t>One time cost to applicant:</w:t>
            </w:r>
          </w:p>
          <w:p w:rsidR="00A71064" w:rsidRPr="00AB54C4" w:rsidRDefault="00A71064" w:rsidP="000118F0">
            <w:pPr>
              <w:rPr>
                <w:sz w:val="24"/>
              </w:rPr>
            </w:pPr>
            <w:r w:rsidRPr="00AB54C4">
              <w:rPr>
                <w:sz w:val="24"/>
              </w:rPr>
              <w:t xml:space="preserve">Use of computer equipment to search for data and generate appeal in required format.  Computer time </w:t>
            </w:r>
            <w:r>
              <w:rPr>
                <w:sz w:val="24"/>
              </w:rPr>
              <w:t>is $200 and printing is $10</w:t>
            </w:r>
            <w:r w:rsidR="0085062B">
              <w:rPr>
                <w:sz w:val="24"/>
              </w:rPr>
              <w:t>.</w:t>
            </w:r>
            <w:r>
              <w:rPr>
                <w:sz w:val="24"/>
              </w:rPr>
              <w:t xml:space="preserve"> (</w:t>
            </w:r>
            <w:r w:rsidR="000118F0">
              <w:rPr>
                <w:sz w:val="24"/>
              </w:rPr>
              <w:t>8</w:t>
            </w:r>
            <w:r>
              <w:rPr>
                <w:sz w:val="24"/>
              </w:rPr>
              <w:t xml:space="preserve"> </w:t>
            </w:r>
            <w:r w:rsidRPr="00AB54C4">
              <w:rPr>
                <w:sz w:val="24"/>
              </w:rPr>
              <w:t>applicants x $210)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0118F0">
            <w:pPr>
              <w:rPr>
                <w:sz w:val="24"/>
              </w:rPr>
            </w:pPr>
            <w:r w:rsidRPr="00AB54C4">
              <w:rPr>
                <w:sz w:val="24"/>
              </w:rPr>
              <w:t>$</w:t>
            </w:r>
            <w:r w:rsidR="000118F0">
              <w:rPr>
                <w:sz w:val="24"/>
              </w:rPr>
              <w:t>1,680</w:t>
            </w:r>
          </w:p>
        </w:tc>
      </w:tr>
      <w:tr w:rsidR="00A71064" w:rsidRPr="00AB54C4" w:rsidTr="006D266C">
        <w:trPr>
          <w:trHeight w:val="898"/>
        </w:trPr>
        <w:tc>
          <w:tcPr>
            <w:tcW w:w="7290" w:type="dxa"/>
            <w:tcBorders>
              <w:top w:val="single" w:sz="8" w:space="0" w:color="auto"/>
              <w:left w:val="single" w:sz="8" w:space="0" w:color="auto"/>
              <w:bottom w:val="single" w:sz="8" w:space="0" w:color="auto"/>
              <w:right w:val="nil"/>
            </w:tcBorders>
          </w:tcPr>
          <w:p w:rsidR="00A71064" w:rsidRDefault="00A71064" w:rsidP="00325FF5">
            <w:pPr>
              <w:ind w:left="720" w:hanging="360"/>
              <w:rPr>
                <w:sz w:val="24"/>
              </w:rPr>
            </w:pPr>
            <w:r>
              <w:rPr>
                <w:sz w:val="24"/>
              </w:rPr>
              <w:t>(b)</w:t>
            </w:r>
            <w:r>
              <w:rPr>
                <w:sz w:val="24"/>
              </w:rPr>
              <w:tab/>
              <w:t>Operation Cost</w:t>
            </w:r>
            <w:r w:rsidR="000342D0">
              <w:rPr>
                <w:sz w:val="24"/>
              </w:rPr>
              <w:t>:</w:t>
            </w:r>
          </w:p>
          <w:p w:rsidR="00A71064" w:rsidRPr="00AB54C4" w:rsidRDefault="00A71064" w:rsidP="000118F0">
            <w:pPr>
              <w:rPr>
                <w:sz w:val="24"/>
              </w:rPr>
            </w:pPr>
            <w:r w:rsidRPr="00AB54C4">
              <w:rPr>
                <w:sz w:val="24"/>
              </w:rPr>
              <w:t>Annual cost to applicant to compile mat</w:t>
            </w:r>
            <w:r>
              <w:rPr>
                <w:sz w:val="24"/>
              </w:rPr>
              <w:t>erials for appealing is $100. (</w:t>
            </w:r>
            <w:r w:rsidR="000118F0">
              <w:rPr>
                <w:sz w:val="24"/>
              </w:rPr>
              <w:t>8</w:t>
            </w:r>
            <w:r w:rsidR="00413B2D">
              <w:rPr>
                <w:sz w:val="24"/>
              </w:rPr>
              <w:t xml:space="preserve"> </w:t>
            </w:r>
            <w:r w:rsidRPr="00AB54C4">
              <w:rPr>
                <w:sz w:val="24"/>
              </w:rPr>
              <w:t>applicants x $100)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0118F0">
            <w:pPr>
              <w:rPr>
                <w:sz w:val="24"/>
              </w:rPr>
            </w:pPr>
            <w:r>
              <w:rPr>
                <w:sz w:val="24"/>
              </w:rPr>
              <w:t>$</w:t>
            </w:r>
            <w:r w:rsidR="000118F0">
              <w:rPr>
                <w:sz w:val="24"/>
              </w:rPr>
              <w:t>800</w:t>
            </w:r>
          </w:p>
        </w:tc>
      </w:tr>
      <w:tr w:rsidR="00A71064" w:rsidRPr="00AB54C4" w:rsidTr="00325FF5">
        <w:trPr>
          <w:trHeight w:val="383"/>
        </w:trPr>
        <w:tc>
          <w:tcPr>
            <w:tcW w:w="7290" w:type="dxa"/>
            <w:tcBorders>
              <w:top w:val="single" w:sz="8" w:space="0" w:color="auto"/>
              <w:left w:val="single" w:sz="8" w:space="0" w:color="auto"/>
              <w:bottom w:val="single" w:sz="8" w:space="0" w:color="auto"/>
              <w:right w:val="nil"/>
            </w:tcBorders>
          </w:tcPr>
          <w:p w:rsidR="00A71064" w:rsidRPr="00AB54C4" w:rsidRDefault="00A71064" w:rsidP="007F0CFA">
            <w:pPr>
              <w:rPr>
                <w:sz w:val="24"/>
              </w:rPr>
            </w:pPr>
            <w:r w:rsidRPr="00AB54C4">
              <w:rPr>
                <w:i/>
                <w:iCs/>
                <w:sz w:val="24"/>
              </w:rPr>
              <w:t xml:space="preserve">Total </w:t>
            </w:r>
            <w:r w:rsidR="0085062B">
              <w:rPr>
                <w:i/>
                <w:iCs/>
                <w:sz w:val="24"/>
              </w:rPr>
              <w:t>e</w:t>
            </w:r>
            <w:r w:rsidR="0085062B" w:rsidRPr="00AB54C4">
              <w:rPr>
                <w:i/>
                <w:iCs/>
                <w:sz w:val="24"/>
              </w:rPr>
              <w:t xml:space="preserve">stimated </w:t>
            </w:r>
            <w:r w:rsidRPr="00AB54C4">
              <w:rPr>
                <w:i/>
                <w:iCs/>
                <w:sz w:val="24"/>
              </w:rPr>
              <w:t>annual cost to respondents for appeals</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7A0188">
            <w:pPr>
              <w:rPr>
                <w:sz w:val="24"/>
              </w:rPr>
            </w:pPr>
            <w:r w:rsidRPr="00AB54C4">
              <w:rPr>
                <w:sz w:val="24"/>
              </w:rPr>
              <w:t>$</w:t>
            </w:r>
            <w:r w:rsidR="007A0188">
              <w:rPr>
                <w:sz w:val="24"/>
              </w:rPr>
              <w:t>2,480</w:t>
            </w:r>
          </w:p>
        </w:tc>
      </w:tr>
    </w:tbl>
    <w:p w:rsidR="00A71064" w:rsidRDefault="00A71064" w:rsidP="00A71064">
      <w:pPr>
        <w:autoSpaceDE w:val="0"/>
        <w:autoSpaceDN w:val="0"/>
        <w:rPr>
          <w:sz w:val="24"/>
        </w:rPr>
      </w:pPr>
    </w:p>
    <w:p w:rsidR="00A71064" w:rsidRDefault="00A71064" w:rsidP="00A71064">
      <w:pPr>
        <w:ind w:firstLine="720"/>
        <w:rPr>
          <w:b/>
          <w:bCs/>
          <w:sz w:val="24"/>
          <w:u w:val="single"/>
        </w:rPr>
      </w:pPr>
      <w:r>
        <w:rPr>
          <w:b/>
          <w:bCs/>
          <w:sz w:val="24"/>
          <w:u w:val="single"/>
        </w:rPr>
        <w:t>Total Annual Costs to Respondents for Appeals: $</w:t>
      </w:r>
      <w:r w:rsidR="007A0188">
        <w:rPr>
          <w:b/>
          <w:bCs/>
          <w:sz w:val="24"/>
          <w:u w:val="single"/>
        </w:rPr>
        <w:t>2,984</w:t>
      </w:r>
    </w:p>
    <w:p w:rsidR="00A71064" w:rsidRDefault="00A71064" w:rsidP="00A71064">
      <w:pPr>
        <w:ind w:firstLine="720"/>
        <w:rPr>
          <w:sz w:val="24"/>
        </w:rPr>
      </w:pPr>
      <w:r>
        <w:rPr>
          <w:sz w:val="24"/>
        </w:rPr>
        <w:t>(Staff Costs: $</w:t>
      </w:r>
      <w:r w:rsidR="007A0188">
        <w:rPr>
          <w:sz w:val="24"/>
        </w:rPr>
        <w:t>504</w:t>
      </w:r>
      <w:r w:rsidR="0085062B">
        <w:rPr>
          <w:sz w:val="24"/>
        </w:rPr>
        <w:t xml:space="preserve"> </w:t>
      </w:r>
      <w:r>
        <w:rPr>
          <w:sz w:val="24"/>
        </w:rPr>
        <w:t>+ Annual Costs for Responding</w:t>
      </w:r>
      <w:r w:rsidR="0085062B">
        <w:rPr>
          <w:sz w:val="24"/>
        </w:rPr>
        <w:t>: $</w:t>
      </w:r>
      <w:r w:rsidR="007A0188">
        <w:rPr>
          <w:sz w:val="24"/>
        </w:rPr>
        <w:t>2,480</w:t>
      </w:r>
      <w:r>
        <w:rPr>
          <w:sz w:val="24"/>
        </w:rPr>
        <w:t>)</w:t>
      </w:r>
    </w:p>
    <w:p w:rsidR="00A71064" w:rsidRDefault="00A71064" w:rsidP="00A71064">
      <w:pPr>
        <w:tabs>
          <w:tab w:val="left" w:pos="-720"/>
          <w:tab w:val="left" w:pos="1246"/>
        </w:tabs>
        <w:suppressAutoHyphens/>
        <w:ind w:left="700"/>
        <w:rPr>
          <w:sz w:val="24"/>
        </w:rPr>
      </w:pPr>
    </w:p>
    <w:p w:rsidR="00654A18" w:rsidRPr="00926645" w:rsidRDefault="002C6092" w:rsidP="002063F3">
      <w:pPr>
        <w:tabs>
          <w:tab w:val="left" w:pos="-720"/>
        </w:tabs>
        <w:suppressAutoHyphens/>
        <w:ind w:left="720" w:hanging="720"/>
        <w:rPr>
          <w:rFonts w:ascii="Times New Roman" w:hAnsi="Times New Roman"/>
          <w:sz w:val="24"/>
        </w:rPr>
      </w:pPr>
      <w:r w:rsidRPr="00926645">
        <w:rPr>
          <w:rFonts w:ascii="Times New Roman" w:hAnsi="Times New Roman"/>
          <w:sz w:val="24"/>
        </w:rPr>
        <w:t xml:space="preserve">13.  </w:t>
      </w:r>
      <w:r w:rsidR="000C472A">
        <w:rPr>
          <w:rFonts w:ascii="Times New Roman" w:hAnsi="Times New Roman"/>
          <w:sz w:val="24"/>
        </w:rPr>
        <w:tab/>
      </w:r>
      <w:r w:rsidR="00654A18" w:rsidRPr="00926645">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926645" w:rsidRDefault="005343B0">
      <w:pPr>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926645" w:rsidRDefault="00654A18" w:rsidP="00654A18">
      <w:pPr>
        <w:numPr>
          <w:ilvl w:val="12"/>
          <w:numId w:val="0"/>
        </w:numPr>
        <w:tabs>
          <w:tab w:val="left" w:pos="-720"/>
        </w:tabs>
        <w:suppressAutoHyphens/>
        <w:ind w:left="340"/>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54A18" w:rsidRPr="00926645" w:rsidRDefault="00654A18" w:rsidP="00654A18">
      <w:pPr>
        <w:tabs>
          <w:tab w:val="left" w:pos="-720"/>
          <w:tab w:val="left" w:pos="1247"/>
        </w:tabs>
        <w:suppressAutoHyphens/>
        <w:rPr>
          <w:rFonts w:ascii="Times New Roman" w:hAnsi="Times New Roman"/>
          <w:sz w:val="24"/>
        </w:rPr>
      </w:pPr>
    </w:p>
    <w:p w:rsidR="00654A18" w:rsidRPr="00926645" w:rsidRDefault="00654A18" w:rsidP="006F560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F028D" w:rsidRPr="00926645" w:rsidRDefault="00EF028D" w:rsidP="00194346">
      <w:pPr>
        <w:ind w:left="720"/>
        <w:rPr>
          <w:rFonts w:ascii="Times New Roman" w:hAnsi="Times New Roman"/>
          <w:sz w:val="24"/>
        </w:rPr>
      </w:pPr>
    </w:p>
    <w:p w:rsidR="00DB0B34" w:rsidRDefault="00DB0B34" w:rsidP="00194346">
      <w:pPr>
        <w:ind w:left="720"/>
        <w:rPr>
          <w:rFonts w:ascii="Times New Roman" w:hAnsi="Times New Roman"/>
          <w:sz w:val="24"/>
        </w:rPr>
      </w:pPr>
      <w:r>
        <w:rPr>
          <w:sz w:val="24"/>
        </w:rPr>
        <w:t xml:space="preserve">Annual Costs to Respondents (capital/start-up, and operation and maintenance):  The total for the capital and start-up cost components for </w:t>
      </w:r>
      <w:r>
        <w:rPr>
          <w:sz w:val="24"/>
        </w:rPr>
        <w:lastRenderedPageBreak/>
        <w:t>this information collection is zero. This information collection will not require the purchase of any capital equipment nor create any start</w:t>
      </w:r>
      <w:r w:rsidR="000579C6">
        <w:rPr>
          <w:sz w:val="24"/>
        </w:rPr>
        <w:t>-</w:t>
      </w:r>
      <w:r>
        <w:rPr>
          <w:sz w:val="24"/>
        </w:rPr>
        <w:t>up costs</w:t>
      </w:r>
    </w:p>
    <w:p w:rsidR="00DB0B34" w:rsidRDefault="00DB0B34" w:rsidP="00194346">
      <w:pPr>
        <w:ind w:left="720"/>
        <w:rPr>
          <w:rFonts w:ascii="Times New Roman" w:hAnsi="Times New Roman"/>
          <w:sz w:val="24"/>
        </w:rPr>
      </w:pPr>
    </w:p>
    <w:p w:rsidR="00532961" w:rsidRPr="00D75BCF" w:rsidRDefault="00654A18" w:rsidP="00D75BCF">
      <w:pPr>
        <w:pStyle w:val="ListParagraph"/>
        <w:numPr>
          <w:ilvl w:val="0"/>
          <w:numId w:val="8"/>
        </w:numPr>
        <w:tabs>
          <w:tab w:val="left" w:pos="-720"/>
        </w:tabs>
        <w:suppressAutoHyphens/>
        <w:rPr>
          <w:rStyle w:val="a"/>
          <w:rFonts w:ascii="Times New Roman" w:hAnsi="Times New Roman"/>
          <w:sz w:val="24"/>
        </w:rPr>
      </w:pPr>
      <w:r w:rsidRPr="00D75BCF">
        <w:rPr>
          <w:rStyle w:val="a"/>
          <w:rFonts w:ascii="Times New Roman" w:hAnsi="Times New Roman"/>
          <w:sz w:val="24"/>
        </w:rPr>
        <w:t>Provide estimates of annualized cost to the Federal government.  Also, provide a</w:t>
      </w:r>
    </w:p>
    <w:p w:rsidR="00654A18" w:rsidRPr="00926645" w:rsidRDefault="00654A18" w:rsidP="000C472A">
      <w:pPr>
        <w:pStyle w:val="ListParagraph"/>
        <w:tabs>
          <w:tab w:val="left" w:pos="-720"/>
        </w:tabs>
        <w:suppressAutoHyphens/>
        <w:ind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Pr="00926645">
        <w:rPr>
          <w:rStyle w:val="a"/>
          <w:rFonts w:ascii="Times New Roman" w:hAnsi="Times New Roman"/>
          <w:sz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C6092" w:rsidRPr="00926645" w:rsidRDefault="002C6092">
      <w:pPr>
        <w:rPr>
          <w:rFonts w:ascii="Times New Roman" w:hAnsi="Times New Roman"/>
          <w:sz w:val="24"/>
        </w:rPr>
      </w:pPr>
    </w:p>
    <w:p w:rsidR="002C6092" w:rsidRPr="006D266C" w:rsidRDefault="002C6092" w:rsidP="00654A18">
      <w:pPr>
        <w:ind w:left="720"/>
        <w:rPr>
          <w:sz w:val="24"/>
        </w:rPr>
      </w:pPr>
      <w:r w:rsidRPr="006D266C">
        <w:rPr>
          <w:sz w:val="24"/>
        </w:rPr>
        <w:t>The largest portion of the Government's cost is b</w:t>
      </w:r>
      <w:r w:rsidR="00194346" w:rsidRPr="006D266C">
        <w:rPr>
          <w:sz w:val="24"/>
        </w:rPr>
        <w:t xml:space="preserve">orne directly by the Department </w:t>
      </w:r>
      <w:r w:rsidR="00654A18" w:rsidRPr="006D266C">
        <w:rPr>
          <w:sz w:val="24"/>
        </w:rPr>
        <w:t xml:space="preserve">of Education </w:t>
      </w:r>
      <w:r w:rsidRPr="006D266C">
        <w:rPr>
          <w:sz w:val="24"/>
        </w:rPr>
        <w:t>in designing the report form</w:t>
      </w:r>
      <w:r w:rsidR="00591537" w:rsidRPr="006D266C">
        <w:rPr>
          <w:sz w:val="24"/>
        </w:rPr>
        <w:t>,</w:t>
      </w:r>
      <w:r w:rsidRPr="006D266C">
        <w:rPr>
          <w:sz w:val="24"/>
        </w:rPr>
        <w:t xml:space="preserve"> securing clearance</w:t>
      </w:r>
      <w:r w:rsidR="00654A18" w:rsidRPr="006D266C">
        <w:rPr>
          <w:sz w:val="24"/>
        </w:rPr>
        <w:t xml:space="preserve"> of the form, and</w:t>
      </w:r>
      <w:r w:rsidRPr="006D266C">
        <w:rPr>
          <w:sz w:val="24"/>
        </w:rPr>
        <w:t xml:space="preserve"> collecting, aggregating, and disseminating the information.</w:t>
      </w:r>
    </w:p>
    <w:p w:rsidR="00E53C2D" w:rsidRPr="007F0CFA" w:rsidRDefault="00E53C2D" w:rsidP="00E53C2D">
      <w:pPr>
        <w:tabs>
          <w:tab w:val="left" w:pos="-720"/>
        </w:tabs>
        <w:suppressAutoHyphens/>
        <w:ind w:left="1080"/>
        <w:rPr>
          <w:sz w:val="24"/>
        </w:rPr>
      </w:pPr>
    </w:p>
    <w:p w:rsidR="00E53C2D" w:rsidRDefault="00E53C2D" w:rsidP="00E53C2D">
      <w:pPr>
        <w:tabs>
          <w:tab w:val="left" w:pos="-720"/>
        </w:tabs>
        <w:suppressAutoHyphens/>
        <w:ind w:left="1080"/>
        <w:rPr>
          <w:sz w:val="24"/>
        </w:rPr>
      </w:pPr>
    </w:p>
    <w:tbl>
      <w:tblPr>
        <w:tblW w:w="534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8"/>
        <w:gridCol w:w="2219"/>
      </w:tblGrid>
      <w:tr w:rsidR="007F0CFA" w:rsidTr="006D266C">
        <w:trPr>
          <w:trHeight w:val="20"/>
        </w:trPr>
        <w:tc>
          <w:tcPr>
            <w:tcW w:w="3828" w:type="pct"/>
          </w:tcPr>
          <w:p w:rsidR="007F0CFA" w:rsidRPr="00183623" w:rsidRDefault="007F0CFA" w:rsidP="006D266C">
            <w:pPr>
              <w:tabs>
                <w:tab w:val="left" w:pos="-720"/>
              </w:tabs>
              <w:suppressAutoHyphens/>
              <w:ind w:left="70"/>
              <w:rPr>
                <w:sz w:val="24"/>
              </w:rPr>
            </w:pPr>
            <w:r w:rsidRPr="00AB54C4">
              <w:rPr>
                <w:b/>
                <w:bCs/>
                <w:sz w:val="24"/>
              </w:rPr>
              <w:t xml:space="preserve">Cost for </w:t>
            </w:r>
            <w:r>
              <w:rPr>
                <w:b/>
                <w:bCs/>
                <w:sz w:val="24"/>
              </w:rPr>
              <w:t>development and approval of clearance package</w:t>
            </w:r>
          </w:p>
        </w:tc>
        <w:tc>
          <w:tcPr>
            <w:tcW w:w="1172" w:type="pct"/>
          </w:tcPr>
          <w:p w:rsidR="007F0CFA" w:rsidRPr="001E4BAE" w:rsidRDefault="007F0CFA" w:rsidP="00325FF5">
            <w:pPr>
              <w:tabs>
                <w:tab w:val="left" w:pos="-720"/>
              </w:tabs>
              <w:suppressAutoHyphens/>
              <w:rPr>
                <w:sz w:val="24"/>
              </w:rPr>
            </w:pPr>
          </w:p>
        </w:tc>
      </w:tr>
      <w:tr w:rsidR="00020C32" w:rsidTr="006D266C">
        <w:trPr>
          <w:trHeight w:val="20"/>
        </w:trPr>
        <w:tc>
          <w:tcPr>
            <w:tcW w:w="3828" w:type="pct"/>
          </w:tcPr>
          <w:p w:rsidR="00020C32" w:rsidRPr="00183623" w:rsidRDefault="00020C32" w:rsidP="006D266C">
            <w:pPr>
              <w:tabs>
                <w:tab w:val="left" w:pos="-720"/>
              </w:tabs>
              <w:suppressAutoHyphens/>
              <w:ind w:left="70"/>
              <w:rPr>
                <w:sz w:val="24"/>
              </w:rPr>
            </w:pPr>
            <w:r w:rsidRPr="00183623">
              <w:rPr>
                <w:sz w:val="24"/>
              </w:rPr>
              <w:t>Professional staff to develop clearance package (GS-14 employee) 160 h</w:t>
            </w:r>
            <w:r w:rsidR="00A21E56">
              <w:rPr>
                <w:sz w:val="24"/>
              </w:rPr>
              <w:t>ou</w:t>
            </w:r>
            <w:r w:rsidRPr="00183623">
              <w:rPr>
                <w:sz w:val="24"/>
              </w:rPr>
              <w:t xml:space="preserve">rs </w:t>
            </w:r>
            <w:r w:rsidR="00A21E56">
              <w:rPr>
                <w:sz w:val="24"/>
              </w:rPr>
              <w:t xml:space="preserve">x </w:t>
            </w:r>
            <w:r w:rsidRPr="00183623">
              <w:rPr>
                <w:sz w:val="24"/>
              </w:rPr>
              <w:t>$55 per hour</w:t>
            </w:r>
          </w:p>
        </w:tc>
        <w:tc>
          <w:tcPr>
            <w:tcW w:w="1172" w:type="pct"/>
          </w:tcPr>
          <w:p w:rsidR="00020C32" w:rsidRPr="001E4BAE" w:rsidRDefault="00020C32" w:rsidP="00325FF5">
            <w:pPr>
              <w:tabs>
                <w:tab w:val="left" w:pos="-720"/>
              </w:tabs>
              <w:suppressAutoHyphens/>
              <w:rPr>
                <w:sz w:val="24"/>
              </w:rPr>
            </w:pPr>
          </w:p>
          <w:p w:rsidR="00020C32" w:rsidRPr="001E4BAE" w:rsidRDefault="00020C32" w:rsidP="001E4BAE">
            <w:pPr>
              <w:tabs>
                <w:tab w:val="left" w:pos="-720"/>
              </w:tabs>
              <w:suppressAutoHyphens/>
              <w:rPr>
                <w:sz w:val="24"/>
              </w:rPr>
            </w:pPr>
            <w:r w:rsidRPr="001E4BAE">
              <w:rPr>
                <w:sz w:val="24"/>
              </w:rPr>
              <w:t>$8,800</w:t>
            </w:r>
          </w:p>
        </w:tc>
      </w:tr>
      <w:tr w:rsidR="00020C32" w:rsidTr="006D266C">
        <w:trPr>
          <w:trHeight w:val="20"/>
        </w:trPr>
        <w:tc>
          <w:tcPr>
            <w:tcW w:w="3828" w:type="pct"/>
          </w:tcPr>
          <w:p w:rsidR="00020C32" w:rsidRPr="00183623" w:rsidRDefault="00020C32" w:rsidP="006D266C">
            <w:pPr>
              <w:ind w:left="70"/>
              <w:rPr>
                <w:sz w:val="24"/>
              </w:rPr>
            </w:pPr>
            <w:r w:rsidRPr="00183623">
              <w:rPr>
                <w:sz w:val="24"/>
              </w:rPr>
              <w:t>Overhead cost related to facilities, administration, and other indirect cost</w:t>
            </w:r>
            <w:r w:rsidR="000579C6">
              <w:rPr>
                <w:sz w:val="24"/>
              </w:rPr>
              <w:t>s</w:t>
            </w:r>
            <w:r w:rsidRPr="00183623">
              <w:rPr>
                <w:sz w:val="24"/>
              </w:rPr>
              <w:t xml:space="preserve"> plus accrual of leave and fringe benefits @50% salary</w:t>
            </w:r>
          </w:p>
        </w:tc>
        <w:tc>
          <w:tcPr>
            <w:tcW w:w="1172" w:type="pct"/>
          </w:tcPr>
          <w:p w:rsidR="00020C32" w:rsidRPr="001E4BAE" w:rsidRDefault="00020C32" w:rsidP="00325FF5">
            <w:pPr>
              <w:rPr>
                <w:sz w:val="24"/>
              </w:rPr>
            </w:pPr>
          </w:p>
          <w:p w:rsidR="00020C32" w:rsidRPr="001E4BAE" w:rsidRDefault="00020C32" w:rsidP="001E4BAE">
            <w:pPr>
              <w:rPr>
                <w:sz w:val="24"/>
              </w:rPr>
            </w:pPr>
            <w:r w:rsidRPr="001E4BAE">
              <w:rPr>
                <w:sz w:val="24"/>
              </w:rPr>
              <w:t>$4,400</w:t>
            </w:r>
          </w:p>
        </w:tc>
      </w:tr>
      <w:tr w:rsidR="00020C32" w:rsidTr="006D266C">
        <w:trPr>
          <w:trHeight w:val="20"/>
        </w:trPr>
        <w:tc>
          <w:tcPr>
            <w:tcW w:w="3828" w:type="pct"/>
          </w:tcPr>
          <w:p w:rsidR="00020C32" w:rsidRPr="00183623" w:rsidRDefault="00020C32" w:rsidP="006D266C">
            <w:pPr>
              <w:tabs>
                <w:tab w:val="left" w:pos="-720"/>
              </w:tabs>
              <w:suppressAutoHyphens/>
              <w:ind w:left="70"/>
              <w:rPr>
                <w:sz w:val="24"/>
              </w:rPr>
            </w:pPr>
            <w:r w:rsidRPr="00183623">
              <w:rPr>
                <w:sz w:val="24"/>
              </w:rPr>
              <w:t>Other Department staff to review and approve the request</w:t>
            </w:r>
          </w:p>
        </w:tc>
        <w:tc>
          <w:tcPr>
            <w:tcW w:w="1172" w:type="pct"/>
          </w:tcPr>
          <w:p w:rsidR="00020C32" w:rsidRPr="001E4BAE" w:rsidRDefault="00020C32" w:rsidP="00325FF5">
            <w:pPr>
              <w:tabs>
                <w:tab w:val="left" w:pos="-720"/>
              </w:tabs>
              <w:suppressAutoHyphens/>
              <w:rPr>
                <w:sz w:val="24"/>
              </w:rPr>
            </w:pPr>
          </w:p>
        </w:tc>
      </w:tr>
      <w:tr w:rsidR="00020C32" w:rsidTr="006D266C">
        <w:trPr>
          <w:trHeight w:val="20"/>
        </w:trPr>
        <w:tc>
          <w:tcPr>
            <w:tcW w:w="3828" w:type="pct"/>
          </w:tcPr>
          <w:p w:rsidR="00020C32" w:rsidRPr="00183623" w:rsidRDefault="00020C32" w:rsidP="006D266C">
            <w:pPr>
              <w:tabs>
                <w:tab w:val="left" w:pos="-720"/>
              </w:tabs>
              <w:suppressAutoHyphens/>
              <w:ind w:left="70"/>
              <w:rPr>
                <w:sz w:val="24"/>
              </w:rPr>
            </w:pPr>
            <w:r w:rsidRPr="00183623">
              <w:rPr>
                <w:sz w:val="24"/>
              </w:rPr>
              <w:t>GS-15 Employee</w:t>
            </w:r>
          </w:p>
        </w:tc>
        <w:tc>
          <w:tcPr>
            <w:tcW w:w="1172" w:type="pct"/>
          </w:tcPr>
          <w:p w:rsidR="00020C32" w:rsidRPr="001E4BAE" w:rsidRDefault="00020C32" w:rsidP="001E4BAE">
            <w:pPr>
              <w:tabs>
                <w:tab w:val="left" w:pos="-720"/>
              </w:tabs>
              <w:suppressAutoHyphens/>
              <w:rPr>
                <w:sz w:val="24"/>
              </w:rPr>
            </w:pPr>
            <w:r w:rsidRPr="001E4BAE">
              <w:rPr>
                <w:sz w:val="24"/>
              </w:rPr>
              <w:t>$630</w:t>
            </w:r>
          </w:p>
        </w:tc>
      </w:tr>
      <w:tr w:rsidR="00020C32" w:rsidTr="006D266C">
        <w:trPr>
          <w:trHeight w:val="20"/>
        </w:trPr>
        <w:tc>
          <w:tcPr>
            <w:tcW w:w="3828" w:type="pct"/>
          </w:tcPr>
          <w:p w:rsidR="00020C32" w:rsidRPr="00183623" w:rsidRDefault="00020C32" w:rsidP="006D266C">
            <w:pPr>
              <w:ind w:left="70"/>
              <w:rPr>
                <w:sz w:val="24"/>
              </w:rPr>
            </w:pPr>
            <w:r w:rsidRPr="00183623">
              <w:rPr>
                <w:sz w:val="24"/>
              </w:rPr>
              <w:t>OMB Review 8</w:t>
            </w:r>
            <w:r w:rsidR="00A21E56">
              <w:rPr>
                <w:sz w:val="24"/>
              </w:rPr>
              <w:t xml:space="preserve"> </w:t>
            </w:r>
            <w:r w:rsidRPr="00183623">
              <w:rPr>
                <w:sz w:val="24"/>
              </w:rPr>
              <w:t>h</w:t>
            </w:r>
            <w:r w:rsidR="00A21E56">
              <w:rPr>
                <w:sz w:val="24"/>
              </w:rPr>
              <w:t>ou</w:t>
            </w:r>
            <w:r w:rsidRPr="00183623">
              <w:rPr>
                <w:sz w:val="24"/>
              </w:rPr>
              <w:t xml:space="preserve">rs </w:t>
            </w:r>
            <w:r w:rsidR="000579C6">
              <w:rPr>
                <w:sz w:val="24"/>
              </w:rPr>
              <w:t>x</w:t>
            </w:r>
            <w:r w:rsidR="000579C6" w:rsidRPr="00183623">
              <w:rPr>
                <w:sz w:val="24"/>
              </w:rPr>
              <w:t xml:space="preserve"> </w:t>
            </w:r>
            <w:r w:rsidRPr="00183623">
              <w:rPr>
                <w:sz w:val="24"/>
              </w:rPr>
              <w:t>$45 per hour</w:t>
            </w:r>
            <w:r w:rsidR="00A21E56">
              <w:rPr>
                <w:sz w:val="24"/>
              </w:rPr>
              <w:t xml:space="preserve"> </w:t>
            </w:r>
            <w:r w:rsidRPr="00183623">
              <w:rPr>
                <w:sz w:val="24"/>
              </w:rPr>
              <w:t>=</w:t>
            </w:r>
            <w:r w:rsidR="00A21E56">
              <w:rPr>
                <w:sz w:val="24"/>
              </w:rPr>
              <w:t xml:space="preserve"> </w:t>
            </w:r>
            <w:r w:rsidRPr="00183623">
              <w:rPr>
                <w:sz w:val="24"/>
              </w:rPr>
              <w:t>$360 x 50% overhead</w:t>
            </w:r>
            <w:r w:rsidR="00A21E56">
              <w:rPr>
                <w:sz w:val="24"/>
              </w:rPr>
              <w:t xml:space="preserve"> </w:t>
            </w:r>
            <w:r w:rsidRPr="00183623">
              <w:rPr>
                <w:sz w:val="24"/>
              </w:rPr>
              <w:t>=</w:t>
            </w:r>
            <w:r w:rsidR="00A21E56">
              <w:rPr>
                <w:sz w:val="24"/>
              </w:rPr>
              <w:t xml:space="preserve"> </w:t>
            </w:r>
            <w:r w:rsidRPr="00183623">
              <w:rPr>
                <w:sz w:val="24"/>
              </w:rPr>
              <w:t>$180</w:t>
            </w:r>
          </w:p>
        </w:tc>
        <w:tc>
          <w:tcPr>
            <w:tcW w:w="1172" w:type="pct"/>
          </w:tcPr>
          <w:p w:rsidR="00020C32" w:rsidRPr="001E4BAE" w:rsidRDefault="00020C32" w:rsidP="001E4BAE">
            <w:pPr>
              <w:rPr>
                <w:sz w:val="24"/>
              </w:rPr>
            </w:pPr>
            <w:r w:rsidRPr="001E4BAE">
              <w:rPr>
                <w:sz w:val="24"/>
              </w:rPr>
              <w:t>$540</w:t>
            </w:r>
          </w:p>
        </w:tc>
      </w:tr>
      <w:tr w:rsidR="00020C32" w:rsidTr="006D266C">
        <w:trPr>
          <w:trHeight w:val="20"/>
        </w:trPr>
        <w:tc>
          <w:tcPr>
            <w:tcW w:w="3828" w:type="pct"/>
          </w:tcPr>
          <w:p w:rsidR="00020C32" w:rsidRPr="00183623" w:rsidRDefault="00020C32" w:rsidP="006D266C">
            <w:pPr>
              <w:tabs>
                <w:tab w:val="left" w:pos="-720"/>
              </w:tabs>
              <w:suppressAutoHyphens/>
              <w:ind w:left="70"/>
              <w:rPr>
                <w:i/>
                <w:sz w:val="24"/>
              </w:rPr>
            </w:pPr>
            <w:r w:rsidRPr="00183623">
              <w:rPr>
                <w:i/>
                <w:sz w:val="24"/>
              </w:rPr>
              <w:t>Estimated Sub-total</w:t>
            </w:r>
          </w:p>
        </w:tc>
        <w:tc>
          <w:tcPr>
            <w:tcW w:w="1172" w:type="pct"/>
          </w:tcPr>
          <w:p w:rsidR="00020C32" w:rsidRPr="001E4BAE" w:rsidRDefault="00020C32" w:rsidP="001E4BAE">
            <w:pPr>
              <w:tabs>
                <w:tab w:val="left" w:pos="-720"/>
              </w:tabs>
              <w:suppressAutoHyphens/>
              <w:rPr>
                <w:sz w:val="24"/>
              </w:rPr>
            </w:pPr>
            <w:r w:rsidRPr="001E4BAE">
              <w:rPr>
                <w:sz w:val="24"/>
              </w:rPr>
              <w:t>$14,370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tabs>
                <w:tab w:val="left" w:pos="-720"/>
              </w:tabs>
              <w:suppressAutoHyphens/>
              <w:rPr>
                <w:sz w:val="24"/>
              </w:rPr>
            </w:pPr>
            <w:r w:rsidRPr="00AB54C4">
              <w:rPr>
                <w:b/>
                <w:bCs/>
                <w:sz w:val="24"/>
              </w:rPr>
              <w:t>Cost for Federally-supervised review of applications</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autoSpaceDE w:val="0"/>
              <w:autoSpaceDN w:val="0"/>
              <w:rPr>
                <w:sz w:val="24"/>
              </w:rPr>
            </w:pP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F17F38">
            <w:pPr>
              <w:tabs>
                <w:tab w:val="left" w:pos="-720"/>
              </w:tabs>
              <w:suppressAutoHyphens/>
              <w:rPr>
                <w:sz w:val="24"/>
              </w:rPr>
            </w:pPr>
            <w:r w:rsidRPr="00AB54C4">
              <w:rPr>
                <w:sz w:val="24"/>
              </w:rPr>
              <w:t xml:space="preserve">Outside field reviewers – </w:t>
            </w:r>
            <w:r w:rsidR="00F17F38">
              <w:rPr>
                <w:sz w:val="24"/>
              </w:rPr>
              <w:t>50 VUB</w:t>
            </w:r>
            <w:r>
              <w:rPr>
                <w:sz w:val="24"/>
              </w:rPr>
              <w:t xml:space="preserve"> </w:t>
            </w:r>
            <w:r w:rsidRPr="00AB54C4">
              <w:rPr>
                <w:sz w:val="24"/>
              </w:rPr>
              <w:t>readers @ $1,100 each</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F17F38">
            <w:pPr>
              <w:tabs>
                <w:tab w:val="left" w:pos="-720"/>
              </w:tabs>
              <w:suppressAutoHyphens/>
              <w:rPr>
                <w:sz w:val="24"/>
              </w:rPr>
            </w:pPr>
            <w:r w:rsidRPr="00AB54C4">
              <w:rPr>
                <w:sz w:val="24"/>
              </w:rPr>
              <w:t>$</w:t>
            </w:r>
            <w:r w:rsidR="00F17F38">
              <w:rPr>
                <w:sz w:val="24"/>
              </w:rPr>
              <w:t>55,000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t>Processing applications – staff</w:t>
            </w:r>
          </w:p>
          <w:p w:rsidR="00E53C2D" w:rsidRPr="00AB54C4" w:rsidRDefault="00E53C2D" w:rsidP="00325FF5">
            <w:pPr>
              <w:rPr>
                <w:sz w:val="24"/>
              </w:rPr>
            </w:pPr>
            <w:r w:rsidRPr="00AB54C4">
              <w:rPr>
                <w:sz w:val="24"/>
              </w:rPr>
              <w:t>(</w:t>
            </w:r>
            <w:r w:rsidR="00F17F38">
              <w:rPr>
                <w:sz w:val="24"/>
              </w:rPr>
              <w:t>6</w:t>
            </w:r>
            <w:r w:rsidRPr="00AB54C4">
              <w:rPr>
                <w:sz w:val="24"/>
              </w:rPr>
              <w:t xml:space="preserve"> staff x 40 hours x $48 per hour</w:t>
            </w:r>
            <w:r w:rsidR="00A21E56">
              <w:rPr>
                <w:sz w:val="24"/>
              </w:rPr>
              <w:t xml:space="preserve"> </w:t>
            </w:r>
            <w:r w:rsidRPr="00AB54C4">
              <w:rPr>
                <w:sz w:val="24"/>
              </w:rPr>
              <w:t>=</w:t>
            </w:r>
            <w:r w:rsidR="00A21E56">
              <w:rPr>
                <w:sz w:val="24"/>
              </w:rPr>
              <w:t xml:space="preserve"> </w:t>
            </w:r>
            <w:r w:rsidRPr="00AB54C4">
              <w:rPr>
                <w:sz w:val="24"/>
              </w:rPr>
              <w:t>$</w:t>
            </w:r>
            <w:r w:rsidR="00F17F38">
              <w:rPr>
                <w:sz w:val="24"/>
              </w:rPr>
              <w:t>11,520</w:t>
            </w:r>
            <w:r w:rsidRPr="00AB54C4">
              <w:rPr>
                <w:sz w:val="24"/>
              </w:rPr>
              <w:t>)</w:t>
            </w:r>
          </w:p>
          <w:p w:rsidR="00E53C2D" w:rsidRPr="00AB54C4" w:rsidRDefault="00E53C2D" w:rsidP="00F17F38">
            <w:pPr>
              <w:rPr>
                <w:sz w:val="24"/>
              </w:rPr>
            </w:pPr>
            <w:r w:rsidRPr="00AB54C4">
              <w:rPr>
                <w:sz w:val="24"/>
              </w:rPr>
              <w:t>(Overhead cost: $</w:t>
            </w:r>
            <w:r w:rsidR="00107E99">
              <w:rPr>
                <w:sz w:val="24"/>
              </w:rPr>
              <w:t xml:space="preserve">11,520 </w:t>
            </w:r>
            <w:r w:rsidRPr="00AB54C4">
              <w:rPr>
                <w:sz w:val="24"/>
              </w:rPr>
              <w:t>x 50 percent = $</w:t>
            </w:r>
            <w:r w:rsidR="00F17F38">
              <w:rPr>
                <w:sz w:val="24"/>
              </w:rPr>
              <w:t>5</w:t>
            </w:r>
            <w:r w:rsidR="00107E99">
              <w:rPr>
                <w:sz w:val="24"/>
              </w:rPr>
              <w:t>,</w:t>
            </w:r>
            <w:r w:rsidR="00F17F38">
              <w:rPr>
                <w:sz w:val="24"/>
              </w:rPr>
              <w:t>760</w:t>
            </w:r>
            <w:r w:rsidRPr="00AB54C4">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F17F38">
            <w:pPr>
              <w:tabs>
                <w:tab w:val="left" w:pos="-720"/>
              </w:tabs>
              <w:suppressAutoHyphens/>
              <w:rPr>
                <w:sz w:val="24"/>
              </w:rPr>
            </w:pPr>
            <w:r>
              <w:rPr>
                <w:sz w:val="24"/>
              </w:rPr>
              <w:t>$</w:t>
            </w:r>
            <w:r w:rsidR="00F17F38">
              <w:rPr>
                <w:sz w:val="24"/>
              </w:rPr>
              <w:t>17,280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F17F38">
            <w:pPr>
              <w:tabs>
                <w:tab w:val="left" w:pos="-720"/>
              </w:tabs>
              <w:suppressAutoHyphens/>
              <w:rPr>
                <w:sz w:val="24"/>
              </w:rPr>
            </w:pPr>
            <w:r w:rsidRPr="00AB54C4">
              <w:rPr>
                <w:sz w:val="24"/>
              </w:rPr>
              <w:t xml:space="preserve">Contractor logistical support for workshops, </w:t>
            </w:r>
            <w:r w:rsidR="000579C6">
              <w:rPr>
                <w:sz w:val="24"/>
              </w:rPr>
              <w:t>archiving</w:t>
            </w:r>
            <w:r w:rsidR="000579C6" w:rsidRPr="00AB54C4">
              <w:rPr>
                <w:sz w:val="24"/>
              </w:rPr>
              <w:t xml:space="preserve"> </w:t>
            </w:r>
            <w:r w:rsidRPr="00AB54C4">
              <w:rPr>
                <w:sz w:val="24"/>
              </w:rPr>
              <w:t>prior unfunded applications, application processing, field reading and slate preparation (</w:t>
            </w:r>
            <w:r w:rsidR="00F17F38">
              <w:rPr>
                <w:sz w:val="24"/>
              </w:rPr>
              <w:t>2</w:t>
            </w:r>
            <w:r w:rsidRPr="00AB54C4">
              <w:rPr>
                <w:sz w:val="24"/>
              </w:rPr>
              <w:t xml:space="preserve"> weeks-reading)</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D81A66">
            <w:pPr>
              <w:tabs>
                <w:tab w:val="left" w:pos="-720"/>
              </w:tabs>
              <w:suppressAutoHyphens/>
              <w:rPr>
                <w:sz w:val="24"/>
              </w:rPr>
            </w:pPr>
            <w:r w:rsidRPr="00AB54C4">
              <w:rPr>
                <w:sz w:val="24"/>
              </w:rPr>
              <w:t>$</w:t>
            </w:r>
            <w:r w:rsidR="00D81A66">
              <w:rPr>
                <w:sz w:val="24"/>
              </w:rPr>
              <w:t>250,000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9A6D3B" w:rsidRDefault="00E53C2D" w:rsidP="00325FF5">
            <w:pPr>
              <w:rPr>
                <w:sz w:val="24"/>
              </w:rPr>
            </w:pPr>
            <w:r w:rsidRPr="009A6D3B">
              <w:rPr>
                <w:sz w:val="24"/>
              </w:rPr>
              <w:t>Staff time for conducting supervised review</w:t>
            </w:r>
          </w:p>
          <w:p w:rsidR="00E53C2D" w:rsidRPr="009A6D3B" w:rsidRDefault="00E53C2D" w:rsidP="00325FF5">
            <w:pPr>
              <w:rPr>
                <w:sz w:val="24"/>
              </w:rPr>
            </w:pPr>
            <w:r>
              <w:rPr>
                <w:sz w:val="24"/>
              </w:rPr>
              <w:t>(</w:t>
            </w:r>
            <w:r w:rsidR="00413B2D">
              <w:rPr>
                <w:sz w:val="24"/>
              </w:rPr>
              <w:t>2</w:t>
            </w:r>
            <w:r>
              <w:rPr>
                <w:sz w:val="24"/>
              </w:rPr>
              <w:t xml:space="preserve"> weeks x </w:t>
            </w:r>
            <w:r w:rsidR="00D41E6C">
              <w:rPr>
                <w:sz w:val="24"/>
              </w:rPr>
              <w:t xml:space="preserve">5 </w:t>
            </w:r>
            <w:r>
              <w:rPr>
                <w:sz w:val="24"/>
              </w:rPr>
              <w:t xml:space="preserve">control reviews, and </w:t>
            </w:r>
            <w:r w:rsidR="00F17F38">
              <w:rPr>
                <w:sz w:val="24"/>
              </w:rPr>
              <w:t>14</w:t>
            </w:r>
            <w:r w:rsidRPr="009A6D3B">
              <w:rPr>
                <w:sz w:val="24"/>
              </w:rPr>
              <w:t xml:space="preserve"> panel chairpersons)</w:t>
            </w:r>
          </w:p>
          <w:p w:rsidR="00E53C2D" w:rsidRPr="009A6D3B" w:rsidRDefault="00E53C2D" w:rsidP="00325FF5">
            <w:pPr>
              <w:rPr>
                <w:sz w:val="24"/>
              </w:rPr>
            </w:pPr>
            <w:r>
              <w:rPr>
                <w:sz w:val="24"/>
              </w:rPr>
              <w:t>(</w:t>
            </w:r>
            <w:r w:rsidR="00F17F38">
              <w:rPr>
                <w:sz w:val="24"/>
              </w:rPr>
              <w:t>19</w:t>
            </w:r>
            <w:r>
              <w:rPr>
                <w:sz w:val="24"/>
              </w:rPr>
              <w:t xml:space="preserve"> staff x </w:t>
            </w:r>
            <w:r w:rsidR="00D41E6C">
              <w:rPr>
                <w:sz w:val="24"/>
              </w:rPr>
              <w:t>80</w:t>
            </w:r>
            <w:r w:rsidRPr="009A6D3B">
              <w:rPr>
                <w:sz w:val="24"/>
              </w:rPr>
              <w:t xml:space="preserve"> hours x $48 per hour</w:t>
            </w:r>
            <w:r w:rsidR="00A21E56">
              <w:rPr>
                <w:sz w:val="24"/>
              </w:rPr>
              <w:t xml:space="preserve"> </w:t>
            </w:r>
            <w:r w:rsidRPr="009A6D3B">
              <w:rPr>
                <w:sz w:val="24"/>
              </w:rPr>
              <w:t>=</w:t>
            </w:r>
            <w:r w:rsidR="00A21E56">
              <w:rPr>
                <w:sz w:val="24"/>
              </w:rPr>
              <w:t xml:space="preserve"> </w:t>
            </w:r>
            <w:r w:rsidRPr="009A6D3B">
              <w:rPr>
                <w:sz w:val="24"/>
              </w:rPr>
              <w:t>$</w:t>
            </w:r>
            <w:r w:rsidR="00F17F38">
              <w:rPr>
                <w:sz w:val="24"/>
              </w:rPr>
              <w:t>72,960</w:t>
            </w:r>
            <w:r w:rsidRPr="009A6D3B">
              <w:rPr>
                <w:sz w:val="24"/>
              </w:rPr>
              <w:t>)</w:t>
            </w:r>
          </w:p>
          <w:p w:rsidR="00E53C2D" w:rsidRPr="00AB54C4" w:rsidRDefault="00E53C2D" w:rsidP="00F17F38">
            <w:pPr>
              <w:rPr>
                <w:sz w:val="24"/>
              </w:rPr>
            </w:pPr>
            <w:r w:rsidRPr="009A6D3B">
              <w:rPr>
                <w:sz w:val="24"/>
              </w:rPr>
              <w:t>(Overhead cost: $</w:t>
            </w:r>
            <w:r w:rsidR="00F17F38">
              <w:rPr>
                <w:sz w:val="24"/>
              </w:rPr>
              <w:t>72,960</w:t>
            </w:r>
            <w:r w:rsidR="000579C6">
              <w:rPr>
                <w:sz w:val="24"/>
              </w:rPr>
              <w:t xml:space="preserve"> </w:t>
            </w:r>
            <w:r w:rsidRPr="009A6D3B">
              <w:rPr>
                <w:sz w:val="24"/>
              </w:rPr>
              <w:t>x 50 percent</w:t>
            </w:r>
            <w:r w:rsidR="00A21E56">
              <w:rPr>
                <w:sz w:val="24"/>
              </w:rPr>
              <w:t xml:space="preserve"> </w:t>
            </w:r>
            <w:r w:rsidRPr="009A6D3B">
              <w:rPr>
                <w:sz w:val="24"/>
              </w:rPr>
              <w:t>=</w:t>
            </w:r>
            <w:r w:rsidR="00A21E56">
              <w:rPr>
                <w:sz w:val="24"/>
              </w:rPr>
              <w:t xml:space="preserve"> </w:t>
            </w:r>
            <w:r w:rsidRPr="009A6D3B">
              <w:rPr>
                <w:sz w:val="24"/>
              </w:rPr>
              <w:t>$</w:t>
            </w:r>
            <w:r w:rsidR="00F17F38">
              <w:rPr>
                <w:sz w:val="24"/>
              </w:rPr>
              <w:t>36,480</w:t>
            </w:r>
            <w:r w:rsidRPr="009A6D3B">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F17F38">
            <w:pPr>
              <w:tabs>
                <w:tab w:val="left" w:pos="-720"/>
              </w:tabs>
              <w:suppressAutoHyphens/>
              <w:rPr>
                <w:sz w:val="24"/>
              </w:rPr>
            </w:pPr>
            <w:r w:rsidRPr="00AB54C4">
              <w:rPr>
                <w:sz w:val="24"/>
              </w:rPr>
              <w:t>$</w:t>
            </w:r>
            <w:r w:rsidR="00F17F38">
              <w:rPr>
                <w:sz w:val="24"/>
              </w:rPr>
              <w:t>109,440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t>Staff time for generating slate</w:t>
            </w:r>
          </w:p>
          <w:p w:rsidR="00E53C2D" w:rsidRPr="00AB54C4" w:rsidRDefault="00E53C2D" w:rsidP="00325FF5">
            <w:pPr>
              <w:rPr>
                <w:sz w:val="24"/>
              </w:rPr>
            </w:pPr>
            <w:r w:rsidRPr="00AB54C4">
              <w:rPr>
                <w:sz w:val="24"/>
              </w:rPr>
              <w:t>(3 staff x 40 hours</w:t>
            </w:r>
            <w:r w:rsidR="000579C6">
              <w:rPr>
                <w:sz w:val="24"/>
              </w:rPr>
              <w:t xml:space="preserve"> </w:t>
            </w:r>
            <w:r w:rsidR="000579C6" w:rsidRPr="009A6D3B">
              <w:rPr>
                <w:sz w:val="24"/>
              </w:rPr>
              <w:t>x $48 per hour</w:t>
            </w:r>
            <w:r w:rsidR="00A21E56">
              <w:rPr>
                <w:sz w:val="24"/>
              </w:rPr>
              <w:t xml:space="preserve"> </w:t>
            </w:r>
            <w:r w:rsidRPr="00AB54C4">
              <w:rPr>
                <w:sz w:val="24"/>
              </w:rPr>
              <w:t>=</w:t>
            </w:r>
            <w:r w:rsidR="00A21E56">
              <w:rPr>
                <w:sz w:val="24"/>
              </w:rPr>
              <w:t xml:space="preserve"> </w:t>
            </w:r>
            <w:r w:rsidRPr="00AB54C4">
              <w:rPr>
                <w:sz w:val="24"/>
              </w:rPr>
              <w:t>$5,760)</w:t>
            </w:r>
          </w:p>
          <w:p w:rsidR="00E53C2D" w:rsidRPr="00AB54C4" w:rsidRDefault="00E53C2D" w:rsidP="00325FF5">
            <w:pPr>
              <w:rPr>
                <w:sz w:val="24"/>
              </w:rPr>
            </w:pPr>
            <w:r w:rsidRPr="00AB54C4">
              <w:rPr>
                <w:sz w:val="24"/>
              </w:rPr>
              <w:t>(Overhead cost: $5,760 x 50 percent = $2,880)</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rPr>
                <w:sz w:val="24"/>
              </w:rPr>
            </w:pPr>
          </w:p>
          <w:p w:rsidR="00E53C2D" w:rsidRPr="00AB54C4" w:rsidRDefault="00E53C2D" w:rsidP="00325FF5">
            <w:pPr>
              <w:rPr>
                <w:sz w:val="24"/>
              </w:rPr>
            </w:pPr>
          </w:p>
          <w:p w:rsidR="00E53C2D" w:rsidRPr="00AB54C4" w:rsidRDefault="00E53C2D" w:rsidP="00325FF5">
            <w:pPr>
              <w:rPr>
                <w:sz w:val="24"/>
              </w:rPr>
            </w:pPr>
            <w:r w:rsidRPr="00AB54C4">
              <w:rPr>
                <w:sz w:val="24"/>
              </w:rPr>
              <w:t>$8,640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lastRenderedPageBreak/>
              <w:t>Staff time to review and approve funding recommendations</w:t>
            </w:r>
          </w:p>
          <w:p w:rsidR="00E53C2D" w:rsidRPr="00AB54C4" w:rsidRDefault="00E53C2D" w:rsidP="00325FF5">
            <w:pPr>
              <w:rPr>
                <w:sz w:val="24"/>
              </w:rPr>
            </w:pPr>
            <w:r>
              <w:rPr>
                <w:sz w:val="24"/>
              </w:rPr>
              <w:t>(</w:t>
            </w:r>
            <w:r w:rsidR="00F17F38">
              <w:rPr>
                <w:sz w:val="24"/>
              </w:rPr>
              <w:t>49</w:t>
            </w:r>
            <w:r w:rsidRPr="00AB54C4">
              <w:rPr>
                <w:sz w:val="24"/>
              </w:rPr>
              <w:t xml:space="preserve"> awards x 4 hours per award x $48 per hour = $</w:t>
            </w:r>
            <w:r w:rsidR="00F17F38">
              <w:rPr>
                <w:sz w:val="24"/>
              </w:rPr>
              <w:t>9,408</w:t>
            </w:r>
            <w:r w:rsidR="000579C6">
              <w:rPr>
                <w:sz w:val="24"/>
              </w:rPr>
              <w:t>)</w:t>
            </w:r>
          </w:p>
          <w:p w:rsidR="00E53C2D" w:rsidRPr="00AB54C4" w:rsidRDefault="00E53C2D" w:rsidP="00F17F38">
            <w:pPr>
              <w:rPr>
                <w:sz w:val="24"/>
              </w:rPr>
            </w:pPr>
            <w:r>
              <w:rPr>
                <w:sz w:val="24"/>
              </w:rPr>
              <w:t>(Overhead cost: $</w:t>
            </w:r>
            <w:r w:rsidR="00F17F38">
              <w:rPr>
                <w:sz w:val="24"/>
              </w:rPr>
              <w:t>9,408</w:t>
            </w:r>
            <w:r w:rsidR="000579C6">
              <w:rPr>
                <w:sz w:val="24"/>
              </w:rPr>
              <w:t xml:space="preserve"> </w:t>
            </w:r>
            <w:r w:rsidRPr="00AB54C4">
              <w:rPr>
                <w:sz w:val="24"/>
              </w:rPr>
              <w:t>x 50 percent = $</w:t>
            </w:r>
            <w:r w:rsidR="00F17F38">
              <w:rPr>
                <w:sz w:val="24"/>
              </w:rPr>
              <w:t>4,704</w:t>
            </w:r>
            <w:r w:rsidRPr="00AB54C4">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F17F38">
            <w:pPr>
              <w:tabs>
                <w:tab w:val="left" w:pos="-720"/>
              </w:tabs>
              <w:suppressAutoHyphens/>
              <w:rPr>
                <w:sz w:val="24"/>
              </w:rPr>
            </w:pPr>
            <w:r w:rsidRPr="00AB54C4">
              <w:rPr>
                <w:sz w:val="24"/>
              </w:rPr>
              <w:t>$</w:t>
            </w:r>
            <w:r w:rsidR="00F17F38">
              <w:rPr>
                <w:sz w:val="24"/>
              </w:rPr>
              <w:t>14,112</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t>Staff time to generate, approve, and issue grant awards</w:t>
            </w:r>
          </w:p>
          <w:p w:rsidR="00E53C2D" w:rsidRPr="00AB54C4" w:rsidRDefault="00E53C2D" w:rsidP="00325FF5">
            <w:pPr>
              <w:rPr>
                <w:sz w:val="24"/>
              </w:rPr>
            </w:pPr>
            <w:r>
              <w:rPr>
                <w:sz w:val="24"/>
              </w:rPr>
              <w:t>(</w:t>
            </w:r>
            <w:r w:rsidR="00F17F38">
              <w:rPr>
                <w:sz w:val="24"/>
              </w:rPr>
              <w:t>49</w:t>
            </w:r>
            <w:r w:rsidR="007F0CFA">
              <w:rPr>
                <w:sz w:val="24"/>
              </w:rPr>
              <w:t xml:space="preserve"> awards x 6 hours per award x </w:t>
            </w:r>
            <w:r>
              <w:rPr>
                <w:sz w:val="24"/>
              </w:rPr>
              <w:t>$48 per h</w:t>
            </w:r>
            <w:r w:rsidR="007F0CFA">
              <w:rPr>
                <w:sz w:val="24"/>
              </w:rPr>
              <w:t>ou</w:t>
            </w:r>
            <w:r>
              <w:rPr>
                <w:sz w:val="24"/>
              </w:rPr>
              <w:t>r</w:t>
            </w:r>
            <w:r w:rsidRPr="00AB54C4">
              <w:rPr>
                <w:sz w:val="24"/>
              </w:rPr>
              <w:t xml:space="preserve"> = $</w:t>
            </w:r>
            <w:r w:rsidR="007A2E41">
              <w:rPr>
                <w:sz w:val="24"/>
              </w:rPr>
              <w:t>14,112</w:t>
            </w:r>
            <w:r w:rsidR="00020C32">
              <w:rPr>
                <w:sz w:val="24"/>
              </w:rPr>
              <w:t>)</w:t>
            </w:r>
          </w:p>
          <w:p w:rsidR="00E53C2D" w:rsidRPr="00AB54C4" w:rsidRDefault="00E53C2D" w:rsidP="007A2E41">
            <w:pPr>
              <w:rPr>
                <w:sz w:val="24"/>
              </w:rPr>
            </w:pPr>
            <w:r w:rsidRPr="00AB54C4">
              <w:rPr>
                <w:sz w:val="24"/>
              </w:rPr>
              <w:t>(Overhead cost: $</w:t>
            </w:r>
            <w:r w:rsidR="007A2E41">
              <w:rPr>
                <w:sz w:val="24"/>
              </w:rPr>
              <w:t>14,112</w:t>
            </w:r>
            <w:r w:rsidRPr="00AB54C4">
              <w:rPr>
                <w:sz w:val="24"/>
              </w:rPr>
              <w:t xml:space="preserve"> x 50 percent = $</w:t>
            </w:r>
            <w:r w:rsidR="007A2E41">
              <w:rPr>
                <w:sz w:val="24"/>
              </w:rPr>
              <w:t>7,056</w:t>
            </w:r>
            <w:r w:rsidRPr="00AB54C4">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7A2E41">
            <w:pPr>
              <w:tabs>
                <w:tab w:val="left" w:pos="-720"/>
              </w:tabs>
              <w:suppressAutoHyphens/>
              <w:rPr>
                <w:sz w:val="24"/>
              </w:rPr>
            </w:pPr>
            <w:r w:rsidRPr="00AB54C4">
              <w:rPr>
                <w:sz w:val="24"/>
              </w:rPr>
              <w:t>$</w:t>
            </w:r>
            <w:r w:rsidR="007A2E41">
              <w:rPr>
                <w:sz w:val="24"/>
              </w:rPr>
              <w:t>21,168</w:t>
            </w:r>
          </w:p>
        </w:tc>
      </w:tr>
      <w:tr w:rsidR="007F0CFA"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7F0CFA" w:rsidRPr="00AB54C4" w:rsidRDefault="007F0CFA" w:rsidP="00325FF5">
            <w:pPr>
              <w:tabs>
                <w:tab w:val="left" w:pos="-720"/>
              </w:tabs>
              <w:suppressAutoHyphens/>
              <w:rPr>
                <w:i/>
                <w:iCs/>
                <w:sz w:val="24"/>
              </w:rPr>
            </w:pPr>
            <w:r w:rsidRPr="00183623">
              <w:rPr>
                <w:i/>
                <w:sz w:val="24"/>
              </w:rPr>
              <w:t>Estimated Sub-total</w:t>
            </w:r>
          </w:p>
        </w:tc>
        <w:tc>
          <w:tcPr>
            <w:tcW w:w="1172" w:type="pct"/>
            <w:tcBorders>
              <w:top w:val="single" w:sz="8" w:space="0" w:color="000000"/>
              <w:left w:val="single" w:sz="8" w:space="0" w:color="000000"/>
              <w:bottom w:val="single" w:sz="8" w:space="0" w:color="000000"/>
              <w:right w:val="single" w:sz="8" w:space="0" w:color="000000"/>
            </w:tcBorders>
          </w:tcPr>
          <w:p w:rsidR="007F0CFA" w:rsidRPr="00AB54C4" w:rsidRDefault="007F0CFA" w:rsidP="00D81A66">
            <w:pPr>
              <w:tabs>
                <w:tab w:val="left" w:pos="-720"/>
              </w:tabs>
              <w:suppressAutoHyphens/>
              <w:rPr>
                <w:sz w:val="24"/>
              </w:rPr>
            </w:pPr>
            <w:r w:rsidRPr="00AB54C4">
              <w:rPr>
                <w:sz w:val="24"/>
              </w:rPr>
              <w:t>$</w:t>
            </w:r>
            <w:r w:rsidR="00D81A66">
              <w:rPr>
                <w:sz w:val="24"/>
              </w:rPr>
              <w:t>475,640</w:t>
            </w:r>
          </w:p>
        </w:tc>
      </w:tr>
      <w:tr w:rsidR="007F0CFA"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7F0CFA" w:rsidRPr="006D266C" w:rsidRDefault="007F0CFA" w:rsidP="00325FF5">
            <w:pPr>
              <w:tabs>
                <w:tab w:val="left" w:pos="-720"/>
              </w:tabs>
              <w:suppressAutoHyphens/>
              <w:rPr>
                <w:b/>
                <w:sz w:val="24"/>
              </w:rPr>
            </w:pPr>
            <w:r w:rsidRPr="006D266C">
              <w:rPr>
                <w:b/>
                <w:iCs/>
                <w:sz w:val="24"/>
              </w:rPr>
              <w:t>Total estimated cost to government (competitive year)</w:t>
            </w:r>
          </w:p>
        </w:tc>
        <w:tc>
          <w:tcPr>
            <w:tcW w:w="1172" w:type="pct"/>
            <w:tcBorders>
              <w:top w:val="single" w:sz="8" w:space="0" w:color="000000"/>
              <w:left w:val="single" w:sz="8" w:space="0" w:color="000000"/>
              <w:bottom w:val="single" w:sz="8" w:space="0" w:color="000000"/>
              <w:right w:val="single" w:sz="8" w:space="0" w:color="000000"/>
            </w:tcBorders>
          </w:tcPr>
          <w:p w:rsidR="007F0CFA" w:rsidRPr="00AB54C4" w:rsidRDefault="007F0CFA" w:rsidP="007A2E41">
            <w:pPr>
              <w:tabs>
                <w:tab w:val="left" w:pos="-720"/>
              </w:tabs>
              <w:suppressAutoHyphens/>
              <w:rPr>
                <w:sz w:val="24"/>
              </w:rPr>
            </w:pPr>
            <w:r w:rsidRPr="00AB54C4">
              <w:rPr>
                <w:sz w:val="24"/>
              </w:rPr>
              <w:t>$</w:t>
            </w:r>
            <w:r w:rsidR="00D81A66">
              <w:rPr>
                <w:sz w:val="24"/>
              </w:rPr>
              <w:t>490,010</w:t>
            </w:r>
          </w:p>
        </w:tc>
      </w:tr>
    </w:tbl>
    <w:p w:rsidR="00E53C2D" w:rsidRDefault="00E53C2D" w:rsidP="00E53C2D">
      <w:pPr>
        <w:autoSpaceDE w:val="0"/>
        <w:autoSpaceDN w:val="0"/>
        <w:rPr>
          <w:sz w:val="24"/>
        </w:rPr>
      </w:pPr>
    </w:p>
    <w:p w:rsidR="00654A18" w:rsidRPr="00926645" w:rsidRDefault="002C6092" w:rsidP="000C472A">
      <w:pPr>
        <w:ind w:left="720" w:hanging="720"/>
        <w:rPr>
          <w:rFonts w:ascii="Times New Roman" w:hAnsi="Times New Roman"/>
          <w:sz w:val="24"/>
        </w:rPr>
      </w:pPr>
      <w:r w:rsidRPr="00926645">
        <w:rPr>
          <w:rFonts w:ascii="Times New Roman" w:hAnsi="Times New Roman"/>
          <w:sz w:val="24"/>
        </w:rPr>
        <w:t xml:space="preserve">15.  </w:t>
      </w:r>
      <w:r w:rsidR="000C472A">
        <w:rPr>
          <w:rFonts w:ascii="Times New Roman" w:hAnsi="Times New Roman"/>
          <w:sz w:val="24"/>
        </w:rPr>
        <w:tab/>
      </w:r>
      <w:r w:rsidR="00532961" w:rsidRPr="00926645">
        <w:rPr>
          <w:rFonts w:ascii="Times New Roman" w:hAnsi="Times New Roman"/>
          <w:sz w:val="24"/>
        </w:rPr>
        <w:t>Explain the reasons for any program changes or adjustments. Generally, adjustments in burden result from re-estimating burden and/or from economic phenomenon</w:t>
      </w:r>
      <w:r w:rsidR="00FE11C6">
        <w:rPr>
          <w:rFonts w:ascii="Times New Roman" w:hAnsi="Times New Roman"/>
          <w:sz w:val="24"/>
        </w:rPr>
        <w:t xml:space="preserve"> </w:t>
      </w:r>
      <w:r w:rsidR="00532961" w:rsidRPr="00926645">
        <w:rPr>
          <w:rFonts w:ascii="Times New Roman" w:hAnsi="Times New Roman"/>
          <w:sz w:val="24"/>
        </w:rPr>
        <w:t>outside of an agency’s control (e.g., correcting a burden estimate or an organic increase in the size of the reporting universe). Program changes result from a deliberate action that materially changes</w:t>
      </w:r>
      <w:r w:rsidR="00FE11C6">
        <w:rPr>
          <w:rFonts w:ascii="Times New Roman" w:hAnsi="Times New Roman"/>
          <w:sz w:val="24"/>
        </w:rPr>
        <w:t xml:space="preserve"> </w:t>
      </w:r>
      <w:r w:rsidR="00532961" w:rsidRPr="00926645">
        <w:rPr>
          <w:rFonts w:ascii="Times New Roman" w:hAnsi="Times New Roman"/>
          <w:sz w:val="24"/>
        </w:rPr>
        <w:t xml:space="preserve">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w:t>
      </w:r>
      <w:r w:rsidR="001252CD">
        <w:rPr>
          <w:rFonts w:ascii="Times New Roman" w:hAnsi="Times New Roman"/>
          <w:sz w:val="24"/>
        </w:rPr>
        <w:t>(</w:t>
      </w:r>
      <w:r w:rsidR="00532961" w:rsidRPr="00926645">
        <w:rPr>
          <w:rFonts w:ascii="Times New Roman" w:hAnsi="Times New Roman"/>
          <w:sz w:val="24"/>
        </w:rPr>
        <w:t>if applicable).</w:t>
      </w:r>
    </w:p>
    <w:p w:rsidR="00654A18" w:rsidRPr="00926645" w:rsidRDefault="00654A18">
      <w:pPr>
        <w:rPr>
          <w:rFonts w:ascii="Times New Roman" w:hAnsi="Times New Roman"/>
          <w:sz w:val="24"/>
        </w:rPr>
      </w:pPr>
    </w:p>
    <w:p w:rsidR="00DB0B34" w:rsidRDefault="00DB0B34" w:rsidP="00DB0B34">
      <w:pPr>
        <w:tabs>
          <w:tab w:val="left" w:pos="270"/>
        </w:tabs>
        <w:suppressAutoHyphens/>
        <w:ind w:left="720" w:hanging="360"/>
        <w:rPr>
          <w:sz w:val="24"/>
        </w:rPr>
      </w:pPr>
      <w:r>
        <w:rPr>
          <w:sz w:val="24"/>
        </w:rPr>
        <w:tab/>
      </w:r>
      <w:r w:rsidR="00183623">
        <w:rPr>
          <w:sz w:val="24"/>
        </w:rPr>
        <w:t>The collection package is a reinstatement, with</w:t>
      </w:r>
      <w:r w:rsidR="00615D1E">
        <w:rPr>
          <w:sz w:val="24"/>
        </w:rPr>
        <w:t xml:space="preserve"> </w:t>
      </w:r>
      <w:r w:rsidR="00183623">
        <w:rPr>
          <w:sz w:val="24"/>
        </w:rPr>
        <w:t xml:space="preserve">change.  Previously used priorities have been removed and a new </w:t>
      </w:r>
      <w:r w:rsidR="00A46BFD">
        <w:rPr>
          <w:sz w:val="24"/>
        </w:rPr>
        <w:t>evidence-based standard has</w:t>
      </w:r>
      <w:r w:rsidR="00183623">
        <w:rPr>
          <w:sz w:val="24"/>
        </w:rPr>
        <w:t xml:space="preserve"> been added in anticipation of the FY 2017 competition.</w:t>
      </w:r>
    </w:p>
    <w:p w:rsidR="002C6092" w:rsidRPr="00926645" w:rsidRDefault="002C6092">
      <w:pPr>
        <w:rPr>
          <w:rFonts w:ascii="Times New Roman" w:hAnsi="Times New Roman"/>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16.  </w:t>
      </w:r>
      <w:r w:rsidR="000C472A">
        <w:rPr>
          <w:rFonts w:ascii="Times New Roman" w:hAnsi="Times New Roman"/>
          <w:sz w:val="24"/>
        </w:rPr>
        <w:tab/>
      </w:r>
      <w:r w:rsidR="00EB752C" w:rsidRPr="00926645">
        <w:rPr>
          <w:rStyle w:val="a"/>
          <w:rFonts w:ascii="Times New Roman" w:hAnsi="Times New Roman"/>
          <w:sz w:val="24"/>
        </w:rPr>
        <w:t xml:space="preserve">For collections of information whose results will be published, outline plans for </w:t>
      </w:r>
      <w:r w:rsidR="00532961" w:rsidRPr="00926645">
        <w:rPr>
          <w:rStyle w:val="a"/>
          <w:rFonts w:ascii="Times New Roman" w:hAnsi="Times New Roman"/>
          <w:sz w:val="24"/>
        </w:rPr>
        <w:t xml:space="preserve">    </w:t>
      </w:r>
      <w:r w:rsidR="00EB752C" w:rsidRPr="00926645">
        <w:rPr>
          <w:rStyle w:val="a"/>
          <w:rFonts w:ascii="Times New Roman" w:hAnsi="Times New Roman"/>
          <w:sz w:val="24"/>
        </w:rPr>
        <w:t xml:space="preserve">tabulation and publication.  Address any complex analytical techniques that will be used.  Provide the time schedule for the entire project, including beginning and </w:t>
      </w:r>
    </w:p>
    <w:p w:rsidR="00EB752C"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EB752C" w:rsidRPr="00926645">
        <w:rPr>
          <w:rStyle w:val="a"/>
          <w:rFonts w:ascii="Times New Roman" w:hAnsi="Times New Roman"/>
          <w:sz w:val="24"/>
        </w:rPr>
        <w:t>ending dates of the collection of information, completion of report, publication dates,</w:t>
      </w:r>
      <w:r w:rsidRPr="00926645">
        <w:rPr>
          <w:rStyle w:val="a"/>
          <w:rFonts w:ascii="Times New Roman" w:hAnsi="Times New Roman"/>
          <w:sz w:val="24"/>
        </w:rPr>
        <w:t xml:space="preserve"> </w:t>
      </w:r>
      <w:r w:rsidR="00EB752C" w:rsidRPr="00926645">
        <w:rPr>
          <w:rStyle w:val="a"/>
          <w:rFonts w:ascii="Times New Roman" w:hAnsi="Times New Roman"/>
          <w:sz w:val="24"/>
        </w:rPr>
        <w:t>and other actions.</w:t>
      </w:r>
    </w:p>
    <w:p w:rsidR="00EB752C" w:rsidRPr="00926645" w:rsidRDefault="00EB752C">
      <w:pPr>
        <w:rPr>
          <w:rFonts w:ascii="Times New Roman" w:hAnsi="Times New Roman"/>
          <w:sz w:val="24"/>
        </w:rPr>
      </w:pPr>
    </w:p>
    <w:p w:rsidR="00DB0B34" w:rsidRDefault="00DB0B34" w:rsidP="00183623">
      <w:pPr>
        <w:ind w:left="720"/>
        <w:rPr>
          <w:sz w:val="24"/>
        </w:rPr>
      </w:pPr>
      <w:r>
        <w:rPr>
          <w:sz w:val="24"/>
        </w:rPr>
        <w:t>Results of collected information will not be published</w:t>
      </w:r>
      <w:r w:rsidR="00183623">
        <w:rPr>
          <w:sz w:val="24"/>
        </w:rPr>
        <w:t xml:space="preserve"> for statistical purpose</w:t>
      </w:r>
      <w:r w:rsidR="00E55615">
        <w:rPr>
          <w:sz w:val="24"/>
        </w:rPr>
        <w:t>s</w:t>
      </w:r>
      <w:r>
        <w:rPr>
          <w:sz w:val="24"/>
        </w:rPr>
        <w:t>.</w:t>
      </w:r>
    </w:p>
    <w:p w:rsidR="00DB0B34" w:rsidRDefault="00DB0B34" w:rsidP="00DB0B34">
      <w:pPr>
        <w:ind w:left="720"/>
        <w:rPr>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17.  </w:t>
      </w:r>
      <w:r w:rsidR="000C472A">
        <w:rPr>
          <w:rFonts w:ascii="Times New Roman" w:hAnsi="Times New Roman"/>
          <w:sz w:val="24"/>
        </w:rPr>
        <w:tab/>
      </w:r>
      <w:r w:rsidR="0062564D" w:rsidRPr="00926645">
        <w:rPr>
          <w:rStyle w:val="a"/>
          <w:rFonts w:ascii="Times New Roman" w:hAnsi="Times New Roman"/>
          <w:sz w:val="24"/>
        </w:rPr>
        <w:t xml:space="preserve">If seeking approval to not display the expiration date for OMB approval of the </w:t>
      </w:r>
    </w:p>
    <w:p w:rsidR="0062564D"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62564D" w:rsidRPr="00926645">
        <w:rPr>
          <w:rStyle w:val="a"/>
          <w:rFonts w:ascii="Times New Roman" w:hAnsi="Times New Roman"/>
          <w:sz w:val="24"/>
        </w:rPr>
        <w:t>information collection, explain the reasons that display would be inappropriate.</w:t>
      </w:r>
    </w:p>
    <w:p w:rsidR="0062564D" w:rsidRPr="00926645" w:rsidRDefault="0062564D" w:rsidP="000C472A">
      <w:pPr>
        <w:ind w:left="720" w:hanging="720"/>
        <w:rPr>
          <w:rFonts w:ascii="Times New Roman" w:hAnsi="Times New Roman"/>
          <w:sz w:val="24"/>
        </w:rPr>
      </w:pPr>
    </w:p>
    <w:p w:rsidR="002C6092" w:rsidRDefault="00DB0B34" w:rsidP="00DB0B34">
      <w:pPr>
        <w:ind w:left="720"/>
        <w:rPr>
          <w:sz w:val="24"/>
        </w:rPr>
      </w:pPr>
      <w:r>
        <w:rPr>
          <w:sz w:val="24"/>
        </w:rPr>
        <w:t>The Department will display on the form the expiration date for the OMB approval as required.</w:t>
      </w:r>
    </w:p>
    <w:p w:rsidR="00DB0B34" w:rsidRPr="00926645" w:rsidRDefault="00DB0B34" w:rsidP="00DB0B34">
      <w:pPr>
        <w:ind w:left="720"/>
        <w:rPr>
          <w:rFonts w:ascii="Times New Roman" w:hAnsi="Times New Roman"/>
          <w:sz w:val="24"/>
        </w:rPr>
      </w:pPr>
    </w:p>
    <w:p w:rsidR="0062564D"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18.  </w:t>
      </w:r>
      <w:r w:rsidR="000C472A">
        <w:rPr>
          <w:rFonts w:ascii="Times New Roman" w:hAnsi="Times New Roman"/>
          <w:sz w:val="24"/>
        </w:rPr>
        <w:tab/>
      </w:r>
      <w:r w:rsidR="0062564D" w:rsidRPr="00926645">
        <w:rPr>
          <w:rStyle w:val="a"/>
          <w:rFonts w:ascii="Times New Roman" w:hAnsi="Times New Roman"/>
          <w:sz w:val="24"/>
        </w:rPr>
        <w:t>Explain each exception to the certification statement identified in the Certification of Paperwork Reduction Act.</w:t>
      </w:r>
    </w:p>
    <w:p w:rsidR="0062564D" w:rsidRPr="00926645" w:rsidRDefault="0062564D">
      <w:pPr>
        <w:rPr>
          <w:rFonts w:ascii="Times New Roman" w:hAnsi="Times New Roman"/>
          <w:sz w:val="24"/>
        </w:rPr>
      </w:pPr>
    </w:p>
    <w:p w:rsidR="002C6092" w:rsidRPr="006D266C" w:rsidRDefault="002C6092" w:rsidP="00AD6A8F">
      <w:pPr>
        <w:ind w:left="720"/>
        <w:rPr>
          <w:sz w:val="24"/>
        </w:rPr>
      </w:pPr>
      <w:r w:rsidRPr="006D266C">
        <w:rPr>
          <w:sz w:val="24"/>
        </w:rPr>
        <w:t>There are no exceptions to the certification statement.</w:t>
      </w:r>
    </w:p>
    <w:sectPr w:rsidR="002C6092" w:rsidRPr="006D266C" w:rsidSect="00F773E4">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C6" w:rsidRDefault="002760C6">
      <w:r>
        <w:separator/>
      </w:r>
    </w:p>
  </w:endnote>
  <w:endnote w:type="continuationSeparator" w:id="0">
    <w:p w:rsidR="002760C6" w:rsidRDefault="0027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Default="006F5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608" w:rsidRDefault="006F56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Pr="00DD6F93" w:rsidRDefault="006F5608" w:rsidP="00FF4A3B">
    <w:pPr>
      <w:pStyle w:val="Footer"/>
      <w:framePr w:wrap="around" w:vAnchor="text" w:hAnchor="page" w:x="10801" w:y="34"/>
      <w:rPr>
        <w:rStyle w:val="PageNumber"/>
        <w:rFonts w:ascii="Calibri" w:hAnsi="Calibri"/>
      </w:rPr>
    </w:pPr>
    <w:r w:rsidRPr="00DD6F93">
      <w:rPr>
        <w:rStyle w:val="PageNumber"/>
        <w:rFonts w:ascii="Calibri" w:hAnsi="Calibri"/>
      </w:rPr>
      <w:fldChar w:fldCharType="begin"/>
    </w:r>
    <w:r w:rsidRPr="00DD6F93">
      <w:rPr>
        <w:rStyle w:val="PageNumber"/>
        <w:rFonts w:ascii="Calibri" w:hAnsi="Calibri"/>
      </w:rPr>
      <w:instrText xml:space="preserve">PAGE  </w:instrText>
    </w:r>
    <w:r w:rsidRPr="00DD6F93">
      <w:rPr>
        <w:rStyle w:val="PageNumber"/>
        <w:rFonts w:ascii="Calibri" w:hAnsi="Calibri"/>
      </w:rPr>
      <w:fldChar w:fldCharType="separate"/>
    </w:r>
    <w:r w:rsidR="00907132">
      <w:rPr>
        <w:rStyle w:val="PageNumber"/>
        <w:rFonts w:ascii="Calibri" w:hAnsi="Calibri"/>
        <w:noProof/>
      </w:rPr>
      <w:t>10</w:t>
    </w:r>
    <w:r w:rsidRPr="00DD6F93">
      <w:rPr>
        <w:rStyle w:val="PageNumber"/>
        <w:rFonts w:ascii="Calibri" w:hAnsi="Calibri"/>
      </w:rPr>
      <w:fldChar w:fldCharType="end"/>
    </w:r>
  </w:p>
  <w:p w:rsidR="006F5608" w:rsidRDefault="006F56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C6" w:rsidRDefault="002760C6">
      <w:r>
        <w:separator/>
      </w:r>
    </w:p>
  </w:footnote>
  <w:footnote w:type="continuationSeparator" w:id="0">
    <w:p w:rsidR="002760C6" w:rsidRDefault="002760C6">
      <w:r>
        <w:continuationSeparator/>
      </w:r>
    </w:p>
  </w:footnote>
  <w:footnote w:id="1">
    <w:p w:rsidR="00314EE2" w:rsidRDefault="00314EE2" w:rsidP="00314EE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314EE2" w:rsidRDefault="00314EE2" w:rsidP="00314EE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8926BF"/>
    <w:multiLevelType w:val="hybridMultilevel"/>
    <w:tmpl w:val="F5E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57726DFE"/>
    <w:multiLevelType w:val="hybridMultilevel"/>
    <w:tmpl w:val="B3A0A88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0F"/>
    <w:rsid w:val="00002B3D"/>
    <w:rsid w:val="000118F0"/>
    <w:rsid w:val="00015C18"/>
    <w:rsid w:val="00020C32"/>
    <w:rsid w:val="0002210B"/>
    <w:rsid w:val="00024A70"/>
    <w:rsid w:val="00025AB1"/>
    <w:rsid w:val="00033C49"/>
    <w:rsid w:val="000342D0"/>
    <w:rsid w:val="00036094"/>
    <w:rsid w:val="0005385D"/>
    <w:rsid w:val="00054101"/>
    <w:rsid w:val="000579C6"/>
    <w:rsid w:val="00074B2C"/>
    <w:rsid w:val="00074C4A"/>
    <w:rsid w:val="00080FC3"/>
    <w:rsid w:val="00084EC7"/>
    <w:rsid w:val="00085F60"/>
    <w:rsid w:val="0009050E"/>
    <w:rsid w:val="000A747C"/>
    <w:rsid w:val="000C472A"/>
    <w:rsid w:val="000D1985"/>
    <w:rsid w:val="000E1AEB"/>
    <w:rsid w:val="000E2E43"/>
    <w:rsid w:val="000F5A54"/>
    <w:rsid w:val="00105015"/>
    <w:rsid w:val="00107E99"/>
    <w:rsid w:val="001155C7"/>
    <w:rsid w:val="001252CD"/>
    <w:rsid w:val="00140A0E"/>
    <w:rsid w:val="001511A3"/>
    <w:rsid w:val="0017051A"/>
    <w:rsid w:val="00173F6B"/>
    <w:rsid w:val="00183623"/>
    <w:rsid w:val="00192BC6"/>
    <w:rsid w:val="00194346"/>
    <w:rsid w:val="001D0998"/>
    <w:rsid w:val="001E1046"/>
    <w:rsid w:val="001E4BAE"/>
    <w:rsid w:val="001E5AB2"/>
    <w:rsid w:val="001E5E8F"/>
    <w:rsid w:val="00204D7E"/>
    <w:rsid w:val="002063F3"/>
    <w:rsid w:val="00224749"/>
    <w:rsid w:val="00230FAD"/>
    <w:rsid w:val="0023574C"/>
    <w:rsid w:val="002516BB"/>
    <w:rsid w:val="00257355"/>
    <w:rsid w:val="002643B9"/>
    <w:rsid w:val="002753F4"/>
    <w:rsid w:val="00275A7D"/>
    <w:rsid w:val="002760C6"/>
    <w:rsid w:val="002A21FE"/>
    <w:rsid w:val="002C6092"/>
    <w:rsid w:val="002D0F2C"/>
    <w:rsid w:val="002D1143"/>
    <w:rsid w:val="002D6EC9"/>
    <w:rsid w:val="002D7CD4"/>
    <w:rsid w:val="002F1060"/>
    <w:rsid w:val="003139C9"/>
    <w:rsid w:val="00314EE2"/>
    <w:rsid w:val="003205FF"/>
    <w:rsid w:val="00325FF5"/>
    <w:rsid w:val="00343245"/>
    <w:rsid w:val="00350E1F"/>
    <w:rsid w:val="00350FF4"/>
    <w:rsid w:val="00354ECF"/>
    <w:rsid w:val="00365BF5"/>
    <w:rsid w:val="003D44D6"/>
    <w:rsid w:val="003E1238"/>
    <w:rsid w:val="00413B2D"/>
    <w:rsid w:val="00447543"/>
    <w:rsid w:val="00447C5D"/>
    <w:rsid w:val="00471C06"/>
    <w:rsid w:val="0049276A"/>
    <w:rsid w:val="004C18A0"/>
    <w:rsid w:val="004C41CB"/>
    <w:rsid w:val="004F011C"/>
    <w:rsid w:val="00532847"/>
    <w:rsid w:val="00532961"/>
    <w:rsid w:val="005343B0"/>
    <w:rsid w:val="00564BCC"/>
    <w:rsid w:val="005812B2"/>
    <w:rsid w:val="00586878"/>
    <w:rsid w:val="00591537"/>
    <w:rsid w:val="005A158C"/>
    <w:rsid w:val="005A3937"/>
    <w:rsid w:val="005B0E7A"/>
    <w:rsid w:val="005C16F3"/>
    <w:rsid w:val="005F042E"/>
    <w:rsid w:val="005F6C09"/>
    <w:rsid w:val="00603689"/>
    <w:rsid w:val="00615D1E"/>
    <w:rsid w:val="0062564D"/>
    <w:rsid w:val="00641415"/>
    <w:rsid w:val="00646543"/>
    <w:rsid w:val="00646578"/>
    <w:rsid w:val="00654A18"/>
    <w:rsid w:val="00665864"/>
    <w:rsid w:val="006841EF"/>
    <w:rsid w:val="00685B55"/>
    <w:rsid w:val="006971DE"/>
    <w:rsid w:val="006B3056"/>
    <w:rsid w:val="006B5EA2"/>
    <w:rsid w:val="006D15EA"/>
    <w:rsid w:val="006D266C"/>
    <w:rsid w:val="006D7EF9"/>
    <w:rsid w:val="006E1703"/>
    <w:rsid w:val="006E7FEA"/>
    <w:rsid w:val="006F5150"/>
    <w:rsid w:val="006F5608"/>
    <w:rsid w:val="00704D97"/>
    <w:rsid w:val="007221A5"/>
    <w:rsid w:val="00750124"/>
    <w:rsid w:val="00753913"/>
    <w:rsid w:val="007563A5"/>
    <w:rsid w:val="007635F0"/>
    <w:rsid w:val="00773515"/>
    <w:rsid w:val="007833D8"/>
    <w:rsid w:val="00791027"/>
    <w:rsid w:val="00795EDD"/>
    <w:rsid w:val="007A0188"/>
    <w:rsid w:val="007A2E41"/>
    <w:rsid w:val="007B1E14"/>
    <w:rsid w:val="007C73FE"/>
    <w:rsid w:val="007E0033"/>
    <w:rsid w:val="007E018A"/>
    <w:rsid w:val="007F0CFA"/>
    <w:rsid w:val="008075A2"/>
    <w:rsid w:val="0081683E"/>
    <w:rsid w:val="00824412"/>
    <w:rsid w:val="00827CC4"/>
    <w:rsid w:val="008302BB"/>
    <w:rsid w:val="0085062B"/>
    <w:rsid w:val="008508FB"/>
    <w:rsid w:val="00851766"/>
    <w:rsid w:val="00851C50"/>
    <w:rsid w:val="008628E2"/>
    <w:rsid w:val="0087079F"/>
    <w:rsid w:val="008776FE"/>
    <w:rsid w:val="00887F27"/>
    <w:rsid w:val="008943E3"/>
    <w:rsid w:val="008954BD"/>
    <w:rsid w:val="008A6AE9"/>
    <w:rsid w:val="008B2735"/>
    <w:rsid w:val="008E0A0B"/>
    <w:rsid w:val="008E5D75"/>
    <w:rsid w:val="008E6A0F"/>
    <w:rsid w:val="008F429B"/>
    <w:rsid w:val="009033DF"/>
    <w:rsid w:val="00907132"/>
    <w:rsid w:val="00912996"/>
    <w:rsid w:val="00926645"/>
    <w:rsid w:val="00952F08"/>
    <w:rsid w:val="00986B32"/>
    <w:rsid w:val="00987535"/>
    <w:rsid w:val="009A37C9"/>
    <w:rsid w:val="009B534A"/>
    <w:rsid w:val="009B720C"/>
    <w:rsid w:val="009C398B"/>
    <w:rsid w:val="009C7D8A"/>
    <w:rsid w:val="00A03FE4"/>
    <w:rsid w:val="00A1124F"/>
    <w:rsid w:val="00A123DB"/>
    <w:rsid w:val="00A21E56"/>
    <w:rsid w:val="00A27354"/>
    <w:rsid w:val="00A312B1"/>
    <w:rsid w:val="00A35CE0"/>
    <w:rsid w:val="00A41868"/>
    <w:rsid w:val="00A46BFD"/>
    <w:rsid w:val="00A52B2F"/>
    <w:rsid w:val="00A71064"/>
    <w:rsid w:val="00A92C50"/>
    <w:rsid w:val="00AB1017"/>
    <w:rsid w:val="00AD6A8F"/>
    <w:rsid w:val="00B04279"/>
    <w:rsid w:val="00B04E07"/>
    <w:rsid w:val="00B11873"/>
    <w:rsid w:val="00B17C63"/>
    <w:rsid w:val="00B34965"/>
    <w:rsid w:val="00B42DAE"/>
    <w:rsid w:val="00B51FB4"/>
    <w:rsid w:val="00B5354B"/>
    <w:rsid w:val="00B6697A"/>
    <w:rsid w:val="00B91EED"/>
    <w:rsid w:val="00B95065"/>
    <w:rsid w:val="00BB0DAB"/>
    <w:rsid w:val="00BC7090"/>
    <w:rsid w:val="00BE0816"/>
    <w:rsid w:val="00BE4F6F"/>
    <w:rsid w:val="00C12879"/>
    <w:rsid w:val="00C3640D"/>
    <w:rsid w:val="00C40A1A"/>
    <w:rsid w:val="00C45DE2"/>
    <w:rsid w:val="00C501DF"/>
    <w:rsid w:val="00C5047A"/>
    <w:rsid w:val="00C53CEF"/>
    <w:rsid w:val="00C57FA5"/>
    <w:rsid w:val="00C61DFE"/>
    <w:rsid w:val="00C90734"/>
    <w:rsid w:val="00CA1F51"/>
    <w:rsid w:val="00CB6EC5"/>
    <w:rsid w:val="00CC3B46"/>
    <w:rsid w:val="00CC4021"/>
    <w:rsid w:val="00CC4FEC"/>
    <w:rsid w:val="00CC648B"/>
    <w:rsid w:val="00CC76D7"/>
    <w:rsid w:val="00CE5761"/>
    <w:rsid w:val="00D036DC"/>
    <w:rsid w:val="00D0456F"/>
    <w:rsid w:val="00D304E6"/>
    <w:rsid w:val="00D41E6C"/>
    <w:rsid w:val="00D472F5"/>
    <w:rsid w:val="00D53B51"/>
    <w:rsid w:val="00D75BCF"/>
    <w:rsid w:val="00D8119C"/>
    <w:rsid w:val="00D81A66"/>
    <w:rsid w:val="00D836FD"/>
    <w:rsid w:val="00D87ECB"/>
    <w:rsid w:val="00DA61D8"/>
    <w:rsid w:val="00DB0B34"/>
    <w:rsid w:val="00DC2E4B"/>
    <w:rsid w:val="00DC3E4E"/>
    <w:rsid w:val="00DD5522"/>
    <w:rsid w:val="00DD6F93"/>
    <w:rsid w:val="00DE1197"/>
    <w:rsid w:val="00DF32CC"/>
    <w:rsid w:val="00E03E83"/>
    <w:rsid w:val="00E062A2"/>
    <w:rsid w:val="00E10998"/>
    <w:rsid w:val="00E25E6E"/>
    <w:rsid w:val="00E41B8B"/>
    <w:rsid w:val="00E53C2D"/>
    <w:rsid w:val="00E55615"/>
    <w:rsid w:val="00E62752"/>
    <w:rsid w:val="00E655FF"/>
    <w:rsid w:val="00E66D91"/>
    <w:rsid w:val="00E72145"/>
    <w:rsid w:val="00E85A3E"/>
    <w:rsid w:val="00E94AD7"/>
    <w:rsid w:val="00EA4188"/>
    <w:rsid w:val="00EA42DC"/>
    <w:rsid w:val="00EA7C39"/>
    <w:rsid w:val="00EB1E26"/>
    <w:rsid w:val="00EB630F"/>
    <w:rsid w:val="00EB752C"/>
    <w:rsid w:val="00ED672D"/>
    <w:rsid w:val="00EF028D"/>
    <w:rsid w:val="00F06E36"/>
    <w:rsid w:val="00F12F26"/>
    <w:rsid w:val="00F17F38"/>
    <w:rsid w:val="00F572B1"/>
    <w:rsid w:val="00F6605D"/>
    <w:rsid w:val="00F773E4"/>
    <w:rsid w:val="00F843C2"/>
    <w:rsid w:val="00F952D0"/>
    <w:rsid w:val="00F97EC7"/>
    <w:rsid w:val="00FA311C"/>
    <w:rsid w:val="00FA59C1"/>
    <w:rsid w:val="00FB4661"/>
    <w:rsid w:val="00FD688A"/>
    <w:rsid w:val="00FE11C6"/>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683">
      <w:bodyDiv w:val="1"/>
      <w:marLeft w:val="0"/>
      <w:marRight w:val="0"/>
      <w:marTop w:val="0"/>
      <w:marBottom w:val="0"/>
      <w:divBdr>
        <w:top w:val="none" w:sz="0" w:space="0" w:color="auto"/>
        <w:left w:val="none" w:sz="0" w:space="0" w:color="auto"/>
        <w:bottom w:val="none" w:sz="0" w:space="0" w:color="auto"/>
        <w:right w:val="none" w:sz="0" w:space="0" w:color="auto"/>
      </w:divBdr>
    </w:div>
    <w:div w:id="20485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2.ed.gov/programs/triovub/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860F-A9AC-4145-980E-93E17BA0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21590</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Lauren M. Kennedy</dc:creator>
  <cp:lastModifiedBy>Mullan, Kate</cp:lastModifiedBy>
  <cp:revision>2</cp:revision>
  <cp:lastPrinted>2016-11-01T17:17:00Z</cp:lastPrinted>
  <dcterms:created xsi:type="dcterms:W3CDTF">2017-01-11T18:29:00Z</dcterms:created>
  <dcterms:modified xsi:type="dcterms:W3CDTF">2017-01-11T18:29:00Z</dcterms:modified>
</cp:coreProperties>
</file>