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78" w:type="dxa"/>
        <w:tblInd w:w="0" w:type="dxa"/>
        <w:tblLayout w:type="fixed"/>
        <w:tblLook w:val="04A0" w:firstRow="1" w:lastRow="0" w:firstColumn="1" w:lastColumn="0" w:noHBand="0" w:noVBand="1"/>
      </w:tblPr>
      <w:tblGrid>
        <w:gridCol w:w="1245"/>
        <w:gridCol w:w="1580"/>
        <w:gridCol w:w="6193"/>
        <w:gridCol w:w="1260"/>
      </w:tblGrid>
      <w:tr w:rsidR="009B0884" w:rsidRPr="009B0884" w:rsidTr="00A369F7">
        <w:tc>
          <w:tcPr>
            <w:tcW w:w="1027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B0884" w:rsidRPr="00E62D3F" w:rsidRDefault="009B0884" w:rsidP="009B0884">
            <w:pPr>
              <w:pStyle w:val="Heading1"/>
              <w:outlineLvl w:val="0"/>
              <w:rPr>
                <w:rFonts w:asciiTheme="minorHAnsi" w:hAnsiTheme="minorHAnsi"/>
                <w:sz w:val="28"/>
                <w:szCs w:val="28"/>
              </w:rPr>
            </w:pPr>
            <w:bookmarkStart w:id="0" w:name="_GoBack"/>
            <w:bookmarkEnd w:id="0"/>
            <w:r w:rsidRPr="00E62D3F">
              <w:rPr>
                <w:rFonts w:asciiTheme="minorHAnsi" w:hAnsiTheme="minorHAnsi"/>
                <w:sz w:val="28"/>
                <w:szCs w:val="28"/>
              </w:rPr>
              <w:t>CHANGES TO OMB-APPROVED MCNAIR APPLICATION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B0884" w:rsidRPr="00BE7419" w:rsidRDefault="006D071A" w:rsidP="00BE7419">
            <w:pPr>
              <w:pStyle w:val="Heading1"/>
              <w:outlineLvl w:val="0"/>
              <w:rPr>
                <w:rFonts w:asciiTheme="minorHAnsi" w:eastAsiaTheme="minorHAnsi" w:hAnsiTheme="minorHAnsi"/>
              </w:rPr>
            </w:pPr>
            <w:r>
              <w:rPr>
                <w:rFonts w:asciiTheme="minorHAnsi" w:hAnsiTheme="minorHAnsi"/>
              </w:rPr>
              <w:t xml:space="preserve">DRAFT </w:t>
            </w:r>
            <w:r w:rsidR="009B0884" w:rsidRPr="00BE7419">
              <w:rPr>
                <w:rFonts w:asciiTheme="minorHAnsi" w:hAnsiTheme="minorHAnsi"/>
              </w:rPr>
              <w:t>PAGE</w:t>
            </w:r>
          </w:p>
        </w:tc>
        <w:tc>
          <w:tcPr>
            <w:tcW w:w="158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B0884" w:rsidRPr="00E62D3F" w:rsidRDefault="009B0884">
            <w:pPr>
              <w:rPr>
                <w:rFonts w:asciiTheme="minorHAnsi" w:eastAsiaTheme="minorHAnsi" w:hAnsiTheme="minorHAnsi"/>
                <w:b/>
                <w:sz w:val="24"/>
                <w:szCs w:val="24"/>
              </w:rPr>
            </w:pPr>
            <w:r w:rsidRPr="00E62D3F">
              <w:rPr>
                <w:rFonts w:asciiTheme="minorHAnsi" w:hAnsiTheme="minorHAnsi"/>
                <w:b/>
                <w:sz w:val="24"/>
                <w:szCs w:val="24"/>
              </w:rPr>
              <w:t>SECTION TITLE</w:t>
            </w:r>
          </w:p>
        </w:tc>
        <w:tc>
          <w:tcPr>
            <w:tcW w:w="61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B0884" w:rsidRPr="00E62D3F" w:rsidRDefault="009B0884" w:rsidP="009B0884">
            <w:pPr>
              <w:pStyle w:val="Heading1"/>
              <w:outlineLvl w:val="0"/>
              <w:rPr>
                <w:rFonts w:asciiTheme="minorHAnsi" w:eastAsiaTheme="minorHAnsi" w:hAnsiTheme="minorHAnsi"/>
              </w:rPr>
            </w:pPr>
            <w:r w:rsidRPr="00E62D3F">
              <w:rPr>
                <w:rFonts w:asciiTheme="minorHAnsi" w:hAnsiTheme="minorHAnsi"/>
              </w:rPr>
              <w:t>CHANGE</w:t>
            </w:r>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B0884" w:rsidRPr="00E62D3F" w:rsidRDefault="009B0884" w:rsidP="009B0884">
            <w:pPr>
              <w:pStyle w:val="Heading1"/>
              <w:outlineLvl w:val="0"/>
              <w:rPr>
                <w:rFonts w:asciiTheme="minorHAnsi" w:eastAsiaTheme="minorHAnsi" w:hAnsiTheme="minorHAnsi"/>
              </w:rPr>
            </w:pPr>
            <w:r w:rsidRPr="00E62D3F">
              <w:rPr>
                <w:rFonts w:asciiTheme="minorHAnsi" w:hAnsiTheme="minorHAnsi"/>
              </w:rPr>
              <w:t>REASON FOR CHANGE</w:t>
            </w:r>
          </w:p>
        </w:tc>
      </w:tr>
      <w:tr w:rsidR="006D071A" w:rsidRPr="009B0884" w:rsidTr="004069E1">
        <w:tc>
          <w:tcPr>
            <w:tcW w:w="1245" w:type="dxa"/>
            <w:tcBorders>
              <w:top w:val="single" w:sz="4" w:space="0" w:color="auto"/>
              <w:left w:val="single" w:sz="4" w:space="0" w:color="auto"/>
              <w:bottom w:val="single" w:sz="4" w:space="0" w:color="auto"/>
              <w:right w:val="single" w:sz="4" w:space="0" w:color="auto"/>
            </w:tcBorders>
          </w:tcPr>
          <w:p w:rsidR="006D071A" w:rsidRPr="00BE7419" w:rsidRDefault="006D071A">
            <w:pPr>
              <w:jc w:val="center"/>
              <w:rPr>
                <w:rFonts w:asciiTheme="minorHAnsi" w:hAnsiTheme="minorHAnsi" w:cstheme="minorBidi"/>
              </w:rPr>
            </w:pPr>
            <w:r>
              <w:rPr>
                <w:rFonts w:asciiTheme="minorHAnsi" w:hAnsiTheme="minorHAnsi" w:cstheme="minorBidi"/>
              </w:rPr>
              <w:t>2</w:t>
            </w:r>
          </w:p>
        </w:tc>
        <w:tc>
          <w:tcPr>
            <w:tcW w:w="1580" w:type="dxa"/>
            <w:tcBorders>
              <w:top w:val="single" w:sz="4" w:space="0" w:color="auto"/>
              <w:left w:val="single" w:sz="4" w:space="0" w:color="auto"/>
              <w:bottom w:val="single" w:sz="4" w:space="0" w:color="auto"/>
              <w:right w:val="single" w:sz="4" w:space="0" w:color="auto"/>
            </w:tcBorders>
          </w:tcPr>
          <w:p w:rsidR="006D071A" w:rsidRPr="00BE7419" w:rsidRDefault="006D071A" w:rsidP="00E62D3F">
            <w:pPr>
              <w:pStyle w:val="Header"/>
              <w:tabs>
                <w:tab w:val="clear" w:pos="4680"/>
                <w:tab w:val="clear" w:pos="9360"/>
              </w:tabs>
              <w:rPr>
                <w:rFonts w:asciiTheme="minorHAnsi" w:hAnsiTheme="minorHAnsi" w:cstheme="minorBidi"/>
              </w:rPr>
            </w:pPr>
            <w:r>
              <w:rPr>
                <w:rFonts w:asciiTheme="minorHAnsi" w:hAnsiTheme="minorHAnsi" w:cstheme="minorBidi"/>
              </w:rPr>
              <w:t>Table of Contents</w:t>
            </w:r>
          </w:p>
        </w:tc>
        <w:tc>
          <w:tcPr>
            <w:tcW w:w="6193" w:type="dxa"/>
            <w:tcBorders>
              <w:top w:val="single" w:sz="4" w:space="0" w:color="auto"/>
              <w:left w:val="single" w:sz="4" w:space="0" w:color="auto"/>
              <w:bottom w:val="single" w:sz="4" w:space="0" w:color="auto"/>
              <w:right w:val="single" w:sz="4" w:space="0" w:color="auto"/>
            </w:tcBorders>
          </w:tcPr>
          <w:p w:rsidR="006D071A" w:rsidRPr="00BE7419" w:rsidRDefault="006D071A" w:rsidP="00BE7419">
            <w:pPr>
              <w:pStyle w:val="Header"/>
              <w:tabs>
                <w:tab w:val="clear" w:pos="4680"/>
                <w:tab w:val="clear" w:pos="9360"/>
              </w:tabs>
              <w:rPr>
                <w:rFonts w:asciiTheme="minorHAnsi" w:hAnsiTheme="minorHAnsi" w:cs="Arial"/>
              </w:rPr>
            </w:pPr>
            <w:r>
              <w:rPr>
                <w:rFonts w:asciiTheme="minorHAnsi" w:hAnsiTheme="minorHAnsi" w:cs="Arial"/>
              </w:rPr>
              <w:t>Heading changed to “</w:t>
            </w:r>
            <w:r w:rsidRPr="001D3277">
              <w:rPr>
                <w:rFonts w:ascii="Arial" w:hAnsi="Arial" w:cs="Arial"/>
                <w:noProof/>
                <w:color w:val="000000"/>
                <w:sz w:val="22"/>
                <w:szCs w:val="28"/>
                <w:highlight w:val="yellow"/>
              </w:rPr>
              <w:t>Prior Experience for Currently Funded Grantees</w:t>
            </w:r>
            <w:r>
              <w:rPr>
                <w:rFonts w:ascii="Arial" w:hAnsi="Arial" w:cs="Arial"/>
                <w:noProof/>
                <w:color w:val="000000"/>
                <w:sz w:val="22"/>
                <w:szCs w:val="28"/>
              </w:rPr>
              <w:t>”</w:t>
            </w:r>
          </w:p>
        </w:tc>
        <w:tc>
          <w:tcPr>
            <w:tcW w:w="1260" w:type="dxa"/>
            <w:tcBorders>
              <w:top w:val="single" w:sz="4" w:space="0" w:color="auto"/>
              <w:left w:val="single" w:sz="4" w:space="0" w:color="auto"/>
              <w:bottom w:val="single" w:sz="4" w:space="0" w:color="auto"/>
              <w:right w:val="single" w:sz="4" w:space="0" w:color="auto"/>
            </w:tcBorders>
          </w:tcPr>
          <w:p w:rsidR="006D071A" w:rsidRPr="00E62D3F" w:rsidRDefault="006D071A">
            <w:pPr>
              <w:rPr>
                <w:rFonts w:asciiTheme="minorHAnsi" w:hAnsiTheme="minorHAnsi" w:cstheme="minorBidi"/>
              </w:rPr>
            </w:pPr>
            <w:r>
              <w:rPr>
                <w:rFonts w:asciiTheme="minorHAnsi" w:hAnsiTheme="minorHAnsi" w:cstheme="minorBidi"/>
              </w:rPr>
              <w:t>Accuracy and Clarification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hideMark/>
          </w:tcPr>
          <w:p w:rsidR="009B0884" w:rsidRPr="00BE7419" w:rsidRDefault="009B0884">
            <w:pPr>
              <w:jc w:val="center"/>
              <w:rPr>
                <w:rFonts w:asciiTheme="minorHAnsi" w:eastAsiaTheme="minorHAnsi" w:hAnsiTheme="minorHAnsi" w:cstheme="minorBidi"/>
                <w:sz w:val="22"/>
                <w:szCs w:val="22"/>
              </w:rPr>
            </w:pPr>
            <w:r w:rsidRPr="00BE7419">
              <w:rPr>
                <w:rFonts w:asciiTheme="minorHAnsi" w:hAnsiTheme="minorHAnsi" w:cstheme="minorBidi"/>
                <w:sz w:val="22"/>
                <w:szCs w:val="22"/>
              </w:rPr>
              <w:t>3</w:t>
            </w:r>
          </w:p>
        </w:tc>
        <w:tc>
          <w:tcPr>
            <w:tcW w:w="1580" w:type="dxa"/>
            <w:tcBorders>
              <w:top w:val="single" w:sz="4" w:space="0" w:color="auto"/>
              <w:left w:val="single" w:sz="4" w:space="0" w:color="auto"/>
              <w:bottom w:val="single" w:sz="4" w:space="0" w:color="auto"/>
              <w:right w:val="single" w:sz="4" w:space="0" w:color="auto"/>
            </w:tcBorders>
            <w:hideMark/>
          </w:tcPr>
          <w:p w:rsidR="009B0884" w:rsidRPr="00BE7419" w:rsidRDefault="009B0884" w:rsidP="00E62D3F">
            <w:pPr>
              <w:pStyle w:val="Header"/>
              <w:tabs>
                <w:tab w:val="clear" w:pos="4680"/>
                <w:tab w:val="clear" w:pos="9360"/>
              </w:tabs>
              <w:rPr>
                <w:rFonts w:asciiTheme="minorHAnsi" w:hAnsiTheme="minorHAnsi" w:cstheme="minorBidi"/>
                <w:sz w:val="22"/>
                <w:szCs w:val="22"/>
              </w:rPr>
            </w:pPr>
            <w:r w:rsidRPr="00BE7419">
              <w:rPr>
                <w:rFonts w:asciiTheme="minorHAnsi" w:hAnsiTheme="minorHAnsi" w:cstheme="minorBidi"/>
                <w:sz w:val="22"/>
                <w:szCs w:val="22"/>
              </w:rPr>
              <w:t>Dear Applicant Letter</w:t>
            </w:r>
          </w:p>
        </w:tc>
        <w:tc>
          <w:tcPr>
            <w:tcW w:w="6193" w:type="dxa"/>
            <w:tcBorders>
              <w:top w:val="single" w:sz="4" w:space="0" w:color="auto"/>
              <w:left w:val="single" w:sz="4" w:space="0" w:color="auto"/>
              <w:bottom w:val="single" w:sz="4" w:space="0" w:color="auto"/>
              <w:right w:val="single" w:sz="4" w:space="0" w:color="auto"/>
            </w:tcBorders>
            <w:hideMark/>
          </w:tcPr>
          <w:p w:rsidR="009B0884" w:rsidRPr="00BE7419" w:rsidRDefault="009B0884" w:rsidP="00BE7419">
            <w:pPr>
              <w:pStyle w:val="Header"/>
              <w:tabs>
                <w:tab w:val="clear" w:pos="4680"/>
                <w:tab w:val="clear" w:pos="9360"/>
              </w:tabs>
              <w:rPr>
                <w:rFonts w:asciiTheme="minorHAnsi" w:hAnsiTheme="minorHAnsi" w:cs="Arial"/>
              </w:rPr>
            </w:pPr>
            <w:r w:rsidRPr="00BE7419">
              <w:rPr>
                <w:rFonts w:asciiTheme="minorHAnsi" w:hAnsiTheme="minorHAnsi" w:cs="Arial"/>
              </w:rPr>
              <w:t>“and the inclusion of a Logic Model” language added to sentence</w:t>
            </w:r>
          </w:p>
        </w:tc>
        <w:tc>
          <w:tcPr>
            <w:tcW w:w="1260" w:type="dxa"/>
            <w:tcBorders>
              <w:top w:val="single" w:sz="4" w:space="0" w:color="auto"/>
              <w:left w:val="single" w:sz="4" w:space="0" w:color="auto"/>
              <w:bottom w:val="single" w:sz="4" w:space="0" w:color="auto"/>
              <w:right w:val="single" w:sz="4" w:space="0" w:color="auto"/>
            </w:tcBorders>
            <w:hideMark/>
          </w:tcPr>
          <w:p w:rsidR="009B0884" w:rsidRPr="00E62D3F" w:rsidRDefault="009B0884">
            <w:pPr>
              <w:rPr>
                <w:rFonts w:asciiTheme="minorHAnsi" w:eastAsiaTheme="minorHAnsi" w:hAnsiTheme="minorHAnsi" w:cstheme="minorBidi"/>
              </w:rPr>
            </w:pPr>
            <w:r w:rsidRPr="00E62D3F">
              <w:rPr>
                <w:rFonts w:asciiTheme="minorHAnsi" w:hAnsiTheme="minorHAnsi" w:cstheme="minorBidi"/>
              </w:rPr>
              <w:t>Accuracy</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hideMark/>
          </w:tcPr>
          <w:p w:rsidR="009B0884" w:rsidRPr="00BE7419" w:rsidRDefault="009B0884">
            <w:pPr>
              <w:jc w:val="center"/>
              <w:rPr>
                <w:rFonts w:asciiTheme="minorHAnsi" w:eastAsiaTheme="minorHAnsi" w:hAnsiTheme="minorHAnsi" w:cstheme="minorBidi"/>
                <w:sz w:val="22"/>
                <w:szCs w:val="22"/>
              </w:rPr>
            </w:pPr>
            <w:r w:rsidRPr="00BE7419">
              <w:rPr>
                <w:rFonts w:asciiTheme="minorHAnsi" w:hAnsiTheme="minorHAnsi" w:cstheme="minorBidi"/>
                <w:sz w:val="22"/>
                <w:szCs w:val="22"/>
              </w:rPr>
              <w:t>4</w:t>
            </w:r>
          </w:p>
        </w:tc>
        <w:tc>
          <w:tcPr>
            <w:tcW w:w="1580"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theme="minorBidi"/>
                <w:sz w:val="22"/>
                <w:szCs w:val="22"/>
              </w:rPr>
              <w:t>Dear Applicant Letter</w:t>
            </w:r>
          </w:p>
        </w:tc>
        <w:tc>
          <w:tcPr>
            <w:tcW w:w="6193"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Arial"/>
                <w:sz w:val="22"/>
                <w:szCs w:val="22"/>
              </w:rPr>
              <w:t xml:space="preserve">Sentence added: “An additional five points may be awarded for the inclusion of a Logic Model.” </w:t>
            </w:r>
          </w:p>
        </w:tc>
        <w:tc>
          <w:tcPr>
            <w:tcW w:w="1260" w:type="dxa"/>
            <w:tcBorders>
              <w:top w:val="single" w:sz="4" w:space="0" w:color="auto"/>
              <w:left w:val="single" w:sz="4" w:space="0" w:color="auto"/>
              <w:bottom w:val="single" w:sz="4" w:space="0" w:color="auto"/>
              <w:right w:val="single" w:sz="4" w:space="0" w:color="auto"/>
            </w:tcBorders>
            <w:hideMark/>
          </w:tcPr>
          <w:p w:rsidR="009B0884" w:rsidRPr="00E62D3F" w:rsidRDefault="009B0884">
            <w:pPr>
              <w:rPr>
                <w:rFonts w:asciiTheme="minorHAnsi" w:eastAsiaTheme="minorHAnsi" w:hAnsiTheme="minorHAnsi" w:cstheme="minorBidi"/>
              </w:rPr>
            </w:pPr>
            <w:r w:rsidRPr="00E62D3F">
              <w:rPr>
                <w:rFonts w:asciiTheme="minorHAnsi" w:hAnsiTheme="minorHAnsi" w:cstheme="minorBidi"/>
              </w:rPr>
              <w:t>Accuracy</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hideMark/>
          </w:tcPr>
          <w:p w:rsidR="009B0884" w:rsidRPr="00BE7419" w:rsidRDefault="009B0884">
            <w:pPr>
              <w:jc w:val="center"/>
              <w:rPr>
                <w:rFonts w:asciiTheme="minorHAnsi" w:eastAsiaTheme="minorHAnsi" w:hAnsiTheme="minorHAnsi" w:cstheme="minorBidi"/>
                <w:sz w:val="22"/>
                <w:szCs w:val="22"/>
              </w:rPr>
            </w:pPr>
            <w:r w:rsidRPr="00BE7419">
              <w:rPr>
                <w:rFonts w:asciiTheme="minorHAnsi" w:hAnsiTheme="minorHAnsi" w:cstheme="minorBidi"/>
                <w:sz w:val="22"/>
                <w:szCs w:val="22"/>
              </w:rPr>
              <w:t>5</w:t>
            </w:r>
          </w:p>
        </w:tc>
        <w:tc>
          <w:tcPr>
            <w:tcW w:w="1580"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Arial"/>
                <w:noProof/>
                <w:sz w:val="22"/>
                <w:szCs w:val="22"/>
              </w:rPr>
              <w:t>Competition Highlights</w:t>
            </w:r>
          </w:p>
        </w:tc>
        <w:tc>
          <w:tcPr>
            <w:tcW w:w="6193"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Arial"/>
                <w:b/>
                <w:sz w:val="22"/>
                <w:szCs w:val="22"/>
                <w:highlight w:val="yellow"/>
              </w:rPr>
              <w:t>Language added: “60 pages, which includes the Logic Model.</w:t>
            </w:r>
            <w:r w:rsidRPr="00BE7419">
              <w:rPr>
                <w:rFonts w:asciiTheme="minorHAnsi" w:hAnsiTheme="minorHAnsi" w:cs="Arial"/>
                <w:b/>
                <w:sz w:val="22"/>
                <w:szCs w:val="22"/>
              </w:rPr>
              <w:t xml:space="preserve">  </w:t>
            </w:r>
            <w:r w:rsidRPr="00BE7419">
              <w:rPr>
                <w:rFonts w:asciiTheme="minorHAnsi" w:hAnsiTheme="minorHAnsi" w:cs="Arial"/>
                <w:b/>
                <w:sz w:val="22"/>
                <w:szCs w:val="22"/>
                <w:highlight w:val="yellow"/>
              </w:rPr>
              <w:t>Additionally, any application addressing the competitive preference priority (CPP).” may include up to four additional pages to address the CPP.</w:t>
            </w:r>
          </w:p>
        </w:tc>
        <w:tc>
          <w:tcPr>
            <w:tcW w:w="1260" w:type="dxa"/>
            <w:tcBorders>
              <w:top w:val="single" w:sz="4" w:space="0" w:color="auto"/>
              <w:left w:val="single" w:sz="4" w:space="0" w:color="auto"/>
              <w:bottom w:val="single" w:sz="4" w:space="0" w:color="auto"/>
              <w:right w:val="single" w:sz="4" w:space="0" w:color="auto"/>
            </w:tcBorders>
            <w:hideMark/>
          </w:tcPr>
          <w:p w:rsidR="009B0884" w:rsidRPr="00E62D3F" w:rsidRDefault="00697E76">
            <w:pPr>
              <w:rPr>
                <w:rFonts w:asciiTheme="minorHAnsi" w:eastAsiaTheme="minorHAnsi" w:hAnsiTheme="minorHAnsi" w:cstheme="minorBidi"/>
              </w:rPr>
            </w:pPr>
            <w:r>
              <w:rPr>
                <w:rFonts w:asciiTheme="minorHAnsi" w:eastAsiaTheme="minorHAnsi" w:hAnsiTheme="minorHAnsi" w:cstheme="minorBidi"/>
              </w:rPr>
              <w:t>Response to Public Comment; Accuracy and c</w:t>
            </w:r>
            <w:r w:rsidRPr="00E62D3F">
              <w:rPr>
                <w:rFonts w:asciiTheme="minorHAnsi" w:eastAsiaTheme="minorHAnsi" w:hAnsiTheme="minorHAnsi" w:cstheme="minorBidi"/>
              </w:rPr>
              <w:t>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hideMark/>
          </w:tcPr>
          <w:p w:rsidR="009B0884" w:rsidRPr="00BE7419" w:rsidRDefault="009B0884">
            <w:pPr>
              <w:jc w:val="center"/>
              <w:rPr>
                <w:rFonts w:asciiTheme="minorHAnsi" w:eastAsiaTheme="minorHAnsi" w:hAnsiTheme="minorHAnsi" w:cstheme="minorBidi"/>
                <w:sz w:val="22"/>
                <w:szCs w:val="22"/>
              </w:rPr>
            </w:pPr>
            <w:r w:rsidRPr="00BE7419">
              <w:rPr>
                <w:rFonts w:asciiTheme="minorHAnsi" w:hAnsiTheme="minorHAnsi" w:cstheme="minorBidi"/>
                <w:sz w:val="22"/>
                <w:szCs w:val="22"/>
              </w:rPr>
              <w:t>7</w:t>
            </w:r>
          </w:p>
        </w:tc>
        <w:tc>
          <w:tcPr>
            <w:tcW w:w="1580"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Arial"/>
                <w:noProof/>
                <w:sz w:val="22"/>
                <w:szCs w:val="22"/>
              </w:rPr>
              <w:t>Competition Highlights</w:t>
            </w:r>
          </w:p>
        </w:tc>
        <w:tc>
          <w:tcPr>
            <w:tcW w:w="6193"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theme="minorBidi"/>
                <w:sz w:val="22"/>
                <w:szCs w:val="22"/>
              </w:rPr>
              <w:t>Sentence changed to: “</w:t>
            </w:r>
            <w:r w:rsidRPr="00BE7419">
              <w:rPr>
                <w:rFonts w:asciiTheme="minorHAnsi" w:hAnsiTheme="minorHAnsi" w:cs="Arial"/>
                <w:sz w:val="22"/>
                <w:szCs w:val="22"/>
              </w:rPr>
              <w:t xml:space="preserve">The McNair Program Profile form, found in the application booklet, contains </w:t>
            </w:r>
            <w:r w:rsidRPr="00BE7419">
              <w:rPr>
                <w:rFonts w:asciiTheme="minorHAnsi" w:hAnsiTheme="minorHAnsi" w:cs="Arial"/>
                <w:sz w:val="22"/>
                <w:szCs w:val="22"/>
                <w:highlight w:val="yellow"/>
              </w:rPr>
              <w:t>the funded number criterion and the four</w:t>
            </w:r>
            <w:r w:rsidRPr="00BE7419">
              <w:rPr>
                <w:rFonts w:asciiTheme="minorHAnsi" w:hAnsiTheme="minorHAnsi" w:cs="Arial"/>
                <w:sz w:val="22"/>
                <w:szCs w:val="22"/>
              </w:rPr>
              <w:t xml:space="preserve"> standardized objectives for the program, as well as other information that is needed by the Department.”</w:t>
            </w:r>
          </w:p>
        </w:tc>
        <w:tc>
          <w:tcPr>
            <w:tcW w:w="1260" w:type="dxa"/>
            <w:tcBorders>
              <w:top w:val="single" w:sz="4" w:space="0" w:color="auto"/>
              <w:left w:val="single" w:sz="4" w:space="0" w:color="auto"/>
              <w:bottom w:val="single" w:sz="4" w:space="0" w:color="auto"/>
              <w:right w:val="single" w:sz="4" w:space="0" w:color="auto"/>
            </w:tcBorders>
            <w:hideMark/>
          </w:tcPr>
          <w:p w:rsidR="009B0884" w:rsidRPr="00E62D3F" w:rsidRDefault="009B0884">
            <w:pPr>
              <w:rPr>
                <w:rFonts w:asciiTheme="minorHAnsi" w:eastAsiaTheme="minorHAnsi" w:hAnsiTheme="minorHAnsi" w:cstheme="minorBidi"/>
              </w:rPr>
            </w:pPr>
            <w:r w:rsidRPr="00E62D3F">
              <w:rPr>
                <w:rFonts w:asciiTheme="minorHAnsi" w:hAnsiTheme="minorHAnsi" w:cstheme="minorBidi"/>
              </w:rPr>
              <w:t>Accuracy</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hideMark/>
          </w:tcPr>
          <w:p w:rsidR="009B0884" w:rsidRPr="00BE7419" w:rsidRDefault="009B0884">
            <w:pPr>
              <w:jc w:val="center"/>
              <w:rPr>
                <w:rFonts w:asciiTheme="minorHAnsi" w:eastAsiaTheme="minorHAnsi" w:hAnsiTheme="minorHAnsi" w:cstheme="minorBidi"/>
                <w:sz w:val="22"/>
                <w:szCs w:val="22"/>
              </w:rPr>
            </w:pPr>
            <w:r w:rsidRPr="00BE7419">
              <w:rPr>
                <w:rFonts w:asciiTheme="minorHAnsi" w:hAnsiTheme="minorHAnsi" w:cstheme="minorBidi"/>
                <w:sz w:val="22"/>
                <w:szCs w:val="22"/>
              </w:rPr>
              <w:t>8</w:t>
            </w:r>
          </w:p>
        </w:tc>
        <w:tc>
          <w:tcPr>
            <w:tcW w:w="1580" w:type="dxa"/>
            <w:tcBorders>
              <w:top w:val="single" w:sz="4" w:space="0" w:color="auto"/>
              <w:left w:val="single" w:sz="4" w:space="0" w:color="auto"/>
              <w:bottom w:val="single" w:sz="4" w:space="0" w:color="auto"/>
              <w:right w:val="single" w:sz="4" w:space="0" w:color="auto"/>
            </w:tcBorders>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Arial"/>
                <w:noProof/>
                <w:sz w:val="22"/>
                <w:szCs w:val="22"/>
              </w:rPr>
              <w:t>Competition Highlights</w:t>
            </w:r>
          </w:p>
        </w:tc>
        <w:tc>
          <w:tcPr>
            <w:tcW w:w="6193"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Arial"/>
                <w:sz w:val="22"/>
                <w:szCs w:val="22"/>
              </w:rPr>
              <w:t xml:space="preserve">Sentence changed to: “All applicants are required to propose the percentage at which each of the </w:t>
            </w:r>
            <w:r w:rsidRPr="00BE7419">
              <w:rPr>
                <w:rFonts w:asciiTheme="minorHAnsi" w:hAnsiTheme="minorHAnsi" w:cs="Arial"/>
                <w:sz w:val="22"/>
                <w:szCs w:val="22"/>
                <w:highlight w:val="yellow"/>
              </w:rPr>
              <w:t>four</w:t>
            </w:r>
            <w:r w:rsidRPr="00BE7419">
              <w:rPr>
                <w:rFonts w:asciiTheme="minorHAnsi" w:hAnsiTheme="minorHAnsi" w:cs="Arial"/>
                <w:sz w:val="22"/>
                <w:szCs w:val="22"/>
              </w:rPr>
              <w:t xml:space="preserve"> standardized objectives will be met as related to the participants’ involvement in research or scholarly activities, acceptance and enrollment in a graduate program, continued enrollment in a graduate program, and the attainment of a doctoral degree.”</w:t>
            </w:r>
          </w:p>
        </w:tc>
        <w:tc>
          <w:tcPr>
            <w:tcW w:w="1260" w:type="dxa"/>
            <w:tcBorders>
              <w:top w:val="single" w:sz="4" w:space="0" w:color="auto"/>
              <w:left w:val="single" w:sz="4" w:space="0" w:color="auto"/>
              <w:bottom w:val="single" w:sz="4" w:space="0" w:color="auto"/>
              <w:right w:val="single" w:sz="4" w:space="0" w:color="auto"/>
            </w:tcBorders>
            <w:hideMark/>
          </w:tcPr>
          <w:p w:rsidR="009B0884" w:rsidRPr="00E62D3F" w:rsidRDefault="00697E76">
            <w:pPr>
              <w:rPr>
                <w:rFonts w:asciiTheme="minorHAnsi" w:eastAsiaTheme="minorHAnsi" w:hAnsiTheme="minorHAnsi" w:cstheme="minorBidi"/>
              </w:rPr>
            </w:pPr>
            <w:r>
              <w:rPr>
                <w:rFonts w:asciiTheme="minorHAnsi" w:eastAsiaTheme="minorHAnsi" w:hAnsiTheme="minorHAnsi" w:cstheme="minorBidi"/>
              </w:rPr>
              <w:t>Response to Public Comment; Accuracy and c</w:t>
            </w:r>
            <w:r w:rsidRPr="00E62D3F">
              <w:rPr>
                <w:rFonts w:asciiTheme="minorHAnsi" w:eastAsiaTheme="minorHAnsi" w:hAnsiTheme="minorHAnsi" w:cstheme="minorBidi"/>
              </w:rPr>
              <w:t>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hideMark/>
          </w:tcPr>
          <w:p w:rsidR="009B0884" w:rsidRPr="00BE7419" w:rsidRDefault="009B0884">
            <w:pPr>
              <w:jc w:val="center"/>
              <w:rPr>
                <w:rFonts w:asciiTheme="minorHAnsi" w:eastAsiaTheme="minorHAnsi" w:hAnsiTheme="minorHAnsi" w:cstheme="minorBidi"/>
                <w:sz w:val="22"/>
                <w:szCs w:val="22"/>
              </w:rPr>
            </w:pPr>
            <w:r w:rsidRPr="00BE7419">
              <w:rPr>
                <w:rFonts w:asciiTheme="minorHAnsi" w:hAnsiTheme="minorHAnsi" w:cstheme="minorBidi"/>
                <w:sz w:val="22"/>
                <w:szCs w:val="22"/>
              </w:rPr>
              <w:t>21</w:t>
            </w:r>
          </w:p>
        </w:tc>
        <w:tc>
          <w:tcPr>
            <w:tcW w:w="1580"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Arial"/>
                <w:noProof/>
                <w:sz w:val="22"/>
                <w:szCs w:val="22"/>
              </w:rPr>
              <w:t>Notice Inviting Applications for New Awards (Notice)</w:t>
            </w:r>
          </w:p>
        </w:tc>
        <w:tc>
          <w:tcPr>
            <w:tcW w:w="6193"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theme="minorBidi"/>
                <w:sz w:val="22"/>
                <w:szCs w:val="22"/>
              </w:rPr>
              <w:t>Sentence changed to: “</w:t>
            </w:r>
            <w:r w:rsidRPr="00BE7419">
              <w:rPr>
                <w:rFonts w:asciiTheme="minorHAnsi" w:hAnsiTheme="minorHAnsi" w:cs="Courier New"/>
                <w:sz w:val="22"/>
                <w:szCs w:val="22"/>
              </w:rPr>
              <w:t>Consistent with 34 CFR 75.</w:t>
            </w:r>
            <w:r w:rsidRPr="00BE7419">
              <w:rPr>
                <w:rFonts w:asciiTheme="minorHAnsi" w:hAnsiTheme="minorHAnsi" w:cs="Courier New"/>
                <w:sz w:val="22"/>
                <w:szCs w:val="22"/>
                <w:highlight w:val="yellow"/>
              </w:rPr>
              <w:t>210</w:t>
            </w:r>
            <w:r w:rsidRPr="00BE7419">
              <w:rPr>
                <w:rFonts w:asciiTheme="minorHAnsi" w:hAnsiTheme="minorHAnsi" w:cs="Courier New"/>
                <w:sz w:val="22"/>
                <w:szCs w:val="22"/>
              </w:rPr>
              <w:t>, the Secretary will use the selection criteria outlined in 34 CFR 647.21 to evaluate the applications submitted for new grants under this program.”</w:t>
            </w:r>
          </w:p>
        </w:tc>
        <w:tc>
          <w:tcPr>
            <w:tcW w:w="1260" w:type="dxa"/>
            <w:tcBorders>
              <w:top w:val="single" w:sz="4" w:space="0" w:color="auto"/>
              <w:left w:val="single" w:sz="4" w:space="0" w:color="auto"/>
              <w:bottom w:val="single" w:sz="4" w:space="0" w:color="auto"/>
              <w:right w:val="single" w:sz="4" w:space="0" w:color="auto"/>
            </w:tcBorders>
            <w:hideMark/>
          </w:tcPr>
          <w:p w:rsidR="009B0884" w:rsidRPr="00E62D3F" w:rsidRDefault="009B0884">
            <w:pPr>
              <w:rPr>
                <w:rFonts w:asciiTheme="minorHAnsi" w:eastAsiaTheme="minorHAnsi" w:hAnsiTheme="minorHAnsi" w:cstheme="minorBidi"/>
              </w:rPr>
            </w:pPr>
            <w:r w:rsidRPr="00E62D3F">
              <w:rPr>
                <w:rFonts w:asciiTheme="minorHAnsi" w:hAnsiTheme="minorHAnsi" w:cstheme="minorBidi"/>
              </w:rPr>
              <w:t>Accuracy</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hideMark/>
          </w:tcPr>
          <w:p w:rsidR="009B0884" w:rsidRPr="00BE7419" w:rsidRDefault="009B0884">
            <w:pPr>
              <w:jc w:val="center"/>
              <w:rPr>
                <w:rFonts w:asciiTheme="minorHAnsi" w:eastAsiaTheme="minorHAnsi" w:hAnsiTheme="minorHAnsi" w:cstheme="minorBidi"/>
                <w:sz w:val="22"/>
                <w:szCs w:val="22"/>
              </w:rPr>
            </w:pPr>
            <w:r w:rsidRPr="00BE7419">
              <w:rPr>
                <w:rFonts w:asciiTheme="minorHAnsi" w:hAnsiTheme="minorHAnsi" w:cstheme="minorBidi"/>
                <w:sz w:val="22"/>
                <w:szCs w:val="22"/>
              </w:rPr>
              <w:t>26</w:t>
            </w:r>
          </w:p>
        </w:tc>
        <w:tc>
          <w:tcPr>
            <w:tcW w:w="1580"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Arial"/>
                <w:noProof/>
                <w:sz w:val="22"/>
                <w:szCs w:val="22"/>
              </w:rPr>
              <w:t xml:space="preserve">Notice </w:t>
            </w:r>
          </w:p>
        </w:tc>
        <w:tc>
          <w:tcPr>
            <w:tcW w:w="6193"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theme="minorBidi"/>
                <w:sz w:val="22"/>
                <w:szCs w:val="22"/>
              </w:rPr>
              <w:t xml:space="preserve">Sentence changed to: </w:t>
            </w:r>
            <w:r w:rsidR="00BE7419" w:rsidRPr="00BE7419">
              <w:rPr>
                <w:rFonts w:asciiTheme="minorHAnsi" w:hAnsiTheme="minorHAnsi" w:cstheme="minorBidi"/>
                <w:sz w:val="22"/>
                <w:szCs w:val="22"/>
              </w:rPr>
              <w:t>“</w:t>
            </w:r>
            <w:r w:rsidRPr="00BE7419">
              <w:rPr>
                <w:rFonts w:asciiTheme="minorHAnsi" w:hAnsiTheme="minorHAnsi" w:cs="Courier New"/>
                <w:sz w:val="22"/>
                <w:szCs w:val="22"/>
              </w:rPr>
              <w:t xml:space="preserve">For an applicant currently receiving a McNair Program grant and not applying to serve a different campus, the maximum award is the amount equal to the applicant’s grant award amount for FY 2016 </w:t>
            </w:r>
            <w:r w:rsidRPr="00BE7419">
              <w:rPr>
                <w:rFonts w:asciiTheme="minorHAnsi" w:hAnsiTheme="minorHAnsi" w:cs="Courier New"/>
                <w:sz w:val="22"/>
                <w:szCs w:val="22"/>
                <w:highlight w:val="yellow"/>
              </w:rPr>
              <w:t>(i.e., 2016-17</w:t>
            </w:r>
            <w:r w:rsidRPr="00BE7419">
              <w:rPr>
                <w:rFonts w:asciiTheme="minorHAnsi" w:hAnsiTheme="minorHAnsi" w:cs="Courier New"/>
                <w:sz w:val="22"/>
                <w:szCs w:val="22"/>
              </w:rPr>
              <w:t>). “</w:t>
            </w:r>
          </w:p>
        </w:tc>
        <w:tc>
          <w:tcPr>
            <w:tcW w:w="1260" w:type="dxa"/>
            <w:tcBorders>
              <w:top w:val="single" w:sz="4" w:space="0" w:color="auto"/>
              <w:left w:val="single" w:sz="4" w:space="0" w:color="auto"/>
              <w:bottom w:val="single" w:sz="4" w:space="0" w:color="auto"/>
              <w:right w:val="single" w:sz="4" w:space="0" w:color="auto"/>
            </w:tcBorders>
            <w:hideMark/>
          </w:tcPr>
          <w:p w:rsidR="009B0884" w:rsidRPr="00E62D3F" w:rsidRDefault="009B0884">
            <w:pPr>
              <w:rPr>
                <w:rFonts w:asciiTheme="minorHAnsi" w:eastAsiaTheme="minorHAnsi" w:hAnsiTheme="minorHAnsi" w:cstheme="minorBidi"/>
              </w:rPr>
            </w:pPr>
            <w:r w:rsidRPr="00E62D3F">
              <w:rPr>
                <w:rFonts w:asciiTheme="minorHAnsi" w:hAnsiTheme="minorHAnsi" w:cstheme="minorBidi"/>
              </w:rPr>
              <w:t>Clarification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hideMark/>
          </w:tcPr>
          <w:p w:rsidR="009B0884" w:rsidRPr="00BE7419" w:rsidRDefault="009B0884">
            <w:pPr>
              <w:jc w:val="center"/>
              <w:rPr>
                <w:rFonts w:asciiTheme="minorHAnsi" w:eastAsiaTheme="minorHAnsi" w:hAnsiTheme="minorHAnsi" w:cstheme="minorBidi"/>
                <w:sz w:val="22"/>
                <w:szCs w:val="22"/>
              </w:rPr>
            </w:pPr>
            <w:r w:rsidRPr="00BE7419">
              <w:rPr>
                <w:rFonts w:asciiTheme="minorHAnsi" w:hAnsiTheme="minorHAnsi" w:cstheme="minorBidi"/>
                <w:sz w:val="22"/>
                <w:szCs w:val="22"/>
              </w:rPr>
              <w:t>26</w:t>
            </w:r>
          </w:p>
        </w:tc>
        <w:tc>
          <w:tcPr>
            <w:tcW w:w="1580" w:type="dxa"/>
            <w:tcBorders>
              <w:top w:val="single" w:sz="4" w:space="0" w:color="auto"/>
              <w:left w:val="single" w:sz="4" w:space="0" w:color="auto"/>
              <w:bottom w:val="single" w:sz="4" w:space="0" w:color="auto"/>
              <w:right w:val="single" w:sz="4" w:space="0" w:color="auto"/>
            </w:tcBorders>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Arial"/>
                <w:noProof/>
                <w:sz w:val="22"/>
                <w:szCs w:val="22"/>
              </w:rPr>
              <w:t>Notice</w:t>
            </w:r>
          </w:p>
        </w:tc>
        <w:tc>
          <w:tcPr>
            <w:tcW w:w="6193"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theme="minorBidi"/>
                <w:sz w:val="22"/>
                <w:szCs w:val="22"/>
              </w:rPr>
              <w:t>Sentence changed to: “</w:t>
            </w:r>
            <w:r w:rsidRPr="00BE7419">
              <w:rPr>
                <w:rFonts w:asciiTheme="minorHAnsi" w:hAnsiTheme="minorHAnsi" w:cs="Courier New"/>
                <w:sz w:val="22"/>
                <w:szCs w:val="22"/>
              </w:rPr>
              <w:t xml:space="preserve">This funding will serve at least the same number of participants that was approved for the current project in FY 2016 </w:t>
            </w:r>
            <w:r w:rsidRPr="00BE7419">
              <w:rPr>
                <w:rFonts w:asciiTheme="minorHAnsi" w:hAnsiTheme="minorHAnsi" w:cs="Courier New"/>
                <w:sz w:val="22"/>
                <w:szCs w:val="22"/>
                <w:highlight w:val="yellow"/>
              </w:rPr>
              <w:t>(i.e., 2016-17)</w:t>
            </w:r>
            <w:r w:rsidRPr="00BE7419">
              <w:rPr>
                <w:rFonts w:asciiTheme="minorHAnsi" w:hAnsiTheme="minorHAnsi" w:cs="Courier New"/>
                <w:sz w:val="22"/>
                <w:szCs w:val="22"/>
              </w:rPr>
              <w:t>.”</w:t>
            </w:r>
          </w:p>
        </w:tc>
        <w:tc>
          <w:tcPr>
            <w:tcW w:w="1260" w:type="dxa"/>
            <w:tcBorders>
              <w:top w:val="single" w:sz="4" w:space="0" w:color="auto"/>
              <w:left w:val="single" w:sz="4" w:space="0" w:color="auto"/>
              <w:bottom w:val="single" w:sz="4" w:space="0" w:color="auto"/>
              <w:right w:val="single" w:sz="4" w:space="0" w:color="auto"/>
            </w:tcBorders>
            <w:hideMark/>
          </w:tcPr>
          <w:p w:rsidR="009B0884" w:rsidRPr="00E62D3F" w:rsidRDefault="009B0884">
            <w:pPr>
              <w:rPr>
                <w:rFonts w:asciiTheme="minorHAnsi" w:eastAsiaTheme="minorHAnsi" w:hAnsiTheme="minorHAnsi" w:cstheme="minorBidi"/>
              </w:rPr>
            </w:pPr>
            <w:r w:rsidRPr="00E62D3F">
              <w:rPr>
                <w:rFonts w:asciiTheme="minorHAnsi" w:hAnsiTheme="minorHAnsi" w:cstheme="minorBidi"/>
              </w:rPr>
              <w:t>Clarification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hideMark/>
          </w:tcPr>
          <w:p w:rsidR="009B0884" w:rsidRPr="00BE7419" w:rsidRDefault="009B0884">
            <w:pPr>
              <w:jc w:val="center"/>
              <w:rPr>
                <w:rFonts w:asciiTheme="minorHAnsi" w:eastAsiaTheme="minorHAnsi" w:hAnsiTheme="minorHAnsi" w:cstheme="minorBidi"/>
                <w:sz w:val="22"/>
                <w:szCs w:val="22"/>
              </w:rPr>
            </w:pPr>
            <w:r w:rsidRPr="00BE7419">
              <w:rPr>
                <w:rFonts w:asciiTheme="minorHAnsi" w:hAnsiTheme="minorHAnsi" w:cstheme="minorBidi"/>
                <w:sz w:val="22"/>
                <w:szCs w:val="22"/>
              </w:rPr>
              <w:t>28</w:t>
            </w:r>
          </w:p>
        </w:tc>
        <w:tc>
          <w:tcPr>
            <w:tcW w:w="1580"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theme="minorBidi"/>
                <w:sz w:val="22"/>
                <w:szCs w:val="22"/>
              </w:rPr>
              <w:t>Notice</w:t>
            </w:r>
          </w:p>
        </w:tc>
        <w:tc>
          <w:tcPr>
            <w:tcW w:w="6193" w:type="dxa"/>
            <w:tcBorders>
              <w:top w:val="single" w:sz="4" w:space="0" w:color="auto"/>
              <w:left w:val="single" w:sz="4" w:space="0" w:color="auto"/>
              <w:bottom w:val="single" w:sz="4" w:space="0" w:color="auto"/>
              <w:right w:val="single" w:sz="4" w:space="0" w:color="auto"/>
            </w:tcBorders>
          </w:tcPr>
          <w:p w:rsidR="009B0884" w:rsidRPr="00BE7419" w:rsidRDefault="009B0884">
            <w:pPr>
              <w:tabs>
                <w:tab w:val="left" w:pos="360"/>
              </w:tabs>
              <w:rPr>
                <w:rFonts w:asciiTheme="minorHAnsi" w:eastAsiaTheme="minorHAnsi" w:hAnsiTheme="minorHAnsi" w:cs="Courier New"/>
                <w:sz w:val="22"/>
                <w:szCs w:val="22"/>
              </w:rPr>
            </w:pPr>
            <w:r w:rsidRPr="00BE7419">
              <w:rPr>
                <w:rFonts w:asciiTheme="minorHAnsi" w:hAnsiTheme="minorHAnsi" w:cstheme="minorBidi"/>
                <w:sz w:val="22"/>
                <w:szCs w:val="22"/>
              </w:rPr>
              <w:t>Sentence changed to: “</w:t>
            </w:r>
            <w:r w:rsidRPr="00BE7419">
              <w:rPr>
                <w:rFonts w:asciiTheme="minorHAnsi" w:hAnsiTheme="minorHAnsi" w:cs="Courier New"/>
                <w:sz w:val="22"/>
                <w:szCs w:val="22"/>
              </w:rPr>
              <w:t xml:space="preserve">You must limit the application narrative, which includes the budget narrative, to no more than </w:t>
            </w:r>
            <w:r w:rsidRPr="00BE7419">
              <w:rPr>
                <w:rFonts w:asciiTheme="minorHAnsi" w:hAnsiTheme="minorHAnsi" w:cs="Courier New"/>
                <w:sz w:val="22"/>
                <w:szCs w:val="22"/>
                <w:highlight w:val="yellow"/>
              </w:rPr>
              <w:t>60</w:t>
            </w:r>
            <w:r w:rsidRPr="00BE7419">
              <w:rPr>
                <w:rFonts w:asciiTheme="minorHAnsi" w:hAnsiTheme="minorHAnsi" w:cs="Courier New"/>
                <w:sz w:val="22"/>
                <w:szCs w:val="22"/>
              </w:rPr>
              <w:t xml:space="preserve"> pages using the following standards: </w:t>
            </w:r>
            <w:r w:rsidR="00BE7419" w:rsidRPr="00BE7419">
              <w:rPr>
                <w:rFonts w:asciiTheme="minorHAnsi" w:hAnsiTheme="minorHAnsi" w:cs="Courier New"/>
                <w:sz w:val="22"/>
                <w:szCs w:val="22"/>
              </w:rPr>
              <w:t>“</w:t>
            </w:r>
          </w:p>
          <w:p w:rsidR="009B0884" w:rsidRPr="00BE7419" w:rsidRDefault="009B0884">
            <w:pPr>
              <w:rPr>
                <w:rFonts w:asciiTheme="minorHAnsi" w:eastAsiaTheme="minorHAnsi" w:hAnsiTheme="minorHAnsi" w:cstheme="minorBidi"/>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9B0884" w:rsidRPr="00E62D3F" w:rsidRDefault="00697E76">
            <w:pPr>
              <w:rPr>
                <w:rFonts w:asciiTheme="minorHAnsi" w:eastAsiaTheme="minorHAnsi" w:hAnsiTheme="minorHAnsi" w:cstheme="minorBidi"/>
              </w:rPr>
            </w:pPr>
            <w:r>
              <w:rPr>
                <w:rFonts w:asciiTheme="minorHAnsi" w:eastAsiaTheme="minorHAnsi" w:hAnsiTheme="minorHAnsi" w:cstheme="minorBidi"/>
              </w:rPr>
              <w:t>Response to Public Comment; Accuracy and c</w:t>
            </w:r>
            <w:r w:rsidRPr="00E62D3F">
              <w:rPr>
                <w:rFonts w:asciiTheme="minorHAnsi" w:eastAsiaTheme="minorHAnsi" w:hAnsiTheme="minorHAnsi" w:cstheme="minorBidi"/>
              </w:rPr>
              <w:t>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hideMark/>
          </w:tcPr>
          <w:p w:rsidR="009B0884" w:rsidRPr="00BE7419" w:rsidRDefault="009B0884">
            <w:pPr>
              <w:jc w:val="center"/>
              <w:rPr>
                <w:rFonts w:asciiTheme="minorHAnsi" w:eastAsiaTheme="minorHAnsi" w:hAnsiTheme="minorHAnsi" w:cstheme="minorBidi"/>
                <w:sz w:val="22"/>
                <w:szCs w:val="22"/>
              </w:rPr>
            </w:pPr>
            <w:r w:rsidRPr="00BE7419">
              <w:rPr>
                <w:rFonts w:asciiTheme="minorHAnsi" w:hAnsiTheme="minorHAnsi" w:cstheme="minorBidi"/>
                <w:sz w:val="22"/>
                <w:szCs w:val="22"/>
              </w:rPr>
              <w:t>43</w:t>
            </w:r>
          </w:p>
        </w:tc>
        <w:tc>
          <w:tcPr>
            <w:tcW w:w="1580" w:type="dxa"/>
            <w:tcBorders>
              <w:top w:val="single" w:sz="4" w:space="0" w:color="auto"/>
              <w:left w:val="single" w:sz="4" w:space="0" w:color="auto"/>
              <w:bottom w:val="single" w:sz="4" w:space="0" w:color="auto"/>
              <w:right w:val="single" w:sz="4" w:space="0" w:color="auto"/>
            </w:tcBorders>
            <w:hideMark/>
          </w:tcPr>
          <w:p w:rsidR="009B0884" w:rsidRPr="00BE7419" w:rsidRDefault="009B0884">
            <w:pPr>
              <w:rPr>
                <w:rFonts w:asciiTheme="minorHAnsi" w:eastAsiaTheme="minorHAnsi" w:hAnsiTheme="minorHAnsi" w:cstheme="minorBidi"/>
                <w:sz w:val="22"/>
                <w:szCs w:val="22"/>
              </w:rPr>
            </w:pPr>
            <w:r w:rsidRPr="00BE7419">
              <w:rPr>
                <w:rFonts w:asciiTheme="minorHAnsi" w:hAnsiTheme="minorHAnsi" w:cstheme="minorBidi"/>
                <w:sz w:val="22"/>
                <w:szCs w:val="22"/>
              </w:rPr>
              <w:t>Notice</w:t>
            </w:r>
          </w:p>
        </w:tc>
        <w:tc>
          <w:tcPr>
            <w:tcW w:w="6193" w:type="dxa"/>
            <w:tcBorders>
              <w:top w:val="single" w:sz="4" w:space="0" w:color="auto"/>
              <w:left w:val="single" w:sz="4" w:space="0" w:color="auto"/>
              <w:bottom w:val="single" w:sz="4" w:space="0" w:color="auto"/>
              <w:right w:val="single" w:sz="4" w:space="0" w:color="auto"/>
            </w:tcBorders>
          </w:tcPr>
          <w:p w:rsidR="009B0884" w:rsidRPr="00BE7419" w:rsidRDefault="009B0884">
            <w:pPr>
              <w:rPr>
                <w:rFonts w:asciiTheme="minorHAnsi" w:hAnsiTheme="minorHAnsi" w:cstheme="minorBidi"/>
                <w:sz w:val="22"/>
                <w:szCs w:val="22"/>
              </w:rPr>
            </w:pPr>
            <w:r w:rsidRPr="00BE7419">
              <w:rPr>
                <w:rFonts w:asciiTheme="minorHAnsi" w:hAnsiTheme="minorHAnsi" w:cstheme="minorBidi"/>
                <w:sz w:val="22"/>
                <w:szCs w:val="22"/>
              </w:rPr>
              <w:t xml:space="preserve">Language added:  </w:t>
            </w:r>
          </w:p>
          <w:p w:rsidR="009B0884" w:rsidRPr="00BE7419" w:rsidRDefault="009B0884">
            <w:pPr>
              <w:rPr>
                <w:rFonts w:asciiTheme="minorHAnsi" w:eastAsiaTheme="minorHAnsi" w:hAnsiTheme="minorHAnsi" w:cs="Courier New"/>
                <w:sz w:val="22"/>
                <w:szCs w:val="22"/>
              </w:rPr>
            </w:pPr>
            <w:r w:rsidRPr="00BE7419">
              <w:rPr>
                <w:rFonts w:asciiTheme="minorHAnsi" w:hAnsiTheme="minorHAnsi" w:cstheme="minorBidi"/>
                <w:sz w:val="22"/>
                <w:szCs w:val="22"/>
              </w:rPr>
              <w:t>“</w:t>
            </w:r>
            <w:r w:rsidRPr="00BE7419">
              <w:rPr>
                <w:rFonts w:asciiTheme="minorHAnsi" w:hAnsiTheme="minorHAnsi" w:cs="Courier New"/>
                <w:sz w:val="22"/>
                <w:szCs w:val="22"/>
              </w:rPr>
              <w:t>1.</w:t>
            </w:r>
            <w:r w:rsidRPr="00BE7419">
              <w:rPr>
                <w:rFonts w:asciiTheme="minorHAnsi" w:hAnsiTheme="minorHAnsi" w:cs="Courier New"/>
                <w:sz w:val="22"/>
                <w:szCs w:val="22"/>
              </w:rPr>
              <w:tab/>
            </w:r>
            <w:r w:rsidRPr="00BE7419">
              <w:rPr>
                <w:rFonts w:asciiTheme="minorHAnsi" w:hAnsiTheme="minorHAnsi" w:cs="Courier New"/>
                <w:sz w:val="22"/>
                <w:szCs w:val="22"/>
                <w:u w:val="single"/>
              </w:rPr>
              <w:t>Selection Criteria</w:t>
            </w:r>
            <w:r w:rsidRPr="00BE7419">
              <w:rPr>
                <w:rFonts w:asciiTheme="minorHAnsi" w:hAnsiTheme="minorHAnsi" w:cs="Courier New"/>
                <w:sz w:val="22"/>
                <w:szCs w:val="22"/>
              </w:rPr>
              <w:t xml:space="preserve">:  The selection criteria for this </w:t>
            </w:r>
            <w:r w:rsidR="00697E76">
              <w:rPr>
                <w:rFonts w:asciiTheme="minorHAnsi" w:hAnsiTheme="minorHAnsi" w:cs="Courier New"/>
                <w:sz w:val="22"/>
                <w:szCs w:val="22"/>
              </w:rPr>
              <w:t xml:space="preserve"> </w:t>
            </w:r>
            <w:r w:rsidRPr="00BE7419">
              <w:rPr>
                <w:rFonts w:asciiTheme="minorHAnsi" w:hAnsiTheme="minorHAnsi" w:cs="Courier New"/>
                <w:sz w:val="22"/>
                <w:szCs w:val="22"/>
              </w:rPr>
              <w:t xml:space="preserve">competition </w:t>
            </w:r>
            <w:r w:rsidRPr="00BE7419">
              <w:rPr>
                <w:rFonts w:asciiTheme="minorHAnsi" w:hAnsiTheme="minorHAnsi" w:cs="Courier New"/>
                <w:sz w:val="22"/>
                <w:szCs w:val="22"/>
                <w:highlight w:val="yellow"/>
              </w:rPr>
              <w:t>total 110 points and are from 34 CFR 647.21 and</w:t>
            </w:r>
            <w:r w:rsidRPr="00BE7419">
              <w:rPr>
                <w:rFonts w:asciiTheme="minorHAnsi" w:hAnsiTheme="minorHAnsi" w:cs="Courier New"/>
                <w:sz w:val="22"/>
                <w:szCs w:val="22"/>
              </w:rPr>
              <w:t xml:space="preserve"> </w:t>
            </w:r>
            <w:r w:rsidRPr="00BE7419">
              <w:rPr>
                <w:rFonts w:asciiTheme="minorHAnsi" w:hAnsiTheme="minorHAnsi" w:cs="Courier New"/>
                <w:sz w:val="22"/>
                <w:szCs w:val="22"/>
                <w:highlight w:val="yellow"/>
              </w:rPr>
              <w:lastRenderedPageBreak/>
              <w:t>34.CFR 75.210</w:t>
            </w:r>
            <w:r w:rsidRPr="00BE7419">
              <w:rPr>
                <w:rFonts w:asciiTheme="minorHAnsi" w:hAnsiTheme="minorHAnsi" w:cs="Courier New"/>
                <w:sz w:val="22"/>
                <w:szCs w:val="22"/>
              </w:rPr>
              <w:t>:</w:t>
            </w:r>
          </w:p>
          <w:p w:rsidR="009B0884" w:rsidRPr="00BE7419" w:rsidRDefault="009B0884">
            <w:pPr>
              <w:rPr>
                <w:rFonts w:asciiTheme="minorHAnsi" w:hAnsiTheme="minorHAnsi" w:cs="Courier New"/>
                <w:sz w:val="22"/>
                <w:szCs w:val="22"/>
                <w:highlight w:val="yellow"/>
              </w:rPr>
            </w:pPr>
            <w:r w:rsidRPr="00BE7419">
              <w:rPr>
                <w:rFonts w:asciiTheme="minorHAnsi" w:hAnsiTheme="minorHAnsi" w:cs="Courier New"/>
                <w:sz w:val="22"/>
                <w:szCs w:val="22"/>
              </w:rPr>
              <w:t xml:space="preserve"> </w:t>
            </w:r>
            <w:r w:rsidRPr="00BE7419">
              <w:rPr>
                <w:rFonts w:asciiTheme="minorHAnsi" w:hAnsiTheme="minorHAnsi" w:cs="Courier New"/>
                <w:sz w:val="22"/>
                <w:szCs w:val="22"/>
              </w:rPr>
              <w:tab/>
            </w:r>
            <w:r w:rsidRPr="00BE7419">
              <w:rPr>
                <w:rFonts w:asciiTheme="minorHAnsi" w:hAnsiTheme="minorHAnsi" w:cs="Courier New"/>
                <w:sz w:val="22"/>
                <w:szCs w:val="22"/>
                <w:highlight w:val="yellow"/>
              </w:rPr>
              <w:t>(a)  Need (16 Points).  The Secretary reviews each application to determine the extent to which the applicant can clearly and definitively demonstrate the need for a McNair project to serve the target population.  In particular, the Secretary looks for information that clearly defines the target population; describes the academic, financial and other problems that prevent potentially eligible project participants in the target population from completing baccalaureate programs and continuing to postbaccalaureate programs; and demonstrates that the project's target population is underrepresented in graduate education, doctorate degrees conferred and careers where a doctorate is a prerequisite.</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(b)  Objectives (9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w:t>
            </w:r>
          </w:p>
          <w:p w:rsidR="009B0884" w:rsidRPr="00BE7419" w:rsidRDefault="009B0884">
            <w:pPr>
              <w:ind w:left="720"/>
              <w:rPr>
                <w:rFonts w:asciiTheme="minorHAnsi" w:hAnsiTheme="minorHAnsi" w:cs="Courier New"/>
                <w:sz w:val="22"/>
                <w:szCs w:val="22"/>
                <w:highlight w:val="yellow"/>
              </w:rPr>
            </w:pPr>
            <w:r w:rsidRPr="00BE7419">
              <w:rPr>
                <w:rFonts w:asciiTheme="minorHAnsi" w:hAnsiTheme="minorHAnsi" w:cs="Courier New"/>
                <w:sz w:val="22"/>
                <w:szCs w:val="22"/>
                <w:highlight w:val="yellow"/>
              </w:rPr>
              <w:t>(1)  (2 points) Research or scholarly activity.</w:t>
            </w:r>
          </w:p>
          <w:p w:rsidR="009B0884" w:rsidRPr="00BE7419" w:rsidRDefault="009B0884">
            <w:pPr>
              <w:ind w:left="720"/>
              <w:rPr>
                <w:rFonts w:asciiTheme="minorHAnsi" w:hAnsiTheme="minorHAnsi" w:cs="Courier New"/>
                <w:sz w:val="22"/>
                <w:szCs w:val="22"/>
                <w:highlight w:val="yellow"/>
              </w:rPr>
            </w:pPr>
            <w:r w:rsidRPr="00BE7419">
              <w:rPr>
                <w:rFonts w:asciiTheme="minorHAnsi" w:hAnsiTheme="minorHAnsi" w:cs="Courier New"/>
                <w:sz w:val="22"/>
                <w:szCs w:val="22"/>
                <w:highlight w:val="yellow"/>
              </w:rPr>
              <w:t>(2)  (3 points) Enrollment in a graduate program.</w:t>
            </w:r>
          </w:p>
          <w:p w:rsidR="009B0884" w:rsidRPr="00BE7419" w:rsidRDefault="009B0884">
            <w:pPr>
              <w:ind w:left="720"/>
              <w:rPr>
                <w:rFonts w:asciiTheme="minorHAnsi" w:hAnsiTheme="minorHAnsi" w:cs="Courier New"/>
                <w:sz w:val="22"/>
                <w:szCs w:val="22"/>
                <w:highlight w:val="yellow"/>
              </w:rPr>
            </w:pPr>
            <w:r w:rsidRPr="00BE7419">
              <w:rPr>
                <w:rFonts w:asciiTheme="minorHAnsi" w:hAnsiTheme="minorHAnsi" w:cs="Courier New"/>
                <w:sz w:val="22"/>
                <w:szCs w:val="22"/>
                <w:highlight w:val="yellow"/>
              </w:rPr>
              <w:t>(3)  (2 points) Continued enrollment in graduate study.</w:t>
            </w:r>
          </w:p>
          <w:p w:rsidR="009B0884" w:rsidRPr="00BE7419" w:rsidRDefault="009B0884">
            <w:pPr>
              <w:ind w:left="720"/>
              <w:rPr>
                <w:rFonts w:asciiTheme="minorHAnsi" w:hAnsiTheme="minorHAnsi" w:cs="Courier New"/>
                <w:sz w:val="22"/>
                <w:szCs w:val="22"/>
                <w:highlight w:val="yellow"/>
              </w:rPr>
            </w:pPr>
            <w:r w:rsidRPr="00BE7419">
              <w:rPr>
                <w:rFonts w:asciiTheme="minorHAnsi" w:hAnsiTheme="minorHAnsi" w:cs="Courier New"/>
                <w:sz w:val="22"/>
                <w:szCs w:val="22"/>
                <w:highlight w:val="yellow"/>
              </w:rPr>
              <w:t>(4)  (2 points) Doctoral degree attainment.</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(c)  Plan of Operation (44 points).  The Secretary reviews each application to determine the quality of the applicant's plans of operation, including--</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(1)  (4 points) The plan for identifying, recruiting and selecting participants to be served by the project, including students enrolled in the Student Support Services program;</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(2)  (4 points) The plan for assessing individual participant needs and for monitoring the academic growth of participants during the period in which the student is a McNair participant;</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(3)  (5 points) The plan for providing high quality research and scholarly activities in which participants will be involved;</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(4)  (5 points) The plan for involving faculty members in the design of research activities in which students will be involved;</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(5)  (5 points) The plan for providing internships, seminars, and other educational activities designed to prepare undergraduate students for doctoral study;</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(6)  (5 points) The plan for providing individual or group services designed to enhance a student's successful entry into postbaccalaureate education;</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(7)  (3 points) The plan to inform the institutional community of the goals and objectives of the project;</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 xml:space="preserve">(8)  (8 points) The plan to ensure proper and efficient administration of the project, including, but not limited to, matters such as financial management, student records management, personnel management, the organizational </w:t>
            </w:r>
            <w:r w:rsidRPr="00BE7419">
              <w:rPr>
                <w:rFonts w:asciiTheme="minorHAnsi" w:hAnsiTheme="minorHAnsi" w:cs="Courier New"/>
                <w:sz w:val="22"/>
                <w:szCs w:val="22"/>
                <w:highlight w:val="yellow"/>
              </w:rPr>
              <w:lastRenderedPageBreak/>
              <w:t>structure, and the plan for coordinating the McNair project with other programs for disadvantaged students; and</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(9)  (5 points) The follow-up plan that will be used to track the academic and career accomplishments of participants after they are no longer participating in the McNair project.</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(d)  Quality of key personnel (9 points).  The Secretary evaluates the quality of key personnel the applicant plans to use on the project on the basis of the following:</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(1)(</w:t>
            </w:r>
            <w:proofErr w:type="spellStart"/>
            <w:r w:rsidRPr="00BE7419">
              <w:rPr>
                <w:rFonts w:asciiTheme="minorHAnsi" w:hAnsiTheme="minorHAnsi" w:cs="Courier New"/>
                <w:sz w:val="22"/>
                <w:szCs w:val="22"/>
                <w:highlight w:val="yellow"/>
              </w:rPr>
              <w:t>i</w:t>
            </w:r>
            <w:proofErr w:type="spellEnd"/>
            <w:r w:rsidRPr="00BE7419">
              <w:rPr>
                <w:rFonts w:asciiTheme="minorHAnsi" w:hAnsiTheme="minorHAnsi" w:cs="Courier New"/>
                <w:sz w:val="22"/>
                <w:szCs w:val="22"/>
                <w:highlight w:val="yellow"/>
              </w:rPr>
              <w:t>)  The job qualifications of the project director.</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 xml:space="preserve">(ii)  The job qualifications of each of the </w:t>
            </w:r>
            <w:proofErr w:type="gramStart"/>
            <w:r w:rsidRPr="00BE7419">
              <w:rPr>
                <w:rFonts w:asciiTheme="minorHAnsi" w:hAnsiTheme="minorHAnsi" w:cs="Courier New"/>
                <w:sz w:val="22"/>
                <w:szCs w:val="22"/>
                <w:highlight w:val="yellow"/>
              </w:rPr>
              <w:t>project's</w:t>
            </w:r>
            <w:proofErr w:type="gramEnd"/>
            <w:r w:rsidRPr="00BE7419">
              <w:rPr>
                <w:rFonts w:asciiTheme="minorHAnsi" w:hAnsiTheme="minorHAnsi" w:cs="Courier New"/>
                <w:sz w:val="22"/>
                <w:szCs w:val="22"/>
                <w:highlight w:val="yellow"/>
              </w:rPr>
              <w:t xml:space="preserve"> other key personnel.</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(iii)  The quality of the project's plan for employing highly qualified persons, including the procedures to be used to employ members of groups underrepresented in higher education, including Blacks, Hispanics, American Indians, Alaska Natives, Asian Americans and Pacific Islanders (including Native Hawaiians).</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(2)  In evaluating the qualifications of a person, the Secretary considers his or her experience and training in fields related to the objectives of the project.</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(e)  Adequacy of the resources and budget (15 points).  The Secretary evaluates the extent to which—</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(1)  The applicant's proposed allocation of resources in the budget is clearly related to the objectives of the project;</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(2)  Project costs and resources, including facilities, equipment, and supplies, are reasonable in relation to the objectives and scope of the project; and</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(3)  The applicant's proposed commitment of institutional resources to the McNair participants, as for example, the commitment of time from institutional research faculty and the waiver of tuition and fees for McNair participants engaged in summer research projects.</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(f)  Evaluation plan (7 points).  The Secretary evaluates the quality of the evaluation plan for the project on the basis of the extent to which the applicant's methods of evaluation—</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(1)  Are appropriate to the project's objectives;</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(2)  Provide for the applicant to determine, in specific and measurable ways, the success of the project in—</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w:t>
            </w:r>
            <w:proofErr w:type="spellStart"/>
            <w:r w:rsidRPr="00BE7419">
              <w:rPr>
                <w:rFonts w:asciiTheme="minorHAnsi" w:hAnsiTheme="minorHAnsi" w:cs="Courier New"/>
                <w:sz w:val="22"/>
                <w:szCs w:val="22"/>
                <w:highlight w:val="yellow"/>
              </w:rPr>
              <w:t>i</w:t>
            </w:r>
            <w:proofErr w:type="spellEnd"/>
            <w:r w:rsidRPr="00BE7419">
              <w:rPr>
                <w:rFonts w:asciiTheme="minorHAnsi" w:hAnsiTheme="minorHAnsi" w:cs="Courier New"/>
                <w:sz w:val="22"/>
                <w:szCs w:val="22"/>
                <w:highlight w:val="yellow"/>
              </w:rPr>
              <w:t>)  Making progress toward achieving its objectives (a formative evaluation); and</w:t>
            </w:r>
          </w:p>
          <w:p w:rsidR="009B0884" w:rsidRPr="00BE7419" w:rsidRDefault="009B0884">
            <w:pPr>
              <w:ind w:firstLine="720"/>
              <w:rPr>
                <w:rFonts w:asciiTheme="minorHAnsi" w:hAnsiTheme="minorHAnsi" w:cs="Courier New"/>
                <w:sz w:val="22"/>
                <w:szCs w:val="22"/>
                <w:highlight w:val="yellow"/>
              </w:rPr>
            </w:pPr>
            <w:r w:rsidRPr="00BE7419">
              <w:rPr>
                <w:rFonts w:asciiTheme="minorHAnsi" w:hAnsiTheme="minorHAnsi" w:cs="Courier New"/>
                <w:sz w:val="22"/>
                <w:szCs w:val="22"/>
                <w:highlight w:val="yellow"/>
              </w:rPr>
              <w:t>(ii)  Achieving its objectives at the end of the project period (a) summative evaluation); and</w:t>
            </w:r>
          </w:p>
          <w:p w:rsidR="009B0884" w:rsidRPr="00BE7419" w:rsidRDefault="009B0884">
            <w:pPr>
              <w:ind w:firstLine="720"/>
              <w:rPr>
                <w:rFonts w:asciiTheme="minorHAnsi" w:hAnsiTheme="minorHAnsi" w:cs="Courier New"/>
                <w:sz w:val="22"/>
                <w:szCs w:val="22"/>
              </w:rPr>
            </w:pPr>
            <w:r w:rsidRPr="00BE7419">
              <w:rPr>
                <w:rFonts w:asciiTheme="minorHAnsi" w:hAnsiTheme="minorHAnsi" w:cs="Courier New"/>
                <w:sz w:val="22"/>
                <w:szCs w:val="22"/>
                <w:highlight w:val="yellow"/>
              </w:rPr>
              <w:t>(3)  Provide for a description of other project outcomes, including the use of quantifiable measures, if appropriate.</w:t>
            </w:r>
          </w:p>
          <w:p w:rsidR="009B0884" w:rsidRPr="00BE7419" w:rsidRDefault="009B0884">
            <w:pPr>
              <w:ind w:firstLine="720"/>
              <w:rPr>
                <w:rFonts w:asciiTheme="minorHAnsi" w:hAnsiTheme="minorHAnsi" w:cs="Courier New"/>
                <w:sz w:val="22"/>
                <w:szCs w:val="22"/>
              </w:rPr>
            </w:pPr>
            <w:r w:rsidRPr="00BE7419">
              <w:rPr>
                <w:rFonts w:asciiTheme="minorHAnsi" w:hAnsiTheme="minorHAnsi" w:cs="Courier New"/>
                <w:sz w:val="22"/>
                <w:szCs w:val="22"/>
                <w:highlight w:val="yellow"/>
              </w:rPr>
              <w:t>(g)  Quality of project design (5 points).  The Secretary considers the quality of the design of the proposed project.  In determining the quality of the design of the proposed project, the Secretary considers the extent to which the proposed project is supported by strong theory (as defined in this notice).</w:t>
            </w:r>
            <w:r w:rsidRPr="00BE7419">
              <w:rPr>
                <w:rFonts w:asciiTheme="minorHAnsi" w:hAnsiTheme="minorHAnsi" w:cs="Courier New"/>
                <w:sz w:val="22"/>
                <w:szCs w:val="22"/>
              </w:rPr>
              <w:t xml:space="preserve"> </w:t>
            </w:r>
            <w:r w:rsidR="00BE7419" w:rsidRPr="00BE7419">
              <w:rPr>
                <w:rFonts w:asciiTheme="minorHAnsi" w:hAnsiTheme="minorHAnsi" w:cs="Courier New"/>
                <w:sz w:val="22"/>
                <w:szCs w:val="22"/>
              </w:rPr>
              <w:t>“</w:t>
            </w:r>
          </w:p>
          <w:p w:rsidR="009B0884" w:rsidRPr="00BE7419" w:rsidRDefault="009B0884">
            <w:pPr>
              <w:rPr>
                <w:rFonts w:asciiTheme="minorHAnsi" w:eastAsiaTheme="minorHAnsi" w:hAnsiTheme="minorHAnsi" w:cstheme="minorBidi"/>
                <w:sz w:val="22"/>
                <w:szCs w:val="22"/>
              </w:rPr>
            </w:pPr>
          </w:p>
        </w:tc>
        <w:tc>
          <w:tcPr>
            <w:tcW w:w="1260" w:type="dxa"/>
            <w:tcBorders>
              <w:top w:val="single" w:sz="4" w:space="0" w:color="auto"/>
              <w:left w:val="single" w:sz="4" w:space="0" w:color="auto"/>
              <w:bottom w:val="single" w:sz="4" w:space="0" w:color="auto"/>
              <w:right w:val="single" w:sz="4" w:space="0" w:color="auto"/>
            </w:tcBorders>
          </w:tcPr>
          <w:p w:rsidR="009B0884" w:rsidRPr="00E62D3F" w:rsidRDefault="00697E76">
            <w:pPr>
              <w:rPr>
                <w:rFonts w:asciiTheme="minorHAnsi" w:eastAsiaTheme="minorHAnsi" w:hAnsiTheme="minorHAnsi" w:cstheme="minorBidi"/>
              </w:rPr>
            </w:pPr>
            <w:r>
              <w:rPr>
                <w:rFonts w:asciiTheme="minorHAnsi" w:eastAsiaTheme="minorHAnsi" w:hAnsiTheme="minorHAnsi" w:cstheme="minorBidi"/>
              </w:rPr>
              <w:lastRenderedPageBreak/>
              <w:t xml:space="preserve">Response to Public Comment; </w:t>
            </w:r>
            <w:r>
              <w:rPr>
                <w:rFonts w:asciiTheme="minorHAnsi" w:eastAsiaTheme="minorHAnsi" w:hAnsiTheme="minorHAnsi" w:cstheme="minorBidi"/>
              </w:rPr>
              <w:lastRenderedPageBreak/>
              <w:t>Accuracy and c</w:t>
            </w:r>
            <w:r w:rsidRPr="00E62D3F">
              <w:rPr>
                <w:rFonts w:asciiTheme="minorHAnsi" w:eastAsiaTheme="minorHAnsi" w:hAnsiTheme="minorHAnsi" w:cstheme="minorBidi"/>
              </w:rPr>
              <w:t>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tcPr>
          <w:p w:rsidR="009B0884" w:rsidRPr="00E62D3F" w:rsidRDefault="000F6C19">
            <w:pPr>
              <w:jc w:val="center"/>
              <w:rPr>
                <w:rFonts w:asciiTheme="minorHAnsi" w:eastAsiaTheme="minorHAnsi" w:hAnsiTheme="minorHAnsi" w:cstheme="minorBidi"/>
                <w:sz w:val="22"/>
                <w:szCs w:val="22"/>
              </w:rPr>
            </w:pPr>
            <w:r w:rsidRPr="00E62D3F">
              <w:rPr>
                <w:rFonts w:asciiTheme="minorHAnsi" w:eastAsiaTheme="minorHAnsi" w:hAnsiTheme="minorHAnsi" w:cstheme="minorBidi"/>
                <w:sz w:val="22"/>
                <w:szCs w:val="22"/>
              </w:rPr>
              <w:lastRenderedPageBreak/>
              <w:t>83</w:t>
            </w:r>
          </w:p>
        </w:tc>
        <w:tc>
          <w:tcPr>
            <w:tcW w:w="1580" w:type="dxa"/>
            <w:tcBorders>
              <w:top w:val="single" w:sz="4" w:space="0" w:color="auto"/>
              <w:left w:val="single" w:sz="4" w:space="0" w:color="auto"/>
              <w:bottom w:val="single" w:sz="4" w:space="0" w:color="auto"/>
              <w:right w:val="single" w:sz="4" w:space="0" w:color="auto"/>
            </w:tcBorders>
          </w:tcPr>
          <w:p w:rsidR="009B0884" w:rsidRPr="00E62D3F" w:rsidRDefault="000F6C19">
            <w:pPr>
              <w:rPr>
                <w:rFonts w:asciiTheme="minorHAnsi" w:eastAsiaTheme="minorHAnsi" w:hAnsiTheme="minorHAnsi" w:cstheme="minorBidi"/>
                <w:sz w:val="22"/>
                <w:szCs w:val="22"/>
              </w:rPr>
            </w:pPr>
            <w:r w:rsidRPr="00E62D3F">
              <w:rPr>
                <w:rFonts w:asciiTheme="minorHAnsi" w:eastAsiaTheme="minorHAnsi" w:hAnsiTheme="minorHAnsi" w:cstheme="minorBidi"/>
                <w:sz w:val="22"/>
                <w:szCs w:val="22"/>
              </w:rPr>
              <w:t>Supplemental Information</w:t>
            </w:r>
          </w:p>
        </w:tc>
        <w:tc>
          <w:tcPr>
            <w:tcW w:w="6193" w:type="dxa"/>
            <w:tcBorders>
              <w:top w:val="single" w:sz="4" w:space="0" w:color="auto"/>
              <w:left w:val="single" w:sz="4" w:space="0" w:color="auto"/>
              <w:bottom w:val="single" w:sz="4" w:space="0" w:color="auto"/>
              <w:right w:val="single" w:sz="4" w:space="0" w:color="auto"/>
            </w:tcBorders>
          </w:tcPr>
          <w:p w:rsidR="006D071A" w:rsidRPr="006D071A" w:rsidRDefault="006D071A" w:rsidP="000F6C19">
            <w:pPr>
              <w:rPr>
                <w:rFonts w:asciiTheme="minorHAnsi" w:hAnsiTheme="minorHAnsi" w:cs="Arial"/>
                <w:b/>
                <w:color w:val="000000"/>
                <w:sz w:val="22"/>
                <w:szCs w:val="22"/>
              </w:rPr>
            </w:pPr>
            <w:r w:rsidRPr="006D071A">
              <w:rPr>
                <w:rFonts w:asciiTheme="minorHAnsi" w:eastAsiaTheme="minorHAnsi" w:hAnsiTheme="minorHAnsi" w:cstheme="minorBidi"/>
                <w:sz w:val="22"/>
                <w:szCs w:val="22"/>
              </w:rPr>
              <w:t>Heading changed to :  “</w:t>
            </w:r>
            <w:r w:rsidRPr="006D071A">
              <w:rPr>
                <w:rFonts w:asciiTheme="minorHAnsi" w:hAnsiTheme="minorHAnsi" w:cs="Arial"/>
                <w:b/>
                <w:color w:val="000000"/>
                <w:sz w:val="22"/>
                <w:szCs w:val="22"/>
                <w:highlight w:val="yellow"/>
              </w:rPr>
              <w:t>Prior Experience – Successful FY 2017 Applicants”</w:t>
            </w:r>
          </w:p>
          <w:p w:rsidR="006D071A" w:rsidRPr="006D071A" w:rsidRDefault="000F6C19" w:rsidP="000F6C19">
            <w:pPr>
              <w:rPr>
                <w:rFonts w:asciiTheme="minorHAnsi" w:eastAsiaTheme="minorHAnsi" w:hAnsiTheme="minorHAnsi" w:cstheme="minorBidi"/>
                <w:sz w:val="22"/>
                <w:szCs w:val="22"/>
              </w:rPr>
            </w:pPr>
            <w:r w:rsidRPr="006D071A">
              <w:rPr>
                <w:rFonts w:asciiTheme="minorHAnsi" w:eastAsiaTheme="minorHAnsi" w:hAnsiTheme="minorHAnsi" w:cstheme="minorBidi"/>
                <w:sz w:val="22"/>
                <w:szCs w:val="22"/>
              </w:rPr>
              <w:t>Sentence</w:t>
            </w:r>
            <w:r w:rsidR="006D071A" w:rsidRPr="006D071A">
              <w:rPr>
                <w:rFonts w:asciiTheme="minorHAnsi" w:eastAsiaTheme="minorHAnsi" w:hAnsiTheme="minorHAnsi" w:cstheme="minorBidi"/>
                <w:sz w:val="22"/>
                <w:szCs w:val="22"/>
              </w:rPr>
              <w:t>s</w:t>
            </w:r>
            <w:r w:rsidRPr="006D071A">
              <w:rPr>
                <w:rFonts w:asciiTheme="minorHAnsi" w:eastAsiaTheme="minorHAnsi" w:hAnsiTheme="minorHAnsi" w:cstheme="minorBidi"/>
                <w:sz w:val="22"/>
                <w:szCs w:val="22"/>
              </w:rPr>
              <w:t xml:space="preserve"> changed to: </w:t>
            </w:r>
          </w:p>
          <w:p w:rsidR="006D071A" w:rsidRPr="006D071A" w:rsidRDefault="006D071A" w:rsidP="000F6C19">
            <w:pPr>
              <w:rPr>
                <w:rFonts w:asciiTheme="minorHAnsi" w:eastAsiaTheme="minorHAnsi" w:hAnsiTheme="minorHAnsi" w:cstheme="minorBidi"/>
                <w:sz w:val="22"/>
                <w:szCs w:val="22"/>
              </w:rPr>
            </w:pPr>
            <w:r w:rsidRPr="006D071A">
              <w:rPr>
                <w:rFonts w:asciiTheme="minorHAnsi" w:eastAsiaTheme="minorHAnsi" w:hAnsiTheme="minorHAnsi" w:cstheme="minorBidi"/>
                <w:sz w:val="22"/>
                <w:szCs w:val="22"/>
              </w:rPr>
              <w:t>“</w:t>
            </w:r>
            <w:r w:rsidRPr="006D071A">
              <w:rPr>
                <w:rFonts w:asciiTheme="minorHAnsi" w:hAnsiTheme="minorHAnsi" w:cs="Arial"/>
                <w:color w:val="000000"/>
                <w:sz w:val="22"/>
                <w:szCs w:val="22"/>
              </w:rPr>
              <w:t xml:space="preserve">In accordance with 34 CFR 647.22, the Secretary will award prior experience (PE) points to applicants that have conducted a TRIO McNair Program project during these fiscal years: </w:t>
            </w:r>
            <w:r w:rsidRPr="006D071A">
              <w:rPr>
                <w:rFonts w:asciiTheme="minorHAnsi" w:hAnsiTheme="minorHAnsi" w:cs="Arial"/>
                <w:color w:val="000000"/>
                <w:sz w:val="22"/>
                <w:szCs w:val="22"/>
                <w:highlight w:val="yellow"/>
              </w:rPr>
              <w:t>2018-19, 2019-20 and 2020-21</w:t>
            </w:r>
            <w:r w:rsidRPr="006D071A">
              <w:rPr>
                <w:rFonts w:asciiTheme="minorHAnsi" w:hAnsiTheme="minorHAnsi" w:cs="Arial"/>
                <w:color w:val="000000"/>
                <w:sz w:val="22"/>
                <w:szCs w:val="22"/>
              </w:rPr>
              <w:t>.”</w:t>
            </w:r>
          </w:p>
          <w:p w:rsidR="000F6C19" w:rsidRPr="00BE7419" w:rsidRDefault="000F6C19" w:rsidP="000F6C19">
            <w:pPr>
              <w:rPr>
                <w:rFonts w:asciiTheme="minorHAnsi" w:hAnsiTheme="minorHAnsi" w:cs="Arial"/>
                <w:sz w:val="22"/>
                <w:szCs w:val="22"/>
              </w:rPr>
            </w:pPr>
            <w:r w:rsidRPr="006D071A">
              <w:rPr>
                <w:rFonts w:asciiTheme="minorHAnsi" w:eastAsiaTheme="minorHAnsi" w:hAnsiTheme="minorHAnsi" w:cstheme="minorBidi"/>
                <w:sz w:val="22"/>
                <w:szCs w:val="22"/>
              </w:rPr>
              <w:t>“</w:t>
            </w:r>
            <w:r w:rsidRPr="006D071A">
              <w:rPr>
                <w:rFonts w:asciiTheme="minorHAnsi" w:hAnsiTheme="minorHAnsi" w:cs="Arial"/>
                <w:sz w:val="22"/>
                <w:szCs w:val="22"/>
              </w:rPr>
              <w:t>If you receive a FY 20</w:t>
            </w:r>
            <w:r w:rsidRPr="00BE7419">
              <w:rPr>
                <w:rFonts w:asciiTheme="minorHAnsi" w:hAnsiTheme="minorHAnsi" w:cs="Arial"/>
                <w:sz w:val="22"/>
                <w:szCs w:val="22"/>
              </w:rPr>
              <w:t xml:space="preserve">17 new grant award, you will be required to submit annual performance reports during the five-year funding cycle using the Education Department’s </w:t>
            </w:r>
            <w:r w:rsidRPr="00BE7419">
              <w:rPr>
                <w:rFonts w:asciiTheme="minorHAnsi" w:hAnsiTheme="minorHAnsi" w:cs="Arial"/>
                <w:sz w:val="22"/>
                <w:szCs w:val="22"/>
                <w:highlight w:val="yellow"/>
              </w:rPr>
              <w:t>web-based data collection application system</w:t>
            </w:r>
            <w:r w:rsidRPr="00BE7419">
              <w:rPr>
                <w:rFonts w:asciiTheme="minorHAnsi" w:hAnsiTheme="minorHAnsi" w:cs="Arial"/>
                <w:sz w:val="22"/>
                <w:szCs w:val="22"/>
              </w:rPr>
              <w:t xml:space="preserve">.  This </w:t>
            </w:r>
            <w:r w:rsidRPr="00BE7419">
              <w:rPr>
                <w:rFonts w:asciiTheme="minorHAnsi" w:hAnsiTheme="minorHAnsi" w:cs="Arial"/>
                <w:sz w:val="22"/>
                <w:szCs w:val="22"/>
                <w:highlight w:val="yellow"/>
              </w:rPr>
              <w:t>web-based</w:t>
            </w:r>
            <w:r w:rsidRPr="00BE7419">
              <w:rPr>
                <w:rFonts w:asciiTheme="minorHAnsi" w:hAnsiTheme="minorHAnsi" w:cs="Arial"/>
                <w:sz w:val="22"/>
                <w:szCs w:val="22"/>
              </w:rPr>
              <w:t xml:space="preserve"> system collects data about funded projects to enable program specialists to determine if a grantee is making substantial progress toward meeting approved project objectives </w:t>
            </w:r>
            <w:r w:rsidRPr="00BE7419">
              <w:rPr>
                <w:rFonts w:asciiTheme="minorHAnsi" w:hAnsiTheme="minorHAnsi" w:cs="Arial"/>
                <w:sz w:val="22"/>
                <w:szCs w:val="22"/>
                <w:highlight w:val="yellow"/>
              </w:rPr>
              <w:t>as well as to calculate projects’ prior experience points</w:t>
            </w:r>
            <w:r w:rsidRPr="00BE7419">
              <w:rPr>
                <w:rFonts w:asciiTheme="minorHAnsi" w:hAnsiTheme="minorHAnsi" w:cs="Arial"/>
                <w:sz w:val="22"/>
                <w:szCs w:val="22"/>
              </w:rPr>
              <w:t xml:space="preserve">. </w:t>
            </w:r>
            <w:r w:rsidR="00BE7419" w:rsidRPr="00BE7419">
              <w:rPr>
                <w:rFonts w:asciiTheme="minorHAnsi" w:hAnsiTheme="minorHAnsi" w:cs="Arial"/>
                <w:sz w:val="22"/>
                <w:szCs w:val="22"/>
              </w:rPr>
              <w:t>“</w:t>
            </w:r>
          </w:p>
          <w:p w:rsidR="009B0884" w:rsidRPr="00BE7419" w:rsidRDefault="009B0884">
            <w:pPr>
              <w:rPr>
                <w:rFonts w:asciiTheme="minorHAnsi" w:eastAsiaTheme="minorHAnsi" w:hAnsiTheme="minorHAnsi" w:cstheme="minorBidi"/>
                <w:sz w:val="22"/>
                <w:szCs w:val="22"/>
              </w:rPr>
            </w:pPr>
          </w:p>
        </w:tc>
        <w:tc>
          <w:tcPr>
            <w:tcW w:w="1260" w:type="dxa"/>
            <w:tcBorders>
              <w:top w:val="single" w:sz="4" w:space="0" w:color="auto"/>
              <w:left w:val="single" w:sz="4" w:space="0" w:color="auto"/>
              <w:bottom w:val="single" w:sz="4" w:space="0" w:color="auto"/>
              <w:right w:val="single" w:sz="4" w:space="0" w:color="auto"/>
            </w:tcBorders>
          </w:tcPr>
          <w:p w:rsidR="009B0884" w:rsidRPr="00E62D3F" w:rsidRDefault="000F6C19">
            <w:pPr>
              <w:rPr>
                <w:rFonts w:asciiTheme="minorHAnsi" w:eastAsiaTheme="minorHAnsi" w:hAnsiTheme="minorHAnsi" w:cstheme="minorBidi"/>
              </w:rPr>
            </w:pPr>
            <w:r w:rsidRPr="00E62D3F">
              <w:rPr>
                <w:rFonts w:asciiTheme="minorHAnsi" w:eastAsiaTheme="minorHAnsi" w:hAnsiTheme="minorHAnsi" w:cstheme="minorBidi"/>
              </w:rPr>
              <w:t>Clarification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tcPr>
          <w:p w:rsidR="009B0884" w:rsidRPr="00E62D3F" w:rsidRDefault="006D071A">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84</w:t>
            </w:r>
          </w:p>
        </w:tc>
        <w:tc>
          <w:tcPr>
            <w:tcW w:w="1580" w:type="dxa"/>
            <w:tcBorders>
              <w:top w:val="single" w:sz="4" w:space="0" w:color="auto"/>
              <w:left w:val="single" w:sz="4" w:space="0" w:color="auto"/>
              <w:bottom w:val="single" w:sz="4" w:space="0" w:color="auto"/>
              <w:right w:val="single" w:sz="4" w:space="0" w:color="auto"/>
            </w:tcBorders>
          </w:tcPr>
          <w:p w:rsidR="009B0884" w:rsidRPr="00E62D3F" w:rsidRDefault="000F6C19">
            <w:pPr>
              <w:rPr>
                <w:rFonts w:asciiTheme="minorHAnsi" w:eastAsiaTheme="minorHAnsi" w:hAnsiTheme="minorHAnsi" w:cstheme="minorBidi"/>
                <w:sz w:val="22"/>
                <w:szCs w:val="22"/>
              </w:rPr>
            </w:pPr>
            <w:r w:rsidRPr="00E62D3F">
              <w:rPr>
                <w:rFonts w:asciiTheme="minorHAnsi" w:eastAsiaTheme="minorHAnsi" w:hAnsiTheme="minorHAnsi" w:cstheme="minorBidi"/>
                <w:sz w:val="22"/>
                <w:szCs w:val="22"/>
              </w:rPr>
              <w:t>McNair Program Profile Sheet</w:t>
            </w:r>
          </w:p>
        </w:tc>
        <w:tc>
          <w:tcPr>
            <w:tcW w:w="6193" w:type="dxa"/>
            <w:tcBorders>
              <w:top w:val="single" w:sz="4" w:space="0" w:color="auto"/>
              <w:left w:val="single" w:sz="4" w:space="0" w:color="auto"/>
              <w:bottom w:val="single" w:sz="4" w:space="0" w:color="auto"/>
              <w:right w:val="single" w:sz="4" w:space="0" w:color="auto"/>
            </w:tcBorders>
          </w:tcPr>
          <w:p w:rsidR="000F6C19" w:rsidRPr="00BE7419" w:rsidRDefault="000F6C19" w:rsidP="000F6C19">
            <w:pPr>
              <w:pStyle w:val="NoSpacing"/>
              <w:rPr>
                <w:rFonts w:asciiTheme="minorHAnsi" w:hAnsiTheme="minorHAnsi" w:cs="Arial"/>
                <w:b/>
                <w:bCs/>
                <w:iCs/>
                <w:sz w:val="22"/>
                <w:szCs w:val="22"/>
                <w:u w:val="single"/>
              </w:rPr>
            </w:pPr>
            <w:r w:rsidRPr="00BE7419">
              <w:rPr>
                <w:rFonts w:asciiTheme="minorHAnsi" w:hAnsiTheme="minorHAnsi" w:cs="Arial"/>
                <w:b/>
                <w:bCs/>
                <w:iCs/>
                <w:sz w:val="22"/>
                <w:szCs w:val="22"/>
                <w:u w:val="single"/>
              </w:rPr>
              <w:t>Progra</w:t>
            </w:r>
            <w:r w:rsidR="00BE7419" w:rsidRPr="00BE7419">
              <w:rPr>
                <w:rFonts w:asciiTheme="minorHAnsi" w:hAnsiTheme="minorHAnsi" w:cs="Arial"/>
                <w:b/>
                <w:bCs/>
                <w:iCs/>
                <w:sz w:val="22"/>
                <w:szCs w:val="22"/>
                <w:u w:val="single"/>
              </w:rPr>
              <w:t>m Objective language updated to</w:t>
            </w:r>
            <w:r w:rsidRPr="00BE7419">
              <w:rPr>
                <w:rFonts w:asciiTheme="minorHAnsi" w:hAnsiTheme="minorHAnsi" w:cs="Arial"/>
                <w:b/>
                <w:bCs/>
                <w:iCs/>
                <w:sz w:val="22"/>
                <w:szCs w:val="22"/>
                <w:u w:val="single"/>
              </w:rPr>
              <w:t>:</w:t>
            </w:r>
            <w:r w:rsidR="00BE7419" w:rsidRPr="00BE7419">
              <w:rPr>
                <w:rFonts w:asciiTheme="minorHAnsi" w:hAnsiTheme="minorHAnsi" w:cs="Arial"/>
                <w:b/>
                <w:bCs/>
                <w:iCs/>
                <w:sz w:val="22"/>
                <w:szCs w:val="22"/>
              </w:rPr>
              <w:t xml:space="preserve">  </w:t>
            </w:r>
            <w:r w:rsidRPr="00BE7419">
              <w:rPr>
                <w:rFonts w:asciiTheme="minorHAnsi" w:hAnsiTheme="minorHAnsi" w:cs="Arial"/>
                <w:b/>
                <w:bCs/>
                <w:iCs/>
                <w:sz w:val="22"/>
                <w:szCs w:val="22"/>
                <w:u w:val="single"/>
              </w:rPr>
              <w:t xml:space="preserve">“Research </w:t>
            </w:r>
            <w:r w:rsidRPr="00BE7419">
              <w:rPr>
                <w:rFonts w:asciiTheme="minorHAnsi" w:hAnsiTheme="minorHAnsi" w:cs="Arial"/>
                <w:b/>
                <w:bCs/>
                <w:iCs/>
                <w:sz w:val="22"/>
                <w:szCs w:val="22"/>
                <w:highlight w:val="yellow"/>
                <w:u w:val="single"/>
              </w:rPr>
              <w:t>or</w:t>
            </w:r>
            <w:r w:rsidRPr="00BE7419">
              <w:rPr>
                <w:rFonts w:asciiTheme="minorHAnsi" w:hAnsiTheme="minorHAnsi" w:cs="Arial"/>
                <w:b/>
                <w:bCs/>
                <w:iCs/>
                <w:sz w:val="22"/>
                <w:szCs w:val="22"/>
                <w:u w:val="single"/>
              </w:rPr>
              <w:t xml:space="preserve"> Scholarly Activities</w:t>
            </w:r>
          </w:p>
          <w:p w:rsidR="000F6C19" w:rsidRPr="00BE7419" w:rsidRDefault="000F6C19" w:rsidP="000F6C19">
            <w:pPr>
              <w:pStyle w:val="NoSpacing"/>
              <w:rPr>
                <w:rFonts w:asciiTheme="minorHAnsi" w:hAnsiTheme="minorHAnsi" w:cs="Arial"/>
                <w:bCs/>
                <w:iCs/>
                <w:sz w:val="22"/>
                <w:szCs w:val="22"/>
                <w:u w:val="single"/>
              </w:rPr>
            </w:pPr>
          </w:p>
          <w:p w:rsidR="000F6C19" w:rsidRPr="00BE7419" w:rsidRDefault="000F6C19" w:rsidP="000F6C19">
            <w:pPr>
              <w:pStyle w:val="NoSpacing"/>
              <w:rPr>
                <w:rFonts w:asciiTheme="minorHAnsi" w:hAnsiTheme="minorHAnsi" w:cs="Arial"/>
                <w:sz w:val="22"/>
                <w:szCs w:val="22"/>
              </w:rPr>
            </w:pPr>
            <w:r w:rsidRPr="00BE7419">
              <w:rPr>
                <w:rFonts w:asciiTheme="minorHAnsi" w:hAnsiTheme="minorHAnsi" w:cs="Arial"/>
                <w:bCs/>
                <w:iCs/>
                <w:sz w:val="22"/>
                <w:szCs w:val="22"/>
              </w:rPr>
              <w:t xml:space="preserve"> ____% </w:t>
            </w:r>
            <w:r w:rsidRPr="00BE7419">
              <w:rPr>
                <w:rFonts w:asciiTheme="minorHAnsi" w:hAnsiTheme="minorHAnsi" w:cs="Arial"/>
                <w:sz w:val="22"/>
                <w:szCs w:val="22"/>
              </w:rPr>
              <w:t xml:space="preserve">of McNair Program participants served during the project year will have completed appropriate research </w:t>
            </w:r>
            <w:r w:rsidRPr="00BE7419">
              <w:rPr>
                <w:rFonts w:asciiTheme="minorHAnsi" w:hAnsiTheme="minorHAnsi" w:cs="Arial"/>
                <w:sz w:val="22"/>
                <w:szCs w:val="22"/>
                <w:highlight w:val="yellow"/>
              </w:rPr>
              <w:t>or</w:t>
            </w:r>
            <w:r w:rsidRPr="00BE7419">
              <w:rPr>
                <w:rFonts w:asciiTheme="minorHAnsi" w:hAnsiTheme="minorHAnsi" w:cs="Arial"/>
                <w:sz w:val="22"/>
                <w:szCs w:val="22"/>
              </w:rPr>
              <w:t xml:space="preserve"> scholarly activities during the McNair Program academic year. “</w:t>
            </w:r>
          </w:p>
          <w:p w:rsidR="009B0884" w:rsidRPr="00BE7419" w:rsidRDefault="009B0884">
            <w:pPr>
              <w:rPr>
                <w:rFonts w:asciiTheme="minorHAnsi" w:eastAsiaTheme="minorHAnsi" w:hAnsiTheme="minorHAnsi" w:cstheme="minorBidi"/>
                <w:sz w:val="22"/>
                <w:szCs w:val="22"/>
              </w:rPr>
            </w:pPr>
          </w:p>
        </w:tc>
        <w:tc>
          <w:tcPr>
            <w:tcW w:w="1260" w:type="dxa"/>
            <w:tcBorders>
              <w:top w:val="single" w:sz="4" w:space="0" w:color="auto"/>
              <w:left w:val="single" w:sz="4" w:space="0" w:color="auto"/>
              <w:bottom w:val="single" w:sz="4" w:space="0" w:color="auto"/>
              <w:right w:val="single" w:sz="4" w:space="0" w:color="auto"/>
            </w:tcBorders>
          </w:tcPr>
          <w:p w:rsidR="009B0884" w:rsidRPr="00E62D3F" w:rsidRDefault="00FA2F79" w:rsidP="00FA2F79">
            <w:pPr>
              <w:rPr>
                <w:rFonts w:asciiTheme="minorHAnsi" w:eastAsiaTheme="minorHAnsi" w:hAnsiTheme="minorHAnsi" w:cstheme="minorBidi"/>
              </w:rPr>
            </w:pPr>
            <w:r>
              <w:rPr>
                <w:rFonts w:asciiTheme="minorHAnsi" w:eastAsiaTheme="minorHAnsi" w:hAnsiTheme="minorHAnsi" w:cstheme="minorBidi"/>
              </w:rPr>
              <w:t>Response to Public Comment; Accuracy and c</w:t>
            </w:r>
            <w:r w:rsidR="000F6C19" w:rsidRPr="00E62D3F">
              <w:rPr>
                <w:rFonts w:asciiTheme="minorHAnsi" w:eastAsiaTheme="minorHAnsi" w:hAnsiTheme="minorHAnsi" w:cstheme="minorBidi"/>
              </w:rPr>
              <w:t>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tcPr>
          <w:p w:rsidR="009B0884" w:rsidRPr="00E62D3F" w:rsidRDefault="000F6C19">
            <w:pPr>
              <w:jc w:val="center"/>
              <w:rPr>
                <w:rFonts w:asciiTheme="minorHAnsi" w:eastAsiaTheme="minorHAnsi" w:hAnsiTheme="minorHAnsi" w:cstheme="minorBidi"/>
                <w:sz w:val="22"/>
                <w:szCs w:val="22"/>
              </w:rPr>
            </w:pPr>
            <w:r w:rsidRPr="00E62D3F">
              <w:rPr>
                <w:rFonts w:asciiTheme="minorHAnsi" w:eastAsiaTheme="minorHAnsi" w:hAnsiTheme="minorHAnsi" w:cstheme="minorBidi"/>
                <w:sz w:val="22"/>
                <w:szCs w:val="22"/>
              </w:rPr>
              <w:t>85</w:t>
            </w:r>
          </w:p>
        </w:tc>
        <w:tc>
          <w:tcPr>
            <w:tcW w:w="1580" w:type="dxa"/>
            <w:tcBorders>
              <w:top w:val="single" w:sz="4" w:space="0" w:color="auto"/>
              <w:left w:val="single" w:sz="4" w:space="0" w:color="auto"/>
              <w:bottom w:val="single" w:sz="4" w:space="0" w:color="auto"/>
              <w:right w:val="single" w:sz="4" w:space="0" w:color="auto"/>
            </w:tcBorders>
          </w:tcPr>
          <w:p w:rsidR="009B0884" w:rsidRPr="00E62D3F" w:rsidRDefault="000F6C19">
            <w:pPr>
              <w:rPr>
                <w:rFonts w:asciiTheme="minorHAnsi" w:eastAsiaTheme="minorHAnsi" w:hAnsiTheme="minorHAnsi" w:cstheme="minorBidi"/>
                <w:sz w:val="22"/>
                <w:szCs w:val="22"/>
              </w:rPr>
            </w:pPr>
            <w:r w:rsidRPr="00E62D3F">
              <w:rPr>
                <w:rFonts w:asciiTheme="minorHAnsi" w:eastAsiaTheme="minorHAnsi" w:hAnsiTheme="minorHAnsi" w:cstheme="minorBidi"/>
                <w:sz w:val="22"/>
                <w:szCs w:val="22"/>
              </w:rPr>
              <w:t>McNair Program Profile Sheet</w:t>
            </w:r>
          </w:p>
        </w:tc>
        <w:tc>
          <w:tcPr>
            <w:tcW w:w="6193" w:type="dxa"/>
            <w:tcBorders>
              <w:top w:val="single" w:sz="4" w:space="0" w:color="auto"/>
              <w:left w:val="single" w:sz="4" w:space="0" w:color="auto"/>
              <w:bottom w:val="single" w:sz="4" w:space="0" w:color="auto"/>
              <w:right w:val="single" w:sz="4" w:space="0" w:color="auto"/>
            </w:tcBorders>
          </w:tcPr>
          <w:p w:rsidR="009B0884" w:rsidRPr="00BE7419" w:rsidRDefault="000F6C19">
            <w:pPr>
              <w:rPr>
                <w:rFonts w:asciiTheme="minorHAnsi" w:eastAsiaTheme="minorHAnsi" w:hAnsiTheme="minorHAnsi" w:cstheme="minorBidi"/>
                <w:sz w:val="22"/>
                <w:szCs w:val="22"/>
              </w:rPr>
            </w:pPr>
            <w:r w:rsidRPr="00BE7419">
              <w:rPr>
                <w:rFonts w:asciiTheme="minorHAnsi" w:eastAsiaTheme="minorHAnsi" w:hAnsiTheme="minorHAnsi" w:cstheme="minorBidi"/>
                <w:sz w:val="22"/>
                <w:szCs w:val="22"/>
              </w:rPr>
              <w:t>Definition language changed to: “</w:t>
            </w:r>
            <w:r w:rsidRPr="00BE7419">
              <w:rPr>
                <w:rFonts w:asciiTheme="minorHAnsi" w:hAnsiTheme="minorHAnsi" w:cs="Arial"/>
                <w:b/>
                <w:sz w:val="22"/>
                <w:szCs w:val="22"/>
              </w:rPr>
              <w:t xml:space="preserve">Research and Scholarly Activities:  </w:t>
            </w:r>
            <w:r w:rsidRPr="00BE7419">
              <w:rPr>
                <w:rFonts w:asciiTheme="minorHAnsi" w:hAnsiTheme="minorHAnsi" w:cs="Arial"/>
                <w:sz w:val="22"/>
                <w:szCs w:val="22"/>
              </w:rPr>
              <w:t xml:space="preserve">an educational activity that is more rigorous than is typically available to undergraduates in a classroom setting, that is definitive in its start and end dates, </w:t>
            </w:r>
            <w:r w:rsidRPr="00BE7419">
              <w:rPr>
                <w:rFonts w:asciiTheme="minorHAnsi" w:hAnsiTheme="minorHAnsi" w:cs="Arial"/>
                <w:sz w:val="22"/>
                <w:szCs w:val="22"/>
                <w:highlight w:val="yellow"/>
              </w:rPr>
              <w:t>that</w:t>
            </w:r>
            <w:r w:rsidRPr="00BE7419">
              <w:rPr>
                <w:rFonts w:asciiTheme="minorHAnsi" w:hAnsiTheme="minorHAnsi" w:cs="Arial"/>
                <w:sz w:val="22"/>
                <w:szCs w:val="22"/>
              </w:rPr>
              <w:t xml:space="preserve"> contains appropriate benchmarks for completion of various components, and is conducted under the guidance of an appropriate faculty member with experience in the relevant discipline.”</w:t>
            </w:r>
          </w:p>
        </w:tc>
        <w:tc>
          <w:tcPr>
            <w:tcW w:w="1260" w:type="dxa"/>
            <w:tcBorders>
              <w:top w:val="single" w:sz="4" w:space="0" w:color="auto"/>
              <w:left w:val="single" w:sz="4" w:space="0" w:color="auto"/>
              <w:bottom w:val="single" w:sz="4" w:space="0" w:color="auto"/>
              <w:right w:val="single" w:sz="4" w:space="0" w:color="auto"/>
            </w:tcBorders>
          </w:tcPr>
          <w:p w:rsidR="009B0884" w:rsidRPr="00E62D3F" w:rsidRDefault="00FA2F79">
            <w:pPr>
              <w:rPr>
                <w:rFonts w:asciiTheme="minorHAnsi" w:eastAsiaTheme="minorHAnsi" w:hAnsiTheme="minorHAnsi" w:cstheme="minorBidi"/>
              </w:rPr>
            </w:pPr>
            <w:r>
              <w:rPr>
                <w:rFonts w:asciiTheme="minorHAnsi" w:eastAsiaTheme="minorHAnsi" w:hAnsiTheme="minorHAnsi" w:cstheme="minorBidi"/>
              </w:rPr>
              <w:t>Response to Public Comment; Accuracy and c</w:t>
            </w:r>
            <w:r w:rsidRPr="00E62D3F">
              <w:rPr>
                <w:rFonts w:asciiTheme="minorHAnsi" w:eastAsiaTheme="minorHAnsi" w:hAnsiTheme="minorHAnsi" w:cstheme="minorBidi"/>
              </w:rPr>
              <w:t>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tcPr>
          <w:p w:rsidR="009B0884" w:rsidRPr="00E62D3F" w:rsidRDefault="000F6C19">
            <w:pPr>
              <w:jc w:val="center"/>
              <w:rPr>
                <w:rFonts w:asciiTheme="minorHAnsi" w:eastAsiaTheme="minorHAnsi" w:hAnsiTheme="minorHAnsi" w:cstheme="minorBidi"/>
                <w:sz w:val="22"/>
                <w:szCs w:val="22"/>
              </w:rPr>
            </w:pPr>
            <w:r w:rsidRPr="00E62D3F">
              <w:rPr>
                <w:rFonts w:asciiTheme="minorHAnsi" w:eastAsiaTheme="minorHAnsi" w:hAnsiTheme="minorHAnsi" w:cstheme="minorBidi"/>
                <w:sz w:val="22"/>
                <w:szCs w:val="22"/>
              </w:rPr>
              <w:t>88 - 91</w:t>
            </w:r>
          </w:p>
        </w:tc>
        <w:tc>
          <w:tcPr>
            <w:tcW w:w="1580" w:type="dxa"/>
            <w:tcBorders>
              <w:top w:val="single" w:sz="4" w:space="0" w:color="auto"/>
              <w:left w:val="single" w:sz="4" w:space="0" w:color="auto"/>
              <w:bottom w:val="single" w:sz="4" w:space="0" w:color="auto"/>
              <w:right w:val="single" w:sz="4" w:space="0" w:color="auto"/>
            </w:tcBorders>
          </w:tcPr>
          <w:p w:rsidR="009B0884" w:rsidRPr="00E62D3F" w:rsidRDefault="000F6C19">
            <w:pPr>
              <w:rPr>
                <w:rFonts w:asciiTheme="minorHAnsi" w:eastAsiaTheme="minorHAnsi" w:hAnsiTheme="minorHAnsi" w:cstheme="minorBidi"/>
                <w:sz w:val="22"/>
                <w:szCs w:val="22"/>
              </w:rPr>
            </w:pPr>
            <w:r w:rsidRPr="00E62D3F">
              <w:rPr>
                <w:rFonts w:asciiTheme="minorHAnsi" w:eastAsiaTheme="minorHAnsi" w:hAnsiTheme="minorHAnsi" w:cstheme="minorBidi"/>
                <w:sz w:val="22"/>
                <w:szCs w:val="22"/>
              </w:rPr>
              <w:t>Prior Experience</w:t>
            </w:r>
          </w:p>
        </w:tc>
        <w:tc>
          <w:tcPr>
            <w:tcW w:w="6193" w:type="dxa"/>
            <w:tcBorders>
              <w:top w:val="single" w:sz="4" w:space="0" w:color="auto"/>
              <w:left w:val="single" w:sz="4" w:space="0" w:color="auto"/>
              <w:bottom w:val="single" w:sz="4" w:space="0" w:color="auto"/>
              <w:right w:val="single" w:sz="4" w:space="0" w:color="auto"/>
            </w:tcBorders>
          </w:tcPr>
          <w:p w:rsidR="00090DA9" w:rsidRDefault="00090DA9" w:rsidP="00090DA9">
            <w:pPr>
              <w:rPr>
                <w:rFonts w:asciiTheme="minorHAnsi" w:eastAsiaTheme="minorHAnsi" w:hAnsiTheme="minorHAnsi" w:cstheme="minorBidi"/>
                <w:sz w:val="22"/>
                <w:szCs w:val="22"/>
              </w:rPr>
            </w:pPr>
            <w:r w:rsidRPr="00BE7419">
              <w:rPr>
                <w:rFonts w:asciiTheme="minorHAnsi" w:eastAsiaTheme="minorHAnsi" w:hAnsiTheme="minorHAnsi" w:cstheme="minorBidi"/>
                <w:sz w:val="22"/>
                <w:szCs w:val="22"/>
              </w:rPr>
              <w:t xml:space="preserve">All language changed to: </w:t>
            </w:r>
          </w:p>
          <w:p w:rsidR="006D071A" w:rsidRDefault="006D071A" w:rsidP="00090DA9">
            <w:pPr>
              <w:rPr>
                <w:rFonts w:asciiTheme="minorHAnsi" w:eastAsiaTheme="minorHAnsi" w:hAnsiTheme="minorHAnsi" w:cstheme="minorBidi"/>
                <w:sz w:val="22"/>
                <w:szCs w:val="22"/>
              </w:rPr>
            </w:pPr>
          </w:p>
          <w:p w:rsidR="006D071A" w:rsidRPr="006D071A" w:rsidRDefault="006D071A" w:rsidP="00090DA9">
            <w:pPr>
              <w:rPr>
                <w:rFonts w:asciiTheme="minorHAnsi" w:eastAsiaTheme="minorHAnsi" w:hAnsiTheme="minorHAnsi" w:cstheme="minorBidi"/>
                <w:sz w:val="22"/>
                <w:szCs w:val="22"/>
              </w:rPr>
            </w:pPr>
            <w:r w:rsidRPr="006D071A">
              <w:rPr>
                <w:rFonts w:asciiTheme="minorHAnsi" w:eastAsiaTheme="minorHAnsi" w:hAnsiTheme="minorHAnsi" w:cstheme="minorBidi"/>
                <w:sz w:val="22"/>
                <w:szCs w:val="22"/>
                <w:highlight w:val="yellow"/>
              </w:rPr>
              <w:t>“</w:t>
            </w:r>
            <w:r w:rsidRPr="006D071A">
              <w:rPr>
                <w:rFonts w:ascii="Times New Roman" w:hAnsi="Times New Roman"/>
                <w:b/>
                <w:bCs/>
                <w:iCs/>
                <w:sz w:val="22"/>
                <w:szCs w:val="22"/>
                <w:highlight w:val="yellow"/>
              </w:rPr>
              <w:t>Prior Experience for Currently Funded Grantees</w:t>
            </w:r>
          </w:p>
          <w:p w:rsidR="006D071A" w:rsidRPr="00BE7419" w:rsidRDefault="006D071A" w:rsidP="00090DA9">
            <w:pPr>
              <w:rPr>
                <w:rFonts w:asciiTheme="minorHAnsi" w:eastAsiaTheme="minorHAnsi" w:hAnsiTheme="minorHAnsi" w:cstheme="minorBidi"/>
                <w:sz w:val="22"/>
                <w:szCs w:val="22"/>
              </w:rPr>
            </w:pPr>
          </w:p>
          <w:p w:rsidR="00FF1608" w:rsidRPr="00325692" w:rsidRDefault="00FF1608" w:rsidP="00FF1608">
            <w:pPr>
              <w:pStyle w:val="Footer"/>
              <w:jc w:val="center"/>
              <w:outlineLvl w:val="0"/>
              <w:rPr>
                <w:rFonts w:ascii="Garamond" w:hAnsi="Garamond" w:cs="Arial"/>
                <w:b/>
                <w:bCs/>
                <w:i/>
                <w:iCs/>
                <w:highlight w:val="yellow"/>
              </w:rPr>
            </w:pPr>
            <w:r w:rsidRPr="00325692">
              <w:rPr>
                <w:rFonts w:ascii="Garamond" w:hAnsi="Garamond" w:cs="Arial"/>
                <w:b/>
                <w:bCs/>
                <w:i/>
                <w:iCs/>
                <w:highlight w:val="yellow"/>
              </w:rPr>
              <w:t xml:space="preserve">Prior Experience Objectives and Calculations for </w:t>
            </w:r>
            <w:r w:rsidRPr="00325692">
              <w:rPr>
                <w:rFonts w:ascii="Garamond" w:hAnsi="Garamond" w:cs="Arial"/>
                <w:b/>
                <w:bCs/>
                <w:i/>
                <w:highlight w:val="yellow"/>
              </w:rPr>
              <w:t>McNair Projects</w:t>
            </w:r>
            <w:r w:rsidRPr="00325692">
              <w:rPr>
                <w:rFonts w:ascii="Garamond" w:hAnsi="Garamond" w:cs="Arial"/>
                <w:b/>
                <w:bCs/>
                <w:highlight w:val="yellow"/>
              </w:rPr>
              <w:t xml:space="preserve"> </w:t>
            </w:r>
            <w:r w:rsidRPr="00325692">
              <w:rPr>
                <w:rFonts w:ascii="Garamond" w:hAnsi="Garamond" w:cs="Arial"/>
                <w:b/>
                <w:bCs/>
                <w:i/>
                <w:highlight w:val="yellow"/>
              </w:rPr>
              <w:t>Operating in Project Years</w:t>
            </w:r>
            <w:r w:rsidRPr="00325692">
              <w:rPr>
                <w:rFonts w:ascii="Garamond" w:hAnsi="Garamond" w:cs="Arial"/>
                <w:b/>
                <w:bCs/>
                <w:i/>
                <w:iCs/>
                <w:highlight w:val="yellow"/>
              </w:rPr>
              <w:t xml:space="preserve"> </w:t>
            </w:r>
            <w:r w:rsidRPr="00325692">
              <w:rPr>
                <w:rFonts w:ascii="Garamond" w:hAnsi="Garamond" w:cs="Arial"/>
                <w:b/>
                <w:bCs/>
                <w:i/>
                <w:highlight w:val="yellow"/>
              </w:rPr>
              <w:t>2013-14, 2014-15 and 2015-16</w:t>
            </w:r>
          </w:p>
          <w:p w:rsidR="00FF1608" w:rsidRPr="00325692" w:rsidRDefault="00FF1608" w:rsidP="00FF1608">
            <w:pPr>
              <w:pStyle w:val="Footer"/>
              <w:outlineLvl w:val="0"/>
              <w:rPr>
                <w:rFonts w:ascii="Garamond" w:hAnsi="Garamond" w:cs="Arial"/>
                <w:b/>
                <w:bCs/>
                <w:highlight w:val="yellow"/>
              </w:rPr>
            </w:pPr>
          </w:p>
          <w:p w:rsidR="00FF1608" w:rsidRPr="00325692" w:rsidRDefault="00FF1608" w:rsidP="00FF1608">
            <w:pPr>
              <w:pStyle w:val="Footer"/>
              <w:outlineLvl w:val="0"/>
              <w:rPr>
                <w:rFonts w:ascii="Garamond" w:hAnsi="Garamond" w:cs="Arial"/>
                <w:b/>
                <w:bCs/>
                <w:highlight w:val="yellow"/>
              </w:rPr>
            </w:pPr>
          </w:p>
          <w:p w:rsidR="00FF1608" w:rsidRPr="00325692" w:rsidRDefault="00FF1608" w:rsidP="00FF1608">
            <w:pPr>
              <w:pStyle w:val="Footer"/>
              <w:rPr>
                <w:rFonts w:ascii="Garamond" w:hAnsi="Garamond" w:cs="Arial"/>
                <w:highlight w:val="yellow"/>
              </w:rPr>
            </w:pPr>
            <w:r w:rsidRPr="00325692">
              <w:rPr>
                <w:rFonts w:ascii="Garamond" w:hAnsi="Garamond" w:cs="Arial"/>
                <w:highlight w:val="yellow"/>
              </w:rPr>
              <w:t xml:space="preserve">For the FY 2017 competition for grants from the McNair Program, the Department calculates prior experience points from data submitted in annual performance reports (APRs) for </w:t>
            </w:r>
            <w:r w:rsidRPr="00325692">
              <w:rPr>
                <w:rFonts w:ascii="Garamond" w:hAnsi="Garamond" w:cs="Arial"/>
                <w:bCs/>
                <w:highlight w:val="yellow"/>
              </w:rPr>
              <w:t>2013-14, 2014-15 and 2015-16</w:t>
            </w:r>
            <w:r w:rsidRPr="00325692">
              <w:rPr>
                <w:rFonts w:ascii="Garamond" w:hAnsi="Garamond" w:cs="Arial"/>
                <w:highlight w:val="yellow"/>
              </w:rPr>
              <w:t>.  Achievement rates for each PE criterion are based on the project’s approved objectives and the information the grantee provided in the APR for each project year under consideration.</w:t>
            </w:r>
          </w:p>
          <w:p w:rsidR="00FF1608" w:rsidRPr="00325692" w:rsidRDefault="00FF1608" w:rsidP="00FF1608">
            <w:pPr>
              <w:pStyle w:val="Footer"/>
              <w:rPr>
                <w:rFonts w:ascii="Garamond" w:hAnsi="Garamond" w:cs="Arial"/>
                <w:highlight w:val="yellow"/>
              </w:rPr>
            </w:pPr>
          </w:p>
          <w:p w:rsidR="00FF1608" w:rsidRPr="00325692" w:rsidRDefault="00FF1608" w:rsidP="00FF1608">
            <w:pPr>
              <w:pStyle w:val="Footer"/>
              <w:rPr>
                <w:rFonts w:ascii="Garamond" w:hAnsi="Garamond" w:cs="Arial"/>
                <w:highlight w:val="yellow"/>
              </w:rPr>
            </w:pPr>
            <w:r w:rsidRPr="00325692">
              <w:rPr>
                <w:rFonts w:ascii="Garamond" w:hAnsi="Garamond" w:cs="Arial"/>
                <w:highlight w:val="yellow"/>
              </w:rPr>
              <w:t xml:space="preserve">An entity submitting an application to continue to serve substantially the same campus or the same designated population as the currently funded project is eligible to receive PE points based on the PE criteria in 34 CFR 647.22 of the program regulations in effect during the FY 2012 grant </w:t>
            </w:r>
            <w:r w:rsidRPr="00325692">
              <w:rPr>
                <w:rFonts w:ascii="Garamond" w:hAnsi="Garamond" w:cs="Arial"/>
                <w:highlight w:val="yellow"/>
              </w:rPr>
              <w:lastRenderedPageBreak/>
              <w:t xml:space="preserve">competition. </w:t>
            </w:r>
          </w:p>
          <w:p w:rsidR="00FF1608" w:rsidRPr="00325692" w:rsidRDefault="00FF1608" w:rsidP="00FF1608">
            <w:pPr>
              <w:pStyle w:val="Footer"/>
              <w:rPr>
                <w:rFonts w:ascii="Garamond" w:hAnsi="Garamond" w:cs="Arial"/>
                <w:highlight w:val="yellow"/>
              </w:rPr>
            </w:pPr>
          </w:p>
          <w:p w:rsidR="00FF1608" w:rsidRPr="00325692" w:rsidRDefault="00FF1608" w:rsidP="00FF1608">
            <w:pPr>
              <w:pStyle w:val="Footer"/>
              <w:rPr>
                <w:rFonts w:ascii="Garamond" w:hAnsi="Garamond" w:cs="Arial"/>
                <w:highlight w:val="yellow"/>
              </w:rPr>
            </w:pPr>
            <w:r w:rsidRPr="00325692">
              <w:rPr>
                <w:rFonts w:ascii="Garamond" w:hAnsi="Garamond" w:cs="Arial"/>
                <w:highlight w:val="yellow"/>
              </w:rPr>
              <w:t xml:space="preserve">In cases in which an applicant proposes to split a grant funded in FY 2012 into multiple proposals in the FY 2017 competition, the applicant will be eligible to receive PE points for only one proposed new project.  The project for which the applicant is eligible for PE consideration is the one that proposes to serve the same campus or the same designated population as the currently funded project.  An applicant is responsible for indicating on the McNair Program Profile form, in Item #1, if the application is eligible for PE points.  </w:t>
            </w:r>
          </w:p>
          <w:p w:rsidR="00FF1608" w:rsidRPr="00325692" w:rsidRDefault="00FF1608" w:rsidP="00FF1608">
            <w:pPr>
              <w:pStyle w:val="Footer"/>
              <w:rPr>
                <w:rFonts w:ascii="Garamond" w:hAnsi="Garamond" w:cs="Arial"/>
                <w:highlight w:val="yellow"/>
              </w:rPr>
            </w:pPr>
          </w:p>
          <w:p w:rsidR="00FF1608" w:rsidRPr="00325692" w:rsidRDefault="00FF1608" w:rsidP="00FF1608">
            <w:pPr>
              <w:pStyle w:val="CommentText"/>
              <w:rPr>
                <w:rFonts w:ascii="Garamond" w:hAnsi="Garamond" w:cs="Arial"/>
                <w:sz w:val="24"/>
                <w:szCs w:val="24"/>
                <w:highlight w:val="yellow"/>
              </w:rPr>
            </w:pPr>
            <w:r w:rsidRPr="00325692">
              <w:rPr>
                <w:rFonts w:ascii="Garamond" w:hAnsi="Garamond" w:cs="Arial"/>
                <w:sz w:val="24"/>
                <w:szCs w:val="24"/>
                <w:highlight w:val="yellow"/>
              </w:rPr>
              <w:t>McNair Prior Experience Criteria (34 CFR 647.22) and point allocations are shown below.  Please note the following:</w:t>
            </w:r>
          </w:p>
          <w:p w:rsidR="00FF1608" w:rsidRPr="00325692" w:rsidRDefault="00FF1608" w:rsidP="00FF1608">
            <w:pPr>
              <w:pStyle w:val="CommentText"/>
              <w:numPr>
                <w:ilvl w:val="0"/>
                <w:numId w:val="11"/>
              </w:numPr>
              <w:rPr>
                <w:rFonts w:ascii="Garamond" w:hAnsi="Garamond" w:cs="Arial"/>
                <w:sz w:val="24"/>
                <w:szCs w:val="24"/>
                <w:highlight w:val="yellow"/>
              </w:rPr>
            </w:pPr>
            <w:r w:rsidRPr="00325692">
              <w:rPr>
                <w:rFonts w:ascii="Garamond" w:hAnsi="Garamond" w:cs="Arial"/>
                <w:sz w:val="24"/>
                <w:szCs w:val="24"/>
                <w:highlight w:val="yellow"/>
              </w:rPr>
              <w:t xml:space="preserve">A McNair project funded in 2003 and continuously funded through FY2012 may earn up to a total of 15 points.  </w:t>
            </w:r>
          </w:p>
          <w:p w:rsidR="00FF1608" w:rsidRPr="00325692" w:rsidRDefault="00FF1608" w:rsidP="00FF1608">
            <w:pPr>
              <w:pStyle w:val="CommentText"/>
              <w:numPr>
                <w:ilvl w:val="0"/>
                <w:numId w:val="11"/>
              </w:numPr>
              <w:rPr>
                <w:rFonts w:ascii="Garamond" w:hAnsi="Garamond" w:cs="Arial"/>
                <w:sz w:val="24"/>
                <w:szCs w:val="24"/>
                <w:highlight w:val="yellow"/>
              </w:rPr>
            </w:pPr>
            <w:r w:rsidRPr="00325692">
              <w:rPr>
                <w:rFonts w:ascii="Garamond" w:hAnsi="Garamond" w:cs="Arial"/>
                <w:sz w:val="24"/>
                <w:szCs w:val="24"/>
                <w:highlight w:val="yellow"/>
              </w:rPr>
              <w:t>A McNair project first funded in 2007, 2009, or 2012 may earn up to a total of 13 points.  These grantees are not eligible to earn PE points for the doctoral degree attainment because they were not funded in the year the cohorts were established.</w:t>
            </w:r>
          </w:p>
          <w:p w:rsidR="00FF1608" w:rsidRPr="00325692" w:rsidRDefault="00FF1608" w:rsidP="00FF1608">
            <w:pPr>
              <w:pStyle w:val="CommentText"/>
              <w:numPr>
                <w:ilvl w:val="0"/>
                <w:numId w:val="11"/>
              </w:numPr>
              <w:rPr>
                <w:rFonts w:ascii="Garamond" w:hAnsi="Garamond" w:cs="Arial"/>
                <w:sz w:val="24"/>
                <w:szCs w:val="24"/>
                <w:highlight w:val="yellow"/>
              </w:rPr>
            </w:pPr>
            <w:r w:rsidRPr="00325692">
              <w:rPr>
                <w:rFonts w:ascii="Garamond" w:hAnsi="Garamond" w:cs="Arial"/>
                <w:sz w:val="24"/>
                <w:szCs w:val="24"/>
                <w:highlight w:val="yellow"/>
              </w:rPr>
              <w:t>The final PE score is the average of the total scores for the three years assessed.  Points will be awarded for meeting or exceeding each objective; no partial points will be awarded.  A project that fails to serve at least 90 percent of its funded number for a project year will not receive any PE points for that year.</w:t>
            </w:r>
          </w:p>
          <w:p w:rsidR="00FF1608" w:rsidRPr="00325692" w:rsidRDefault="00FF1608" w:rsidP="00FF1608">
            <w:pPr>
              <w:pStyle w:val="Formal2"/>
              <w:widowControl/>
              <w:spacing w:before="0" w:after="0"/>
              <w:rPr>
                <w:rFonts w:ascii="Garamond" w:hAnsi="Garamond" w:cs="Arial"/>
                <w:szCs w:val="24"/>
                <w:highlight w:val="yellow"/>
              </w:rPr>
            </w:pPr>
          </w:p>
          <w:p w:rsidR="00FF1608" w:rsidRPr="00325692" w:rsidRDefault="00FF1608" w:rsidP="00FF1608">
            <w:pPr>
              <w:pStyle w:val="ListParagraph"/>
              <w:ind w:left="0"/>
              <w:rPr>
                <w:rFonts w:ascii="Garamond" w:hAnsi="Garamond" w:cs="Arial"/>
                <w:kern w:val="24"/>
                <w:highlight w:val="yellow"/>
              </w:rPr>
            </w:pPr>
            <w:r w:rsidRPr="00325692">
              <w:rPr>
                <w:rFonts w:ascii="Garamond" w:hAnsi="Garamond" w:cs="Arial"/>
                <w:kern w:val="24"/>
                <w:highlight w:val="yellow"/>
              </w:rPr>
              <w:t>Please note the following conditions for PE calculations:</w:t>
            </w:r>
          </w:p>
          <w:p w:rsidR="00FF1608" w:rsidRPr="00325692" w:rsidRDefault="00FF1608" w:rsidP="00FF1608">
            <w:pPr>
              <w:pStyle w:val="ListParagraph"/>
              <w:ind w:left="360"/>
              <w:rPr>
                <w:rFonts w:ascii="Garamond" w:hAnsi="Garamond" w:cs="Arial"/>
                <w:kern w:val="24"/>
                <w:highlight w:val="yellow"/>
              </w:rPr>
            </w:pPr>
          </w:p>
          <w:p w:rsidR="00FF1608" w:rsidRPr="00325692" w:rsidRDefault="00FF1608" w:rsidP="00FF1608">
            <w:pPr>
              <w:pStyle w:val="ListParagraph"/>
              <w:numPr>
                <w:ilvl w:val="0"/>
                <w:numId w:val="1"/>
              </w:numPr>
              <w:contextualSpacing/>
              <w:rPr>
                <w:rFonts w:ascii="Garamond" w:hAnsi="Garamond" w:cs="Arial"/>
                <w:highlight w:val="yellow"/>
              </w:rPr>
            </w:pPr>
            <w:r w:rsidRPr="00325692">
              <w:rPr>
                <w:rFonts w:ascii="Garamond" w:hAnsi="Garamond" w:cs="Arial"/>
                <w:kern w:val="24"/>
                <w:highlight w:val="yellow"/>
              </w:rPr>
              <w:t>If a project served less than 90% of the funded number to be served in a given assessment year, the project is not eligible to receive any PE points for that particular year.</w:t>
            </w:r>
          </w:p>
          <w:p w:rsidR="00FF1608" w:rsidRPr="00325692" w:rsidRDefault="00FF1608" w:rsidP="00FF1608">
            <w:pPr>
              <w:pStyle w:val="ListParagraph"/>
              <w:rPr>
                <w:rFonts w:ascii="Garamond" w:hAnsi="Garamond" w:cs="Arial"/>
                <w:highlight w:val="yellow"/>
              </w:rPr>
            </w:pPr>
          </w:p>
          <w:p w:rsidR="00FF1608" w:rsidRPr="00325692" w:rsidRDefault="00FF1608" w:rsidP="00FF1608">
            <w:pPr>
              <w:rPr>
                <w:rFonts w:ascii="Garamond" w:hAnsi="Garamond" w:cs="Arial"/>
                <w:highlight w:val="yellow"/>
              </w:rPr>
            </w:pPr>
            <w:r w:rsidRPr="00325692">
              <w:rPr>
                <w:rFonts w:ascii="Garamond" w:hAnsi="Garamond" w:cs="Arial"/>
                <w:highlight w:val="yellow"/>
              </w:rPr>
              <w:t>The calculation of PE points for the three (3) years under consideration is based on:</w:t>
            </w:r>
          </w:p>
          <w:p w:rsidR="00FF1608" w:rsidRPr="00325692" w:rsidRDefault="00FF1608" w:rsidP="00FF1608">
            <w:pPr>
              <w:rPr>
                <w:rFonts w:ascii="Garamond" w:hAnsi="Garamond" w:cs="Arial"/>
                <w:highlight w:val="yellow"/>
              </w:rPr>
            </w:pPr>
          </w:p>
          <w:p w:rsidR="00FF1608" w:rsidRPr="00325692" w:rsidRDefault="00FF1608" w:rsidP="00FF1608">
            <w:pPr>
              <w:ind w:firstLine="720"/>
              <w:rPr>
                <w:rFonts w:ascii="Garamond" w:hAnsi="Garamond" w:cs="Arial"/>
                <w:highlight w:val="yellow"/>
              </w:rPr>
            </w:pPr>
            <w:r w:rsidRPr="00325692">
              <w:rPr>
                <w:rFonts w:ascii="Garamond" w:hAnsi="Garamond" w:cs="Arial"/>
                <w:highlight w:val="yellow"/>
              </w:rPr>
              <w:t>A project’s approved number of participants to be served;</w:t>
            </w:r>
          </w:p>
          <w:p w:rsidR="00FF1608" w:rsidRPr="00325692" w:rsidRDefault="00FF1608" w:rsidP="00FF1608">
            <w:pPr>
              <w:ind w:firstLine="720"/>
              <w:rPr>
                <w:rFonts w:ascii="Garamond" w:hAnsi="Garamond" w:cs="Arial"/>
                <w:highlight w:val="yellow"/>
              </w:rPr>
            </w:pPr>
          </w:p>
          <w:p w:rsidR="00FF1608" w:rsidRPr="00325692" w:rsidRDefault="00FF1608" w:rsidP="00FF1608">
            <w:pPr>
              <w:ind w:firstLine="720"/>
              <w:rPr>
                <w:rFonts w:ascii="Garamond" w:hAnsi="Garamond" w:cs="Arial"/>
                <w:highlight w:val="yellow"/>
              </w:rPr>
            </w:pPr>
            <w:r w:rsidRPr="00325692">
              <w:rPr>
                <w:rFonts w:ascii="Garamond" w:hAnsi="Garamond" w:cs="Arial"/>
                <w:highlight w:val="yellow"/>
              </w:rPr>
              <w:t>A project’s approved objectives; and</w:t>
            </w:r>
          </w:p>
          <w:p w:rsidR="00FF1608" w:rsidRPr="00325692" w:rsidRDefault="00FF1608" w:rsidP="00FF1608">
            <w:pPr>
              <w:ind w:firstLine="720"/>
              <w:rPr>
                <w:rFonts w:ascii="Garamond" w:hAnsi="Garamond" w:cs="Arial"/>
                <w:highlight w:val="yellow"/>
              </w:rPr>
            </w:pPr>
            <w:r w:rsidRPr="00325692">
              <w:rPr>
                <w:rFonts w:ascii="Garamond" w:hAnsi="Garamond" w:cs="Arial"/>
                <w:highlight w:val="yellow"/>
              </w:rPr>
              <w:t xml:space="preserve">  </w:t>
            </w:r>
          </w:p>
          <w:p w:rsidR="00FF1608" w:rsidRPr="00325692" w:rsidRDefault="00FF1608" w:rsidP="00FF1608">
            <w:pPr>
              <w:ind w:left="720"/>
              <w:rPr>
                <w:rFonts w:ascii="Garamond" w:hAnsi="Garamond" w:cs="Arial"/>
                <w:highlight w:val="yellow"/>
              </w:rPr>
            </w:pPr>
            <w:r w:rsidRPr="00325692">
              <w:rPr>
                <w:rFonts w:ascii="Garamond" w:hAnsi="Garamond" w:cs="Arial"/>
                <w:highlight w:val="yellow"/>
              </w:rPr>
              <w:t>The student-level data a project submitted in its annual performance report (APR).</w:t>
            </w:r>
          </w:p>
          <w:p w:rsidR="00FF1608" w:rsidRPr="00325692" w:rsidRDefault="00FF1608" w:rsidP="00FF1608">
            <w:pPr>
              <w:ind w:left="720"/>
              <w:rPr>
                <w:rFonts w:ascii="Garamond" w:hAnsi="Garamond" w:cs="Arial"/>
                <w:highlight w:val="yellow"/>
              </w:rPr>
            </w:pPr>
          </w:p>
          <w:p w:rsidR="00FF1608" w:rsidRPr="00325692" w:rsidRDefault="00FF1608" w:rsidP="00FF1608">
            <w:pPr>
              <w:rPr>
                <w:rFonts w:ascii="Garamond" w:hAnsi="Garamond" w:cs="Arial"/>
                <w:b/>
                <w:highlight w:val="yellow"/>
                <w:u w:val="single"/>
              </w:rPr>
            </w:pPr>
          </w:p>
          <w:p w:rsidR="00FF1608" w:rsidRPr="00325692" w:rsidRDefault="00FF1608" w:rsidP="00FF1608">
            <w:pPr>
              <w:rPr>
                <w:rFonts w:ascii="Garamond" w:hAnsi="Garamond" w:cs="Arial"/>
                <w:b/>
                <w:highlight w:val="yellow"/>
                <w:u w:val="single"/>
              </w:rPr>
            </w:pPr>
            <w:r w:rsidRPr="00325692">
              <w:rPr>
                <w:rFonts w:ascii="Garamond" w:hAnsi="Garamond" w:cs="Arial"/>
                <w:b/>
                <w:highlight w:val="yellow"/>
                <w:u w:val="single"/>
              </w:rPr>
              <w:t>Program Objectives</w:t>
            </w:r>
          </w:p>
          <w:p w:rsidR="00FF1608" w:rsidRPr="00325692" w:rsidRDefault="00FF1608" w:rsidP="00FF1608">
            <w:pPr>
              <w:rPr>
                <w:rFonts w:ascii="Garamond" w:hAnsi="Garamond" w:cs="Arial"/>
                <w:b/>
                <w:highlight w:val="yellow"/>
                <w:u w:val="single"/>
              </w:rPr>
            </w:pPr>
          </w:p>
          <w:p w:rsidR="00FF1608" w:rsidRPr="00325692" w:rsidRDefault="00FF1608" w:rsidP="00FF1608">
            <w:pPr>
              <w:numPr>
                <w:ilvl w:val="0"/>
                <w:numId w:val="2"/>
              </w:numPr>
              <w:spacing w:after="200" w:line="276" w:lineRule="auto"/>
              <w:rPr>
                <w:rFonts w:ascii="Garamond" w:hAnsi="Garamond" w:cs="Arial"/>
                <w:highlight w:val="yellow"/>
              </w:rPr>
            </w:pPr>
            <w:r w:rsidRPr="00325692">
              <w:rPr>
                <w:rFonts w:ascii="Garamond" w:hAnsi="Garamond" w:cs="Arial"/>
                <w:highlight w:val="yellow"/>
              </w:rPr>
              <w:t xml:space="preserve">Number of participants the project was funded to serve </w:t>
            </w:r>
            <w:r w:rsidRPr="00325692">
              <w:rPr>
                <w:rFonts w:ascii="Garamond" w:hAnsi="Garamond" w:cs="Arial"/>
                <w:i/>
                <w:highlight w:val="yellow"/>
              </w:rPr>
              <w:t>(3 points)</w:t>
            </w:r>
          </w:p>
          <w:p w:rsidR="00FF1608" w:rsidRPr="00325692" w:rsidRDefault="00FF1608" w:rsidP="00FF1608">
            <w:pPr>
              <w:numPr>
                <w:ilvl w:val="0"/>
                <w:numId w:val="2"/>
              </w:numPr>
              <w:spacing w:after="200" w:line="276" w:lineRule="auto"/>
              <w:rPr>
                <w:rFonts w:ascii="Garamond" w:hAnsi="Garamond" w:cs="Arial"/>
                <w:highlight w:val="yellow"/>
              </w:rPr>
            </w:pPr>
            <w:r w:rsidRPr="00325692">
              <w:rPr>
                <w:rFonts w:ascii="Garamond" w:hAnsi="Garamond" w:cs="Arial"/>
                <w:highlight w:val="yellow"/>
              </w:rPr>
              <w:t xml:space="preserve">Percent of McNair participants who will complete research or </w:t>
            </w:r>
            <w:r w:rsidRPr="00325692">
              <w:rPr>
                <w:rFonts w:ascii="Garamond" w:hAnsi="Garamond" w:cs="Arial"/>
                <w:highlight w:val="yellow"/>
              </w:rPr>
              <w:lastRenderedPageBreak/>
              <w:t xml:space="preserve">scholarly activities that will directly impact their educational progression each McNair Program academic year. </w:t>
            </w:r>
            <w:r w:rsidRPr="00325692">
              <w:rPr>
                <w:rFonts w:ascii="Garamond" w:hAnsi="Garamond" w:cs="Arial"/>
                <w:i/>
                <w:highlight w:val="yellow"/>
              </w:rPr>
              <w:t>(3 points)</w:t>
            </w:r>
          </w:p>
          <w:p w:rsidR="00FF1608" w:rsidRPr="00325692" w:rsidRDefault="00FF1608" w:rsidP="00FF1608">
            <w:pPr>
              <w:numPr>
                <w:ilvl w:val="0"/>
                <w:numId w:val="2"/>
              </w:numPr>
              <w:spacing w:after="200" w:line="276" w:lineRule="auto"/>
              <w:rPr>
                <w:rFonts w:ascii="Garamond" w:hAnsi="Garamond" w:cs="Arial"/>
                <w:highlight w:val="yellow"/>
              </w:rPr>
            </w:pPr>
            <w:r w:rsidRPr="00325692">
              <w:rPr>
                <w:rFonts w:ascii="Garamond" w:hAnsi="Garamond" w:cs="Arial"/>
                <w:highlight w:val="yellow"/>
              </w:rPr>
              <w:t xml:space="preserve">Percent of bachelor’s degree recipients who will enroll in a postbaccalaureate program by the fall term of the academic year immediately following completion of that degree. </w:t>
            </w:r>
            <w:r w:rsidRPr="00325692">
              <w:rPr>
                <w:rFonts w:ascii="Garamond" w:hAnsi="Garamond" w:cs="Arial"/>
                <w:i/>
                <w:highlight w:val="yellow"/>
              </w:rPr>
              <w:t>(3 points)</w:t>
            </w:r>
          </w:p>
          <w:p w:rsidR="00FF1608" w:rsidRPr="00325692" w:rsidRDefault="00FF1608" w:rsidP="00FF1608">
            <w:pPr>
              <w:numPr>
                <w:ilvl w:val="0"/>
                <w:numId w:val="2"/>
              </w:numPr>
              <w:spacing w:after="200" w:line="276" w:lineRule="auto"/>
              <w:rPr>
                <w:rFonts w:ascii="Garamond" w:hAnsi="Garamond" w:cs="Arial"/>
                <w:highlight w:val="yellow"/>
              </w:rPr>
            </w:pPr>
            <w:r w:rsidRPr="00325692">
              <w:rPr>
                <w:rFonts w:ascii="Garamond" w:hAnsi="Garamond" w:cs="Arial"/>
                <w:highlight w:val="yellow"/>
              </w:rPr>
              <w:t xml:space="preserve">Percent of first-year graduate students who </w:t>
            </w:r>
            <w:r w:rsidRPr="00325692">
              <w:rPr>
                <w:rFonts w:ascii="Garamond" w:hAnsi="Garamond" w:cs="Arial"/>
                <w:bCs/>
                <w:iCs/>
                <w:highlight w:val="yellow"/>
              </w:rPr>
              <w:t xml:space="preserve">will continue to be enrolled in graduate school at the beginning of the fall term of the next academic year. </w:t>
            </w:r>
            <w:r w:rsidRPr="00325692">
              <w:rPr>
                <w:rFonts w:ascii="Garamond" w:hAnsi="Garamond" w:cs="Arial"/>
                <w:bCs/>
                <w:i/>
                <w:iCs/>
                <w:highlight w:val="yellow"/>
              </w:rPr>
              <w:t>(4 points)</w:t>
            </w:r>
          </w:p>
          <w:p w:rsidR="00FF1608" w:rsidRPr="00325692" w:rsidRDefault="00FF1608" w:rsidP="00FF1608">
            <w:pPr>
              <w:numPr>
                <w:ilvl w:val="0"/>
                <w:numId w:val="2"/>
              </w:numPr>
              <w:spacing w:after="200" w:line="276" w:lineRule="auto"/>
              <w:rPr>
                <w:rFonts w:ascii="Garamond" w:hAnsi="Garamond" w:cs="Arial"/>
                <w:highlight w:val="yellow"/>
              </w:rPr>
            </w:pPr>
            <w:r w:rsidRPr="00325692">
              <w:rPr>
                <w:rFonts w:ascii="Garamond" w:hAnsi="Garamond" w:cs="Arial"/>
                <w:highlight w:val="yellow"/>
              </w:rPr>
              <w:t xml:space="preserve">Percent of McNair Program participants who will attain a doctoral degree within ten (10) years of the attainment of the bachelor’s degree. </w:t>
            </w:r>
            <w:r w:rsidRPr="00325692">
              <w:rPr>
                <w:rFonts w:ascii="Garamond" w:hAnsi="Garamond" w:cs="Arial"/>
                <w:i/>
                <w:highlight w:val="yellow"/>
              </w:rPr>
              <w:t>(2 points)</w:t>
            </w:r>
          </w:p>
          <w:p w:rsidR="00FF1608" w:rsidRPr="00325692" w:rsidRDefault="00FF1608" w:rsidP="00FF1608">
            <w:pPr>
              <w:rPr>
                <w:rFonts w:ascii="Arial" w:hAnsi="Arial" w:cs="Arial"/>
                <w:b/>
                <w:highlight w:val="yellow"/>
                <w:u w:val="single"/>
              </w:rPr>
            </w:pPr>
          </w:p>
          <w:p w:rsidR="00FF1608" w:rsidRPr="00325692" w:rsidRDefault="00FF1608" w:rsidP="00FF1608">
            <w:pPr>
              <w:rPr>
                <w:rFonts w:ascii="Arial" w:hAnsi="Arial" w:cs="Arial"/>
                <w:b/>
                <w:highlight w:val="yellow"/>
                <w:u w:val="single"/>
              </w:rPr>
            </w:pPr>
            <w:r w:rsidRPr="00325692">
              <w:rPr>
                <w:rFonts w:ascii="Arial" w:hAnsi="Arial" w:cs="Arial"/>
                <w:b/>
                <w:highlight w:val="yellow"/>
                <w:u w:val="single"/>
              </w:rPr>
              <w:t xml:space="preserve">Funded Number </w:t>
            </w:r>
          </w:p>
          <w:p w:rsidR="00FF1608" w:rsidRPr="00325692" w:rsidRDefault="00FF1608" w:rsidP="00FF1608">
            <w:pPr>
              <w:rPr>
                <w:rFonts w:ascii="Arial" w:hAnsi="Arial" w:cs="Arial"/>
                <w:b/>
                <w:highlight w:val="yellow"/>
                <w:u w:val="single"/>
              </w:rPr>
            </w:pPr>
          </w:p>
          <w:p w:rsidR="00FF1608" w:rsidRPr="00325692" w:rsidRDefault="00FF1608" w:rsidP="00FF1608">
            <w:pPr>
              <w:rPr>
                <w:rFonts w:ascii="Garamond" w:hAnsi="Garamond" w:cs="Arial"/>
                <w:i/>
                <w:highlight w:val="yellow"/>
              </w:rPr>
            </w:pPr>
            <w:r w:rsidRPr="00325692">
              <w:rPr>
                <w:rFonts w:ascii="Garamond" w:hAnsi="Garamond" w:cs="Arial"/>
                <w:highlight w:val="yellow"/>
              </w:rPr>
              <w:t xml:space="preserve">In order for a project to earn PE points for a given assessment year, </w:t>
            </w:r>
            <w:r w:rsidRPr="00325692">
              <w:rPr>
                <w:rFonts w:ascii="Garamond" w:hAnsi="Garamond" w:cs="Arial"/>
                <w:i/>
                <w:highlight w:val="yellow"/>
              </w:rPr>
              <w:t>a project must have met or exceeded the number funded to be served.</w:t>
            </w:r>
          </w:p>
          <w:p w:rsidR="00FF1608" w:rsidRPr="00325692" w:rsidRDefault="00FF1608" w:rsidP="00FF1608">
            <w:pPr>
              <w:rPr>
                <w:rFonts w:ascii="Garamond" w:hAnsi="Garamond" w:cs="Arial"/>
                <w:highlight w:val="yellow"/>
              </w:rPr>
            </w:pPr>
          </w:p>
          <w:p w:rsidR="00FF1608" w:rsidRPr="00325692" w:rsidRDefault="00FF1608" w:rsidP="00FF1608">
            <w:pPr>
              <w:rPr>
                <w:rFonts w:ascii="Garamond" w:hAnsi="Garamond" w:cs="Arial"/>
                <w:highlight w:val="yellow"/>
              </w:rPr>
            </w:pPr>
            <w:r w:rsidRPr="00325692">
              <w:rPr>
                <w:rFonts w:ascii="Garamond" w:hAnsi="Garamond" w:cs="Arial"/>
                <w:highlight w:val="yellow"/>
              </w:rPr>
              <w:t>Note:  If a project served less than 90%, the project is not eligible to receive any PE points in the year PE is being assessed.</w:t>
            </w:r>
          </w:p>
          <w:p w:rsidR="00FF1608" w:rsidRPr="00325692" w:rsidRDefault="00FF1608" w:rsidP="00FF1608">
            <w:pPr>
              <w:rPr>
                <w:rFonts w:ascii="Arial" w:hAnsi="Arial" w:cs="Arial"/>
                <w:highlight w:val="yellow"/>
              </w:rPr>
            </w:pPr>
          </w:p>
          <w:p w:rsidR="00FF1608" w:rsidRPr="00325692" w:rsidRDefault="00FF1608" w:rsidP="00FF1608">
            <w:pPr>
              <w:rPr>
                <w:rFonts w:ascii="Arial" w:hAnsi="Arial" w:cs="Arial"/>
                <w:b/>
                <w:highlight w:val="yellow"/>
                <w:u w:val="single"/>
              </w:rPr>
            </w:pPr>
            <w:r w:rsidRPr="00325692">
              <w:rPr>
                <w:rFonts w:ascii="Arial" w:hAnsi="Arial" w:cs="Arial"/>
                <w:b/>
                <w:highlight w:val="yellow"/>
                <w:u w:val="single"/>
              </w:rPr>
              <w:t>Research or Scholarly Objectives</w:t>
            </w:r>
          </w:p>
          <w:p w:rsidR="00FF1608" w:rsidRPr="00325692" w:rsidRDefault="00FF1608" w:rsidP="00FF1608">
            <w:pPr>
              <w:rPr>
                <w:rFonts w:ascii="Arial" w:hAnsi="Arial" w:cs="Arial"/>
                <w:b/>
                <w:highlight w:val="yellow"/>
                <w:u w:val="single"/>
              </w:rPr>
            </w:pPr>
          </w:p>
          <w:p w:rsidR="00FF1608" w:rsidRPr="00325692" w:rsidRDefault="00FF1608" w:rsidP="00FF1608">
            <w:pPr>
              <w:rPr>
                <w:rFonts w:ascii="Garamond" w:hAnsi="Garamond" w:cs="Constantia"/>
                <w:highlight w:val="yellow"/>
              </w:rPr>
            </w:pPr>
            <w:r w:rsidRPr="00325692">
              <w:rPr>
                <w:rFonts w:ascii="Garamond" w:hAnsi="Garamond" w:cs="Constantia"/>
                <w:highlight w:val="yellow"/>
              </w:rPr>
              <w:t xml:space="preserve">PE points are </w:t>
            </w:r>
            <w:r w:rsidRPr="00325692">
              <w:rPr>
                <w:rFonts w:ascii="Garamond" w:hAnsi="Garamond"/>
                <w:highlight w:val="yellow"/>
              </w:rPr>
              <w:t xml:space="preserve">awarded to eligible projects </w:t>
            </w:r>
            <w:r w:rsidRPr="00325692">
              <w:rPr>
                <w:rFonts w:ascii="Garamond" w:hAnsi="Garamond" w:cs="Constantia"/>
                <w:highlight w:val="yellow"/>
              </w:rPr>
              <w:t>that met or exceeded their approved objective for completing research or other scholarly activities.  For a given assessment year, a project needed to have served students in the target population (i.e., students that participated in research or other scholarly activities).</w:t>
            </w:r>
          </w:p>
          <w:p w:rsidR="00FF1608" w:rsidRPr="00325692" w:rsidRDefault="00FF1608" w:rsidP="00FF1608">
            <w:pPr>
              <w:rPr>
                <w:rFonts w:ascii="Garamond" w:hAnsi="Garamond"/>
                <w:highlight w:val="yellow"/>
              </w:rPr>
            </w:pPr>
          </w:p>
          <w:p w:rsidR="00FF1608" w:rsidRPr="00325692" w:rsidRDefault="00FF1608" w:rsidP="00FF1608">
            <w:pPr>
              <w:autoSpaceDE w:val="0"/>
              <w:autoSpaceDN w:val="0"/>
              <w:adjustRightInd w:val="0"/>
              <w:rPr>
                <w:rFonts w:ascii="Garamond" w:hAnsi="Garamond" w:cs="Constantia"/>
                <w:highlight w:val="yellow"/>
              </w:rPr>
            </w:pPr>
            <w:r w:rsidRPr="00325692">
              <w:rPr>
                <w:rFonts w:ascii="Garamond" w:hAnsi="Garamond" w:cs="Constantia"/>
                <w:highlight w:val="yellow"/>
              </w:rPr>
              <w:t xml:space="preserve">The calculation rule for the </w:t>
            </w:r>
            <w:r w:rsidRPr="00325692">
              <w:rPr>
                <w:rFonts w:ascii="Garamond" w:hAnsi="Garamond" w:cs="Constantia"/>
                <w:b/>
                <w:highlight w:val="yellow"/>
              </w:rPr>
              <w:t>“percent of participants who completed research or other scholarly activities”</w:t>
            </w:r>
            <w:r w:rsidRPr="00325692">
              <w:rPr>
                <w:rFonts w:ascii="Garamond" w:hAnsi="Garamond" w:cs="Constantia"/>
                <w:highlight w:val="yellow"/>
              </w:rPr>
              <w:t xml:space="preserve"> is as follows:</w:t>
            </w:r>
          </w:p>
          <w:p w:rsidR="00FF1608" w:rsidRPr="00325692" w:rsidRDefault="00FF1608" w:rsidP="00FF1608">
            <w:pPr>
              <w:autoSpaceDE w:val="0"/>
              <w:autoSpaceDN w:val="0"/>
              <w:adjustRightInd w:val="0"/>
              <w:rPr>
                <w:rFonts w:ascii="Garamond" w:hAnsi="Garamond" w:cs="Constantia"/>
                <w:highlight w:val="yellow"/>
              </w:rPr>
            </w:pPr>
          </w:p>
          <w:p w:rsidR="00FF1608" w:rsidRPr="00325692" w:rsidRDefault="00FF1608" w:rsidP="00FF1608">
            <w:pPr>
              <w:numPr>
                <w:ilvl w:val="0"/>
                <w:numId w:val="4"/>
              </w:numPr>
              <w:tabs>
                <w:tab w:val="left" w:pos="-1710"/>
                <w:tab w:val="left" w:pos="0"/>
              </w:tabs>
              <w:autoSpaceDE w:val="0"/>
              <w:autoSpaceDN w:val="0"/>
              <w:adjustRightInd w:val="0"/>
              <w:contextualSpacing/>
              <w:rPr>
                <w:rFonts w:ascii="Garamond" w:hAnsi="Garamond" w:cs="Constantia"/>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denominator</w:t>
            </w:r>
            <w:r w:rsidRPr="00325692">
              <w:rPr>
                <w:rFonts w:ascii="Garamond" w:hAnsi="Garamond" w:cs="Constantia"/>
                <w:highlight w:val="yellow"/>
              </w:rPr>
              <w:t xml:space="preserve"> is an unduplicated count of the number of students that participated in Research, Other Scholarly, or McNair Internships and is derived from:</w:t>
            </w:r>
          </w:p>
          <w:p w:rsidR="00FF1608" w:rsidRPr="00325692" w:rsidRDefault="00FF1608" w:rsidP="00FF1608">
            <w:pPr>
              <w:tabs>
                <w:tab w:val="left" w:pos="-1710"/>
                <w:tab w:val="left" w:pos="0"/>
              </w:tabs>
              <w:autoSpaceDE w:val="0"/>
              <w:autoSpaceDN w:val="0"/>
              <w:adjustRightInd w:val="0"/>
              <w:ind w:left="1080"/>
              <w:contextualSpacing/>
              <w:rPr>
                <w:rFonts w:ascii="Garamond" w:hAnsi="Garamond" w:cs="Constantia"/>
                <w:highlight w:val="yellow"/>
              </w:rPr>
            </w:pPr>
            <w:r w:rsidRPr="00325692">
              <w:rPr>
                <w:rFonts w:ascii="Garamond" w:hAnsi="Garamond" w:cs="Constantia"/>
                <w:highlight w:val="yellow"/>
              </w:rPr>
              <w:t xml:space="preserve"> </w:t>
            </w:r>
          </w:p>
          <w:p w:rsidR="00FF1608" w:rsidRPr="00325692" w:rsidRDefault="00FF1608" w:rsidP="00FF1608">
            <w:pPr>
              <w:pStyle w:val="ListParagraph"/>
              <w:numPr>
                <w:ilvl w:val="1"/>
                <w:numId w:val="4"/>
              </w:numPr>
              <w:tabs>
                <w:tab w:val="left" w:pos="-1710"/>
                <w:tab w:val="left" w:pos="0"/>
              </w:tabs>
              <w:autoSpaceDE w:val="0"/>
              <w:autoSpaceDN w:val="0"/>
              <w:adjustRightInd w:val="0"/>
              <w:ind w:left="1710" w:hanging="270"/>
              <w:contextualSpacing/>
              <w:rPr>
                <w:rFonts w:ascii="Garamond" w:hAnsi="Garamond" w:cs="Constantia"/>
                <w:highlight w:val="yellow"/>
              </w:rPr>
            </w:pPr>
            <w:r w:rsidRPr="00325692">
              <w:rPr>
                <w:rFonts w:ascii="Garamond" w:hAnsi="Garamond" w:cs="Constantia"/>
                <w:highlight w:val="yellow"/>
              </w:rPr>
              <w:t xml:space="preserve">Field #32 (Research) options 1 or 2, </w:t>
            </w:r>
            <w:r w:rsidRPr="00325692">
              <w:rPr>
                <w:rFonts w:ascii="Garamond" w:hAnsi="Garamond" w:cs="Constantia"/>
                <w:b/>
                <w:highlight w:val="yellow"/>
              </w:rPr>
              <w:t>OR</w:t>
            </w:r>
          </w:p>
          <w:p w:rsidR="00FF1608" w:rsidRPr="00325692" w:rsidRDefault="00FF1608" w:rsidP="00FF1608">
            <w:pPr>
              <w:pStyle w:val="ListParagraph"/>
              <w:numPr>
                <w:ilvl w:val="1"/>
                <w:numId w:val="4"/>
              </w:numPr>
              <w:tabs>
                <w:tab w:val="left" w:pos="-1710"/>
                <w:tab w:val="left" w:pos="0"/>
              </w:tabs>
              <w:autoSpaceDE w:val="0"/>
              <w:autoSpaceDN w:val="0"/>
              <w:adjustRightInd w:val="0"/>
              <w:ind w:left="1710" w:hanging="270"/>
              <w:contextualSpacing/>
              <w:rPr>
                <w:rFonts w:ascii="Garamond" w:hAnsi="Garamond" w:cs="Constantia"/>
                <w:highlight w:val="yellow"/>
              </w:rPr>
            </w:pPr>
            <w:r w:rsidRPr="00325692">
              <w:rPr>
                <w:rFonts w:ascii="Garamond" w:hAnsi="Garamond" w:cs="Constantia"/>
                <w:highlight w:val="yellow"/>
              </w:rPr>
              <w:t xml:space="preserve">Field #33 (Other Scholarly Activities) options 1 or 2, </w:t>
            </w:r>
            <w:r w:rsidRPr="00325692">
              <w:rPr>
                <w:rFonts w:ascii="Garamond" w:hAnsi="Garamond" w:cs="Constantia"/>
                <w:b/>
                <w:highlight w:val="yellow"/>
              </w:rPr>
              <w:t>OR</w:t>
            </w:r>
          </w:p>
          <w:p w:rsidR="00FF1608" w:rsidRPr="00325692" w:rsidRDefault="00FF1608" w:rsidP="00FF1608">
            <w:pPr>
              <w:pStyle w:val="ListParagraph"/>
              <w:numPr>
                <w:ilvl w:val="1"/>
                <w:numId w:val="4"/>
              </w:numPr>
              <w:tabs>
                <w:tab w:val="left" w:pos="-1710"/>
                <w:tab w:val="left" w:pos="0"/>
              </w:tabs>
              <w:autoSpaceDE w:val="0"/>
              <w:autoSpaceDN w:val="0"/>
              <w:adjustRightInd w:val="0"/>
              <w:ind w:left="1710" w:hanging="270"/>
              <w:contextualSpacing/>
              <w:rPr>
                <w:rFonts w:ascii="Garamond" w:hAnsi="Garamond" w:cs="Constantia"/>
                <w:highlight w:val="yellow"/>
              </w:rPr>
            </w:pPr>
            <w:r w:rsidRPr="00325692">
              <w:rPr>
                <w:rFonts w:ascii="Garamond" w:hAnsi="Garamond" w:cs="Constantia"/>
                <w:highlight w:val="yellow"/>
              </w:rPr>
              <w:t>Field #34 (McNair Internships) options 1 or 2.</w:t>
            </w:r>
          </w:p>
          <w:p w:rsidR="00FF1608" w:rsidRPr="00325692" w:rsidRDefault="00FF1608" w:rsidP="00FF1608">
            <w:pPr>
              <w:tabs>
                <w:tab w:val="left" w:pos="-1710"/>
                <w:tab w:val="left" w:pos="0"/>
              </w:tabs>
              <w:autoSpaceDE w:val="0"/>
              <w:autoSpaceDN w:val="0"/>
              <w:adjustRightInd w:val="0"/>
              <w:ind w:left="1080"/>
              <w:contextualSpacing/>
              <w:rPr>
                <w:rFonts w:ascii="Garamond" w:hAnsi="Garamond" w:cs="Constantia"/>
                <w:highlight w:val="yellow"/>
              </w:rPr>
            </w:pPr>
          </w:p>
          <w:p w:rsidR="00FF1608" w:rsidRPr="00325692" w:rsidRDefault="00FF1608" w:rsidP="00FF1608">
            <w:pPr>
              <w:tabs>
                <w:tab w:val="left" w:pos="-1710"/>
                <w:tab w:val="left" w:pos="0"/>
                <w:tab w:val="left" w:pos="1350"/>
              </w:tabs>
              <w:autoSpaceDE w:val="0"/>
              <w:autoSpaceDN w:val="0"/>
              <w:adjustRightInd w:val="0"/>
              <w:ind w:left="1080"/>
              <w:contextualSpacing/>
              <w:rPr>
                <w:rFonts w:ascii="Garamond" w:hAnsi="Garamond" w:cs="Constantia"/>
                <w:highlight w:val="yellow"/>
              </w:rPr>
            </w:pPr>
            <w:r w:rsidRPr="00325692">
              <w:rPr>
                <w:rFonts w:ascii="Garamond" w:hAnsi="Garamond" w:cs="Constantia"/>
                <w:i/>
                <w:iCs/>
                <w:highlight w:val="yellow"/>
              </w:rPr>
              <w:t>The denominator represents all those students that participated in research, other scholarly activities, or McNair internships, regardless of whether they completed the activities or not. Thus, all students served during the assessment year who participated in research, other scholarly activities, or McNair internships were included in the denominator, but only once.</w:t>
            </w:r>
          </w:p>
          <w:p w:rsidR="00FF1608" w:rsidRPr="00325692" w:rsidRDefault="00FF1608" w:rsidP="00FF1608">
            <w:pPr>
              <w:tabs>
                <w:tab w:val="left" w:pos="-1710"/>
                <w:tab w:val="left" w:pos="0"/>
                <w:tab w:val="left" w:pos="1350"/>
              </w:tabs>
              <w:autoSpaceDE w:val="0"/>
              <w:autoSpaceDN w:val="0"/>
              <w:adjustRightInd w:val="0"/>
              <w:ind w:left="1440"/>
              <w:contextualSpacing/>
              <w:rPr>
                <w:rFonts w:ascii="Garamond" w:hAnsi="Garamond" w:cs="Constantia"/>
                <w:highlight w:val="yellow"/>
              </w:rPr>
            </w:pPr>
          </w:p>
          <w:p w:rsidR="00FF1608" w:rsidRPr="00325692" w:rsidRDefault="00FF1608" w:rsidP="00FF1608">
            <w:pPr>
              <w:numPr>
                <w:ilvl w:val="0"/>
                <w:numId w:val="5"/>
              </w:numPr>
              <w:autoSpaceDE w:val="0"/>
              <w:autoSpaceDN w:val="0"/>
              <w:adjustRightInd w:val="0"/>
              <w:contextualSpacing/>
              <w:rPr>
                <w:rFonts w:ascii="Garamond" w:hAnsi="Garamond" w:cs="Constantia,BoldItalic"/>
                <w:color w:val="000000"/>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numerator</w:t>
            </w:r>
            <w:r w:rsidRPr="00325692">
              <w:rPr>
                <w:rFonts w:ascii="Garamond" w:hAnsi="Garamond" w:cs="Constantia"/>
                <w:highlight w:val="yellow"/>
              </w:rPr>
              <w:t xml:space="preserve"> is an unduplicated count of the number of students who participated in and completed all components of the </w:t>
            </w:r>
            <w:r w:rsidRPr="00325692">
              <w:rPr>
                <w:rFonts w:ascii="Garamond" w:hAnsi="Garamond" w:cs="Constantia"/>
                <w:i/>
                <w:iCs/>
                <w:highlight w:val="yellow"/>
              </w:rPr>
              <w:t>research, other scholarly activities, or McNair internships</w:t>
            </w:r>
            <w:r w:rsidRPr="00325692">
              <w:rPr>
                <w:rFonts w:ascii="Garamond" w:hAnsi="Garamond" w:cs="Constantia"/>
                <w:highlight w:val="yellow"/>
              </w:rPr>
              <w:t xml:space="preserve"> and is </w:t>
            </w:r>
            <w:r w:rsidRPr="00325692">
              <w:rPr>
                <w:rFonts w:ascii="Garamond" w:hAnsi="Garamond" w:cs="Constantia"/>
                <w:highlight w:val="yellow"/>
              </w:rPr>
              <w:lastRenderedPageBreak/>
              <w:t>derived from:</w:t>
            </w:r>
          </w:p>
          <w:p w:rsidR="00FF1608" w:rsidRPr="00325692" w:rsidRDefault="00FF1608" w:rsidP="00FF1608">
            <w:pPr>
              <w:autoSpaceDE w:val="0"/>
              <w:autoSpaceDN w:val="0"/>
              <w:adjustRightInd w:val="0"/>
              <w:ind w:left="1080"/>
              <w:contextualSpacing/>
              <w:rPr>
                <w:rFonts w:ascii="Garamond" w:hAnsi="Garamond" w:cs="Constantia,BoldItalic"/>
                <w:color w:val="000000"/>
                <w:highlight w:val="yellow"/>
              </w:rPr>
            </w:pPr>
          </w:p>
          <w:p w:rsidR="00FF1608" w:rsidRPr="00325692" w:rsidRDefault="00FF1608" w:rsidP="00FF1608">
            <w:pPr>
              <w:numPr>
                <w:ilvl w:val="1"/>
                <w:numId w:val="3"/>
              </w:numPr>
              <w:autoSpaceDE w:val="0"/>
              <w:autoSpaceDN w:val="0"/>
              <w:adjustRightInd w:val="0"/>
              <w:ind w:left="1710" w:hanging="270"/>
              <w:contextualSpacing/>
              <w:rPr>
                <w:rFonts w:ascii="Garamond" w:hAnsi="Garamond" w:cs="Constantia,BoldItalic"/>
                <w:color w:val="000000"/>
                <w:highlight w:val="yellow"/>
              </w:rPr>
            </w:pPr>
            <w:r w:rsidRPr="00325692">
              <w:rPr>
                <w:rFonts w:ascii="Garamond" w:hAnsi="Garamond" w:cs="Constantia"/>
                <w:highlight w:val="yellow"/>
              </w:rPr>
              <w:t xml:space="preserve">Field #32 (Research) option 2, </w:t>
            </w:r>
            <w:r w:rsidRPr="00325692">
              <w:rPr>
                <w:rFonts w:ascii="Garamond" w:hAnsi="Garamond" w:cs="Constantia"/>
                <w:b/>
                <w:highlight w:val="yellow"/>
              </w:rPr>
              <w:t>OR</w:t>
            </w:r>
          </w:p>
          <w:p w:rsidR="00FF1608" w:rsidRPr="00325692" w:rsidRDefault="00FF1608" w:rsidP="00FF1608">
            <w:pPr>
              <w:numPr>
                <w:ilvl w:val="1"/>
                <w:numId w:val="3"/>
              </w:numPr>
              <w:autoSpaceDE w:val="0"/>
              <w:autoSpaceDN w:val="0"/>
              <w:adjustRightInd w:val="0"/>
              <w:ind w:left="1710" w:hanging="270"/>
              <w:contextualSpacing/>
              <w:rPr>
                <w:rFonts w:ascii="Garamond" w:hAnsi="Garamond" w:cs="Constantia,BoldItalic"/>
                <w:color w:val="000000"/>
                <w:highlight w:val="yellow"/>
              </w:rPr>
            </w:pPr>
            <w:r w:rsidRPr="00325692">
              <w:rPr>
                <w:rFonts w:ascii="Garamond" w:hAnsi="Garamond" w:cs="Constantia"/>
                <w:highlight w:val="yellow"/>
              </w:rPr>
              <w:t xml:space="preserve">Field #33 (Other Scholarly Activities) option 2, </w:t>
            </w:r>
            <w:r w:rsidRPr="00325692">
              <w:rPr>
                <w:rFonts w:ascii="Garamond" w:hAnsi="Garamond" w:cs="Constantia"/>
                <w:b/>
                <w:highlight w:val="yellow"/>
              </w:rPr>
              <w:t>OR</w:t>
            </w:r>
          </w:p>
          <w:p w:rsidR="00FF1608" w:rsidRPr="00325692" w:rsidRDefault="00FF1608" w:rsidP="00FF1608">
            <w:pPr>
              <w:numPr>
                <w:ilvl w:val="1"/>
                <w:numId w:val="3"/>
              </w:numPr>
              <w:autoSpaceDE w:val="0"/>
              <w:autoSpaceDN w:val="0"/>
              <w:adjustRightInd w:val="0"/>
              <w:ind w:left="1710" w:hanging="270"/>
              <w:contextualSpacing/>
              <w:rPr>
                <w:rFonts w:ascii="Garamond" w:hAnsi="Garamond" w:cs="Constantia,BoldItalic"/>
                <w:color w:val="000000"/>
                <w:highlight w:val="yellow"/>
              </w:rPr>
            </w:pPr>
            <w:r w:rsidRPr="00325692">
              <w:rPr>
                <w:rFonts w:ascii="Garamond" w:hAnsi="Garamond" w:cs="Constantia"/>
                <w:highlight w:val="yellow"/>
              </w:rPr>
              <w:t>Field #34 (McNair Internships) option 2</w:t>
            </w:r>
          </w:p>
          <w:p w:rsidR="00FF1608" w:rsidRPr="00325692" w:rsidRDefault="00FF1608" w:rsidP="00FF1608">
            <w:pPr>
              <w:autoSpaceDE w:val="0"/>
              <w:autoSpaceDN w:val="0"/>
              <w:adjustRightInd w:val="0"/>
              <w:ind w:left="1080"/>
              <w:contextualSpacing/>
              <w:rPr>
                <w:rFonts w:ascii="Garamond" w:hAnsi="Garamond" w:cs="Constantia,BoldItalic"/>
                <w:color w:val="000000"/>
                <w:highlight w:val="yellow"/>
              </w:rPr>
            </w:pPr>
          </w:p>
          <w:p w:rsidR="00FF1608" w:rsidRPr="00325692" w:rsidRDefault="00FF1608" w:rsidP="00FF1608">
            <w:pPr>
              <w:autoSpaceDE w:val="0"/>
              <w:autoSpaceDN w:val="0"/>
              <w:adjustRightInd w:val="0"/>
              <w:ind w:left="1080"/>
              <w:contextualSpacing/>
              <w:rPr>
                <w:rFonts w:ascii="Garamond" w:hAnsi="Garamond" w:cs="Constantia,BoldItalic"/>
                <w:i/>
                <w:iCs/>
                <w:color w:val="000000"/>
                <w:highlight w:val="yellow"/>
              </w:rPr>
            </w:pPr>
            <w:r w:rsidRPr="00325692">
              <w:rPr>
                <w:rFonts w:ascii="Garamond" w:hAnsi="Garamond" w:cs="Constantia,BoldItalic"/>
                <w:i/>
                <w:iCs/>
                <w:color w:val="000000"/>
                <w:highlight w:val="yellow"/>
              </w:rPr>
              <w:t xml:space="preserve">The numerator represents all those students that completed their </w:t>
            </w:r>
            <w:r w:rsidRPr="00325692">
              <w:rPr>
                <w:rFonts w:ascii="Garamond" w:hAnsi="Garamond" w:cs="Constantia"/>
                <w:i/>
                <w:iCs/>
                <w:highlight w:val="yellow"/>
              </w:rPr>
              <w:t>research, other scholarly activities, or McNair internships</w:t>
            </w:r>
            <w:r w:rsidRPr="00325692">
              <w:rPr>
                <w:rFonts w:ascii="Garamond" w:hAnsi="Garamond" w:cs="Constantia,BoldItalic"/>
                <w:i/>
                <w:iCs/>
                <w:color w:val="000000"/>
                <w:highlight w:val="yellow"/>
              </w:rPr>
              <w:t xml:space="preserve">. Thus, all students served during the assessment year </w:t>
            </w:r>
            <w:proofErr w:type="gramStart"/>
            <w:r w:rsidRPr="00325692">
              <w:rPr>
                <w:rFonts w:ascii="Garamond" w:hAnsi="Garamond" w:cs="Constantia,BoldItalic"/>
                <w:i/>
                <w:iCs/>
                <w:color w:val="000000"/>
                <w:highlight w:val="yellow"/>
              </w:rPr>
              <w:t>who</w:t>
            </w:r>
            <w:proofErr w:type="gramEnd"/>
            <w:r w:rsidRPr="00325692">
              <w:rPr>
                <w:rFonts w:ascii="Garamond" w:hAnsi="Garamond" w:cs="Constantia,BoldItalic"/>
                <w:i/>
                <w:iCs/>
                <w:color w:val="000000"/>
                <w:highlight w:val="yellow"/>
              </w:rPr>
              <w:t xml:space="preserve"> completed </w:t>
            </w:r>
            <w:r w:rsidRPr="00325692">
              <w:rPr>
                <w:rFonts w:ascii="Garamond" w:hAnsi="Garamond" w:cs="Constantia"/>
                <w:i/>
                <w:iCs/>
                <w:highlight w:val="yellow"/>
              </w:rPr>
              <w:t>research, other scholarly activities, or McNair internships</w:t>
            </w:r>
            <w:r w:rsidRPr="00325692">
              <w:rPr>
                <w:rFonts w:ascii="Garamond" w:hAnsi="Garamond" w:cs="Constantia"/>
                <w:highlight w:val="yellow"/>
              </w:rPr>
              <w:t xml:space="preserve"> </w:t>
            </w:r>
            <w:r w:rsidRPr="00325692">
              <w:rPr>
                <w:rFonts w:ascii="Garamond" w:hAnsi="Garamond" w:cs="Constantia,BoldItalic"/>
                <w:i/>
                <w:iCs/>
                <w:color w:val="000000"/>
                <w:highlight w:val="yellow"/>
              </w:rPr>
              <w:t>were included in the numerator, but only once.</w:t>
            </w:r>
          </w:p>
          <w:p w:rsidR="00FF1608" w:rsidRPr="00325692" w:rsidRDefault="00FF1608" w:rsidP="00FF1608">
            <w:pPr>
              <w:rPr>
                <w:rFonts w:ascii="Arial" w:hAnsi="Arial" w:cs="Arial"/>
                <w:highlight w:val="yellow"/>
              </w:rPr>
            </w:pPr>
          </w:p>
          <w:p w:rsidR="00FF1608" w:rsidRPr="00325692" w:rsidRDefault="00FF1608" w:rsidP="00FF1608">
            <w:pPr>
              <w:rPr>
                <w:rFonts w:ascii="Arial" w:hAnsi="Arial" w:cs="Arial"/>
                <w:b/>
                <w:highlight w:val="yellow"/>
                <w:u w:val="single"/>
              </w:rPr>
            </w:pPr>
            <w:r w:rsidRPr="00325692">
              <w:rPr>
                <w:rFonts w:ascii="Arial" w:hAnsi="Arial" w:cs="Arial"/>
                <w:b/>
                <w:highlight w:val="yellow"/>
                <w:u w:val="single"/>
              </w:rPr>
              <w:t>Postbaccalaureate enrollment</w:t>
            </w:r>
          </w:p>
          <w:p w:rsidR="00FF1608" w:rsidRPr="00325692" w:rsidRDefault="00FF1608" w:rsidP="00FF1608">
            <w:pPr>
              <w:rPr>
                <w:rFonts w:ascii="Arial" w:hAnsi="Arial" w:cs="Arial"/>
                <w:b/>
                <w:highlight w:val="yellow"/>
                <w:u w:val="single"/>
              </w:rPr>
            </w:pPr>
          </w:p>
          <w:p w:rsidR="00FF1608" w:rsidRPr="00325692" w:rsidRDefault="00FF1608" w:rsidP="00FF1608">
            <w:pPr>
              <w:rPr>
                <w:rFonts w:ascii="Garamond" w:hAnsi="Garamond"/>
                <w:highlight w:val="yellow"/>
              </w:rPr>
            </w:pPr>
            <w:r w:rsidRPr="00325692">
              <w:rPr>
                <w:rFonts w:ascii="Garamond" w:hAnsi="Garamond" w:cs="Constantia"/>
                <w:highlight w:val="yellow"/>
              </w:rPr>
              <w:t xml:space="preserve">PE points are </w:t>
            </w:r>
            <w:r w:rsidRPr="00325692">
              <w:rPr>
                <w:rFonts w:ascii="Garamond" w:hAnsi="Garamond"/>
                <w:highlight w:val="yellow"/>
              </w:rPr>
              <w:t xml:space="preserve">awarded to eligible projects </w:t>
            </w:r>
            <w:r w:rsidRPr="00325692">
              <w:rPr>
                <w:rFonts w:ascii="Garamond" w:hAnsi="Garamond" w:cs="Constantia"/>
                <w:highlight w:val="yellow"/>
              </w:rPr>
              <w:t xml:space="preserve">that met or exceeded their approved objective for post-baccalaureate program—graduate school enrollment.  For a given assessment year, a project needed to have served students in the target population (i.e., </w:t>
            </w:r>
            <w:r w:rsidRPr="00325692">
              <w:rPr>
                <w:rFonts w:ascii="Garamond" w:hAnsi="Garamond"/>
                <w:highlight w:val="yellow"/>
              </w:rPr>
              <w:t>participants who attained a bachelor’s degree during the assessment year</w:t>
            </w:r>
            <w:r w:rsidRPr="00325692">
              <w:rPr>
                <w:rFonts w:ascii="Garamond" w:hAnsi="Garamond" w:cs="Constantia"/>
                <w:highlight w:val="yellow"/>
              </w:rPr>
              <w:t>).</w:t>
            </w:r>
          </w:p>
          <w:p w:rsidR="00FF1608" w:rsidRPr="00325692" w:rsidRDefault="00FF1608" w:rsidP="00FF1608">
            <w:pPr>
              <w:autoSpaceDE w:val="0"/>
              <w:autoSpaceDN w:val="0"/>
              <w:adjustRightInd w:val="0"/>
              <w:rPr>
                <w:rFonts w:ascii="Garamond" w:hAnsi="Garamond" w:cs="Constantia"/>
                <w:highlight w:val="yellow"/>
              </w:rPr>
            </w:pPr>
          </w:p>
          <w:p w:rsidR="00FF1608" w:rsidRPr="00325692" w:rsidRDefault="00FF1608" w:rsidP="00FF1608">
            <w:pPr>
              <w:autoSpaceDE w:val="0"/>
              <w:autoSpaceDN w:val="0"/>
              <w:adjustRightInd w:val="0"/>
              <w:rPr>
                <w:rFonts w:ascii="Garamond" w:hAnsi="Garamond" w:cs="Constantia"/>
                <w:highlight w:val="yellow"/>
              </w:rPr>
            </w:pPr>
            <w:r w:rsidRPr="00325692">
              <w:rPr>
                <w:rFonts w:ascii="Garamond" w:hAnsi="Garamond" w:cs="Constantia"/>
                <w:highlight w:val="yellow"/>
              </w:rPr>
              <w:t xml:space="preserve">The calculation rule for the </w:t>
            </w:r>
            <w:r w:rsidRPr="00325692">
              <w:rPr>
                <w:rFonts w:ascii="Garamond" w:hAnsi="Garamond" w:cs="Constantia"/>
                <w:b/>
                <w:highlight w:val="yellow"/>
              </w:rPr>
              <w:t>“post-baccalaureate program—graduate school enrollment rate”</w:t>
            </w:r>
            <w:r w:rsidRPr="00325692">
              <w:rPr>
                <w:rFonts w:ascii="Garamond" w:hAnsi="Garamond" w:cs="Constantia"/>
                <w:highlight w:val="yellow"/>
              </w:rPr>
              <w:t xml:space="preserve"> is as follows:</w:t>
            </w:r>
          </w:p>
          <w:p w:rsidR="00FF1608" w:rsidRPr="00325692" w:rsidRDefault="00FF1608" w:rsidP="00FF1608">
            <w:pPr>
              <w:autoSpaceDE w:val="0"/>
              <w:autoSpaceDN w:val="0"/>
              <w:adjustRightInd w:val="0"/>
              <w:rPr>
                <w:rFonts w:ascii="Garamond" w:hAnsi="Garamond" w:cs="Constantia"/>
                <w:highlight w:val="yellow"/>
              </w:rPr>
            </w:pPr>
          </w:p>
          <w:p w:rsidR="00FF1608" w:rsidRPr="00325692" w:rsidRDefault="00FF1608" w:rsidP="00FF1608">
            <w:pPr>
              <w:numPr>
                <w:ilvl w:val="0"/>
                <w:numId w:val="7"/>
              </w:numPr>
              <w:tabs>
                <w:tab w:val="left" w:pos="-1710"/>
                <w:tab w:val="left" w:pos="0"/>
              </w:tabs>
              <w:autoSpaceDE w:val="0"/>
              <w:autoSpaceDN w:val="0"/>
              <w:adjustRightInd w:val="0"/>
              <w:contextualSpacing/>
              <w:rPr>
                <w:rFonts w:ascii="Garamond" w:hAnsi="Garamond" w:cs="Constantia,BoldItalic"/>
                <w:color w:val="000000"/>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denominator</w:t>
            </w:r>
            <w:r w:rsidRPr="00325692">
              <w:rPr>
                <w:rFonts w:ascii="Garamond" w:hAnsi="Garamond" w:cs="Constantia"/>
                <w:highlight w:val="yellow"/>
              </w:rPr>
              <w:t xml:space="preserve"> is the number of participants who attained a bachelor’s degree during the assessment year and is derived from:</w:t>
            </w:r>
          </w:p>
          <w:p w:rsidR="00FF1608" w:rsidRPr="00325692" w:rsidRDefault="00FF1608" w:rsidP="00FF1608">
            <w:pPr>
              <w:tabs>
                <w:tab w:val="left" w:pos="-1710"/>
                <w:tab w:val="left" w:pos="0"/>
              </w:tabs>
              <w:autoSpaceDE w:val="0"/>
              <w:autoSpaceDN w:val="0"/>
              <w:adjustRightInd w:val="0"/>
              <w:ind w:left="1080"/>
              <w:contextualSpacing/>
              <w:rPr>
                <w:rFonts w:ascii="Garamond" w:hAnsi="Garamond" w:cs="Constantia,BoldItalic"/>
                <w:color w:val="000000"/>
                <w:highlight w:val="yellow"/>
              </w:rPr>
            </w:pPr>
          </w:p>
          <w:p w:rsidR="00FF1608" w:rsidRPr="00325692" w:rsidRDefault="00FF1608" w:rsidP="00FF1608">
            <w:pPr>
              <w:pStyle w:val="ListParagraph"/>
              <w:numPr>
                <w:ilvl w:val="0"/>
                <w:numId w:val="6"/>
              </w:numPr>
              <w:spacing w:line="240" w:lineRule="atLeast"/>
              <w:contextualSpacing/>
              <w:rPr>
                <w:rFonts w:ascii="Garamond" w:hAnsi="Garamond" w:cs="Constantia,BoldItalic"/>
                <w:color w:val="000000"/>
                <w:highlight w:val="yellow"/>
              </w:rPr>
            </w:pPr>
            <w:r w:rsidRPr="00325692">
              <w:rPr>
                <w:rFonts w:ascii="Garamond" w:hAnsi="Garamond" w:cs="Constantia"/>
                <w:highlight w:val="yellow"/>
              </w:rPr>
              <w:t>Field #38, (Graduate School Enrollment Status) option 1, 2, and 3.</w:t>
            </w:r>
          </w:p>
          <w:p w:rsidR="00FF1608" w:rsidRPr="00325692" w:rsidRDefault="00FF1608" w:rsidP="00FF1608">
            <w:pPr>
              <w:tabs>
                <w:tab w:val="left" w:pos="1350"/>
                <w:tab w:val="num" w:pos="1440"/>
              </w:tabs>
              <w:autoSpaceDE w:val="0"/>
              <w:autoSpaceDN w:val="0"/>
              <w:adjustRightInd w:val="0"/>
              <w:ind w:left="1350"/>
              <w:rPr>
                <w:rFonts w:ascii="Garamond" w:hAnsi="Garamond" w:cs="Constantia"/>
                <w:highlight w:val="yellow"/>
              </w:rPr>
            </w:pPr>
          </w:p>
          <w:p w:rsidR="00FF1608" w:rsidRPr="00325692" w:rsidRDefault="00FF1608" w:rsidP="00FF1608">
            <w:pPr>
              <w:numPr>
                <w:ilvl w:val="0"/>
                <w:numId w:val="8"/>
              </w:numPr>
              <w:autoSpaceDE w:val="0"/>
              <w:autoSpaceDN w:val="0"/>
              <w:adjustRightInd w:val="0"/>
              <w:contextualSpacing/>
              <w:rPr>
                <w:rFonts w:ascii="Garamond" w:hAnsi="Garamond" w:cs="Constantia,BoldItalic"/>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numerator</w:t>
            </w:r>
            <w:r w:rsidRPr="00325692">
              <w:rPr>
                <w:rFonts w:ascii="Garamond" w:hAnsi="Garamond" w:cs="Constantia"/>
                <w:highlight w:val="yellow"/>
              </w:rPr>
              <w:t xml:space="preserve"> is the number of participants who attained a bachelor’s degree during the assessment year and enrolled in a post-baccalaureate program by the following fall term and is derived from:</w:t>
            </w:r>
          </w:p>
          <w:p w:rsidR="00FF1608" w:rsidRPr="00325692" w:rsidRDefault="00FF1608" w:rsidP="00FF1608">
            <w:pPr>
              <w:autoSpaceDE w:val="0"/>
              <w:autoSpaceDN w:val="0"/>
              <w:adjustRightInd w:val="0"/>
              <w:ind w:left="1080" w:firstLine="360"/>
              <w:contextualSpacing/>
              <w:rPr>
                <w:rFonts w:ascii="Garamond" w:hAnsi="Garamond" w:cs="Constantia"/>
                <w:highlight w:val="yellow"/>
              </w:rPr>
            </w:pPr>
          </w:p>
          <w:p w:rsidR="00FF1608" w:rsidRPr="00325692" w:rsidRDefault="00FF1608" w:rsidP="00FF1608">
            <w:pPr>
              <w:pStyle w:val="ListParagraph"/>
              <w:numPr>
                <w:ilvl w:val="0"/>
                <w:numId w:val="6"/>
              </w:numPr>
              <w:spacing w:line="240" w:lineRule="atLeast"/>
              <w:contextualSpacing/>
              <w:rPr>
                <w:rFonts w:ascii="Garamond" w:hAnsi="Garamond" w:cs="Constantia,BoldItalic"/>
                <w:highlight w:val="yellow"/>
              </w:rPr>
            </w:pPr>
            <w:r w:rsidRPr="00325692">
              <w:rPr>
                <w:rFonts w:ascii="Garamond" w:hAnsi="Garamond" w:cs="Constantia"/>
                <w:highlight w:val="yellow"/>
              </w:rPr>
              <w:t>Field #38, (Graduate School Enrollment Status) option 1</w:t>
            </w:r>
          </w:p>
          <w:p w:rsidR="00FF1608" w:rsidRPr="00325692" w:rsidRDefault="00FF1608" w:rsidP="00FF1608">
            <w:pPr>
              <w:ind w:firstLine="720"/>
              <w:rPr>
                <w:rFonts w:ascii="Arial" w:hAnsi="Arial" w:cs="Arial"/>
                <w:highlight w:val="yellow"/>
              </w:rPr>
            </w:pPr>
          </w:p>
          <w:p w:rsidR="00FF1608" w:rsidRPr="00325692" w:rsidRDefault="00FF1608" w:rsidP="00FF1608">
            <w:pPr>
              <w:ind w:firstLine="720"/>
              <w:rPr>
                <w:rFonts w:ascii="Arial" w:hAnsi="Arial" w:cs="Arial"/>
                <w:highlight w:val="yellow"/>
              </w:rPr>
            </w:pPr>
          </w:p>
          <w:p w:rsidR="00FF1608" w:rsidRPr="00325692" w:rsidRDefault="00FF1608" w:rsidP="00FF1608">
            <w:pPr>
              <w:rPr>
                <w:rFonts w:ascii="Arial" w:hAnsi="Arial" w:cs="Arial"/>
                <w:b/>
                <w:highlight w:val="yellow"/>
                <w:u w:val="single"/>
              </w:rPr>
            </w:pPr>
            <w:r w:rsidRPr="00325692">
              <w:rPr>
                <w:rFonts w:ascii="Arial" w:hAnsi="Arial" w:cs="Arial"/>
                <w:b/>
                <w:highlight w:val="yellow"/>
                <w:u w:val="single"/>
              </w:rPr>
              <w:t>Postbaccalaureate Continued Enrollment</w:t>
            </w:r>
          </w:p>
          <w:p w:rsidR="00FF1608" w:rsidRPr="00325692" w:rsidRDefault="00FF1608" w:rsidP="00FF1608">
            <w:pPr>
              <w:rPr>
                <w:rFonts w:ascii="Arial" w:hAnsi="Arial" w:cs="Arial"/>
                <w:b/>
                <w:highlight w:val="yellow"/>
                <w:u w:val="single"/>
              </w:rPr>
            </w:pPr>
          </w:p>
          <w:p w:rsidR="00FF1608" w:rsidRPr="00325692" w:rsidRDefault="00FF1608" w:rsidP="00FF1608">
            <w:pPr>
              <w:rPr>
                <w:rFonts w:ascii="Garamond" w:hAnsi="Garamond"/>
                <w:highlight w:val="yellow"/>
              </w:rPr>
            </w:pPr>
            <w:r w:rsidRPr="00325692">
              <w:rPr>
                <w:rFonts w:ascii="Garamond" w:hAnsi="Garamond" w:cs="Constantia"/>
                <w:highlight w:val="yellow"/>
              </w:rPr>
              <w:t xml:space="preserve">PE points are </w:t>
            </w:r>
            <w:r w:rsidRPr="00325692">
              <w:rPr>
                <w:rFonts w:ascii="Garamond" w:hAnsi="Garamond"/>
                <w:highlight w:val="yellow"/>
              </w:rPr>
              <w:t xml:space="preserve">awarded to eligible projects </w:t>
            </w:r>
            <w:r w:rsidRPr="00325692">
              <w:rPr>
                <w:rFonts w:ascii="Garamond" w:hAnsi="Garamond" w:cs="Constantia"/>
                <w:highlight w:val="yellow"/>
              </w:rPr>
              <w:t xml:space="preserve">that met or exceeded their approved objective for post-baccalaureate program persistence.  For a given assessment year, a project needed to have served participants in the target population (i.e., </w:t>
            </w:r>
            <w:r w:rsidRPr="00325692">
              <w:rPr>
                <w:rFonts w:ascii="Garamond" w:hAnsi="Garamond"/>
                <w:highlight w:val="yellow"/>
              </w:rPr>
              <w:t xml:space="preserve">students who were </w:t>
            </w:r>
            <w:r w:rsidRPr="00325692">
              <w:rPr>
                <w:rFonts w:ascii="Garamond" w:hAnsi="Garamond"/>
                <w:i/>
                <w:highlight w:val="yellow"/>
              </w:rPr>
              <w:t>First Year Graduate Students</w:t>
            </w:r>
            <w:r w:rsidRPr="00325692">
              <w:rPr>
                <w:rFonts w:ascii="Garamond" w:hAnsi="Garamond" w:cs="Constantia"/>
                <w:highlight w:val="yellow"/>
              </w:rPr>
              <w:t>).</w:t>
            </w:r>
          </w:p>
          <w:p w:rsidR="00FF1608" w:rsidRPr="00325692" w:rsidRDefault="00FF1608" w:rsidP="00FF1608">
            <w:pPr>
              <w:autoSpaceDE w:val="0"/>
              <w:autoSpaceDN w:val="0"/>
              <w:adjustRightInd w:val="0"/>
              <w:rPr>
                <w:rFonts w:ascii="Garamond" w:hAnsi="Garamond" w:cs="Constantia"/>
                <w:highlight w:val="yellow"/>
              </w:rPr>
            </w:pPr>
          </w:p>
          <w:p w:rsidR="00FF1608" w:rsidRPr="00325692" w:rsidRDefault="00FF1608" w:rsidP="00FF1608">
            <w:pPr>
              <w:autoSpaceDE w:val="0"/>
              <w:autoSpaceDN w:val="0"/>
              <w:adjustRightInd w:val="0"/>
              <w:rPr>
                <w:rFonts w:ascii="Garamond" w:hAnsi="Garamond" w:cs="Constantia"/>
                <w:highlight w:val="yellow"/>
              </w:rPr>
            </w:pPr>
            <w:r w:rsidRPr="00325692">
              <w:rPr>
                <w:rFonts w:ascii="Garamond" w:hAnsi="Garamond" w:cs="Constantia"/>
                <w:highlight w:val="yellow"/>
              </w:rPr>
              <w:t xml:space="preserve">The calculation rule for the </w:t>
            </w:r>
            <w:r w:rsidRPr="00325692">
              <w:rPr>
                <w:rFonts w:ascii="Garamond" w:hAnsi="Garamond" w:cs="Constantia"/>
                <w:b/>
                <w:highlight w:val="yellow"/>
              </w:rPr>
              <w:t>“post-baccalaureate program—continued enrollment in graduate school rate”</w:t>
            </w:r>
            <w:r w:rsidRPr="00325692">
              <w:rPr>
                <w:rFonts w:ascii="Garamond" w:hAnsi="Garamond" w:cs="Constantia"/>
                <w:highlight w:val="yellow"/>
              </w:rPr>
              <w:t xml:space="preserve"> is as follows:</w:t>
            </w:r>
          </w:p>
          <w:p w:rsidR="00FF1608" w:rsidRPr="00325692" w:rsidRDefault="00FF1608" w:rsidP="00FF1608">
            <w:pPr>
              <w:autoSpaceDE w:val="0"/>
              <w:autoSpaceDN w:val="0"/>
              <w:adjustRightInd w:val="0"/>
              <w:rPr>
                <w:rFonts w:ascii="Garamond" w:hAnsi="Garamond" w:cs="Constantia"/>
                <w:highlight w:val="yellow"/>
              </w:rPr>
            </w:pPr>
          </w:p>
          <w:p w:rsidR="00FF1608" w:rsidRPr="00325692" w:rsidRDefault="00FF1608" w:rsidP="00FF1608">
            <w:pPr>
              <w:numPr>
                <w:ilvl w:val="0"/>
                <w:numId w:val="7"/>
              </w:numPr>
              <w:tabs>
                <w:tab w:val="left" w:pos="-1710"/>
                <w:tab w:val="left" w:pos="0"/>
              </w:tabs>
              <w:autoSpaceDE w:val="0"/>
              <w:autoSpaceDN w:val="0"/>
              <w:adjustRightInd w:val="0"/>
              <w:contextualSpacing/>
              <w:rPr>
                <w:rFonts w:ascii="Garamond" w:hAnsi="Garamond" w:cs="Constantia,BoldItalic"/>
                <w:color w:val="000000"/>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denominator</w:t>
            </w:r>
            <w:r w:rsidRPr="00325692">
              <w:rPr>
                <w:rFonts w:ascii="Garamond" w:hAnsi="Garamond" w:cs="Constantia"/>
                <w:highlight w:val="yellow"/>
              </w:rPr>
              <w:t xml:space="preserve"> is the number of participants who were first-year graduate students during the assessment year and is derived from:</w:t>
            </w:r>
          </w:p>
          <w:p w:rsidR="00FF1608" w:rsidRPr="00325692" w:rsidRDefault="00FF1608" w:rsidP="00FF1608">
            <w:pPr>
              <w:tabs>
                <w:tab w:val="left" w:pos="-1710"/>
                <w:tab w:val="left" w:pos="0"/>
              </w:tabs>
              <w:autoSpaceDE w:val="0"/>
              <w:autoSpaceDN w:val="0"/>
              <w:adjustRightInd w:val="0"/>
              <w:ind w:left="1080"/>
              <w:contextualSpacing/>
              <w:rPr>
                <w:rFonts w:ascii="Garamond" w:hAnsi="Garamond" w:cs="Constantia,BoldItalic"/>
                <w:color w:val="000000"/>
                <w:highlight w:val="yellow"/>
              </w:rPr>
            </w:pPr>
          </w:p>
          <w:p w:rsidR="00FF1608" w:rsidRPr="00325692" w:rsidRDefault="00FF1608" w:rsidP="00FF1608">
            <w:pPr>
              <w:pStyle w:val="ListParagraph"/>
              <w:numPr>
                <w:ilvl w:val="0"/>
                <w:numId w:val="6"/>
              </w:numPr>
              <w:spacing w:line="240" w:lineRule="atLeast"/>
              <w:contextualSpacing/>
              <w:rPr>
                <w:rFonts w:ascii="Garamond" w:hAnsi="Garamond" w:cs="Constantia,BoldItalic"/>
                <w:color w:val="000000"/>
                <w:highlight w:val="yellow"/>
              </w:rPr>
            </w:pPr>
            <w:r w:rsidRPr="00325692">
              <w:rPr>
                <w:rFonts w:ascii="Garamond" w:hAnsi="Garamond" w:cs="Constantia"/>
                <w:highlight w:val="yellow"/>
              </w:rPr>
              <w:t>Field #39, (First-Year Graduate Student Persistence Status) option 1, 2, and 3.</w:t>
            </w:r>
          </w:p>
          <w:p w:rsidR="00FF1608" w:rsidRPr="00325692" w:rsidRDefault="00FF1608" w:rsidP="00FF1608">
            <w:pPr>
              <w:tabs>
                <w:tab w:val="left" w:pos="1350"/>
                <w:tab w:val="num" w:pos="1440"/>
              </w:tabs>
              <w:autoSpaceDE w:val="0"/>
              <w:autoSpaceDN w:val="0"/>
              <w:adjustRightInd w:val="0"/>
              <w:ind w:left="1350"/>
              <w:rPr>
                <w:rFonts w:ascii="Garamond" w:hAnsi="Garamond" w:cs="Constantia"/>
                <w:highlight w:val="yellow"/>
              </w:rPr>
            </w:pPr>
          </w:p>
          <w:p w:rsidR="00FF1608" w:rsidRPr="00325692" w:rsidRDefault="00FF1608" w:rsidP="00FF1608">
            <w:pPr>
              <w:numPr>
                <w:ilvl w:val="0"/>
                <w:numId w:val="8"/>
              </w:numPr>
              <w:autoSpaceDE w:val="0"/>
              <w:autoSpaceDN w:val="0"/>
              <w:adjustRightInd w:val="0"/>
              <w:contextualSpacing/>
              <w:rPr>
                <w:rFonts w:ascii="Garamond" w:hAnsi="Garamond" w:cs="Constantia,BoldItalic"/>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numerator</w:t>
            </w:r>
            <w:r w:rsidRPr="00325692">
              <w:rPr>
                <w:rFonts w:ascii="Garamond" w:hAnsi="Garamond" w:cs="Constantia"/>
                <w:highlight w:val="yellow"/>
              </w:rPr>
              <w:t xml:space="preserve"> is the number of participants who were first-year graduate students during the assessment year and were still enrolled in a post-baccalaureate degree program by the following fall term and is derived from:</w:t>
            </w:r>
          </w:p>
          <w:p w:rsidR="00FF1608" w:rsidRPr="00325692" w:rsidRDefault="00FF1608" w:rsidP="00FF1608">
            <w:pPr>
              <w:autoSpaceDE w:val="0"/>
              <w:autoSpaceDN w:val="0"/>
              <w:adjustRightInd w:val="0"/>
              <w:ind w:left="1080" w:firstLine="360"/>
              <w:contextualSpacing/>
              <w:rPr>
                <w:rFonts w:ascii="Garamond" w:hAnsi="Garamond" w:cs="Constantia"/>
                <w:highlight w:val="yellow"/>
              </w:rPr>
            </w:pPr>
          </w:p>
          <w:p w:rsidR="00FF1608" w:rsidRPr="00325692" w:rsidRDefault="00FF1608" w:rsidP="00FF1608">
            <w:pPr>
              <w:pStyle w:val="ListParagraph"/>
              <w:numPr>
                <w:ilvl w:val="0"/>
                <w:numId w:val="6"/>
              </w:numPr>
              <w:spacing w:line="240" w:lineRule="atLeast"/>
              <w:contextualSpacing/>
              <w:rPr>
                <w:rFonts w:ascii="Garamond" w:hAnsi="Garamond" w:cs="Constantia,BoldItalic"/>
                <w:highlight w:val="yellow"/>
              </w:rPr>
            </w:pPr>
            <w:r w:rsidRPr="00325692">
              <w:rPr>
                <w:rFonts w:ascii="Garamond" w:hAnsi="Garamond" w:cs="Constantia"/>
                <w:highlight w:val="yellow"/>
              </w:rPr>
              <w:t>Field #39, (First-Year Graduate Student Persistence Status) option 1</w:t>
            </w:r>
          </w:p>
          <w:p w:rsidR="00FF1608" w:rsidRPr="00325692" w:rsidRDefault="00FF1608" w:rsidP="00FF1608">
            <w:pPr>
              <w:rPr>
                <w:rFonts w:ascii="Garamond" w:hAnsi="Garamond" w:cs="Constantia"/>
                <w:highlight w:val="yellow"/>
              </w:rPr>
            </w:pPr>
          </w:p>
          <w:p w:rsidR="00FF1608" w:rsidRPr="00325692" w:rsidRDefault="00FF1608" w:rsidP="00FF1608">
            <w:pPr>
              <w:rPr>
                <w:rFonts w:ascii="Garamond" w:hAnsi="Garamond" w:cs="Constantia"/>
                <w:highlight w:val="yellow"/>
              </w:rPr>
            </w:pPr>
          </w:p>
          <w:p w:rsidR="00FF1608" w:rsidRPr="00325692" w:rsidRDefault="00FF1608" w:rsidP="00FF1608">
            <w:pPr>
              <w:rPr>
                <w:rFonts w:ascii="Garamond" w:hAnsi="Garamond" w:cs="Constantia"/>
                <w:highlight w:val="yellow"/>
              </w:rPr>
            </w:pPr>
          </w:p>
          <w:p w:rsidR="00FF1608" w:rsidRPr="00325692" w:rsidRDefault="00FF1608" w:rsidP="00FF1608">
            <w:pPr>
              <w:rPr>
                <w:rFonts w:ascii="Arial" w:hAnsi="Arial" w:cs="Arial"/>
                <w:b/>
                <w:highlight w:val="yellow"/>
                <w:u w:val="single"/>
              </w:rPr>
            </w:pPr>
            <w:r w:rsidRPr="00325692">
              <w:rPr>
                <w:rFonts w:ascii="Arial" w:hAnsi="Arial" w:cs="Arial"/>
                <w:b/>
                <w:highlight w:val="yellow"/>
                <w:u w:val="single"/>
              </w:rPr>
              <w:t>Doctoral degree attainment</w:t>
            </w:r>
          </w:p>
          <w:p w:rsidR="00FF1608" w:rsidRPr="00325692" w:rsidRDefault="00FF1608" w:rsidP="00FF1608">
            <w:pPr>
              <w:rPr>
                <w:rFonts w:ascii="Arial" w:hAnsi="Arial" w:cs="Arial"/>
                <w:b/>
                <w:highlight w:val="yellow"/>
                <w:u w:val="single"/>
              </w:rPr>
            </w:pPr>
          </w:p>
          <w:p w:rsidR="00FF1608" w:rsidRPr="00325692" w:rsidRDefault="00FF1608" w:rsidP="00FF1608">
            <w:pPr>
              <w:autoSpaceDE w:val="0"/>
              <w:autoSpaceDN w:val="0"/>
              <w:adjustRightInd w:val="0"/>
              <w:rPr>
                <w:rFonts w:ascii="Garamond" w:hAnsi="Garamond" w:cs="Constantia"/>
                <w:highlight w:val="yellow"/>
              </w:rPr>
            </w:pPr>
            <w:r w:rsidRPr="00325692">
              <w:rPr>
                <w:rFonts w:ascii="Garamond" w:hAnsi="Garamond" w:cs="Constantia"/>
                <w:highlight w:val="yellow"/>
              </w:rPr>
              <w:t xml:space="preserve">PE points are </w:t>
            </w:r>
            <w:r w:rsidRPr="00325692">
              <w:rPr>
                <w:rFonts w:ascii="Garamond" w:hAnsi="Garamond"/>
                <w:highlight w:val="yellow"/>
              </w:rPr>
              <w:t xml:space="preserve">awarded to eligible projects </w:t>
            </w:r>
            <w:r w:rsidRPr="00325692">
              <w:rPr>
                <w:rFonts w:ascii="Garamond" w:hAnsi="Garamond" w:cs="Constantia"/>
                <w:highlight w:val="yellow"/>
              </w:rPr>
              <w:t>that met or exceeded their approved objective for the doctoral degree attainment.  To receive PE points for a given assessment year, a project needed to have (1) served participants in the year in which the cohort for the doctoral degree attainment was established (e.g., 2003-04 cohort for the 2013-14 PE assessment year), and (2) been continuously funded for the duration of the FY2012 funding cycle.</w:t>
            </w:r>
          </w:p>
          <w:p w:rsidR="00FF1608" w:rsidRPr="00325692" w:rsidRDefault="00FF1608" w:rsidP="00FF1608">
            <w:pPr>
              <w:autoSpaceDE w:val="0"/>
              <w:autoSpaceDN w:val="0"/>
              <w:adjustRightInd w:val="0"/>
              <w:rPr>
                <w:rFonts w:ascii="Garamond" w:hAnsi="Garamond" w:cs="Constantia"/>
                <w:highlight w:val="yellow"/>
              </w:rPr>
            </w:pPr>
          </w:p>
          <w:p w:rsidR="00FF1608" w:rsidRPr="00325692" w:rsidRDefault="00FF1608" w:rsidP="00FF1608">
            <w:pPr>
              <w:autoSpaceDE w:val="0"/>
              <w:autoSpaceDN w:val="0"/>
              <w:adjustRightInd w:val="0"/>
              <w:rPr>
                <w:rFonts w:ascii="Garamond" w:hAnsi="Garamond" w:cs="Constantia"/>
                <w:highlight w:val="yellow"/>
              </w:rPr>
            </w:pPr>
            <w:r w:rsidRPr="00325692">
              <w:rPr>
                <w:rFonts w:ascii="Garamond" w:hAnsi="Garamond" w:cs="Constantia"/>
                <w:highlight w:val="yellow"/>
              </w:rPr>
              <w:t xml:space="preserve">The calculation rule for the </w:t>
            </w:r>
            <w:r w:rsidRPr="00325692">
              <w:rPr>
                <w:rFonts w:ascii="Garamond" w:hAnsi="Garamond" w:cs="Constantia"/>
                <w:b/>
                <w:highlight w:val="yellow"/>
              </w:rPr>
              <w:t>“doctoral degree attainment rate”</w:t>
            </w:r>
            <w:r w:rsidRPr="00325692">
              <w:rPr>
                <w:rFonts w:ascii="Garamond" w:hAnsi="Garamond" w:cs="Constantia"/>
                <w:highlight w:val="yellow"/>
              </w:rPr>
              <w:t xml:space="preserve"> is as follows:</w:t>
            </w:r>
          </w:p>
          <w:p w:rsidR="00FF1608" w:rsidRPr="00325692" w:rsidRDefault="00FF1608" w:rsidP="00FF1608">
            <w:pPr>
              <w:autoSpaceDE w:val="0"/>
              <w:autoSpaceDN w:val="0"/>
              <w:adjustRightInd w:val="0"/>
              <w:rPr>
                <w:rFonts w:ascii="Garamond" w:hAnsi="Garamond" w:cs="Constantia"/>
                <w:highlight w:val="yellow"/>
              </w:rPr>
            </w:pPr>
          </w:p>
          <w:p w:rsidR="00FF1608" w:rsidRPr="00325692" w:rsidRDefault="00FF1608" w:rsidP="00FF1608">
            <w:pPr>
              <w:pStyle w:val="PlainText"/>
              <w:numPr>
                <w:ilvl w:val="0"/>
                <w:numId w:val="9"/>
              </w:numPr>
              <w:ind w:left="1080"/>
              <w:rPr>
                <w:rFonts w:ascii="Garamond" w:hAnsi="Garamond"/>
                <w:sz w:val="24"/>
                <w:szCs w:val="24"/>
                <w:highlight w:val="yellow"/>
              </w:rPr>
            </w:pPr>
            <w:r w:rsidRPr="00325692">
              <w:rPr>
                <w:rFonts w:ascii="Garamond" w:hAnsi="Garamond" w:cs="Constantia"/>
                <w:sz w:val="22"/>
                <w:szCs w:val="22"/>
                <w:highlight w:val="yellow"/>
              </w:rPr>
              <w:t>T</w:t>
            </w:r>
            <w:r w:rsidRPr="00325692">
              <w:rPr>
                <w:rFonts w:ascii="Garamond" w:hAnsi="Garamond" w:cs="Constantia"/>
                <w:sz w:val="24"/>
                <w:szCs w:val="24"/>
                <w:highlight w:val="yellow"/>
              </w:rPr>
              <w:t xml:space="preserve">he </w:t>
            </w:r>
            <w:r w:rsidRPr="00325692">
              <w:rPr>
                <w:rFonts w:ascii="Garamond" w:hAnsi="Garamond" w:cs="Constantia"/>
                <w:b/>
                <w:sz w:val="24"/>
                <w:szCs w:val="24"/>
                <w:highlight w:val="yellow"/>
                <w:u w:val="single"/>
              </w:rPr>
              <w:t>denominator</w:t>
            </w:r>
            <w:r w:rsidRPr="00325692">
              <w:rPr>
                <w:rFonts w:ascii="Garamond" w:hAnsi="Garamond" w:cs="Constantia"/>
                <w:sz w:val="24"/>
                <w:szCs w:val="24"/>
                <w:highlight w:val="yellow"/>
              </w:rPr>
              <w:t xml:space="preserve"> is the number of participants who attained a bachelor’s degree in the applicable cohort  (e.g., </w:t>
            </w:r>
            <w:r w:rsidRPr="00325692">
              <w:rPr>
                <w:rFonts w:ascii="Garamond" w:hAnsi="Garamond"/>
                <w:sz w:val="24"/>
                <w:szCs w:val="24"/>
                <w:highlight w:val="yellow"/>
              </w:rPr>
              <w:t>2003-04 for the 2013-14 assessment</w:t>
            </w:r>
            <w:r w:rsidRPr="00325692">
              <w:rPr>
                <w:rFonts w:ascii="Garamond" w:hAnsi="Garamond" w:cs="Constantia"/>
                <w:sz w:val="24"/>
                <w:szCs w:val="24"/>
                <w:highlight w:val="yellow"/>
              </w:rPr>
              <w:t xml:space="preserve"> year) and is derived from:</w:t>
            </w:r>
          </w:p>
          <w:p w:rsidR="00FF1608" w:rsidRPr="00325692" w:rsidRDefault="00FF1608" w:rsidP="00FF1608">
            <w:pPr>
              <w:pStyle w:val="PlainText"/>
              <w:rPr>
                <w:rFonts w:ascii="Garamond" w:hAnsi="Garamond"/>
                <w:sz w:val="22"/>
                <w:szCs w:val="22"/>
                <w:highlight w:val="yellow"/>
              </w:rPr>
            </w:pPr>
          </w:p>
          <w:p w:rsidR="00FF1608" w:rsidRPr="00325692" w:rsidRDefault="00FF1608" w:rsidP="00FF1608">
            <w:pPr>
              <w:numPr>
                <w:ilvl w:val="1"/>
                <w:numId w:val="3"/>
              </w:numPr>
              <w:autoSpaceDE w:val="0"/>
              <w:autoSpaceDN w:val="0"/>
              <w:adjustRightInd w:val="0"/>
              <w:contextualSpacing/>
              <w:rPr>
                <w:rFonts w:ascii="Garamond" w:hAnsi="Garamond" w:cs="Constantia,BoldItalic"/>
                <w:color w:val="000000"/>
                <w:highlight w:val="yellow"/>
              </w:rPr>
            </w:pPr>
            <w:r w:rsidRPr="00325692">
              <w:rPr>
                <w:rFonts w:ascii="Garamond" w:hAnsi="Garamond" w:cs="Constantia,BoldItalic"/>
                <w:color w:val="000000"/>
                <w:highlight w:val="yellow"/>
              </w:rPr>
              <w:t>Field #29 (</w:t>
            </w:r>
            <w:r w:rsidRPr="00325692">
              <w:rPr>
                <w:rFonts w:ascii="Garamond" w:hAnsi="Garamond"/>
                <w:highlight w:val="yellow"/>
              </w:rPr>
              <w:t xml:space="preserve">Graduating Cohort Year of Bachelor’s Degree) </w:t>
            </w:r>
            <w:r w:rsidRPr="00325692">
              <w:rPr>
                <w:rFonts w:ascii="Garamond" w:hAnsi="Garamond" w:cs="Constantia,BoldItalic"/>
                <w:color w:val="000000"/>
                <w:highlight w:val="yellow"/>
              </w:rPr>
              <w:t>option 5.</w:t>
            </w:r>
          </w:p>
          <w:p w:rsidR="00FF1608" w:rsidRPr="00325692" w:rsidRDefault="00FF1608" w:rsidP="00FF1608">
            <w:pPr>
              <w:autoSpaceDE w:val="0"/>
              <w:autoSpaceDN w:val="0"/>
              <w:adjustRightInd w:val="0"/>
              <w:ind w:left="1800"/>
              <w:contextualSpacing/>
              <w:rPr>
                <w:rFonts w:ascii="Garamond" w:hAnsi="Garamond" w:cs="Constantia,BoldItalic"/>
                <w:color w:val="000000"/>
                <w:highlight w:val="yellow"/>
              </w:rPr>
            </w:pPr>
          </w:p>
          <w:p w:rsidR="00FF1608" w:rsidRPr="00325692" w:rsidRDefault="00FF1608" w:rsidP="00FF1608">
            <w:pPr>
              <w:tabs>
                <w:tab w:val="left" w:pos="3960"/>
              </w:tabs>
              <w:autoSpaceDE w:val="0"/>
              <w:autoSpaceDN w:val="0"/>
              <w:adjustRightInd w:val="0"/>
              <w:ind w:left="1800"/>
              <w:contextualSpacing/>
              <w:rPr>
                <w:rFonts w:ascii="Garamond" w:hAnsi="Garamond" w:cs="Constantia,BoldItalic"/>
                <w:b/>
                <w:i/>
                <w:color w:val="000000"/>
                <w:highlight w:val="yellow"/>
              </w:rPr>
            </w:pPr>
            <w:r w:rsidRPr="00325692">
              <w:rPr>
                <w:rFonts w:ascii="Garamond" w:hAnsi="Garamond" w:cs="Constantia,BoldItalic"/>
                <w:b/>
                <w:i/>
                <w:color w:val="000000"/>
                <w:highlight w:val="yellow"/>
              </w:rPr>
              <w:tab/>
              <w:t>Minus</w:t>
            </w:r>
          </w:p>
          <w:p w:rsidR="00FF1608" w:rsidRPr="00325692" w:rsidRDefault="00FF1608" w:rsidP="00FF1608">
            <w:pPr>
              <w:tabs>
                <w:tab w:val="left" w:pos="5040"/>
              </w:tabs>
              <w:autoSpaceDE w:val="0"/>
              <w:autoSpaceDN w:val="0"/>
              <w:adjustRightInd w:val="0"/>
              <w:ind w:left="1080"/>
              <w:contextualSpacing/>
              <w:jc w:val="center"/>
              <w:rPr>
                <w:rFonts w:ascii="Garamond" w:hAnsi="Garamond" w:cs="Constantia,BoldItalic"/>
                <w:b/>
                <w:i/>
                <w:color w:val="000000"/>
                <w:highlight w:val="yellow"/>
              </w:rPr>
            </w:pPr>
          </w:p>
          <w:p w:rsidR="00FF1608" w:rsidRPr="00325692" w:rsidRDefault="00FF1608" w:rsidP="00FF1608">
            <w:pPr>
              <w:numPr>
                <w:ilvl w:val="1"/>
                <w:numId w:val="3"/>
              </w:numPr>
              <w:tabs>
                <w:tab w:val="left" w:pos="1800"/>
                <w:tab w:val="left" w:pos="5040"/>
              </w:tabs>
              <w:autoSpaceDE w:val="0"/>
              <w:autoSpaceDN w:val="0"/>
              <w:adjustRightInd w:val="0"/>
              <w:ind w:left="1440" w:firstLine="0"/>
              <w:contextualSpacing/>
              <w:rPr>
                <w:rFonts w:ascii="Garamond" w:hAnsi="Garamond" w:cs="Constantia,BoldItalic"/>
                <w:color w:val="000000"/>
                <w:highlight w:val="yellow"/>
              </w:rPr>
            </w:pPr>
            <w:r w:rsidRPr="00325692">
              <w:rPr>
                <w:rFonts w:ascii="Garamond" w:hAnsi="Garamond" w:cs="Constantia,BoldItalic"/>
                <w:color w:val="000000"/>
                <w:highlight w:val="yellow"/>
              </w:rPr>
              <w:t>Field #22 (</w:t>
            </w:r>
            <w:r w:rsidRPr="00325692">
              <w:rPr>
                <w:rFonts w:ascii="Garamond" w:hAnsi="Garamond"/>
                <w:highlight w:val="yellow"/>
              </w:rPr>
              <w:t xml:space="preserve">Participant Status) </w:t>
            </w:r>
            <w:r w:rsidRPr="00325692">
              <w:rPr>
                <w:rFonts w:ascii="Garamond" w:hAnsi="Garamond" w:cs="Constantia,BoldItalic"/>
                <w:color w:val="000000"/>
                <w:highlight w:val="yellow"/>
              </w:rPr>
              <w:t>option 4</w:t>
            </w:r>
          </w:p>
          <w:p w:rsidR="00FF1608" w:rsidRPr="00325692" w:rsidRDefault="00FF1608" w:rsidP="00FF1608">
            <w:pPr>
              <w:tabs>
                <w:tab w:val="left" w:pos="5040"/>
              </w:tabs>
              <w:autoSpaceDE w:val="0"/>
              <w:autoSpaceDN w:val="0"/>
              <w:adjustRightInd w:val="0"/>
              <w:ind w:left="1800"/>
              <w:contextualSpacing/>
              <w:jc w:val="center"/>
              <w:rPr>
                <w:rFonts w:ascii="Garamond" w:hAnsi="Garamond" w:cs="Constantia,BoldItalic"/>
                <w:color w:val="000000"/>
                <w:highlight w:val="yellow"/>
              </w:rPr>
            </w:pPr>
          </w:p>
          <w:p w:rsidR="00FF1608" w:rsidRPr="00325692" w:rsidRDefault="00FF1608" w:rsidP="00FF1608">
            <w:pPr>
              <w:tabs>
                <w:tab w:val="left" w:pos="3960"/>
              </w:tabs>
              <w:autoSpaceDE w:val="0"/>
              <w:autoSpaceDN w:val="0"/>
              <w:adjustRightInd w:val="0"/>
              <w:ind w:left="1800"/>
              <w:contextualSpacing/>
              <w:rPr>
                <w:rFonts w:ascii="Garamond" w:hAnsi="Garamond" w:cs="Constantia,BoldItalic"/>
                <w:b/>
                <w:i/>
                <w:color w:val="000000"/>
                <w:highlight w:val="yellow"/>
              </w:rPr>
            </w:pPr>
            <w:r w:rsidRPr="00325692">
              <w:rPr>
                <w:rFonts w:ascii="Garamond" w:hAnsi="Garamond" w:cs="Constantia,BoldItalic"/>
                <w:b/>
                <w:i/>
                <w:color w:val="000000"/>
                <w:highlight w:val="yellow"/>
              </w:rPr>
              <w:tab/>
              <w:t>IF</w:t>
            </w:r>
          </w:p>
          <w:p w:rsidR="00FF1608" w:rsidRPr="00325692" w:rsidRDefault="00FF1608" w:rsidP="00FF1608">
            <w:pPr>
              <w:autoSpaceDE w:val="0"/>
              <w:autoSpaceDN w:val="0"/>
              <w:adjustRightInd w:val="0"/>
              <w:ind w:left="1080"/>
              <w:contextualSpacing/>
              <w:rPr>
                <w:rFonts w:ascii="Garamond" w:hAnsi="Garamond" w:cs="Constantia,BoldItalic"/>
                <w:color w:val="000000"/>
                <w:highlight w:val="yellow"/>
              </w:rPr>
            </w:pPr>
          </w:p>
          <w:p w:rsidR="00FF1608" w:rsidRPr="00325692" w:rsidRDefault="00FF1608" w:rsidP="00FF1608">
            <w:pPr>
              <w:numPr>
                <w:ilvl w:val="1"/>
                <w:numId w:val="3"/>
              </w:numPr>
              <w:autoSpaceDE w:val="0"/>
              <w:autoSpaceDN w:val="0"/>
              <w:adjustRightInd w:val="0"/>
              <w:contextualSpacing/>
              <w:rPr>
                <w:rFonts w:ascii="Garamond" w:hAnsi="Garamond" w:cs="Constantia,BoldItalic"/>
                <w:color w:val="000000"/>
                <w:highlight w:val="yellow"/>
              </w:rPr>
            </w:pPr>
            <w:r w:rsidRPr="00325692">
              <w:rPr>
                <w:rFonts w:ascii="Garamond" w:hAnsi="Garamond" w:cs="Constantia,BoldItalic"/>
                <w:color w:val="000000"/>
                <w:highlight w:val="yellow"/>
              </w:rPr>
              <w:t>Field #44 (Highest Graduate Degree Earned) not equal to options 2, 3, or 4.</w:t>
            </w:r>
          </w:p>
          <w:p w:rsidR="00FF1608" w:rsidRPr="00325692" w:rsidRDefault="00FF1608" w:rsidP="00FF1608">
            <w:pPr>
              <w:tabs>
                <w:tab w:val="left" w:pos="-1710"/>
                <w:tab w:val="left" w:pos="0"/>
              </w:tabs>
              <w:autoSpaceDE w:val="0"/>
              <w:autoSpaceDN w:val="0"/>
              <w:adjustRightInd w:val="0"/>
              <w:ind w:left="1080"/>
              <w:contextualSpacing/>
              <w:rPr>
                <w:rFonts w:ascii="Garamond" w:hAnsi="Garamond" w:cs="Constantia"/>
                <w:highlight w:val="yellow"/>
              </w:rPr>
            </w:pPr>
          </w:p>
          <w:p w:rsidR="00FF1608" w:rsidRPr="00325692" w:rsidRDefault="00FF1608" w:rsidP="00FF1608">
            <w:pPr>
              <w:numPr>
                <w:ilvl w:val="0"/>
                <w:numId w:val="10"/>
              </w:numPr>
              <w:autoSpaceDE w:val="0"/>
              <w:autoSpaceDN w:val="0"/>
              <w:adjustRightInd w:val="0"/>
              <w:contextualSpacing/>
              <w:rPr>
                <w:rFonts w:ascii="Garamond" w:hAnsi="Garamond" w:cs="Constantia,BoldItalic"/>
                <w:color w:val="000000"/>
                <w:highlight w:val="yellow"/>
              </w:rPr>
            </w:pPr>
            <w:r w:rsidRPr="00325692">
              <w:rPr>
                <w:rFonts w:ascii="Garamond" w:hAnsi="Garamond" w:cs="Constantia"/>
                <w:highlight w:val="yellow"/>
              </w:rPr>
              <w:t xml:space="preserve">The </w:t>
            </w:r>
            <w:r w:rsidRPr="00325692">
              <w:rPr>
                <w:rFonts w:ascii="Garamond" w:hAnsi="Garamond" w:cs="Constantia"/>
                <w:b/>
                <w:highlight w:val="yellow"/>
                <w:u w:val="single"/>
              </w:rPr>
              <w:t>numerator</w:t>
            </w:r>
            <w:r w:rsidRPr="00325692">
              <w:rPr>
                <w:rFonts w:ascii="Garamond" w:hAnsi="Garamond" w:cs="Constantia"/>
                <w:highlight w:val="yellow"/>
              </w:rPr>
              <w:t xml:space="preserve"> is the number of program participants in the graduating cohort year of the bachelor’s degree (e.g., 2003-04) that attained a doctoral degree </w:t>
            </w:r>
            <w:r w:rsidRPr="00325692">
              <w:rPr>
                <w:rFonts w:ascii="Garamond" w:hAnsi="Garamond" w:cs="Constantia"/>
                <w:i/>
                <w:highlight w:val="yellow"/>
              </w:rPr>
              <w:t>within</w:t>
            </w:r>
            <w:r w:rsidRPr="00325692">
              <w:rPr>
                <w:rFonts w:ascii="Garamond" w:hAnsi="Garamond" w:cs="Constantia"/>
                <w:highlight w:val="yellow"/>
              </w:rPr>
              <w:t xml:space="preserve"> ten years and is derived from those </w:t>
            </w:r>
            <w:r w:rsidRPr="00325692">
              <w:rPr>
                <w:rFonts w:ascii="Garamond" w:hAnsi="Garamond" w:cs="Constantia,BoldItalic"/>
                <w:color w:val="000000"/>
                <w:highlight w:val="yellow"/>
              </w:rPr>
              <w:t>in the denominator where:</w:t>
            </w:r>
          </w:p>
          <w:p w:rsidR="00FF1608" w:rsidRPr="00325692" w:rsidRDefault="00FF1608" w:rsidP="00FF1608">
            <w:pPr>
              <w:autoSpaceDE w:val="0"/>
              <w:autoSpaceDN w:val="0"/>
              <w:adjustRightInd w:val="0"/>
              <w:ind w:left="1080"/>
              <w:contextualSpacing/>
              <w:rPr>
                <w:rFonts w:ascii="Garamond" w:hAnsi="Garamond" w:cs="Constantia,BoldItalic"/>
                <w:color w:val="000000"/>
                <w:highlight w:val="yellow"/>
              </w:rPr>
            </w:pPr>
          </w:p>
          <w:p w:rsidR="00FF1608" w:rsidRPr="00325692" w:rsidRDefault="00FF1608" w:rsidP="00FF1608">
            <w:pPr>
              <w:pStyle w:val="ListParagraph"/>
              <w:numPr>
                <w:ilvl w:val="1"/>
                <w:numId w:val="3"/>
              </w:numPr>
              <w:tabs>
                <w:tab w:val="left" w:pos="1800"/>
              </w:tabs>
              <w:autoSpaceDE w:val="0"/>
              <w:autoSpaceDN w:val="0"/>
              <w:adjustRightInd w:val="0"/>
              <w:contextualSpacing/>
              <w:rPr>
                <w:rFonts w:ascii="Arial" w:hAnsi="Arial" w:cs="Arial"/>
              </w:rPr>
            </w:pPr>
            <w:r w:rsidRPr="00325692">
              <w:rPr>
                <w:rFonts w:ascii="Garamond" w:hAnsi="Garamond" w:cs="Constantia,BoldItalic"/>
                <w:color w:val="000000"/>
                <w:highlight w:val="yellow"/>
              </w:rPr>
              <w:t>Field #44 (Highest Graduate Degree Earned) option 2, 3, and 4</w:t>
            </w:r>
            <w:r>
              <w:rPr>
                <w:rFonts w:ascii="Garamond" w:hAnsi="Garamond" w:cs="Constantia,BoldItalic"/>
                <w:color w:val="000000"/>
              </w:rPr>
              <w:t>”</w:t>
            </w:r>
          </w:p>
          <w:p w:rsidR="009B0884" w:rsidRPr="00BE7419" w:rsidRDefault="00090DA9" w:rsidP="00090DA9">
            <w:pPr>
              <w:rPr>
                <w:rFonts w:asciiTheme="minorHAnsi" w:eastAsiaTheme="minorHAnsi" w:hAnsiTheme="minorHAnsi" w:cstheme="minorBidi"/>
                <w:sz w:val="22"/>
                <w:szCs w:val="22"/>
              </w:rPr>
            </w:pPr>
            <w:r w:rsidRPr="00BE7419">
              <w:rPr>
                <w:rFonts w:asciiTheme="minorHAnsi" w:eastAsiaTheme="minorHAnsi" w:hAnsiTheme="minorHAnsi" w:cstheme="minorBidi"/>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Pr>
          <w:p w:rsidR="009B0884" w:rsidRPr="00E62D3F" w:rsidRDefault="00FA2F79" w:rsidP="00FA2F79">
            <w:pPr>
              <w:rPr>
                <w:rFonts w:asciiTheme="minorHAnsi" w:eastAsiaTheme="minorHAnsi" w:hAnsiTheme="minorHAnsi" w:cstheme="minorBidi"/>
              </w:rPr>
            </w:pPr>
            <w:r>
              <w:rPr>
                <w:rFonts w:asciiTheme="minorHAnsi" w:eastAsiaTheme="minorHAnsi" w:hAnsiTheme="minorHAnsi" w:cstheme="minorBidi"/>
              </w:rPr>
              <w:lastRenderedPageBreak/>
              <w:t>Response to Public Comment; Accuracy and c</w:t>
            </w:r>
            <w:r w:rsidRPr="00E62D3F">
              <w:rPr>
                <w:rFonts w:asciiTheme="minorHAnsi" w:eastAsiaTheme="minorHAnsi" w:hAnsiTheme="minorHAnsi" w:cstheme="minorBidi"/>
              </w:rPr>
              <w:t>larification</w:t>
            </w:r>
            <w:r>
              <w:rPr>
                <w:rFonts w:asciiTheme="minorHAnsi" w:eastAsiaTheme="minorHAnsi" w:hAnsiTheme="minorHAnsi" w:cstheme="minorBidi"/>
              </w:rPr>
              <w:t xml:space="preserve"> </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tcPr>
          <w:p w:rsidR="009B0884" w:rsidRPr="00E62D3F" w:rsidRDefault="002B07F0" w:rsidP="00FF1608">
            <w:pPr>
              <w:jc w:val="center"/>
              <w:rPr>
                <w:rFonts w:asciiTheme="minorHAnsi" w:eastAsiaTheme="minorHAnsi" w:hAnsiTheme="minorHAnsi" w:cstheme="minorBidi"/>
              </w:rPr>
            </w:pPr>
            <w:r>
              <w:rPr>
                <w:rFonts w:asciiTheme="minorHAnsi" w:eastAsiaTheme="minorHAnsi" w:hAnsiTheme="minorHAnsi" w:cstheme="minorBidi"/>
              </w:rPr>
              <w:lastRenderedPageBreak/>
              <w:t>9</w:t>
            </w:r>
            <w:r w:rsidR="00FF1608">
              <w:rPr>
                <w:rFonts w:asciiTheme="minorHAnsi" w:eastAsiaTheme="minorHAnsi" w:hAnsiTheme="minorHAnsi" w:cstheme="minorBidi"/>
              </w:rPr>
              <w:t>2</w:t>
            </w:r>
            <w:r>
              <w:rPr>
                <w:rFonts w:asciiTheme="minorHAnsi" w:eastAsiaTheme="minorHAnsi" w:hAnsiTheme="minorHAnsi" w:cstheme="minorBidi"/>
              </w:rPr>
              <w:t>-9</w:t>
            </w:r>
            <w:r w:rsidR="00FF1608">
              <w:rPr>
                <w:rFonts w:asciiTheme="minorHAnsi" w:eastAsiaTheme="minorHAnsi" w:hAnsiTheme="minorHAnsi" w:cstheme="minorBidi"/>
              </w:rPr>
              <w:t>3</w:t>
            </w:r>
          </w:p>
        </w:tc>
        <w:tc>
          <w:tcPr>
            <w:tcW w:w="1580" w:type="dxa"/>
            <w:tcBorders>
              <w:top w:val="single" w:sz="4" w:space="0" w:color="auto"/>
              <w:left w:val="single" w:sz="4" w:space="0" w:color="auto"/>
              <w:bottom w:val="single" w:sz="4" w:space="0" w:color="auto"/>
              <w:right w:val="single" w:sz="4" w:space="0" w:color="auto"/>
            </w:tcBorders>
          </w:tcPr>
          <w:p w:rsidR="009B0884" w:rsidRPr="00FA2F79" w:rsidRDefault="002B07F0">
            <w:pPr>
              <w:rPr>
                <w:rFonts w:asciiTheme="minorHAnsi" w:eastAsiaTheme="minorHAnsi" w:hAnsiTheme="minorHAnsi" w:cstheme="minorBidi"/>
              </w:rPr>
            </w:pPr>
            <w:r w:rsidRPr="00FA2F79">
              <w:rPr>
                <w:rFonts w:asciiTheme="minorHAnsi" w:hAnsiTheme="minorHAnsi" w:cs="Arial"/>
                <w:noProof/>
                <w:color w:val="000000"/>
                <w:sz w:val="22"/>
                <w:szCs w:val="28"/>
              </w:rPr>
              <w:t>Instructions for Completing the Application Package</w:t>
            </w:r>
          </w:p>
        </w:tc>
        <w:tc>
          <w:tcPr>
            <w:tcW w:w="6193" w:type="dxa"/>
            <w:tcBorders>
              <w:top w:val="single" w:sz="4" w:space="0" w:color="auto"/>
              <w:left w:val="single" w:sz="4" w:space="0" w:color="auto"/>
              <w:bottom w:val="single" w:sz="4" w:space="0" w:color="auto"/>
              <w:right w:val="single" w:sz="4" w:space="0" w:color="auto"/>
            </w:tcBorders>
          </w:tcPr>
          <w:p w:rsidR="002B07F0" w:rsidRPr="00BE7419" w:rsidRDefault="002B07F0" w:rsidP="002B07F0">
            <w:pPr>
              <w:rPr>
                <w:rFonts w:asciiTheme="minorHAnsi" w:eastAsiaTheme="minorHAnsi" w:hAnsiTheme="minorHAnsi" w:cstheme="minorBidi"/>
                <w:sz w:val="22"/>
                <w:szCs w:val="22"/>
              </w:rPr>
            </w:pPr>
            <w:r w:rsidRPr="00BE7419">
              <w:rPr>
                <w:rFonts w:asciiTheme="minorHAnsi" w:eastAsiaTheme="minorHAnsi" w:hAnsiTheme="minorHAnsi" w:cstheme="minorBidi"/>
                <w:sz w:val="22"/>
                <w:szCs w:val="22"/>
              </w:rPr>
              <w:t>Sentences changed to:</w:t>
            </w:r>
            <w:r w:rsidR="00BE7419" w:rsidRPr="00BE7419">
              <w:rPr>
                <w:rFonts w:asciiTheme="minorHAnsi" w:eastAsiaTheme="minorHAnsi" w:hAnsiTheme="minorHAnsi" w:cstheme="minorBidi"/>
                <w:sz w:val="22"/>
                <w:szCs w:val="22"/>
              </w:rPr>
              <w:t xml:space="preserve">  “</w:t>
            </w:r>
            <w:r w:rsidRPr="00BE7419">
              <w:rPr>
                <w:rFonts w:ascii="Arial" w:hAnsi="Arial" w:cs="Arial"/>
                <w:b/>
                <w:sz w:val="22"/>
                <w:szCs w:val="22"/>
              </w:rPr>
              <w:t xml:space="preserve">The total page limit for the project narrative portion of the application for the FY 2017 McNair competition is </w:t>
            </w:r>
            <w:r w:rsidRPr="00BE7419">
              <w:rPr>
                <w:rFonts w:ascii="Arial" w:hAnsi="Arial" w:cs="Arial"/>
                <w:b/>
                <w:sz w:val="22"/>
                <w:szCs w:val="22"/>
                <w:highlight w:val="yellow"/>
              </w:rPr>
              <w:t>60</w:t>
            </w:r>
            <w:r w:rsidRPr="00BE7419">
              <w:rPr>
                <w:rFonts w:ascii="Arial" w:hAnsi="Arial" w:cs="Arial"/>
                <w:b/>
                <w:sz w:val="22"/>
                <w:szCs w:val="22"/>
              </w:rPr>
              <w:t xml:space="preserve"> pages.</w:t>
            </w:r>
            <w:r w:rsidR="00BE7419" w:rsidRPr="00BE7419">
              <w:rPr>
                <w:rFonts w:ascii="Arial" w:hAnsi="Arial" w:cs="Arial"/>
                <w:b/>
                <w:sz w:val="22"/>
                <w:szCs w:val="22"/>
              </w:rPr>
              <w:t>”</w:t>
            </w:r>
          </w:p>
          <w:p w:rsidR="002B07F0" w:rsidRPr="00BE7419" w:rsidRDefault="002B07F0" w:rsidP="002B07F0">
            <w:pPr>
              <w:rPr>
                <w:rFonts w:ascii="Arial" w:hAnsi="Arial" w:cs="Arial"/>
                <w:b/>
                <w:sz w:val="22"/>
                <w:szCs w:val="22"/>
              </w:rPr>
            </w:pPr>
          </w:p>
          <w:p w:rsidR="002B07F0" w:rsidRPr="00BE7419" w:rsidRDefault="00BE7419" w:rsidP="002B07F0">
            <w:pPr>
              <w:rPr>
                <w:rFonts w:ascii="Arial" w:hAnsi="Arial" w:cs="Arial"/>
                <w:b/>
                <w:sz w:val="22"/>
                <w:szCs w:val="22"/>
              </w:rPr>
            </w:pPr>
            <w:r w:rsidRPr="00BE7419">
              <w:rPr>
                <w:rFonts w:ascii="Arial" w:hAnsi="Arial" w:cs="Arial"/>
                <w:sz w:val="22"/>
                <w:szCs w:val="22"/>
              </w:rPr>
              <w:t>“</w:t>
            </w:r>
            <w:r>
              <w:rPr>
                <w:rFonts w:ascii="Arial" w:hAnsi="Arial" w:cs="Arial"/>
                <w:sz w:val="22"/>
                <w:szCs w:val="22"/>
              </w:rPr>
              <w:t xml:space="preserve">The </w:t>
            </w:r>
            <w:r w:rsidR="002B07F0" w:rsidRPr="00BE7419">
              <w:rPr>
                <w:rFonts w:ascii="Arial" w:hAnsi="Arial" w:cs="Arial"/>
                <w:i/>
                <w:sz w:val="22"/>
                <w:szCs w:val="22"/>
              </w:rPr>
              <w:t>Table of Contents</w:t>
            </w:r>
            <w:r w:rsidR="002B07F0" w:rsidRPr="00BE7419">
              <w:rPr>
                <w:rFonts w:ascii="Arial" w:hAnsi="Arial" w:cs="Arial"/>
                <w:sz w:val="22"/>
                <w:szCs w:val="22"/>
              </w:rPr>
              <w:t xml:space="preserve"> will not count against the </w:t>
            </w:r>
            <w:r w:rsidR="002B07F0" w:rsidRPr="00BE7419">
              <w:rPr>
                <w:rFonts w:ascii="Arial" w:hAnsi="Arial" w:cs="Arial"/>
                <w:sz w:val="22"/>
                <w:szCs w:val="22"/>
                <w:highlight w:val="yellow"/>
              </w:rPr>
              <w:t>60</w:t>
            </w:r>
            <w:r w:rsidR="002B07F0" w:rsidRPr="00BE7419">
              <w:rPr>
                <w:rFonts w:ascii="Arial" w:hAnsi="Arial" w:cs="Arial"/>
                <w:sz w:val="22"/>
                <w:szCs w:val="22"/>
              </w:rPr>
              <w:t xml:space="preserve"> pages </w:t>
            </w:r>
            <w:r w:rsidR="002B07F0" w:rsidRPr="00BE7419">
              <w:rPr>
                <w:rFonts w:ascii="Arial" w:hAnsi="Arial" w:cs="Arial"/>
                <w:sz w:val="22"/>
                <w:szCs w:val="22"/>
              </w:rPr>
              <w:lastRenderedPageBreak/>
              <w:t>you are allowed for your responses to the selection criteria.</w:t>
            </w:r>
            <w:r w:rsidRPr="00BE7419">
              <w:rPr>
                <w:rFonts w:ascii="Arial" w:hAnsi="Arial" w:cs="Arial"/>
                <w:sz w:val="22"/>
                <w:szCs w:val="22"/>
              </w:rPr>
              <w:t>”</w:t>
            </w:r>
          </w:p>
          <w:p w:rsidR="002B07F0" w:rsidRPr="00BE7419" w:rsidRDefault="002B07F0" w:rsidP="002B07F0">
            <w:pPr>
              <w:rPr>
                <w:rFonts w:ascii="Arial" w:hAnsi="Arial" w:cs="Arial"/>
                <w:b/>
                <w:sz w:val="22"/>
                <w:szCs w:val="22"/>
              </w:rPr>
            </w:pPr>
          </w:p>
          <w:p w:rsidR="002B07F0" w:rsidRPr="00BE7419" w:rsidRDefault="00BE7419" w:rsidP="002B07F0">
            <w:pPr>
              <w:rPr>
                <w:rFonts w:ascii="Arial" w:hAnsi="Arial" w:cs="Arial"/>
                <w:b/>
                <w:sz w:val="22"/>
                <w:szCs w:val="22"/>
              </w:rPr>
            </w:pPr>
            <w:r w:rsidRPr="00BE7419">
              <w:rPr>
                <w:rFonts w:ascii="Arial" w:hAnsi="Arial" w:cs="Arial"/>
                <w:b/>
                <w:sz w:val="22"/>
                <w:szCs w:val="22"/>
              </w:rPr>
              <w:t>“</w:t>
            </w:r>
            <w:r w:rsidR="002B07F0" w:rsidRPr="00BE7419">
              <w:rPr>
                <w:rFonts w:ascii="Arial" w:hAnsi="Arial" w:cs="Arial"/>
                <w:b/>
                <w:sz w:val="22"/>
                <w:szCs w:val="22"/>
              </w:rPr>
              <w:t xml:space="preserve">You must also include your budget narrative in this section as part of the selection criteria, which is counted as part of the </w:t>
            </w:r>
            <w:r w:rsidR="002B07F0" w:rsidRPr="00BE7419">
              <w:rPr>
                <w:rFonts w:ascii="Arial" w:hAnsi="Arial" w:cs="Arial"/>
                <w:b/>
                <w:sz w:val="22"/>
                <w:szCs w:val="22"/>
                <w:highlight w:val="yellow"/>
              </w:rPr>
              <w:t>60-</w:t>
            </w:r>
            <w:r w:rsidR="002B07F0" w:rsidRPr="00BE7419">
              <w:rPr>
                <w:rFonts w:ascii="Arial" w:hAnsi="Arial" w:cs="Arial"/>
                <w:b/>
                <w:sz w:val="22"/>
                <w:szCs w:val="22"/>
              </w:rPr>
              <w:t>page limit.</w:t>
            </w:r>
            <w:r w:rsidRPr="00BE7419">
              <w:rPr>
                <w:rFonts w:ascii="Arial" w:hAnsi="Arial" w:cs="Arial"/>
                <w:b/>
                <w:sz w:val="22"/>
                <w:szCs w:val="22"/>
              </w:rPr>
              <w:t>”</w:t>
            </w:r>
          </w:p>
          <w:p w:rsidR="002B07F0" w:rsidRPr="00BE7419" w:rsidRDefault="002B07F0" w:rsidP="002B07F0">
            <w:pPr>
              <w:rPr>
                <w:rFonts w:ascii="Arial" w:hAnsi="Arial" w:cs="Arial"/>
                <w:b/>
                <w:sz w:val="22"/>
                <w:szCs w:val="22"/>
              </w:rPr>
            </w:pPr>
          </w:p>
          <w:p w:rsidR="002B07F0" w:rsidRPr="00BE7419" w:rsidRDefault="00BE7419" w:rsidP="002B07F0">
            <w:pPr>
              <w:rPr>
                <w:rFonts w:ascii="Arial" w:hAnsi="Arial" w:cs="Arial"/>
                <w:sz w:val="22"/>
                <w:szCs w:val="22"/>
              </w:rPr>
            </w:pPr>
            <w:r w:rsidRPr="00BE7419">
              <w:rPr>
                <w:rFonts w:ascii="Arial" w:hAnsi="Arial" w:cs="Arial"/>
                <w:b/>
                <w:sz w:val="22"/>
                <w:szCs w:val="22"/>
              </w:rPr>
              <w:t>“</w:t>
            </w:r>
            <w:r w:rsidR="002B07F0" w:rsidRPr="00BE7419">
              <w:rPr>
                <w:rFonts w:ascii="Arial" w:hAnsi="Arial" w:cs="Arial"/>
                <w:b/>
                <w:sz w:val="22"/>
                <w:szCs w:val="22"/>
              </w:rPr>
              <w:t xml:space="preserve">No other appendices or attachments should be included as they will be counted as part of the </w:t>
            </w:r>
            <w:r w:rsidR="002B07F0" w:rsidRPr="00BE7419">
              <w:rPr>
                <w:rFonts w:ascii="Arial" w:hAnsi="Arial" w:cs="Arial"/>
                <w:b/>
                <w:sz w:val="22"/>
                <w:szCs w:val="22"/>
                <w:highlight w:val="yellow"/>
              </w:rPr>
              <w:t>60</w:t>
            </w:r>
            <w:r w:rsidR="002B07F0" w:rsidRPr="00BE7419">
              <w:rPr>
                <w:rFonts w:ascii="Arial" w:hAnsi="Arial" w:cs="Arial"/>
                <w:b/>
                <w:sz w:val="22"/>
                <w:szCs w:val="22"/>
              </w:rPr>
              <w:t>-page limit.</w:t>
            </w:r>
            <w:r w:rsidRPr="00BE7419">
              <w:rPr>
                <w:rFonts w:ascii="Arial" w:hAnsi="Arial" w:cs="Arial"/>
                <w:b/>
                <w:sz w:val="22"/>
                <w:szCs w:val="22"/>
              </w:rPr>
              <w:t>”</w:t>
            </w:r>
          </w:p>
          <w:p w:rsidR="002B07F0" w:rsidRPr="00BE7419" w:rsidRDefault="002B07F0" w:rsidP="002B07F0">
            <w:pPr>
              <w:rPr>
                <w:rFonts w:asciiTheme="minorHAnsi" w:eastAsiaTheme="minorHAnsi" w:hAnsiTheme="minorHAnsi" w:cstheme="minorBidi"/>
                <w:sz w:val="22"/>
                <w:szCs w:val="22"/>
              </w:rPr>
            </w:pPr>
          </w:p>
          <w:p w:rsidR="002B07F0" w:rsidRPr="00BE7419" w:rsidRDefault="002B07F0" w:rsidP="002B07F0">
            <w:pPr>
              <w:rPr>
                <w:rFonts w:asciiTheme="minorHAnsi" w:eastAsiaTheme="minorHAnsi" w:hAnsiTheme="minorHAnsi" w:cstheme="minorBidi"/>
                <w:sz w:val="22"/>
                <w:szCs w:val="22"/>
              </w:rPr>
            </w:pPr>
          </w:p>
        </w:tc>
        <w:tc>
          <w:tcPr>
            <w:tcW w:w="1260" w:type="dxa"/>
            <w:tcBorders>
              <w:top w:val="single" w:sz="4" w:space="0" w:color="auto"/>
              <w:left w:val="single" w:sz="4" w:space="0" w:color="auto"/>
              <w:bottom w:val="single" w:sz="4" w:space="0" w:color="auto"/>
              <w:right w:val="single" w:sz="4" w:space="0" w:color="auto"/>
            </w:tcBorders>
          </w:tcPr>
          <w:p w:rsidR="009B0884" w:rsidRPr="00E62D3F" w:rsidRDefault="00FA2F79">
            <w:pPr>
              <w:rPr>
                <w:rFonts w:asciiTheme="minorHAnsi" w:eastAsiaTheme="minorHAnsi" w:hAnsiTheme="minorHAnsi" w:cstheme="minorBidi"/>
              </w:rPr>
            </w:pPr>
            <w:r>
              <w:rPr>
                <w:rFonts w:asciiTheme="minorHAnsi" w:eastAsiaTheme="minorHAnsi" w:hAnsiTheme="minorHAnsi" w:cstheme="minorBidi"/>
              </w:rPr>
              <w:lastRenderedPageBreak/>
              <w:t>Response to Public Comment; Accuracy and c</w:t>
            </w:r>
            <w:r w:rsidRPr="00E62D3F">
              <w:rPr>
                <w:rFonts w:asciiTheme="minorHAnsi" w:eastAsiaTheme="minorHAnsi" w:hAnsiTheme="minorHAnsi" w:cstheme="minorBidi"/>
              </w:rPr>
              <w:t>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tcPr>
          <w:p w:rsidR="009B0884" w:rsidRPr="00E62D3F" w:rsidRDefault="00FF1608">
            <w:pPr>
              <w:jc w:val="center"/>
              <w:rPr>
                <w:rFonts w:asciiTheme="minorHAnsi" w:eastAsiaTheme="minorHAnsi" w:hAnsiTheme="minorHAnsi" w:cstheme="minorBidi"/>
              </w:rPr>
            </w:pPr>
            <w:r>
              <w:rPr>
                <w:rFonts w:asciiTheme="minorHAnsi" w:eastAsiaTheme="minorHAnsi" w:hAnsiTheme="minorHAnsi" w:cstheme="minorBidi"/>
              </w:rPr>
              <w:lastRenderedPageBreak/>
              <w:t>94</w:t>
            </w:r>
          </w:p>
        </w:tc>
        <w:tc>
          <w:tcPr>
            <w:tcW w:w="1580" w:type="dxa"/>
            <w:tcBorders>
              <w:top w:val="single" w:sz="4" w:space="0" w:color="auto"/>
              <w:left w:val="single" w:sz="4" w:space="0" w:color="auto"/>
              <w:bottom w:val="single" w:sz="4" w:space="0" w:color="auto"/>
              <w:right w:val="single" w:sz="4" w:space="0" w:color="auto"/>
            </w:tcBorders>
          </w:tcPr>
          <w:p w:rsidR="009B0884" w:rsidRPr="00FA2F79" w:rsidRDefault="00BE7419">
            <w:pPr>
              <w:rPr>
                <w:rFonts w:asciiTheme="minorHAnsi" w:eastAsiaTheme="minorHAnsi" w:hAnsiTheme="minorHAnsi" w:cstheme="minorBidi"/>
              </w:rPr>
            </w:pPr>
            <w:r w:rsidRPr="00FA2F79">
              <w:rPr>
                <w:rFonts w:asciiTheme="minorHAnsi" w:hAnsiTheme="minorHAnsi" w:cs="Arial"/>
                <w:noProof/>
                <w:color w:val="000000"/>
                <w:sz w:val="22"/>
                <w:szCs w:val="22"/>
              </w:rPr>
              <w:t>Instructions for Project Narrative-Selection Criteria</w:t>
            </w:r>
          </w:p>
        </w:tc>
        <w:tc>
          <w:tcPr>
            <w:tcW w:w="6193" w:type="dxa"/>
            <w:tcBorders>
              <w:top w:val="single" w:sz="4" w:space="0" w:color="auto"/>
              <w:left w:val="single" w:sz="4" w:space="0" w:color="auto"/>
              <w:bottom w:val="single" w:sz="4" w:space="0" w:color="auto"/>
              <w:right w:val="single" w:sz="4" w:space="0" w:color="auto"/>
            </w:tcBorders>
          </w:tcPr>
          <w:p w:rsidR="00BE7419" w:rsidRDefault="00BE7419" w:rsidP="00BE7419">
            <w:pPr>
              <w:rPr>
                <w:rFonts w:ascii="Arial" w:hAnsi="Arial" w:cs="Arial"/>
                <w:sz w:val="22"/>
                <w:szCs w:val="22"/>
              </w:rPr>
            </w:pPr>
            <w:r w:rsidRPr="00BE7419">
              <w:rPr>
                <w:rFonts w:asciiTheme="minorHAnsi" w:eastAsiaTheme="minorHAnsi" w:hAnsiTheme="minorHAnsi" w:cstheme="minorBidi"/>
                <w:sz w:val="22"/>
                <w:szCs w:val="22"/>
              </w:rPr>
              <w:t>Sentences changed to:  “</w:t>
            </w:r>
            <w:r w:rsidRPr="00BE7419">
              <w:rPr>
                <w:rFonts w:ascii="Arial" w:hAnsi="Arial" w:cs="Arial"/>
                <w:sz w:val="22"/>
                <w:szCs w:val="22"/>
              </w:rPr>
              <w:t xml:space="preserve">You must limit the </w:t>
            </w:r>
            <w:r w:rsidRPr="00BE7419">
              <w:rPr>
                <w:rFonts w:ascii="Arial" w:hAnsi="Arial" w:cs="Arial"/>
                <w:i/>
                <w:iCs/>
                <w:sz w:val="22"/>
                <w:szCs w:val="22"/>
              </w:rPr>
              <w:t>Pro</w:t>
            </w:r>
            <w:r w:rsidRPr="00BE7419">
              <w:rPr>
                <w:rFonts w:ascii="Arial" w:hAnsi="Arial" w:cs="Arial"/>
                <w:i/>
                <w:sz w:val="22"/>
                <w:szCs w:val="22"/>
              </w:rPr>
              <w:t>ject</w:t>
            </w:r>
            <w:r w:rsidRPr="00BE7419">
              <w:rPr>
                <w:rFonts w:ascii="Arial" w:hAnsi="Arial" w:cs="Arial"/>
                <w:i/>
                <w:iCs/>
                <w:sz w:val="22"/>
                <w:szCs w:val="22"/>
              </w:rPr>
              <w:t xml:space="preserve"> Narrative</w:t>
            </w:r>
            <w:r w:rsidRPr="00BE7419">
              <w:rPr>
                <w:rFonts w:ascii="Arial" w:hAnsi="Arial" w:cs="Arial"/>
                <w:sz w:val="22"/>
                <w:szCs w:val="22"/>
              </w:rPr>
              <w:t xml:space="preserve"> to </w:t>
            </w:r>
            <w:r w:rsidRPr="00BE7419">
              <w:rPr>
                <w:rFonts w:ascii="Arial" w:hAnsi="Arial" w:cs="Arial"/>
                <w:sz w:val="22"/>
                <w:szCs w:val="22"/>
                <w:highlight w:val="yellow"/>
              </w:rPr>
              <w:t>60</w:t>
            </w:r>
            <w:r w:rsidRPr="00BE7419">
              <w:rPr>
                <w:rFonts w:ascii="Arial" w:hAnsi="Arial" w:cs="Arial"/>
                <w:sz w:val="22"/>
                <w:szCs w:val="22"/>
              </w:rPr>
              <w:t xml:space="preserve"> pages, </w:t>
            </w:r>
            <w:r w:rsidRPr="00BE7419">
              <w:rPr>
                <w:rFonts w:ascii="Arial" w:hAnsi="Arial" w:cs="Arial"/>
                <w:sz w:val="22"/>
                <w:szCs w:val="22"/>
                <w:u w:val="single"/>
              </w:rPr>
              <w:t>double-spaced in 12-point font</w:t>
            </w:r>
            <w:r w:rsidRPr="00BE7419">
              <w:rPr>
                <w:rFonts w:ascii="Arial" w:hAnsi="Arial" w:cs="Arial"/>
                <w:sz w:val="22"/>
                <w:szCs w:val="22"/>
              </w:rPr>
              <w:t>, and number the pages consecutively.</w:t>
            </w:r>
          </w:p>
          <w:p w:rsidR="00BE7419" w:rsidRDefault="00BE7419" w:rsidP="00BE7419">
            <w:pPr>
              <w:rPr>
                <w:rFonts w:ascii="Arial" w:hAnsi="Arial" w:cs="Arial"/>
                <w:sz w:val="22"/>
                <w:szCs w:val="22"/>
              </w:rPr>
            </w:pPr>
          </w:p>
          <w:p w:rsidR="00BE7419" w:rsidRDefault="00BE7419" w:rsidP="00BE7419">
            <w:pPr>
              <w:rPr>
                <w:rFonts w:ascii="Arial" w:hAnsi="Arial" w:cs="Arial"/>
                <w:sz w:val="22"/>
                <w:szCs w:val="22"/>
              </w:rPr>
            </w:pPr>
            <w:r>
              <w:rPr>
                <w:rFonts w:ascii="Arial" w:hAnsi="Arial" w:cs="Arial"/>
                <w:sz w:val="22"/>
                <w:szCs w:val="22"/>
              </w:rPr>
              <w:t>“</w:t>
            </w:r>
            <w:r w:rsidRPr="00BE7419">
              <w:rPr>
                <w:rFonts w:ascii="Arial" w:hAnsi="Arial" w:cs="Arial"/>
                <w:sz w:val="22"/>
                <w:szCs w:val="22"/>
              </w:rPr>
              <w:t xml:space="preserve">If appendices or other supplemental materials are included, they will count as part of the </w:t>
            </w:r>
            <w:r w:rsidRPr="00BE7419">
              <w:rPr>
                <w:rFonts w:ascii="Arial" w:hAnsi="Arial" w:cs="Arial"/>
                <w:sz w:val="22"/>
                <w:szCs w:val="22"/>
                <w:highlight w:val="yellow"/>
              </w:rPr>
              <w:t>60</w:t>
            </w:r>
            <w:r>
              <w:rPr>
                <w:rFonts w:ascii="Arial" w:hAnsi="Arial" w:cs="Arial"/>
                <w:sz w:val="22"/>
                <w:szCs w:val="22"/>
              </w:rPr>
              <w:t>-page limit.”</w:t>
            </w:r>
          </w:p>
          <w:p w:rsidR="009B0884" w:rsidRPr="00BE7419" w:rsidRDefault="009B0884" w:rsidP="00BE7419">
            <w:pPr>
              <w:rPr>
                <w:rFonts w:asciiTheme="minorHAnsi" w:eastAsiaTheme="minorHAnsi" w:hAnsiTheme="minorHAnsi" w:cstheme="minorBidi"/>
                <w:sz w:val="22"/>
                <w:szCs w:val="22"/>
              </w:rPr>
            </w:pPr>
          </w:p>
        </w:tc>
        <w:tc>
          <w:tcPr>
            <w:tcW w:w="1260" w:type="dxa"/>
            <w:tcBorders>
              <w:top w:val="single" w:sz="4" w:space="0" w:color="auto"/>
              <w:left w:val="single" w:sz="4" w:space="0" w:color="auto"/>
              <w:bottom w:val="single" w:sz="4" w:space="0" w:color="auto"/>
              <w:right w:val="single" w:sz="4" w:space="0" w:color="auto"/>
            </w:tcBorders>
          </w:tcPr>
          <w:p w:rsidR="009B0884" w:rsidRPr="00E62D3F" w:rsidRDefault="00FA2F79">
            <w:pPr>
              <w:rPr>
                <w:rFonts w:asciiTheme="minorHAnsi" w:eastAsiaTheme="minorHAnsi" w:hAnsiTheme="minorHAnsi" w:cstheme="minorBidi"/>
              </w:rPr>
            </w:pPr>
            <w:r>
              <w:rPr>
                <w:rFonts w:asciiTheme="minorHAnsi" w:eastAsiaTheme="minorHAnsi" w:hAnsiTheme="minorHAnsi" w:cstheme="minorBidi"/>
              </w:rPr>
              <w:t>Response to Public Comment; Accuracy and c</w:t>
            </w:r>
            <w:r w:rsidRPr="00E62D3F">
              <w:rPr>
                <w:rFonts w:asciiTheme="minorHAnsi" w:eastAsiaTheme="minorHAnsi" w:hAnsiTheme="minorHAnsi" w:cstheme="minorBidi"/>
              </w:rPr>
              <w:t>larification</w:t>
            </w:r>
          </w:p>
        </w:tc>
      </w:tr>
      <w:tr w:rsidR="009B0884" w:rsidRPr="009B0884" w:rsidTr="004069E1">
        <w:tc>
          <w:tcPr>
            <w:tcW w:w="1245" w:type="dxa"/>
            <w:tcBorders>
              <w:top w:val="single" w:sz="4" w:space="0" w:color="auto"/>
              <w:left w:val="single" w:sz="4" w:space="0" w:color="auto"/>
              <w:bottom w:val="single" w:sz="4" w:space="0" w:color="auto"/>
              <w:right w:val="single" w:sz="4" w:space="0" w:color="auto"/>
            </w:tcBorders>
          </w:tcPr>
          <w:p w:rsidR="009B0884" w:rsidRPr="00FA2F79" w:rsidRDefault="00BE7419" w:rsidP="00FF1608">
            <w:pPr>
              <w:jc w:val="center"/>
              <w:rPr>
                <w:rFonts w:asciiTheme="minorHAnsi" w:eastAsiaTheme="minorHAnsi" w:hAnsiTheme="minorHAnsi" w:cstheme="minorBidi"/>
                <w:sz w:val="22"/>
                <w:szCs w:val="22"/>
              </w:rPr>
            </w:pPr>
            <w:r w:rsidRPr="00FA2F79">
              <w:rPr>
                <w:rFonts w:asciiTheme="minorHAnsi" w:eastAsiaTheme="minorHAnsi" w:hAnsiTheme="minorHAnsi" w:cstheme="minorBidi"/>
                <w:sz w:val="22"/>
                <w:szCs w:val="22"/>
              </w:rPr>
              <w:t>9</w:t>
            </w:r>
            <w:r w:rsidR="00FF1608">
              <w:rPr>
                <w:rFonts w:asciiTheme="minorHAnsi" w:eastAsiaTheme="minorHAnsi" w:hAnsiTheme="minorHAnsi" w:cstheme="minorBidi"/>
                <w:sz w:val="22"/>
                <w:szCs w:val="22"/>
              </w:rPr>
              <w:t>5</w:t>
            </w:r>
          </w:p>
        </w:tc>
        <w:tc>
          <w:tcPr>
            <w:tcW w:w="1580" w:type="dxa"/>
            <w:tcBorders>
              <w:top w:val="single" w:sz="4" w:space="0" w:color="auto"/>
              <w:left w:val="single" w:sz="4" w:space="0" w:color="auto"/>
              <w:bottom w:val="single" w:sz="4" w:space="0" w:color="auto"/>
              <w:right w:val="single" w:sz="4" w:space="0" w:color="auto"/>
            </w:tcBorders>
          </w:tcPr>
          <w:p w:rsidR="009B0884" w:rsidRPr="00FA2F79" w:rsidRDefault="00BE7419">
            <w:pPr>
              <w:rPr>
                <w:rFonts w:asciiTheme="minorHAnsi" w:eastAsiaTheme="minorHAnsi" w:hAnsiTheme="minorHAnsi" w:cstheme="minorBidi"/>
                <w:sz w:val="22"/>
                <w:szCs w:val="22"/>
              </w:rPr>
            </w:pPr>
            <w:r w:rsidRPr="00FA2F79">
              <w:rPr>
                <w:rFonts w:asciiTheme="minorHAnsi" w:hAnsiTheme="minorHAnsi" w:cs="Arial"/>
                <w:noProof/>
                <w:color w:val="000000"/>
                <w:sz w:val="22"/>
                <w:szCs w:val="22"/>
              </w:rPr>
              <w:t>Instructions for Project Narrative-Selection Criteria</w:t>
            </w:r>
          </w:p>
        </w:tc>
        <w:tc>
          <w:tcPr>
            <w:tcW w:w="6193" w:type="dxa"/>
            <w:tcBorders>
              <w:top w:val="single" w:sz="4" w:space="0" w:color="auto"/>
              <w:left w:val="single" w:sz="4" w:space="0" w:color="auto"/>
              <w:bottom w:val="single" w:sz="4" w:space="0" w:color="auto"/>
              <w:right w:val="single" w:sz="4" w:space="0" w:color="auto"/>
            </w:tcBorders>
          </w:tcPr>
          <w:p w:rsidR="009B0884" w:rsidRDefault="004069E1">
            <w:pPr>
              <w:rPr>
                <w:rFonts w:asciiTheme="minorHAnsi" w:eastAsiaTheme="minorHAnsi" w:hAnsiTheme="minorHAnsi" w:cstheme="minorBidi"/>
              </w:rPr>
            </w:pPr>
            <w:r>
              <w:rPr>
                <w:rFonts w:asciiTheme="minorHAnsi" w:eastAsiaTheme="minorHAnsi" w:hAnsiTheme="minorHAnsi" w:cstheme="minorBidi"/>
              </w:rPr>
              <w:t>Language changed to:</w:t>
            </w:r>
          </w:p>
          <w:p w:rsidR="004069E1" w:rsidRDefault="004069E1">
            <w:pPr>
              <w:rPr>
                <w:rFonts w:asciiTheme="minorHAnsi" w:eastAsiaTheme="minorHAnsi" w:hAnsiTheme="minorHAnsi" w:cstheme="minorBidi"/>
              </w:rPr>
            </w:pPr>
          </w:p>
          <w:p w:rsidR="004069E1" w:rsidRPr="00D6521E" w:rsidRDefault="004069E1" w:rsidP="004069E1">
            <w:pPr>
              <w:rPr>
                <w:rFonts w:ascii="Arial" w:hAnsi="Arial" w:cs="Arial"/>
              </w:rPr>
            </w:pPr>
            <w:r>
              <w:rPr>
                <w:rFonts w:asciiTheme="minorHAnsi" w:eastAsiaTheme="minorHAnsi" w:hAnsiTheme="minorHAnsi" w:cstheme="minorBidi"/>
              </w:rPr>
              <w:t>“</w:t>
            </w:r>
            <w:r>
              <w:rPr>
                <w:rFonts w:ascii="Arial" w:hAnsi="Arial" w:cs="Arial"/>
              </w:rPr>
              <w:t>7.</w:t>
            </w:r>
            <w:r>
              <w:rPr>
                <w:rFonts w:ascii="Arial" w:hAnsi="Arial" w:cs="Arial"/>
              </w:rPr>
              <w:tab/>
            </w:r>
            <w:r w:rsidRPr="00834454">
              <w:rPr>
                <w:rFonts w:ascii="Arial" w:hAnsi="Arial" w:cs="Arial"/>
                <w:highlight w:val="yellow"/>
                <w:u w:val="single"/>
              </w:rPr>
              <w:t>Quality of Project Design (Logic Model)</w:t>
            </w:r>
            <w:r>
              <w:rPr>
                <w:rFonts w:ascii="Arial" w:hAnsi="Arial" w:cs="Arial"/>
                <w:highlight w:val="yellow"/>
              </w:rPr>
              <w:tab/>
            </w:r>
            <w:r w:rsidRPr="00834454">
              <w:rPr>
                <w:rFonts w:ascii="Arial" w:hAnsi="Arial" w:cs="Arial"/>
                <w:highlight w:val="yellow"/>
              </w:rPr>
              <w:t>(5 points)</w:t>
            </w:r>
            <w:r>
              <w:rPr>
                <w:rFonts w:ascii="Arial" w:hAnsi="Arial" w:cs="Arial"/>
              </w:rPr>
              <w:t xml:space="preserve"> </w:t>
            </w:r>
          </w:p>
          <w:p w:rsidR="004069E1" w:rsidRPr="00834454" w:rsidRDefault="004069E1" w:rsidP="004069E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w:t>
            </w:r>
          </w:p>
          <w:p w:rsidR="004069E1" w:rsidRPr="00D6521E" w:rsidRDefault="004069E1" w:rsidP="004069E1">
            <w:pPr>
              <w:rPr>
                <w:rFonts w:ascii="Arial" w:hAnsi="Arial" w:cs="Arial"/>
              </w:rPr>
            </w:pPr>
            <w:r w:rsidRPr="00D6521E">
              <w:rPr>
                <w:rFonts w:ascii="Arial" w:hAnsi="Arial" w:cs="Arial"/>
              </w:rPr>
              <w:t>Total Maximum Sc</w:t>
            </w:r>
            <w:r>
              <w:rPr>
                <w:rFonts w:ascii="Arial" w:hAnsi="Arial" w:cs="Arial"/>
              </w:rPr>
              <w:t>ore for Selection Criteria</w:t>
            </w:r>
            <w:r>
              <w:rPr>
                <w:rFonts w:ascii="Arial" w:hAnsi="Arial" w:cs="Arial"/>
              </w:rPr>
              <w:tab/>
            </w:r>
            <w:r w:rsidRPr="00834454">
              <w:rPr>
                <w:rFonts w:ascii="Arial" w:hAnsi="Arial" w:cs="Arial"/>
                <w:highlight w:val="yellow"/>
              </w:rPr>
              <w:t>105 points</w:t>
            </w:r>
          </w:p>
          <w:p w:rsidR="004069E1" w:rsidRPr="00D6521E" w:rsidRDefault="004069E1" w:rsidP="0040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D6521E">
              <w:rPr>
                <w:rFonts w:ascii="Arial" w:hAnsi="Arial" w:cs="Arial"/>
                <w:b/>
              </w:rPr>
              <w:t xml:space="preserve"> </w:t>
            </w:r>
          </w:p>
          <w:p w:rsidR="004069E1" w:rsidRPr="00D6521E" w:rsidRDefault="004069E1" w:rsidP="0040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4069E1" w:rsidRPr="00D6521E" w:rsidRDefault="004069E1" w:rsidP="0040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6521E">
              <w:rPr>
                <w:rFonts w:ascii="Arial" w:hAnsi="Arial" w:cs="Arial"/>
              </w:rPr>
              <w:t>Competitive Preference Priorit</w:t>
            </w:r>
            <w:r>
              <w:rPr>
                <w:rFonts w:ascii="Arial" w:hAnsi="Arial" w:cs="Arial"/>
              </w:rPr>
              <w:t>y</w:t>
            </w:r>
            <w:r>
              <w:rPr>
                <w:rFonts w:ascii="Arial" w:hAnsi="Arial" w:cs="Arial"/>
              </w:rPr>
              <w:tab/>
              <w:t xml:space="preserve">          </w:t>
            </w:r>
            <w:r w:rsidRPr="00D6521E">
              <w:rPr>
                <w:rFonts w:ascii="Arial" w:hAnsi="Arial" w:cs="Arial"/>
              </w:rPr>
              <w:t xml:space="preserve"> </w:t>
            </w:r>
            <w:r>
              <w:rPr>
                <w:rFonts w:ascii="Arial" w:hAnsi="Arial" w:cs="Arial"/>
              </w:rPr>
              <w:t xml:space="preserve"> </w:t>
            </w:r>
            <w:r w:rsidRPr="00D6521E">
              <w:rPr>
                <w:rFonts w:ascii="Arial" w:hAnsi="Arial" w:cs="Arial"/>
              </w:rPr>
              <w:t>(</w:t>
            </w:r>
            <w:r>
              <w:rPr>
                <w:rFonts w:ascii="Arial" w:hAnsi="Arial" w:cs="Arial"/>
                <w:u w:val="single"/>
              </w:rPr>
              <w:t>5</w:t>
            </w:r>
            <w:r w:rsidRPr="00D6521E">
              <w:rPr>
                <w:rFonts w:ascii="Arial" w:hAnsi="Arial" w:cs="Arial"/>
                <w:u w:val="single"/>
              </w:rPr>
              <w:t xml:space="preserve"> points)</w:t>
            </w:r>
          </w:p>
          <w:p w:rsidR="004069E1" w:rsidRPr="00D6521E" w:rsidRDefault="004069E1" w:rsidP="0040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6521E">
              <w:rPr>
                <w:rFonts w:ascii="Arial" w:hAnsi="Arial" w:cs="Arial"/>
              </w:rPr>
              <w:t xml:space="preserve">Total Maximum Score for Selection Criteria and </w:t>
            </w:r>
          </w:p>
          <w:p w:rsidR="004069E1" w:rsidRPr="00E62D3F" w:rsidRDefault="004069E1" w:rsidP="0040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theme="minorBidi"/>
              </w:rPr>
            </w:pPr>
            <w:r w:rsidRPr="00D6521E">
              <w:rPr>
                <w:rFonts w:ascii="Arial" w:hAnsi="Arial" w:cs="Arial"/>
              </w:rPr>
              <w:t xml:space="preserve">Competitive </w:t>
            </w:r>
            <w:r>
              <w:rPr>
                <w:rFonts w:ascii="Arial" w:hAnsi="Arial" w:cs="Arial"/>
              </w:rPr>
              <w:t xml:space="preserve">Preference </w:t>
            </w:r>
            <w:r w:rsidRPr="00D6521E">
              <w:rPr>
                <w:rFonts w:ascii="Arial" w:hAnsi="Arial" w:cs="Arial"/>
              </w:rPr>
              <w:t>Priorit</w:t>
            </w:r>
            <w:r>
              <w:rPr>
                <w:rFonts w:ascii="Arial" w:hAnsi="Arial" w:cs="Arial"/>
              </w:rPr>
              <w:t xml:space="preserve">y  </w:t>
            </w:r>
            <w:r w:rsidRPr="00D6521E">
              <w:rPr>
                <w:rFonts w:ascii="Arial" w:hAnsi="Arial" w:cs="Arial"/>
              </w:rPr>
              <w:tab/>
              <w:t xml:space="preserve"> </w:t>
            </w:r>
            <w:r>
              <w:rPr>
                <w:rFonts w:ascii="Arial" w:hAnsi="Arial" w:cs="Arial"/>
              </w:rPr>
              <w:t xml:space="preserve">           </w:t>
            </w:r>
            <w:r w:rsidRPr="00834454">
              <w:rPr>
                <w:rFonts w:ascii="Arial" w:hAnsi="Arial" w:cs="Arial"/>
                <w:highlight w:val="yellow"/>
              </w:rPr>
              <w:t>110 points</w:t>
            </w:r>
          </w:p>
        </w:tc>
        <w:tc>
          <w:tcPr>
            <w:tcW w:w="1260" w:type="dxa"/>
            <w:tcBorders>
              <w:top w:val="single" w:sz="4" w:space="0" w:color="auto"/>
              <w:left w:val="single" w:sz="4" w:space="0" w:color="auto"/>
              <w:bottom w:val="single" w:sz="4" w:space="0" w:color="auto"/>
              <w:right w:val="single" w:sz="4" w:space="0" w:color="auto"/>
            </w:tcBorders>
          </w:tcPr>
          <w:p w:rsidR="009B0884" w:rsidRPr="00E62D3F" w:rsidRDefault="004069E1">
            <w:pPr>
              <w:rPr>
                <w:rFonts w:asciiTheme="minorHAnsi" w:eastAsiaTheme="minorHAnsi" w:hAnsiTheme="minorHAnsi" w:cstheme="minorBidi"/>
              </w:rPr>
            </w:pPr>
            <w:r>
              <w:rPr>
                <w:rFonts w:asciiTheme="minorHAnsi" w:eastAsiaTheme="minorHAnsi" w:hAnsiTheme="minorHAnsi" w:cstheme="minorBidi"/>
              </w:rPr>
              <w:t>Accuracy and clarification</w:t>
            </w:r>
          </w:p>
        </w:tc>
      </w:tr>
      <w:tr w:rsidR="004069E1" w:rsidRPr="009B0884" w:rsidTr="004069E1">
        <w:tc>
          <w:tcPr>
            <w:tcW w:w="1245" w:type="dxa"/>
            <w:tcBorders>
              <w:top w:val="single" w:sz="4" w:space="0" w:color="auto"/>
              <w:left w:val="single" w:sz="4" w:space="0" w:color="auto"/>
              <w:bottom w:val="single" w:sz="4" w:space="0" w:color="auto"/>
              <w:right w:val="single" w:sz="4" w:space="0" w:color="auto"/>
            </w:tcBorders>
          </w:tcPr>
          <w:p w:rsidR="004069E1" w:rsidRPr="00E62D3F" w:rsidRDefault="004069E1" w:rsidP="00FF1608">
            <w:pPr>
              <w:jc w:val="center"/>
              <w:rPr>
                <w:rFonts w:asciiTheme="minorHAnsi" w:eastAsiaTheme="minorHAnsi" w:hAnsiTheme="minorHAnsi" w:cstheme="minorBidi"/>
              </w:rPr>
            </w:pPr>
            <w:r>
              <w:rPr>
                <w:rFonts w:asciiTheme="minorHAnsi" w:eastAsiaTheme="minorHAnsi" w:hAnsiTheme="minorHAnsi" w:cstheme="minorBidi"/>
              </w:rPr>
              <w:t>9</w:t>
            </w:r>
            <w:r w:rsidR="00FF1608">
              <w:rPr>
                <w:rFonts w:asciiTheme="minorHAnsi" w:eastAsiaTheme="minorHAnsi" w:hAnsiTheme="minorHAnsi" w:cstheme="minorBidi"/>
              </w:rPr>
              <w:t>5</w:t>
            </w:r>
          </w:p>
        </w:tc>
        <w:tc>
          <w:tcPr>
            <w:tcW w:w="1580" w:type="dxa"/>
            <w:tcBorders>
              <w:top w:val="single" w:sz="4" w:space="0" w:color="auto"/>
              <w:left w:val="single" w:sz="4" w:space="0" w:color="auto"/>
              <w:bottom w:val="single" w:sz="4" w:space="0" w:color="auto"/>
              <w:right w:val="single" w:sz="4" w:space="0" w:color="auto"/>
            </w:tcBorders>
          </w:tcPr>
          <w:p w:rsidR="004069E1" w:rsidRPr="00FA2F79" w:rsidRDefault="004069E1" w:rsidP="00CD5505">
            <w:pPr>
              <w:rPr>
                <w:rFonts w:asciiTheme="minorHAnsi" w:eastAsiaTheme="minorHAnsi" w:hAnsiTheme="minorHAnsi" w:cstheme="minorBidi"/>
              </w:rPr>
            </w:pPr>
            <w:r w:rsidRPr="00FA2F79">
              <w:rPr>
                <w:rFonts w:asciiTheme="minorHAnsi" w:hAnsiTheme="minorHAnsi" w:cs="Arial"/>
                <w:noProof/>
                <w:color w:val="000000"/>
                <w:sz w:val="22"/>
                <w:szCs w:val="22"/>
              </w:rPr>
              <w:t>Instructions for Project Narrative-Selection Criteria</w:t>
            </w:r>
          </w:p>
        </w:tc>
        <w:tc>
          <w:tcPr>
            <w:tcW w:w="6193" w:type="dxa"/>
            <w:tcBorders>
              <w:top w:val="single" w:sz="4" w:space="0" w:color="auto"/>
              <w:left w:val="single" w:sz="4" w:space="0" w:color="auto"/>
              <w:bottom w:val="single" w:sz="4" w:space="0" w:color="auto"/>
              <w:right w:val="single" w:sz="4" w:space="0" w:color="auto"/>
            </w:tcBorders>
          </w:tcPr>
          <w:p w:rsidR="004069E1" w:rsidRPr="00E62D3F" w:rsidRDefault="004069E1">
            <w:pPr>
              <w:rPr>
                <w:rFonts w:asciiTheme="minorHAnsi" w:eastAsiaTheme="minorHAnsi" w:hAnsiTheme="minorHAnsi" w:cstheme="minorBidi"/>
              </w:rPr>
            </w:pPr>
            <w:r>
              <w:rPr>
                <w:rFonts w:asciiTheme="minorHAnsi" w:eastAsiaTheme="minorHAnsi" w:hAnsiTheme="minorHAnsi" w:cstheme="minorBidi"/>
              </w:rPr>
              <w:t>Sentence changed to:  “</w:t>
            </w:r>
            <w:r w:rsidRPr="00D6521E">
              <w:rPr>
                <w:rFonts w:ascii="Arial" w:hAnsi="Arial" w:cs="Arial"/>
              </w:rPr>
              <w:t xml:space="preserve">The </w:t>
            </w:r>
            <w:r w:rsidRPr="00D6521E">
              <w:rPr>
                <w:rFonts w:ascii="Arial" w:hAnsi="Arial" w:cs="Arial"/>
                <w:u w:val="single"/>
              </w:rPr>
              <w:t>Pro</w:t>
            </w:r>
            <w:r>
              <w:rPr>
                <w:rFonts w:ascii="Arial" w:hAnsi="Arial" w:cs="Arial"/>
                <w:u w:val="single"/>
              </w:rPr>
              <w:t>ject</w:t>
            </w:r>
            <w:r w:rsidRPr="00D6521E">
              <w:rPr>
                <w:rFonts w:ascii="Arial" w:hAnsi="Arial" w:cs="Arial"/>
                <w:u w:val="single"/>
              </w:rPr>
              <w:t xml:space="preserve"> Narrative</w:t>
            </w:r>
            <w:r w:rsidRPr="00D6521E">
              <w:rPr>
                <w:rFonts w:ascii="Arial" w:hAnsi="Arial" w:cs="Arial"/>
              </w:rPr>
              <w:t xml:space="preserve"> will include the discussion of the selection criteria.  The total page limit for the project narrative portion of the application for the FY 2017 McNair competition is </w:t>
            </w:r>
            <w:r w:rsidRPr="00C42B0D">
              <w:rPr>
                <w:rFonts w:ascii="Arial" w:hAnsi="Arial" w:cs="Arial"/>
                <w:highlight w:val="yellow"/>
              </w:rPr>
              <w:t>60</w:t>
            </w:r>
            <w:r>
              <w:rPr>
                <w:rFonts w:ascii="Arial" w:hAnsi="Arial" w:cs="Arial"/>
              </w:rPr>
              <w:t xml:space="preserve"> pages</w:t>
            </w:r>
            <w:r w:rsidRPr="00D6521E">
              <w:rPr>
                <w:rFonts w:ascii="Arial" w:hAnsi="Arial" w:cs="Arial"/>
              </w:rPr>
              <w:t>.</w:t>
            </w:r>
            <w:r>
              <w:rPr>
                <w:rFonts w:ascii="Arial" w:hAnsi="Arial" w:cs="Arial"/>
              </w:rPr>
              <w:t>”</w:t>
            </w:r>
          </w:p>
        </w:tc>
        <w:tc>
          <w:tcPr>
            <w:tcW w:w="1260" w:type="dxa"/>
            <w:tcBorders>
              <w:top w:val="single" w:sz="4" w:space="0" w:color="auto"/>
              <w:left w:val="single" w:sz="4" w:space="0" w:color="auto"/>
              <w:bottom w:val="single" w:sz="4" w:space="0" w:color="auto"/>
              <w:right w:val="single" w:sz="4" w:space="0" w:color="auto"/>
            </w:tcBorders>
          </w:tcPr>
          <w:p w:rsidR="004069E1" w:rsidRPr="00E62D3F" w:rsidRDefault="00FA2F79">
            <w:pPr>
              <w:rPr>
                <w:rFonts w:asciiTheme="minorHAnsi" w:eastAsiaTheme="minorHAnsi" w:hAnsiTheme="minorHAnsi" w:cstheme="minorBidi"/>
              </w:rPr>
            </w:pPr>
            <w:r>
              <w:rPr>
                <w:rFonts w:asciiTheme="minorHAnsi" w:eastAsiaTheme="minorHAnsi" w:hAnsiTheme="minorHAnsi" w:cstheme="minorBidi"/>
              </w:rPr>
              <w:t>Response to Public Comment; Accuracy and c</w:t>
            </w:r>
            <w:r w:rsidRPr="00E62D3F">
              <w:rPr>
                <w:rFonts w:asciiTheme="minorHAnsi" w:eastAsiaTheme="minorHAnsi" w:hAnsiTheme="minorHAnsi" w:cstheme="minorBidi"/>
              </w:rPr>
              <w:t>larification</w:t>
            </w:r>
          </w:p>
        </w:tc>
      </w:tr>
      <w:tr w:rsidR="004069E1" w:rsidRPr="009B0884" w:rsidTr="004069E1">
        <w:tc>
          <w:tcPr>
            <w:tcW w:w="1245" w:type="dxa"/>
            <w:tcBorders>
              <w:top w:val="single" w:sz="4" w:space="0" w:color="auto"/>
              <w:left w:val="single" w:sz="4" w:space="0" w:color="auto"/>
              <w:bottom w:val="single" w:sz="4" w:space="0" w:color="auto"/>
              <w:right w:val="single" w:sz="4" w:space="0" w:color="auto"/>
            </w:tcBorders>
          </w:tcPr>
          <w:p w:rsidR="004069E1" w:rsidRPr="00E62D3F" w:rsidRDefault="004069E1" w:rsidP="00FF1608">
            <w:pPr>
              <w:jc w:val="center"/>
              <w:rPr>
                <w:rFonts w:asciiTheme="minorHAnsi" w:eastAsiaTheme="minorHAnsi" w:hAnsiTheme="minorHAnsi" w:cstheme="minorBidi"/>
              </w:rPr>
            </w:pPr>
            <w:r>
              <w:rPr>
                <w:rFonts w:asciiTheme="minorHAnsi" w:eastAsiaTheme="minorHAnsi" w:hAnsiTheme="minorHAnsi" w:cstheme="minorBidi"/>
              </w:rPr>
              <w:t>9</w:t>
            </w:r>
            <w:r w:rsidR="00FF1608">
              <w:rPr>
                <w:rFonts w:asciiTheme="minorHAnsi" w:eastAsiaTheme="minorHAnsi" w:hAnsiTheme="minorHAnsi" w:cstheme="minorBidi"/>
              </w:rPr>
              <w:t>8</w:t>
            </w:r>
          </w:p>
        </w:tc>
        <w:tc>
          <w:tcPr>
            <w:tcW w:w="1580" w:type="dxa"/>
            <w:tcBorders>
              <w:top w:val="single" w:sz="4" w:space="0" w:color="auto"/>
              <w:left w:val="single" w:sz="4" w:space="0" w:color="auto"/>
              <w:bottom w:val="single" w:sz="4" w:space="0" w:color="auto"/>
              <w:right w:val="single" w:sz="4" w:space="0" w:color="auto"/>
            </w:tcBorders>
          </w:tcPr>
          <w:p w:rsidR="004069E1" w:rsidRPr="00FA2F79" w:rsidRDefault="004069E1" w:rsidP="00CD5505">
            <w:pPr>
              <w:rPr>
                <w:rFonts w:asciiTheme="minorHAnsi" w:eastAsiaTheme="minorHAnsi" w:hAnsiTheme="minorHAnsi" w:cstheme="minorBidi"/>
              </w:rPr>
            </w:pPr>
            <w:r w:rsidRPr="00FA2F79">
              <w:rPr>
                <w:rFonts w:asciiTheme="minorHAnsi" w:hAnsiTheme="minorHAnsi" w:cs="Arial"/>
                <w:noProof/>
                <w:color w:val="000000"/>
                <w:sz w:val="22"/>
                <w:szCs w:val="22"/>
              </w:rPr>
              <w:t>Instructions for Project Narrative-Selection Criteria</w:t>
            </w:r>
          </w:p>
        </w:tc>
        <w:tc>
          <w:tcPr>
            <w:tcW w:w="6193" w:type="dxa"/>
            <w:tcBorders>
              <w:top w:val="single" w:sz="4" w:space="0" w:color="auto"/>
              <w:left w:val="single" w:sz="4" w:space="0" w:color="auto"/>
              <w:bottom w:val="single" w:sz="4" w:space="0" w:color="auto"/>
              <w:right w:val="single" w:sz="4" w:space="0" w:color="auto"/>
            </w:tcBorders>
          </w:tcPr>
          <w:p w:rsidR="004069E1" w:rsidRDefault="004069E1">
            <w:pPr>
              <w:rPr>
                <w:rFonts w:asciiTheme="minorHAnsi" w:eastAsiaTheme="minorHAnsi" w:hAnsiTheme="minorHAnsi" w:cstheme="minorBidi"/>
              </w:rPr>
            </w:pPr>
            <w:r>
              <w:rPr>
                <w:rFonts w:asciiTheme="minorHAnsi" w:eastAsiaTheme="minorHAnsi" w:hAnsiTheme="minorHAnsi" w:cstheme="minorBidi"/>
              </w:rPr>
              <w:t xml:space="preserve">Language added: </w:t>
            </w:r>
          </w:p>
          <w:p w:rsidR="004069E1" w:rsidRPr="00E62D3F" w:rsidRDefault="004069E1">
            <w:pPr>
              <w:rPr>
                <w:rFonts w:asciiTheme="minorHAnsi" w:eastAsiaTheme="minorHAnsi" w:hAnsiTheme="minorHAnsi" w:cstheme="minorBidi"/>
              </w:rPr>
            </w:pPr>
            <w:r w:rsidRPr="004069E1">
              <w:rPr>
                <w:rFonts w:asciiTheme="minorHAnsi" w:eastAsiaTheme="minorHAnsi" w:hAnsiTheme="minorHAnsi" w:cstheme="minorBidi"/>
                <w:highlight w:val="yellow"/>
              </w:rPr>
              <w:t>“</w:t>
            </w:r>
            <w:r w:rsidRPr="004069E1">
              <w:rPr>
                <w:rFonts w:ascii="Arial" w:hAnsi="Arial" w:cs="Arial"/>
                <w:b/>
                <w:highlight w:val="yellow"/>
                <w:u w:val="single"/>
              </w:rPr>
              <w:t>Qu</w:t>
            </w:r>
            <w:r w:rsidRPr="00262D36">
              <w:rPr>
                <w:rFonts w:ascii="Arial" w:hAnsi="Arial" w:cs="Arial"/>
                <w:b/>
                <w:highlight w:val="yellow"/>
                <w:u w:val="single"/>
              </w:rPr>
              <w:t>ality of Project Design</w:t>
            </w:r>
            <w:r w:rsidRPr="00262D36">
              <w:rPr>
                <w:rFonts w:ascii="Arial" w:hAnsi="Arial" w:cs="Arial"/>
                <w:highlight w:val="yellow"/>
              </w:rPr>
              <w:t>:  Consistent with the Department’s increasing emphasis in recent years on promoting evidence-based practices, the Secretary will evaluate applications on the extent to which the proposed project is supported by a logic model that meets the evidence standard of “strong theory.”  A logic model (also referred to as theory of action) means a well-specified conceptual framework that identifies key components of the proposed process and describes the relationships among the key components and outcomes, theoretically and operationally (as defined in the Notice).  Please see the Notice for additional information on how to address this criterion.</w:t>
            </w:r>
          </w:p>
        </w:tc>
        <w:tc>
          <w:tcPr>
            <w:tcW w:w="1260" w:type="dxa"/>
            <w:tcBorders>
              <w:top w:val="single" w:sz="4" w:space="0" w:color="auto"/>
              <w:left w:val="single" w:sz="4" w:space="0" w:color="auto"/>
              <w:bottom w:val="single" w:sz="4" w:space="0" w:color="auto"/>
              <w:right w:val="single" w:sz="4" w:space="0" w:color="auto"/>
            </w:tcBorders>
          </w:tcPr>
          <w:p w:rsidR="004069E1" w:rsidRPr="00E62D3F" w:rsidRDefault="004069E1">
            <w:pPr>
              <w:rPr>
                <w:rFonts w:asciiTheme="minorHAnsi" w:eastAsiaTheme="minorHAnsi" w:hAnsiTheme="minorHAnsi" w:cstheme="minorBidi"/>
              </w:rPr>
            </w:pPr>
            <w:r>
              <w:rPr>
                <w:rFonts w:asciiTheme="minorHAnsi" w:eastAsiaTheme="minorHAnsi" w:hAnsiTheme="minorHAnsi" w:cstheme="minorBidi"/>
              </w:rPr>
              <w:t>Accuracy and clarification</w:t>
            </w:r>
          </w:p>
        </w:tc>
      </w:tr>
      <w:tr w:rsidR="004069E1" w:rsidRPr="009B0884" w:rsidTr="004069E1">
        <w:tc>
          <w:tcPr>
            <w:tcW w:w="1245" w:type="dxa"/>
            <w:tcBorders>
              <w:top w:val="single" w:sz="4" w:space="0" w:color="auto"/>
              <w:left w:val="single" w:sz="4" w:space="0" w:color="auto"/>
              <w:bottom w:val="single" w:sz="4" w:space="0" w:color="auto"/>
              <w:right w:val="single" w:sz="4" w:space="0" w:color="auto"/>
            </w:tcBorders>
          </w:tcPr>
          <w:p w:rsidR="004069E1" w:rsidRPr="00FA2F79" w:rsidRDefault="00FF1608">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105</w:t>
            </w:r>
            <w:r w:rsidR="00FA2F79" w:rsidRPr="00FA2F79">
              <w:rPr>
                <w:rFonts w:asciiTheme="minorHAnsi" w:eastAsiaTheme="minorHAnsi" w:hAnsiTheme="minorHAnsi" w:cstheme="minorBidi"/>
                <w:sz w:val="22"/>
                <w:szCs w:val="22"/>
              </w:rPr>
              <w:t xml:space="preserve"> </w:t>
            </w:r>
          </w:p>
        </w:tc>
        <w:tc>
          <w:tcPr>
            <w:tcW w:w="1580" w:type="dxa"/>
            <w:tcBorders>
              <w:top w:val="single" w:sz="4" w:space="0" w:color="auto"/>
              <w:left w:val="single" w:sz="4" w:space="0" w:color="auto"/>
              <w:bottom w:val="single" w:sz="4" w:space="0" w:color="auto"/>
              <w:right w:val="single" w:sz="4" w:space="0" w:color="auto"/>
            </w:tcBorders>
          </w:tcPr>
          <w:p w:rsidR="004069E1" w:rsidRPr="00FA2F79" w:rsidRDefault="00FA2F79">
            <w:pPr>
              <w:rPr>
                <w:rFonts w:asciiTheme="minorHAnsi" w:eastAsiaTheme="minorHAnsi" w:hAnsiTheme="minorHAnsi" w:cstheme="minorBidi"/>
                <w:sz w:val="22"/>
                <w:szCs w:val="22"/>
              </w:rPr>
            </w:pPr>
            <w:r w:rsidRPr="00FA2F79">
              <w:rPr>
                <w:rFonts w:asciiTheme="minorHAnsi" w:hAnsiTheme="minorHAnsi" w:cs="Arial"/>
                <w:noProof/>
                <w:color w:val="000000"/>
                <w:sz w:val="22"/>
                <w:szCs w:val="22"/>
              </w:rPr>
              <w:t xml:space="preserve">Instructions for Budget Summary Form &amp; </w:t>
            </w:r>
            <w:r w:rsidRPr="00FA2F79">
              <w:rPr>
                <w:rFonts w:asciiTheme="minorHAnsi" w:hAnsiTheme="minorHAnsi" w:cs="Arial"/>
                <w:noProof/>
                <w:color w:val="000000"/>
                <w:sz w:val="22"/>
                <w:szCs w:val="22"/>
              </w:rPr>
              <w:lastRenderedPageBreak/>
              <w:t>Itemized Budget</w:t>
            </w:r>
          </w:p>
        </w:tc>
        <w:tc>
          <w:tcPr>
            <w:tcW w:w="6193" w:type="dxa"/>
            <w:tcBorders>
              <w:top w:val="single" w:sz="4" w:space="0" w:color="auto"/>
              <w:left w:val="single" w:sz="4" w:space="0" w:color="auto"/>
              <w:bottom w:val="single" w:sz="4" w:space="0" w:color="auto"/>
              <w:right w:val="single" w:sz="4" w:space="0" w:color="auto"/>
            </w:tcBorders>
          </w:tcPr>
          <w:p w:rsidR="004069E1" w:rsidRDefault="00FA2F79">
            <w:pPr>
              <w:rPr>
                <w:rFonts w:asciiTheme="minorHAnsi" w:eastAsiaTheme="minorHAnsi" w:hAnsiTheme="minorHAnsi" w:cstheme="minorBidi"/>
              </w:rPr>
            </w:pPr>
            <w:r>
              <w:rPr>
                <w:rFonts w:asciiTheme="minorHAnsi" w:eastAsiaTheme="minorHAnsi" w:hAnsiTheme="minorHAnsi" w:cstheme="minorBidi"/>
              </w:rPr>
              <w:lastRenderedPageBreak/>
              <w:t xml:space="preserve">Sentence changed to:  </w:t>
            </w:r>
          </w:p>
          <w:p w:rsidR="00FA2F79" w:rsidRPr="00FA2F79" w:rsidRDefault="00FA2F79" w:rsidP="00FA2F79">
            <w:pPr>
              <w:pStyle w:val="ListParagraph"/>
              <w:rPr>
                <w:rFonts w:ascii="Arial" w:hAnsi="Arial" w:cs="Arial"/>
                <w:sz w:val="20"/>
                <w:szCs w:val="20"/>
                <w:highlight w:val="yellow"/>
              </w:rPr>
            </w:pPr>
            <w:r>
              <w:rPr>
                <w:rFonts w:ascii="Arial" w:hAnsi="Arial" w:cs="Arial"/>
                <w:sz w:val="20"/>
                <w:szCs w:val="20"/>
                <w:highlight w:val="yellow"/>
                <w:u w:val="single"/>
              </w:rPr>
              <w:t xml:space="preserve">“11. </w:t>
            </w:r>
            <w:r w:rsidRPr="00FA2F79">
              <w:rPr>
                <w:rFonts w:ascii="Arial" w:hAnsi="Arial" w:cs="Arial"/>
                <w:sz w:val="20"/>
                <w:szCs w:val="20"/>
                <w:highlight w:val="yellow"/>
                <w:u w:val="single"/>
              </w:rPr>
              <w:t>Training Stipends</w:t>
            </w:r>
            <w:r w:rsidRPr="00FA2F79">
              <w:rPr>
                <w:rFonts w:ascii="Arial" w:hAnsi="Arial" w:cs="Arial"/>
                <w:sz w:val="20"/>
                <w:szCs w:val="20"/>
                <w:highlight w:val="yellow"/>
              </w:rPr>
              <w:t>:  On line 11 (ED 524) provide the total amount of student stipends.  The McNair Program regulations, 34CFR 647.30(b), establish the maximum federal stipend amount of $2,800 per year per student.</w:t>
            </w:r>
            <w:r>
              <w:rPr>
                <w:rFonts w:ascii="Arial" w:hAnsi="Arial" w:cs="Arial"/>
                <w:sz w:val="20"/>
                <w:szCs w:val="20"/>
                <w:highlight w:val="yellow"/>
              </w:rPr>
              <w:t>”</w:t>
            </w:r>
          </w:p>
          <w:p w:rsidR="00FA2F79" w:rsidRPr="00E62D3F" w:rsidRDefault="00FA2F79">
            <w:pPr>
              <w:rPr>
                <w:rFonts w:asciiTheme="minorHAnsi" w:eastAsiaTheme="minorHAnsi" w:hAnsiTheme="minorHAnsi" w:cstheme="minorBidi"/>
              </w:rPr>
            </w:pPr>
          </w:p>
        </w:tc>
        <w:tc>
          <w:tcPr>
            <w:tcW w:w="1260" w:type="dxa"/>
            <w:tcBorders>
              <w:top w:val="single" w:sz="4" w:space="0" w:color="auto"/>
              <w:left w:val="single" w:sz="4" w:space="0" w:color="auto"/>
              <w:bottom w:val="single" w:sz="4" w:space="0" w:color="auto"/>
              <w:right w:val="single" w:sz="4" w:space="0" w:color="auto"/>
            </w:tcBorders>
          </w:tcPr>
          <w:p w:rsidR="004069E1" w:rsidRPr="00E62D3F" w:rsidRDefault="00FA2F79">
            <w:pPr>
              <w:rPr>
                <w:rFonts w:asciiTheme="minorHAnsi" w:eastAsiaTheme="minorHAnsi" w:hAnsiTheme="minorHAnsi" w:cstheme="minorBidi"/>
              </w:rPr>
            </w:pPr>
            <w:r>
              <w:rPr>
                <w:rFonts w:asciiTheme="minorHAnsi" w:eastAsiaTheme="minorHAnsi" w:hAnsiTheme="minorHAnsi" w:cstheme="minorBidi"/>
              </w:rPr>
              <w:lastRenderedPageBreak/>
              <w:t xml:space="preserve">Response to Public Comment; Accuracy </w:t>
            </w:r>
            <w:r>
              <w:rPr>
                <w:rFonts w:asciiTheme="minorHAnsi" w:eastAsiaTheme="minorHAnsi" w:hAnsiTheme="minorHAnsi" w:cstheme="minorBidi"/>
              </w:rPr>
              <w:lastRenderedPageBreak/>
              <w:t>and c</w:t>
            </w:r>
            <w:r w:rsidRPr="00E62D3F">
              <w:rPr>
                <w:rFonts w:asciiTheme="minorHAnsi" w:eastAsiaTheme="minorHAnsi" w:hAnsiTheme="minorHAnsi" w:cstheme="minorBidi"/>
              </w:rPr>
              <w:t>larification</w:t>
            </w:r>
          </w:p>
        </w:tc>
      </w:tr>
      <w:tr w:rsidR="004069E1" w:rsidRPr="009B0884" w:rsidTr="004069E1">
        <w:tc>
          <w:tcPr>
            <w:tcW w:w="1245" w:type="dxa"/>
            <w:tcBorders>
              <w:top w:val="single" w:sz="4" w:space="0" w:color="auto"/>
              <w:left w:val="single" w:sz="4" w:space="0" w:color="auto"/>
              <w:bottom w:val="single" w:sz="4" w:space="0" w:color="auto"/>
              <w:right w:val="single" w:sz="4" w:space="0" w:color="auto"/>
            </w:tcBorders>
          </w:tcPr>
          <w:p w:rsidR="004069E1" w:rsidRPr="00FA2F79" w:rsidRDefault="00FF1608">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117</w:t>
            </w:r>
          </w:p>
        </w:tc>
        <w:tc>
          <w:tcPr>
            <w:tcW w:w="1580" w:type="dxa"/>
            <w:tcBorders>
              <w:top w:val="single" w:sz="4" w:space="0" w:color="auto"/>
              <w:left w:val="single" w:sz="4" w:space="0" w:color="auto"/>
              <w:bottom w:val="single" w:sz="4" w:space="0" w:color="auto"/>
              <w:right w:val="single" w:sz="4" w:space="0" w:color="auto"/>
            </w:tcBorders>
          </w:tcPr>
          <w:p w:rsidR="004069E1" w:rsidRPr="00FA2F79" w:rsidRDefault="00FA2F79">
            <w:pPr>
              <w:rPr>
                <w:rFonts w:asciiTheme="minorHAnsi" w:eastAsiaTheme="minorHAnsi" w:hAnsiTheme="minorHAnsi" w:cstheme="minorBidi"/>
                <w:sz w:val="22"/>
                <w:szCs w:val="22"/>
              </w:rPr>
            </w:pPr>
            <w:r w:rsidRPr="00FA2F79">
              <w:rPr>
                <w:rFonts w:asciiTheme="minorHAnsi" w:hAnsiTheme="minorHAnsi" w:cs="Arial"/>
                <w:noProof/>
                <w:color w:val="000000"/>
                <w:sz w:val="22"/>
                <w:szCs w:val="22"/>
              </w:rPr>
              <w:t>Instructions for Completion of SF-LLL, Disclosure Of Lobbying Activities</w:t>
            </w:r>
          </w:p>
        </w:tc>
        <w:tc>
          <w:tcPr>
            <w:tcW w:w="6193" w:type="dxa"/>
            <w:tcBorders>
              <w:top w:val="single" w:sz="4" w:space="0" w:color="auto"/>
              <w:left w:val="single" w:sz="4" w:space="0" w:color="auto"/>
              <w:bottom w:val="single" w:sz="4" w:space="0" w:color="auto"/>
              <w:right w:val="single" w:sz="4" w:space="0" w:color="auto"/>
            </w:tcBorders>
          </w:tcPr>
          <w:p w:rsidR="004069E1" w:rsidRDefault="00FA2F79">
            <w:pPr>
              <w:rPr>
                <w:rFonts w:asciiTheme="minorHAnsi" w:eastAsiaTheme="minorHAnsi" w:hAnsiTheme="minorHAnsi" w:cstheme="minorBidi"/>
              </w:rPr>
            </w:pPr>
            <w:r>
              <w:rPr>
                <w:rFonts w:asciiTheme="minorHAnsi" w:eastAsiaTheme="minorHAnsi" w:hAnsiTheme="minorHAnsi" w:cstheme="minorBidi"/>
              </w:rPr>
              <w:t xml:space="preserve">Sentence changed to:  </w:t>
            </w:r>
          </w:p>
          <w:p w:rsidR="00FA2F79" w:rsidRPr="00E62D3F" w:rsidRDefault="00FA2F79">
            <w:pPr>
              <w:rPr>
                <w:rFonts w:asciiTheme="minorHAnsi" w:eastAsiaTheme="minorHAnsi" w:hAnsiTheme="minorHAnsi" w:cstheme="minorBidi"/>
              </w:rPr>
            </w:pPr>
            <w:r>
              <w:rPr>
                <w:rFonts w:asciiTheme="minorHAnsi" w:eastAsiaTheme="minorHAnsi" w:hAnsiTheme="minorHAnsi" w:cstheme="minorBidi"/>
              </w:rPr>
              <w:t>“</w:t>
            </w:r>
            <w:r w:rsidRPr="00E873AD">
              <w:rPr>
                <w:sz w:val="18"/>
                <w:highlight w:val="yellow"/>
              </w:rPr>
              <w:t xml:space="preserve">The valid OMB control number for this information collection is OMB No. </w:t>
            </w:r>
            <w:r w:rsidRPr="00E873AD">
              <w:rPr>
                <w:b/>
                <w:bCs/>
                <w:highlight w:val="yellow"/>
              </w:rPr>
              <w:t>1840-0619.</w:t>
            </w:r>
            <w:r>
              <w:rPr>
                <w:b/>
                <w:bCs/>
              </w:rPr>
              <w:t xml:space="preserve">  “</w:t>
            </w:r>
          </w:p>
        </w:tc>
        <w:tc>
          <w:tcPr>
            <w:tcW w:w="1260" w:type="dxa"/>
            <w:tcBorders>
              <w:top w:val="single" w:sz="4" w:space="0" w:color="auto"/>
              <w:left w:val="single" w:sz="4" w:space="0" w:color="auto"/>
              <w:bottom w:val="single" w:sz="4" w:space="0" w:color="auto"/>
              <w:right w:val="single" w:sz="4" w:space="0" w:color="auto"/>
            </w:tcBorders>
          </w:tcPr>
          <w:p w:rsidR="004069E1" w:rsidRPr="00E62D3F" w:rsidRDefault="00FA2F79">
            <w:pPr>
              <w:rPr>
                <w:rFonts w:asciiTheme="minorHAnsi" w:eastAsiaTheme="minorHAnsi" w:hAnsiTheme="minorHAnsi" w:cstheme="minorBidi"/>
              </w:rPr>
            </w:pPr>
            <w:r>
              <w:rPr>
                <w:rFonts w:asciiTheme="minorHAnsi" w:eastAsiaTheme="minorHAnsi" w:hAnsiTheme="minorHAnsi" w:cstheme="minorBidi"/>
              </w:rPr>
              <w:t>Accuracy and clarification</w:t>
            </w:r>
          </w:p>
        </w:tc>
      </w:tr>
      <w:tr w:rsidR="004069E1" w:rsidRPr="009B0884" w:rsidTr="004069E1">
        <w:tc>
          <w:tcPr>
            <w:tcW w:w="1245" w:type="dxa"/>
            <w:tcBorders>
              <w:top w:val="single" w:sz="4" w:space="0" w:color="auto"/>
              <w:left w:val="single" w:sz="4" w:space="0" w:color="auto"/>
              <w:bottom w:val="single" w:sz="4" w:space="0" w:color="auto"/>
              <w:right w:val="single" w:sz="4" w:space="0" w:color="auto"/>
            </w:tcBorders>
          </w:tcPr>
          <w:p w:rsidR="004069E1" w:rsidRPr="00FA2F79" w:rsidRDefault="00FF1608">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121</w:t>
            </w:r>
          </w:p>
        </w:tc>
        <w:tc>
          <w:tcPr>
            <w:tcW w:w="1580" w:type="dxa"/>
            <w:tcBorders>
              <w:top w:val="single" w:sz="4" w:space="0" w:color="auto"/>
              <w:left w:val="single" w:sz="4" w:space="0" w:color="auto"/>
              <w:bottom w:val="single" w:sz="4" w:space="0" w:color="auto"/>
              <w:right w:val="single" w:sz="4" w:space="0" w:color="auto"/>
            </w:tcBorders>
          </w:tcPr>
          <w:p w:rsidR="004069E1" w:rsidRPr="00FA2F79" w:rsidRDefault="00FA2F79">
            <w:pPr>
              <w:rPr>
                <w:rFonts w:asciiTheme="minorHAnsi" w:eastAsiaTheme="minorHAnsi" w:hAnsiTheme="minorHAnsi" w:cstheme="minorBidi"/>
                <w:sz w:val="22"/>
                <w:szCs w:val="22"/>
              </w:rPr>
            </w:pPr>
            <w:r w:rsidRPr="00FA2F79">
              <w:rPr>
                <w:rFonts w:asciiTheme="minorHAnsi" w:eastAsiaTheme="minorHAnsi" w:hAnsiTheme="minorHAnsi" w:cstheme="minorBidi"/>
                <w:sz w:val="22"/>
                <w:szCs w:val="22"/>
              </w:rPr>
              <w:t>Application Checklist</w:t>
            </w:r>
          </w:p>
        </w:tc>
        <w:tc>
          <w:tcPr>
            <w:tcW w:w="6193" w:type="dxa"/>
            <w:tcBorders>
              <w:top w:val="single" w:sz="4" w:space="0" w:color="auto"/>
              <w:left w:val="single" w:sz="4" w:space="0" w:color="auto"/>
              <w:bottom w:val="single" w:sz="4" w:space="0" w:color="auto"/>
              <w:right w:val="single" w:sz="4" w:space="0" w:color="auto"/>
            </w:tcBorders>
          </w:tcPr>
          <w:p w:rsidR="004069E1" w:rsidRDefault="00FA2F79">
            <w:r>
              <w:rPr>
                <w:rFonts w:asciiTheme="minorHAnsi" w:eastAsiaTheme="minorHAnsi" w:hAnsiTheme="minorHAnsi" w:cstheme="minorBidi"/>
              </w:rPr>
              <w:t>Sentences changed to:  “</w:t>
            </w:r>
            <w:r w:rsidRPr="00466005">
              <w:t xml:space="preserve">The total page limit for the </w:t>
            </w:r>
            <w:r>
              <w:t>application</w:t>
            </w:r>
            <w:r w:rsidRPr="00466005">
              <w:t xml:space="preserve"> narrative portion of the application for the FY 201</w:t>
            </w:r>
            <w:r>
              <w:t>7</w:t>
            </w:r>
            <w:r w:rsidRPr="00466005">
              <w:t xml:space="preserve"> </w:t>
            </w:r>
            <w:r>
              <w:t xml:space="preserve">McNair competition is </w:t>
            </w:r>
            <w:r w:rsidRPr="00834454">
              <w:rPr>
                <w:highlight w:val="yellow"/>
              </w:rPr>
              <w:t>60 pages</w:t>
            </w:r>
            <w:r w:rsidRPr="00837404">
              <w:t>.</w:t>
            </w:r>
            <w:r>
              <w:t>”</w:t>
            </w:r>
          </w:p>
          <w:p w:rsidR="00FA2F79" w:rsidRDefault="00FA2F79"/>
          <w:p w:rsidR="00FA2F79" w:rsidRPr="00E62D3F" w:rsidRDefault="00FA2F79">
            <w:pPr>
              <w:rPr>
                <w:rFonts w:asciiTheme="minorHAnsi" w:eastAsiaTheme="minorHAnsi" w:hAnsiTheme="minorHAnsi" w:cstheme="minorBidi"/>
              </w:rPr>
            </w:pPr>
            <w:r>
              <w:t>“</w:t>
            </w:r>
            <w:r>
              <w:rPr>
                <w:color w:val="000000"/>
              </w:rPr>
              <w:t xml:space="preserve">This one-page abstract, which may be single-spaced, will not count against the </w:t>
            </w:r>
            <w:r w:rsidRPr="00834454">
              <w:rPr>
                <w:color w:val="000000"/>
                <w:highlight w:val="yellow"/>
              </w:rPr>
              <w:t>60 pages</w:t>
            </w:r>
            <w:r>
              <w:rPr>
                <w:color w:val="000000"/>
              </w:rPr>
              <w:t xml:space="preserve"> you are allowed for your response to the selection criteria</w:t>
            </w:r>
          </w:p>
        </w:tc>
        <w:tc>
          <w:tcPr>
            <w:tcW w:w="1260" w:type="dxa"/>
            <w:tcBorders>
              <w:top w:val="single" w:sz="4" w:space="0" w:color="auto"/>
              <w:left w:val="single" w:sz="4" w:space="0" w:color="auto"/>
              <w:bottom w:val="single" w:sz="4" w:space="0" w:color="auto"/>
              <w:right w:val="single" w:sz="4" w:space="0" w:color="auto"/>
            </w:tcBorders>
          </w:tcPr>
          <w:p w:rsidR="004069E1" w:rsidRPr="00E62D3F" w:rsidRDefault="00697E76">
            <w:pPr>
              <w:rPr>
                <w:rFonts w:asciiTheme="minorHAnsi" w:eastAsiaTheme="minorHAnsi" w:hAnsiTheme="minorHAnsi" w:cstheme="minorBidi"/>
              </w:rPr>
            </w:pPr>
            <w:r>
              <w:rPr>
                <w:rFonts w:asciiTheme="minorHAnsi" w:eastAsiaTheme="minorHAnsi" w:hAnsiTheme="minorHAnsi" w:cstheme="minorBidi"/>
              </w:rPr>
              <w:t>Response to Public Comment; Accuracy and c</w:t>
            </w:r>
            <w:r w:rsidRPr="00E62D3F">
              <w:rPr>
                <w:rFonts w:asciiTheme="minorHAnsi" w:eastAsiaTheme="minorHAnsi" w:hAnsiTheme="minorHAnsi" w:cstheme="minorBidi"/>
              </w:rPr>
              <w:t>larification</w:t>
            </w:r>
          </w:p>
        </w:tc>
      </w:tr>
    </w:tbl>
    <w:p w:rsidR="000D6A56" w:rsidRPr="009B0884" w:rsidRDefault="000D6A56"/>
    <w:sectPr w:rsidR="000D6A56" w:rsidRPr="009B08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23B" w:rsidRDefault="00BF423B" w:rsidP="009B0884">
      <w:r>
        <w:separator/>
      </w:r>
    </w:p>
  </w:endnote>
  <w:endnote w:type="continuationSeparator" w:id="0">
    <w:p w:rsidR="00BF423B" w:rsidRDefault="00BF423B" w:rsidP="009B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nstantia,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822266"/>
      <w:docPartObj>
        <w:docPartGallery w:val="Page Numbers (Bottom of Page)"/>
        <w:docPartUnique/>
      </w:docPartObj>
    </w:sdtPr>
    <w:sdtEndPr>
      <w:rPr>
        <w:noProof/>
      </w:rPr>
    </w:sdtEndPr>
    <w:sdtContent>
      <w:p w:rsidR="009B0884" w:rsidRDefault="009B0884">
        <w:pPr>
          <w:pStyle w:val="Footer"/>
          <w:jc w:val="center"/>
        </w:pPr>
        <w:r>
          <w:fldChar w:fldCharType="begin"/>
        </w:r>
        <w:r>
          <w:instrText xml:space="preserve"> PAGE   \* MERGEFORMAT </w:instrText>
        </w:r>
        <w:r>
          <w:fldChar w:fldCharType="separate"/>
        </w:r>
        <w:r w:rsidR="00A0414D">
          <w:rPr>
            <w:noProof/>
          </w:rPr>
          <w:t>1</w:t>
        </w:r>
        <w:r>
          <w:rPr>
            <w:noProof/>
          </w:rPr>
          <w:fldChar w:fldCharType="end"/>
        </w:r>
      </w:p>
    </w:sdtContent>
  </w:sdt>
  <w:p w:rsidR="009B0884" w:rsidRDefault="009B0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23B" w:rsidRDefault="00BF423B" w:rsidP="009B0884">
      <w:r>
        <w:separator/>
      </w:r>
    </w:p>
  </w:footnote>
  <w:footnote w:type="continuationSeparator" w:id="0">
    <w:p w:rsidR="00BF423B" w:rsidRDefault="00BF423B" w:rsidP="009B0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7E92"/>
    <w:multiLevelType w:val="hybridMultilevel"/>
    <w:tmpl w:val="168C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14461"/>
    <w:multiLevelType w:val="hybridMultilevel"/>
    <w:tmpl w:val="DD50F0E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5463A5"/>
    <w:multiLevelType w:val="hybridMultilevel"/>
    <w:tmpl w:val="1CE045B4"/>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AE48C5"/>
    <w:multiLevelType w:val="hybridMultilevel"/>
    <w:tmpl w:val="A4DC0D1E"/>
    <w:lvl w:ilvl="0" w:tplc="8D86DAFA">
      <w:start w:val="7"/>
      <w:numFmt w:val="decimal"/>
      <w:pStyle w:val="ListNumber2"/>
      <w:lvlText w:val="%1."/>
      <w:lvlJc w:val="left"/>
      <w:pPr>
        <w:tabs>
          <w:tab w:val="num" w:pos="720"/>
        </w:tabs>
        <w:ind w:left="720" w:hanging="540"/>
      </w:pPr>
      <w:rPr>
        <w:rFonts w:cs="Times New Roman"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5">
    <w:nsid w:val="2C004232"/>
    <w:multiLevelType w:val="hybridMultilevel"/>
    <w:tmpl w:val="7578D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E11593"/>
    <w:multiLevelType w:val="hybridMultilevel"/>
    <w:tmpl w:val="D982DE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0A6776"/>
    <w:multiLevelType w:val="hybridMultilevel"/>
    <w:tmpl w:val="275659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943525"/>
    <w:multiLevelType w:val="hybridMultilevel"/>
    <w:tmpl w:val="212AC79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BB31A1"/>
    <w:multiLevelType w:val="hybridMultilevel"/>
    <w:tmpl w:val="D29AFDAC"/>
    <w:lvl w:ilvl="0" w:tplc="DBB4393A">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1109F3"/>
    <w:multiLevelType w:val="hybridMultilevel"/>
    <w:tmpl w:val="D77C52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A05195C"/>
    <w:multiLevelType w:val="hybridMultilevel"/>
    <w:tmpl w:val="8342F2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391848"/>
    <w:multiLevelType w:val="hybridMultilevel"/>
    <w:tmpl w:val="64385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00495B"/>
    <w:multiLevelType w:val="hybridMultilevel"/>
    <w:tmpl w:val="CA188692"/>
    <w:lvl w:ilvl="0" w:tplc="2400768A">
      <w:start w:val="1"/>
      <w:numFmt w:val="bullet"/>
      <w:lvlText w:val="•"/>
      <w:lvlJc w:val="left"/>
      <w:pPr>
        <w:tabs>
          <w:tab w:val="num" w:pos="720"/>
        </w:tabs>
        <w:ind w:left="720" w:hanging="360"/>
      </w:pPr>
      <w:rPr>
        <w:rFonts w:ascii="Arial" w:hAnsi="Arial" w:hint="default"/>
      </w:rPr>
    </w:lvl>
    <w:lvl w:ilvl="1" w:tplc="281E4EFE" w:tentative="1">
      <w:start w:val="1"/>
      <w:numFmt w:val="bullet"/>
      <w:lvlText w:val="•"/>
      <w:lvlJc w:val="left"/>
      <w:pPr>
        <w:tabs>
          <w:tab w:val="num" w:pos="1440"/>
        </w:tabs>
        <w:ind w:left="1440" w:hanging="360"/>
      </w:pPr>
      <w:rPr>
        <w:rFonts w:ascii="Arial" w:hAnsi="Arial" w:hint="default"/>
      </w:rPr>
    </w:lvl>
    <w:lvl w:ilvl="2" w:tplc="E954C15C" w:tentative="1">
      <w:start w:val="1"/>
      <w:numFmt w:val="bullet"/>
      <w:lvlText w:val="•"/>
      <w:lvlJc w:val="left"/>
      <w:pPr>
        <w:tabs>
          <w:tab w:val="num" w:pos="2160"/>
        </w:tabs>
        <w:ind w:left="2160" w:hanging="360"/>
      </w:pPr>
      <w:rPr>
        <w:rFonts w:ascii="Arial" w:hAnsi="Arial" w:hint="default"/>
      </w:rPr>
    </w:lvl>
    <w:lvl w:ilvl="3" w:tplc="6A6627A6" w:tentative="1">
      <w:start w:val="1"/>
      <w:numFmt w:val="bullet"/>
      <w:lvlText w:val="•"/>
      <w:lvlJc w:val="left"/>
      <w:pPr>
        <w:tabs>
          <w:tab w:val="num" w:pos="2880"/>
        </w:tabs>
        <w:ind w:left="2880" w:hanging="360"/>
      </w:pPr>
      <w:rPr>
        <w:rFonts w:ascii="Arial" w:hAnsi="Arial" w:hint="default"/>
      </w:rPr>
    </w:lvl>
    <w:lvl w:ilvl="4" w:tplc="9014F79A" w:tentative="1">
      <w:start w:val="1"/>
      <w:numFmt w:val="bullet"/>
      <w:lvlText w:val="•"/>
      <w:lvlJc w:val="left"/>
      <w:pPr>
        <w:tabs>
          <w:tab w:val="num" w:pos="3600"/>
        </w:tabs>
        <w:ind w:left="3600" w:hanging="360"/>
      </w:pPr>
      <w:rPr>
        <w:rFonts w:ascii="Arial" w:hAnsi="Arial" w:hint="default"/>
      </w:rPr>
    </w:lvl>
    <w:lvl w:ilvl="5" w:tplc="535091AE" w:tentative="1">
      <w:start w:val="1"/>
      <w:numFmt w:val="bullet"/>
      <w:lvlText w:val="•"/>
      <w:lvlJc w:val="left"/>
      <w:pPr>
        <w:tabs>
          <w:tab w:val="num" w:pos="4320"/>
        </w:tabs>
        <w:ind w:left="4320" w:hanging="360"/>
      </w:pPr>
      <w:rPr>
        <w:rFonts w:ascii="Arial" w:hAnsi="Arial" w:hint="default"/>
      </w:rPr>
    </w:lvl>
    <w:lvl w:ilvl="6" w:tplc="37004320" w:tentative="1">
      <w:start w:val="1"/>
      <w:numFmt w:val="bullet"/>
      <w:lvlText w:val="•"/>
      <w:lvlJc w:val="left"/>
      <w:pPr>
        <w:tabs>
          <w:tab w:val="num" w:pos="5040"/>
        </w:tabs>
        <w:ind w:left="5040" w:hanging="360"/>
      </w:pPr>
      <w:rPr>
        <w:rFonts w:ascii="Arial" w:hAnsi="Arial" w:hint="default"/>
      </w:rPr>
    </w:lvl>
    <w:lvl w:ilvl="7" w:tplc="86120788" w:tentative="1">
      <w:start w:val="1"/>
      <w:numFmt w:val="bullet"/>
      <w:lvlText w:val="•"/>
      <w:lvlJc w:val="left"/>
      <w:pPr>
        <w:tabs>
          <w:tab w:val="num" w:pos="5760"/>
        </w:tabs>
        <w:ind w:left="5760" w:hanging="360"/>
      </w:pPr>
      <w:rPr>
        <w:rFonts w:ascii="Arial" w:hAnsi="Arial" w:hint="default"/>
      </w:rPr>
    </w:lvl>
    <w:lvl w:ilvl="8" w:tplc="5DB0B732"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5"/>
  </w:num>
  <w:num w:numId="3">
    <w:abstractNumId w:val="11"/>
  </w:num>
  <w:num w:numId="4">
    <w:abstractNumId w:val="7"/>
  </w:num>
  <w:num w:numId="5">
    <w:abstractNumId w:val="1"/>
  </w:num>
  <w:num w:numId="6">
    <w:abstractNumId w:val="10"/>
  </w:num>
  <w:num w:numId="7">
    <w:abstractNumId w:val="8"/>
  </w:num>
  <w:num w:numId="8">
    <w:abstractNumId w:val="6"/>
  </w:num>
  <w:num w:numId="9">
    <w:abstractNumId w:val="12"/>
  </w:num>
  <w:num w:numId="10">
    <w:abstractNumId w:val="3"/>
  </w:num>
  <w:num w:numId="11">
    <w:abstractNumId w:val="0"/>
  </w:num>
  <w:num w:numId="12">
    <w:abstractNumId w:val="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84"/>
    <w:rsid w:val="00090DA9"/>
    <w:rsid w:val="000D6A56"/>
    <w:rsid w:val="000F6C19"/>
    <w:rsid w:val="002B07F0"/>
    <w:rsid w:val="004069E1"/>
    <w:rsid w:val="004812FD"/>
    <w:rsid w:val="005D6FA1"/>
    <w:rsid w:val="00697E76"/>
    <w:rsid w:val="006D071A"/>
    <w:rsid w:val="009B0884"/>
    <w:rsid w:val="00A0414D"/>
    <w:rsid w:val="00BE7419"/>
    <w:rsid w:val="00BF423B"/>
    <w:rsid w:val="00E62D3F"/>
    <w:rsid w:val="00FA2F79"/>
    <w:rsid w:val="00FF1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84"/>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9B0884"/>
    <w:pPr>
      <w:keepNext/>
      <w:jc w:val="center"/>
      <w:outlineLvl w:val="0"/>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088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884"/>
    <w:pPr>
      <w:tabs>
        <w:tab w:val="center" w:pos="4680"/>
        <w:tab w:val="right" w:pos="9360"/>
      </w:tabs>
    </w:pPr>
  </w:style>
  <w:style w:type="character" w:customStyle="1" w:styleId="HeaderChar">
    <w:name w:val="Header Char"/>
    <w:basedOn w:val="DefaultParagraphFont"/>
    <w:link w:val="Header"/>
    <w:uiPriority w:val="99"/>
    <w:rsid w:val="009B0884"/>
    <w:rPr>
      <w:rFonts w:ascii="Calibri" w:hAnsi="Calibri" w:cs="Times New Roman"/>
    </w:rPr>
  </w:style>
  <w:style w:type="paragraph" w:styleId="Footer">
    <w:name w:val="footer"/>
    <w:basedOn w:val="Normal"/>
    <w:link w:val="FooterChar"/>
    <w:uiPriority w:val="99"/>
    <w:unhideWhenUsed/>
    <w:rsid w:val="009B0884"/>
    <w:pPr>
      <w:tabs>
        <w:tab w:val="center" w:pos="4680"/>
        <w:tab w:val="right" w:pos="9360"/>
      </w:tabs>
    </w:pPr>
  </w:style>
  <w:style w:type="character" w:customStyle="1" w:styleId="FooterChar">
    <w:name w:val="Footer Char"/>
    <w:basedOn w:val="DefaultParagraphFont"/>
    <w:link w:val="Footer"/>
    <w:uiPriority w:val="99"/>
    <w:rsid w:val="009B0884"/>
    <w:rPr>
      <w:rFonts w:ascii="Calibri" w:hAnsi="Calibri" w:cs="Times New Roman"/>
    </w:rPr>
  </w:style>
  <w:style w:type="paragraph" w:styleId="BalloonText">
    <w:name w:val="Balloon Text"/>
    <w:basedOn w:val="Normal"/>
    <w:link w:val="BalloonTextChar"/>
    <w:uiPriority w:val="99"/>
    <w:semiHidden/>
    <w:unhideWhenUsed/>
    <w:rsid w:val="009B0884"/>
    <w:rPr>
      <w:rFonts w:ascii="Tahoma" w:hAnsi="Tahoma" w:cs="Tahoma"/>
      <w:sz w:val="16"/>
      <w:szCs w:val="16"/>
    </w:rPr>
  </w:style>
  <w:style w:type="character" w:customStyle="1" w:styleId="BalloonTextChar">
    <w:name w:val="Balloon Text Char"/>
    <w:basedOn w:val="DefaultParagraphFont"/>
    <w:link w:val="BalloonText"/>
    <w:uiPriority w:val="99"/>
    <w:semiHidden/>
    <w:rsid w:val="009B0884"/>
    <w:rPr>
      <w:rFonts w:ascii="Tahoma" w:hAnsi="Tahoma" w:cs="Tahoma"/>
      <w:sz w:val="16"/>
      <w:szCs w:val="16"/>
    </w:rPr>
  </w:style>
  <w:style w:type="character" w:customStyle="1" w:styleId="Heading1Char">
    <w:name w:val="Heading 1 Char"/>
    <w:basedOn w:val="DefaultParagraphFont"/>
    <w:link w:val="Heading1"/>
    <w:uiPriority w:val="9"/>
    <w:rsid w:val="009B0884"/>
    <w:rPr>
      <w:rFonts w:ascii="Calibri" w:eastAsia="Times New Roman" w:hAnsi="Calibri" w:cs="Times New Roman"/>
      <w:b/>
      <w:sz w:val="24"/>
      <w:szCs w:val="24"/>
    </w:rPr>
  </w:style>
  <w:style w:type="paragraph" w:styleId="NoSpacing">
    <w:name w:val="No Spacing"/>
    <w:uiPriority w:val="1"/>
    <w:qFormat/>
    <w:rsid w:val="000F6C19"/>
    <w:pPr>
      <w:spacing w:after="0" w:line="240" w:lineRule="auto"/>
    </w:pPr>
    <w:rPr>
      <w:rFonts w:ascii="Calibri" w:eastAsia="Calibri" w:hAnsi="Calibri" w:cs="Times New Roman"/>
    </w:rPr>
  </w:style>
  <w:style w:type="paragraph" w:styleId="ListParagraph">
    <w:name w:val="List Paragraph"/>
    <w:basedOn w:val="Normal"/>
    <w:uiPriority w:val="34"/>
    <w:qFormat/>
    <w:rsid w:val="00090DA9"/>
    <w:pPr>
      <w:ind w:left="720"/>
    </w:pPr>
    <w:rPr>
      <w:rFonts w:ascii="Times New Roman" w:eastAsia="Times New Roman" w:hAnsi="Times New Roman"/>
      <w:sz w:val="24"/>
      <w:szCs w:val="24"/>
    </w:rPr>
  </w:style>
  <w:style w:type="paragraph" w:styleId="PlainText">
    <w:name w:val="Plain Text"/>
    <w:basedOn w:val="Normal"/>
    <w:link w:val="PlainTextChar"/>
    <w:uiPriority w:val="99"/>
    <w:rsid w:val="00090DA9"/>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90DA9"/>
    <w:rPr>
      <w:rFonts w:ascii="Courier New" w:eastAsia="Times New Roman" w:hAnsi="Courier New" w:cs="Courier New"/>
      <w:sz w:val="20"/>
      <w:szCs w:val="20"/>
    </w:rPr>
  </w:style>
  <w:style w:type="paragraph" w:styleId="CommentText">
    <w:name w:val="annotation text"/>
    <w:basedOn w:val="Normal"/>
    <w:link w:val="CommentTextChar"/>
    <w:semiHidden/>
    <w:rsid w:val="00090DA9"/>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090DA9"/>
    <w:rPr>
      <w:rFonts w:ascii="Times New Roman" w:eastAsia="Times New Roman" w:hAnsi="Times New Roman" w:cs="Times New Roman"/>
      <w:sz w:val="20"/>
      <w:szCs w:val="20"/>
    </w:rPr>
  </w:style>
  <w:style w:type="paragraph" w:customStyle="1" w:styleId="Formal2">
    <w:name w:val="Formal2"/>
    <w:basedOn w:val="Normal"/>
    <w:uiPriority w:val="99"/>
    <w:rsid w:val="00090DA9"/>
    <w:pPr>
      <w:widowControl w:val="0"/>
      <w:spacing w:before="60" w:after="60"/>
    </w:pPr>
    <w:rPr>
      <w:rFonts w:ascii="Arial" w:eastAsia="Times New Roman" w:hAnsi="Arial"/>
      <w:b/>
      <w:noProof/>
      <w:sz w:val="24"/>
      <w:szCs w:val="20"/>
    </w:rPr>
  </w:style>
  <w:style w:type="paragraph" w:styleId="ListNumber2">
    <w:name w:val="List Number 2"/>
    <w:basedOn w:val="Normal"/>
    <w:uiPriority w:val="99"/>
    <w:semiHidden/>
    <w:rsid w:val="006D071A"/>
    <w:pPr>
      <w:numPr>
        <w:numId w:val="14"/>
      </w:numPr>
      <w:ind w:hanging="360"/>
      <w:contextualSpacing/>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84"/>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9B0884"/>
    <w:pPr>
      <w:keepNext/>
      <w:jc w:val="center"/>
      <w:outlineLvl w:val="0"/>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088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884"/>
    <w:pPr>
      <w:tabs>
        <w:tab w:val="center" w:pos="4680"/>
        <w:tab w:val="right" w:pos="9360"/>
      </w:tabs>
    </w:pPr>
  </w:style>
  <w:style w:type="character" w:customStyle="1" w:styleId="HeaderChar">
    <w:name w:val="Header Char"/>
    <w:basedOn w:val="DefaultParagraphFont"/>
    <w:link w:val="Header"/>
    <w:uiPriority w:val="99"/>
    <w:rsid w:val="009B0884"/>
    <w:rPr>
      <w:rFonts w:ascii="Calibri" w:hAnsi="Calibri" w:cs="Times New Roman"/>
    </w:rPr>
  </w:style>
  <w:style w:type="paragraph" w:styleId="Footer">
    <w:name w:val="footer"/>
    <w:basedOn w:val="Normal"/>
    <w:link w:val="FooterChar"/>
    <w:uiPriority w:val="99"/>
    <w:unhideWhenUsed/>
    <w:rsid w:val="009B0884"/>
    <w:pPr>
      <w:tabs>
        <w:tab w:val="center" w:pos="4680"/>
        <w:tab w:val="right" w:pos="9360"/>
      </w:tabs>
    </w:pPr>
  </w:style>
  <w:style w:type="character" w:customStyle="1" w:styleId="FooterChar">
    <w:name w:val="Footer Char"/>
    <w:basedOn w:val="DefaultParagraphFont"/>
    <w:link w:val="Footer"/>
    <w:uiPriority w:val="99"/>
    <w:rsid w:val="009B0884"/>
    <w:rPr>
      <w:rFonts w:ascii="Calibri" w:hAnsi="Calibri" w:cs="Times New Roman"/>
    </w:rPr>
  </w:style>
  <w:style w:type="paragraph" w:styleId="BalloonText">
    <w:name w:val="Balloon Text"/>
    <w:basedOn w:val="Normal"/>
    <w:link w:val="BalloonTextChar"/>
    <w:uiPriority w:val="99"/>
    <w:semiHidden/>
    <w:unhideWhenUsed/>
    <w:rsid w:val="009B0884"/>
    <w:rPr>
      <w:rFonts w:ascii="Tahoma" w:hAnsi="Tahoma" w:cs="Tahoma"/>
      <w:sz w:val="16"/>
      <w:szCs w:val="16"/>
    </w:rPr>
  </w:style>
  <w:style w:type="character" w:customStyle="1" w:styleId="BalloonTextChar">
    <w:name w:val="Balloon Text Char"/>
    <w:basedOn w:val="DefaultParagraphFont"/>
    <w:link w:val="BalloonText"/>
    <w:uiPriority w:val="99"/>
    <w:semiHidden/>
    <w:rsid w:val="009B0884"/>
    <w:rPr>
      <w:rFonts w:ascii="Tahoma" w:hAnsi="Tahoma" w:cs="Tahoma"/>
      <w:sz w:val="16"/>
      <w:szCs w:val="16"/>
    </w:rPr>
  </w:style>
  <w:style w:type="character" w:customStyle="1" w:styleId="Heading1Char">
    <w:name w:val="Heading 1 Char"/>
    <w:basedOn w:val="DefaultParagraphFont"/>
    <w:link w:val="Heading1"/>
    <w:uiPriority w:val="9"/>
    <w:rsid w:val="009B0884"/>
    <w:rPr>
      <w:rFonts w:ascii="Calibri" w:eastAsia="Times New Roman" w:hAnsi="Calibri" w:cs="Times New Roman"/>
      <w:b/>
      <w:sz w:val="24"/>
      <w:szCs w:val="24"/>
    </w:rPr>
  </w:style>
  <w:style w:type="paragraph" w:styleId="NoSpacing">
    <w:name w:val="No Spacing"/>
    <w:uiPriority w:val="1"/>
    <w:qFormat/>
    <w:rsid w:val="000F6C19"/>
    <w:pPr>
      <w:spacing w:after="0" w:line="240" w:lineRule="auto"/>
    </w:pPr>
    <w:rPr>
      <w:rFonts w:ascii="Calibri" w:eastAsia="Calibri" w:hAnsi="Calibri" w:cs="Times New Roman"/>
    </w:rPr>
  </w:style>
  <w:style w:type="paragraph" w:styleId="ListParagraph">
    <w:name w:val="List Paragraph"/>
    <w:basedOn w:val="Normal"/>
    <w:uiPriority w:val="34"/>
    <w:qFormat/>
    <w:rsid w:val="00090DA9"/>
    <w:pPr>
      <w:ind w:left="720"/>
    </w:pPr>
    <w:rPr>
      <w:rFonts w:ascii="Times New Roman" w:eastAsia="Times New Roman" w:hAnsi="Times New Roman"/>
      <w:sz w:val="24"/>
      <w:szCs w:val="24"/>
    </w:rPr>
  </w:style>
  <w:style w:type="paragraph" w:styleId="PlainText">
    <w:name w:val="Plain Text"/>
    <w:basedOn w:val="Normal"/>
    <w:link w:val="PlainTextChar"/>
    <w:uiPriority w:val="99"/>
    <w:rsid w:val="00090DA9"/>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90DA9"/>
    <w:rPr>
      <w:rFonts w:ascii="Courier New" w:eastAsia="Times New Roman" w:hAnsi="Courier New" w:cs="Courier New"/>
      <w:sz w:val="20"/>
      <w:szCs w:val="20"/>
    </w:rPr>
  </w:style>
  <w:style w:type="paragraph" w:styleId="CommentText">
    <w:name w:val="annotation text"/>
    <w:basedOn w:val="Normal"/>
    <w:link w:val="CommentTextChar"/>
    <w:semiHidden/>
    <w:rsid w:val="00090DA9"/>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090DA9"/>
    <w:rPr>
      <w:rFonts w:ascii="Times New Roman" w:eastAsia="Times New Roman" w:hAnsi="Times New Roman" w:cs="Times New Roman"/>
      <w:sz w:val="20"/>
      <w:szCs w:val="20"/>
    </w:rPr>
  </w:style>
  <w:style w:type="paragraph" w:customStyle="1" w:styleId="Formal2">
    <w:name w:val="Formal2"/>
    <w:basedOn w:val="Normal"/>
    <w:uiPriority w:val="99"/>
    <w:rsid w:val="00090DA9"/>
    <w:pPr>
      <w:widowControl w:val="0"/>
      <w:spacing w:before="60" w:after="60"/>
    </w:pPr>
    <w:rPr>
      <w:rFonts w:ascii="Arial" w:eastAsia="Times New Roman" w:hAnsi="Arial"/>
      <w:b/>
      <w:noProof/>
      <w:sz w:val="24"/>
      <w:szCs w:val="20"/>
    </w:rPr>
  </w:style>
  <w:style w:type="paragraph" w:styleId="ListNumber2">
    <w:name w:val="List Number 2"/>
    <w:basedOn w:val="Normal"/>
    <w:uiPriority w:val="99"/>
    <w:semiHidden/>
    <w:rsid w:val="006D071A"/>
    <w:pPr>
      <w:numPr>
        <w:numId w:val="14"/>
      </w:numPr>
      <w:ind w:hanging="36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5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Gordon</dc:creator>
  <cp:lastModifiedBy>Mullan, Kate</cp:lastModifiedBy>
  <cp:revision>2</cp:revision>
  <dcterms:created xsi:type="dcterms:W3CDTF">2017-01-13T13:02:00Z</dcterms:created>
  <dcterms:modified xsi:type="dcterms:W3CDTF">2017-01-13T13:02:00Z</dcterms:modified>
</cp:coreProperties>
</file>