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0297AA6D" w:rsidR="00545D15" w:rsidRPr="00913B3D"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CA723A">
        <w:rPr>
          <w:rFonts w:ascii="Times New Roman" w:hAnsi="Times New Roman"/>
          <w:b/>
          <w:sz w:val="22"/>
          <w:szCs w:val="22"/>
        </w:rPr>
        <w:t xml:space="preserve">Notice of Funding Opportunity: </w:t>
      </w:r>
      <w:r w:rsidR="002417BD" w:rsidRPr="002417BD">
        <w:rPr>
          <w:rFonts w:ascii="Times New Roman" w:hAnsi="Times New Roman"/>
          <w:b/>
          <w:sz w:val="22"/>
          <w:szCs w:val="22"/>
        </w:rPr>
        <w:t xml:space="preserve">Museums Empowered: Professional Development </w:t>
      </w:r>
      <w:r w:rsidR="002417BD" w:rsidRPr="00913B3D">
        <w:rPr>
          <w:rFonts w:ascii="Times New Roman" w:hAnsi="Times New Roman"/>
          <w:b/>
          <w:sz w:val="22"/>
          <w:szCs w:val="22"/>
        </w:rPr>
        <w:t xml:space="preserve">and Capacity Building Opportunities for Museums </w:t>
      </w:r>
      <w:r w:rsidR="00CE1111" w:rsidRPr="00913B3D">
        <w:rPr>
          <w:rFonts w:ascii="Times New Roman" w:hAnsi="Times New Roman"/>
          <w:b/>
          <w:sz w:val="22"/>
          <w:szCs w:val="22"/>
        </w:rPr>
        <w:t xml:space="preserve">– A </w:t>
      </w:r>
      <w:r w:rsidR="002417BD" w:rsidRPr="00913B3D">
        <w:rPr>
          <w:rFonts w:ascii="Times New Roman" w:hAnsi="Times New Roman"/>
          <w:b/>
          <w:sz w:val="22"/>
          <w:szCs w:val="22"/>
        </w:rPr>
        <w:t>Museums for America</w:t>
      </w:r>
      <w:r w:rsidR="00CE1111" w:rsidRPr="00913B3D">
        <w:rPr>
          <w:rFonts w:ascii="Times New Roman" w:hAnsi="Times New Roman"/>
          <w:b/>
          <w:sz w:val="22"/>
          <w:szCs w:val="22"/>
        </w:rPr>
        <w:t xml:space="preserve"> Special Initiative</w:t>
      </w:r>
      <w:r w:rsidRPr="00913B3D">
        <w:rPr>
          <w:rFonts w:ascii="Times New Roman" w:hAnsi="Times New Roman"/>
          <w:b/>
          <w:sz w:val="22"/>
          <w:szCs w:val="22"/>
        </w:rPr>
        <w:t>, OMB Control Number 3137-</w:t>
      </w:r>
      <w:r w:rsidR="00E9255D" w:rsidRPr="00913B3D">
        <w:rPr>
          <w:rFonts w:ascii="Times New Roman" w:hAnsi="Times New Roman"/>
          <w:b/>
          <w:sz w:val="22"/>
          <w:szCs w:val="22"/>
        </w:rPr>
        <w:t>XXXX</w:t>
      </w:r>
    </w:p>
    <w:p w14:paraId="4ED86EC3" w14:textId="77777777" w:rsidR="008B6FEC" w:rsidRPr="00913B3D"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913B3D"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913B3D">
        <w:rPr>
          <w:rFonts w:ascii="Times New Roman" w:hAnsi="Times New Roman"/>
          <w:b/>
          <w:sz w:val="22"/>
          <w:szCs w:val="22"/>
        </w:rPr>
        <w:t>Necessity of the Information Collection</w:t>
      </w:r>
    </w:p>
    <w:p w14:paraId="630950DB" w14:textId="77777777" w:rsidR="00B97879" w:rsidRPr="00913B3D" w:rsidRDefault="00B97879" w:rsidP="00191DF8">
      <w:pPr>
        <w:tabs>
          <w:tab w:val="left" w:pos="-720"/>
          <w:tab w:val="left" w:pos="0"/>
          <w:tab w:val="left" w:pos="540"/>
        </w:tabs>
        <w:suppressAutoHyphens/>
        <w:ind w:left="360"/>
        <w:rPr>
          <w:rFonts w:ascii="Times New Roman" w:hAnsi="Times New Roman"/>
          <w:b/>
          <w:sz w:val="22"/>
          <w:szCs w:val="22"/>
        </w:rPr>
      </w:pPr>
    </w:p>
    <w:p w14:paraId="601E0A53" w14:textId="74727854" w:rsidR="001606AA" w:rsidRPr="00913B3D" w:rsidRDefault="00B313BA" w:rsidP="00191DF8">
      <w:pPr>
        <w:tabs>
          <w:tab w:val="left" w:pos="-720"/>
          <w:tab w:val="left" w:pos="0"/>
          <w:tab w:val="left" w:pos="540"/>
        </w:tabs>
        <w:suppressAutoHyphens/>
        <w:ind w:left="360"/>
        <w:rPr>
          <w:rFonts w:ascii="Times New Roman" w:hAnsi="Times New Roman"/>
          <w:sz w:val="22"/>
          <w:szCs w:val="22"/>
        </w:rPr>
      </w:pPr>
      <w:r w:rsidRPr="00913B3D">
        <w:rPr>
          <w:rFonts w:ascii="Times New Roman" w:hAnsi="Times New Roman"/>
          <w:sz w:val="22"/>
          <w:szCs w:val="22"/>
        </w:rPr>
        <w:t>The Institute of Museum and Library Services (IMLS) is the primary source of federal support for the nation's 123,000 libraries and 35,000 museums. IMLS'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r w:rsidR="001606AA" w:rsidRPr="00913B3D">
        <w:rPr>
          <w:rFonts w:ascii="Times New Roman" w:hAnsi="Times New Roman"/>
          <w:sz w:val="22"/>
          <w:szCs w:val="22"/>
        </w:rPr>
        <w:t xml:space="preserve"> </w:t>
      </w:r>
    </w:p>
    <w:p w14:paraId="29A5F65A" w14:textId="77777777" w:rsidR="000829F6" w:rsidRPr="00913B3D" w:rsidRDefault="000829F6" w:rsidP="00191DF8">
      <w:pPr>
        <w:tabs>
          <w:tab w:val="left" w:pos="-720"/>
          <w:tab w:val="left" w:pos="0"/>
          <w:tab w:val="left" w:pos="540"/>
        </w:tabs>
        <w:suppressAutoHyphens/>
        <w:ind w:left="360"/>
        <w:rPr>
          <w:rFonts w:ascii="Times New Roman" w:hAnsi="Times New Roman"/>
          <w:sz w:val="22"/>
          <w:szCs w:val="22"/>
        </w:rPr>
      </w:pPr>
    </w:p>
    <w:p w14:paraId="5EE8ADF0" w14:textId="5D3D5FE5" w:rsidR="000829F6" w:rsidRPr="00913B3D" w:rsidRDefault="000829F6" w:rsidP="00191DF8">
      <w:pPr>
        <w:tabs>
          <w:tab w:val="left" w:pos="-720"/>
          <w:tab w:val="left" w:pos="0"/>
          <w:tab w:val="left" w:pos="540"/>
        </w:tabs>
        <w:suppressAutoHyphens/>
        <w:ind w:left="360"/>
        <w:rPr>
          <w:rFonts w:ascii="Times New Roman" w:hAnsi="Times New Roman"/>
          <w:sz w:val="22"/>
          <w:szCs w:val="22"/>
        </w:rPr>
      </w:pPr>
      <w:r w:rsidRPr="00913B3D">
        <w:rPr>
          <w:rFonts w:ascii="Times New Roman" w:hAnsi="Times New Roman"/>
          <w:sz w:val="22"/>
          <w:szCs w:val="22"/>
        </w:rPr>
        <w:t xml:space="preserve">The Institute of Museum and Library Services (IMLS) </w:t>
      </w:r>
      <w:r w:rsidR="000F540D" w:rsidRPr="00913B3D">
        <w:rPr>
          <w:rFonts w:ascii="Times New Roman" w:hAnsi="Times New Roman"/>
          <w:sz w:val="22"/>
          <w:szCs w:val="22"/>
        </w:rPr>
        <w:t>is requesting</w:t>
      </w:r>
      <w:r w:rsidRPr="00913B3D">
        <w:rPr>
          <w:rFonts w:ascii="Times New Roman" w:hAnsi="Times New Roman"/>
          <w:sz w:val="22"/>
          <w:szCs w:val="22"/>
        </w:rPr>
        <w:t xml:space="preserve"> a one-time clearance </w:t>
      </w:r>
      <w:r w:rsidR="00723FBE" w:rsidRPr="00913B3D">
        <w:rPr>
          <w:rFonts w:ascii="Times New Roman" w:hAnsi="Times New Roman"/>
          <w:sz w:val="22"/>
          <w:szCs w:val="22"/>
        </w:rPr>
        <w:t xml:space="preserve">in an existing collection in use without an OMB Control Number </w:t>
      </w:r>
      <w:r w:rsidRPr="00913B3D">
        <w:rPr>
          <w:rFonts w:ascii="Times New Roman" w:hAnsi="Times New Roman"/>
          <w:sz w:val="22"/>
          <w:szCs w:val="22"/>
        </w:rPr>
        <w:t xml:space="preserve">for the </w:t>
      </w:r>
      <w:r w:rsidR="002417BD" w:rsidRPr="00913B3D">
        <w:rPr>
          <w:rFonts w:ascii="Times New Roman" w:hAnsi="Times New Roman"/>
          <w:sz w:val="22"/>
          <w:szCs w:val="22"/>
        </w:rPr>
        <w:t>Museums Empowered: Professional Development and Capacity Building Opportunities for Museums” – A Museums for America Special Initiative</w:t>
      </w:r>
      <w:r w:rsidRPr="00913B3D">
        <w:rPr>
          <w:rFonts w:ascii="Times New Roman" w:hAnsi="Times New Roman"/>
          <w:sz w:val="22"/>
          <w:szCs w:val="22"/>
        </w:rPr>
        <w:t xml:space="preserve"> under the Paperwork Reduction Act. The information collection in this package include</w:t>
      </w:r>
      <w:r w:rsidR="00C24184" w:rsidRPr="00913B3D">
        <w:rPr>
          <w:rFonts w:ascii="Times New Roman" w:hAnsi="Times New Roman"/>
          <w:sz w:val="22"/>
          <w:szCs w:val="22"/>
        </w:rPr>
        <w:t>s</w:t>
      </w:r>
      <w:r w:rsidRPr="00913B3D">
        <w:rPr>
          <w:rFonts w:ascii="Times New Roman" w:hAnsi="Times New Roman"/>
          <w:sz w:val="22"/>
          <w:szCs w:val="22"/>
        </w:rPr>
        <w:t xml:space="preserve"> </w:t>
      </w:r>
      <w:r w:rsidR="002417BD" w:rsidRPr="00913B3D">
        <w:rPr>
          <w:rFonts w:ascii="Times New Roman" w:hAnsi="Times New Roman"/>
          <w:sz w:val="22"/>
          <w:szCs w:val="22"/>
        </w:rPr>
        <w:t>a Museums Empowered</w:t>
      </w:r>
      <w:r w:rsidRPr="00913B3D">
        <w:rPr>
          <w:rFonts w:ascii="Times New Roman" w:hAnsi="Times New Roman"/>
          <w:sz w:val="22"/>
          <w:szCs w:val="22"/>
        </w:rPr>
        <w:t xml:space="preserve"> Notice</w:t>
      </w:r>
      <w:r w:rsidR="002417BD" w:rsidRPr="00913B3D">
        <w:rPr>
          <w:rFonts w:ascii="Times New Roman" w:hAnsi="Times New Roman"/>
          <w:sz w:val="22"/>
          <w:szCs w:val="22"/>
        </w:rPr>
        <w:t xml:space="preserve"> of Funding Opportunity</w:t>
      </w:r>
      <w:r w:rsidRPr="00913B3D">
        <w:rPr>
          <w:rFonts w:ascii="Times New Roman" w:hAnsi="Times New Roman"/>
          <w:sz w:val="22"/>
          <w:szCs w:val="22"/>
        </w:rPr>
        <w:t xml:space="preserve"> and instructions necessary to apply for IMLS support as part of the agency’s grant programs. </w:t>
      </w:r>
    </w:p>
    <w:p w14:paraId="35953898" w14:textId="77777777" w:rsidR="00B313BA" w:rsidRPr="00913B3D" w:rsidRDefault="00B313BA" w:rsidP="00191DF8">
      <w:pPr>
        <w:tabs>
          <w:tab w:val="left" w:pos="-720"/>
          <w:tab w:val="left" w:pos="0"/>
          <w:tab w:val="left" w:pos="540"/>
        </w:tabs>
        <w:suppressAutoHyphens/>
        <w:ind w:left="360"/>
        <w:rPr>
          <w:rFonts w:ascii="Times New Roman" w:hAnsi="Times New Roman"/>
          <w:sz w:val="22"/>
          <w:szCs w:val="22"/>
        </w:rPr>
      </w:pPr>
    </w:p>
    <w:p w14:paraId="0E415452" w14:textId="77777777" w:rsidR="002417BD" w:rsidRPr="00913B3D" w:rsidRDefault="002417BD" w:rsidP="002417BD">
      <w:pPr>
        <w:tabs>
          <w:tab w:val="left" w:pos="-720"/>
          <w:tab w:val="left" w:pos="540"/>
        </w:tabs>
        <w:suppressAutoHyphens/>
        <w:ind w:left="360"/>
        <w:rPr>
          <w:rFonts w:ascii="Times New Roman" w:hAnsi="Times New Roman"/>
          <w:sz w:val="22"/>
          <w:szCs w:val="22"/>
          <w:lang w:val="en"/>
        </w:rPr>
      </w:pPr>
      <w:r w:rsidRPr="00913B3D">
        <w:rPr>
          <w:rFonts w:ascii="Times New Roman" w:hAnsi="Times New Roman"/>
          <w:sz w:val="22"/>
          <w:szCs w:val="22"/>
          <w:lang w:val="en"/>
        </w:rPr>
        <w:t>Museums for America (MFA) grants support projects that strengthen the ability of an individual museum to serve its public. Museums Empowered: Professional Development and Capacity Building Opportunities for Museums is a special MFA initiative to provide professional development and capacity building opportunities for eligible museums.</w:t>
      </w:r>
    </w:p>
    <w:p w14:paraId="18DA690F" w14:textId="77777777" w:rsidR="00B313BA" w:rsidRPr="00913B3D" w:rsidRDefault="00B313BA" w:rsidP="00B313BA">
      <w:pPr>
        <w:tabs>
          <w:tab w:val="left" w:pos="-720"/>
          <w:tab w:val="left" w:pos="540"/>
        </w:tabs>
        <w:suppressAutoHyphens/>
        <w:ind w:left="360"/>
        <w:rPr>
          <w:rFonts w:ascii="Times New Roman" w:hAnsi="Times New Roman"/>
          <w:sz w:val="22"/>
          <w:szCs w:val="22"/>
        </w:rPr>
      </w:pPr>
    </w:p>
    <w:p w14:paraId="0E6D9F7F" w14:textId="77777777" w:rsidR="002417BD" w:rsidRDefault="002417BD" w:rsidP="002417BD">
      <w:pPr>
        <w:tabs>
          <w:tab w:val="left" w:pos="-720"/>
          <w:tab w:val="left" w:pos="540"/>
        </w:tabs>
        <w:suppressAutoHyphens/>
        <w:ind w:left="360"/>
        <w:rPr>
          <w:rFonts w:ascii="Times New Roman" w:hAnsi="Times New Roman"/>
          <w:sz w:val="22"/>
          <w:szCs w:val="22"/>
          <w:lang w:val="en"/>
        </w:rPr>
      </w:pPr>
      <w:r w:rsidRPr="00913B3D">
        <w:rPr>
          <w:rFonts w:ascii="Times New Roman" w:hAnsi="Times New Roman"/>
          <w:sz w:val="22"/>
          <w:szCs w:val="22"/>
          <w:lang w:val="en"/>
        </w:rPr>
        <w:t>To support and empower museums of all sizes and disciplines in responding to the evolving needs of the museum profession and changes in their communities, this MFA special initiative has four areas of focus for professional development and ca</w:t>
      </w:r>
      <w:r w:rsidRPr="002417BD">
        <w:rPr>
          <w:rFonts w:ascii="Times New Roman" w:hAnsi="Times New Roman"/>
          <w:sz w:val="22"/>
          <w:szCs w:val="22"/>
          <w:lang w:val="en"/>
        </w:rPr>
        <w:t>pacity building:</w:t>
      </w:r>
    </w:p>
    <w:p w14:paraId="4A2BC170" w14:textId="77777777" w:rsidR="002417BD" w:rsidRPr="002417BD" w:rsidRDefault="002417BD" w:rsidP="002417BD">
      <w:pPr>
        <w:tabs>
          <w:tab w:val="left" w:pos="-720"/>
          <w:tab w:val="left" w:pos="540"/>
        </w:tabs>
        <w:suppressAutoHyphens/>
        <w:ind w:left="360"/>
        <w:rPr>
          <w:rFonts w:ascii="Times New Roman" w:hAnsi="Times New Roman"/>
          <w:sz w:val="22"/>
          <w:szCs w:val="22"/>
          <w:lang w:val="en"/>
        </w:rPr>
      </w:pPr>
    </w:p>
    <w:p w14:paraId="1E8C8B5A" w14:textId="77777777" w:rsidR="002417BD" w:rsidRPr="002417BD" w:rsidRDefault="002417BD" w:rsidP="002417BD">
      <w:pPr>
        <w:numPr>
          <w:ilvl w:val="0"/>
          <w:numId w:val="37"/>
        </w:numPr>
        <w:tabs>
          <w:tab w:val="left" w:pos="-720"/>
          <w:tab w:val="left" w:pos="540"/>
        </w:tabs>
        <w:suppressAutoHyphens/>
        <w:rPr>
          <w:rFonts w:ascii="Times New Roman" w:hAnsi="Times New Roman"/>
          <w:sz w:val="22"/>
          <w:szCs w:val="22"/>
          <w:lang w:val="en"/>
        </w:rPr>
      </w:pPr>
      <w:r w:rsidRPr="002417BD">
        <w:rPr>
          <w:rFonts w:ascii="Times New Roman" w:hAnsi="Times New Roman"/>
          <w:sz w:val="22"/>
          <w:szCs w:val="22"/>
          <w:lang w:val="en"/>
        </w:rPr>
        <w:t>Digital Technology</w:t>
      </w:r>
    </w:p>
    <w:p w14:paraId="10CAC8BA" w14:textId="77777777" w:rsidR="002417BD" w:rsidRPr="002417BD" w:rsidRDefault="002417BD" w:rsidP="002417BD">
      <w:pPr>
        <w:numPr>
          <w:ilvl w:val="0"/>
          <w:numId w:val="37"/>
        </w:numPr>
        <w:tabs>
          <w:tab w:val="left" w:pos="-720"/>
          <w:tab w:val="left" w:pos="540"/>
        </w:tabs>
        <w:suppressAutoHyphens/>
        <w:rPr>
          <w:rFonts w:ascii="Times New Roman" w:hAnsi="Times New Roman"/>
          <w:sz w:val="22"/>
          <w:szCs w:val="22"/>
          <w:lang w:val="en"/>
        </w:rPr>
      </w:pPr>
      <w:r w:rsidRPr="002417BD">
        <w:rPr>
          <w:rFonts w:ascii="Times New Roman" w:hAnsi="Times New Roman"/>
          <w:sz w:val="22"/>
          <w:szCs w:val="22"/>
          <w:lang w:val="en"/>
        </w:rPr>
        <w:t xml:space="preserve">Diversity and Inclusion </w:t>
      </w:r>
    </w:p>
    <w:p w14:paraId="4E83308E" w14:textId="77777777" w:rsidR="002417BD" w:rsidRPr="002417BD" w:rsidRDefault="002417BD" w:rsidP="002417BD">
      <w:pPr>
        <w:numPr>
          <w:ilvl w:val="0"/>
          <w:numId w:val="37"/>
        </w:numPr>
        <w:tabs>
          <w:tab w:val="left" w:pos="-720"/>
          <w:tab w:val="left" w:pos="540"/>
        </w:tabs>
        <w:suppressAutoHyphens/>
        <w:rPr>
          <w:rFonts w:ascii="Times New Roman" w:hAnsi="Times New Roman"/>
          <w:sz w:val="22"/>
          <w:szCs w:val="22"/>
          <w:lang w:val="en"/>
        </w:rPr>
      </w:pPr>
      <w:r w:rsidRPr="002417BD">
        <w:rPr>
          <w:rFonts w:ascii="Times New Roman" w:hAnsi="Times New Roman"/>
          <w:sz w:val="22"/>
          <w:szCs w:val="22"/>
          <w:lang w:val="en"/>
        </w:rPr>
        <w:t xml:space="preserve">Evaluation </w:t>
      </w:r>
    </w:p>
    <w:p w14:paraId="19EA9F24" w14:textId="77777777" w:rsidR="002417BD" w:rsidRDefault="002417BD" w:rsidP="002417BD">
      <w:pPr>
        <w:numPr>
          <w:ilvl w:val="0"/>
          <w:numId w:val="37"/>
        </w:numPr>
        <w:tabs>
          <w:tab w:val="left" w:pos="-720"/>
          <w:tab w:val="left" w:pos="540"/>
        </w:tabs>
        <w:suppressAutoHyphens/>
        <w:rPr>
          <w:rFonts w:ascii="Times New Roman" w:hAnsi="Times New Roman"/>
          <w:sz w:val="22"/>
          <w:szCs w:val="22"/>
          <w:lang w:val="en"/>
        </w:rPr>
      </w:pPr>
      <w:r w:rsidRPr="002417BD">
        <w:rPr>
          <w:rFonts w:ascii="Times New Roman" w:hAnsi="Times New Roman"/>
          <w:sz w:val="22"/>
          <w:szCs w:val="22"/>
          <w:lang w:val="en"/>
        </w:rPr>
        <w:t xml:space="preserve">Organizational Management </w:t>
      </w:r>
    </w:p>
    <w:p w14:paraId="0BA8D20A" w14:textId="77777777" w:rsidR="002417BD" w:rsidRPr="002417BD" w:rsidRDefault="002417BD" w:rsidP="002417BD">
      <w:pPr>
        <w:tabs>
          <w:tab w:val="left" w:pos="-720"/>
          <w:tab w:val="left" w:pos="540"/>
        </w:tabs>
        <w:suppressAutoHyphens/>
        <w:ind w:left="720"/>
        <w:rPr>
          <w:rFonts w:ascii="Times New Roman" w:hAnsi="Times New Roman"/>
          <w:sz w:val="22"/>
          <w:szCs w:val="22"/>
          <w:lang w:val="en"/>
        </w:rPr>
      </w:pPr>
    </w:p>
    <w:p w14:paraId="58E7DC9A" w14:textId="77777777" w:rsidR="002417BD" w:rsidRPr="002417BD" w:rsidRDefault="002417BD" w:rsidP="002417BD">
      <w:pPr>
        <w:tabs>
          <w:tab w:val="left" w:pos="-720"/>
          <w:tab w:val="left" w:pos="540"/>
        </w:tabs>
        <w:suppressAutoHyphens/>
        <w:ind w:left="360"/>
        <w:rPr>
          <w:rFonts w:ascii="Times New Roman" w:hAnsi="Times New Roman"/>
          <w:sz w:val="22"/>
          <w:szCs w:val="22"/>
          <w:lang w:val="en"/>
        </w:rPr>
      </w:pPr>
      <w:r w:rsidRPr="002417BD">
        <w:rPr>
          <w:rFonts w:ascii="Times New Roman" w:hAnsi="Times New Roman"/>
          <w:sz w:val="22"/>
          <w:szCs w:val="22"/>
          <w:lang w:val="en"/>
        </w:rPr>
        <w:t xml:space="preserve">Potential projects will address one of these four priority areas and help strengthen the capability of an individual museum to better serve its public. Projects will utilize comprehensive strategies and frameworks to support professional development and capacity building. Projects should cross-cut various departments and result in systemic change within the institutions. </w:t>
      </w:r>
    </w:p>
    <w:p w14:paraId="45A4E191" w14:textId="4BB7C90E"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8"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518B28"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71E605B6"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774828">
        <w:rPr>
          <w:rFonts w:ascii="Times New Roman" w:hAnsi="Times New Roman"/>
          <w:color w:val="000000"/>
          <w:sz w:val="22"/>
          <w:szCs w:val="22"/>
        </w:rPr>
        <w:t xml:space="preserve">Museums Empowered </w:t>
      </w:r>
      <w:r w:rsidR="000E4F57">
        <w:rPr>
          <w:rFonts w:ascii="Times New Roman" w:hAnsi="Times New Roman"/>
          <w:color w:val="000000"/>
          <w:sz w:val="22"/>
          <w:szCs w:val="22"/>
        </w:rPr>
        <w:t>Notice of Funding Opportunity</w:t>
      </w:r>
      <w:r w:rsidR="006F7939" w:rsidRPr="00B147A7">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4E3085BD"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The</w:t>
      </w:r>
      <w:r w:rsidRPr="00B147A7">
        <w:rPr>
          <w:rFonts w:ascii="Times New Roman" w:hAnsi="Times New Roman"/>
          <w:color w:val="000000"/>
          <w:sz w:val="22"/>
          <w:szCs w:val="22"/>
        </w:rPr>
        <w:t xml:space="preserve"> information collections included in this </w:t>
      </w:r>
      <w:r w:rsidR="00714684" w:rsidRPr="00B147A7">
        <w:rPr>
          <w:rFonts w:ascii="Times New Roman" w:hAnsi="Times New Roman"/>
          <w:color w:val="000000"/>
          <w:sz w:val="22"/>
          <w:szCs w:val="22"/>
        </w:rPr>
        <w:t>package vary in frequency.</w:t>
      </w:r>
      <w:r w:rsidR="00B02D60"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Many are one</w:t>
      </w:r>
      <w:r w:rsidR="00FA59BB"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 xml:space="preserve">time per application, others </w:t>
      </w:r>
      <w:r w:rsidRPr="00B147A7">
        <w:rPr>
          <w:rFonts w:ascii="Times New Roman" w:hAnsi="Times New Roman"/>
          <w:color w:val="000000"/>
          <w:sz w:val="22"/>
          <w:szCs w:val="22"/>
        </w:rPr>
        <w:t>are annual</w:t>
      </w:r>
      <w:r w:rsidR="008D741A" w:rsidRPr="00B147A7">
        <w:rPr>
          <w:rFonts w:ascii="Times New Roman" w:hAnsi="Times New Roman"/>
          <w:color w:val="000000"/>
          <w:sz w:val="22"/>
          <w:szCs w:val="22"/>
        </w:rPr>
        <w:t>, and</w:t>
      </w:r>
      <w:r w:rsidR="00B02D60" w:rsidRPr="00B147A7">
        <w:rPr>
          <w:rFonts w:ascii="Times New Roman" w:hAnsi="Times New Roman"/>
          <w:color w:val="000000"/>
          <w:sz w:val="22"/>
          <w:szCs w:val="22"/>
        </w:rPr>
        <w:t xml:space="preserve"> </w:t>
      </w:r>
      <w:r w:rsidR="00F77851" w:rsidRPr="00B147A7">
        <w:rPr>
          <w:rFonts w:ascii="Times New Roman" w:hAnsi="Times New Roman"/>
          <w:color w:val="000000"/>
          <w:sz w:val="22"/>
          <w:szCs w:val="22"/>
        </w:rPr>
        <w:t>one is</w:t>
      </w:r>
      <w:r w:rsidRPr="00B147A7">
        <w:rPr>
          <w:rFonts w:ascii="Times New Roman" w:hAnsi="Times New Roman"/>
          <w:color w:val="000000"/>
          <w:sz w:val="22"/>
          <w:szCs w:val="22"/>
        </w:rPr>
        <w:t xml:space="preserve"> </w:t>
      </w:r>
      <w:r w:rsidR="0095195E" w:rsidRPr="00B147A7">
        <w:rPr>
          <w:rFonts w:ascii="Times New Roman" w:hAnsi="Times New Roman"/>
          <w:color w:val="000000"/>
          <w:sz w:val="22"/>
          <w:szCs w:val="22"/>
        </w:rPr>
        <w:t>every five years</w:t>
      </w:r>
      <w:r w:rsidR="00FA59BB" w:rsidRPr="00B147A7">
        <w:rPr>
          <w:rFonts w:ascii="Times New Roman" w:hAnsi="Times New Roman"/>
          <w:color w:val="000000"/>
          <w:sz w:val="22"/>
          <w:szCs w:val="22"/>
        </w:rPr>
        <w:t xml:space="preserve">. </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6CAD0964"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this collection was published in the Federal Register Vol. </w:t>
      </w:r>
      <w:r w:rsidR="005013C9">
        <w:rPr>
          <w:rFonts w:ascii="Times New Roman" w:hAnsi="Times New Roman"/>
          <w:color w:val="000000"/>
          <w:sz w:val="22"/>
          <w:szCs w:val="22"/>
        </w:rPr>
        <w:t>81</w:t>
      </w:r>
      <w:r w:rsidRPr="00B147A7">
        <w:rPr>
          <w:rFonts w:ascii="Times New Roman" w:hAnsi="Times New Roman"/>
          <w:color w:val="000000"/>
          <w:sz w:val="22"/>
          <w:szCs w:val="22"/>
        </w:rPr>
        <w:t xml:space="preserve">, no. </w:t>
      </w:r>
      <w:r w:rsidR="0011189E">
        <w:rPr>
          <w:rFonts w:ascii="Times New Roman" w:hAnsi="Times New Roman"/>
          <w:color w:val="000000"/>
          <w:sz w:val="22"/>
          <w:szCs w:val="22"/>
        </w:rPr>
        <w:t>198</w:t>
      </w:r>
      <w:r w:rsidR="005013C9" w:rsidRPr="00B147A7">
        <w:rPr>
          <w:rFonts w:ascii="Times New Roman" w:hAnsi="Times New Roman"/>
          <w:color w:val="000000"/>
          <w:sz w:val="22"/>
          <w:szCs w:val="22"/>
        </w:rPr>
        <w:t xml:space="preserve"> </w:t>
      </w:r>
      <w:r w:rsidR="009A441F">
        <w:rPr>
          <w:rFonts w:ascii="Times New Roman" w:hAnsi="Times New Roman"/>
          <w:color w:val="000000"/>
          <w:sz w:val="22"/>
          <w:szCs w:val="22"/>
        </w:rPr>
        <w:t>(</w:t>
      </w:r>
      <w:r w:rsidR="0011189E">
        <w:rPr>
          <w:rFonts w:ascii="Times New Roman" w:hAnsi="Times New Roman"/>
          <w:color w:val="000000"/>
          <w:sz w:val="22"/>
          <w:szCs w:val="22"/>
        </w:rPr>
        <w:t xml:space="preserve">October 13, </w:t>
      </w:r>
      <w:r w:rsidR="00347420" w:rsidRPr="00B147A7">
        <w:rPr>
          <w:rFonts w:ascii="Times New Roman" w:hAnsi="Times New Roman"/>
          <w:color w:val="000000"/>
          <w:sz w:val="22"/>
          <w:szCs w:val="22"/>
        </w:rPr>
        <w:t>201</w:t>
      </w:r>
      <w:r w:rsidR="000E4F57">
        <w:rPr>
          <w:rFonts w:ascii="Times New Roman" w:hAnsi="Times New Roman"/>
          <w:color w:val="000000"/>
          <w:sz w:val="22"/>
          <w:szCs w:val="22"/>
        </w:rPr>
        <w:t>6</w:t>
      </w:r>
      <w:r w:rsidRPr="00B147A7">
        <w:rPr>
          <w:rFonts w:ascii="Times New Roman" w:hAnsi="Times New Roman"/>
          <w:color w:val="000000"/>
          <w:sz w:val="22"/>
          <w:szCs w:val="22"/>
        </w:rPr>
        <w:t xml:space="preserve">), page </w:t>
      </w:r>
      <w:r w:rsidR="0011189E">
        <w:rPr>
          <w:rFonts w:ascii="Times New Roman" w:hAnsi="Times New Roman"/>
          <w:color w:val="000000"/>
          <w:sz w:val="22"/>
          <w:szCs w:val="22"/>
        </w:rPr>
        <w:t>70707-70708</w:t>
      </w:r>
      <w:r w:rsidR="00CE1111">
        <w:rPr>
          <w:rFonts w:ascii="Times New Roman" w:hAnsi="Times New Roman"/>
          <w:color w:val="000000"/>
          <w:sz w:val="22"/>
          <w:szCs w:val="22"/>
        </w:rPr>
        <w:t xml:space="preserve">.  </w:t>
      </w:r>
      <w:r w:rsidR="003A609A">
        <w:rPr>
          <w:rFonts w:ascii="Times New Roman" w:hAnsi="Times New Roman"/>
          <w:color w:val="000000"/>
          <w:sz w:val="22"/>
          <w:szCs w:val="22"/>
        </w:rPr>
        <w:t>No</w:t>
      </w:r>
      <w:r w:rsidR="00531497" w:rsidRPr="00B147A7">
        <w:rPr>
          <w:rFonts w:ascii="Times New Roman" w:hAnsi="Times New Roman"/>
          <w:color w:val="000000"/>
          <w:sz w:val="22"/>
          <w:szCs w:val="22"/>
        </w:rPr>
        <w:t xml:space="preserve"> public comment</w:t>
      </w:r>
      <w:r w:rsidR="003A609A">
        <w:rPr>
          <w:rFonts w:ascii="Times New Roman" w:hAnsi="Times New Roman"/>
          <w:color w:val="000000"/>
          <w:sz w:val="22"/>
          <w:szCs w:val="22"/>
        </w:rPr>
        <w:t>s</w:t>
      </w:r>
      <w:r w:rsidR="00531497" w:rsidRPr="00B147A7">
        <w:rPr>
          <w:rFonts w:ascii="Times New Roman" w:hAnsi="Times New Roman"/>
          <w:color w:val="000000"/>
          <w:sz w:val="22"/>
          <w:szCs w:val="22"/>
        </w:rPr>
        <w:t xml:space="preserve"> </w:t>
      </w:r>
      <w:r w:rsidR="0011189E">
        <w:rPr>
          <w:rFonts w:ascii="Times New Roman" w:hAnsi="Times New Roman"/>
          <w:color w:val="000000"/>
          <w:sz w:val="22"/>
          <w:szCs w:val="22"/>
        </w:rPr>
        <w:t xml:space="preserve">were </w:t>
      </w:r>
      <w:r w:rsidRPr="00B147A7">
        <w:rPr>
          <w:rFonts w:ascii="Times New Roman" w:hAnsi="Times New Roman"/>
          <w:color w:val="000000"/>
          <w:sz w:val="22"/>
          <w:szCs w:val="22"/>
        </w:rPr>
        <w:t>receiv</w:t>
      </w:r>
      <w:bookmarkStart w:id="0" w:name="_GoBack"/>
      <w:bookmarkEnd w:id="0"/>
      <w:r w:rsidRPr="00B147A7">
        <w:rPr>
          <w:rFonts w:ascii="Times New Roman" w:hAnsi="Times New Roman"/>
          <w:color w:val="000000"/>
          <w:sz w:val="22"/>
          <w:szCs w:val="22"/>
        </w:rPr>
        <w:t>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w:t>
      </w:r>
      <w:r w:rsidRPr="00B147A7">
        <w:rPr>
          <w:rFonts w:ascii="Times New Roman" w:hAnsi="Times New Roman"/>
          <w:color w:val="000000"/>
          <w:sz w:val="22"/>
          <w:szCs w:val="22"/>
        </w:rPr>
        <w:lastRenderedPageBreak/>
        <w:t xml:space="preserve">comment for this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 was published in the Federal Register:</w:t>
      </w:r>
      <w:r w:rsidR="00B67C00" w:rsidRPr="00B147A7">
        <w:rPr>
          <w:rFonts w:ascii="Times New Roman" w:hAnsi="Times New Roman"/>
          <w:color w:val="000000"/>
          <w:sz w:val="22"/>
          <w:szCs w:val="22"/>
        </w:rPr>
        <w:t xml:space="preserve"> </w:t>
      </w:r>
      <w:r w:rsidR="00B67C00" w:rsidRPr="009A441F">
        <w:rPr>
          <w:rFonts w:ascii="Times New Roman" w:hAnsi="Times New Roman"/>
          <w:color w:val="000000"/>
          <w:sz w:val="22"/>
          <w:szCs w:val="22"/>
        </w:rPr>
        <w:t xml:space="preserve">Vol. </w:t>
      </w:r>
      <w:r w:rsidR="009A441F" w:rsidRPr="009A441F">
        <w:rPr>
          <w:rFonts w:ascii="Times New Roman" w:hAnsi="Times New Roman"/>
          <w:color w:val="000000"/>
          <w:sz w:val="22"/>
          <w:szCs w:val="22"/>
        </w:rPr>
        <w:t>8</w:t>
      </w:r>
      <w:r w:rsidR="00B86595">
        <w:rPr>
          <w:rFonts w:ascii="Times New Roman" w:hAnsi="Times New Roman"/>
          <w:color w:val="000000"/>
          <w:sz w:val="22"/>
          <w:szCs w:val="22"/>
        </w:rPr>
        <w:t>2</w:t>
      </w:r>
      <w:r w:rsidR="006861E0" w:rsidRPr="009A441F">
        <w:rPr>
          <w:rFonts w:ascii="Times New Roman" w:hAnsi="Times New Roman"/>
          <w:color w:val="000000"/>
          <w:sz w:val="22"/>
          <w:szCs w:val="22"/>
        </w:rPr>
        <w:t>,</w:t>
      </w:r>
      <w:r w:rsidR="00B67C00" w:rsidRPr="009A441F">
        <w:rPr>
          <w:rFonts w:ascii="Times New Roman" w:hAnsi="Times New Roman"/>
          <w:color w:val="000000"/>
          <w:sz w:val="22"/>
          <w:szCs w:val="22"/>
        </w:rPr>
        <w:t xml:space="preserve"> No. </w:t>
      </w:r>
      <w:r w:rsidR="00B86595">
        <w:rPr>
          <w:rFonts w:ascii="Times New Roman" w:hAnsi="Times New Roman"/>
          <w:color w:val="000000"/>
          <w:sz w:val="22"/>
          <w:szCs w:val="22"/>
        </w:rPr>
        <w:t>11</w:t>
      </w:r>
      <w:r w:rsidR="00CE1111">
        <w:rPr>
          <w:rFonts w:ascii="Times New Roman" w:hAnsi="Times New Roman"/>
          <w:color w:val="000000"/>
          <w:sz w:val="22"/>
          <w:szCs w:val="22"/>
        </w:rPr>
        <w:t xml:space="preserve"> </w:t>
      </w:r>
      <w:r w:rsidR="00B67C00" w:rsidRPr="009A441F">
        <w:rPr>
          <w:rFonts w:ascii="Times New Roman" w:hAnsi="Times New Roman"/>
          <w:color w:val="000000"/>
          <w:sz w:val="22"/>
          <w:szCs w:val="22"/>
        </w:rPr>
        <w:t>(</w:t>
      </w:r>
      <w:r w:rsidR="0011189E">
        <w:rPr>
          <w:rFonts w:ascii="Times New Roman" w:hAnsi="Times New Roman"/>
          <w:color w:val="000000"/>
          <w:sz w:val="22"/>
          <w:szCs w:val="22"/>
        </w:rPr>
        <w:t>January</w:t>
      </w:r>
      <w:r w:rsidR="005013C9" w:rsidRPr="009A441F">
        <w:rPr>
          <w:rFonts w:ascii="Times New Roman" w:hAnsi="Times New Roman"/>
          <w:color w:val="000000"/>
          <w:sz w:val="22"/>
          <w:szCs w:val="22"/>
        </w:rPr>
        <w:t xml:space="preserve"> </w:t>
      </w:r>
      <w:r w:rsidR="00B86595">
        <w:rPr>
          <w:rFonts w:ascii="Times New Roman" w:hAnsi="Times New Roman"/>
          <w:color w:val="000000"/>
          <w:sz w:val="22"/>
          <w:szCs w:val="22"/>
        </w:rPr>
        <w:t>18</w:t>
      </w:r>
      <w:r w:rsidR="00B67C00" w:rsidRPr="009A441F">
        <w:rPr>
          <w:rFonts w:ascii="Times New Roman" w:hAnsi="Times New Roman"/>
          <w:color w:val="000000"/>
          <w:sz w:val="22"/>
          <w:szCs w:val="22"/>
        </w:rPr>
        <w:t>, 20</w:t>
      </w:r>
      <w:r w:rsidR="000E4F57" w:rsidRPr="009A441F">
        <w:rPr>
          <w:rFonts w:ascii="Times New Roman" w:hAnsi="Times New Roman"/>
          <w:color w:val="000000"/>
          <w:sz w:val="22"/>
          <w:szCs w:val="22"/>
        </w:rPr>
        <w:t>1</w:t>
      </w:r>
      <w:r w:rsidR="0011189E">
        <w:rPr>
          <w:rFonts w:ascii="Times New Roman" w:hAnsi="Times New Roman"/>
          <w:color w:val="000000"/>
          <w:sz w:val="22"/>
          <w:szCs w:val="22"/>
        </w:rPr>
        <w:t>7</w:t>
      </w:r>
      <w:r w:rsidR="00B67C00" w:rsidRPr="009A441F">
        <w:rPr>
          <w:rFonts w:ascii="Times New Roman" w:hAnsi="Times New Roman"/>
          <w:color w:val="000000"/>
          <w:sz w:val="22"/>
          <w:szCs w:val="22"/>
        </w:rPr>
        <w:t xml:space="preserve">), pages </w:t>
      </w:r>
      <w:r w:rsidR="00B86595">
        <w:rPr>
          <w:rFonts w:ascii="Times New Roman" w:hAnsi="Times New Roman"/>
          <w:color w:val="000000"/>
          <w:sz w:val="22"/>
          <w:szCs w:val="22"/>
        </w:rPr>
        <w:t>5609-5610</w:t>
      </w:r>
      <w:r w:rsidRPr="009A441F">
        <w:rPr>
          <w:rFonts w:ascii="Times New Roman" w:hAnsi="Times New Roman"/>
          <w:color w:val="000000"/>
          <w:sz w:val="22"/>
          <w:szCs w:val="22"/>
        </w:rPr>
        <w:t>.</w:t>
      </w:r>
      <w:r w:rsidR="00B02D60" w:rsidRPr="009A441F">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50FC19C5"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 xml:space="preserve">of key professional associations, and </w:t>
      </w:r>
      <w:r w:rsidR="00C53EFA">
        <w:rPr>
          <w:rFonts w:ascii="Times New Roman" w:hAnsi="Times New Roman"/>
          <w:color w:val="000000"/>
          <w:sz w:val="22"/>
          <w:szCs w:val="22"/>
        </w:rPr>
        <w:t xml:space="preserve">through convening grantees at meetings organized by </w:t>
      </w:r>
      <w:r w:rsidRPr="00B147A7">
        <w:rPr>
          <w:rFonts w:ascii="Times New Roman" w:hAnsi="Times New Roman"/>
          <w:color w:val="000000"/>
          <w:sz w:val="22"/>
          <w:szCs w:val="22"/>
        </w:rPr>
        <w:t xml:space="preserve">IMLS </w:t>
      </w:r>
      <w:r w:rsidR="00C53EFA">
        <w:rPr>
          <w:rFonts w:ascii="Times New Roman" w:hAnsi="Times New Roman"/>
          <w:color w:val="000000"/>
          <w:sz w:val="22"/>
          <w:szCs w:val="22"/>
        </w:rPr>
        <w:t xml:space="preserve">program staff. </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2C2B8BCA"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C53EFA">
        <w:rPr>
          <w:rFonts w:ascii="Times New Roman" w:hAnsi="Times New Roman"/>
          <w:sz w:val="22"/>
          <w:szCs w:val="22"/>
        </w:rPr>
        <w:t>100</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790045" w:rsidRPr="00191DF8">
        <w:rPr>
          <w:rFonts w:ascii="Times New Roman" w:hAnsi="Times New Roman"/>
          <w:sz w:val="22"/>
          <w:szCs w:val="22"/>
        </w:rPr>
        <w:t>201</w:t>
      </w:r>
      <w:r w:rsidR="00790045">
        <w:rPr>
          <w:rFonts w:ascii="Times New Roman" w:hAnsi="Times New Roman"/>
          <w:sz w:val="22"/>
          <w:szCs w:val="22"/>
        </w:rPr>
        <w:t>6</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C53EFA">
        <w:rPr>
          <w:rFonts w:ascii="Times New Roman" w:hAnsi="Times New Roman"/>
          <w:sz w:val="22"/>
          <w:szCs w:val="22"/>
        </w:rPr>
        <w:t>4,000</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008390E4"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C53EFA">
        <w:rPr>
          <w:rFonts w:ascii="Times New Roman" w:hAnsi="Times New Roman"/>
          <w:sz w:val="22"/>
          <w:szCs w:val="22"/>
        </w:rPr>
        <w:t>109,600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781871">
        <w:rPr>
          <w:rFonts w:ascii="Times New Roman" w:hAnsi="Times New Roman"/>
          <w:sz w:val="22"/>
          <w:szCs w:val="22"/>
        </w:rPr>
        <w:t>2</w:t>
      </w:r>
      <w:r w:rsidR="00C53EFA">
        <w:rPr>
          <w:rFonts w:ascii="Times New Roman" w:hAnsi="Times New Roman"/>
          <w:sz w:val="22"/>
          <w:szCs w:val="22"/>
        </w:rPr>
        <w:t>7.4</w:t>
      </w:r>
      <w:r w:rsidR="00781871">
        <w:rPr>
          <w:rFonts w:ascii="Times New Roman" w:hAnsi="Times New Roman"/>
          <w:sz w:val="22"/>
          <w:szCs w:val="22"/>
        </w:rPr>
        <w:t>0</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Pr="00191DF8">
        <w:rPr>
          <w:rFonts w:ascii="Times New Roman" w:hAnsi="Times New Roman"/>
          <w:sz w:val="22"/>
          <w:szCs w:val="22"/>
        </w:rPr>
        <w:t>mean hourly wage of a museum</w:t>
      </w:r>
      <w:r w:rsidR="00781871">
        <w:rPr>
          <w:rFonts w:ascii="Times New Roman" w:hAnsi="Times New Roman"/>
          <w:sz w:val="22"/>
          <w:szCs w:val="22"/>
        </w:rPr>
        <w:t xml:space="preserve"> employee</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w:t>
      </w:r>
      <w:r w:rsidRPr="00191DF8">
        <w:rPr>
          <w:rFonts w:ascii="Times New Roman" w:hAnsi="Times New Roman"/>
          <w:sz w:val="22"/>
          <w:szCs w:val="22"/>
        </w:rPr>
        <w:lastRenderedPageBreak/>
        <w:t xml:space="preserve">hour cost per application </w:t>
      </w:r>
      <w:r w:rsidR="00781871">
        <w:rPr>
          <w:rFonts w:ascii="Times New Roman" w:hAnsi="Times New Roman"/>
          <w:sz w:val="22"/>
          <w:szCs w:val="22"/>
        </w:rPr>
        <w:t>is 40 hours</w:t>
      </w:r>
      <w:r w:rsidRPr="00191DF8">
        <w:rPr>
          <w:rFonts w:ascii="Times New Roman" w:hAnsi="Times New Roman"/>
          <w:sz w:val="22"/>
          <w:szCs w:val="22"/>
        </w:rPr>
        <w:t xml:space="preserve"> </w:t>
      </w:r>
      <w:r w:rsidR="00DE527B" w:rsidRPr="00191DF8">
        <w:rPr>
          <w:rFonts w:ascii="Times New Roman" w:hAnsi="Times New Roman"/>
          <w:sz w:val="22"/>
          <w:szCs w:val="22"/>
        </w:rPr>
        <w:t>(40 hours x $</w:t>
      </w:r>
      <w:r w:rsidR="00790045">
        <w:rPr>
          <w:rFonts w:ascii="Times New Roman" w:hAnsi="Times New Roman"/>
          <w:sz w:val="22"/>
          <w:szCs w:val="22"/>
        </w:rPr>
        <w:t>2</w:t>
      </w:r>
      <w:r w:rsidR="00C53EFA">
        <w:rPr>
          <w:rFonts w:ascii="Times New Roman" w:hAnsi="Times New Roman"/>
          <w:sz w:val="22"/>
          <w:szCs w:val="22"/>
        </w:rPr>
        <w:t>7.4</w:t>
      </w:r>
      <w:r w:rsidR="00790045">
        <w:rPr>
          <w:rFonts w:ascii="Times New Roman" w:hAnsi="Times New Roman"/>
          <w:sz w:val="22"/>
          <w:szCs w:val="22"/>
        </w:rPr>
        <w:t>0</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53FEB29D"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w:t>
      </w:r>
      <w:r w:rsidR="00BA0880" w:rsidRPr="00191DF8">
        <w:rPr>
          <w:rFonts w:ascii="Times New Roman" w:hAnsi="Times New Roman"/>
          <w:sz w:val="22"/>
          <w:szCs w:val="22"/>
        </w:rPr>
        <w:t>gener</w:t>
      </w:r>
      <w:r w:rsidR="00631C12" w:rsidRPr="00191DF8">
        <w:rPr>
          <w:rFonts w:ascii="Times New Roman" w:hAnsi="Times New Roman"/>
          <w:sz w:val="22"/>
          <w:szCs w:val="22"/>
        </w:rPr>
        <w:t>ic</w:t>
      </w:r>
      <w:r w:rsidRPr="00191DF8">
        <w:rPr>
          <w:rFonts w:ascii="Times New Roman" w:hAnsi="Times New Roman"/>
          <w:sz w:val="22"/>
          <w:szCs w:val="22"/>
        </w:rPr>
        <w:t xml:space="preserve"> clearance for applications and reporting forms.</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462236C4"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C53EFA">
        <w:rPr>
          <w:rFonts w:ascii="Times New Roman" w:hAnsi="Times New Roman"/>
          <w:sz w:val="22"/>
          <w:szCs w:val="22"/>
        </w:rPr>
        <w:t>18,997.44</w:t>
      </w:r>
      <w:r w:rsidR="00FA7FC2">
        <w:rPr>
          <w:rFonts w:ascii="Times New Roman" w:hAnsi="Times New Roman"/>
          <w:sz w:val="22"/>
          <w:szCs w:val="22"/>
        </w:rPr>
        <w:t xml:space="preserve"> based on an estimated </w:t>
      </w:r>
      <w:r w:rsidR="00C53EFA">
        <w:rPr>
          <w:rFonts w:ascii="Times New Roman" w:hAnsi="Times New Roman"/>
          <w:sz w:val="22"/>
          <w:szCs w:val="22"/>
        </w:rPr>
        <w:t>100</w:t>
      </w:r>
      <w:r w:rsidR="00FA7FC2">
        <w:rPr>
          <w:rFonts w:ascii="Times New Roman" w:hAnsi="Times New Roman"/>
          <w:sz w:val="22"/>
          <w:szCs w:val="22"/>
        </w:rPr>
        <w:t xml:space="preserve"> </w:t>
      </w:r>
      <w:r w:rsidR="00022C34">
        <w:rPr>
          <w:rFonts w:ascii="Times New Roman" w:hAnsi="Times New Roman"/>
          <w:sz w:val="22"/>
          <w:szCs w:val="22"/>
        </w:rPr>
        <w:t>applications</w:t>
      </w:r>
      <w:r w:rsidR="00C53EFA">
        <w:rPr>
          <w:rFonts w:ascii="Times New Roman" w:hAnsi="Times New Roman"/>
          <w:sz w:val="22"/>
          <w:szCs w:val="22"/>
        </w:rPr>
        <w:t xml:space="preserve"> and an estimated 32 grant award recipients</w:t>
      </w:r>
      <w:r w:rsidR="00022C34">
        <w:rPr>
          <w:rFonts w:ascii="Times New Roman" w:hAnsi="Times New Roman"/>
          <w:sz w:val="22"/>
          <w:szCs w:val="22"/>
        </w:rPr>
        <w:t xml:space="preserve"> (</w:t>
      </w:r>
      <w:r w:rsidR="00C53EFA">
        <w:rPr>
          <w:rFonts w:ascii="Times New Roman" w:hAnsi="Times New Roman"/>
          <w:sz w:val="22"/>
          <w:szCs w:val="22"/>
        </w:rPr>
        <w:t>32</w:t>
      </w:r>
      <w:r w:rsidR="00022C34">
        <w:rPr>
          <w:rFonts w:ascii="Times New Roman" w:hAnsi="Times New Roman"/>
          <w:sz w:val="22"/>
          <w:szCs w:val="22"/>
        </w:rPr>
        <w:t xml:space="preserve"> respondents x </w:t>
      </w:r>
      <w:r w:rsidR="00C53EFA">
        <w:rPr>
          <w:rFonts w:ascii="Times New Roman" w:hAnsi="Times New Roman"/>
          <w:sz w:val="22"/>
          <w:szCs w:val="22"/>
        </w:rPr>
        <w:t>4</w:t>
      </w:r>
      <w:r w:rsidR="00022C34">
        <w:rPr>
          <w:rFonts w:ascii="Times New Roman" w:hAnsi="Times New Roman"/>
          <w:sz w:val="22"/>
          <w:szCs w:val="22"/>
        </w:rPr>
        <w:t xml:space="preserve"> forms, Discretionary interim performance report, Discretionary final performance report SF-425 and SF-270) for a total of </w:t>
      </w:r>
      <w:r w:rsidR="00C53EFA">
        <w:rPr>
          <w:rFonts w:ascii="Times New Roman" w:hAnsi="Times New Roman"/>
          <w:sz w:val="22"/>
          <w:szCs w:val="22"/>
        </w:rPr>
        <w:t>428</w:t>
      </w:r>
      <w:r w:rsidR="00022C34">
        <w:rPr>
          <w:rFonts w:ascii="Times New Roman" w:hAnsi="Times New Roman"/>
          <w:sz w:val="22"/>
          <w:szCs w:val="22"/>
        </w:rPr>
        <w:t xml:space="preserve"> </w:t>
      </w:r>
      <w:r w:rsidRPr="00EE319A">
        <w:rPr>
          <w:rFonts w:ascii="Times New Roman" w:hAnsi="Times New Roman"/>
          <w:sz w:val="22"/>
          <w:szCs w:val="22"/>
        </w:rPr>
        <w:t xml:space="preserve">responses </w:t>
      </w:r>
      <w:r w:rsidR="00781871">
        <w:rPr>
          <w:rFonts w:ascii="Times New Roman" w:hAnsi="Times New Roman"/>
          <w:sz w:val="22"/>
          <w:szCs w:val="22"/>
        </w:rPr>
        <w:t xml:space="preserve">this </w:t>
      </w:r>
      <w:r w:rsidRPr="00EE319A">
        <w:rPr>
          <w:rFonts w:ascii="Times New Roman" w:hAnsi="Times New Roman"/>
          <w:sz w:val="22"/>
          <w:szCs w:val="22"/>
        </w:rPr>
        <w:t xml:space="preserve">year.  Approximately </w:t>
      </w:r>
      <w:r w:rsidR="00C53EFA">
        <w:rPr>
          <w:rFonts w:ascii="Times New Roman" w:hAnsi="Times New Roman"/>
          <w:sz w:val="22"/>
          <w:szCs w:val="22"/>
        </w:rPr>
        <w:t>475</w:t>
      </w:r>
      <w:r w:rsidR="00723FBE" w:rsidRPr="00EE319A">
        <w:rPr>
          <w:rFonts w:ascii="Times New Roman" w:hAnsi="Times New Roman"/>
          <w:sz w:val="22"/>
          <w:szCs w:val="22"/>
        </w:rPr>
        <w:t xml:space="preserve"> </w:t>
      </w:r>
      <w:r w:rsidRPr="00EE319A">
        <w:rPr>
          <w:rFonts w:ascii="Times New Roman" w:hAnsi="Times New Roman"/>
          <w:sz w:val="22"/>
          <w:szCs w:val="22"/>
        </w:rPr>
        <w:t>hours 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headerReference w:type="default" r:id="rId9"/>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345A0" w14:textId="2B344F22" w:rsidR="003A1377" w:rsidRDefault="003A1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DC7137B"/>
    <w:multiLevelType w:val="hybridMultilevel"/>
    <w:tmpl w:val="2D0C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0"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29"/>
  </w:num>
  <w:num w:numId="3">
    <w:abstractNumId w:val="8"/>
  </w:num>
  <w:num w:numId="4">
    <w:abstractNumId w:val="24"/>
  </w:num>
  <w:num w:numId="5">
    <w:abstractNumId w:val="11"/>
  </w:num>
  <w:num w:numId="6">
    <w:abstractNumId w:val="31"/>
  </w:num>
  <w:num w:numId="7">
    <w:abstractNumId w:val="4"/>
  </w:num>
  <w:num w:numId="8">
    <w:abstractNumId w:val="26"/>
  </w:num>
  <w:num w:numId="9">
    <w:abstractNumId w:val="16"/>
  </w:num>
  <w:num w:numId="10">
    <w:abstractNumId w:val="34"/>
  </w:num>
  <w:num w:numId="11">
    <w:abstractNumId w:val="6"/>
  </w:num>
  <w:num w:numId="12">
    <w:abstractNumId w:val="5"/>
  </w:num>
  <w:num w:numId="13">
    <w:abstractNumId w:val="20"/>
  </w:num>
  <w:num w:numId="14">
    <w:abstractNumId w:val="22"/>
  </w:num>
  <w:num w:numId="15">
    <w:abstractNumId w:val="30"/>
  </w:num>
  <w:num w:numId="16">
    <w:abstractNumId w:val="19"/>
  </w:num>
  <w:num w:numId="17">
    <w:abstractNumId w:val="14"/>
  </w:num>
  <w:num w:numId="18">
    <w:abstractNumId w:val="36"/>
  </w:num>
  <w:num w:numId="19">
    <w:abstractNumId w:val="3"/>
  </w:num>
  <w:num w:numId="20">
    <w:abstractNumId w:val="18"/>
  </w:num>
  <w:num w:numId="21">
    <w:abstractNumId w:val="12"/>
  </w:num>
  <w:num w:numId="22">
    <w:abstractNumId w:val="17"/>
  </w:num>
  <w:num w:numId="23">
    <w:abstractNumId w:val="21"/>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5"/>
  </w:num>
  <w:num w:numId="32">
    <w:abstractNumId w:val="13"/>
  </w:num>
  <w:num w:numId="33">
    <w:abstractNumId w:val="33"/>
  </w:num>
  <w:num w:numId="34">
    <w:abstractNumId w:val="9"/>
  </w:num>
  <w:num w:numId="35">
    <w:abstractNumId w:val="27"/>
  </w:num>
  <w:num w:numId="36">
    <w:abstractNumId w:val="3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6224"/>
    <w:rsid w:val="000829F6"/>
    <w:rsid w:val="0008357D"/>
    <w:rsid w:val="000925F6"/>
    <w:rsid w:val="00095DB6"/>
    <w:rsid w:val="00096DF3"/>
    <w:rsid w:val="00097ED5"/>
    <w:rsid w:val="000C1579"/>
    <w:rsid w:val="000C5970"/>
    <w:rsid w:val="000E24F5"/>
    <w:rsid w:val="000E4B7C"/>
    <w:rsid w:val="000E4F57"/>
    <w:rsid w:val="000F0E68"/>
    <w:rsid w:val="000F2C40"/>
    <w:rsid w:val="000F4C57"/>
    <w:rsid w:val="000F540D"/>
    <w:rsid w:val="00100C9C"/>
    <w:rsid w:val="00104EB5"/>
    <w:rsid w:val="0011189E"/>
    <w:rsid w:val="00113C10"/>
    <w:rsid w:val="00116764"/>
    <w:rsid w:val="001175E8"/>
    <w:rsid w:val="00120515"/>
    <w:rsid w:val="00121E02"/>
    <w:rsid w:val="00123A5A"/>
    <w:rsid w:val="001255F8"/>
    <w:rsid w:val="00145A82"/>
    <w:rsid w:val="00145D57"/>
    <w:rsid w:val="00147735"/>
    <w:rsid w:val="001606AA"/>
    <w:rsid w:val="0017517C"/>
    <w:rsid w:val="00182146"/>
    <w:rsid w:val="00191DF8"/>
    <w:rsid w:val="0019711E"/>
    <w:rsid w:val="001A304D"/>
    <w:rsid w:val="001A76E3"/>
    <w:rsid w:val="001C012D"/>
    <w:rsid w:val="001C165D"/>
    <w:rsid w:val="001C46A8"/>
    <w:rsid w:val="001D182A"/>
    <w:rsid w:val="001D706D"/>
    <w:rsid w:val="001E4C4F"/>
    <w:rsid w:val="001F3CB6"/>
    <w:rsid w:val="001F5CB5"/>
    <w:rsid w:val="00201E34"/>
    <w:rsid w:val="0021181C"/>
    <w:rsid w:val="00223FCB"/>
    <w:rsid w:val="00235E59"/>
    <w:rsid w:val="002417BD"/>
    <w:rsid w:val="00264D1F"/>
    <w:rsid w:val="002A1A43"/>
    <w:rsid w:val="002B1355"/>
    <w:rsid w:val="002C0F61"/>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77"/>
    <w:rsid w:val="003A139D"/>
    <w:rsid w:val="003A17CB"/>
    <w:rsid w:val="003A2578"/>
    <w:rsid w:val="003A609A"/>
    <w:rsid w:val="003B7718"/>
    <w:rsid w:val="003E6397"/>
    <w:rsid w:val="003F3A24"/>
    <w:rsid w:val="003F4DAE"/>
    <w:rsid w:val="003F6D48"/>
    <w:rsid w:val="00403835"/>
    <w:rsid w:val="00411237"/>
    <w:rsid w:val="00414FE6"/>
    <w:rsid w:val="0042622F"/>
    <w:rsid w:val="004267BE"/>
    <w:rsid w:val="004403F2"/>
    <w:rsid w:val="004418F6"/>
    <w:rsid w:val="004554B6"/>
    <w:rsid w:val="004666E9"/>
    <w:rsid w:val="00497A03"/>
    <w:rsid w:val="004A2866"/>
    <w:rsid w:val="004A36FB"/>
    <w:rsid w:val="004B530D"/>
    <w:rsid w:val="004D4E80"/>
    <w:rsid w:val="004E451A"/>
    <w:rsid w:val="004F12D3"/>
    <w:rsid w:val="004F48E3"/>
    <w:rsid w:val="004F4D24"/>
    <w:rsid w:val="005013C9"/>
    <w:rsid w:val="0050534B"/>
    <w:rsid w:val="00513BFB"/>
    <w:rsid w:val="00524D56"/>
    <w:rsid w:val="00525666"/>
    <w:rsid w:val="005260E6"/>
    <w:rsid w:val="00531497"/>
    <w:rsid w:val="00534760"/>
    <w:rsid w:val="00545D15"/>
    <w:rsid w:val="00555591"/>
    <w:rsid w:val="00577ED3"/>
    <w:rsid w:val="005805EC"/>
    <w:rsid w:val="00582557"/>
    <w:rsid w:val="00583E02"/>
    <w:rsid w:val="00593E6D"/>
    <w:rsid w:val="00594FB3"/>
    <w:rsid w:val="005E1DBC"/>
    <w:rsid w:val="005F2559"/>
    <w:rsid w:val="00601A58"/>
    <w:rsid w:val="00607182"/>
    <w:rsid w:val="00622112"/>
    <w:rsid w:val="00623543"/>
    <w:rsid w:val="00631C12"/>
    <w:rsid w:val="0063642C"/>
    <w:rsid w:val="006368D3"/>
    <w:rsid w:val="00647887"/>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1D3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74828"/>
    <w:rsid w:val="00777C7B"/>
    <w:rsid w:val="00781871"/>
    <w:rsid w:val="00784E5E"/>
    <w:rsid w:val="00790045"/>
    <w:rsid w:val="007923F4"/>
    <w:rsid w:val="00795FF7"/>
    <w:rsid w:val="007A2E94"/>
    <w:rsid w:val="007A603F"/>
    <w:rsid w:val="007B4F30"/>
    <w:rsid w:val="007D0282"/>
    <w:rsid w:val="007E4AC6"/>
    <w:rsid w:val="007E4DBF"/>
    <w:rsid w:val="007E64EC"/>
    <w:rsid w:val="007F0B02"/>
    <w:rsid w:val="007F2BED"/>
    <w:rsid w:val="007F367C"/>
    <w:rsid w:val="007F5AB9"/>
    <w:rsid w:val="00800405"/>
    <w:rsid w:val="00817917"/>
    <w:rsid w:val="00824695"/>
    <w:rsid w:val="00832085"/>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13B3D"/>
    <w:rsid w:val="00922220"/>
    <w:rsid w:val="0092360C"/>
    <w:rsid w:val="00935FD2"/>
    <w:rsid w:val="00950127"/>
    <w:rsid w:val="0095195E"/>
    <w:rsid w:val="00964B4D"/>
    <w:rsid w:val="00990C69"/>
    <w:rsid w:val="00990E8B"/>
    <w:rsid w:val="009A424D"/>
    <w:rsid w:val="009A441F"/>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5CAB"/>
    <w:rsid w:val="00AC08D6"/>
    <w:rsid w:val="00AC4960"/>
    <w:rsid w:val="00AC612C"/>
    <w:rsid w:val="00AC6A2C"/>
    <w:rsid w:val="00AD0C4A"/>
    <w:rsid w:val="00B02D60"/>
    <w:rsid w:val="00B11E8E"/>
    <w:rsid w:val="00B13BD8"/>
    <w:rsid w:val="00B147A7"/>
    <w:rsid w:val="00B17D60"/>
    <w:rsid w:val="00B210E7"/>
    <w:rsid w:val="00B22930"/>
    <w:rsid w:val="00B24DA4"/>
    <w:rsid w:val="00B313BA"/>
    <w:rsid w:val="00B41522"/>
    <w:rsid w:val="00B45DF5"/>
    <w:rsid w:val="00B506A6"/>
    <w:rsid w:val="00B67C00"/>
    <w:rsid w:val="00B738F0"/>
    <w:rsid w:val="00B86595"/>
    <w:rsid w:val="00B8710D"/>
    <w:rsid w:val="00B93B34"/>
    <w:rsid w:val="00B97879"/>
    <w:rsid w:val="00BA0880"/>
    <w:rsid w:val="00BB20E8"/>
    <w:rsid w:val="00BE3F2D"/>
    <w:rsid w:val="00BF0946"/>
    <w:rsid w:val="00BF10B3"/>
    <w:rsid w:val="00C14E96"/>
    <w:rsid w:val="00C24184"/>
    <w:rsid w:val="00C31499"/>
    <w:rsid w:val="00C53481"/>
    <w:rsid w:val="00C53EFA"/>
    <w:rsid w:val="00C56749"/>
    <w:rsid w:val="00C64353"/>
    <w:rsid w:val="00C66C0F"/>
    <w:rsid w:val="00C779ED"/>
    <w:rsid w:val="00C80FDB"/>
    <w:rsid w:val="00C848FA"/>
    <w:rsid w:val="00C94DDC"/>
    <w:rsid w:val="00C97295"/>
    <w:rsid w:val="00CA7188"/>
    <w:rsid w:val="00CA723A"/>
    <w:rsid w:val="00CD33B2"/>
    <w:rsid w:val="00CE0AB2"/>
    <w:rsid w:val="00CE1111"/>
    <w:rsid w:val="00CE2BC4"/>
    <w:rsid w:val="00CE3C38"/>
    <w:rsid w:val="00D110D7"/>
    <w:rsid w:val="00D3579D"/>
    <w:rsid w:val="00D362DB"/>
    <w:rsid w:val="00D42330"/>
    <w:rsid w:val="00D537A1"/>
    <w:rsid w:val="00DD43F6"/>
    <w:rsid w:val="00DE07DA"/>
    <w:rsid w:val="00DE527B"/>
    <w:rsid w:val="00E051C1"/>
    <w:rsid w:val="00E11995"/>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518F8"/>
    <w:rsid w:val="00F6161D"/>
    <w:rsid w:val="00F621F0"/>
    <w:rsid w:val="00F64812"/>
    <w:rsid w:val="00F77851"/>
    <w:rsid w:val="00F91796"/>
    <w:rsid w:val="00FA530E"/>
    <w:rsid w:val="00FA59BB"/>
    <w:rsid w:val="00FA7FC2"/>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9A44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EC0AC-F589-43B8-8782-FED2FC86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1469</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misaksen</dc:creator>
  <cp:lastModifiedBy>Kim A. Miller</cp:lastModifiedBy>
  <cp:revision>3</cp:revision>
  <cp:lastPrinted>2015-05-13T14:49:00Z</cp:lastPrinted>
  <dcterms:created xsi:type="dcterms:W3CDTF">2017-02-24T12:06:00Z</dcterms:created>
  <dcterms:modified xsi:type="dcterms:W3CDTF">2017-02-24T17:42:00Z</dcterms:modified>
</cp:coreProperties>
</file>