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EA6" w:rsidRPr="00E87EA6" w:rsidRDefault="00E87EA6" w:rsidP="00E87EA6">
      <w:pPr>
        <w:shd w:val="clear" w:color="auto" w:fill="FFFFFF"/>
        <w:spacing w:line="240" w:lineRule="auto"/>
        <w:rPr>
          <w:rFonts w:ascii="Lato" w:eastAsia="Times New Roman" w:hAnsi="Lato" w:cs="Helvetica"/>
          <w:color w:val="222222"/>
          <w:sz w:val="24"/>
          <w:szCs w:val="24"/>
          <w:lang w:val="en"/>
        </w:rPr>
      </w:pPr>
      <w:bookmarkStart w:id="0" w:name="_GoBack"/>
      <w:bookmarkEnd w:id="0"/>
      <w:r w:rsidRPr="00E87EA6">
        <w:rPr>
          <w:rFonts w:ascii="Lato" w:eastAsia="Times New Roman" w:hAnsi="Lato" w:cs="Helvetica"/>
          <w:color w:val="222222"/>
          <w:sz w:val="24"/>
          <w:szCs w:val="24"/>
          <w:lang w:val="en"/>
        </w:rPr>
        <w:t xml:space="preserve">U.S. Trade Representative </w:t>
      </w:r>
      <w:proofErr w:type="spellStart"/>
      <w:r w:rsidRPr="00E87EA6">
        <w:rPr>
          <w:rFonts w:ascii="Lato" w:eastAsia="Times New Roman" w:hAnsi="Lato" w:cs="Helvetica"/>
          <w:color w:val="222222"/>
          <w:sz w:val="24"/>
          <w:szCs w:val="24"/>
          <w:lang w:val="en"/>
        </w:rPr>
        <w:t>Froman</w:t>
      </w:r>
      <w:proofErr w:type="spellEnd"/>
      <w:r w:rsidRPr="00E87EA6">
        <w:rPr>
          <w:rFonts w:ascii="Lato" w:eastAsia="Times New Roman" w:hAnsi="Lato" w:cs="Helvetica"/>
          <w:color w:val="222222"/>
          <w:sz w:val="24"/>
          <w:szCs w:val="24"/>
          <w:lang w:val="en"/>
        </w:rPr>
        <w:t xml:space="preserve"> Announces FY 2015 WTO Tariff-Rate Quota Allocations for Raw Cane Sugar, Refined and Specialty Sugar and Sugar-Containing Products</w:t>
      </w:r>
    </w:p>
    <w:p w:rsidR="00E87EA6" w:rsidRDefault="00E87EA6" w:rsidP="00E87EA6">
      <w:pPr>
        <w:shd w:val="clear" w:color="auto" w:fill="FFFFFF"/>
        <w:spacing w:after="0" w:line="240" w:lineRule="auto"/>
        <w:rPr>
          <w:rFonts w:ascii="inherit" w:eastAsia="Times New Roman" w:hAnsi="inherit" w:cs="Helvetica"/>
          <w:color w:val="222222"/>
          <w:sz w:val="24"/>
          <w:szCs w:val="24"/>
          <w:lang w:val="en"/>
        </w:rPr>
      </w:pPr>
      <w:r w:rsidRPr="00E87EA6">
        <w:rPr>
          <w:rFonts w:ascii="inherit" w:eastAsia="Times New Roman" w:hAnsi="inherit" w:cs="Helvetica"/>
          <w:b/>
          <w:bCs/>
          <w:i/>
          <w:iCs/>
          <w:color w:val="222222"/>
          <w:sz w:val="24"/>
          <w:szCs w:val="24"/>
          <w:lang w:val="en"/>
        </w:rPr>
        <w:t>Washington, D.C.</w:t>
      </w:r>
      <w:r w:rsidRPr="00E87EA6">
        <w:rPr>
          <w:rFonts w:ascii="inherit" w:eastAsia="Times New Roman" w:hAnsi="inherit" w:cs="Helvetica"/>
          <w:color w:val="222222"/>
          <w:sz w:val="24"/>
          <w:szCs w:val="24"/>
          <w:lang w:val="en"/>
        </w:rPr>
        <w:t xml:space="preserve"> – </w:t>
      </w:r>
      <w:r>
        <w:rPr>
          <w:rFonts w:ascii="inherit" w:eastAsia="Times New Roman" w:hAnsi="inherit" w:cs="Helvetica"/>
          <w:color w:val="222222"/>
          <w:sz w:val="24"/>
          <w:szCs w:val="24"/>
          <w:lang w:val="en"/>
        </w:rPr>
        <w:t xml:space="preserve">September 3, 2014.  </w:t>
      </w:r>
      <w:r w:rsidRPr="00E87EA6">
        <w:rPr>
          <w:rFonts w:ascii="inherit" w:eastAsia="Times New Roman" w:hAnsi="inherit" w:cs="Helvetica"/>
          <w:color w:val="222222"/>
          <w:sz w:val="24"/>
          <w:szCs w:val="24"/>
          <w:lang w:val="en"/>
        </w:rPr>
        <w:t xml:space="preserve">United States Trade Representative Michael </w:t>
      </w:r>
      <w:proofErr w:type="spellStart"/>
      <w:r w:rsidRPr="00E87EA6">
        <w:rPr>
          <w:rFonts w:ascii="inherit" w:eastAsia="Times New Roman" w:hAnsi="inherit" w:cs="Helvetica"/>
          <w:color w:val="222222"/>
          <w:sz w:val="24"/>
          <w:szCs w:val="24"/>
          <w:lang w:val="en"/>
        </w:rPr>
        <w:t>Froman</w:t>
      </w:r>
      <w:proofErr w:type="spellEnd"/>
      <w:r w:rsidRPr="00E87EA6">
        <w:rPr>
          <w:rFonts w:ascii="inherit" w:eastAsia="Times New Roman" w:hAnsi="inherit" w:cs="Helvetica"/>
          <w:color w:val="222222"/>
          <w:sz w:val="24"/>
          <w:szCs w:val="24"/>
          <w:lang w:val="en"/>
        </w:rPr>
        <w:t xml:space="preserve"> today announced the country-specific and first-come, first-served in-quota allocations under the tariff-rate quotas (TRQs) on imported raw cane sugar, refined and specialty sugar and sugar-containing products for Fiscal Year (FY) 2015 (October 1, 2014 through September 30, 2015). TRQs allow countries to export specified quantities of a product to the United States at a relatively low tariff, but subject all imports of the product above a pre-determined threshold to a higher tariff.</w:t>
      </w:r>
    </w:p>
    <w:p w:rsidR="000C2BD4" w:rsidRPr="00E87EA6" w:rsidRDefault="000C2BD4" w:rsidP="00E87EA6">
      <w:pPr>
        <w:shd w:val="clear" w:color="auto" w:fill="FFFFFF"/>
        <w:spacing w:after="0" w:line="240" w:lineRule="auto"/>
        <w:rPr>
          <w:rFonts w:ascii="inherit" w:eastAsia="Times New Roman" w:hAnsi="inherit" w:cs="Helvetica"/>
          <w:color w:val="222222"/>
          <w:sz w:val="24"/>
          <w:szCs w:val="24"/>
          <w:lang w:val="en"/>
        </w:rPr>
      </w:pPr>
    </w:p>
    <w:p w:rsidR="00E87EA6" w:rsidRPr="00E87EA6" w:rsidRDefault="00E87EA6" w:rsidP="00E87EA6">
      <w:pPr>
        <w:shd w:val="clear" w:color="auto" w:fill="FFFFFF"/>
        <w:spacing w:after="0" w:line="240" w:lineRule="auto"/>
        <w:rPr>
          <w:rFonts w:ascii="inherit" w:eastAsia="Times New Roman" w:hAnsi="inherit" w:cs="Helvetica"/>
          <w:color w:val="222222"/>
          <w:sz w:val="24"/>
          <w:szCs w:val="24"/>
          <w:lang w:val="en"/>
        </w:rPr>
      </w:pPr>
      <w:r w:rsidRPr="00E87EA6">
        <w:rPr>
          <w:rFonts w:ascii="inherit" w:eastAsia="Times New Roman" w:hAnsi="inherit" w:cs="Helvetica"/>
          <w:color w:val="222222"/>
          <w:sz w:val="24"/>
          <w:szCs w:val="24"/>
          <w:lang w:val="en"/>
        </w:rPr>
        <w:t>On September 2, 2014, the Secretary of Agriculture announced the establishment of the in-quota quantity for raw cane sugar for FY 2015. The in-quota quantity for the TRQ on raw cane sugar for FY 2015 is 1,117,195 metric tons* raw value (MTRV), which is the minimum amount to which the United States is committed under the World Trade Organization (WTO) Agreement.  The Office of the United State Trade Representative (USTR) is allocating the raw cane sugar TRQ of 1,117,195 MTRV to the following countries in the quantities specified below:</w:t>
      </w:r>
    </w:p>
    <w:p w:rsidR="00E87EA6" w:rsidRPr="00E87EA6" w:rsidRDefault="00E87EA6" w:rsidP="00E87EA6">
      <w:pPr>
        <w:shd w:val="clear" w:color="auto" w:fill="FFFFFF"/>
        <w:spacing w:after="0" w:line="240" w:lineRule="auto"/>
        <w:rPr>
          <w:rFonts w:ascii="inherit" w:eastAsia="Times New Roman" w:hAnsi="inherit" w:cs="Helvetica"/>
          <w:color w:val="222222"/>
          <w:sz w:val="24"/>
          <w:szCs w:val="24"/>
          <w:lang w:val="en"/>
        </w:rPr>
      </w:pPr>
      <w:r w:rsidRPr="00E87EA6">
        <w:rPr>
          <w:rFonts w:ascii="inherit" w:eastAsia="Times New Roman" w:hAnsi="inherit" w:cs="Helvetica"/>
          <w:b/>
          <w:bCs/>
          <w:color w:val="222222"/>
          <w:sz w:val="24"/>
          <w:szCs w:val="24"/>
          <w:lang w:val="en"/>
        </w:rPr>
        <w:t>FY 2015 Raw Cane Sugar Allocations</w:t>
      </w:r>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262"/>
        <w:gridCol w:w="4114"/>
      </w:tblGrid>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b/>
                <w:bCs/>
                <w:color w:val="222222"/>
                <w:sz w:val="24"/>
                <w:szCs w:val="24"/>
              </w:rPr>
              <w:t>Country                    </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b/>
                <w:bCs/>
                <w:color w:val="222222"/>
                <w:sz w:val="24"/>
                <w:szCs w:val="24"/>
              </w:rPr>
              <w:t>(MTRV)            </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shd w:val="clear" w:color="auto" w:fill="FFFFFF"/>
              </w:rPr>
              <w:t>Argentina</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45,281</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Australia</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87,402</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Barbados</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7,371</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Belize</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11,584</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Bolivia</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8,424</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Brazil</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152,691</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Colombia</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25,273</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Congo </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7,258</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Costa Rica</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15,796</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Cote d’Ivoire </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7,258</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Dominican Republic</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185,335</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Ecuador</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11,584</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El Salvador</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27,379</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Fiji</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9,477</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Gabon</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7,258</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Guatemala</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50,546</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Guyana</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12,636</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Haiti</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7,258</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lastRenderedPageBreak/>
              <w:t>Honduras</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240" w:lineRule="auto"/>
              <w:rPr>
                <w:rFonts w:ascii="inherit" w:eastAsia="Times New Roman" w:hAnsi="inherit" w:cs="Helvetica"/>
                <w:color w:val="222222"/>
                <w:sz w:val="24"/>
                <w:szCs w:val="24"/>
              </w:rPr>
            </w:pPr>
            <w:r w:rsidRPr="00E87EA6">
              <w:rPr>
                <w:rFonts w:ascii="inherit" w:eastAsia="Times New Roman" w:hAnsi="inherit" w:cs="Helvetica"/>
                <w:color w:val="222222"/>
                <w:sz w:val="24"/>
                <w:szCs w:val="24"/>
              </w:rPr>
              <w:t>10,530</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India</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8,424</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Jamaica</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11,584</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Madagascar</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7,258</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Malawi</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10,530</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Mauritius</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12,636</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Mexico</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7,258</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Mozambique</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13,690</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Nicaragua</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22,114</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Panama</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30,538</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Papua New Guinea</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7, 258</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Paraguay</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7,258</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Peru</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43,175</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Philippines</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142,160</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South Africa</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24,220</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St. Kitts &amp; Nevis</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7,258</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Swaziland</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16,849</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Taiwan</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12,636</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Thailand</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14,743</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Trinidad &amp; Tobago</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7,371</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Uruguay</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7,258</w:t>
            </w:r>
          </w:p>
        </w:tc>
      </w:tr>
      <w:tr w:rsidR="00E87EA6" w:rsidRPr="00E87EA6" w:rsidTr="00E87EA6">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Zimbabwe</w:t>
            </w:r>
          </w:p>
        </w:tc>
        <w:tc>
          <w:tcPr>
            <w:tcW w:w="0" w:type="auto"/>
            <w:shd w:val="clear" w:color="auto" w:fill="FFFFFF"/>
            <w:tcMar>
              <w:top w:w="0" w:type="dxa"/>
              <w:left w:w="0" w:type="dxa"/>
              <w:bottom w:w="0" w:type="dxa"/>
              <w:right w:w="0" w:type="dxa"/>
            </w:tcMar>
            <w:vAlign w:val="center"/>
            <w:hideMark/>
          </w:tcPr>
          <w:p w:rsidR="00E87EA6" w:rsidRPr="00E87EA6" w:rsidRDefault="00E87EA6" w:rsidP="00E87EA6">
            <w:pPr>
              <w:spacing w:after="0" w:line="360" w:lineRule="auto"/>
              <w:rPr>
                <w:rFonts w:ascii="Lato" w:eastAsia="Times New Roman" w:hAnsi="Lato" w:cs="Helvetica"/>
                <w:color w:val="222222"/>
                <w:sz w:val="24"/>
                <w:szCs w:val="24"/>
              </w:rPr>
            </w:pPr>
            <w:r w:rsidRPr="00E87EA6">
              <w:rPr>
                <w:rFonts w:ascii="Lato" w:eastAsia="Times New Roman" w:hAnsi="Lato" w:cs="Helvetica"/>
                <w:color w:val="222222"/>
                <w:sz w:val="24"/>
                <w:szCs w:val="24"/>
              </w:rPr>
              <w:t>12,636</w:t>
            </w:r>
          </w:p>
        </w:tc>
      </w:tr>
    </w:tbl>
    <w:p w:rsidR="00E87EA6" w:rsidRDefault="00E87EA6" w:rsidP="00E87EA6">
      <w:pPr>
        <w:shd w:val="clear" w:color="auto" w:fill="FFFFFF"/>
        <w:spacing w:after="0" w:line="240" w:lineRule="auto"/>
        <w:rPr>
          <w:rFonts w:ascii="inherit" w:eastAsia="Times New Roman" w:hAnsi="inherit" w:cs="Helvetica"/>
          <w:color w:val="222222"/>
          <w:sz w:val="24"/>
          <w:szCs w:val="24"/>
          <w:lang w:val="en"/>
        </w:rPr>
      </w:pPr>
      <w:r w:rsidRPr="00E87EA6">
        <w:rPr>
          <w:rFonts w:ascii="inherit" w:eastAsia="Times New Roman" w:hAnsi="inherit" w:cs="Helvetica"/>
          <w:color w:val="222222"/>
          <w:sz w:val="24"/>
          <w:szCs w:val="24"/>
          <w:lang w:val="en"/>
        </w:rPr>
        <w:t>These allocations are based on each country’s historical shipments to the United States. The allocations of the raw cane sugar TRQ to countries that are net importers of sugar are conditioned on receipt of the appropriate verifications of origin, and certificates for quota eligibility must accompany imports from any country to which an allocation is provided.</w:t>
      </w:r>
    </w:p>
    <w:p w:rsidR="000C2BD4" w:rsidRPr="00E87EA6" w:rsidRDefault="000C2BD4" w:rsidP="00E87EA6">
      <w:pPr>
        <w:shd w:val="clear" w:color="auto" w:fill="FFFFFF"/>
        <w:spacing w:after="0" w:line="240" w:lineRule="auto"/>
        <w:rPr>
          <w:rFonts w:ascii="inherit" w:eastAsia="Times New Roman" w:hAnsi="inherit" w:cs="Helvetica"/>
          <w:color w:val="222222"/>
          <w:sz w:val="24"/>
          <w:szCs w:val="24"/>
          <w:lang w:val="en"/>
        </w:rPr>
      </w:pPr>
    </w:p>
    <w:p w:rsidR="00E87EA6" w:rsidRPr="00E87EA6" w:rsidRDefault="00E87EA6" w:rsidP="00E87EA6">
      <w:pPr>
        <w:shd w:val="clear" w:color="auto" w:fill="FFFFFF"/>
        <w:spacing w:after="0" w:line="240" w:lineRule="auto"/>
        <w:rPr>
          <w:rFonts w:ascii="inherit" w:eastAsia="Times New Roman" w:hAnsi="inherit" w:cs="Helvetica"/>
          <w:color w:val="222222"/>
          <w:sz w:val="24"/>
          <w:szCs w:val="24"/>
          <w:lang w:val="en"/>
        </w:rPr>
      </w:pPr>
      <w:r w:rsidRPr="00E87EA6">
        <w:rPr>
          <w:rFonts w:ascii="inherit" w:eastAsia="Times New Roman" w:hAnsi="inherit" w:cs="Helvetica"/>
          <w:color w:val="222222"/>
          <w:sz w:val="24"/>
          <w:szCs w:val="24"/>
          <w:lang w:val="en"/>
        </w:rPr>
        <w:t>On September 2, 2014, the Secretary of Agriculture announced the establishment of the in-quota quantity for the FY 2015 refined sugar TRQ at 127,000 MTRV for which the sucrose content, by weight in the dry state, must have a polarimeter reading of 99.5 degrees or more. This amount includes the minimum quantity to which the United States is committed under the WTO Agreement—22,000 MTRV, of which 1,656 MTRV is reserved for specialty sugar—and an additional 105,000 MTRV for specialty sugars. USTR is allocating 10,300 MTRV of refined sugar to Canada, 2,954 to Mexico, and 7,090 MTRV of refined sugar to be administered on a first-come, first-served basis.</w:t>
      </w:r>
    </w:p>
    <w:p w:rsidR="00E87EA6" w:rsidRDefault="00E87EA6" w:rsidP="00E87EA6">
      <w:pPr>
        <w:shd w:val="clear" w:color="auto" w:fill="FFFFFF"/>
        <w:spacing w:after="0" w:line="240" w:lineRule="auto"/>
        <w:rPr>
          <w:rFonts w:ascii="inherit" w:eastAsia="Times New Roman" w:hAnsi="inherit" w:cs="Helvetica"/>
          <w:color w:val="222222"/>
          <w:sz w:val="24"/>
          <w:szCs w:val="24"/>
          <w:lang w:val="en"/>
        </w:rPr>
      </w:pPr>
      <w:r w:rsidRPr="00E87EA6">
        <w:rPr>
          <w:rFonts w:ascii="inherit" w:eastAsia="Times New Roman" w:hAnsi="inherit" w:cs="Helvetica"/>
          <w:color w:val="222222"/>
          <w:sz w:val="24"/>
          <w:szCs w:val="24"/>
          <w:lang w:val="en"/>
        </w:rPr>
        <w:lastRenderedPageBreak/>
        <w:t>Imports of all specialty sugar will be administered on a first-come, first-served basis in five tranches.  The Secretary has announced that the total in-quota quantity of specialty sugar will be the 1,656 MTRV included in the WTO minimum plus an additional 105,000 MTRV.  The first tranche of 1,656 MTRV will open October 10, 2014.  All types of specialty sugars are eligible for entry under this tranche.  The second tranche of 38,850 MTRV will open on October 24, 2014.  The third, fourth, and fifth tranches of 22,050 MTRV each will open on January 9, 2015, April 10, 2015 and July 10, 2015, respectively.  The second, third, fourth and fifth tranches will be reserved for organic sugar and other specialty sugars not currently produced commercially in the United States or reasonably available from domestic sources.</w:t>
      </w:r>
    </w:p>
    <w:p w:rsidR="000C2BD4" w:rsidRPr="00E87EA6" w:rsidRDefault="000C2BD4" w:rsidP="00E87EA6">
      <w:pPr>
        <w:shd w:val="clear" w:color="auto" w:fill="FFFFFF"/>
        <w:spacing w:after="0" w:line="240" w:lineRule="auto"/>
        <w:rPr>
          <w:rFonts w:ascii="inherit" w:eastAsia="Times New Roman" w:hAnsi="inherit" w:cs="Helvetica"/>
          <w:color w:val="222222"/>
          <w:sz w:val="24"/>
          <w:szCs w:val="24"/>
          <w:lang w:val="en"/>
        </w:rPr>
      </w:pPr>
    </w:p>
    <w:p w:rsidR="00E87EA6" w:rsidRPr="00E87EA6" w:rsidRDefault="00E87EA6" w:rsidP="00E87EA6">
      <w:pPr>
        <w:shd w:val="clear" w:color="auto" w:fill="FFFFFF"/>
        <w:spacing w:after="0" w:line="240" w:lineRule="auto"/>
        <w:rPr>
          <w:rFonts w:ascii="inherit" w:eastAsia="Times New Roman" w:hAnsi="inherit" w:cs="Helvetica"/>
          <w:color w:val="222222"/>
          <w:sz w:val="24"/>
          <w:szCs w:val="24"/>
          <w:lang w:val="en"/>
        </w:rPr>
      </w:pPr>
      <w:r w:rsidRPr="00E87EA6">
        <w:rPr>
          <w:rFonts w:ascii="inherit" w:eastAsia="Times New Roman" w:hAnsi="inherit" w:cs="Helvetica"/>
          <w:color w:val="222222"/>
          <w:sz w:val="24"/>
          <w:szCs w:val="24"/>
          <w:lang w:val="en"/>
        </w:rPr>
        <w:t>With respect to the in-quota quantity of 64,709 metric tons (MT) of the TRQ for imports of certain sugar-containing products maintained under Additional U.S. Note 8 to chapter 17 of the HTS, USTR is allocating 59,250 MT to Canada.  The remainder of the in-quota quantity, 5,459 MT, is available for other countries on a first-come, first-served basis.</w:t>
      </w:r>
    </w:p>
    <w:p w:rsidR="00E87EA6" w:rsidRPr="00E87EA6" w:rsidRDefault="00E87EA6" w:rsidP="00E87EA6">
      <w:pPr>
        <w:shd w:val="clear" w:color="auto" w:fill="FFFFFF"/>
        <w:spacing w:after="0" w:line="240" w:lineRule="auto"/>
        <w:rPr>
          <w:rFonts w:ascii="inherit" w:eastAsia="Times New Roman" w:hAnsi="inherit" w:cs="Helvetica"/>
          <w:color w:val="222222"/>
          <w:sz w:val="24"/>
          <w:szCs w:val="24"/>
          <w:lang w:val="en"/>
        </w:rPr>
      </w:pPr>
      <w:r w:rsidRPr="00E87EA6">
        <w:rPr>
          <w:rFonts w:ascii="inherit" w:eastAsia="Times New Roman" w:hAnsi="inherit" w:cs="Helvetica"/>
          <w:color w:val="222222"/>
          <w:sz w:val="24"/>
          <w:szCs w:val="24"/>
          <w:lang w:val="en"/>
        </w:rPr>
        <w:t>Raw cane sugar, refined and specialty sugar and sugar-containing products for FY 2015 TRQs may enter the United States as of October 1, 2014.</w:t>
      </w:r>
    </w:p>
    <w:p w:rsidR="00E87EA6" w:rsidRPr="00E87EA6" w:rsidRDefault="00E87EA6" w:rsidP="00E87EA6">
      <w:pPr>
        <w:shd w:val="clear" w:color="auto" w:fill="FFFFFF"/>
        <w:spacing w:after="0" w:line="240" w:lineRule="auto"/>
        <w:rPr>
          <w:rFonts w:ascii="inherit" w:eastAsia="Times New Roman" w:hAnsi="inherit" w:cs="Helvetica"/>
          <w:color w:val="222222"/>
          <w:sz w:val="24"/>
          <w:szCs w:val="24"/>
          <w:lang w:val="en"/>
        </w:rPr>
      </w:pPr>
      <w:r w:rsidRPr="00E87EA6">
        <w:rPr>
          <w:rFonts w:ascii="inherit" w:eastAsia="Times New Roman" w:hAnsi="inherit" w:cs="Helvetica"/>
          <w:color w:val="222222"/>
          <w:sz w:val="24"/>
          <w:szCs w:val="24"/>
          <w:lang w:val="en"/>
        </w:rPr>
        <w:t> </w:t>
      </w:r>
    </w:p>
    <w:p w:rsidR="00E87EA6" w:rsidRPr="00E87EA6" w:rsidRDefault="00E87EA6" w:rsidP="00E87EA6">
      <w:pPr>
        <w:shd w:val="clear" w:color="auto" w:fill="FFFFFF"/>
        <w:spacing w:after="0" w:line="240" w:lineRule="auto"/>
        <w:rPr>
          <w:rFonts w:ascii="inherit" w:eastAsia="Times New Roman" w:hAnsi="inherit" w:cs="Helvetica"/>
          <w:color w:val="222222"/>
          <w:sz w:val="24"/>
          <w:szCs w:val="24"/>
          <w:lang w:val="en"/>
        </w:rPr>
      </w:pPr>
      <w:r w:rsidRPr="00E87EA6">
        <w:rPr>
          <w:rFonts w:ascii="inherit" w:eastAsia="Times New Roman" w:hAnsi="inherit" w:cs="Helvetica"/>
          <w:color w:val="222222"/>
          <w:sz w:val="24"/>
          <w:szCs w:val="24"/>
          <w:lang w:val="en"/>
        </w:rPr>
        <w:t>*Conversion factor: 1 metric ton = 1.10231125 short tons.</w:t>
      </w:r>
    </w:p>
    <w:p w:rsidR="00B228EC" w:rsidRPr="00E87EA6" w:rsidRDefault="00B228EC">
      <w:pPr>
        <w:rPr>
          <w:rFonts w:ascii="Arial" w:hAnsi="Arial" w:cs="Arial"/>
          <w:sz w:val="24"/>
          <w:szCs w:val="24"/>
        </w:rPr>
      </w:pPr>
    </w:p>
    <w:sectPr w:rsidR="00B228EC" w:rsidRPr="00E87EA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C1F" w:rsidRDefault="00365C1F" w:rsidP="00365C1F">
      <w:pPr>
        <w:spacing w:after="0" w:line="240" w:lineRule="auto"/>
      </w:pPr>
      <w:r>
        <w:separator/>
      </w:r>
    </w:p>
  </w:endnote>
  <w:endnote w:type="continuationSeparator" w:id="0">
    <w:p w:rsidR="00365C1F" w:rsidRDefault="00365C1F" w:rsidP="00365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C1F" w:rsidRDefault="00365C1F" w:rsidP="00365C1F">
      <w:pPr>
        <w:spacing w:after="0" w:line="240" w:lineRule="auto"/>
      </w:pPr>
      <w:r>
        <w:separator/>
      </w:r>
    </w:p>
  </w:footnote>
  <w:footnote w:type="continuationSeparator" w:id="0">
    <w:p w:rsidR="00365C1F" w:rsidRDefault="00365C1F" w:rsidP="00365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C1F" w:rsidRDefault="00365C1F" w:rsidP="00365C1F">
    <w:pPr>
      <w:pStyle w:val="Header"/>
      <w:jc w:val="right"/>
    </w:pPr>
    <w:r>
      <w:t>Attachment 9 – USTR Press Release</w:t>
    </w:r>
  </w:p>
  <w:p w:rsidR="00365C1F" w:rsidRDefault="00365C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EA6"/>
    <w:rsid w:val="000C2BD4"/>
    <w:rsid w:val="00365C1F"/>
    <w:rsid w:val="00B228EC"/>
    <w:rsid w:val="00DD1251"/>
    <w:rsid w:val="00E87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C1F"/>
  </w:style>
  <w:style w:type="paragraph" w:styleId="Footer">
    <w:name w:val="footer"/>
    <w:basedOn w:val="Normal"/>
    <w:link w:val="FooterChar"/>
    <w:uiPriority w:val="99"/>
    <w:unhideWhenUsed/>
    <w:rsid w:val="00365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C1F"/>
  </w:style>
  <w:style w:type="paragraph" w:styleId="BalloonText">
    <w:name w:val="Balloon Text"/>
    <w:basedOn w:val="Normal"/>
    <w:link w:val="BalloonTextChar"/>
    <w:uiPriority w:val="99"/>
    <w:semiHidden/>
    <w:unhideWhenUsed/>
    <w:rsid w:val="00365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C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C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C1F"/>
  </w:style>
  <w:style w:type="paragraph" w:styleId="Footer">
    <w:name w:val="footer"/>
    <w:basedOn w:val="Normal"/>
    <w:link w:val="FooterChar"/>
    <w:uiPriority w:val="99"/>
    <w:unhideWhenUsed/>
    <w:rsid w:val="00365C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C1F"/>
  </w:style>
  <w:style w:type="paragraph" w:styleId="BalloonText">
    <w:name w:val="Balloon Text"/>
    <w:basedOn w:val="Normal"/>
    <w:link w:val="BalloonTextChar"/>
    <w:uiPriority w:val="99"/>
    <w:semiHidden/>
    <w:unhideWhenUsed/>
    <w:rsid w:val="00365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5C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970784">
      <w:bodyDiv w:val="1"/>
      <w:marLeft w:val="0"/>
      <w:marRight w:val="0"/>
      <w:marTop w:val="0"/>
      <w:marBottom w:val="0"/>
      <w:divBdr>
        <w:top w:val="none" w:sz="0" w:space="0" w:color="auto"/>
        <w:left w:val="none" w:sz="0" w:space="0" w:color="auto"/>
        <w:bottom w:val="none" w:sz="0" w:space="0" w:color="auto"/>
        <w:right w:val="none" w:sz="0" w:space="0" w:color="auto"/>
      </w:divBdr>
      <w:divsChild>
        <w:div w:id="1563711452">
          <w:marLeft w:val="0"/>
          <w:marRight w:val="0"/>
          <w:marTop w:val="0"/>
          <w:marBottom w:val="0"/>
          <w:divBdr>
            <w:top w:val="none" w:sz="0" w:space="0" w:color="auto"/>
            <w:left w:val="none" w:sz="0" w:space="0" w:color="auto"/>
            <w:bottom w:val="none" w:sz="0" w:space="0" w:color="auto"/>
            <w:right w:val="none" w:sz="0" w:space="0" w:color="auto"/>
          </w:divBdr>
          <w:divsChild>
            <w:div w:id="160439013">
              <w:marLeft w:val="0"/>
              <w:marRight w:val="0"/>
              <w:marTop w:val="0"/>
              <w:marBottom w:val="0"/>
              <w:divBdr>
                <w:top w:val="none" w:sz="0" w:space="0" w:color="auto"/>
                <w:left w:val="none" w:sz="0" w:space="0" w:color="auto"/>
                <w:bottom w:val="none" w:sz="0" w:space="0" w:color="auto"/>
                <w:right w:val="none" w:sz="0" w:space="0" w:color="auto"/>
              </w:divBdr>
              <w:divsChild>
                <w:div w:id="1983732205">
                  <w:marLeft w:val="0"/>
                  <w:marRight w:val="0"/>
                  <w:marTop w:val="0"/>
                  <w:marBottom w:val="0"/>
                  <w:divBdr>
                    <w:top w:val="none" w:sz="0" w:space="0" w:color="auto"/>
                    <w:left w:val="none" w:sz="0" w:space="0" w:color="auto"/>
                    <w:bottom w:val="none" w:sz="0" w:space="0" w:color="auto"/>
                    <w:right w:val="none" w:sz="0" w:space="0" w:color="auto"/>
                  </w:divBdr>
                  <w:divsChild>
                    <w:div w:id="1300840028">
                      <w:marLeft w:val="0"/>
                      <w:marRight w:val="0"/>
                      <w:marTop w:val="0"/>
                      <w:marBottom w:val="0"/>
                      <w:divBdr>
                        <w:top w:val="none" w:sz="0" w:space="0" w:color="auto"/>
                        <w:left w:val="none" w:sz="0" w:space="0" w:color="auto"/>
                        <w:bottom w:val="none" w:sz="0" w:space="0" w:color="auto"/>
                        <w:right w:val="none" w:sz="0" w:space="0" w:color="auto"/>
                      </w:divBdr>
                      <w:divsChild>
                        <w:div w:id="87192662">
                          <w:marLeft w:val="0"/>
                          <w:marRight w:val="0"/>
                          <w:marTop w:val="0"/>
                          <w:marBottom w:val="225"/>
                          <w:divBdr>
                            <w:top w:val="none" w:sz="0" w:space="0" w:color="auto"/>
                            <w:left w:val="none" w:sz="0" w:space="0" w:color="auto"/>
                            <w:bottom w:val="none" w:sz="0" w:space="0" w:color="auto"/>
                            <w:right w:val="none" w:sz="0" w:space="0" w:color="auto"/>
                          </w:divBdr>
                        </w:div>
                        <w:div w:id="1028723468">
                          <w:marLeft w:val="0"/>
                          <w:marRight w:val="0"/>
                          <w:marTop w:val="0"/>
                          <w:marBottom w:val="0"/>
                          <w:divBdr>
                            <w:top w:val="none" w:sz="0" w:space="0" w:color="auto"/>
                            <w:left w:val="none" w:sz="0" w:space="0" w:color="auto"/>
                            <w:bottom w:val="none" w:sz="0" w:space="0" w:color="auto"/>
                            <w:right w:val="none" w:sz="0" w:space="0" w:color="auto"/>
                          </w:divBdr>
                          <w:divsChild>
                            <w:div w:id="279531060">
                              <w:marLeft w:val="0"/>
                              <w:marRight w:val="0"/>
                              <w:marTop w:val="0"/>
                              <w:marBottom w:val="0"/>
                              <w:divBdr>
                                <w:top w:val="none" w:sz="0" w:space="0" w:color="auto"/>
                                <w:left w:val="none" w:sz="0" w:space="0" w:color="auto"/>
                                <w:bottom w:val="none" w:sz="0" w:space="0" w:color="auto"/>
                                <w:right w:val="none" w:sz="0" w:space="0" w:color="auto"/>
                              </w:divBdr>
                              <w:divsChild>
                                <w:div w:id="1999141203">
                                  <w:marLeft w:val="0"/>
                                  <w:marRight w:val="0"/>
                                  <w:marTop w:val="0"/>
                                  <w:marBottom w:val="0"/>
                                  <w:divBdr>
                                    <w:top w:val="none" w:sz="0" w:space="0" w:color="auto"/>
                                    <w:left w:val="none" w:sz="0" w:space="0" w:color="auto"/>
                                    <w:bottom w:val="none" w:sz="0" w:space="0" w:color="auto"/>
                                    <w:right w:val="none" w:sz="0" w:space="0" w:color="auto"/>
                                  </w:divBdr>
                                  <w:divsChild>
                                    <w:div w:id="667295462">
                                      <w:marLeft w:val="0"/>
                                      <w:marRight w:val="0"/>
                                      <w:marTop w:val="0"/>
                                      <w:marBottom w:val="0"/>
                                      <w:divBdr>
                                        <w:top w:val="none" w:sz="0" w:space="0" w:color="auto"/>
                                        <w:left w:val="none" w:sz="0" w:space="0" w:color="auto"/>
                                        <w:bottom w:val="none" w:sz="0" w:space="0" w:color="auto"/>
                                        <w:right w:val="none" w:sz="0" w:space="0" w:color="auto"/>
                                      </w:divBdr>
                                      <w:divsChild>
                                        <w:div w:id="373890748">
                                          <w:marLeft w:val="0"/>
                                          <w:marRight w:val="0"/>
                                          <w:marTop w:val="0"/>
                                          <w:marBottom w:val="0"/>
                                          <w:divBdr>
                                            <w:top w:val="none" w:sz="0" w:space="0" w:color="auto"/>
                                            <w:left w:val="none" w:sz="0" w:space="0" w:color="auto"/>
                                            <w:bottom w:val="none" w:sz="0" w:space="0" w:color="auto"/>
                                            <w:right w:val="none" w:sz="0" w:space="0" w:color="auto"/>
                                          </w:divBdr>
                                          <w:divsChild>
                                            <w:div w:id="205268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FAS</Company>
  <LinksUpToDate>false</LinksUpToDate>
  <CharactersWithSpaces>4450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William.Janis</dc:creator>
  <cp:lastModifiedBy>Connie.Ehrhart</cp:lastModifiedBy>
  <cp:revision>2</cp:revision>
  <dcterms:created xsi:type="dcterms:W3CDTF">2017-02-22T15:20:00Z</dcterms:created>
  <dcterms:modified xsi:type="dcterms:W3CDTF">2017-02-22T15:20:00Z</dcterms:modified>
</cp:coreProperties>
</file>