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0E" w:rsidRPr="00606F0E" w:rsidRDefault="00606F0E" w:rsidP="00606F0E">
      <w:pPr>
        <w:spacing w:after="0" w:line="300" w:lineRule="atLeast"/>
        <w:ind w:left="750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38"/>
          <w:szCs w:val="38"/>
        </w:rPr>
      </w:pPr>
      <w:r w:rsidRPr="00606F0E">
        <w:rPr>
          <w:rFonts w:ascii="Arial Unicode MS" w:eastAsia="Arial Unicode MS" w:hAnsi="Arial Unicode MS" w:cs="Arial Unicode MS" w:hint="eastAsia"/>
          <w:b/>
          <w:bCs/>
          <w:color w:val="000000"/>
          <w:kern w:val="36"/>
          <w:sz w:val="38"/>
          <w:szCs w:val="38"/>
        </w:rPr>
        <w:t xml:space="preserve">Comment from jean </w:t>
      </w:r>
      <w:proofErr w:type="spellStart"/>
      <w:r w:rsidRPr="00606F0E">
        <w:rPr>
          <w:rFonts w:ascii="Arial Unicode MS" w:eastAsia="Arial Unicode MS" w:hAnsi="Arial Unicode MS" w:cs="Arial Unicode MS" w:hint="eastAsia"/>
          <w:b/>
          <w:bCs/>
          <w:color w:val="000000"/>
          <w:kern w:val="36"/>
          <w:sz w:val="38"/>
          <w:szCs w:val="38"/>
        </w:rPr>
        <w:t>publieee</w:t>
      </w:r>
      <w:proofErr w:type="spellEnd"/>
    </w:p>
    <w:p w:rsidR="00606F0E" w:rsidRPr="00606F0E" w:rsidRDefault="00606F0E" w:rsidP="00606F0E">
      <w:pPr>
        <w:spacing w:after="150" w:line="240" w:lineRule="auto"/>
        <w:rPr>
          <w:rFonts w:ascii="Helvetica" w:eastAsia="Arial Unicode MS" w:hAnsi="Helvetica" w:cs="Arial Unicode MS" w:hint="eastAsia"/>
          <w:b/>
          <w:bCs/>
          <w:color w:val="000000"/>
          <w:sz w:val="21"/>
          <w:szCs w:val="21"/>
        </w:rPr>
      </w:pPr>
      <w:r w:rsidRPr="00606F0E">
        <w:rPr>
          <w:rFonts w:ascii="Helvetica" w:eastAsia="Arial Unicode MS" w:hAnsi="Helvetica" w:cs="Arial Unicode MS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80D66DC" wp14:editId="09E8B699">
                <wp:extent cx="111125" cy="111125"/>
                <wp:effectExtent l="0" t="0" r="0" b="0"/>
                <wp:docPr id="1" name="AutoShape 1" descr="https://www.regulations.gov/document?D=APHIS-2016-0023-0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9646F" id="AutoShape 1" o:spid="_x0000_s1026" alt="https://www.regulations.gov/document?D=APHIS-2016-0023-0002" style="width:8.7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5"/>
        <w:gridCol w:w="300"/>
        <w:gridCol w:w="3525"/>
      </w:tblGrid>
      <w:tr w:rsidR="00606F0E" w:rsidRPr="00606F0E" w:rsidTr="00606F0E">
        <w:tc>
          <w:tcPr>
            <w:tcW w:w="0" w:type="auto"/>
            <w:hideMark/>
          </w:tcPr>
          <w:p w:rsidR="00606F0E" w:rsidRPr="00606F0E" w:rsidRDefault="00606F0E" w:rsidP="00606F0E">
            <w:p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The is a Comment on the Animal and Plant Health Inspection Service (APHIS) Notice: </w:t>
            </w:r>
            <w:hyperlink r:id="rId4" w:history="1">
              <w:r w:rsidRPr="00606F0E">
                <w:rPr>
                  <w:rFonts w:ascii="Arial Unicode MS" w:eastAsia="Arial Unicode MS" w:hAnsi="Arial Unicode MS" w:cs="Arial Unicode MS" w:hint="eastAsia"/>
                  <w:color w:val="0000AA"/>
                  <w:sz w:val="24"/>
                  <w:szCs w:val="24"/>
                  <w:u w:val="single"/>
                </w:rPr>
                <w:t>Agency Information Collection Activities; Proposals, Submissions, and Approvals: National Animal Health Monitoring System; Antimicrobial Use Studies</w:t>
              </w:r>
            </w:hyperlink>
          </w:p>
          <w:p w:rsidR="00606F0E" w:rsidRPr="00606F0E" w:rsidRDefault="00606F0E" w:rsidP="00606F0E">
            <w:p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For related information, </w:t>
            </w:r>
            <w:hyperlink r:id="rId5" w:history="1">
              <w:r w:rsidRPr="00606F0E">
                <w:rPr>
                  <w:rFonts w:ascii="Arial Unicode MS" w:eastAsia="Arial Unicode MS" w:hAnsi="Arial Unicode MS" w:cs="Arial Unicode MS" w:hint="eastAsia"/>
                  <w:color w:val="0000AA"/>
                  <w:sz w:val="24"/>
                  <w:szCs w:val="24"/>
                  <w:u w:val="single"/>
                </w:rPr>
                <w:t>Open Docket Folder</w:t>
              </w:r>
            </w:hyperlink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Show agency attachment(s) </w:t>
            </w:r>
          </w:p>
          <w:p w:rsidR="00606F0E" w:rsidRPr="00606F0E" w:rsidRDefault="00606F0E" w:rsidP="00606F0E">
            <w:pPr>
              <w:spacing w:before="100" w:beforeAutospacing="1" w:after="100" w:afterAutospacing="1" w:line="240" w:lineRule="auto"/>
              <w:outlineLvl w:val="1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Attachments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View All  (0) 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06F0E" w:rsidRPr="00606F0E" w:rsidRDefault="00606F0E" w:rsidP="00606F0E">
            <w:pPr>
              <w:spacing w:before="100" w:beforeAutospacing="1" w:after="100" w:afterAutospacing="1" w:line="240" w:lineRule="auto"/>
              <w:outlineLvl w:val="1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Comment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View document: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this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is an attempt to spend general tax dollars on this effort of collection of information.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this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makes no sense because of the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resultting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propaganda, fakery and lies that issue from this dept. the national taxpayers who pay for these programs never get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accurat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einformation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anyway.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industry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lobbyists with their close "collaboration" always make sure their ways and their request for obfuscation, lying and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inaccurrte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information come through in the end.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i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do not support this additional collection since nobody can trust the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govt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anymore.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they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lie to us continually. the rich profiteers have their ear and they are the only ones who count to those working in govt. so the general public gets raped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fro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tax dollars which are then turned into attempts to fool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snd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scam the us public.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this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is a no win until we get a change over in the fat cat bloated bureaucracy lying to us from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washington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dc.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we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are sick of paying for lies emanating from these inept inefficient, ineffective agencies with their propaganda machines.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an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example of that is killing bison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becaues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th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eclaims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brucelloisis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from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th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ebison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, when in fact the cattle can have a vaccine for 60 cents that protect them from brucellosis but the livestock robber cattle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barson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are too cheap to pay for that.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the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bison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dont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even get brucellosis.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aphis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is constantly seeking to kill all wildlife based on the fact they "might" at some future time have a disease.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this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is nonsense.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this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is disgusting sadism and evil on the part of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ephis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we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are sick of this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usda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agency which produces crap food, abuses animals to the worst degree possible, never letting them have a decent day in their short drug filled lives.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we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are sick of the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usda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and its abusive agribusiness practices that produce nothing but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burtaliziation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for all animals of any kind,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incouding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the us public 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we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want change.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we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want it now.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we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want attention paid to decent raising of farm animals and their natural lives to be the focus on 6 seeks of life, with baby chicks mashed up in wood machines.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the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evil in this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govt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is extensive and abusive. </w:t>
            </w:r>
            <w:proofErr w:type="gram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we</w:t>
            </w:r>
            <w:proofErr w:type="gram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want the fat cats fired. 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sz w:val="24"/>
                <w:szCs w:val="24"/>
              </w:rPr>
              <w:t>No documents available.</w:t>
            </w: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</w:t>
            </w:r>
          </w:p>
          <w:p w:rsidR="00606F0E" w:rsidRPr="00606F0E" w:rsidRDefault="00606F0E" w:rsidP="00606F0E">
            <w:pPr>
              <w:spacing w:before="100" w:beforeAutospacing="1" w:after="100" w:afterAutospacing="1" w:line="240" w:lineRule="auto"/>
              <w:outlineLvl w:val="1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Attachments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View All  (0) 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606F0E" w:rsidRPr="00606F0E" w:rsidRDefault="00606F0E" w:rsidP="00606F0E">
            <w:pPr>
              <w:spacing w:after="0" w:line="15" w:lineRule="atLeast"/>
              <w:rPr>
                <w:rFonts w:ascii="Arial Unicode MS" w:eastAsia="Arial Unicode MS" w:hAnsi="Arial Unicode MS" w:cs="Arial Unicode MS" w:hint="eastAsia"/>
                <w:color w:val="000000"/>
                <w:sz w:val="2"/>
                <w:szCs w:val="2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"/>
                <w:szCs w:val="2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3525" w:type="dxa"/>
            <w:hideMark/>
          </w:tcPr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Comment Now! 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Comment Period Closed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Sep 12 2016, at 11:59 PM ET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ID:</w:t>
            </w: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APHIS-2016-0023-0002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Tracking Number:</w:t>
            </w: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1k0-8qr9-9qeh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View original printed format: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/>
                <w:noProof/>
                <w:color w:val="000000"/>
                <w:sz w:val="24"/>
                <w:szCs w:val="24"/>
              </w:rPr>
              <w:drawing>
                <wp:inline distT="0" distB="0" distL="0" distR="0" wp14:anchorId="224E2700" wp14:editId="30C39EB7">
                  <wp:extent cx="254635" cy="230505"/>
                  <wp:effectExtent l="0" t="0" r="0" b="0"/>
                  <wp:docPr id="5" name="Picture 5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606F0E" w:rsidRPr="00606F0E" w:rsidRDefault="00606F0E" w:rsidP="00606F0E">
            <w:pPr>
              <w:spacing w:before="100" w:beforeAutospacing="1" w:after="100" w:afterAutospacing="1" w:line="240" w:lineRule="auto"/>
              <w:outlineLvl w:val="1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Document Information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 xml:space="preserve">Date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Posted:</w:t>
            </w: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Jul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14, 2016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Show More Details  </w:t>
            </w:r>
            <w:r w:rsidRPr="00606F0E">
              <w:rPr>
                <w:rFonts w:ascii="Arial Unicode MS" w:eastAsia="Arial Unicode MS" w:hAnsi="Arial Unicode MS" w:cs="Arial Unicode MS"/>
                <w:noProof/>
                <w:color w:val="000000"/>
                <w:sz w:val="24"/>
                <w:szCs w:val="24"/>
              </w:rPr>
              <w:drawing>
                <wp:inline distT="0" distB="0" distL="0" distR="0" wp14:anchorId="0F80BCF3" wp14:editId="6EBE88A7">
                  <wp:extent cx="87630" cy="95250"/>
                  <wp:effectExtent l="0" t="0" r="7620" b="0"/>
                  <wp:docPr id="7" name="Picture 7" descr="https://www.regulations.gov/images/icon_pop-o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regulations.gov/images/icon_pop-o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606F0E" w:rsidRPr="00606F0E" w:rsidRDefault="00606F0E" w:rsidP="00606F0E">
            <w:pPr>
              <w:spacing w:before="100" w:beforeAutospacing="1" w:after="100" w:afterAutospacing="1" w:line="240" w:lineRule="auto"/>
              <w:outlineLvl w:val="1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Submitter Information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 xml:space="preserve">Submitter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Name:</w:t>
            </w: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jean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publieee</w:t>
            </w:r>
            <w:proofErr w:type="spellEnd"/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City:</w:t>
            </w: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not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availble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or necessary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Country:</w:t>
            </w: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United</w:t>
            </w:r>
            <w:proofErr w:type="spellEnd"/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States</w:t>
            </w:r>
          </w:p>
          <w:p w:rsidR="00606F0E" w:rsidRPr="00606F0E" w:rsidRDefault="00606F0E" w:rsidP="00606F0E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 xml:space="preserve">State or </w:t>
            </w:r>
            <w:proofErr w:type="spellStart"/>
            <w:r w:rsidRPr="00606F0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Province:</w:t>
            </w:r>
            <w:r w:rsidRPr="00606F0E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NJ</w:t>
            </w:r>
            <w:proofErr w:type="spellEnd"/>
          </w:p>
        </w:tc>
      </w:tr>
    </w:tbl>
    <w:p w:rsidR="00285332" w:rsidRDefault="00285332">
      <w:bookmarkStart w:id="0" w:name="_GoBack"/>
      <w:bookmarkEnd w:id="0"/>
    </w:p>
    <w:sectPr w:rsidR="00285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0E"/>
    <w:rsid w:val="000A696C"/>
    <w:rsid w:val="00285332"/>
    <w:rsid w:val="00606F0E"/>
    <w:rsid w:val="007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D00EF-CEBF-49FA-95D0-C8CEE2B6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4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86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8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39866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0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1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60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1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44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5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2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467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9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898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45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13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1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6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65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73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3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44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612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7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19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82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2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59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68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40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47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regulations.gov/docket?D=APHIS-2016-0023" TargetMode="External"/><Relationship Id="rId4" Type="http://schemas.openxmlformats.org/officeDocument/2006/relationships/hyperlink" Target="https://www.regulations.gov/document?D=APHIS-2016-0023-00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Kimberly A - APHIS</dc:creator>
  <cp:keywords/>
  <dc:description/>
  <cp:lastModifiedBy>Hardy, Kimberly A - APHIS</cp:lastModifiedBy>
  <cp:revision>1</cp:revision>
  <dcterms:created xsi:type="dcterms:W3CDTF">2017-02-21T22:00:00Z</dcterms:created>
  <dcterms:modified xsi:type="dcterms:W3CDTF">2017-02-21T22:02:00Z</dcterms:modified>
</cp:coreProperties>
</file>