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3581E" w14:textId="77777777" w:rsidR="00EC4B20" w:rsidRPr="00F258A4" w:rsidRDefault="00EC4B20" w:rsidP="0057651D">
      <w:pPr>
        <w:rPr>
          <w:b/>
        </w:rPr>
      </w:pPr>
      <w:bookmarkStart w:id="0" w:name="_GoBack"/>
      <w:bookmarkEnd w:id="0"/>
    </w:p>
    <w:p w14:paraId="1F283B4F" w14:textId="77777777" w:rsidR="00EC4B20" w:rsidRPr="00F258A4" w:rsidRDefault="00EC4B20" w:rsidP="0057651D">
      <w:pPr>
        <w:rPr>
          <w:b/>
        </w:rPr>
      </w:pPr>
    </w:p>
    <w:p w14:paraId="65781951" w14:textId="77777777" w:rsidR="00EC4B20" w:rsidRPr="00F258A4" w:rsidRDefault="00EC4B20" w:rsidP="0057651D">
      <w:pPr>
        <w:rPr>
          <w:b/>
        </w:rPr>
      </w:pPr>
    </w:p>
    <w:p w14:paraId="4B702D8A" w14:textId="77777777" w:rsidR="00EC4B20" w:rsidRPr="00F258A4" w:rsidRDefault="00EC4B20" w:rsidP="0057651D">
      <w:pPr>
        <w:jc w:val="center"/>
        <w:rPr>
          <w:b/>
        </w:rPr>
      </w:pPr>
      <w:r w:rsidRPr="00F258A4">
        <w:rPr>
          <w:b/>
        </w:rPr>
        <w:t>SUPPORTING STATEMENT FOR INFORMATION COLLECTION</w:t>
      </w:r>
    </w:p>
    <w:p w14:paraId="298FDD4D" w14:textId="77777777" w:rsidR="00EC4B20" w:rsidRPr="00F258A4" w:rsidRDefault="00EC4B20" w:rsidP="0057651D">
      <w:pPr>
        <w:jc w:val="center"/>
        <w:rPr>
          <w:b/>
        </w:rPr>
      </w:pPr>
    </w:p>
    <w:p w14:paraId="0F29A878" w14:textId="77777777" w:rsidR="00EC4B20" w:rsidRPr="00F258A4" w:rsidRDefault="00EC4B20" w:rsidP="0057651D">
      <w:pPr>
        <w:jc w:val="center"/>
        <w:rPr>
          <w:b/>
        </w:rPr>
      </w:pPr>
    </w:p>
    <w:p w14:paraId="4C30C0BC" w14:textId="77777777" w:rsidR="00EC4B20" w:rsidRPr="00F258A4" w:rsidRDefault="00EC4B20" w:rsidP="0057651D">
      <w:pPr>
        <w:jc w:val="center"/>
        <w:rPr>
          <w:b/>
        </w:rPr>
      </w:pPr>
    </w:p>
    <w:p w14:paraId="055ECE88" w14:textId="77777777" w:rsidR="00EC4B20" w:rsidRPr="00F258A4" w:rsidRDefault="00EC4B20" w:rsidP="0057651D">
      <w:pPr>
        <w:jc w:val="center"/>
        <w:rPr>
          <w:b/>
        </w:rPr>
      </w:pPr>
    </w:p>
    <w:p w14:paraId="2125EFE8" w14:textId="77777777" w:rsidR="00EC4B20" w:rsidRPr="00F258A4" w:rsidRDefault="00EC4B20" w:rsidP="0057651D">
      <w:pPr>
        <w:jc w:val="center"/>
        <w:rPr>
          <w:b/>
        </w:rPr>
      </w:pPr>
      <w:r w:rsidRPr="00F258A4">
        <w:rPr>
          <w:b/>
        </w:rPr>
        <w:t>UNITED STATES DEPARTMENT OF AGRICULTURE (USDA)</w:t>
      </w:r>
    </w:p>
    <w:p w14:paraId="4771491C" w14:textId="77777777" w:rsidR="00EC4B20" w:rsidRPr="00F258A4" w:rsidRDefault="00EC4B20" w:rsidP="0057651D">
      <w:pPr>
        <w:jc w:val="center"/>
        <w:rPr>
          <w:b/>
        </w:rPr>
      </w:pPr>
    </w:p>
    <w:p w14:paraId="600E88FE" w14:textId="77777777" w:rsidR="00EC4B20" w:rsidRPr="00F258A4" w:rsidRDefault="00EC4B20" w:rsidP="0057651D">
      <w:pPr>
        <w:jc w:val="center"/>
        <w:rPr>
          <w:b/>
        </w:rPr>
      </w:pPr>
      <w:r w:rsidRPr="00F258A4">
        <w:rPr>
          <w:b/>
        </w:rPr>
        <w:t>ANIMAL AND PLANT HEALTH INSPECTION SERVICE (APHIS)</w:t>
      </w:r>
    </w:p>
    <w:p w14:paraId="28AA5F9A" w14:textId="77777777" w:rsidR="00EC4B20" w:rsidRPr="00F258A4" w:rsidRDefault="00EC4B20" w:rsidP="0057651D">
      <w:pPr>
        <w:jc w:val="center"/>
        <w:rPr>
          <w:b/>
        </w:rPr>
      </w:pPr>
    </w:p>
    <w:p w14:paraId="2B225CEE" w14:textId="77777777" w:rsidR="00EC4B20" w:rsidRPr="00F258A4" w:rsidRDefault="00EC4B20" w:rsidP="0057651D">
      <w:pPr>
        <w:jc w:val="center"/>
        <w:rPr>
          <w:b/>
        </w:rPr>
      </w:pPr>
      <w:r w:rsidRPr="00F258A4">
        <w:rPr>
          <w:b/>
        </w:rPr>
        <w:t>VETERINARY SERVICES (VS)</w:t>
      </w:r>
    </w:p>
    <w:p w14:paraId="6053E2F6" w14:textId="77777777" w:rsidR="00EC4B20" w:rsidRPr="00F258A4" w:rsidRDefault="00EC4B20" w:rsidP="0057651D">
      <w:pPr>
        <w:jc w:val="center"/>
        <w:rPr>
          <w:b/>
        </w:rPr>
      </w:pPr>
    </w:p>
    <w:p w14:paraId="0D36E2AB" w14:textId="77777777" w:rsidR="00EC4B20" w:rsidRPr="00F258A4" w:rsidRDefault="00EC4B20" w:rsidP="0057651D">
      <w:pPr>
        <w:jc w:val="center"/>
        <w:rPr>
          <w:b/>
        </w:rPr>
      </w:pPr>
      <w:r w:rsidRPr="00F258A4">
        <w:rPr>
          <w:b/>
        </w:rPr>
        <w:t>CENTERS FOR EPIDEMIOLOGY AND ANIMAL HEALTH (CEAH),</w:t>
      </w:r>
    </w:p>
    <w:p w14:paraId="0DA271CC" w14:textId="77777777" w:rsidR="00EC4B20" w:rsidRPr="00F258A4" w:rsidRDefault="00EC4B20" w:rsidP="0057651D">
      <w:pPr>
        <w:jc w:val="center"/>
        <w:rPr>
          <w:b/>
        </w:rPr>
      </w:pPr>
    </w:p>
    <w:p w14:paraId="2BF45103" w14:textId="77777777" w:rsidR="00EC4B20" w:rsidRPr="00F258A4" w:rsidRDefault="00EC4B20" w:rsidP="0057651D">
      <w:pPr>
        <w:jc w:val="center"/>
        <w:rPr>
          <w:b/>
        </w:rPr>
      </w:pPr>
      <w:r w:rsidRPr="00F258A4">
        <w:rPr>
          <w:b/>
        </w:rPr>
        <w:t xml:space="preserve">NATIONAL </w:t>
      </w:r>
      <w:r>
        <w:rPr>
          <w:b/>
        </w:rPr>
        <w:t>ANIMAL HEALTH MONITORING SYSTEM (</w:t>
      </w:r>
      <w:r w:rsidRPr="00F258A4">
        <w:rPr>
          <w:b/>
        </w:rPr>
        <w:t>NAH</w:t>
      </w:r>
      <w:r>
        <w:rPr>
          <w:b/>
        </w:rPr>
        <w:t>M</w:t>
      </w:r>
      <w:r w:rsidRPr="00F258A4">
        <w:rPr>
          <w:b/>
        </w:rPr>
        <w:t>S)</w:t>
      </w:r>
    </w:p>
    <w:p w14:paraId="56D4B8E1" w14:textId="77777777" w:rsidR="00EC4B20" w:rsidRPr="00F258A4" w:rsidRDefault="00EC4B20" w:rsidP="0057651D">
      <w:pPr>
        <w:jc w:val="center"/>
        <w:rPr>
          <w:b/>
        </w:rPr>
      </w:pPr>
    </w:p>
    <w:p w14:paraId="39C572F2" w14:textId="77777777" w:rsidR="00EC4B20" w:rsidRPr="00F258A4" w:rsidRDefault="00EC4B20" w:rsidP="0057651D">
      <w:pPr>
        <w:jc w:val="center"/>
        <w:rPr>
          <w:b/>
        </w:rPr>
      </w:pPr>
    </w:p>
    <w:p w14:paraId="66D77445" w14:textId="77777777" w:rsidR="004F63B7" w:rsidRDefault="004F63B7" w:rsidP="004F63B7">
      <w:pPr>
        <w:jc w:val="center"/>
        <w:rPr>
          <w:b/>
        </w:rPr>
      </w:pPr>
      <w:r>
        <w:rPr>
          <w:b/>
        </w:rPr>
        <w:t xml:space="preserve">NAHMS ANTIMICROBIAL USAGE STUDY </w:t>
      </w:r>
    </w:p>
    <w:p w14:paraId="72946A68" w14:textId="77777777" w:rsidR="00DA6C5B" w:rsidRPr="00DE3DA2" w:rsidRDefault="00DA6C5B" w:rsidP="0057651D">
      <w:pPr>
        <w:jc w:val="center"/>
        <w:rPr>
          <w:b/>
          <w:sz w:val="28"/>
          <w:szCs w:val="28"/>
        </w:rPr>
      </w:pPr>
      <w:r w:rsidRPr="00DE3DA2">
        <w:rPr>
          <w:b/>
          <w:sz w:val="28"/>
          <w:szCs w:val="28"/>
        </w:rPr>
        <w:t>Part A</w:t>
      </w:r>
    </w:p>
    <w:p w14:paraId="42C314D6" w14:textId="77777777" w:rsidR="00EC4B20" w:rsidRPr="00DE3DA2" w:rsidRDefault="00EC4B20" w:rsidP="0057651D">
      <w:pPr>
        <w:rPr>
          <w:b/>
          <w:sz w:val="20"/>
          <w:szCs w:val="20"/>
        </w:rPr>
      </w:pPr>
    </w:p>
    <w:p w14:paraId="510335BA" w14:textId="77777777" w:rsidR="00EC4B20" w:rsidRDefault="00EC4B20" w:rsidP="0057651D">
      <w:pPr>
        <w:rPr>
          <w:b/>
          <w:sz w:val="20"/>
          <w:szCs w:val="20"/>
        </w:rPr>
      </w:pPr>
    </w:p>
    <w:p w14:paraId="0330EE33" w14:textId="77777777" w:rsidR="00EC4B20" w:rsidRPr="00F258A4" w:rsidRDefault="00EC4B20" w:rsidP="0057651D">
      <w:pPr>
        <w:jc w:val="center"/>
        <w:rPr>
          <w:b/>
        </w:rPr>
      </w:pPr>
      <w:r>
        <w:rPr>
          <w:b/>
        </w:rPr>
        <w:br w:type="page"/>
      </w:r>
      <w:r w:rsidRPr="00F258A4">
        <w:rPr>
          <w:b/>
        </w:rPr>
        <w:lastRenderedPageBreak/>
        <w:t>SUPPORTING STATEMENT FOR INFOR</w:t>
      </w:r>
      <w:r w:rsidR="00B5644D">
        <w:rPr>
          <w:b/>
        </w:rPr>
        <w:t xml:space="preserve">MATION COLLECTION BY THE </w:t>
      </w:r>
      <w:r w:rsidR="00B5644D">
        <w:rPr>
          <w:b/>
        </w:rPr>
        <w:br/>
        <w:t>CENTER</w:t>
      </w:r>
      <w:r w:rsidRPr="00F258A4">
        <w:rPr>
          <w:b/>
        </w:rPr>
        <w:t xml:space="preserve"> FOR EPIDEMIOLOGY AND ANIMAL HEALTH (CEAH),</w:t>
      </w:r>
    </w:p>
    <w:p w14:paraId="072ED4E6" w14:textId="77777777" w:rsidR="00EC4B20" w:rsidRPr="00F258A4" w:rsidRDefault="00EC4B20" w:rsidP="0057651D">
      <w:pPr>
        <w:jc w:val="center"/>
        <w:rPr>
          <w:b/>
        </w:rPr>
      </w:pPr>
      <w:r w:rsidRPr="00F258A4">
        <w:rPr>
          <w:b/>
        </w:rPr>
        <w:t xml:space="preserve">NATIONAL ANIMAL HEALTH </w:t>
      </w:r>
      <w:r>
        <w:rPr>
          <w:b/>
        </w:rPr>
        <w:t xml:space="preserve">MONITORING </w:t>
      </w:r>
      <w:r w:rsidRPr="00F258A4">
        <w:rPr>
          <w:b/>
        </w:rPr>
        <w:t>S</w:t>
      </w:r>
      <w:r>
        <w:rPr>
          <w:b/>
        </w:rPr>
        <w:t>YSTEM</w:t>
      </w:r>
      <w:r w:rsidRPr="00F258A4">
        <w:rPr>
          <w:b/>
        </w:rPr>
        <w:t xml:space="preserve"> (NAH</w:t>
      </w:r>
      <w:r>
        <w:rPr>
          <w:b/>
        </w:rPr>
        <w:t>M</w:t>
      </w:r>
      <w:r w:rsidRPr="00F258A4">
        <w:rPr>
          <w:b/>
        </w:rPr>
        <w:t>S)</w:t>
      </w:r>
    </w:p>
    <w:p w14:paraId="2AAA4224" w14:textId="77777777" w:rsidR="00EC4B20" w:rsidRPr="00F258A4" w:rsidRDefault="00EC4B20" w:rsidP="0057651D">
      <w:pPr>
        <w:jc w:val="center"/>
        <w:rPr>
          <w:b/>
        </w:rPr>
      </w:pPr>
      <w:r w:rsidRPr="00F258A4">
        <w:rPr>
          <w:b/>
        </w:rPr>
        <w:t>OMB NUMBER 0579-</w:t>
      </w:r>
      <w:r>
        <w:rPr>
          <w:b/>
        </w:rPr>
        <w:t>XXXX</w:t>
      </w:r>
    </w:p>
    <w:p w14:paraId="60B82D98" w14:textId="77777777" w:rsidR="00F030EE" w:rsidRDefault="00F030EE" w:rsidP="00F030EE">
      <w:pPr>
        <w:jc w:val="center"/>
        <w:rPr>
          <w:b/>
        </w:rPr>
      </w:pPr>
      <w:r>
        <w:rPr>
          <w:b/>
        </w:rPr>
        <w:t xml:space="preserve">NAHMS Antimicrobial Usage Study </w:t>
      </w:r>
    </w:p>
    <w:p w14:paraId="14B9F89A" w14:textId="6990A2F0" w:rsidR="00EC4B20" w:rsidRPr="00F258A4" w:rsidRDefault="0018714D" w:rsidP="0057651D">
      <w:pPr>
        <w:jc w:val="right"/>
        <w:rPr>
          <w:b/>
        </w:rPr>
      </w:pPr>
      <w:r>
        <w:rPr>
          <w:b/>
        </w:rPr>
        <w:t>February</w:t>
      </w:r>
      <w:r w:rsidR="0034490A">
        <w:rPr>
          <w:b/>
        </w:rPr>
        <w:t xml:space="preserve"> 201</w:t>
      </w:r>
      <w:r>
        <w:rPr>
          <w:b/>
        </w:rPr>
        <w:t>7</w:t>
      </w:r>
    </w:p>
    <w:p w14:paraId="3D82D59B" w14:textId="77777777" w:rsidR="00EC4B20" w:rsidRPr="00F258A4" w:rsidRDefault="00EC4B20" w:rsidP="0096029B">
      <w:pPr>
        <w:rPr>
          <w:b/>
        </w:rPr>
      </w:pPr>
    </w:p>
    <w:p w14:paraId="5F4974D9" w14:textId="77777777" w:rsidR="00EC4B20" w:rsidRPr="002E27B1" w:rsidRDefault="0057651D" w:rsidP="0057651D">
      <w:pPr>
        <w:pStyle w:val="Heading1"/>
        <w:spacing w:before="0" w:after="0"/>
        <w:rPr>
          <w:rFonts w:ascii="Times New Roman" w:hAnsi="Times New Roman" w:cs="Times New Roman"/>
          <w:sz w:val="24"/>
          <w:szCs w:val="24"/>
        </w:rPr>
      </w:pPr>
      <w:bookmarkStart w:id="1" w:name="_Toc143941114"/>
      <w:r>
        <w:rPr>
          <w:rFonts w:ascii="Times New Roman" w:hAnsi="Times New Roman" w:cs="Times New Roman"/>
          <w:sz w:val="24"/>
          <w:szCs w:val="24"/>
        </w:rPr>
        <w:t xml:space="preserve">A. </w:t>
      </w:r>
      <w:r w:rsidR="00EC4B20" w:rsidRPr="002E27B1">
        <w:rPr>
          <w:rFonts w:ascii="Times New Roman" w:hAnsi="Times New Roman" w:cs="Times New Roman"/>
          <w:sz w:val="24"/>
          <w:szCs w:val="24"/>
        </w:rPr>
        <w:t>J</w:t>
      </w:r>
      <w:bookmarkEnd w:id="1"/>
      <w:r w:rsidR="00EC4B20" w:rsidRPr="002E27B1">
        <w:rPr>
          <w:rFonts w:ascii="Times New Roman" w:hAnsi="Times New Roman" w:cs="Times New Roman"/>
          <w:sz w:val="24"/>
          <w:szCs w:val="24"/>
        </w:rPr>
        <w:t>ustification</w:t>
      </w:r>
    </w:p>
    <w:p w14:paraId="201484FF" w14:textId="77777777" w:rsidR="002E27B1" w:rsidRPr="004D3478" w:rsidRDefault="002E27B1" w:rsidP="0057651D">
      <w:pPr>
        <w:pStyle w:val="DefaultText"/>
        <w:rPr>
          <w:b/>
        </w:rPr>
      </w:pPr>
      <w:r w:rsidRPr="004D3478">
        <w:rPr>
          <w:b/>
        </w:rPr>
        <w:t>1</w:t>
      </w:r>
      <w:r w:rsidR="008A72A5">
        <w:rPr>
          <w:b/>
        </w:rPr>
        <w:t xml:space="preserve">. </w:t>
      </w:r>
      <w:r w:rsidRPr="004D3478">
        <w:rPr>
          <w:b/>
        </w:rPr>
        <w:t xml:space="preserve">Explain the circumstances that make the collection of information necessary. Identify any legal or administrative requirements that necessitate the collection. Attach a copy of the </w:t>
      </w:r>
      <w:r w:rsidR="00C81B7D">
        <w:rPr>
          <w:b/>
        </w:rPr>
        <w:t>pertinent</w:t>
      </w:r>
      <w:r w:rsidRPr="004D3478">
        <w:rPr>
          <w:b/>
        </w:rPr>
        <w:t xml:space="preserve"> section of each statute and regulation mandating or authorizing the collection of information.</w:t>
      </w:r>
    </w:p>
    <w:p w14:paraId="4E3EEE26" w14:textId="77777777" w:rsidR="00126667" w:rsidRPr="0096029B" w:rsidRDefault="00126667" w:rsidP="0057651D">
      <w:pPr>
        <w:pStyle w:val="ListParagraph"/>
        <w:ind w:left="0"/>
        <w:rPr>
          <w:sz w:val="12"/>
          <w:szCs w:val="12"/>
        </w:rPr>
      </w:pPr>
    </w:p>
    <w:p w14:paraId="5F42F488" w14:textId="24A235FF" w:rsidR="00126667" w:rsidRDefault="00066E68" w:rsidP="0057651D">
      <w:pPr>
        <w:pStyle w:val="ListParagraph"/>
        <w:ind w:left="0"/>
      </w:pPr>
      <w:r w:rsidRPr="00D36F02">
        <w:t xml:space="preserve">This submission is a request for approval to initiate the National Animal Health Monitoring System’s (NAHMS’) </w:t>
      </w:r>
      <w:r w:rsidR="004F63B7">
        <w:t>A</w:t>
      </w:r>
      <w:r w:rsidR="004F63B7" w:rsidRPr="004F63B7">
        <w:t xml:space="preserve">ntimicrobial </w:t>
      </w:r>
      <w:r w:rsidR="004F63B7">
        <w:t>U</w:t>
      </w:r>
      <w:r w:rsidR="004F63B7" w:rsidRPr="004F63B7">
        <w:t xml:space="preserve">sage </w:t>
      </w:r>
      <w:r w:rsidR="00A0046F">
        <w:t>S</w:t>
      </w:r>
      <w:r w:rsidR="004F63B7" w:rsidRPr="004F63B7">
        <w:t>tudy</w:t>
      </w:r>
      <w:r w:rsidRPr="00D36F02">
        <w:t>, an information collection by the Animal and Plant Health Inspection Service (APHIS</w:t>
      </w:r>
      <w:r>
        <w:t xml:space="preserve">. </w:t>
      </w:r>
    </w:p>
    <w:p w14:paraId="26ABDF3F" w14:textId="77777777" w:rsidR="00511337" w:rsidRDefault="00511337" w:rsidP="0057651D">
      <w:pPr>
        <w:pStyle w:val="ListParagraph"/>
        <w:ind w:left="0"/>
        <w:rPr>
          <w:sz w:val="12"/>
          <w:szCs w:val="12"/>
        </w:rPr>
      </w:pPr>
    </w:p>
    <w:p w14:paraId="5FFDEE50" w14:textId="77777777" w:rsidR="004149A8" w:rsidRPr="0096029B" w:rsidRDefault="004149A8" w:rsidP="0057651D">
      <w:pPr>
        <w:pStyle w:val="ListParagraph"/>
        <w:ind w:left="0"/>
        <w:rPr>
          <w:sz w:val="12"/>
          <w:szCs w:val="12"/>
        </w:rPr>
      </w:pPr>
    </w:p>
    <w:p w14:paraId="35491569" w14:textId="7AB45279" w:rsidR="00774308" w:rsidRDefault="00511337" w:rsidP="007F204E">
      <w:r>
        <w:t>This study</w:t>
      </w:r>
      <w:r w:rsidRPr="00D36F02">
        <w:t xml:space="preserve"> will consist of </w:t>
      </w:r>
      <w:r>
        <w:t xml:space="preserve">two </w:t>
      </w:r>
      <w:r w:rsidR="00774308">
        <w:t>surveys</w:t>
      </w:r>
      <w:r w:rsidR="00F030EE">
        <w:t xml:space="preserve">, a swine </w:t>
      </w:r>
      <w:r w:rsidR="00774308">
        <w:t xml:space="preserve">survey </w:t>
      </w:r>
      <w:r w:rsidR="00F030EE">
        <w:t>and a feedlot</w:t>
      </w:r>
      <w:r w:rsidR="004149A8">
        <w:t xml:space="preserve"> </w:t>
      </w:r>
      <w:r w:rsidR="00774308">
        <w:t>survey</w:t>
      </w:r>
      <w:r w:rsidR="00F030EE">
        <w:t>. For swine</w:t>
      </w:r>
      <w:r w:rsidR="00A72D1D">
        <w:t>,</w:t>
      </w:r>
      <w:r w:rsidR="00F030EE">
        <w:t xml:space="preserve"> s</w:t>
      </w:r>
      <w:r>
        <w:t xml:space="preserve">elected operations in </w:t>
      </w:r>
      <w:r w:rsidR="00F030EE">
        <w:t>13</w:t>
      </w:r>
      <w:r>
        <w:t xml:space="preserve"> States</w:t>
      </w:r>
      <w:r w:rsidR="00F030EE" w:rsidRPr="00F030EE">
        <w:rPr>
          <w:vertAlign w:val="superscript"/>
        </w:rPr>
        <w:t>1</w:t>
      </w:r>
      <w:r>
        <w:t xml:space="preserve"> with 100</w:t>
      </w:r>
      <w:r w:rsidR="004149A8">
        <w:t>0</w:t>
      </w:r>
      <w:r>
        <w:t xml:space="preserve"> </w:t>
      </w:r>
      <w:r w:rsidR="00F030EE">
        <w:t xml:space="preserve">or more </w:t>
      </w:r>
      <w:r w:rsidR="004149A8">
        <w:t>nursery pigs or grower-finisher pigs</w:t>
      </w:r>
      <w:r>
        <w:t xml:space="preserve"> will</w:t>
      </w:r>
      <w:r w:rsidR="0057383B">
        <w:t xml:space="preserve"> be eligible for participation</w:t>
      </w:r>
      <w:r>
        <w:t xml:space="preserve">. </w:t>
      </w:r>
      <w:r w:rsidR="0021311E">
        <w:t xml:space="preserve">For feedlots, </w:t>
      </w:r>
      <w:r w:rsidR="00774308">
        <w:t>there will be 2 components:  the large component will include all operations with 1,000 or more head capacity in 16 States</w:t>
      </w:r>
      <w:r w:rsidR="00774308" w:rsidRPr="00774308">
        <w:rPr>
          <w:vertAlign w:val="superscript"/>
        </w:rPr>
        <w:t>2</w:t>
      </w:r>
      <w:r w:rsidR="00774308">
        <w:t xml:space="preserve">; and the small component will include </w:t>
      </w:r>
      <w:r w:rsidR="0021311E">
        <w:t>s</w:t>
      </w:r>
      <w:r>
        <w:t xml:space="preserve">elected operations </w:t>
      </w:r>
      <w:r w:rsidR="00774308">
        <w:t xml:space="preserve">with 50-999 head capacity </w:t>
      </w:r>
      <w:r w:rsidRPr="00D36F02">
        <w:t xml:space="preserve">in </w:t>
      </w:r>
      <w:r w:rsidR="004149A8">
        <w:t>1</w:t>
      </w:r>
      <w:r w:rsidR="00774308">
        <w:t>3</w:t>
      </w:r>
      <w:r w:rsidR="009B67E4">
        <w:t xml:space="preserve"> </w:t>
      </w:r>
      <w:r>
        <w:t>S</w:t>
      </w:r>
      <w:r w:rsidRPr="00D36F02">
        <w:t>tates</w:t>
      </w:r>
      <w:r w:rsidR="00774308">
        <w:rPr>
          <w:vertAlign w:val="superscript"/>
        </w:rPr>
        <w:t>3</w:t>
      </w:r>
      <w:r w:rsidR="008A72A5">
        <w:t>.</w:t>
      </w:r>
      <w:r w:rsidR="007F204E">
        <w:t xml:space="preserve"> </w:t>
      </w:r>
    </w:p>
    <w:p w14:paraId="271F8408" w14:textId="77777777" w:rsidR="00774308" w:rsidRDefault="00774308" w:rsidP="007F204E"/>
    <w:p w14:paraId="2AA0458F" w14:textId="4FC72D3E" w:rsidR="00511337" w:rsidRPr="00D36F02" w:rsidRDefault="00511337" w:rsidP="007F204E">
      <w:r w:rsidRPr="00D36F02">
        <w:t>Th</w:t>
      </w:r>
      <w:r w:rsidR="000D24CA">
        <w:t>is</w:t>
      </w:r>
      <w:r w:rsidRPr="00D36F02">
        <w:t xml:space="preserve"> collection </w:t>
      </w:r>
      <w:r w:rsidR="000D24CA">
        <w:t xml:space="preserve">from both commodities </w:t>
      </w:r>
      <w:r w:rsidRPr="00D36F02">
        <w:t xml:space="preserve">will support the following </w:t>
      </w:r>
      <w:r w:rsidR="0021311E">
        <w:t xml:space="preserve">general </w:t>
      </w:r>
      <w:r w:rsidRPr="00D36F02">
        <w:t xml:space="preserve">objectives: </w:t>
      </w:r>
    </w:p>
    <w:p w14:paraId="61995856" w14:textId="77777777" w:rsidR="00066E68" w:rsidRPr="003674A9" w:rsidRDefault="00066E68" w:rsidP="0057651D">
      <w:pPr>
        <w:pStyle w:val="ListParagraph"/>
        <w:ind w:left="0"/>
        <w:rPr>
          <w:sz w:val="12"/>
          <w:szCs w:val="12"/>
        </w:rPr>
      </w:pPr>
    </w:p>
    <w:p w14:paraId="52DECFD4" w14:textId="1908C153" w:rsidR="008C1BCD" w:rsidRDefault="008C1BCD" w:rsidP="0096029B">
      <w:pPr>
        <w:ind w:left="360"/>
      </w:pPr>
      <w:r>
        <w:t xml:space="preserve">1) </w:t>
      </w:r>
      <w:r w:rsidR="00A0046F">
        <w:t xml:space="preserve">Describe </w:t>
      </w:r>
      <w:r w:rsidR="001134E5">
        <w:t xml:space="preserve">antimicrobial </w:t>
      </w:r>
      <w:r w:rsidR="00A0046F">
        <w:t xml:space="preserve">usage in weaned market hogs </w:t>
      </w:r>
      <w:r w:rsidR="004623A5">
        <w:t xml:space="preserve">(nursery and grower/finisher ages) </w:t>
      </w:r>
      <w:r w:rsidR="00A0046F">
        <w:t xml:space="preserve">to control and treat disease and promote growth on a </w:t>
      </w:r>
      <w:r w:rsidR="0096029B">
        <w:t xml:space="preserve">regional and </w:t>
      </w:r>
      <w:r w:rsidR="00A0046F">
        <w:t>national basis</w:t>
      </w:r>
      <w:r w:rsidR="00FD2543">
        <w:t xml:space="preserve"> both before and after implementation of changes in FDA’s </w:t>
      </w:r>
      <w:r w:rsidR="006D4DF1">
        <w:t>V</w:t>
      </w:r>
      <w:r w:rsidR="00FD2543">
        <w:t xml:space="preserve">eterinary Feed </w:t>
      </w:r>
      <w:r w:rsidR="006D4DF1">
        <w:t>Directive</w:t>
      </w:r>
      <w:r w:rsidR="00FD2543">
        <w:t xml:space="preserve"> (VFD)</w:t>
      </w:r>
      <w:r w:rsidR="0057383B">
        <w:rPr>
          <w:vertAlign w:val="superscript"/>
        </w:rPr>
        <w:t>4</w:t>
      </w:r>
      <w:r w:rsidR="00A0046F">
        <w:t>.</w:t>
      </w:r>
      <w:r w:rsidR="00662FB1">
        <w:t xml:space="preserve">  Usage will be measured by the percent of operations that administer antimicrobials and the percent of animals that receive antimicrobials.</w:t>
      </w:r>
    </w:p>
    <w:p w14:paraId="48D7EA22" w14:textId="77777777" w:rsidR="00A0046F" w:rsidRPr="00A0046F" w:rsidRDefault="00A0046F" w:rsidP="0096029B">
      <w:pPr>
        <w:ind w:left="360"/>
        <w:rPr>
          <w:sz w:val="12"/>
          <w:szCs w:val="12"/>
        </w:rPr>
      </w:pPr>
    </w:p>
    <w:p w14:paraId="1E3DE655" w14:textId="77777777" w:rsidR="0045468B" w:rsidRDefault="00D73B0C" w:rsidP="0096029B">
      <w:pPr>
        <w:ind w:left="360"/>
      </w:pPr>
      <w:r>
        <w:t>2</w:t>
      </w:r>
      <w:r w:rsidR="008C1BCD">
        <w:t xml:space="preserve">) </w:t>
      </w:r>
      <w:r w:rsidR="00A0046F">
        <w:t>Provide this information to the U.S. Swine and Feedlot industries as well as legislators to help form policy based on objective estimates</w:t>
      </w:r>
      <w:r w:rsidR="0045468B">
        <w:t>.</w:t>
      </w:r>
    </w:p>
    <w:p w14:paraId="47BA0566" w14:textId="77777777" w:rsidR="008C1BCD" w:rsidRPr="00A0046F" w:rsidRDefault="008C1BCD" w:rsidP="0096029B">
      <w:pPr>
        <w:ind w:left="360"/>
        <w:rPr>
          <w:sz w:val="12"/>
          <w:szCs w:val="12"/>
        </w:rPr>
      </w:pPr>
    </w:p>
    <w:p w14:paraId="466DEE93" w14:textId="77777777" w:rsidR="0045468B" w:rsidRDefault="00D73B0C" w:rsidP="0096029B">
      <w:pPr>
        <w:ind w:left="360"/>
      </w:pPr>
      <w:r>
        <w:t>3</w:t>
      </w:r>
      <w:r w:rsidR="008C1BCD">
        <w:t xml:space="preserve">) </w:t>
      </w:r>
      <w:r w:rsidR="008E6BC9">
        <w:t>U</w:t>
      </w:r>
      <w:r w:rsidR="0045468B">
        <w:t xml:space="preserve">se findings from the study as a basis for more in-depth evaluation of </w:t>
      </w:r>
      <w:r w:rsidR="00A0046F" w:rsidRPr="00A0046F">
        <w:t>usage and resistance</w:t>
      </w:r>
      <w:r w:rsidR="00A0046F">
        <w:rPr>
          <w:i/>
        </w:rPr>
        <w:t xml:space="preserve"> </w:t>
      </w:r>
      <w:r w:rsidR="00A0046F">
        <w:t>in a subsequent longitudinal study on farms</w:t>
      </w:r>
      <w:r w:rsidR="0045468B">
        <w:t>.</w:t>
      </w:r>
    </w:p>
    <w:p w14:paraId="0266530D" w14:textId="77777777" w:rsidR="001763C7" w:rsidRPr="0096029B" w:rsidRDefault="001763C7" w:rsidP="0096029B">
      <w:pPr>
        <w:pStyle w:val="ListParagraph"/>
        <w:ind w:left="0"/>
        <w:rPr>
          <w:sz w:val="12"/>
          <w:szCs w:val="12"/>
        </w:rPr>
      </w:pPr>
    </w:p>
    <w:p w14:paraId="53267B97" w14:textId="53322BDC" w:rsidR="00774308" w:rsidRDefault="00A72D1D" w:rsidP="006D4DF1">
      <w:pPr>
        <w:pBdr>
          <w:top w:val="single" w:sz="4" w:space="1" w:color="auto"/>
        </w:pBdr>
        <w:tabs>
          <w:tab w:val="left" w:pos="0"/>
        </w:tabs>
        <w:rPr>
          <w:sz w:val="20"/>
          <w:szCs w:val="20"/>
        </w:rPr>
      </w:pPr>
      <w:r w:rsidRPr="00A72D1D">
        <w:rPr>
          <w:sz w:val="20"/>
          <w:szCs w:val="20"/>
          <w:vertAlign w:val="superscript"/>
        </w:rPr>
        <w:t>1</w:t>
      </w:r>
      <w:r w:rsidR="0018714D">
        <w:rPr>
          <w:sz w:val="20"/>
          <w:szCs w:val="20"/>
          <w:vertAlign w:val="superscript"/>
        </w:rPr>
        <w:t xml:space="preserve"> </w:t>
      </w:r>
      <w:r w:rsidR="0018714D">
        <w:rPr>
          <w:sz w:val="20"/>
          <w:szCs w:val="20"/>
        </w:rPr>
        <w:t>Colorado, I</w:t>
      </w:r>
      <w:r w:rsidR="001763C7" w:rsidRPr="00A72D1D">
        <w:rPr>
          <w:sz w:val="20"/>
          <w:szCs w:val="20"/>
        </w:rPr>
        <w:t xml:space="preserve">llinois, Indiana, Iowa, Kansas, Minnesota, Missouri, Nebraska, North Carolina, Ohio, Oklahoma, Pennsylvania, </w:t>
      </w:r>
      <w:r w:rsidR="0018714D">
        <w:rPr>
          <w:sz w:val="20"/>
          <w:szCs w:val="20"/>
        </w:rPr>
        <w:t xml:space="preserve">and </w:t>
      </w:r>
      <w:r w:rsidR="001763C7" w:rsidRPr="00A72D1D">
        <w:rPr>
          <w:sz w:val="20"/>
          <w:szCs w:val="20"/>
        </w:rPr>
        <w:t>South Dakota.</w:t>
      </w:r>
    </w:p>
    <w:p w14:paraId="6DBDEB75" w14:textId="06DB319D" w:rsidR="003674A9" w:rsidRDefault="004149A8" w:rsidP="006D4DF1">
      <w:pPr>
        <w:rPr>
          <w:sz w:val="20"/>
          <w:szCs w:val="20"/>
        </w:rPr>
      </w:pPr>
      <w:r w:rsidRPr="0021311E">
        <w:rPr>
          <w:vertAlign w:val="superscript"/>
        </w:rPr>
        <w:t>2</w:t>
      </w:r>
      <w:r>
        <w:rPr>
          <w:vertAlign w:val="superscript"/>
        </w:rPr>
        <w:t xml:space="preserve"> </w:t>
      </w:r>
      <w:r w:rsidRPr="004149A8">
        <w:rPr>
          <w:sz w:val="20"/>
          <w:szCs w:val="20"/>
        </w:rPr>
        <w:t>A</w:t>
      </w:r>
      <w:r>
        <w:rPr>
          <w:sz w:val="20"/>
          <w:szCs w:val="20"/>
        </w:rPr>
        <w:t>rizona</w:t>
      </w:r>
      <w:r w:rsidRPr="004149A8">
        <w:rPr>
          <w:sz w:val="20"/>
          <w:szCs w:val="20"/>
        </w:rPr>
        <w:t>, C</w:t>
      </w:r>
      <w:r>
        <w:rPr>
          <w:sz w:val="20"/>
          <w:szCs w:val="20"/>
        </w:rPr>
        <w:t>alifornia</w:t>
      </w:r>
      <w:r w:rsidRPr="004149A8">
        <w:rPr>
          <w:sz w:val="20"/>
          <w:szCs w:val="20"/>
        </w:rPr>
        <w:t>, C</w:t>
      </w:r>
      <w:r>
        <w:rPr>
          <w:sz w:val="20"/>
          <w:szCs w:val="20"/>
        </w:rPr>
        <w:t>olorado</w:t>
      </w:r>
      <w:r w:rsidRPr="004149A8">
        <w:rPr>
          <w:sz w:val="20"/>
          <w:szCs w:val="20"/>
        </w:rPr>
        <w:t>, I</w:t>
      </w:r>
      <w:r>
        <w:rPr>
          <w:sz w:val="20"/>
          <w:szCs w:val="20"/>
        </w:rPr>
        <w:t>daho</w:t>
      </w:r>
      <w:r w:rsidRPr="004149A8">
        <w:rPr>
          <w:sz w:val="20"/>
          <w:szCs w:val="20"/>
        </w:rPr>
        <w:t xml:space="preserve">, </w:t>
      </w:r>
      <w:r w:rsidR="0057383B">
        <w:rPr>
          <w:sz w:val="20"/>
          <w:szCs w:val="20"/>
        </w:rPr>
        <w:t xml:space="preserve">Illinois, </w:t>
      </w:r>
      <w:r w:rsidRPr="004149A8">
        <w:rPr>
          <w:sz w:val="20"/>
          <w:szCs w:val="20"/>
        </w:rPr>
        <w:t>I</w:t>
      </w:r>
      <w:r>
        <w:rPr>
          <w:sz w:val="20"/>
          <w:szCs w:val="20"/>
        </w:rPr>
        <w:t>owa</w:t>
      </w:r>
      <w:r w:rsidRPr="004149A8">
        <w:rPr>
          <w:sz w:val="20"/>
          <w:szCs w:val="20"/>
        </w:rPr>
        <w:t>, K</w:t>
      </w:r>
      <w:r>
        <w:rPr>
          <w:sz w:val="20"/>
          <w:szCs w:val="20"/>
        </w:rPr>
        <w:t>ansas</w:t>
      </w:r>
      <w:r w:rsidRPr="004149A8">
        <w:rPr>
          <w:sz w:val="20"/>
          <w:szCs w:val="20"/>
        </w:rPr>
        <w:t>, M</w:t>
      </w:r>
      <w:r>
        <w:rPr>
          <w:sz w:val="20"/>
          <w:szCs w:val="20"/>
        </w:rPr>
        <w:t>innesota</w:t>
      </w:r>
      <w:r w:rsidRPr="004149A8">
        <w:rPr>
          <w:sz w:val="20"/>
          <w:szCs w:val="20"/>
        </w:rPr>
        <w:t>, N</w:t>
      </w:r>
      <w:r>
        <w:rPr>
          <w:sz w:val="20"/>
          <w:szCs w:val="20"/>
        </w:rPr>
        <w:t>ebraska</w:t>
      </w:r>
      <w:r w:rsidRPr="004149A8">
        <w:rPr>
          <w:sz w:val="20"/>
          <w:szCs w:val="20"/>
        </w:rPr>
        <w:t xml:space="preserve">, </w:t>
      </w:r>
      <w:r w:rsidR="0057383B">
        <w:rPr>
          <w:sz w:val="20"/>
          <w:szCs w:val="20"/>
        </w:rPr>
        <w:t xml:space="preserve">New Mexico, </w:t>
      </w:r>
      <w:r w:rsidRPr="004149A8">
        <w:rPr>
          <w:sz w:val="20"/>
          <w:szCs w:val="20"/>
        </w:rPr>
        <w:t>O</w:t>
      </w:r>
      <w:r>
        <w:rPr>
          <w:sz w:val="20"/>
          <w:szCs w:val="20"/>
        </w:rPr>
        <w:t>klahoma</w:t>
      </w:r>
      <w:r w:rsidRPr="004149A8">
        <w:rPr>
          <w:sz w:val="20"/>
          <w:szCs w:val="20"/>
        </w:rPr>
        <w:t xml:space="preserve">, </w:t>
      </w:r>
      <w:r w:rsidR="0057383B">
        <w:rPr>
          <w:sz w:val="20"/>
          <w:szCs w:val="20"/>
        </w:rPr>
        <w:t xml:space="preserve">Oregon, </w:t>
      </w:r>
      <w:r w:rsidRPr="004149A8">
        <w:rPr>
          <w:sz w:val="20"/>
          <w:szCs w:val="20"/>
        </w:rPr>
        <w:t>S</w:t>
      </w:r>
      <w:r>
        <w:rPr>
          <w:sz w:val="20"/>
          <w:szCs w:val="20"/>
        </w:rPr>
        <w:t xml:space="preserve">outh </w:t>
      </w:r>
      <w:r w:rsidRPr="004149A8">
        <w:rPr>
          <w:sz w:val="20"/>
          <w:szCs w:val="20"/>
        </w:rPr>
        <w:t>D</w:t>
      </w:r>
      <w:r>
        <w:rPr>
          <w:sz w:val="20"/>
          <w:szCs w:val="20"/>
        </w:rPr>
        <w:t>akota</w:t>
      </w:r>
      <w:r w:rsidRPr="004149A8">
        <w:rPr>
          <w:sz w:val="20"/>
          <w:szCs w:val="20"/>
        </w:rPr>
        <w:t>, T</w:t>
      </w:r>
      <w:r>
        <w:rPr>
          <w:sz w:val="20"/>
          <w:szCs w:val="20"/>
        </w:rPr>
        <w:t>exas</w:t>
      </w:r>
      <w:r w:rsidRPr="004149A8">
        <w:rPr>
          <w:sz w:val="20"/>
          <w:szCs w:val="20"/>
        </w:rPr>
        <w:t>, W</w:t>
      </w:r>
      <w:r>
        <w:rPr>
          <w:sz w:val="20"/>
          <w:szCs w:val="20"/>
        </w:rPr>
        <w:t>ashington</w:t>
      </w:r>
      <w:r w:rsidR="0057383B">
        <w:rPr>
          <w:sz w:val="20"/>
          <w:szCs w:val="20"/>
        </w:rPr>
        <w:t>, and Wyoming</w:t>
      </w:r>
      <w:r w:rsidR="003674A9" w:rsidRPr="004149A8">
        <w:rPr>
          <w:sz w:val="20"/>
          <w:szCs w:val="20"/>
        </w:rPr>
        <w:t>.</w:t>
      </w:r>
    </w:p>
    <w:p w14:paraId="220B0DF5" w14:textId="67AC5081" w:rsidR="0057383B" w:rsidRPr="004149A8" w:rsidRDefault="0057383B" w:rsidP="006D4DF1">
      <w:pPr>
        <w:rPr>
          <w:sz w:val="20"/>
          <w:szCs w:val="20"/>
        </w:rPr>
      </w:pPr>
      <w:r w:rsidRPr="0057383B">
        <w:rPr>
          <w:sz w:val="20"/>
          <w:szCs w:val="20"/>
          <w:vertAlign w:val="superscript"/>
        </w:rPr>
        <w:t>3</w:t>
      </w:r>
      <w:r>
        <w:rPr>
          <w:sz w:val="20"/>
          <w:szCs w:val="20"/>
        </w:rPr>
        <w:t xml:space="preserve"> </w:t>
      </w:r>
      <w:r w:rsidR="0018714D">
        <w:rPr>
          <w:sz w:val="20"/>
          <w:szCs w:val="20"/>
        </w:rPr>
        <w:t>Colorado, I</w:t>
      </w:r>
      <w:r>
        <w:rPr>
          <w:sz w:val="20"/>
          <w:szCs w:val="20"/>
        </w:rPr>
        <w:t>llinois, Indiana, Iowa, Kansas, Michigan, Minnesota, Missouri, Nebraska, Ohio, Pennsylvania, South Dakota, and Wisconsin.</w:t>
      </w:r>
    </w:p>
    <w:p w14:paraId="29FED606" w14:textId="77777777" w:rsidR="007F204E" w:rsidRPr="00A3455D" w:rsidRDefault="007F204E" w:rsidP="006D4DF1">
      <w:pPr>
        <w:rPr>
          <w:sz w:val="4"/>
          <w:szCs w:val="4"/>
        </w:rPr>
      </w:pPr>
    </w:p>
    <w:p w14:paraId="30657B06" w14:textId="77777777" w:rsidR="0096029B" w:rsidRPr="00A3455D" w:rsidRDefault="0096029B" w:rsidP="0057651D">
      <w:pPr>
        <w:rPr>
          <w:sz w:val="4"/>
          <w:szCs w:val="4"/>
        </w:rPr>
      </w:pPr>
    </w:p>
    <w:p w14:paraId="402D5CA9" w14:textId="0F437F62" w:rsidR="0096029B" w:rsidRPr="006D4DF1" w:rsidRDefault="0057383B" w:rsidP="0096029B">
      <w:pPr>
        <w:rPr>
          <w:sz w:val="20"/>
          <w:szCs w:val="20"/>
        </w:rPr>
      </w:pPr>
      <w:r w:rsidRPr="0057383B">
        <w:rPr>
          <w:vertAlign w:val="superscript"/>
        </w:rPr>
        <w:t>4</w:t>
      </w:r>
      <w:hyperlink r:id="rId11" w:history="1">
        <w:r w:rsidR="0096029B" w:rsidRPr="006D4DF1">
          <w:rPr>
            <w:rStyle w:val="Hyperlink"/>
            <w:sz w:val="20"/>
            <w:szCs w:val="20"/>
          </w:rPr>
          <w:t>http://www.fda.gov/AnimalVeterinary/DevelopmentApprovalProcess/ucm071807.htm</w:t>
        </w:r>
      </w:hyperlink>
      <w:r w:rsidR="0096029B" w:rsidRPr="006D4DF1">
        <w:rPr>
          <w:sz w:val="20"/>
          <w:szCs w:val="20"/>
        </w:rPr>
        <w:t xml:space="preserve"> </w:t>
      </w:r>
    </w:p>
    <w:p w14:paraId="2748A42D" w14:textId="77777777" w:rsidR="00D73B0C" w:rsidRDefault="00D73B0C" w:rsidP="0057651D"/>
    <w:p w14:paraId="28CF1197" w14:textId="77777777" w:rsidR="00D73B0C" w:rsidRDefault="00D73B0C" w:rsidP="0057651D"/>
    <w:p w14:paraId="2AE28D06" w14:textId="77777777" w:rsidR="00D73B0C" w:rsidRDefault="00D73B0C" w:rsidP="0057651D"/>
    <w:p w14:paraId="5048D760" w14:textId="77777777" w:rsidR="00D73B0C" w:rsidRDefault="00D73B0C" w:rsidP="0057651D"/>
    <w:p w14:paraId="157B608F" w14:textId="77777777" w:rsidR="00D73B0C" w:rsidRDefault="00D73B0C" w:rsidP="0057651D"/>
    <w:p w14:paraId="393409E5" w14:textId="77777777" w:rsidR="00D73B0C" w:rsidRDefault="00D73B0C" w:rsidP="0057651D"/>
    <w:p w14:paraId="1C6C55A8" w14:textId="77777777" w:rsidR="00066E68" w:rsidRPr="00126667" w:rsidRDefault="00066E68" w:rsidP="0057651D">
      <w:pPr>
        <w:rPr>
          <w:b/>
          <w:highlight w:val="yellow"/>
        </w:rPr>
      </w:pPr>
      <w:r w:rsidRPr="0045468B">
        <w:t xml:space="preserve">The information collected through the </w:t>
      </w:r>
      <w:r w:rsidR="008A72A5">
        <w:t>A</w:t>
      </w:r>
      <w:r w:rsidR="008A72A5" w:rsidRPr="004F63B7">
        <w:t xml:space="preserve">ntimicrobial </w:t>
      </w:r>
      <w:r w:rsidR="008A72A5">
        <w:t>U</w:t>
      </w:r>
      <w:r w:rsidR="008A72A5" w:rsidRPr="004F63B7">
        <w:t xml:space="preserve">sage </w:t>
      </w:r>
      <w:r w:rsidR="008A72A5">
        <w:t>S</w:t>
      </w:r>
      <w:r w:rsidR="008A72A5" w:rsidRPr="004F63B7">
        <w:t>tudy</w:t>
      </w:r>
      <w:r w:rsidR="008A72A5" w:rsidRPr="0045468B">
        <w:t xml:space="preserve"> </w:t>
      </w:r>
      <w:r w:rsidRPr="0045468B">
        <w:t xml:space="preserve">will be analyzed and organized into </w:t>
      </w:r>
      <w:r w:rsidR="00030CB9" w:rsidRPr="0045468B">
        <w:t xml:space="preserve">one or more </w:t>
      </w:r>
      <w:r w:rsidRPr="0045468B">
        <w:t>descriptive reports</w:t>
      </w:r>
      <w:r w:rsidR="008A72A5">
        <w:t xml:space="preserve">. </w:t>
      </w:r>
      <w:r w:rsidR="00030CB9" w:rsidRPr="0045468B">
        <w:t>I</w:t>
      </w:r>
      <w:r w:rsidRPr="0045468B">
        <w:t xml:space="preserve">nformation sheets </w:t>
      </w:r>
      <w:r w:rsidR="00030CB9" w:rsidRPr="0045468B">
        <w:t xml:space="preserve">highlighting topics of special interest </w:t>
      </w:r>
      <w:r w:rsidR="00A3455D">
        <w:t>may</w:t>
      </w:r>
      <w:r w:rsidR="00030CB9" w:rsidRPr="0045468B">
        <w:t xml:space="preserve"> be derived from the reports and</w:t>
      </w:r>
      <w:r w:rsidRPr="0045468B">
        <w:t xml:space="preserve"> disseminated by </w:t>
      </w:r>
      <w:r w:rsidR="00126667">
        <w:t>APHIS</w:t>
      </w:r>
      <w:r w:rsidRPr="0045468B">
        <w:t xml:space="preserve"> to producers, stakeholders, aca</w:t>
      </w:r>
      <w:r w:rsidR="00854B3D" w:rsidRPr="0045468B">
        <w:t>demicians</w:t>
      </w:r>
      <w:r w:rsidRPr="0045468B">
        <w:t>,</w:t>
      </w:r>
      <w:r w:rsidRPr="00D36F02">
        <w:t xml:space="preserve"> veterinarians, and any other interested parties</w:t>
      </w:r>
      <w:r>
        <w:t xml:space="preserve">. </w:t>
      </w:r>
      <w:r w:rsidRPr="00D36F02">
        <w:t>The benefit</w:t>
      </w:r>
      <w:r>
        <w:t>s</w:t>
      </w:r>
      <w:r w:rsidRPr="00D36F02">
        <w:t xml:space="preserve"> to the </w:t>
      </w:r>
      <w:r w:rsidR="008A72A5">
        <w:t>Swine and Feedlot industries</w:t>
      </w:r>
      <w:r w:rsidRPr="00D36F02">
        <w:t xml:space="preserve"> from the </w:t>
      </w:r>
      <w:r w:rsidR="008A72A5">
        <w:t>A</w:t>
      </w:r>
      <w:r w:rsidR="008A72A5" w:rsidRPr="004F63B7">
        <w:t xml:space="preserve">ntimicrobial </w:t>
      </w:r>
      <w:r w:rsidR="008A72A5">
        <w:t>U</w:t>
      </w:r>
      <w:r w:rsidR="008A72A5" w:rsidRPr="004F63B7">
        <w:t xml:space="preserve">sage </w:t>
      </w:r>
      <w:r w:rsidR="008A72A5">
        <w:t>S</w:t>
      </w:r>
      <w:r w:rsidR="008A72A5" w:rsidRPr="004F63B7">
        <w:t>tudy</w:t>
      </w:r>
      <w:r w:rsidR="008A72A5">
        <w:t xml:space="preserve"> </w:t>
      </w:r>
      <w:r>
        <w:t>include</w:t>
      </w:r>
      <w:r w:rsidRPr="00D36F02">
        <w:t xml:space="preserve"> scientifically valid national estimate</w:t>
      </w:r>
      <w:r>
        <w:t>s</w:t>
      </w:r>
      <w:r w:rsidRPr="00D36F02">
        <w:t xml:space="preserve"> of </w:t>
      </w:r>
      <w:r w:rsidR="008A72A5">
        <w:t>antimicrobial use</w:t>
      </w:r>
      <w:r w:rsidRPr="00D36F02">
        <w:t xml:space="preserve"> </w:t>
      </w:r>
      <w:r w:rsidR="00C81B7D">
        <w:t>by</w:t>
      </w:r>
      <w:r w:rsidRPr="00D36F02">
        <w:t xml:space="preserve"> </w:t>
      </w:r>
      <w:r w:rsidR="008A72A5">
        <w:t xml:space="preserve">Swine and Feedlot producers. </w:t>
      </w:r>
      <w:r w:rsidRPr="00D36F02">
        <w:t xml:space="preserve">Participation in this survey is </w:t>
      </w:r>
      <w:r>
        <w:t>voluntary</w:t>
      </w:r>
      <w:r w:rsidR="00C81B7D">
        <w:t>.</w:t>
      </w:r>
      <w:r w:rsidR="00F76233">
        <w:t xml:space="preserve"> </w:t>
      </w:r>
      <w:r w:rsidR="00C81B7D">
        <w:t>P</w:t>
      </w:r>
      <w:r w:rsidR="00F76233">
        <w:t>roducers will choose w</w:t>
      </w:r>
      <w:r w:rsidR="00854B3D">
        <w:t>hether</w:t>
      </w:r>
      <w:r w:rsidRPr="00D36F02">
        <w:t xml:space="preserve"> to participate</w:t>
      </w:r>
      <w:r>
        <w:t xml:space="preserve">. </w:t>
      </w:r>
    </w:p>
    <w:p w14:paraId="031EE21B" w14:textId="77777777" w:rsidR="00EC4B20" w:rsidRPr="00A3455D" w:rsidRDefault="00EC4B20" w:rsidP="0057651D">
      <w:pPr>
        <w:rPr>
          <w:sz w:val="12"/>
          <w:szCs w:val="12"/>
        </w:rPr>
      </w:pPr>
    </w:p>
    <w:p w14:paraId="52D4D1A4" w14:textId="77777777" w:rsidR="0081627A" w:rsidRDefault="00066E68" w:rsidP="0057651D">
      <w:pPr>
        <w:pStyle w:val="CommentText"/>
        <w:rPr>
          <w:sz w:val="24"/>
          <w:szCs w:val="24"/>
        </w:rPr>
      </w:pPr>
      <w:r w:rsidRPr="00E67BBD">
        <w:rPr>
          <w:sz w:val="24"/>
          <w:szCs w:val="24"/>
        </w:rPr>
        <w:t>Collection and dissemination of animal health data and information is mandated by 7 U.S.C. § 391, the Animal Industry Act of 1884, which established the precursor of the APHIS, Veterinary Services, the Bureau of Animal Industry. Legal requirements for examining and reporting on animal disease control methods were further mandated by 7 U.S.C. § 8308 of the Animal Health Protection Act, “Detection, Control, and Eradication of Diseases and Pests,” May 13, 2002</w:t>
      </w:r>
      <w:r w:rsidR="008A72A5">
        <w:rPr>
          <w:sz w:val="24"/>
          <w:szCs w:val="24"/>
        </w:rPr>
        <w:t xml:space="preserve">. </w:t>
      </w:r>
    </w:p>
    <w:p w14:paraId="497B6462" w14:textId="77777777" w:rsidR="0081627A" w:rsidRPr="00A3455D" w:rsidRDefault="0081627A" w:rsidP="0057651D">
      <w:pPr>
        <w:pStyle w:val="CommentText"/>
        <w:rPr>
          <w:sz w:val="12"/>
          <w:szCs w:val="12"/>
        </w:rPr>
      </w:pPr>
    </w:p>
    <w:p w14:paraId="1DC6F259" w14:textId="77777777" w:rsidR="0081627A" w:rsidRPr="002B7BEA" w:rsidRDefault="0081627A" w:rsidP="0057651D">
      <w:pPr>
        <w:pStyle w:val="CommentText"/>
        <w:rPr>
          <w:bCs/>
          <w:iCs/>
          <w:sz w:val="24"/>
          <w:szCs w:val="24"/>
        </w:rPr>
      </w:pPr>
      <w:r w:rsidRPr="002B7BEA">
        <w:rPr>
          <w:bCs/>
          <w:iCs/>
          <w:sz w:val="24"/>
          <w:szCs w:val="24"/>
        </w:rPr>
        <w:t>Collection, analysis, and dissemination of livestock and poultry health information on a national basis are consistent with the APHIS mission of protecting and improving American agriculture’s productivity and competitiveness. In connection with this mission, the NAHMS program includes periodic national commodity studies to investigate current issues and examine general health and management practices used on farms. These studies are driven by industry and stakeholder interest. The information collected is not a</w:t>
      </w:r>
      <w:r>
        <w:rPr>
          <w:bCs/>
          <w:iCs/>
          <w:sz w:val="24"/>
          <w:szCs w:val="24"/>
        </w:rPr>
        <w:t>vailable from any other source.</w:t>
      </w:r>
    </w:p>
    <w:p w14:paraId="744C05A3" w14:textId="77777777" w:rsidR="0081627A" w:rsidRDefault="0081627A" w:rsidP="0057651D">
      <w:pPr>
        <w:pStyle w:val="CommentText"/>
        <w:rPr>
          <w:sz w:val="24"/>
          <w:szCs w:val="24"/>
        </w:rPr>
      </w:pPr>
    </w:p>
    <w:p w14:paraId="23813F18" w14:textId="77777777" w:rsidR="009351FA" w:rsidRDefault="009351FA" w:rsidP="0057651D">
      <w:pPr>
        <w:pStyle w:val="DefaultText"/>
        <w:rPr>
          <w:b/>
        </w:rPr>
      </w:pPr>
      <w:r>
        <w:rPr>
          <w:b/>
        </w:rPr>
        <w:t>2</w:t>
      </w:r>
      <w:r w:rsidR="008A72A5">
        <w:rPr>
          <w:b/>
        </w:rPr>
        <w:t xml:space="preserve">. </w:t>
      </w:r>
      <w:r w:rsidRPr="004D3478">
        <w:rPr>
          <w:b/>
        </w:rPr>
        <w:t>Indicate how, by whom, how frequently, and for what purpose the information is to be used. Except for a new collection, indicate the actual use the agency has made of the information received from the current collection.</w:t>
      </w:r>
    </w:p>
    <w:p w14:paraId="305E3F61" w14:textId="77777777" w:rsidR="009351FA" w:rsidRPr="00A3455D" w:rsidRDefault="009351FA" w:rsidP="0057651D">
      <w:pPr>
        <w:pStyle w:val="DefaultText"/>
        <w:rPr>
          <w:b/>
          <w:sz w:val="12"/>
          <w:szCs w:val="12"/>
        </w:rPr>
      </w:pPr>
    </w:p>
    <w:p w14:paraId="2AB246E7" w14:textId="77777777" w:rsidR="00CB5611" w:rsidRDefault="000B5C82" w:rsidP="0057651D">
      <w:r>
        <w:t xml:space="preserve">Statistically summarized information and interpretation </w:t>
      </w:r>
      <w:r w:rsidR="00A3455D">
        <w:t>will be</w:t>
      </w:r>
      <w:r w:rsidR="00CB5611" w:rsidRPr="00D36F02">
        <w:t xml:space="preserve"> disseminated to a wide variety of constituents</w:t>
      </w:r>
      <w:r w:rsidR="00CB5611">
        <w:t xml:space="preserve">. </w:t>
      </w:r>
      <w:r w:rsidR="00CB5611" w:rsidRPr="00D36F02">
        <w:t xml:space="preserve">Producer groups and veterinarians will use information derived from analyses </w:t>
      </w:r>
      <w:r w:rsidR="00C05FE1">
        <w:t>for</w:t>
      </w:r>
      <w:r w:rsidR="00CB5611" w:rsidRPr="00D36F02">
        <w:t xml:space="preserve"> information outreach efforts</w:t>
      </w:r>
      <w:r w:rsidR="00C05FE1">
        <w:t xml:space="preserve"> to legislators and the public</w:t>
      </w:r>
      <w:r w:rsidR="00CB5611">
        <w:t xml:space="preserve">. </w:t>
      </w:r>
      <w:r w:rsidR="00CB5611" w:rsidRPr="00D36F02">
        <w:t>Pharmaceutical and biologics companies will use the information to plan and develop research and marketing strategies for their products</w:t>
      </w:r>
      <w:r w:rsidR="00CB5611">
        <w:t xml:space="preserve">. </w:t>
      </w:r>
      <w:r w:rsidR="00CB5611" w:rsidRPr="00D36F02">
        <w:t xml:space="preserve">State and Federal officials responsible for regulatory veterinary medicine will use the information to gain a more complete picture of </w:t>
      </w:r>
      <w:r w:rsidR="00C05FE1">
        <w:t>antimicrobial use</w:t>
      </w:r>
      <w:r w:rsidR="00CB5611" w:rsidRPr="00D36F02">
        <w:t xml:space="preserve"> </w:t>
      </w:r>
      <w:r w:rsidR="00C05FE1">
        <w:t xml:space="preserve">to use </w:t>
      </w:r>
      <w:r w:rsidR="00CB5611" w:rsidRPr="00D36F02">
        <w:t>as a basis for program planning and to direct funding</w:t>
      </w:r>
      <w:r w:rsidR="00CB5611">
        <w:t xml:space="preserve">. </w:t>
      </w:r>
      <w:r w:rsidR="00CB5611" w:rsidRPr="00D36F02">
        <w:t xml:space="preserve">State and Federal officials will </w:t>
      </w:r>
      <w:r w:rsidR="00C05FE1">
        <w:t xml:space="preserve">also </w:t>
      </w:r>
      <w:r w:rsidR="00CB5611" w:rsidRPr="00D36F02">
        <w:t xml:space="preserve">use the data </w:t>
      </w:r>
      <w:r w:rsidR="00C05FE1">
        <w:t>so that</w:t>
      </w:r>
      <w:r w:rsidR="00CB5611" w:rsidRPr="00D36F02">
        <w:t xml:space="preserve"> scientifically based information </w:t>
      </w:r>
      <w:r w:rsidR="00C05FE1">
        <w:t xml:space="preserve">is </w:t>
      </w:r>
      <w:r w:rsidR="00CB5611" w:rsidRPr="00D36F02">
        <w:t>used to make decisions</w:t>
      </w:r>
      <w:r w:rsidR="00CB5611">
        <w:t xml:space="preserve">. </w:t>
      </w:r>
      <w:r w:rsidR="00CB5611" w:rsidRPr="00D36F02">
        <w:t xml:space="preserve">Veterinary and agricultural students in universities in the U.S. will </w:t>
      </w:r>
      <w:r w:rsidR="00CB5611">
        <w:t>use the reports</w:t>
      </w:r>
      <w:r w:rsidR="00CB5611" w:rsidRPr="00D36F02">
        <w:t xml:space="preserve"> for training in health management, animal welfare</w:t>
      </w:r>
      <w:r w:rsidR="00C05FE1">
        <w:t xml:space="preserve"> </w:t>
      </w:r>
      <w:r w:rsidR="00CB5611">
        <w:t xml:space="preserve">and other agriculturally based careers. </w:t>
      </w:r>
    </w:p>
    <w:p w14:paraId="1456DD85" w14:textId="77777777" w:rsidR="00CB5611" w:rsidRPr="00A3455D" w:rsidRDefault="00CB5611" w:rsidP="0057651D">
      <w:pPr>
        <w:rPr>
          <w:sz w:val="12"/>
          <w:szCs w:val="12"/>
        </w:rPr>
      </w:pPr>
    </w:p>
    <w:p w14:paraId="2B7AD216" w14:textId="77777777" w:rsidR="00067D81" w:rsidRDefault="00BF31B2" w:rsidP="0057651D">
      <w:r w:rsidRPr="007D503B">
        <w:t xml:space="preserve">The </w:t>
      </w:r>
      <w:r w:rsidR="00C05FE1">
        <w:t>A</w:t>
      </w:r>
      <w:r w:rsidR="00C05FE1" w:rsidRPr="004F63B7">
        <w:t xml:space="preserve">ntimicrobial </w:t>
      </w:r>
      <w:r w:rsidR="00C05FE1">
        <w:t>U</w:t>
      </w:r>
      <w:r w:rsidR="00C05FE1" w:rsidRPr="004F63B7">
        <w:t xml:space="preserve">sage </w:t>
      </w:r>
      <w:r w:rsidR="00C05FE1">
        <w:t>S</w:t>
      </w:r>
      <w:r w:rsidR="00C05FE1" w:rsidRPr="004F63B7">
        <w:t>tudy</w:t>
      </w:r>
      <w:r w:rsidR="00C05FE1">
        <w:t xml:space="preserve"> </w:t>
      </w:r>
      <w:r w:rsidR="0050120C">
        <w:t>will be</w:t>
      </w:r>
      <w:r w:rsidRPr="007D503B">
        <w:t xml:space="preserve"> </w:t>
      </w:r>
      <w:r w:rsidR="00067D81">
        <w:t>the first NAHMS study</w:t>
      </w:r>
      <w:r>
        <w:t xml:space="preserve"> </w:t>
      </w:r>
      <w:r w:rsidR="00C05FE1">
        <w:t>designed to focus exclusively on this topic</w:t>
      </w:r>
      <w:r w:rsidR="008A72A5">
        <w:t xml:space="preserve">. </w:t>
      </w:r>
      <w:r w:rsidR="00067D81">
        <w:t xml:space="preserve">As such, </w:t>
      </w:r>
      <w:r w:rsidR="00C05FE1">
        <w:t>the A</w:t>
      </w:r>
      <w:r w:rsidR="00C05FE1" w:rsidRPr="004F63B7">
        <w:t>ntimicrobial</w:t>
      </w:r>
      <w:r w:rsidR="00C05FE1">
        <w:t xml:space="preserve"> U</w:t>
      </w:r>
      <w:r w:rsidR="00C05FE1" w:rsidRPr="004F63B7">
        <w:t xml:space="preserve">sage </w:t>
      </w:r>
      <w:r w:rsidR="00C05FE1">
        <w:t>S</w:t>
      </w:r>
      <w:r w:rsidR="00C05FE1" w:rsidRPr="004F63B7">
        <w:t>tudy</w:t>
      </w:r>
      <w:r w:rsidR="00067D81">
        <w:t xml:space="preserve"> </w:t>
      </w:r>
      <w:r w:rsidR="0050120C" w:rsidRPr="00BB1020">
        <w:t xml:space="preserve">is designed </w:t>
      </w:r>
      <w:r w:rsidR="0050120C">
        <w:t>to</w:t>
      </w:r>
      <w:r w:rsidR="00067D81">
        <w:t xml:space="preserve"> establish </w:t>
      </w:r>
      <w:r w:rsidR="003D4AC6">
        <w:t xml:space="preserve">statistically </w:t>
      </w:r>
      <w:r w:rsidR="00C05FE1">
        <w:t xml:space="preserve">valid </w:t>
      </w:r>
      <w:r w:rsidR="00A3455D">
        <w:t xml:space="preserve">regional and </w:t>
      </w:r>
      <w:r w:rsidR="00C05FE1">
        <w:t>national estimates</w:t>
      </w:r>
      <w:r w:rsidR="008A72A5">
        <w:t xml:space="preserve">. </w:t>
      </w:r>
      <w:r w:rsidR="00067D81">
        <w:t xml:space="preserve">This information will provide important reference information </w:t>
      </w:r>
      <w:r w:rsidR="003D4AC6">
        <w:t xml:space="preserve">that </w:t>
      </w:r>
      <w:r w:rsidR="00067D81">
        <w:t xml:space="preserve">will enable the evaluation of trends in </w:t>
      </w:r>
      <w:r w:rsidR="003D4AC6">
        <w:t xml:space="preserve">antimicrobial usage in </w:t>
      </w:r>
      <w:r w:rsidR="00067D81">
        <w:t xml:space="preserve">the </w:t>
      </w:r>
      <w:r w:rsidR="003D4AC6">
        <w:t xml:space="preserve">swine and feedlot </w:t>
      </w:r>
      <w:r w:rsidR="00067D81">
        <w:t>industr</w:t>
      </w:r>
      <w:r w:rsidR="003D4AC6">
        <w:t>ies</w:t>
      </w:r>
      <w:r w:rsidR="00067D81">
        <w:t xml:space="preserve"> through future </w:t>
      </w:r>
      <w:r w:rsidR="00C05FE1">
        <w:t>annual studies</w:t>
      </w:r>
      <w:r w:rsidR="008A72A5">
        <w:t xml:space="preserve">. </w:t>
      </w:r>
      <w:r w:rsidR="00C05FE1">
        <w:t>Finally, this information will provide stakeholders with usage estimates before and after the varying stages of the implementation of changes in the VFD.</w:t>
      </w:r>
      <w:r w:rsidR="006D4DF1">
        <w:t xml:space="preserve"> </w:t>
      </w:r>
    </w:p>
    <w:p w14:paraId="083B96C8" w14:textId="77777777" w:rsidR="00D73B0C" w:rsidRDefault="00D73B0C" w:rsidP="0057651D">
      <w:pPr>
        <w:rPr>
          <w:b/>
          <w:u w:val="single"/>
        </w:rPr>
      </w:pPr>
    </w:p>
    <w:p w14:paraId="2E9DEDD1" w14:textId="77777777" w:rsidR="009351FA" w:rsidRDefault="009351FA" w:rsidP="0057651D">
      <w:pPr>
        <w:autoSpaceDE w:val="0"/>
        <w:autoSpaceDN w:val="0"/>
        <w:adjustRightInd w:val="0"/>
        <w:rPr>
          <w:b/>
        </w:rPr>
      </w:pPr>
      <w:r>
        <w:rPr>
          <w:b/>
        </w:rPr>
        <w:t>3</w:t>
      </w:r>
      <w:r w:rsidR="008A72A5">
        <w:rPr>
          <w:b/>
        </w:rPr>
        <w:t xml:space="preserve">. </w:t>
      </w:r>
      <w:r>
        <w:rPr>
          <w:b/>
        </w:rPr>
        <w:t>D</w:t>
      </w:r>
      <w:r w:rsidRPr="009351FA">
        <w:rPr>
          <w:b/>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BB93121" w14:textId="77777777" w:rsidR="009351FA" w:rsidRPr="00A3455D" w:rsidRDefault="009351FA" w:rsidP="0057651D">
      <w:pPr>
        <w:autoSpaceDE w:val="0"/>
        <w:autoSpaceDN w:val="0"/>
        <w:adjustRightInd w:val="0"/>
        <w:rPr>
          <w:b/>
          <w:sz w:val="12"/>
          <w:szCs w:val="12"/>
        </w:rPr>
      </w:pPr>
    </w:p>
    <w:p w14:paraId="0A9EC6C3" w14:textId="4996D1F1" w:rsidR="00EC4B20" w:rsidRDefault="00ED4E42" w:rsidP="0057651D">
      <w:pPr>
        <w:autoSpaceDE w:val="0"/>
        <w:autoSpaceDN w:val="0"/>
        <w:adjustRightInd w:val="0"/>
      </w:pPr>
      <w:r>
        <w:t>E</w:t>
      </w:r>
      <w:r w:rsidR="00CB5611" w:rsidRPr="00D36F02">
        <w:t>lectronic</w:t>
      </w:r>
      <w:r>
        <w:t xml:space="preserve"> </w:t>
      </w:r>
      <w:r w:rsidR="006E5A9C">
        <w:t xml:space="preserve">technologies will be used to help promote the </w:t>
      </w:r>
      <w:r w:rsidR="004B1F29">
        <w:t>A</w:t>
      </w:r>
      <w:r w:rsidR="004B1F29" w:rsidRPr="004F63B7">
        <w:t xml:space="preserve">ntimicrobial </w:t>
      </w:r>
      <w:r w:rsidR="004B1F29">
        <w:t>U</w:t>
      </w:r>
      <w:r w:rsidR="004B1F29" w:rsidRPr="004F63B7">
        <w:t>sage</w:t>
      </w:r>
      <w:r w:rsidR="00AC6E12">
        <w:t xml:space="preserve"> Study.</w:t>
      </w:r>
      <w:r w:rsidR="004B1F29" w:rsidRPr="004F63B7">
        <w:t xml:space="preserve"> </w:t>
      </w:r>
      <w:r w:rsidR="00AC6E12">
        <w:t xml:space="preserve"> </w:t>
      </w:r>
      <w:r>
        <w:t xml:space="preserve">Producers will learn about the </w:t>
      </w:r>
      <w:r w:rsidR="004B1F29">
        <w:t>A</w:t>
      </w:r>
      <w:r w:rsidR="004B1F29" w:rsidRPr="004F63B7">
        <w:t xml:space="preserve">ntimicrobial </w:t>
      </w:r>
      <w:r w:rsidR="004B1F29">
        <w:t>U</w:t>
      </w:r>
      <w:r w:rsidR="004B1F29" w:rsidRPr="004F63B7">
        <w:t xml:space="preserve">sage </w:t>
      </w:r>
      <w:r w:rsidR="004B1F29">
        <w:t>S</w:t>
      </w:r>
      <w:r w:rsidR="004B1F29" w:rsidRPr="004F63B7">
        <w:t>tudy</w:t>
      </w:r>
      <w:r w:rsidR="004B1F29" w:rsidRPr="0045468B">
        <w:t xml:space="preserve"> </w:t>
      </w:r>
      <w:r>
        <w:t xml:space="preserve">via </w:t>
      </w:r>
      <w:r w:rsidR="006E5A9C">
        <w:t>paper or internet mailings via</w:t>
      </w:r>
      <w:r>
        <w:t xml:space="preserve"> association membership lists, notices posted on </w:t>
      </w:r>
      <w:r w:rsidR="00560865">
        <w:t>industry</w:t>
      </w:r>
      <w:r>
        <w:t xml:space="preserve"> Web sites, or notices published in trade magazines or other agricultural publications</w:t>
      </w:r>
      <w:r w:rsidR="008A72A5">
        <w:t xml:space="preserve">. </w:t>
      </w:r>
      <w:r w:rsidR="0041076B">
        <w:t xml:space="preserve">The </w:t>
      </w:r>
      <w:r w:rsidR="004B1F29">
        <w:t xml:space="preserve">primary </w:t>
      </w:r>
      <w:r w:rsidR="0041076B">
        <w:t>data colle</w:t>
      </w:r>
      <w:r w:rsidR="006E5A9C">
        <w:t>ction instrument will be a hard-</w:t>
      </w:r>
      <w:r w:rsidR="0041076B">
        <w:t>copy questionnaire.</w:t>
      </w:r>
    </w:p>
    <w:p w14:paraId="083BDF6A" w14:textId="77777777" w:rsidR="009351FA" w:rsidRDefault="009351FA" w:rsidP="0057651D">
      <w:pPr>
        <w:autoSpaceDE w:val="0"/>
        <w:autoSpaceDN w:val="0"/>
        <w:adjustRightInd w:val="0"/>
      </w:pPr>
    </w:p>
    <w:p w14:paraId="7BF69E4D" w14:textId="77777777" w:rsidR="009351FA" w:rsidRDefault="009351FA" w:rsidP="0057651D">
      <w:pPr>
        <w:pStyle w:val="DefaultText"/>
        <w:rPr>
          <w:b/>
        </w:rPr>
      </w:pPr>
      <w:r>
        <w:rPr>
          <w:b/>
        </w:rPr>
        <w:t>4</w:t>
      </w:r>
      <w:r w:rsidR="008A72A5">
        <w:rPr>
          <w:b/>
        </w:rPr>
        <w:t xml:space="preserve">. </w:t>
      </w:r>
      <w:r w:rsidRPr="004D3478">
        <w:rPr>
          <w:b/>
        </w:rPr>
        <w:t>Describe efforts to identify duplication. Show specifically why any similar information already available cannot be used or modified for use for the purpose described in item 2 above.</w:t>
      </w:r>
    </w:p>
    <w:p w14:paraId="3F23E409" w14:textId="77777777" w:rsidR="009351FA" w:rsidRPr="0093108E" w:rsidRDefault="009351FA" w:rsidP="0057651D">
      <w:pPr>
        <w:pStyle w:val="DefaultText"/>
        <w:rPr>
          <w:b/>
          <w:sz w:val="12"/>
          <w:szCs w:val="12"/>
        </w:rPr>
      </w:pPr>
    </w:p>
    <w:p w14:paraId="5EF0150B" w14:textId="77777777" w:rsidR="00CB5611" w:rsidRDefault="00CB5611" w:rsidP="0057651D">
      <w:r w:rsidRPr="00D36F02">
        <w:t xml:space="preserve">Literature searches for existing data relevant to the </w:t>
      </w:r>
      <w:r w:rsidR="004B1F29">
        <w:t>A</w:t>
      </w:r>
      <w:r w:rsidR="004B1F29" w:rsidRPr="004F63B7">
        <w:t xml:space="preserve">ntimicrobial </w:t>
      </w:r>
      <w:r w:rsidR="004B1F29">
        <w:t>U</w:t>
      </w:r>
      <w:r w:rsidR="004B1F29" w:rsidRPr="004F63B7">
        <w:t xml:space="preserve">sage </w:t>
      </w:r>
      <w:r w:rsidR="004B1F29">
        <w:t>S</w:t>
      </w:r>
      <w:r w:rsidR="004B1F29" w:rsidRPr="004F63B7">
        <w:t>tudy</w:t>
      </w:r>
      <w:r w:rsidR="004B1F29" w:rsidRPr="0045468B">
        <w:t xml:space="preserve"> </w:t>
      </w:r>
      <w:r w:rsidRPr="00D36F02">
        <w:t>have been</w:t>
      </w:r>
      <w:r w:rsidR="000D0186">
        <w:t xml:space="preserve"> performed. Available data were</w:t>
      </w:r>
      <w:r w:rsidRPr="00D36F02">
        <w:t xml:space="preserve"> reviewed and compiled from all known sources</w:t>
      </w:r>
      <w:r>
        <w:t xml:space="preserve">. </w:t>
      </w:r>
      <w:r w:rsidR="000D0186">
        <w:t>Sources reviewed include</w:t>
      </w:r>
      <w:r w:rsidRPr="00D36F02">
        <w:t xml:space="preserve"> private industry and professional publications, other Federal and State agencies, </w:t>
      </w:r>
      <w:r>
        <w:t>and universities. Employees</w:t>
      </w:r>
      <w:r w:rsidRPr="00D36F02">
        <w:t xml:space="preserve"> from Federal agencies and academia were consulted in their area of expertise to identify areas of potential duplication</w:t>
      </w:r>
      <w:r>
        <w:t xml:space="preserve">. </w:t>
      </w:r>
      <w:r w:rsidR="004B1F29">
        <w:t>Previous NAHMS Swine and Feedlot studies have been used to create the questions in the surveys</w:t>
      </w:r>
      <w:r w:rsidR="0093108E">
        <w:t>. R</w:t>
      </w:r>
      <w:r w:rsidR="004B1F29">
        <w:t xml:space="preserve">etrospective studies </w:t>
      </w:r>
      <w:r w:rsidR="007F2DCB">
        <w:t xml:space="preserve">of previous NAHMS </w:t>
      </w:r>
      <w:r w:rsidR="0093108E">
        <w:t xml:space="preserve">swine and feedlot </w:t>
      </w:r>
      <w:r w:rsidR="007F2DCB">
        <w:t xml:space="preserve">studies as they pertain to the subject matter of the current </w:t>
      </w:r>
      <w:r w:rsidR="0093108E">
        <w:t>study</w:t>
      </w:r>
      <w:r w:rsidR="0093108E" w:rsidRPr="0093108E">
        <w:t xml:space="preserve"> </w:t>
      </w:r>
      <w:r w:rsidR="0093108E">
        <w:t>are ongoing</w:t>
      </w:r>
      <w:r w:rsidR="007F2DCB">
        <w:t xml:space="preserve">. </w:t>
      </w:r>
      <w:r w:rsidR="0093108E">
        <w:t>The retrospective analyses are to provide background for the current one and evaluate historical antimicrobial resistance. However, it should be noted that</w:t>
      </w:r>
      <w:r w:rsidR="007F2DCB">
        <w:t xml:space="preserve"> these studies were not designed </w:t>
      </w:r>
      <w:r w:rsidR="0093108E">
        <w:t xml:space="preserve">specifically </w:t>
      </w:r>
      <w:r w:rsidR="007F2DCB">
        <w:t xml:space="preserve">to collect </w:t>
      </w:r>
      <w:r w:rsidR="0093108E">
        <w:t xml:space="preserve">use </w:t>
      </w:r>
      <w:r w:rsidR="007F2DCB">
        <w:t xml:space="preserve">information and the </w:t>
      </w:r>
      <w:r w:rsidR="0093108E">
        <w:t>data</w:t>
      </w:r>
      <w:r w:rsidR="00063274">
        <w:t xml:space="preserve"> are not current</w:t>
      </w:r>
      <w:r w:rsidR="007F2DCB">
        <w:t xml:space="preserve">. </w:t>
      </w:r>
      <w:r w:rsidRPr="00D36F02">
        <w:t xml:space="preserve">No </w:t>
      </w:r>
      <w:r w:rsidRPr="007D1891">
        <w:t>other entity/source is collecting and analyzing this type of information</w:t>
      </w:r>
      <w:r w:rsidR="0093108E">
        <w:t xml:space="preserve"> to obtain national or regional estimates</w:t>
      </w:r>
      <w:r w:rsidR="008A72A5">
        <w:t xml:space="preserve">. </w:t>
      </w:r>
    </w:p>
    <w:p w14:paraId="3B6436CA" w14:textId="77777777" w:rsidR="00EC4B20" w:rsidRPr="00F258A4" w:rsidRDefault="00EC4B20" w:rsidP="0057651D">
      <w:pPr>
        <w:tabs>
          <w:tab w:val="num" w:pos="0"/>
        </w:tabs>
      </w:pPr>
    </w:p>
    <w:p w14:paraId="0E96BD86" w14:textId="77777777" w:rsidR="009351FA" w:rsidRDefault="009351FA" w:rsidP="0057651D">
      <w:pPr>
        <w:pStyle w:val="DefaultText"/>
        <w:rPr>
          <w:b/>
        </w:rPr>
      </w:pPr>
      <w:r w:rsidRPr="004D3478">
        <w:rPr>
          <w:b/>
        </w:rPr>
        <w:t>5</w:t>
      </w:r>
      <w:r w:rsidR="008A72A5">
        <w:rPr>
          <w:b/>
        </w:rPr>
        <w:t xml:space="preserve">. </w:t>
      </w:r>
      <w:r w:rsidRPr="004D3478">
        <w:rPr>
          <w:b/>
        </w:rPr>
        <w:t>If the collection of information impacts small businesses or other small entities, describe any methods used to minimize burden</w:t>
      </w:r>
      <w:r w:rsidR="008A72A5">
        <w:rPr>
          <w:b/>
        </w:rPr>
        <w:t xml:space="preserve">. </w:t>
      </w:r>
      <w:r w:rsidR="004335B3">
        <w:rPr>
          <w:b/>
        </w:rPr>
        <w:t>Include the percentage of respondents contacted that are small entities.</w:t>
      </w:r>
    </w:p>
    <w:p w14:paraId="47F184DD" w14:textId="77777777" w:rsidR="009351FA" w:rsidRPr="0093108E" w:rsidRDefault="009351FA" w:rsidP="0057651D">
      <w:pPr>
        <w:pStyle w:val="DefaultText"/>
        <w:rPr>
          <w:b/>
          <w:sz w:val="12"/>
          <w:szCs w:val="12"/>
        </w:rPr>
      </w:pPr>
    </w:p>
    <w:p w14:paraId="1782DB31" w14:textId="108ABE2A" w:rsidR="00CB5611" w:rsidRDefault="00534DDD" w:rsidP="0057651D">
      <w:r>
        <w:t>T</w:t>
      </w:r>
      <w:r w:rsidR="00CB5611">
        <w:t xml:space="preserve">he </w:t>
      </w:r>
      <w:r w:rsidR="007F2DCB">
        <w:t>A</w:t>
      </w:r>
      <w:r w:rsidR="007F2DCB" w:rsidRPr="004F63B7">
        <w:t xml:space="preserve">ntimicrobial </w:t>
      </w:r>
      <w:r w:rsidR="007F2DCB">
        <w:t>U</w:t>
      </w:r>
      <w:r w:rsidR="007F2DCB" w:rsidRPr="004F63B7">
        <w:t xml:space="preserve">sage </w:t>
      </w:r>
      <w:r w:rsidR="007F2DCB">
        <w:t>S</w:t>
      </w:r>
      <w:r w:rsidR="007F2DCB" w:rsidRPr="004F63B7">
        <w:t>tudy</w:t>
      </w:r>
      <w:r w:rsidR="007F2DCB" w:rsidRPr="0045468B">
        <w:t xml:space="preserve"> </w:t>
      </w:r>
      <w:r w:rsidR="00CB5611">
        <w:t>is</w:t>
      </w:r>
      <w:r w:rsidR="00CB5611" w:rsidRPr="00D36F02">
        <w:t xml:space="preserve"> designed to collect </w:t>
      </w:r>
      <w:r>
        <w:t>data f</w:t>
      </w:r>
      <w:r w:rsidR="00C74534">
        <w:t>rom sampled</w:t>
      </w:r>
      <w:r>
        <w:t xml:space="preserve"> producers who </w:t>
      </w:r>
      <w:r w:rsidR="00C74534">
        <w:t>are willing</w:t>
      </w:r>
      <w:r w:rsidR="00282A56">
        <w:t xml:space="preserve"> to participate</w:t>
      </w:r>
      <w:r w:rsidR="008A72A5">
        <w:t xml:space="preserve">. </w:t>
      </w:r>
      <w:r w:rsidR="00AC6E12">
        <w:t xml:space="preserve">For the </w:t>
      </w:r>
      <w:r w:rsidR="0018714D">
        <w:t>swine</w:t>
      </w:r>
      <w:r w:rsidR="00AC6E12">
        <w:t xml:space="preserve"> survey</w:t>
      </w:r>
      <w:r w:rsidR="00FA2595">
        <w:t>, the target population</w:t>
      </w:r>
      <w:r w:rsidR="00AC6E12">
        <w:t xml:space="preserve"> is</w:t>
      </w:r>
      <w:r w:rsidR="00FA2595">
        <w:t xml:space="preserve"> limited to large producers with 1,000 or more </w:t>
      </w:r>
      <w:r w:rsidR="0018714D">
        <w:t>nursery or grower/finisher pigs</w:t>
      </w:r>
      <w:r w:rsidR="00FA2595">
        <w:t xml:space="preserve">.  </w:t>
      </w:r>
      <w:r w:rsidR="009122DC">
        <w:t xml:space="preserve">Estimates of the number of respondents, based on the population of </w:t>
      </w:r>
      <w:r w:rsidR="007F2DCB">
        <w:t xml:space="preserve">feedlot and swine </w:t>
      </w:r>
      <w:r w:rsidR="009122DC">
        <w:t>producers, indicate</w:t>
      </w:r>
      <w:r w:rsidR="004714A6">
        <w:t xml:space="preserve"> that the proposed sample size will be sufficient to meet the primary analytical needs of the study (see Part B for more details).</w:t>
      </w:r>
      <w:r w:rsidR="00CB5611">
        <w:t xml:space="preserve">. </w:t>
      </w:r>
      <w:r w:rsidR="009122DC">
        <w:t>Producers who choose to participate will be able to complete the questionnaire when it is most convenient for them</w:t>
      </w:r>
      <w:r w:rsidR="00951E8C">
        <w:t xml:space="preserve"> from 3 July to 11 August 2017</w:t>
      </w:r>
      <w:r w:rsidR="009122DC">
        <w:t>, which will minimize potential impacts</w:t>
      </w:r>
      <w:r w:rsidR="00D75A13">
        <w:t xml:space="preserve"> </w:t>
      </w:r>
      <w:r w:rsidR="009122DC">
        <w:t>on business operations</w:t>
      </w:r>
      <w:r w:rsidR="0041076B">
        <w:t xml:space="preserve">. </w:t>
      </w:r>
      <w:r w:rsidR="00CB5611" w:rsidRPr="00D36F02">
        <w:t xml:space="preserve">Industry and producer input </w:t>
      </w:r>
      <w:r w:rsidR="009122DC">
        <w:t xml:space="preserve">into the questionnaire </w:t>
      </w:r>
      <w:r w:rsidR="004714A6">
        <w:t>was</w:t>
      </w:r>
      <w:r w:rsidR="00951E8C">
        <w:t xml:space="preserve"> </w:t>
      </w:r>
      <w:r w:rsidR="00CB5611" w:rsidRPr="00D36F02">
        <w:t>solicited to ensure that information collected is relevant and timely</w:t>
      </w:r>
      <w:r w:rsidR="00CB5611">
        <w:t xml:space="preserve">. </w:t>
      </w:r>
      <w:r w:rsidR="00CB5611" w:rsidRPr="00D36F02">
        <w:t>This is a voluntary pro</w:t>
      </w:r>
      <w:r w:rsidR="00282A56">
        <w:t>gram</w:t>
      </w:r>
      <w:r w:rsidR="0093108E">
        <w:t>. T</w:t>
      </w:r>
      <w:r w:rsidR="00CB5611" w:rsidRPr="00D36F02">
        <w:t>he individual producer</w:t>
      </w:r>
      <w:r w:rsidR="00282A56">
        <w:t xml:space="preserve"> will choose whether</w:t>
      </w:r>
      <w:r w:rsidR="00CB5611" w:rsidRPr="00D36F02">
        <w:t xml:space="preserve"> to participate</w:t>
      </w:r>
      <w:r w:rsidR="00282A56">
        <w:t>.</w:t>
      </w:r>
      <w:r w:rsidR="00FA2595">
        <w:t xml:space="preserve">  </w:t>
      </w:r>
    </w:p>
    <w:p w14:paraId="121FB687" w14:textId="77777777" w:rsidR="00EC4B20" w:rsidRPr="00F258A4" w:rsidRDefault="00EC4B20" w:rsidP="0057651D"/>
    <w:p w14:paraId="65AA16B5" w14:textId="77777777" w:rsidR="004510C7" w:rsidRDefault="004510C7" w:rsidP="0057651D">
      <w:pPr>
        <w:pStyle w:val="DefaultText"/>
        <w:rPr>
          <w:b/>
        </w:rPr>
      </w:pPr>
      <w:r w:rsidRPr="004D3478">
        <w:rPr>
          <w:b/>
        </w:rPr>
        <w:t>6</w:t>
      </w:r>
      <w:r w:rsidR="008A72A5">
        <w:rPr>
          <w:b/>
        </w:rPr>
        <w:t xml:space="preserve">. </w:t>
      </w:r>
      <w:r w:rsidRPr="004D3478">
        <w:rPr>
          <w:b/>
        </w:rPr>
        <w:t>Describe the consequence to Federal program or policy activities if the collection is not conducted or is conducted less frequently, as well as any technical or legal obstacles to reducing burden.</w:t>
      </w:r>
    </w:p>
    <w:p w14:paraId="49360A66" w14:textId="77777777" w:rsidR="004510C7" w:rsidRPr="0093108E" w:rsidRDefault="004510C7" w:rsidP="0057651D">
      <w:pPr>
        <w:pStyle w:val="DefaultText"/>
        <w:rPr>
          <w:b/>
          <w:sz w:val="12"/>
          <w:szCs w:val="12"/>
        </w:rPr>
      </w:pPr>
    </w:p>
    <w:p w14:paraId="3939D36E" w14:textId="374BC442" w:rsidR="00727F5A" w:rsidRDefault="007F2DCB" w:rsidP="0057651D">
      <w:r>
        <w:t xml:space="preserve">Previous NAHMS commodity studies </w:t>
      </w:r>
      <w:r w:rsidR="007F2425">
        <w:t>ha</w:t>
      </w:r>
      <w:r>
        <w:t>ve</w:t>
      </w:r>
      <w:r w:rsidR="007F2425">
        <w:t xml:space="preserve"> described</w:t>
      </w:r>
      <w:r>
        <w:t xml:space="preserve"> some antimicrobial use</w:t>
      </w:r>
      <w:r w:rsidR="007F2425">
        <w:t xml:space="preserve"> on a national level</w:t>
      </w:r>
      <w:r w:rsidR="00CB5611">
        <w:t xml:space="preserve">. </w:t>
      </w:r>
      <w:r>
        <w:t>However, we have never designed a study to solely collect this information. In addition this is a pivotal time as existing practices are in flux due to existing and upcoming changes in the VFD.</w:t>
      </w:r>
      <w:r w:rsidR="00727F5A">
        <w:t xml:space="preserve"> Estimates of </w:t>
      </w:r>
      <w:r w:rsidR="00063274">
        <w:t xml:space="preserve">antimicrobial </w:t>
      </w:r>
      <w:r w:rsidR="00727F5A">
        <w:t xml:space="preserve">use before and after implementation of new VFD regulations are important to assess for two reasons. One is to assess how producers have adjusted their practices to comply with the new VFD. The second is to describe use before and after the change. For example, we wish not only to provide a national estimate of the percent of sites that use X </w:t>
      </w:r>
      <w:r w:rsidR="00D73B0C">
        <w:t>antibiotic</w:t>
      </w:r>
      <w:r w:rsidR="00727F5A">
        <w:t xml:space="preserve"> in nursery pigs feed for growth promotion </w:t>
      </w:r>
      <w:r w:rsidR="00D73B0C">
        <w:t>before and after the new VFD.</w:t>
      </w:r>
    </w:p>
    <w:p w14:paraId="7A70FDC5" w14:textId="77777777" w:rsidR="00CB5611" w:rsidRPr="0093108E" w:rsidRDefault="007F2DCB" w:rsidP="0057651D">
      <w:pPr>
        <w:rPr>
          <w:sz w:val="12"/>
          <w:szCs w:val="12"/>
        </w:rPr>
      </w:pPr>
      <w:r w:rsidRPr="0093108E">
        <w:rPr>
          <w:sz w:val="12"/>
          <w:szCs w:val="12"/>
        </w:rPr>
        <w:t xml:space="preserve"> </w:t>
      </w:r>
    </w:p>
    <w:p w14:paraId="5BC47476" w14:textId="77777777" w:rsidR="00CB5611" w:rsidRPr="00F258A4" w:rsidRDefault="00CB5611" w:rsidP="0057651D">
      <w:r w:rsidRPr="00D36F02">
        <w:rPr>
          <w:rStyle w:val="InitialStyle"/>
        </w:rPr>
        <w:t>Without this t</w:t>
      </w:r>
      <w:r w:rsidR="00D2192C">
        <w:rPr>
          <w:rStyle w:val="InitialStyle"/>
        </w:rPr>
        <w:t>ype of national data, the United States</w:t>
      </w:r>
      <w:r w:rsidR="007F2425">
        <w:rPr>
          <w:rStyle w:val="InitialStyle"/>
        </w:rPr>
        <w:t xml:space="preserve"> will have no </w:t>
      </w:r>
      <w:r w:rsidRPr="00D36F02">
        <w:rPr>
          <w:rStyle w:val="InitialStyle"/>
        </w:rPr>
        <w:t xml:space="preserve">ability to </w:t>
      </w:r>
      <w:r w:rsidR="007F2425">
        <w:rPr>
          <w:rStyle w:val="InitialStyle"/>
        </w:rPr>
        <w:t>understand and develop information on</w:t>
      </w:r>
      <w:r w:rsidRPr="00D36F02">
        <w:rPr>
          <w:rStyle w:val="InitialStyle"/>
        </w:rPr>
        <w:t xml:space="preserve"> trends in </w:t>
      </w:r>
      <w:r w:rsidR="005D5E26">
        <w:rPr>
          <w:rStyle w:val="InitialStyle"/>
        </w:rPr>
        <w:t>antimicrobial use</w:t>
      </w:r>
      <w:r>
        <w:rPr>
          <w:rStyle w:val="InitialStyle"/>
        </w:rPr>
        <w:t xml:space="preserve">. </w:t>
      </w:r>
      <w:r w:rsidR="00D2192C">
        <w:rPr>
          <w:rStyle w:val="InitialStyle"/>
        </w:rPr>
        <w:t xml:space="preserve">The United States would not be able to </w:t>
      </w:r>
      <w:r w:rsidR="005D5E26">
        <w:rPr>
          <w:rStyle w:val="InitialStyle"/>
        </w:rPr>
        <w:t xml:space="preserve">provide objective information </w:t>
      </w:r>
      <w:r w:rsidR="00063274">
        <w:rPr>
          <w:rStyle w:val="InitialStyle"/>
        </w:rPr>
        <w:t xml:space="preserve">evaluate </w:t>
      </w:r>
      <w:r w:rsidR="005D5E26">
        <w:rPr>
          <w:rStyle w:val="InitialStyle"/>
        </w:rPr>
        <w:t xml:space="preserve">the results of the </w:t>
      </w:r>
      <w:r w:rsidR="00D2192C">
        <w:rPr>
          <w:rStyle w:val="InitialStyle"/>
        </w:rPr>
        <w:t>FDA</w:t>
      </w:r>
      <w:r w:rsidR="005D5E26">
        <w:rPr>
          <w:rStyle w:val="InitialStyle"/>
        </w:rPr>
        <w:t>’s</w:t>
      </w:r>
      <w:r w:rsidR="00D2192C">
        <w:rPr>
          <w:rStyle w:val="InitialStyle"/>
        </w:rPr>
        <w:t xml:space="preserve"> </w:t>
      </w:r>
      <w:r w:rsidR="005D5E26">
        <w:rPr>
          <w:rStyle w:val="InitialStyle"/>
        </w:rPr>
        <w:t>decision</w:t>
      </w:r>
      <w:r>
        <w:rPr>
          <w:rStyle w:val="InitialStyle"/>
        </w:rPr>
        <w:t xml:space="preserve">. </w:t>
      </w:r>
    </w:p>
    <w:p w14:paraId="1AB4C37D" w14:textId="77777777" w:rsidR="004510C7" w:rsidRDefault="004510C7" w:rsidP="0057651D">
      <w:pPr>
        <w:pStyle w:val="Heading2"/>
        <w:spacing w:before="0" w:after="0"/>
        <w:rPr>
          <w:rFonts w:ascii="Times New Roman" w:hAnsi="Times New Roman" w:cs="Times New Roman"/>
          <w:i w:val="0"/>
          <w:sz w:val="24"/>
        </w:rPr>
      </w:pPr>
      <w:bookmarkStart w:id="2" w:name="_Toc120517333"/>
      <w:bookmarkStart w:id="3" w:name="_Toc133308559"/>
      <w:bookmarkStart w:id="4" w:name="_Toc143941122"/>
    </w:p>
    <w:p w14:paraId="23BC461D" w14:textId="77777777" w:rsidR="004510C7" w:rsidRPr="00E5425A" w:rsidRDefault="004510C7" w:rsidP="0057651D">
      <w:pPr>
        <w:rPr>
          <w:b/>
        </w:rPr>
      </w:pPr>
      <w:r w:rsidRPr="00E5425A">
        <w:rPr>
          <w:b/>
        </w:rPr>
        <w:t>7</w:t>
      </w:r>
      <w:r w:rsidR="008A72A5">
        <w:rPr>
          <w:b/>
        </w:rPr>
        <w:t xml:space="preserve">. </w:t>
      </w:r>
      <w:r w:rsidRPr="00E5425A">
        <w:rPr>
          <w:b/>
        </w:rPr>
        <w:t>Explain any special circumstances that require the collection to be conducted in a manner inconsistent with the general information collection guidelines in 5 CFR 1320.5.</w:t>
      </w:r>
    </w:p>
    <w:p w14:paraId="08DA86C1" w14:textId="77777777" w:rsidR="004510C7" w:rsidRPr="00AC6E12" w:rsidRDefault="004510C7" w:rsidP="0093108E">
      <w:pPr>
        <w:ind w:left="720"/>
        <w:rPr>
          <w:sz w:val="12"/>
          <w:szCs w:val="12"/>
        </w:rPr>
      </w:pPr>
    </w:p>
    <w:p w14:paraId="427040C7" w14:textId="77777777" w:rsidR="004510C7" w:rsidRPr="00AC6E12" w:rsidRDefault="004510C7" w:rsidP="00EB3F4C">
      <w:pPr>
        <w:pStyle w:val="ListParagraph"/>
        <w:numPr>
          <w:ilvl w:val="0"/>
          <w:numId w:val="43"/>
        </w:numPr>
        <w:autoSpaceDE w:val="0"/>
        <w:autoSpaceDN w:val="0"/>
        <w:adjustRightInd w:val="0"/>
        <w:ind w:left="360" w:firstLine="0"/>
        <w:rPr>
          <w:b/>
          <w:bCs/>
          <w:color w:val="000000"/>
        </w:rPr>
      </w:pPr>
      <w:r w:rsidRPr="00AC6E12">
        <w:rPr>
          <w:b/>
          <w:bCs/>
          <w:color w:val="000000"/>
        </w:rPr>
        <w:t>requiring respondents to report information to the agency more often than quarterly;</w:t>
      </w:r>
    </w:p>
    <w:p w14:paraId="6771E1A4" w14:textId="77777777" w:rsidR="004510C7" w:rsidRPr="00AC6E12" w:rsidRDefault="004510C7" w:rsidP="00EB3F4C">
      <w:pPr>
        <w:autoSpaceDE w:val="0"/>
        <w:autoSpaceDN w:val="0"/>
        <w:adjustRightInd w:val="0"/>
        <w:ind w:left="360"/>
        <w:rPr>
          <w:b/>
          <w:bCs/>
          <w:color w:val="000000"/>
          <w:sz w:val="12"/>
          <w:szCs w:val="12"/>
        </w:rPr>
      </w:pPr>
    </w:p>
    <w:p w14:paraId="16EA3822" w14:textId="77777777" w:rsidR="004510C7" w:rsidRPr="00AC6E12" w:rsidRDefault="004510C7" w:rsidP="00EB3F4C">
      <w:pPr>
        <w:pStyle w:val="ListParagraph"/>
        <w:numPr>
          <w:ilvl w:val="0"/>
          <w:numId w:val="43"/>
        </w:numPr>
        <w:autoSpaceDE w:val="0"/>
        <w:autoSpaceDN w:val="0"/>
        <w:adjustRightInd w:val="0"/>
        <w:ind w:left="360" w:firstLine="0"/>
        <w:rPr>
          <w:b/>
          <w:bCs/>
          <w:color w:val="000000"/>
        </w:rPr>
      </w:pPr>
      <w:r w:rsidRPr="00AC6E12">
        <w:rPr>
          <w:b/>
          <w:bCs/>
          <w:color w:val="000000"/>
        </w:rPr>
        <w:t>requiring respondents to prepare a written response to a collection of information in fewer than 30 days after receipt of it;</w:t>
      </w:r>
    </w:p>
    <w:p w14:paraId="327824E1" w14:textId="77777777" w:rsidR="004510C7" w:rsidRPr="00AC6E12" w:rsidRDefault="004510C7" w:rsidP="00EB3F4C">
      <w:pPr>
        <w:autoSpaceDE w:val="0"/>
        <w:autoSpaceDN w:val="0"/>
        <w:adjustRightInd w:val="0"/>
        <w:ind w:left="360"/>
        <w:rPr>
          <w:b/>
          <w:bCs/>
          <w:color w:val="000000"/>
          <w:sz w:val="12"/>
          <w:szCs w:val="12"/>
        </w:rPr>
      </w:pPr>
    </w:p>
    <w:p w14:paraId="462B8BE0" w14:textId="77777777" w:rsidR="004510C7" w:rsidRPr="00AC6E12" w:rsidRDefault="004510C7" w:rsidP="00EB3F4C">
      <w:pPr>
        <w:pStyle w:val="ListParagraph"/>
        <w:numPr>
          <w:ilvl w:val="0"/>
          <w:numId w:val="43"/>
        </w:numPr>
        <w:autoSpaceDE w:val="0"/>
        <w:autoSpaceDN w:val="0"/>
        <w:adjustRightInd w:val="0"/>
        <w:ind w:left="360" w:firstLine="0"/>
        <w:rPr>
          <w:b/>
          <w:bCs/>
          <w:color w:val="000000"/>
        </w:rPr>
      </w:pPr>
      <w:r w:rsidRPr="00AC6E12">
        <w:rPr>
          <w:b/>
          <w:bCs/>
          <w:color w:val="000000"/>
        </w:rPr>
        <w:t>requiring respondents to submit more than an original and two copies of any document;</w:t>
      </w:r>
    </w:p>
    <w:p w14:paraId="0FA1FCCD" w14:textId="77777777" w:rsidR="004510C7" w:rsidRPr="00AC6E12" w:rsidRDefault="004510C7" w:rsidP="00EB3F4C">
      <w:pPr>
        <w:autoSpaceDE w:val="0"/>
        <w:autoSpaceDN w:val="0"/>
        <w:adjustRightInd w:val="0"/>
        <w:ind w:left="360"/>
        <w:rPr>
          <w:b/>
          <w:bCs/>
          <w:color w:val="000000"/>
          <w:sz w:val="12"/>
          <w:szCs w:val="12"/>
        </w:rPr>
      </w:pPr>
    </w:p>
    <w:p w14:paraId="546BF194" w14:textId="77777777" w:rsidR="004510C7" w:rsidRPr="00AC6E12" w:rsidRDefault="004510C7" w:rsidP="00EB3F4C">
      <w:pPr>
        <w:pStyle w:val="ListParagraph"/>
        <w:numPr>
          <w:ilvl w:val="0"/>
          <w:numId w:val="43"/>
        </w:numPr>
        <w:autoSpaceDE w:val="0"/>
        <w:autoSpaceDN w:val="0"/>
        <w:adjustRightInd w:val="0"/>
        <w:ind w:left="360" w:firstLine="0"/>
        <w:rPr>
          <w:b/>
          <w:bCs/>
          <w:color w:val="000000"/>
        </w:rPr>
      </w:pPr>
      <w:r w:rsidRPr="00AC6E12">
        <w:rPr>
          <w:b/>
          <w:bCs/>
          <w:color w:val="000000"/>
        </w:rPr>
        <w:t>requiring respondents to retain records, other than health, medical, government contract, grant-in-aid, or tax records for more than three years;</w:t>
      </w:r>
    </w:p>
    <w:p w14:paraId="4C1FA1F1" w14:textId="77777777" w:rsidR="004510C7" w:rsidRPr="00AC6E12" w:rsidRDefault="004510C7" w:rsidP="00EB3F4C">
      <w:pPr>
        <w:autoSpaceDE w:val="0"/>
        <w:autoSpaceDN w:val="0"/>
        <w:adjustRightInd w:val="0"/>
        <w:ind w:left="360"/>
        <w:rPr>
          <w:b/>
          <w:bCs/>
          <w:color w:val="000000"/>
          <w:sz w:val="12"/>
          <w:szCs w:val="12"/>
        </w:rPr>
      </w:pPr>
    </w:p>
    <w:p w14:paraId="749478F5" w14:textId="77777777" w:rsidR="004510C7" w:rsidRPr="00AC6E12" w:rsidRDefault="004510C7" w:rsidP="00EB3F4C">
      <w:pPr>
        <w:pStyle w:val="ListParagraph"/>
        <w:numPr>
          <w:ilvl w:val="0"/>
          <w:numId w:val="43"/>
        </w:numPr>
        <w:autoSpaceDE w:val="0"/>
        <w:autoSpaceDN w:val="0"/>
        <w:adjustRightInd w:val="0"/>
        <w:ind w:left="360" w:firstLine="0"/>
        <w:rPr>
          <w:b/>
          <w:bCs/>
          <w:color w:val="000000"/>
        </w:rPr>
      </w:pPr>
      <w:r w:rsidRPr="00AC6E12">
        <w:rPr>
          <w:b/>
          <w:bCs/>
          <w:color w:val="000000"/>
        </w:rPr>
        <w:t>in connection with a statistical survey, that is not designed to produce valid and reliable results that can be generalized to the universe of study;</w:t>
      </w:r>
    </w:p>
    <w:p w14:paraId="7EF14A1C" w14:textId="77777777" w:rsidR="004510C7" w:rsidRPr="00AC6E12" w:rsidRDefault="004510C7" w:rsidP="00EB3F4C">
      <w:pPr>
        <w:autoSpaceDE w:val="0"/>
        <w:autoSpaceDN w:val="0"/>
        <w:adjustRightInd w:val="0"/>
        <w:ind w:left="360"/>
        <w:rPr>
          <w:b/>
          <w:bCs/>
          <w:color w:val="000000"/>
          <w:sz w:val="12"/>
          <w:szCs w:val="12"/>
        </w:rPr>
      </w:pPr>
    </w:p>
    <w:p w14:paraId="09B4FECC" w14:textId="77777777" w:rsidR="004510C7" w:rsidRPr="00AC6E12" w:rsidRDefault="004510C7" w:rsidP="00EB3F4C">
      <w:pPr>
        <w:pStyle w:val="ListParagraph"/>
        <w:numPr>
          <w:ilvl w:val="0"/>
          <w:numId w:val="43"/>
        </w:numPr>
        <w:autoSpaceDE w:val="0"/>
        <w:autoSpaceDN w:val="0"/>
        <w:adjustRightInd w:val="0"/>
        <w:ind w:left="360" w:firstLine="0"/>
        <w:rPr>
          <w:b/>
          <w:bCs/>
          <w:color w:val="000000"/>
        </w:rPr>
      </w:pPr>
      <w:r w:rsidRPr="00AC6E12">
        <w:rPr>
          <w:b/>
          <w:bCs/>
          <w:color w:val="000000"/>
        </w:rPr>
        <w:t>requiring the use of a statistical data classification that has not been reviewed and approved by OMB;</w:t>
      </w:r>
    </w:p>
    <w:p w14:paraId="7F9F9DDD" w14:textId="77777777" w:rsidR="004510C7" w:rsidRPr="00AC6E12" w:rsidRDefault="004510C7" w:rsidP="00EB3F4C">
      <w:pPr>
        <w:autoSpaceDE w:val="0"/>
        <w:autoSpaceDN w:val="0"/>
        <w:adjustRightInd w:val="0"/>
        <w:ind w:left="360"/>
        <w:rPr>
          <w:b/>
          <w:bCs/>
          <w:color w:val="000000"/>
          <w:sz w:val="12"/>
          <w:szCs w:val="12"/>
        </w:rPr>
      </w:pPr>
    </w:p>
    <w:p w14:paraId="29782B9C" w14:textId="77777777" w:rsidR="004510C7" w:rsidRPr="00AC6E12" w:rsidRDefault="004510C7" w:rsidP="00EB3F4C">
      <w:pPr>
        <w:pStyle w:val="ListParagraph"/>
        <w:numPr>
          <w:ilvl w:val="0"/>
          <w:numId w:val="43"/>
        </w:numPr>
        <w:autoSpaceDE w:val="0"/>
        <w:autoSpaceDN w:val="0"/>
        <w:adjustRightInd w:val="0"/>
        <w:ind w:left="360" w:firstLine="0"/>
        <w:rPr>
          <w:b/>
          <w:bCs/>
          <w:color w:val="000000"/>
        </w:rPr>
      </w:pPr>
      <w:r w:rsidRPr="00AC6E12">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22DD11F" w14:textId="77777777" w:rsidR="004510C7" w:rsidRPr="00AC6E12" w:rsidRDefault="004510C7" w:rsidP="0057651D">
      <w:pPr>
        <w:autoSpaceDE w:val="0"/>
        <w:autoSpaceDN w:val="0"/>
        <w:adjustRightInd w:val="0"/>
        <w:ind w:left="900" w:hanging="180"/>
        <w:rPr>
          <w:b/>
          <w:bCs/>
          <w:color w:val="000000"/>
        </w:rPr>
      </w:pPr>
    </w:p>
    <w:p w14:paraId="32BC56BF" w14:textId="77777777" w:rsidR="004510C7" w:rsidRPr="00AC6E12" w:rsidRDefault="004510C7" w:rsidP="00EB3F4C">
      <w:pPr>
        <w:pStyle w:val="ListParagraph"/>
        <w:numPr>
          <w:ilvl w:val="0"/>
          <w:numId w:val="36"/>
        </w:numPr>
        <w:autoSpaceDE w:val="0"/>
        <w:autoSpaceDN w:val="0"/>
        <w:adjustRightInd w:val="0"/>
        <w:ind w:left="360" w:firstLine="0"/>
        <w:rPr>
          <w:b/>
          <w:bCs/>
          <w:color w:val="000000"/>
        </w:rPr>
      </w:pPr>
      <w:r w:rsidRPr="00AC6E12">
        <w:rPr>
          <w:b/>
          <w:bCs/>
          <w:color w:val="000000"/>
        </w:rPr>
        <w:t>requiring respondents to submit proprietary trade secret, or other confidential information unless the agency can demonstrate that it has instituted procedures to protect the information's confidentiality to the extent permitted by law.</w:t>
      </w:r>
    </w:p>
    <w:p w14:paraId="7E58B7F9" w14:textId="77777777" w:rsidR="004510C7" w:rsidRPr="00EB3F4C" w:rsidRDefault="004510C7" w:rsidP="0057651D">
      <w:pPr>
        <w:pStyle w:val="DefaultText"/>
        <w:rPr>
          <w:sz w:val="12"/>
          <w:szCs w:val="12"/>
        </w:rPr>
      </w:pPr>
    </w:p>
    <w:p w14:paraId="2C96D374" w14:textId="5A728D59" w:rsidR="004510C7" w:rsidRPr="00514140" w:rsidRDefault="00EF4F9B" w:rsidP="0057651D">
      <w:pPr>
        <w:pStyle w:val="300"/>
        <w:rPr>
          <w:sz w:val="24"/>
          <w:szCs w:val="24"/>
        </w:rPr>
      </w:pPr>
      <w:r>
        <w:rPr>
          <w:sz w:val="24"/>
          <w:szCs w:val="24"/>
        </w:rPr>
        <w:t>Due to NASS printing workloads and timelines</w:t>
      </w:r>
      <w:r w:rsidR="004714A6">
        <w:rPr>
          <w:sz w:val="24"/>
          <w:szCs w:val="24"/>
        </w:rPr>
        <w:t xml:space="preserve"> and with prior OMB approval</w:t>
      </w:r>
      <w:r>
        <w:rPr>
          <w:sz w:val="24"/>
          <w:szCs w:val="24"/>
        </w:rPr>
        <w:t xml:space="preserve">, copies of questionnaires may be sent to potential study participants by NASS in May 2017 without an OMB control number.  APHIS will perform the actual data collection from consenting individuals in June 2017.  This additional time will ensure that these additional copies will have the OMB control number printed on the form for the data collection.   </w:t>
      </w:r>
    </w:p>
    <w:bookmarkEnd w:id="2"/>
    <w:bookmarkEnd w:id="3"/>
    <w:bookmarkEnd w:id="4"/>
    <w:p w14:paraId="313AD6B1" w14:textId="77777777" w:rsidR="00D27301" w:rsidRDefault="00D27301" w:rsidP="0057651D"/>
    <w:p w14:paraId="394B1E11" w14:textId="77777777" w:rsidR="004510C7" w:rsidRPr="004D3478" w:rsidRDefault="004510C7" w:rsidP="0057651D">
      <w:pPr>
        <w:pStyle w:val="DefaultText"/>
        <w:rPr>
          <w:b/>
        </w:rPr>
      </w:pPr>
      <w:r w:rsidRPr="004D3478">
        <w:rPr>
          <w:b/>
        </w:rPr>
        <w:t>8</w:t>
      </w:r>
      <w:r w:rsidR="008A72A5">
        <w:rPr>
          <w:b/>
        </w:rPr>
        <w:t xml:space="preserve">. </w:t>
      </w:r>
      <w:r w:rsidRPr="004D3478">
        <w:rPr>
          <w:b/>
        </w:rPr>
        <w:t xml:space="preserve">Describe efforts to consult with persons outside the agency to obtain their views on the availability of data, frequency of collection, the clarity of instructions and record 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w:t>
      </w:r>
      <w:r w:rsidR="00080E9F">
        <w:rPr>
          <w:b/>
        </w:rPr>
        <w:t>O</w:t>
      </w:r>
      <w:r w:rsidRPr="004D3478">
        <w:rPr>
          <w:b/>
        </w:rPr>
        <w:t>MB.</w:t>
      </w:r>
    </w:p>
    <w:p w14:paraId="11CD3CE2" w14:textId="77777777" w:rsidR="00D27301" w:rsidRPr="005D5E26" w:rsidRDefault="00D27301" w:rsidP="0057651D">
      <w:pPr>
        <w:pStyle w:val="ListParagraph"/>
        <w:ind w:left="0"/>
        <w:rPr>
          <w:sz w:val="12"/>
          <w:szCs w:val="12"/>
        </w:rPr>
      </w:pPr>
    </w:p>
    <w:p w14:paraId="09A56141" w14:textId="77777777" w:rsidR="00DA6C5B" w:rsidRDefault="0054543A" w:rsidP="0057651D">
      <w:r>
        <w:t xml:space="preserve">The following people </w:t>
      </w:r>
      <w:r w:rsidR="004510C7">
        <w:t>were</w:t>
      </w:r>
      <w:r w:rsidR="0015079B">
        <w:t xml:space="preserve"> </w:t>
      </w:r>
      <w:r>
        <w:t xml:space="preserve">consulted during planning and development of the </w:t>
      </w:r>
      <w:r w:rsidR="00727F5A">
        <w:t>A</w:t>
      </w:r>
      <w:r w:rsidR="00727F5A" w:rsidRPr="004F63B7">
        <w:t xml:space="preserve">ntimicrobial </w:t>
      </w:r>
      <w:r w:rsidR="00727F5A">
        <w:t>U</w:t>
      </w:r>
      <w:r w:rsidR="00727F5A" w:rsidRPr="004F63B7">
        <w:t xml:space="preserve">sage </w:t>
      </w:r>
      <w:r w:rsidR="00727F5A">
        <w:t>S</w:t>
      </w:r>
      <w:r w:rsidR="00727F5A" w:rsidRPr="004F63B7">
        <w:t>tudy</w:t>
      </w:r>
      <w:r w:rsidR="00DA6C5B">
        <w:t>:</w:t>
      </w:r>
    </w:p>
    <w:p w14:paraId="2890A21A" w14:textId="77777777" w:rsidR="00DA6C5B" w:rsidRPr="005D5E26" w:rsidRDefault="00DA6C5B" w:rsidP="0057651D">
      <w:pPr>
        <w:rPr>
          <w:sz w:val="12"/>
          <w:szCs w:val="12"/>
        </w:rPr>
      </w:pPr>
    </w:p>
    <w:p w14:paraId="4FA78EB8" w14:textId="77777777" w:rsidR="005D5E26" w:rsidRDefault="005D5E26" w:rsidP="005D5E26">
      <w:r w:rsidRPr="00D36F02">
        <w:t xml:space="preserve">Dr. </w:t>
      </w:r>
      <w:r>
        <w:t>Liz Wagstrom, National Pork Producer’s Council, Chief Veterinarian National Pork Board, 122 C Street N.W. Suite 875 Washington D.C. 20001. (202) 347-3600.</w:t>
      </w:r>
    </w:p>
    <w:p w14:paraId="6A1B096D" w14:textId="77777777" w:rsidR="005D5E26" w:rsidRPr="005D5E26" w:rsidRDefault="005D5E26" w:rsidP="005D5E26">
      <w:pPr>
        <w:rPr>
          <w:sz w:val="12"/>
          <w:szCs w:val="12"/>
        </w:rPr>
      </w:pPr>
      <w:r>
        <w:t xml:space="preserve"> </w:t>
      </w:r>
    </w:p>
    <w:p w14:paraId="2A45799C" w14:textId="77777777" w:rsidR="005D5E26" w:rsidRDefault="005D5E26" w:rsidP="005D5E26">
      <w:r w:rsidRPr="00D36F02">
        <w:t xml:space="preserve">Dr. </w:t>
      </w:r>
      <w:r>
        <w:t>Harry Snelson</w:t>
      </w:r>
      <w:r w:rsidRPr="00D36F02">
        <w:t xml:space="preserve">, </w:t>
      </w:r>
      <w:r>
        <w:t>Director of Communications for the American Association of Swine Veterinarians, 830 26</w:t>
      </w:r>
      <w:r w:rsidRPr="00D477A8">
        <w:rPr>
          <w:vertAlign w:val="superscript"/>
        </w:rPr>
        <w:t>th</w:t>
      </w:r>
      <w:r>
        <w:t xml:space="preserve"> Street Perry, IA 50220 (515) 465-5255.</w:t>
      </w:r>
    </w:p>
    <w:p w14:paraId="46571570" w14:textId="77777777" w:rsidR="00EB3F4C" w:rsidRDefault="00EB3F4C" w:rsidP="005D5E26"/>
    <w:p w14:paraId="15DE3345" w14:textId="77777777" w:rsidR="00EB3F4C" w:rsidRDefault="00EB3F4C" w:rsidP="00EB3F4C">
      <w:r>
        <w:t xml:space="preserve">Dr. </w:t>
      </w:r>
      <w:r w:rsidRPr="00EB3F4C">
        <w:t>Jennifer Koeman Director of Producer and Public Health, Science &amp; Technology</w:t>
      </w:r>
      <w:r>
        <w:t>, National Pork Board,  1776 NW 114th Street, Des Moines, Iowa 50325 (515) 223-2600.</w:t>
      </w:r>
    </w:p>
    <w:p w14:paraId="08619FC8" w14:textId="77777777" w:rsidR="005D5E26" w:rsidRPr="005D5E26" w:rsidRDefault="005D5E26" w:rsidP="005D5E26">
      <w:pPr>
        <w:rPr>
          <w:sz w:val="12"/>
          <w:szCs w:val="12"/>
        </w:rPr>
      </w:pPr>
    </w:p>
    <w:p w14:paraId="243B7A99" w14:textId="77777777" w:rsidR="005D5E26" w:rsidRDefault="005D5E26" w:rsidP="005D5E26">
      <w:r w:rsidRPr="00D36F02">
        <w:t xml:space="preserve">Dr. </w:t>
      </w:r>
      <w:r>
        <w:t>Peter Davies</w:t>
      </w:r>
      <w:r w:rsidRPr="00D36F02">
        <w:t xml:space="preserve">, </w:t>
      </w:r>
      <w:r>
        <w:t>Professor, Veterinary Population Medicine, University of Minnesota Twin Cities, 225 Veterinary Medical Center, 1365 Gortner Avenue, University of Minnesota</w:t>
      </w:r>
    </w:p>
    <w:p w14:paraId="18DB093D" w14:textId="77777777" w:rsidR="001D0D6D" w:rsidRDefault="005D5E26" w:rsidP="005D5E26">
      <w:pPr>
        <w:rPr>
          <w:color w:val="000000"/>
        </w:rPr>
      </w:pPr>
      <w:r>
        <w:t xml:space="preserve">St. Paul, MN 55108 </w:t>
      </w:r>
      <w:r w:rsidRPr="005D5E26">
        <w:t>(</w:t>
      </w:r>
      <w:r w:rsidRPr="005D5E26">
        <w:rPr>
          <w:color w:val="000000"/>
        </w:rPr>
        <w:t>612) 625-8290</w:t>
      </w:r>
      <w:r w:rsidR="001D0D6D">
        <w:rPr>
          <w:color w:val="000000"/>
        </w:rPr>
        <w:t>.</w:t>
      </w:r>
    </w:p>
    <w:p w14:paraId="25FE31D8" w14:textId="77777777" w:rsidR="001D0D6D" w:rsidRDefault="001D0D6D" w:rsidP="005D5E26">
      <w:pPr>
        <w:rPr>
          <w:color w:val="000000"/>
        </w:rPr>
      </w:pPr>
    </w:p>
    <w:p w14:paraId="23CAE64A" w14:textId="77777777" w:rsidR="001D0D6D" w:rsidRDefault="001D0D6D" w:rsidP="001D0D6D">
      <w:pPr>
        <w:rPr>
          <w:color w:val="333333"/>
        </w:rPr>
      </w:pPr>
      <w:r w:rsidRPr="001D0D6D">
        <w:rPr>
          <w:color w:val="000000"/>
        </w:rPr>
        <w:t>Dr. Mike Apley, Clinical Sciences, College of Veterinary Medicine, Kansas State University, A-111 Mosier Hall</w:t>
      </w:r>
      <w:r>
        <w:rPr>
          <w:color w:val="000000"/>
        </w:rPr>
        <w:t xml:space="preserve">, </w:t>
      </w:r>
      <w:r w:rsidRPr="001D0D6D">
        <w:rPr>
          <w:color w:val="000000"/>
        </w:rPr>
        <w:t>Manhattan, KS 66506 (</w:t>
      </w:r>
      <w:r w:rsidRPr="001D0D6D">
        <w:rPr>
          <w:vanish/>
          <w:color w:val="333333"/>
        </w:rPr>
        <w:t>785-532-4890</w:t>
      </w:r>
      <w:r w:rsidRPr="001D0D6D">
        <w:rPr>
          <w:color w:val="333333"/>
        </w:rPr>
        <w:t>785) 532-4890</w:t>
      </w:r>
    </w:p>
    <w:p w14:paraId="39F16EEA" w14:textId="77777777" w:rsidR="001D0D6D" w:rsidRDefault="001D0D6D" w:rsidP="001D0D6D">
      <w:pPr>
        <w:rPr>
          <w:color w:val="333333"/>
        </w:rPr>
      </w:pPr>
    </w:p>
    <w:p w14:paraId="7E38CC2A" w14:textId="77777777" w:rsidR="001D0D6D" w:rsidRDefault="001D0D6D" w:rsidP="001D0D6D">
      <w:pPr>
        <w:rPr>
          <w:color w:val="000000"/>
        </w:rPr>
      </w:pPr>
      <w:r>
        <w:rPr>
          <w:color w:val="000000"/>
        </w:rPr>
        <w:t xml:space="preserve">Dr. </w:t>
      </w:r>
      <w:r w:rsidRPr="001D0D6D">
        <w:rPr>
          <w:color w:val="000000"/>
        </w:rPr>
        <w:t xml:space="preserve">Kathy Simmons, National Cattlemen’s Beef Association, 1301 Pennsylvania Ave NW, Ste </w:t>
      </w:r>
      <w:r>
        <w:rPr>
          <w:color w:val="000000"/>
        </w:rPr>
        <w:t>300NW, Washington, DC 20004</w:t>
      </w:r>
      <w:r w:rsidR="00615EDF">
        <w:rPr>
          <w:color w:val="000000"/>
        </w:rPr>
        <w:t xml:space="preserve"> </w:t>
      </w:r>
      <w:hyperlink r:id="rId12" w:history="1">
        <w:r w:rsidR="00615EDF">
          <w:rPr>
            <w:rStyle w:val="Hyperlink"/>
          </w:rPr>
          <w:t>ksimmons@beef.org</w:t>
        </w:r>
      </w:hyperlink>
    </w:p>
    <w:p w14:paraId="63FD5A32" w14:textId="77777777" w:rsidR="001D0D6D" w:rsidRPr="001D0D6D" w:rsidRDefault="001D0D6D" w:rsidP="001D0D6D">
      <w:pPr>
        <w:rPr>
          <w:color w:val="000000"/>
        </w:rPr>
      </w:pPr>
      <w:r w:rsidRPr="001D0D6D">
        <w:rPr>
          <w:color w:val="000000"/>
        </w:rPr>
        <w:t xml:space="preserve"> </w:t>
      </w:r>
    </w:p>
    <w:p w14:paraId="097A2295" w14:textId="77777777" w:rsidR="00615EDF" w:rsidRDefault="001D0D6D" w:rsidP="001D0D6D">
      <w:pPr>
        <w:rPr>
          <w:color w:val="1F497D"/>
        </w:rPr>
      </w:pPr>
      <w:r>
        <w:rPr>
          <w:color w:val="000000"/>
        </w:rPr>
        <w:t xml:space="preserve">Dr. </w:t>
      </w:r>
      <w:r w:rsidRPr="001D0D6D">
        <w:rPr>
          <w:color w:val="000000"/>
        </w:rPr>
        <w:t>Gatz Riddell, American Association of Bovine Practitioners,</w:t>
      </w:r>
      <w:r>
        <w:rPr>
          <w:color w:val="000000"/>
        </w:rPr>
        <w:t xml:space="preserve"> PO Box 3610, Auburn, AL 36831</w:t>
      </w:r>
      <w:r w:rsidR="00615EDF">
        <w:rPr>
          <w:color w:val="000000"/>
        </w:rPr>
        <w:t xml:space="preserve"> </w:t>
      </w:r>
      <w:hyperlink r:id="rId13" w:history="1">
        <w:r w:rsidR="00615EDF" w:rsidRPr="00212BF7">
          <w:rPr>
            <w:rStyle w:val="Hyperlink"/>
          </w:rPr>
          <w:t>mgriddell@aabp.org</w:t>
        </w:r>
      </w:hyperlink>
    </w:p>
    <w:p w14:paraId="2D8D6F9E" w14:textId="77777777" w:rsidR="00615EDF" w:rsidRDefault="00615EDF" w:rsidP="001D0D6D">
      <w:pPr>
        <w:rPr>
          <w:color w:val="1F497D"/>
        </w:rPr>
      </w:pPr>
    </w:p>
    <w:p w14:paraId="25FFD0CC" w14:textId="77777777" w:rsidR="00615EDF" w:rsidRDefault="00615EDF" w:rsidP="00615EDF">
      <w:pPr>
        <w:rPr>
          <w:color w:val="000000"/>
        </w:rPr>
      </w:pPr>
      <w:r w:rsidRPr="00615EDF">
        <w:rPr>
          <w:color w:val="000000"/>
        </w:rPr>
        <w:t>Dr. Thomas Portillo</w:t>
      </w:r>
      <w:r>
        <w:rPr>
          <w:color w:val="000000"/>
        </w:rPr>
        <w:t xml:space="preserve">, </w:t>
      </w:r>
      <w:r w:rsidRPr="00615EDF">
        <w:rPr>
          <w:color w:val="000000"/>
        </w:rPr>
        <w:t>Friona Industries</w:t>
      </w:r>
      <w:r>
        <w:rPr>
          <w:color w:val="000000"/>
        </w:rPr>
        <w:t xml:space="preserve">, </w:t>
      </w:r>
      <w:r w:rsidRPr="00615EDF">
        <w:rPr>
          <w:color w:val="000000"/>
        </w:rPr>
        <w:t xml:space="preserve">500 S Taylor </w:t>
      </w:r>
      <w:r>
        <w:rPr>
          <w:color w:val="000000"/>
        </w:rPr>
        <w:t>St.</w:t>
      </w:r>
      <w:r w:rsidRPr="00615EDF">
        <w:rPr>
          <w:color w:val="000000"/>
        </w:rPr>
        <w:t>, PO Box 15568</w:t>
      </w:r>
      <w:r>
        <w:rPr>
          <w:color w:val="000000"/>
        </w:rPr>
        <w:t xml:space="preserve">, </w:t>
      </w:r>
      <w:r w:rsidRPr="00615EDF">
        <w:rPr>
          <w:color w:val="000000"/>
        </w:rPr>
        <w:t>Amarillo</w:t>
      </w:r>
      <w:r>
        <w:rPr>
          <w:color w:val="000000"/>
        </w:rPr>
        <w:t>,</w:t>
      </w:r>
      <w:r w:rsidRPr="00615EDF">
        <w:rPr>
          <w:color w:val="000000"/>
        </w:rPr>
        <w:t xml:space="preserve"> TX                 </w:t>
      </w:r>
      <w:hyperlink r:id="rId14" w:history="1">
        <w:r w:rsidRPr="00212BF7">
          <w:rPr>
            <w:rStyle w:val="Hyperlink"/>
          </w:rPr>
          <w:t>taportillodvm@gmail.com</w:t>
        </w:r>
      </w:hyperlink>
    </w:p>
    <w:p w14:paraId="61F9F820" w14:textId="77777777" w:rsidR="00615EDF" w:rsidRPr="00615EDF" w:rsidRDefault="00615EDF" w:rsidP="00615EDF">
      <w:pPr>
        <w:rPr>
          <w:color w:val="000000"/>
        </w:rPr>
      </w:pPr>
    </w:p>
    <w:p w14:paraId="1F9EDD45" w14:textId="2B502901" w:rsidR="00615EDF" w:rsidRDefault="00615EDF" w:rsidP="00AC6E12">
      <w:pPr>
        <w:rPr>
          <w:b/>
        </w:rPr>
      </w:pPr>
      <w:r w:rsidRPr="00615EDF">
        <w:rPr>
          <w:color w:val="000000"/>
        </w:rPr>
        <w:t>Dr. John Davidson</w:t>
      </w:r>
      <w:r>
        <w:rPr>
          <w:color w:val="000000"/>
        </w:rPr>
        <w:t xml:space="preserve">, </w:t>
      </w:r>
      <w:r w:rsidRPr="00615EDF">
        <w:rPr>
          <w:color w:val="000000"/>
        </w:rPr>
        <w:t>Boehringer Ingelheim Vetmedica</w:t>
      </w:r>
      <w:r>
        <w:rPr>
          <w:color w:val="000000"/>
        </w:rPr>
        <w:t xml:space="preserve"> </w:t>
      </w:r>
      <w:r w:rsidRPr="00615EDF">
        <w:rPr>
          <w:color w:val="000000"/>
        </w:rPr>
        <w:t xml:space="preserve">Inc </w:t>
      </w:r>
      <w:r>
        <w:rPr>
          <w:color w:val="000000"/>
        </w:rPr>
        <w:t xml:space="preserve">, </w:t>
      </w:r>
      <w:r w:rsidRPr="00615EDF">
        <w:rPr>
          <w:color w:val="000000"/>
        </w:rPr>
        <w:t xml:space="preserve"> P.O. Box 1600</w:t>
      </w:r>
      <w:r>
        <w:rPr>
          <w:color w:val="000000"/>
        </w:rPr>
        <w:t xml:space="preserve">, </w:t>
      </w:r>
      <w:r w:rsidRPr="00615EDF">
        <w:rPr>
          <w:color w:val="000000"/>
        </w:rPr>
        <w:t>Shiner</w:t>
      </w:r>
      <w:r>
        <w:rPr>
          <w:color w:val="000000"/>
        </w:rPr>
        <w:t xml:space="preserve">, </w:t>
      </w:r>
      <w:r w:rsidRPr="00615EDF">
        <w:rPr>
          <w:color w:val="000000"/>
        </w:rPr>
        <w:t xml:space="preserve">TX                 </w:t>
      </w:r>
      <w:hyperlink r:id="rId15" w:history="1">
        <w:r w:rsidRPr="00212BF7">
          <w:rPr>
            <w:rStyle w:val="Hyperlink"/>
          </w:rPr>
          <w:t>john.davidson@boehringer-ingelheim.com</w:t>
        </w:r>
      </w:hyperlink>
      <w:r>
        <w:rPr>
          <w:color w:val="000000"/>
        </w:rPr>
        <w:t xml:space="preserve"> </w:t>
      </w:r>
      <w:r w:rsidR="005D5E26" w:rsidRPr="001D0D6D">
        <w:rPr>
          <w:color w:val="000000"/>
        </w:rPr>
        <w:br/>
      </w:r>
    </w:p>
    <w:p w14:paraId="2C9B54BE" w14:textId="77777777" w:rsidR="004510C7" w:rsidRDefault="004510C7" w:rsidP="0057651D">
      <w:pPr>
        <w:pStyle w:val="DefaultText"/>
        <w:rPr>
          <w:b/>
        </w:rPr>
      </w:pPr>
      <w:r w:rsidRPr="004D3478">
        <w:rPr>
          <w:b/>
        </w:rPr>
        <w:t>9</w:t>
      </w:r>
      <w:r w:rsidR="008A72A5">
        <w:rPr>
          <w:b/>
        </w:rPr>
        <w:t xml:space="preserve">. </w:t>
      </w:r>
      <w:r w:rsidRPr="004D3478">
        <w:rPr>
          <w:b/>
        </w:rPr>
        <w:t xml:space="preserve">Explain any decision to provide any payment or </w:t>
      </w:r>
      <w:r>
        <w:rPr>
          <w:b/>
        </w:rPr>
        <w:t xml:space="preserve">gift to respondents, other than </w:t>
      </w:r>
      <w:r w:rsidRPr="004D3478">
        <w:rPr>
          <w:b/>
        </w:rPr>
        <w:t>reenumeration of contractors or grantees.</w:t>
      </w:r>
    </w:p>
    <w:p w14:paraId="5E0ECB19" w14:textId="77777777" w:rsidR="0057651D" w:rsidRPr="00EB3F4C" w:rsidRDefault="0057651D" w:rsidP="0057651D">
      <w:pPr>
        <w:pStyle w:val="DefaultText"/>
        <w:rPr>
          <w:b/>
          <w:sz w:val="12"/>
          <w:szCs w:val="12"/>
        </w:rPr>
      </w:pPr>
    </w:p>
    <w:p w14:paraId="78926242" w14:textId="77777777" w:rsidR="00D27301" w:rsidRDefault="00D27301" w:rsidP="0057651D">
      <w:pPr>
        <w:keepNext/>
        <w:outlineLvl w:val="1"/>
      </w:pPr>
      <w:r w:rsidRPr="00D36F02">
        <w:t>There will be no payments or gifts provided to respondents.</w:t>
      </w:r>
    </w:p>
    <w:p w14:paraId="22D07890" w14:textId="77777777" w:rsidR="0057651D" w:rsidRDefault="0057651D" w:rsidP="0057651D">
      <w:pPr>
        <w:keepNext/>
        <w:outlineLvl w:val="1"/>
      </w:pPr>
    </w:p>
    <w:p w14:paraId="32ADE615" w14:textId="77777777" w:rsidR="004510C7" w:rsidRDefault="004510C7" w:rsidP="0057651D">
      <w:pPr>
        <w:pStyle w:val="DefaultText"/>
        <w:rPr>
          <w:b/>
        </w:rPr>
      </w:pPr>
      <w:r w:rsidRPr="004D3478">
        <w:rPr>
          <w:b/>
        </w:rPr>
        <w:t>10</w:t>
      </w:r>
      <w:r w:rsidR="008A72A5">
        <w:rPr>
          <w:b/>
        </w:rPr>
        <w:t xml:space="preserve">. </w:t>
      </w:r>
      <w:r w:rsidRPr="004D3478">
        <w:rPr>
          <w:b/>
        </w:rPr>
        <w:t>Describe any assurance of confidentiality provided to respondents and the basis for the assurance in statute, regulation, or agency policy.</w:t>
      </w:r>
    </w:p>
    <w:p w14:paraId="54608F31" w14:textId="77777777" w:rsidR="004510C7" w:rsidRPr="00EB3F4C" w:rsidRDefault="004510C7" w:rsidP="0057651D">
      <w:pPr>
        <w:pStyle w:val="DefaultText"/>
        <w:rPr>
          <w:b/>
          <w:sz w:val="12"/>
          <w:szCs w:val="12"/>
        </w:rPr>
      </w:pPr>
    </w:p>
    <w:p w14:paraId="1762234B" w14:textId="77777777" w:rsidR="00F74E50" w:rsidRDefault="00F74E50" w:rsidP="0057651D">
      <w:pPr>
        <w:widowControl w:val="0"/>
      </w:pPr>
      <w:r>
        <w:t xml:space="preserve">On March 20, 2012, NAHMS was recognized by OMB as a statistical unit under Title </w:t>
      </w:r>
      <w:r w:rsidRPr="00D36F02">
        <w:t xml:space="preserve">V of </w:t>
      </w:r>
      <w:r>
        <w:t xml:space="preserve">the </w:t>
      </w:r>
      <w:r w:rsidRPr="00D36F02">
        <w:t>E-Government Act of 2002, Public Law 107-347, Section 513</w:t>
      </w:r>
      <w:r>
        <w:t xml:space="preserve"> (the Confidential Information Protection and Statist</w:t>
      </w:r>
      <w:r w:rsidR="002E02B9">
        <w:t>ical Efficiency Act of 2002 [CIPSEA]</w:t>
      </w:r>
      <w:r>
        <w:t>)</w:t>
      </w:r>
      <w:r w:rsidR="008A72A5">
        <w:t xml:space="preserve">. </w:t>
      </w:r>
      <w:r>
        <w:t xml:space="preserve">All information acquired </w:t>
      </w:r>
      <w:r w:rsidR="00F644AA">
        <w:t xml:space="preserve">from respondents </w:t>
      </w:r>
      <w:r>
        <w:t xml:space="preserve">under the </w:t>
      </w:r>
      <w:r w:rsidR="001853E5">
        <w:t>A</w:t>
      </w:r>
      <w:r w:rsidR="001853E5" w:rsidRPr="004F63B7">
        <w:t xml:space="preserve">ntimicrobial </w:t>
      </w:r>
      <w:r w:rsidR="001853E5">
        <w:t>U</w:t>
      </w:r>
      <w:r w:rsidR="001853E5" w:rsidRPr="004F63B7">
        <w:t xml:space="preserve">sage </w:t>
      </w:r>
      <w:r w:rsidR="001853E5">
        <w:t>S</w:t>
      </w:r>
      <w:r w:rsidR="001853E5" w:rsidRPr="004F63B7">
        <w:t>tudy</w:t>
      </w:r>
      <w:r>
        <w:t xml:space="preserve"> will be used for statistical purposes only and will be treated as confidential in accordance with CIPSEA guidelines</w:t>
      </w:r>
      <w:r w:rsidR="008A72A5">
        <w:t xml:space="preserve">. </w:t>
      </w:r>
      <w:r>
        <w:t>Only NAHMS staff and designated agents will be permitted access to individual-level data.</w:t>
      </w:r>
    </w:p>
    <w:p w14:paraId="2AF0BB94" w14:textId="77777777" w:rsidR="00F74E50" w:rsidRPr="00EB3F4C" w:rsidRDefault="00F74E50" w:rsidP="0057651D">
      <w:pPr>
        <w:widowControl w:val="0"/>
        <w:rPr>
          <w:sz w:val="12"/>
          <w:szCs w:val="12"/>
        </w:rPr>
      </w:pPr>
    </w:p>
    <w:p w14:paraId="7058F39B" w14:textId="1A06522F" w:rsidR="004510C7" w:rsidRDefault="00FE0A36" w:rsidP="0057651D">
      <w:r>
        <w:t xml:space="preserve">Hard-copy questionnaires </w:t>
      </w:r>
      <w:r w:rsidR="009940EC">
        <w:t>and</w:t>
      </w:r>
      <w:r w:rsidR="00D27301" w:rsidRPr="00256FE6">
        <w:t xml:space="preserve"> data w</w:t>
      </w:r>
      <w:r w:rsidR="002E02B9" w:rsidRPr="00256FE6">
        <w:t xml:space="preserve">ill refer to the respondent by </w:t>
      </w:r>
      <w:r>
        <w:t>a</w:t>
      </w:r>
      <w:r w:rsidR="00D27301" w:rsidRPr="00256FE6">
        <w:t xml:space="preserve"> num</w:t>
      </w:r>
      <w:r w:rsidR="002E02B9" w:rsidRPr="00256FE6">
        <w:t>eric code</w:t>
      </w:r>
      <w:r w:rsidR="00D27301" w:rsidRPr="00256FE6">
        <w:t>. Th</w:t>
      </w:r>
      <w:r w:rsidR="00FC220F">
        <w:t>e</w:t>
      </w:r>
      <w:r w:rsidR="00D27301" w:rsidRPr="00256FE6">
        <w:t xml:space="preserve"> link between participant</w:t>
      </w:r>
      <w:r>
        <w:t>s’ PII</w:t>
      </w:r>
      <w:r w:rsidR="00D27301" w:rsidRPr="00256FE6">
        <w:t xml:space="preserve"> and numeric code will </w:t>
      </w:r>
      <w:r w:rsidR="00FC220F">
        <w:t xml:space="preserve">only be known to NASS (who will select the sample) and to APHIS field staff (who will collect the data).  Survey forms will not have any PII.  The link between PII and survey data will </w:t>
      </w:r>
      <w:r w:rsidR="00D27301" w:rsidRPr="00256FE6">
        <w:t>be destroyed once data collection, entry</w:t>
      </w:r>
      <w:r w:rsidR="00D27301">
        <w:t xml:space="preserve">, </w:t>
      </w:r>
      <w:r w:rsidR="00D27301" w:rsidRPr="00D36F02">
        <w:t>validation</w:t>
      </w:r>
      <w:r w:rsidR="002E02B9">
        <w:t>,</w:t>
      </w:r>
      <w:r w:rsidR="00D27301">
        <w:t xml:space="preserve"> and report dissemination</w:t>
      </w:r>
      <w:r w:rsidR="00D27301" w:rsidRPr="00D36F02">
        <w:t xml:space="preserve"> are complete</w:t>
      </w:r>
      <w:r w:rsidR="00D27301">
        <w:t xml:space="preserve">. </w:t>
      </w:r>
      <w:r w:rsidR="00D27301" w:rsidRPr="00D36F02">
        <w:t>All completed survey forms will b</w:t>
      </w:r>
      <w:r w:rsidR="002E02B9">
        <w:t>e stored securely in a limited-</w:t>
      </w:r>
      <w:r w:rsidR="00D27301" w:rsidRPr="00D36F02">
        <w:t xml:space="preserve">access records </w:t>
      </w:r>
      <w:r w:rsidR="00D27301">
        <w:t>r</w:t>
      </w:r>
      <w:r w:rsidR="0095163F">
        <w:t>oom</w:t>
      </w:r>
      <w:r w:rsidR="008A72A5">
        <w:t xml:space="preserve">. </w:t>
      </w:r>
      <w:r w:rsidR="001853E5">
        <w:t>T</w:t>
      </w:r>
      <w:r w:rsidR="0015079B">
        <w:t xml:space="preserve">herefore, no connection can be made between a completed questionnaire and a </w:t>
      </w:r>
      <w:r w:rsidR="00EB3F4C">
        <w:t xml:space="preserve">specific </w:t>
      </w:r>
      <w:r w:rsidR="0015079B">
        <w:t>respondent</w:t>
      </w:r>
      <w:r w:rsidR="008A72A5">
        <w:t xml:space="preserve">. </w:t>
      </w:r>
      <w:r w:rsidR="00FC220F">
        <w:t xml:space="preserve"> </w:t>
      </w:r>
      <w:r w:rsidR="00FC220F" w:rsidRPr="00D36F02">
        <w:t>Only summary estimates will be</w:t>
      </w:r>
      <w:r w:rsidR="00FC220F">
        <w:t xml:space="preserve"> reported.  </w:t>
      </w:r>
    </w:p>
    <w:p w14:paraId="1F866F28" w14:textId="77777777" w:rsidR="004510C7" w:rsidRPr="00EB3F4C" w:rsidRDefault="004510C7" w:rsidP="0057651D">
      <w:pPr>
        <w:rPr>
          <w:sz w:val="12"/>
          <w:szCs w:val="12"/>
        </w:rPr>
      </w:pPr>
    </w:p>
    <w:p w14:paraId="0363101A" w14:textId="77777777" w:rsidR="007E40E2" w:rsidRPr="00E86FB9" w:rsidRDefault="007E40E2" w:rsidP="0057651D">
      <w:r w:rsidRPr="00E86FB9">
        <w:t>NASS has statu</w:t>
      </w:r>
      <w:r>
        <w:t>tory protection that allows the agency</w:t>
      </w:r>
      <w:r w:rsidRPr="00E86FB9">
        <w:t xml:space="preserve"> to keep on-farm data (such as producer name and address information) confidential</w:t>
      </w:r>
      <w:r w:rsidR="008A72A5">
        <w:t xml:space="preserve">. </w:t>
      </w:r>
      <w:r w:rsidRPr="00E86FB9">
        <w:t>Several U.S. Codes apply to data collected by NASS:</w:t>
      </w:r>
    </w:p>
    <w:p w14:paraId="0A6D5C43" w14:textId="77777777" w:rsidR="007E40E2" w:rsidRPr="00E86FB9" w:rsidRDefault="007E40E2" w:rsidP="004C3ED4">
      <w:pPr>
        <w:pStyle w:val="ListParagraph"/>
        <w:numPr>
          <w:ilvl w:val="0"/>
          <w:numId w:val="37"/>
        </w:numPr>
        <w:ind w:left="900" w:hanging="180"/>
      </w:pPr>
      <w:r w:rsidRPr="00E86FB9">
        <w:t>Title 7, Section 2276 - Confidentiality of Information.</w:t>
      </w:r>
    </w:p>
    <w:p w14:paraId="20792D44" w14:textId="77777777" w:rsidR="007E40E2" w:rsidRPr="00E86FB9" w:rsidRDefault="007E40E2" w:rsidP="004C3ED4">
      <w:pPr>
        <w:pStyle w:val="ListParagraph"/>
        <w:numPr>
          <w:ilvl w:val="0"/>
          <w:numId w:val="37"/>
        </w:numPr>
        <w:ind w:left="900" w:hanging="180"/>
      </w:pPr>
      <w:r w:rsidRPr="00E86FB9">
        <w:t>Title 18, Section 1902 - Disclosure of Crop Information and Speculation Thereon.</w:t>
      </w:r>
    </w:p>
    <w:p w14:paraId="63CA42A6" w14:textId="77777777" w:rsidR="007E40E2" w:rsidRPr="00E86FB9" w:rsidRDefault="007E40E2" w:rsidP="004C3ED4">
      <w:pPr>
        <w:pStyle w:val="ListParagraph"/>
        <w:numPr>
          <w:ilvl w:val="0"/>
          <w:numId w:val="37"/>
        </w:numPr>
        <w:ind w:left="900" w:hanging="180"/>
      </w:pPr>
      <w:r w:rsidRPr="00E86FB9">
        <w:t>Title 18, Section 1905 - Disclosure of Confidential Information Generally.</w:t>
      </w:r>
    </w:p>
    <w:p w14:paraId="616BB5F1" w14:textId="77777777" w:rsidR="007E40E2" w:rsidRPr="00EB3F4C" w:rsidRDefault="007E40E2" w:rsidP="0057651D">
      <w:pPr>
        <w:rPr>
          <w:sz w:val="12"/>
          <w:szCs w:val="12"/>
        </w:rPr>
      </w:pPr>
    </w:p>
    <w:p w14:paraId="7C2FBE02" w14:textId="77777777" w:rsidR="00D27301" w:rsidRPr="00D36F02" w:rsidRDefault="00D27301" w:rsidP="0057651D">
      <w:r w:rsidRPr="00D36F02">
        <w:t>NA</w:t>
      </w:r>
      <w:r>
        <w:t>HMS</w:t>
      </w:r>
      <w:r w:rsidRPr="00D36F02">
        <w:t xml:space="preserve"> has statutory protection that allows </w:t>
      </w:r>
      <w:r>
        <w:t>for the protection of</w:t>
      </w:r>
      <w:r w:rsidRPr="00D36F02">
        <w:t xml:space="preserve"> </w:t>
      </w:r>
      <w:r w:rsidR="000B5C82">
        <w:t>respondent data</w:t>
      </w:r>
      <w:r>
        <w:t xml:space="preserve"> </w:t>
      </w:r>
      <w:r w:rsidRPr="00D36F02">
        <w:t>through the Confidential Information Protection and Statistical Efficiency Act (CIPSEA):</w:t>
      </w:r>
    </w:p>
    <w:p w14:paraId="4E993C4D" w14:textId="77777777" w:rsidR="00D27301" w:rsidRPr="00D36F02" w:rsidRDefault="00D27301" w:rsidP="004C3ED4">
      <w:pPr>
        <w:pStyle w:val="ListParagraph"/>
        <w:numPr>
          <w:ilvl w:val="0"/>
          <w:numId w:val="37"/>
        </w:numPr>
        <w:ind w:left="900" w:hanging="180"/>
      </w:pPr>
      <w:r w:rsidRPr="00D36F02">
        <w:t>Title V of E-Government Act of 2002, Public Law 107-347, Section 513. Fines and Penalties.</w:t>
      </w:r>
    </w:p>
    <w:p w14:paraId="67AB2D43" w14:textId="77777777" w:rsidR="00D27301" w:rsidRPr="00D36F02" w:rsidRDefault="00D27301" w:rsidP="004C3ED4">
      <w:pPr>
        <w:pStyle w:val="ListParagraph"/>
        <w:numPr>
          <w:ilvl w:val="0"/>
          <w:numId w:val="37"/>
        </w:numPr>
        <w:ind w:left="900" w:hanging="180"/>
      </w:pPr>
      <w:r w:rsidRPr="00D36F02">
        <w:t>Title V of E-Government Act of 2002, Public Law 107-347, Section 512</w:t>
      </w:r>
      <w:r>
        <w:t xml:space="preserve">. </w:t>
      </w:r>
      <w:r w:rsidRPr="00D36F02">
        <w:t>Limitations on Use and Disclosure of Data and Information.</w:t>
      </w:r>
    </w:p>
    <w:p w14:paraId="2CF454A2" w14:textId="77777777" w:rsidR="00D27301" w:rsidRPr="00EB3F4C" w:rsidRDefault="00D27301" w:rsidP="0057651D">
      <w:pPr>
        <w:rPr>
          <w:sz w:val="12"/>
          <w:szCs w:val="12"/>
        </w:rPr>
      </w:pPr>
    </w:p>
    <w:p w14:paraId="345F96E8" w14:textId="77777777" w:rsidR="00D27301" w:rsidRDefault="00D27301" w:rsidP="0057651D">
      <w:r w:rsidRPr="00D36F02">
        <w:t>Every individual that may handle a questionnaire</w:t>
      </w:r>
      <w:r>
        <w:t>,</w:t>
      </w:r>
      <w:r w:rsidRPr="00D36F02">
        <w:t xml:space="preserve"> or data coming</w:t>
      </w:r>
      <w:r>
        <w:t xml:space="preserve"> from a completed questionnaire,</w:t>
      </w:r>
      <w:r w:rsidRPr="00D36F02">
        <w:t xml:space="preserve"> is required to sign a form governing Certification and Restrictions on use of Unpublished Data</w:t>
      </w:r>
      <w:r>
        <w:t xml:space="preserve">. </w:t>
      </w:r>
      <w:r w:rsidR="002E02B9">
        <w:t>Furthermore, once data are</w:t>
      </w:r>
      <w:r w:rsidRPr="00D36F02">
        <w:t xml:space="preserve"> published, individuals are generally limited to the use of aggregate data files</w:t>
      </w:r>
      <w:r>
        <w:t xml:space="preserve">. </w:t>
      </w:r>
      <w:r w:rsidRPr="00D36F02">
        <w:t>Access to individual data files</w:t>
      </w:r>
      <w:r>
        <w:t xml:space="preserve"> is restricted</w:t>
      </w:r>
      <w:r w:rsidRPr="00D36F02">
        <w:t xml:space="preserve"> to maintain respondent confidentiality.</w:t>
      </w:r>
    </w:p>
    <w:p w14:paraId="522D03C5" w14:textId="77777777" w:rsidR="00D27301" w:rsidRPr="00EB3F4C" w:rsidRDefault="00D27301" w:rsidP="0057651D">
      <w:pPr>
        <w:rPr>
          <w:sz w:val="12"/>
          <w:szCs w:val="12"/>
        </w:rPr>
      </w:pPr>
    </w:p>
    <w:p w14:paraId="23F66CF7" w14:textId="77777777" w:rsidR="00D27301" w:rsidRPr="00D36F02" w:rsidRDefault="00D27301" w:rsidP="0057651D">
      <w:r w:rsidRPr="00D36F02">
        <w:t xml:space="preserve">Several </w:t>
      </w:r>
      <w:r>
        <w:t xml:space="preserve">additional </w:t>
      </w:r>
      <w:r w:rsidRPr="00D36F02">
        <w:t>U.S. Codes apply to data collected by NA</w:t>
      </w:r>
      <w:r>
        <w:t>HMS</w:t>
      </w:r>
      <w:r w:rsidRPr="00D36F02">
        <w:t>:</w:t>
      </w:r>
    </w:p>
    <w:p w14:paraId="3FBF15C0" w14:textId="77777777" w:rsidR="00D27301" w:rsidRPr="00D36F02" w:rsidRDefault="00D27301" w:rsidP="004C3ED4">
      <w:pPr>
        <w:pStyle w:val="ListParagraph"/>
        <w:numPr>
          <w:ilvl w:val="0"/>
          <w:numId w:val="38"/>
        </w:numPr>
        <w:ind w:left="990" w:hanging="270"/>
      </w:pPr>
      <w:r w:rsidRPr="00D36F02">
        <w:t>Title 7, Section 2276 - Confidentiality of Information.</w:t>
      </w:r>
    </w:p>
    <w:p w14:paraId="20B22E4F" w14:textId="77777777" w:rsidR="00D27301" w:rsidRPr="00D36F02" w:rsidRDefault="00D27301" w:rsidP="004C3ED4">
      <w:pPr>
        <w:pStyle w:val="ListParagraph"/>
        <w:numPr>
          <w:ilvl w:val="0"/>
          <w:numId w:val="38"/>
        </w:numPr>
        <w:ind w:left="990" w:hanging="270"/>
      </w:pPr>
      <w:r w:rsidRPr="00D36F02">
        <w:t>Title 18, Section 1902 - Disclosure of Crop Information and Speculation Thereon.</w:t>
      </w:r>
    </w:p>
    <w:p w14:paraId="6EA75215" w14:textId="77777777" w:rsidR="00D27301" w:rsidRDefault="00D27301" w:rsidP="004C3ED4">
      <w:pPr>
        <w:pStyle w:val="ListParagraph"/>
        <w:numPr>
          <w:ilvl w:val="0"/>
          <w:numId w:val="38"/>
        </w:numPr>
        <w:ind w:left="990" w:hanging="270"/>
      </w:pPr>
      <w:r w:rsidRPr="00D36F02">
        <w:t>Title 18, Section 1905 - Disclosure of Confidential Information Generally.</w:t>
      </w:r>
    </w:p>
    <w:p w14:paraId="25050F4A" w14:textId="3C2F78E7" w:rsidR="003B1843" w:rsidRDefault="00CC3BFA" w:rsidP="00074B75">
      <w:pPr>
        <w:pStyle w:val="ListParagraph"/>
        <w:numPr>
          <w:ilvl w:val="0"/>
          <w:numId w:val="38"/>
        </w:numPr>
        <w:ind w:left="990" w:hanging="270"/>
      </w:pPr>
      <w:r>
        <w:t>Section 1619 of the 2008 Farm Bill</w:t>
      </w:r>
    </w:p>
    <w:p w14:paraId="67D70526" w14:textId="24A3E3D0" w:rsidR="00EB3F4C" w:rsidRDefault="003B1843" w:rsidP="00EB3F4C">
      <w:pPr>
        <w:pStyle w:val="ListParagraph"/>
        <w:ind w:left="0"/>
      </w:pPr>
      <w:r>
        <w:t>Respondents will be given the following confidentiality pledge:</w:t>
      </w:r>
    </w:p>
    <w:p w14:paraId="2F492883" w14:textId="77777777" w:rsidR="003B1843" w:rsidRDefault="003B1843" w:rsidP="00EB3F4C">
      <w:pPr>
        <w:pStyle w:val="ListParagraph"/>
        <w:ind w:left="0"/>
      </w:pPr>
    </w:p>
    <w:p w14:paraId="019A8788" w14:textId="77777777" w:rsidR="003B1843" w:rsidRDefault="003B1843" w:rsidP="00EB3F4C">
      <w:pPr>
        <w:pStyle w:val="ListParagraph"/>
        <w:ind w:left="0"/>
      </w:pPr>
      <w:r w:rsidRPr="00074B75">
        <w:rPr>
          <w:b/>
        </w:rPr>
        <w:t>Background</w:t>
      </w:r>
      <w:r>
        <w:t xml:space="preserve"> </w:t>
      </w:r>
    </w:p>
    <w:p w14:paraId="407AF04C" w14:textId="77777777" w:rsidR="003B1843" w:rsidRDefault="003B1843" w:rsidP="00EB3F4C">
      <w:pPr>
        <w:pStyle w:val="ListParagraph"/>
        <w:ind w:left="0"/>
      </w:pPr>
      <w:r>
        <w:t xml:space="preserve">USDA’s Animal and Plant Health Inspection Service (APHIS) is collecting information on antimicrobial use through the National Animal Monitoring System (NAHMS). This information will be used to describe current antimicrobial use practices, help policymakers and industry make informed decisions, assist researchers and private enterprise in identifying and focusing on vital issues related to antimicrobial use, and facilitate education of future producers and veterinarians. </w:t>
      </w:r>
    </w:p>
    <w:p w14:paraId="7F744929" w14:textId="77777777" w:rsidR="003B1843" w:rsidRDefault="003B1843" w:rsidP="00EB3F4C">
      <w:pPr>
        <w:pStyle w:val="ListParagraph"/>
        <w:ind w:left="0"/>
      </w:pPr>
    </w:p>
    <w:p w14:paraId="72773843" w14:textId="47616BE0" w:rsidR="003B1843" w:rsidRDefault="003B1843" w:rsidP="00EB3F4C">
      <w:pPr>
        <w:pStyle w:val="ListParagraph"/>
        <w:ind w:left="0"/>
      </w:pPr>
      <w:r>
        <w:t xml:space="preserve">Participation is voluntary and you may decline to participate. Your participation is vital and will help develop national estimates of antimicrobial use practices. We ask that you provide accurate information regarding your operation’s antimicrobial use practices; however, you retain the right to refuse to answer any or all questions. </w:t>
      </w:r>
    </w:p>
    <w:p w14:paraId="05B7E0C5" w14:textId="77777777" w:rsidR="003B1843" w:rsidRDefault="003B1843" w:rsidP="00EB3F4C">
      <w:pPr>
        <w:pStyle w:val="ListParagraph"/>
        <w:ind w:left="0"/>
      </w:pPr>
    </w:p>
    <w:p w14:paraId="7A36A900" w14:textId="77777777" w:rsidR="003B1843" w:rsidRDefault="003B1843" w:rsidP="00EB3F4C">
      <w:pPr>
        <w:pStyle w:val="ListParagraph"/>
        <w:ind w:left="0"/>
      </w:pPr>
      <w:r w:rsidRPr="00074B75">
        <w:rPr>
          <w:b/>
        </w:rPr>
        <w:t>Confidentiality</w:t>
      </w:r>
      <w:r>
        <w:t xml:space="preserve"> </w:t>
      </w:r>
    </w:p>
    <w:p w14:paraId="2B27B377" w14:textId="77777777" w:rsidR="003B1843" w:rsidRDefault="003B1843" w:rsidP="00EB3F4C">
      <w:pPr>
        <w:pStyle w:val="ListParagraph"/>
        <w:ind w:left="0"/>
      </w:pPr>
      <w:r>
        <w:t xml:space="preserve">The information you, or your establishment, provide to the data collector will be used for statistical purposes only. In accordance with the Confidential Information Protection provisions of Title V, Subtitle A, Public Law 107-347 and other applicable Federal laws, your responses will be kept confidential and will not be disclosed in identifiable form. Only authorized APHIS employees or those acting on APHIS’s behalf (NAHMS agents), who are subject to fines and imprisonment for unauthorized disclosure, will have access to your individual record data. By law to be an authorized APHIS employee or NAHMS agent, individuals must take an oath which states that no confidential information will be released, and that the individual is subject to a jail term of up to 5 years, a fine of up to $250,000, or both if he or she discloses ANY identifiable information about you or your establishment. </w:t>
      </w:r>
    </w:p>
    <w:p w14:paraId="3E9643D6" w14:textId="77777777" w:rsidR="003B1843" w:rsidRDefault="003B1843" w:rsidP="00EB3F4C">
      <w:pPr>
        <w:pStyle w:val="ListParagraph"/>
        <w:ind w:left="0"/>
      </w:pPr>
    </w:p>
    <w:p w14:paraId="25B53F70" w14:textId="77777777" w:rsidR="003B1843" w:rsidRDefault="003B1843" w:rsidP="00EB3F4C">
      <w:pPr>
        <w:pStyle w:val="ListParagraph"/>
        <w:ind w:left="0"/>
      </w:pPr>
      <w:r>
        <w:t xml:space="preserve">Your data’s security is vitally important to APHIS. Every person working for or in cooperation with APHIS on this study has signed a confidentiality form which stipulates the requirements for keeping data confidential and the penalties individuals are subject to if identifiable information is released. Further, data are protected from cybersecurity threats. Under the Cybersecurity Enhancement Act of 2015, your data will be protected by US Department of Homeland Security (DHS) cybersecurity monitoring. In the event of a cybersecurity incident, and pursuant to any required legal processes, information from these sources may be used to help identify and mitigate the incident </w:t>
      </w:r>
    </w:p>
    <w:p w14:paraId="41EB7574" w14:textId="77777777" w:rsidR="003B1843" w:rsidRDefault="003B1843" w:rsidP="00EB3F4C">
      <w:pPr>
        <w:pStyle w:val="ListParagraph"/>
        <w:ind w:left="0"/>
      </w:pPr>
    </w:p>
    <w:p w14:paraId="0105C800" w14:textId="77777777" w:rsidR="003B1843" w:rsidRDefault="003B1843" w:rsidP="00EB3F4C">
      <w:pPr>
        <w:pStyle w:val="ListParagraph"/>
        <w:ind w:left="0"/>
      </w:pPr>
      <w:r>
        <w:t xml:space="preserve">APHIS may publish, or authorize others to publish, the aggregate (summary) findings acquired from NAHMS for the benefit of the swine and beef industries, allied private industries, and other interested groups, but will ensure that the identity of the producer is withheld. APHIS may not publish, or authorize others to publish, individual responses. </w:t>
      </w:r>
    </w:p>
    <w:p w14:paraId="188F0AE1" w14:textId="77777777" w:rsidR="003B1843" w:rsidRDefault="003B1843" w:rsidP="00EB3F4C">
      <w:pPr>
        <w:pStyle w:val="ListParagraph"/>
        <w:ind w:left="0"/>
      </w:pPr>
    </w:p>
    <w:p w14:paraId="42A11DC6" w14:textId="77777777" w:rsidR="003B1843" w:rsidRDefault="003B1843" w:rsidP="00EB3F4C">
      <w:pPr>
        <w:pStyle w:val="ListParagraph"/>
        <w:ind w:left="0"/>
      </w:pPr>
      <w:r>
        <w:t xml:space="preserve">Please note that information on a producer’s animals revealed from sources unrelated to this antimicrobial use study, such as testing and inspection for movement or sale of animals or tracebacks on testing done at slaughter, may cause unrelated regulatory action. </w:t>
      </w:r>
    </w:p>
    <w:p w14:paraId="2EDBF1E5" w14:textId="77777777" w:rsidR="003B1843" w:rsidRDefault="003B1843" w:rsidP="00EB3F4C">
      <w:pPr>
        <w:pStyle w:val="ListParagraph"/>
        <w:ind w:left="0"/>
      </w:pPr>
    </w:p>
    <w:p w14:paraId="3E675B35" w14:textId="3A000C12" w:rsidR="003B1843" w:rsidRDefault="003B1843" w:rsidP="00EB3F4C">
      <w:pPr>
        <w:pStyle w:val="ListParagraph"/>
        <w:ind w:left="0"/>
      </w:pPr>
      <w:r>
        <w:t xml:space="preserve">You can obtain these reports and further information from this study by accessing the NAHMS Web site at: </w:t>
      </w:r>
      <w:hyperlink r:id="rId16" w:history="1">
        <w:r w:rsidRPr="00A402DA">
          <w:rPr>
            <w:rStyle w:val="Hyperlink"/>
          </w:rPr>
          <w:t>https://www.aphis.usda.gov/aphis/ourfocus/animalhealth/monitoring-andsurveillance/nahms/ct_national_animal_health_monitoring_system_nahms_home</w:t>
        </w:r>
      </w:hyperlink>
    </w:p>
    <w:p w14:paraId="3630EDEC" w14:textId="77777777" w:rsidR="003B1843" w:rsidRPr="00D36F02" w:rsidRDefault="003B1843" w:rsidP="00EB3F4C">
      <w:pPr>
        <w:pStyle w:val="ListParagraph"/>
        <w:ind w:left="0"/>
      </w:pPr>
    </w:p>
    <w:p w14:paraId="3EED64D0" w14:textId="77777777" w:rsidR="004510C7" w:rsidRPr="004D3478" w:rsidRDefault="004510C7" w:rsidP="0057651D">
      <w:pPr>
        <w:pStyle w:val="DefaultText"/>
        <w:rPr>
          <w:b/>
        </w:rPr>
      </w:pPr>
      <w:r w:rsidRPr="004D3478">
        <w:rPr>
          <w:b/>
        </w:rPr>
        <w:t>11</w:t>
      </w:r>
      <w:r w:rsidR="008A72A5">
        <w:rPr>
          <w:b/>
        </w:rPr>
        <w:t xml:space="preserve">. </w:t>
      </w:r>
      <w:r w:rsidRPr="004D3478">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4414985" w14:textId="77777777" w:rsidR="004510C7" w:rsidRPr="00EB3F4C" w:rsidRDefault="004510C7" w:rsidP="0057651D">
      <w:pPr>
        <w:rPr>
          <w:sz w:val="12"/>
          <w:szCs w:val="12"/>
        </w:rPr>
      </w:pPr>
    </w:p>
    <w:p w14:paraId="47AE3182" w14:textId="77777777" w:rsidR="00D27301" w:rsidRDefault="00265C0D" w:rsidP="0057651D">
      <w:r w:rsidRPr="00FD4B05">
        <w:t>There are no questions of a sensitive nature used in this collection activity.</w:t>
      </w:r>
      <w:r>
        <w:t xml:space="preserve"> </w:t>
      </w:r>
    </w:p>
    <w:p w14:paraId="00AE18EE" w14:textId="77777777" w:rsidR="00EC4B20" w:rsidRPr="00F258A4" w:rsidRDefault="00EC4B20" w:rsidP="0057651D"/>
    <w:p w14:paraId="31FF07A0" w14:textId="77777777" w:rsidR="0077309A" w:rsidRPr="004D3478" w:rsidRDefault="0077309A" w:rsidP="0057651D">
      <w:pPr>
        <w:pStyle w:val="DefaultText"/>
        <w:rPr>
          <w:b/>
        </w:rPr>
      </w:pPr>
      <w:r w:rsidRPr="004D3478">
        <w:rPr>
          <w:b/>
        </w:rPr>
        <w:t>12</w:t>
      </w:r>
      <w:r w:rsidR="008A72A5">
        <w:rPr>
          <w:b/>
        </w:rPr>
        <w:t xml:space="preserve">. </w:t>
      </w:r>
      <w:r w:rsidRPr="004D3478">
        <w:rPr>
          <w:b/>
        </w:rPr>
        <w:t>Provide estimates of the hour burden of the collection of information. Indicate the number of respondents, frequency of response, annual hour burden, and an explanation of how the burden was estimated.</w:t>
      </w:r>
    </w:p>
    <w:p w14:paraId="1FD46290" w14:textId="77777777" w:rsidR="0077309A" w:rsidRPr="004D3478" w:rsidRDefault="0077309A" w:rsidP="0057651D">
      <w:pPr>
        <w:pStyle w:val="DefaultText"/>
        <w:rPr>
          <w:b/>
        </w:rPr>
      </w:pPr>
    </w:p>
    <w:p w14:paraId="31D600B3" w14:textId="77777777" w:rsidR="0077309A" w:rsidRPr="004D3478" w:rsidRDefault="0077309A" w:rsidP="00EB3F4C">
      <w:pPr>
        <w:pStyle w:val="DefaultText"/>
        <w:numPr>
          <w:ilvl w:val="0"/>
          <w:numId w:val="45"/>
        </w:numPr>
        <w:ind w:left="990" w:hanging="270"/>
        <w:rPr>
          <w:b/>
        </w:rPr>
      </w:pPr>
      <w:r w:rsidRPr="004D3478">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0MB Form 83-I.</w:t>
      </w:r>
    </w:p>
    <w:p w14:paraId="79E58EB4" w14:textId="77777777" w:rsidR="0077309A" w:rsidRPr="00EB3F4C" w:rsidRDefault="0077309A" w:rsidP="0057651D">
      <w:pPr>
        <w:rPr>
          <w:sz w:val="12"/>
          <w:szCs w:val="12"/>
        </w:rPr>
      </w:pPr>
    </w:p>
    <w:p w14:paraId="76A0965F" w14:textId="7F52EA50" w:rsidR="00EC4B20" w:rsidRDefault="00EC4B20" w:rsidP="004C3ED4">
      <w:pPr>
        <w:ind w:left="990"/>
      </w:pPr>
      <w:r w:rsidRPr="00F258A4">
        <w:t xml:space="preserve">A total of </w:t>
      </w:r>
      <w:r w:rsidR="00940291">
        <w:t xml:space="preserve">6716 </w:t>
      </w:r>
      <w:r w:rsidR="001853E5">
        <w:t>annual</w:t>
      </w:r>
      <w:r w:rsidRPr="00F258A4">
        <w:t xml:space="preserve"> burden hours are needed to complete </w:t>
      </w:r>
      <w:r w:rsidR="009940EC">
        <w:t xml:space="preserve">the </w:t>
      </w:r>
      <w:r w:rsidR="001853E5">
        <w:t>A</w:t>
      </w:r>
      <w:r w:rsidR="001853E5" w:rsidRPr="004F63B7">
        <w:t xml:space="preserve">ntimicrobial </w:t>
      </w:r>
      <w:r w:rsidR="001853E5">
        <w:t>U</w:t>
      </w:r>
      <w:r w:rsidR="001853E5" w:rsidRPr="004F63B7">
        <w:t xml:space="preserve">sage </w:t>
      </w:r>
      <w:r w:rsidR="001853E5">
        <w:t>S</w:t>
      </w:r>
      <w:r w:rsidR="001853E5" w:rsidRPr="004F63B7">
        <w:t>tudy</w:t>
      </w:r>
      <w:r w:rsidR="001853E5">
        <w:t xml:space="preserve"> </w:t>
      </w:r>
      <w:r>
        <w:t xml:space="preserve">over the </w:t>
      </w:r>
      <w:r w:rsidR="00D27301">
        <w:t>collection</w:t>
      </w:r>
      <w:r>
        <w:t xml:space="preserve"> period for this </w:t>
      </w:r>
      <w:r w:rsidRPr="00F258A4">
        <w:t>in</w:t>
      </w:r>
      <w:r>
        <w:t xml:space="preserve">formation collection. </w:t>
      </w:r>
      <w:r w:rsidRPr="00F258A4">
        <w:t>A detailed burden estimate has been included on the enclosed APHIS 71 Form.</w:t>
      </w:r>
    </w:p>
    <w:p w14:paraId="09B5B03A" w14:textId="77777777" w:rsidR="0057651D" w:rsidRPr="00F258A4" w:rsidRDefault="0057651D" w:rsidP="0057651D">
      <w:pPr>
        <w:ind w:left="900"/>
      </w:pPr>
    </w:p>
    <w:p w14:paraId="1A366256" w14:textId="77777777" w:rsidR="0077309A" w:rsidRPr="00FE0A36" w:rsidRDefault="0077309A" w:rsidP="00EB3F4C">
      <w:pPr>
        <w:pStyle w:val="DefaultText"/>
        <w:numPr>
          <w:ilvl w:val="0"/>
          <w:numId w:val="45"/>
        </w:numPr>
        <w:ind w:left="990" w:hanging="270"/>
        <w:rPr>
          <w:b/>
        </w:rPr>
      </w:pPr>
      <w:r w:rsidRPr="00FE0A36">
        <w:rPr>
          <w:b/>
        </w:rPr>
        <w:t xml:space="preserve">Provide estimates of annualized cost to respondents for the hour burdens for collections of information, identifying and using </w:t>
      </w:r>
      <w:r w:rsidR="00560865" w:rsidRPr="00FE0A36">
        <w:rPr>
          <w:b/>
        </w:rPr>
        <w:t>the correct</w:t>
      </w:r>
      <w:r w:rsidRPr="00FE0A36">
        <w:rPr>
          <w:b/>
        </w:rPr>
        <w:t xml:space="preserve"> wage rate categories.</w:t>
      </w:r>
    </w:p>
    <w:p w14:paraId="336738BD" w14:textId="77777777" w:rsidR="00EC4B20" w:rsidRPr="00EB3F4C" w:rsidRDefault="00EC4B20" w:rsidP="001853E5">
      <w:pPr>
        <w:ind w:left="990"/>
        <w:rPr>
          <w:sz w:val="12"/>
          <w:szCs w:val="12"/>
        </w:rPr>
      </w:pPr>
    </w:p>
    <w:p w14:paraId="19F866AE" w14:textId="25E36B93" w:rsidR="00EC4B20" w:rsidRDefault="00EC4B20" w:rsidP="001853E5">
      <w:pPr>
        <w:ind w:left="990"/>
        <w:jc w:val="both"/>
      </w:pPr>
      <w:r>
        <w:t xml:space="preserve">Respondent costs: </w:t>
      </w:r>
      <w:r w:rsidRPr="00F258A4">
        <w:t xml:space="preserve">Estimated respondent costs for the information collection proposed </w:t>
      </w:r>
      <w:r>
        <w:t>are</w:t>
      </w:r>
      <w:r w:rsidRPr="00F258A4">
        <w:t xml:space="preserve"> calculated based on a</w:t>
      </w:r>
      <w:r>
        <w:t xml:space="preserve"> </w:t>
      </w:r>
      <w:r w:rsidRPr="00F258A4">
        <w:t>d</w:t>
      </w:r>
      <w:r w:rsidR="009E5206">
        <w:t>ata collection estimate</w:t>
      </w:r>
      <w:r w:rsidRPr="00F258A4">
        <w:t xml:space="preserve"> </w:t>
      </w:r>
      <w:r w:rsidR="00D42281" w:rsidRPr="00F258A4">
        <w:t xml:space="preserve">of </w:t>
      </w:r>
      <w:r w:rsidR="00D42281" w:rsidRPr="004A512B">
        <w:t>$</w:t>
      </w:r>
      <w:r w:rsidR="00CB0A7B">
        <w:t>13.25</w:t>
      </w:r>
      <w:r w:rsidR="00CB0A7B">
        <w:rPr>
          <w:rStyle w:val="FootnoteReference"/>
        </w:rPr>
        <w:footnoteReference w:id="1"/>
      </w:r>
      <w:r w:rsidR="00D42281" w:rsidRPr="00F258A4">
        <w:t xml:space="preserve"> per hour</w:t>
      </w:r>
      <w:r w:rsidR="00D42281">
        <w:t xml:space="preserve">. </w:t>
      </w:r>
      <w:r w:rsidRPr="00F258A4">
        <w:t xml:space="preserve">The total respondent cost </w:t>
      </w:r>
      <w:r w:rsidR="00C865CE">
        <w:t xml:space="preserve">for </w:t>
      </w:r>
      <w:r w:rsidR="001853E5">
        <w:t>A</w:t>
      </w:r>
      <w:r w:rsidR="001853E5" w:rsidRPr="004F63B7">
        <w:t xml:space="preserve">ntimicrobial </w:t>
      </w:r>
      <w:r w:rsidR="001853E5">
        <w:t>U</w:t>
      </w:r>
      <w:r w:rsidR="001853E5" w:rsidRPr="004F63B7">
        <w:t xml:space="preserve">sage </w:t>
      </w:r>
      <w:r w:rsidR="001853E5">
        <w:t>S</w:t>
      </w:r>
      <w:r w:rsidR="001853E5" w:rsidRPr="004F63B7">
        <w:t>tudy</w:t>
      </w:r>
      <w:r w:rsidR="001853E5" w:rsidRPr="008D4F57">
        <w:t xml:space="preserve"> </w:t>
      </w:r>
      <w:r w:rsidRPr="008D4F57">
        <w:t xml:space="preserve">is </w:t>
      </w:r>
      <w:r w:rsidRPr="004A512B">
        <w:t>$</w:t>
      </w:r>
      <w:r w:rsidR="00940291" w:rsidRPr="00940291">
        <w:t>88</w:t>
      </w:r>
      <w:r w:rsidR="00940291">
        <w:t>,</w:t>
      </w:r>
      <w:r w:rsidR="00940291" w:rsidRPr="00940291">
        <w:t>987</w:t>
      </w:r>
      <w:r w:rsidR="00940291">
        <w:t xml:space="preserve"> (6,716 hours x $13.25)</w:t>
      </w:r>
      <w:r w:rsidRPr="008D4F57">
        <w:t>.</w:t>
      </w:r>
    </w:p>
    <w:p w14:paraId="6987E7A4" w14:textId="77777777" w:rsidR="00DE3DA2" w:rsidRPr="00EB3F4C" w:rsidRDefault="00DE3DA2" w:rsidP="001853E5">
      <w:pPr>
        <w:pStyle w:val="FootnoteText"/>
        <w:ind w:left="990"/>
        <w:jc w:val="both"/>
        <w:rPr>
          <w:sz w:val="12"/>
          <w:szCs w:val="12"/>
        </w:rPr>
      </w:pPr>
    </w:p>
    <w:p w14:paraId="53792656" w14:textId="77777777" w:rsidR="0077309A" w:rsidRPr="004D3478" w:rsidRDefault="0077309A" w:rsidP="0057651D">
      <w:pPr>
        <w:pStyle w:val="DefaultText"/>
        <w:rPr>
          <w:b/>
        </w:rPr>
      </w:pPr>
      <w:r w:rsidRPr="004D3478">
        <w:rPr>
          <w:b/>
        </w:rPr>
        <w:t>13</w:t>
      </w:r>
      <w:r w:rsidR="008A72A5">
        <w:rPr>
          <w:b/>
        </w:rPr>
        <w:t xml:space="preserve">. </w:t>
      </w:r>
      <w:r w:rsidRPr="004D3478">
        <w:rPr>
          <w:b/>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69C09ABD" w14:textId="77777777" w:rsidR="0077309A" w:rsidRPr="00EB3F4C" w:rsidRDefault="0077309A" w:rsidP="0057651D">
      <w:pPr>
        <w:rPr>
          <w:sz w:val="12"/>
          <w:szCs w:val="12"/>
        </w:rPr>
      </w:pPr>
    </w:p>
    <w:p w14:paraId="1CFD3B46" w14:textId="77777777" w:rsidR="00EC4B20" w:rsidRDefault="00EC4B20" w:rsidP="0057651D">
      <w:r w:rsidRPr="00F258A4">
        <w:t>There are no capital/start</w:t>
      </w:r>
      <w:r>
        <w:t>-</w:t>
      </w:r>
      <w:r w:rsidRPr="00F258A4">
        <w:t>up costs or ongoing operations and maintenance costs associated with this information collection.</w:t>
      </w:r>
    </w:p>
    <w:p w14:paraId="39D7B483" w14:textId="77777777" w:rsidR="0077309A" w:rsidRDefault="0077309A" w:rsidP="0057651D"/>
    <w:p w14:paraId="2334D564" w14:textId="77777777" w:rsidR="0077309A" w:rsidRPr="004D3478" w:rsidRDefault="0077309A" w:rsidP="0057651D">
      <w:pPr>
        <w:pStyle w:val="DefaultText"/>
      </w:pPr>
      <w:r w:rsidRPr="004D3478">
        <w:rPr>
          <w:b/>
        </w:rPr>
        <w:t>14</w:t>
      </w:r>
      <w:r w:rsidR="008A72A5">
        <w:rPr>
          <w:b/>
        </w:rPr>
        <w:t xml:space="preserve">. </w:t>
      </w:r>
      <w:r w:rsidRPr="004D3478">
        <w:rPr>
          <w:b/>
        </w:rPr>
        <w:t>Provide estimates of annualized cost to the Federal government. Provide</w:t>
      </w:r>
      <w:r>
        <w:rPr>
          <w:b/>
        </w:rPr>
        <w:t xml:space="preserve"> </w:t>
      </w:r>
      <w:r w:rsidRPr="004D3478">
        <w:rPr>
          <w:b/>
        </w:rPr>
        <w:t>a description of the method used to estimate cost and any other expense that</w:t>
      </w:r>
      <w:r>
        <w:rPr>
          <w:b/>
        </w:rPr>
        <w:t xml:space="preserve"> </w:t>
      </w:r>
      <w:r w:rsidRPr="004D3478">
        <w:rPr>
          <w:b/>
        </w:rPr>
        <w:t>would not have been incurred without this collection of information</w:t>
      </w:r>
      <w:r w:rsidRPr="004D3478">
        <w:t>.</w:t>
      </w:r>
    </w:p>
    <w:p w14:paraId="3CEB21F7" w14:textId="77777777" w:rsidR="0077309A" w:rsidRPr="00EB3F4C" w:rsidRDefault="0077309A" w:rsidP="0057651D">
      <w:pPr>
        <w:rPr>
          <w:sz w:val="12"/>
          <w:szCs w:val="12"/>
        </w:rPr>
      </w:pPr>
    </w:p>
    <w:p w14:paraId="2382C2E5" w14:textId="46482130" w:rsidR="00EC4B20" w:rsidRPr="00786B44" w:rsidRDefault="00EC4B20" w:rsidP="0057651D">
      <w:r w:rsidRPr="00786B44">
        <w:t>The estimated cost to the Federal Government</w:t>
      </w:r>
      <w:r w:rsidR="0024756E" w:rsidRPr="00786B44">
        <w:t xml:space="preserve"> to administer the </w:t>
      </w:r>
      <w:r w:rsidR="00FE0A36" w:rsidRPr="00786B44">
        <w:t xml:space="preserve">Antimicrobial Usage </w:t>
      </w:r>
      <w:r w:rsidR="00786B44" w:rsidRPr="00786B44">
        <w:t>study</w:t>
      </w:r>
      <w:r w:rsidRPr="00786B44">
        <w:t xml:space="preserve"> is $</w:t>
      </w:r>
      <w:r w:rsidR="00786B44" w:rsidRPr="00786B44">
        <w:t>2,001,988</w:t>
      </w:r>
      <w:r w:rsidRPr="00786B44">
        <w:t>. For more specific information, please see the enclosed APHIS 79 form.</w:t>
      </w:r>
    </w:p>
    <w:p w14:paraId="6A7B8D93" w14:textId="77777777" w:rsidR="00EC4B20" w:rsidRPr="00F258A4" w:rsidRDefault="00EC4B20" w:rsidP="0057651D"/>
    <w:p w14:paraId="20F33E0F" w14:textId="77777777" w:rsidR="0077309A" w:rsidRDefault="0077309A" w:rsidP="0057651D">
      <w:pPr>
        <w:pStyle w:val="DefaultText"/>
        <w:rPr>
          <w:b/>
        </w:rPr>
      </w:pPr>
      <w:r w:rsidRPr="004D3478">
        <w:rPr>
          <w:b/>
        </w:rPr>
        <w:t>15</w:t>
      </w:r>
      <w:r w:rsidR="008A72A5">
        <w:rPr>
          <w:b/>
        </w:rPr>
        <w:t xml:space="preserve">. </w:t>
      </w:r>
      <w:r w:rsidRPr="004D3478">
        <w:rPr>
          <w:b/>
        </w:rPr>
        <w:t xml:space="preserve">Explain the reasons for any program changes or adjustments reported in Items 13 or 14 of the </w:t>
      </w:r>
      <w:r>
        <w:rPr>
          <w:b/>
        </w:rPr>
        <w:t>O</w:t>
      </w:r>
      <w:r w:rsidRPr="004D3478">
        <w:rPr>
          <w:b/>
        </w:rPr>
        <w:t>MB Form 83-1.</w:t>
      </w:r>
    </w:p>
    <w:p w14:paraId="2EA09061" w14:textId="77777777" w:rsidR="0077309A" w:rsidRPr="008B5E07" w:rsidRDefault="0077309A" w:rsidP="0057651D">
      <w:pPr>
        <w:rPr>
          <w:sz w:val="12"/>
          <w:szCs w:val="12"/>
        </w:rPr>
      </w:pPr>
    </w:p>
    <w:p w14:paraId="60CFA54A" w14:textId="77777777" w:rsidR="00EC4B20" w:rsidRDefault="00DA6C5B" w:rsidP="0057651D">
      <w:r>
        <w:t xml:space="preserve">This is a new </w:t>
      </w:r>
      <w:r w:rsidR="0024756E">
        <w:t xml:space="preserve">information </w:t>
      </w:r>
      <w:r>
        <w:t>collection</w:t>
      </w:r>
      <w:r w:rsidR="001666F4">
        <w:t xml:space="preserve"> to examine </w:t>
      </w:r>
      <w:r w:rsidR="002943D9">
        <w:t xml:space="preserve">antimicrobial </w:t>
      </w:r>
      <w:r w:rsidR="008B5E07">
        <w:t>use</w:t>
      </w:r>
      <w:r>
        <w:t>.</w:t>
      </w:r>
    </w:p>
    <w:p w14:paraId="1904EFBC" w14:textId="77777777" w:rsidR="00EC4B20" w:rsidRPr="00F258A4" w:rsidRDefault="00EC4B20" w:rsidP="0057651D"/>
    <w:p w14:paraId="6D6DCFB1" w14:textId="77777777" w:rsidR="00AA427D" w:rsidRPr="004D3478" w:rsidRDefault="00AA427D" w:rsidP="0057651D">
      <w:pPr>
        <w:pStyle w:val="DefaultText"/>
        <w:rPr>
          <w:b/>
        </w:rPr>
      </w:pPr>
      <w:r w:rsidRPr="004D3478">
        <w:rPr>
          <w:b/>
        </w:rPr>
        <w:t>16</w:t>
      </w:r>
      <w:r w:rsidR="008A72A5">
        <w:rPr>
          <w:b/>
        </w:rPr>
        <w:t xml:space="preserve">. </w:t>
      </w:r>
      <w:r w:rsidRPr="004D3478">
        <w:rPr>
          <w:b/>
        </w:rPr>
        <w:t>For collections of information whose results are planned to be published, outline plans for tabulation and publication.</w:t>
      </w:r>
    </w:p>
    <w:p w14:paraId="28C5B5AF" w14:textId="77777777" w:rsidR="00AA427D" w:rsidRPr="008B5E07" w:rsidRDefault="00AA427D" w:rsidP="0057651D">
      <w:pPr>
        <w:pStyle w:val="BodyTextIndent3"/>
        <w:tabs>
          <w:tab w:val="left" w:pos="1080"/>
        </w:tabs>
        <w:ind w:left="0"/>
        <w:rPr>
          <w:sz w:val="12"/>
          <w:szCs w:val="12"/>
        </w:rPr>
      </w:pPr>
    </w:p>
    <w:p w14:paraId="43D7C221" w14:textId="77777777" w:rsidR="0024756E" w:rsidRDefault="0024756E" w:rsidP="0057651D">
      <w:pPr>
        <w:pStyle w:val="BodyTextIndent3"/>
        <w:tabs>
          <w:tab w:val="left" w:pos="1080"/>
        </w:tabs>
        <w:ind w:left="0"/>
      </w:pPr>
      <w:r w:rsidRPr="00F258A4">
        <w:t xml:space="preserve">Information from this survey will be summarized immediately following </w:t>
      </w:r>
      <w:r>
        <w:t>the</w:t>
      </w:r>
      <w:r w:rsidRPr="00F258A4">
        <w:t xml:space="preserve"> collection</w:t>
      </w:r>
      <w:r>
        <w:t>,</w:t>
      </w:r>
      <w:r w:rsidR="008B5E07">
        <w:t xml:space="preserve"> validation and </w:t>
      </w:r>
      <w:r>
        <w:t>editing of the</w:t>
      </w:r>
      <w:r w:rsidRPr="00F258A4">
        <w:t xml:space="preserve"> </w:t>
      </w:r>
      <w:r>
        <w:t xml:space="preserve">data. </w:t>
      </w:r>
      <w:r w:rsidRPr="00F258A4">
        <w:t>Data will be entered into a database management system, and statistical calculations will be perfo</w:t>
      </w:r>
      <w:r>
        <w:t>rmed,</w:t>
      </w:r>
      <w:r w:rsidRPr="00F258A4">
        <w:t xml:space="preserve"> e.g., descriptive statistics including frequency distribution, prevalence</w:t>
      </w:r>
      <w:r>
        <w:t xml:space="preserve">, and </w:t>
      </w:r>
      <w:r w:rsidR="009940EC">
        <w:t xml:space="preserve">ratio </w:t>
      </w:r>
      <w:r>
        <w:t xml:space="preserve">estimates. </w:t>
      </w:r>
      <w:r w:rsidRPr="00F258A4">
        <w:t>Variance measures and confidence intervals for the point estimates will be calculated in order to describe the precision of the descriptive statistics generated.</w:t>
      </w:r>
      <w:r>
        <w:t xml:space="preserve"> SUDAAN software from RTI will be used to correctly calculate the standard error to account for the study design. </w:t>
      </w:r>
      <w:r w:rsidRPr="00F258A4">
        <w:t>Standard errors will be published along with the point estimates</w:t>
      </w:r>
      <w:r w:rsidR="008A72A5">
        <w:t xml:space="preserve">. </w:t>
      </w:r>
    </w:p>
    <w:p w14:paraId="473F57BC" w14:textId="77777777" w:rsidR="0024756E" w:rsidRPr="008B5E07" w:rsidRDefault="0024756E" w:rsidP="0057651D">
      <w:pPr>
        <w:pStyle w:val="BodyTextIndent3"/>
        <w:tabs>
          <w:tab w:val="left" w:pos="1080"/>
        </w:tabs>
        <w:ind w:left="0"/>
        <w:rPr>
          <w:sz w:val="12"/>
          <w:szCs w:val="12"/>
        </w:rPr>
      </w:pPr>
    </w:p>
    <w:p w14:paraId="6415A8C7" w14:textId="77777777" w:rsidR="00EC4B20" w:rsidRDefault="0024756E" w:rsidP="0057651D">
      <w:pPr>
        <w:pStyle w:val="BodyTextIndent3"/>
        <w:tabs>
          <w:tab w:val="left" w:pos="1080"/>
        </w:tabs>
        <w:ind w:left="0"/>
      </w:pPr>
      <w:r>
        <w:t>Efforts are made to reduce</w:t>
      </w:r>
      <w:r w:rsidRPr="00F258A4">
        <w:t xml:space="preserve"> the time between the end of data collection and r</w:t>
      </w:r>
      <w:r>
        <w:t xml:space="preserve">elease of a final publication. </w:t>
      </w:r>
      <w:r w:rsidRPr="00F258A4">
        <w:t xml:space="preserve">Hardcopy </w:t>
      </w:r>
      <w:r w:rsidR="002943D9">
        <w:t xml:space="preserve">and electronic </w:t>
      </w:r>
      <w:r w:rsidRPr="00F258A4">
        <w:t>information from the study will be made available to producers, universities, researchers, practitioners, animal health related industries, Federal agencies, legislators, and any other interested party</w:t>
      </w:r>
      <w:r>
        <w:t xml:space="preserve">. </w:t>
      </w:r>
      <w:r w:rsidR="00EC4B20">
        <w:t xml:space="preserve">Any published </w:t>
      </w:r>
      <w:r w:rsidR="0094513A">
        <w:t xml:space="preserve">summary </w:t>
      </w:r>
      <w:r w:rsidR="00EC4B20">
        <w:t>data will be</w:t>
      </w:r>
      <w:r w:rsidR="00EC4B20" w:rsidRPr="00312EF1">
        <w:t xml:space="preserve"> available</w:t>
      </w:r>
      <w:r w:rsidR="007C1254">
        <w:t xml:space="preserve"> by following the “</w:t>
      </w:r>
      <w:r w:rsidR="002943D9">
        <w:t>A</w:t>
      </w:r>
      <w:r w:rsidR="002943D9" w:rsidRPr="002943D9">
        <w:t xml:space="preserve">ntimicrobial </w:t>
      </w:r>
      <w:r w:rsidR="002943D9">
        <w:t>R</w:t>
      </w:r>
      <w:r w:rsidR="002943D9" w:rsidRPr="002943D9">
        <w:t>esistance</w:t>
      </w:r>
      <w:r w:rsidR="007C1254">
        <w:t>” link</w:t>
      </w:r>
      <w:r w:rsidR="00EC4B20" w:rsidRPr="00312EF1">
        <w:t xml:space="preserve"> at </w:t>
      </w:r>
      <w:hyperlink r:id="rId17" w:history="1">
        <w:r w:rsidR="002943D9" w:rsidRPr="00F83893">
          <w:rPr>
            <w:rStyle w:val="Hyperlink"/>
          </w:rPr>
          <w:t>http://www.aphis.usda.gov/nahms</w:t>
        </w:r>
      </w:hyperlink>
      <w:r w:rsidR="008A72A5">
        <w:t xml:space="preserve">. </w:t>
      </w:r>
    </w:p>
    <w:p w14:paraId="2DF8C032" w14:textId="77777777" w:rsidR="00EC4B20" w:rsidRPr="00F258A4" w:rsidRDefault="00EC4B20" w:rsidP="0057651D">
      <w:pPr>
        <w:pStyle w:val="BodyTextIndent3"/>
        <w:tabs>
          <w:tab w:val="left" w:pos="1080"/>
        </w:tabs>
        <w:ind w:left="0"/>
      </w:pPr>
    </w:p>
    <w:p w14:paraId="3AF21934" w14:textId="77777777" w:rsidR="00AA427D" w:rsidRPr="004D3478" w:rsidRDefault="00AA427D" w:rsidP="0057651D">
      <w:pPr>
        <w:pStyle w:val="DefaultText"/>
        <w:rPr>
          <w:b/>
        </w:rPr>
      </w:pPr>
      <w:r w:rsidRPr="004D3478">
        <w:rPr>
          <w:b/>
        </w:rPr>
        <w:t>17</w:t>
      </w:r>
      <w:r w:rsidR="008A72A5">
        <w:rPr>
          <w:b/>
        </w:rPr>
        <w:t xml:space="preserve">. </w:t>
      </w:r>
      <w:r w:rsidRPr="004D3478">
        <w:rPr>
          <w:b/>
        </w:rPr>
        <w:t xml:space="preserve">If seeking approval to not display the expiration date for </w:t>
      </w:r>
      <w:r w:rsidR="00080E9F">
        <w:rPr>
          <w:b/>
        </w:rPr>
        <w:t>O</w:t>
      </w:r>
      <w:r w:rsidRPr="004D3478">
        <w:rPr>
          <w:b/>
        </w:rPr>
        <w:t>MB approval of the information collection, explain the reasons that display would be inappropriate.</w:t>
      </w:r>
    </w:p>
    <w:p w14:paraId="74BDADF7" w14:textId="77777777" w:rsidR="00AA427D" w:rsidRPr="008B5E07" w:rsidRDefault="00AA427D" w:rsidP="0057651D">
      <w:pPr>
        <w:rPr>
          <w:sz w:val="12"/>
          <w:szCs w:val="12"/>
        </w:rPr>
      </w:pPr>
    </w:p>
    <w:p w14:paraId="2BC7C0E9" w14:textId="77777777" w:rsidR="00EC4B20" w:rsidRDefault="00EC4B20" w:rsidP="0057651D">
      <w:r w:rsidRPr="00F258A4">
        <w:t xml:space="preserve">APHIS is not seeking </w:t>
      </w:r>
      <w:r>
        <w:t xml:space="preserve">an exemption to </w:t>
      </w:r>
      <w:r w:rsidRPr="00F258A4">
        <w:t xml:space="preserve">display the expiration date for OMB approval. </w:t>
      </w:r>
    </w:p>
    <w:p w14:paraId="29407EF1" w14:textId="77777777" w:rsidR="00EC4B20" w:rsidRPr="00F258A4" w:rsidRDefault="00EC4B20" w:rsidP="0057651D"/>
    <w:p w14:paraId="2A52A44A" w14:textId="77777777" w:rsidR="00AA427D" w:rsidRPr="004D3478" w:rsidRDefault="00AA427D" w:rsidP="0057651D">
      <w:pPr>
        <w:pStyle w:val="DefaultText"/>
        <w:rPr>
          <w:b/>
        </w:rPr>
      </w:pPr>
      <w:r w:rsidRPr="004D3478">
        <w:rPr>
          <w:b/>
        </w:rPr>
        <w:t>18</w:t>
      </w:r>
      <w:r w:rsidR="008A72A5">
        <w:rPr>
          <w:b/>
        </w:rPr>
        <w:t xml:space="preserve">. </w:t>
      </w:r>
      <w:r w:rsidRPr="004D3478">
        <w:rPr>
          <w:b/>
        </w:rPr>
        <w:t>Explain each exception to the certification statement identified in the “Certification for Paperwork Reduction Act.”</w:t>
      </w:r>
    </w:p>
    <w:p w14:paraId="3F758253" w14:textId="77777777" w:rsidR="00AA427D" w:rsidRPr="008B5E07" w:rsidRDefault="00AA427D" w:rsidP="0057651D">
      <w:pPr>
        <w:rPr>
          <w:sz w:val="12"/>
          <w:szCs w:val="12"/>
        </w:rPr>
      </w:pPr>
    </w:p>
    <w:p w14:paraId="1A158305" w14:textId="77777777" w:rsidR="00EC4B20" w:rsidRDefault="00EC4B20" w:rsidP="0057651D">
      <w:r w:rsidRPr="00F258A4">
        <w:t xml:space="preserve">APHIS is able to certify compliance with all provisions </w:t>
      </w:r>
      <w:r w:rsidR="00DA6C5B">
        <w:t>in the Paperwork Reduction Act</w:t>
      </w:r>
      <w:r w:rsidRPr="00F258A4">
        <w:t xml:space="preserve">. </w:t>
      </w:r>
    </w:p>
    <w:p w14:paraId="46501AA0" w14:textId="77777777" w:rsidR="00EC4B20" w:rsidRDefault="00EC4B20" w:rsidP="0057651D"/>
    <w:p w14:paraId="0A1A54BA" w14:textId="77777777" w:rsidR="004A288C" w:rsidRDefault="004A288C" w:rsidP="0057651D">
      <w:pPr>
        <w:pStyle w:val="DefaultText"/>
      </w:pPr>
    </w:p>
    <w:sectPr w:rsidR="004A288C" w:rsidSect="00A72D1D">
      <w:footerReference w:type="even" r:id="rId18"/>
      <w:footerReference w:type="default" r:id="rId19"/>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2A341" w14:textId="77777777" w:rsidR="000B335F" w:rsidRDefault="000B335F" w:rsidP="00EC4B20">
      <w:r>
        <w:separator/>
      </w:r>
    </w:p>
  </w:endnote>
  <w:endnote w:type="continuationSeparator" w:id="0">
    <w:p w14:paraId="350F6C45" w14:textId="77777777" w:rsidR="000B335F" w:rsidRDefault="000B335F" w:rsidP="00EC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B8AE1" w14:textId="77777777" w:rsidR="001853E5" w:rsidRDefault="001853E5" w:rsidP="008F6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ABB30E" w14:textId="77777777" w:rsidR="001853E5" w:rsidRDefault="001853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7EAD7" w14:textId="77777777" w:rsidR="001853E5" w:rsidRDefault="001853E5" w:rsidP="008F6962">
    <w:pPr>
      <w:pStyle w:val="Footer"/>
      <w:tabs>
        <w:tab w:val="clear" w:pos="8640"/>
        <w:tab w:val="right" w:pos="9180"/>
      </w:tabs>
    </w:pPr>
    <w:r>
      <w:tab/>
      <w:t xml:space="preserve">Page </w:t>
    </w:r>
    <w:r>
      <w:fldChar w:fldCharType="begin"/>
    </w:r>
    <w:r>
      <w:instrText xml:space="preserve"> PAGE </w:instrText>
    </w:r>
    <w:r>
      <w:fldChar w:fldCharType="separate"/>
    </w:r>
    <w:r w:rsidR="006C4BD1">
      <w:rPr>
        <w:noProof/>
      </w:rPr>
      <w:t>1</w:t>
    </w:r>
    <w:r>
      <w:rPr>
        <w:noProof/>
      </w:rPr>
      <w:fldChar w:fldCharType="end"/>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B69C7" w14:textId="77777777" w:rsidR="000B335F" w:rsidRDefault="000B335F" w:rsidP="00EC4B20">
      <w:r>
        <w:separator/>
      </w:r>
    </w:p>
  </w:footnote>
  <w:footnote w:type="continuationSeparator" w:id="0">
    <w:p w14:paraId="5B4726A9" w14:textId="77777777" w:rsidR="000B335F" w:rsidRDefault="000B335F" w:rsidP="00EC4B20">
      <w:r>
        <w:continuationSeparator/>
      </w:r>
    </w:p>
  </w:footnote>
  <w:footnote w:id="1">
    <w:p w14:paraId="76917AB6" w14:textId="77777777" w:rsidR="00940291" w:rsidRDefault="00CB0A7B" w:rsidP="00940291">
      <w:pPr>
        <w:pStyle w:val="FootnoteText"/>
      </w:pPr>
      <w:r>
        <w:rPr>
          <w:rStyle w:val="FootnoteReference"/>
        </w:rPr>
        <w:footnoteRef/>
      </w:r>
      <w:r>
        <w:t xml:space="preserve"> </w:t>
      </w:r>
      <w:r w:rsidR="00940291">
        <w:t>NASS Farm Labor, published report for October 2016, released November, 2016:</w:t>
      </w:r>
    </w:p>
    <w:p w14:paraId="3C02038A" w14:textId="461D9D6A" w:rsidR="00CB0A7B" w:rsidRDefault="00940291" w:rsidP="00940291">
      <w:pPr>
        <w:pStyle w:val="FootnoteText"/>
      </w:pPr>
      <w:r>
        <w:t>http://usda.mannlib.cornell.edu/usda/current/FarmLabo/FarmLabo-11-17-2016.pdf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75DAA"/>
    <w:multiLevelType w:val="hybridMultilevel"/>
    <w:tmpl w:val="2B8E449A"/>
    <w:lvl w:ilvl="0" w:tplc="04090001">
      <w:start w:val="1"/>
      <w:numFmt w:val="bullet"/>
      <w:lvlText w:val=""/>
      <w:lvlJc w:val="left"/>
      <w:pPr>
        <w:tabs>
          <w:tab w:val="num" w:pos="720"/>
        </w:tabs>
        <w:ind w:left="720" w:hanging="360"/>
      </w:pPr>
      <w:rPr>
        <w:rFonts w:ascii="Symbol" w:hAnsi="Symbol" w:hint="default"/>
      </w:rPr>
    </w:lvl>
    <w:lvl w:ilvl="1" w:tplc="204C8510">
      <w:start w:val="9"/>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7A5813"/>
    <w:multiLevelType w:val="hybridMultilevel"/>
    <w:tmpl w:val="45A8A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A2610"/>
    <w:multiLevelType w:val="hybridMultilevel"/>
    <w:tmpl w:val="F03A7D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184875"/>
    <w:multiLevelType w:val="hybridMultilevel"/>
    <w:tmpl w:val="DDC0B42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C9059C"/>
    <w:multiLevelType w:val="hybridMultilevel"/>
    <w:tmpl w:val="63BEF532"/>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8C5DF0"/>
    <w:multiLevelType w:val="hybridMultilevel"/>
    <w:tmpl w:val="EF0C4C1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6347EAD"/>
    <w:multiLevelType w:val="hybridMultilevel"/>
    <w:tmpl w:val="225A3C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D810E1"/>
    <w:multiLevelType w:val="hybridMultilevel"/>
    <w:tmpl w:val="A156D340"/>
    <w:lvl w:ilvl="0" w:tplc="1B48F6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276FBD"/>
    <w:multiLevelType w:val="hybridMultilevel"/>
    <w:tmpl w:val="E28CB226"/>
    <w:lvl w:ilvl="0" w:tplc="E068AFF6">
      <w:start w:val="1619"/>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AF14A53"/>
    <w:multiLevelType w:val="hybridMultilevel"/>
    <w:tmpl w:val="E97497B8"/>
    <w:lvl w:ilvl="0" w:tplc="E068AFF6">
      <w:start w:val="1619"/>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1B222AC0"/>
    <w:multiLevelType w:val="hybridMultilevel"/>
    <w:tmpl w:val="36863D1C"/>
    <w:lvl w:ilvl="0" w:tplc="04090001">
      <w:start w:val="1"/>
      <w:numFmt w:val="bullet"/>
      <w:lvlText w:val=""/>
      <w:lvlJc w:val="left"/>
      <w:pPr>
        <w:tabs>
          <w:tab w:val="num" w:pos="720"/>
        </w:tabs>
        <w:ind w:left="720" w:hanging="360"/>
      </w:pPr>
      <w:rPr>
        <w:rFonts w:ascii="Symbol" w:hAnsi="Symbol" w:hint="default"/>
      </w:rPr>
    </w:lvl>
    <w:lvl w:ilvl="1" w:tplc="F2E28F16">
      <w:start w:val="10"/>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23D2980"/>
    <w:multiLevelType w:val="hybridMultilevel"/>
    <w:tmpl w:val="C0C85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C60176"/>
    <w:multiLevelType w:val="hybridMultilevel"/>
    <w:tmpl w:val="D716F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14" w15:restartNumberingAfterBreak="0">
    <w:nsid w:val="2FEA6D7E"/>
    <w:multiLevelType w:val="hybridMultilevel"/>
    <w:tmpl w:val="7382DF1E"/>
    <w:lvl w:ilvl="0" w:tplc="E068AFF6">
      <w:start w:val="1619"/>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53223C"/>
    <w:multiLevelType w:val="hybridMultilevel"/>
    <w:tmpl w:val="EA28A3BA"/>
    <w:lvl w:ilvl="0" w:tplc="7FECF332">
      <w:start w:val="5"/>
      <w:numFmt w:val="decimal"/>
      <w:lvlText w:val="%1."/>
      <w:lvlJc w:val="left"/>
      <w:pPr>
        <w:tabs>
          <w:tab w:val="num" w:pos="360"/>
        </w:tabs>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4A1486A"/>
    <w:multiLevelType w:val="hybridMultilevel"/>
    <w:tmpl w:val="1CCC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044A9"/>
    <w:multiLevelType w:val="hybridMultilevel"/>
    <w:tmpl w:val="1EBEBBA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95410D8"/>
    <w:multiLevelType w:val="hybridMultilevel"/>
    <w:tmpl w:val="B0567CE8"/>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C913E37"/>
    <w:multiLevelType w:val="hybridMultilevel"/>
    <w:tmpl w:val="FE549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9A2886"/>
    <w:multiLevelType w:val="hybridMultilevel"/>
    <w:tmpl w:val="CFC2F606"/>
    <w:lvl w:ilvl="0" w:tplc="52AC1DE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E3442E"/>
    <w:multiLevelType w:val="hybridMultilevel"/>
    <w:tmpl w:val="D58C1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E9724A"/>
    <w:multiLevelType w:val="hybridMultilevel"/>
    <w:tmpl w:val="F2EE2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CA2BAF"/>
    <w:multiLevelType w:val="hybridMultilevel"/>
    <w:tmpl w:val="3F60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A682C"/>
    <w:multiLevelType w:val="hybridMultilevel"/>
    <w:tmpl w:val="C14A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7279B9"/>
    <w:multiLevelType w:val="hybridMultilevel"/>
    <w:tmpl w:val="7BAE4D2C"/>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27" w15:restartNumberingAfterBreak="0">
    <w:nsid w:val="4E782344"/>
    <w:multiLevelType w:val="hybridMultilevel"/>
    <w:tmpl w:val="9FA619E2"/>
    <w:lvl w:ilvl="0" w:tplc="26F25A2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937D5D"/>
    <w:multiLevelType w:val="hybridMultilevel"/>
    <w:tmpl w:val="C1209D22"/>
    <w:lvl w:ilvl="0" w:tplc="093A5E4E">
      <w:start w:val="8"/>
      <w:numFmt w:val="decimal"/>
      <w:lvlText w:val="%1."/>
      <w:lvlJc w:val="left"/>
      <w:pPr>
        <w:tabs>
          <w:tab w:val="num" w:pos="720"/>
        </w:tabs>
        <w:ind w:left="720" w:hanging="360"/>
      </w:pPr>
      <w:rPr>
        <w:rFonts w:hint="default"/>
        <w:b/>
      </w:rPr>
    </w:lvl>
    <w:lvl w:ilvl="1" w:tplc="49A827A8">
      <w:start w:val="1"/>
      <w:numFmt w:val="none"/>
      <w:lvlText w:val="A."/>
      <w:lvlJc w:val="left"/>
      <w:pPr>
        <w:tabs>
          <w:tab w:val="num" w:pos="1584"/>
        </w:tabs>
        <w:ind w:left="1584" w:hanging="504"/>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9176B9"/>
    <w:multiLevelType w:val="hybridMultilevel"/>
    <w:tmpl w:val="1E260D7A"/>
    <w:lvl w:ilvl="0" w:tplc="6636A04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2D6692"/>
    <w:multiLevelType w:val="hybridMultilevel"/>
    <w:tmpl w:val="D54429B6"/>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230171"/>
    <w:multiLevelType w:val="hybridMultilevel"/>
    <w:tmpl w:val="EB76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E42D90"/>
    <w:multiLevelType w:val="hybridMultilevel"/>
    <w:tmpl w:val="D026FA9E"/>
    <w:lvl w:ilvl="0" w:tplc="04090001">
      <w:start w:val="1"/>
      <w:numFmt w:val="bullet"/>
      <w:lvlText w:val=""/>
      <w:lvlJc w:val="left"/>
      <w:pPr>
        <w:tabs>
          <w:tab w:val="num" w:pos="720"/>
        </w:tabs>
        <w:ind w:left="720" w:hanging="360"/>
      </w:pPr>
      <w:rPr>
        <w:rFonts w:ascii="Symbol" w:hAnsi="Symbol" w:hint="default"/>
      </w:rPr>
    </w:lvl>
    <w:lvl w:ilvl="1" w:tplc="2A186626">
      <w:start w:val="15"/>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3422296"/>
    <w:multiLevelType w:val="hybridMultilevel"/>
    <w:tmpl w:val="3A880072"/>
    <w:lvl w:ilvl="0" w:tplc="662ADF62">
      <w:numFmt w:val="none"/>
      <w:lvlText w:val=""/>
      <w:lvlJc w:val="left"/>
      <w:pPr>
        <w:tabs>
          <w:tab w:val="num" w:pos="0"/>
        </w:tabs>
        <w:ind w:left="360" w:hanging="360"/>
      </w:pPr>
      <w:rPr>
        <w:rFonts w:ascii="Wingdings" w:hAnsi="Wingdings" w:hint="default"/>
        <w:sz w:val="24"/>
      </w:rPr>
    </w:lvl>
    <w:lvl w:ilvl="1" w:tplc="53D2FF96">
      <w:start w:val="14"/>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D95F7D"/>
    <w:multiLevelType w:val="hybridMultilevel"/>
    <w:tmpl w:val="15BE7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B04417C"/>
    <w:multiLevelType w:val="hybridMultilevel"/>
    <w:tmpl w:val="D9505EAC"/>
    <w:lvl w:ilvl="0" w:tplc="E070B3A8">
      <w:start w:val="2"/>
      <w:numFmt w:val="upperLetter"/>
      <w:lvlText w:val="%1."/>
      <w:lvlJc w:val="left"/>
      <w:pPr>
        <w:tabs>
          <w:tab w:val="num" w:pos="1584"/>
        </w:tabs>
        <w:ind w:left="1584" w:hanging="5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D1B6574"/>
    <w:multiLevelType w:val="hybridMultilevel"/>
    <w:tmpl w:val="AA529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38" w15:restartNumberingAfterBreak="0">
    <w:nsid w:val="780D63C6"/>
    <w:multiLevelType w:val="hybridMultilevel"/>
    <w:tmpl w:val="415861E2"/>
    <w:lvl w:ilvl="0" w:tplc="04CEC4AE">
      <w:numFmt w:val="none"/>
      <w:lvlText w:val=""/>
      <w:lvlJc w:val="left"/>
      <w:pPr>
        <w:tabs>
          <w:tab w:val="num" w:pos="360"/>
        </w:tabs>
        <w:ind w:left="720" w:hanging="360"/>
      </w:pPr>
      <w:rPr>
        <w:rFonts w:ascii="Symbol" w:hAnsi="Symbol" w:hint="default"/>
        <w:color w:val="auto"/>
        <w:sz w:val="24"/>
      </w:rPr>
    </w:lvl>
    <w:lvl w:ilvl="1" w:tplc="8F80CA40">
      <w:start w:val="1"/>
      <w:numFmt w:val="bullet"/>
      <w:lvlText w:val=""/>
      <w:lvlJc w:val="left"/>
      <w:pPr>
        <w:tabs>
          <w:tab w:val="num" w:pos="1800"/>
        </w:tabs>
        <w:ind w:left="1800" w:hanging="360"/>
      </w:pPr>
      <w:rPr>
        <w:rFonts w:ascii="Wingdings" w:hAnsi="Wingdings" w:hint="default"/>
        <w:color w:val="auto"/>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8A40373"/>
    <w:multiLevelType w:val="hybridMultilevel"/>
    <w:tmpl w:val="168081F6"/>
    <w:lvl w:ilvl="0" w:tplc="4D345A62">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9BC7BA0"/>
    <w:multiLevelType w:val="hybridMultilevel"/>
    <w:tmpl w:val="C6D8F3FC"/>
    <w:lvl w:ilvl="0" w:tplc="662ADF62">
      <w:numFmt w:val="none"/>
      <w:lvlText w:val=""/>
      <w:lvlJc w:val="left"/>
      <w:pPr>
        <w:tabs>
          <w:tab w:val="num" w:pos="0"/>
        </w:tabs>
        <w:ind w:left="360" w:hanging="360"/>
      </w:pPr>
      <w:rPr>
        <w:rFonts w:ascii="Wingdings" w:hAnsi="Wingdings" w:hint="default"/>
        <w:sz w:val="24"/>
      </w:rPr>
    </w:lvl>
    <w:lvl w:ilvl="1" w:tplc="CAF6D3A0">
      <w:start w:val="12"/>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144CB3"/>
    <w:multiLevelType w:val="hybridMultilevel"/>
    <w:tmpl w:val="93AEEB1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7"/>
  </w:num>
  <w:num w:numId="3">
    <w:abstractNumId w:val="38"/>
  </w:num>
  <w:num w:numId="4">
    <w:abstractNumId w:val="29"/>
  </w:num>
  <w:num w:numId="5">
    <w:abstractNumId w:val="20"/>
  </w:num>
  <w:num w:numId="6">
    <w:abstractNumId w:val="28"/>
  </w:num>
  <w:num w:numId="7">
    <w:abstractNumId w:val="35"/>
  </w:num>
  <w:num w:numId="8">
    <w:abstractNumId w:val="17"/>
  </w:num>
  <w:num w:numId="9">
    <w:abstractNumId w:val="31"/>
  </w:num>
  <w:num w:numId="10">
    <w:abstractNumId w:val="26"/>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3"/>
  </w:num>
  <w:num w:numId="16">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4"/>
  </w:num>
  <w:num w:numId="21">
    <w:abstractNumId w:val="40"/>
  </w:num>
  <w:num w:numId="22">
    <w:abstractNumId w:val="33"/>
  </w:num>
  <w:num w:numId="23">
    <w:abstractNumId w:val="32"/>
  </w:num>
  <w:num w:numId="24">
    <w:abstractNumId w:val="10"/>
  </w:num>
  <w:num w:numId="25">
    <w:abstractNumId w:val="30"/>
  </w:num>
  <w:num w:numId="26">
    <w:abstractNumId w:val="25"/>
  </w:num>
  <w:num w:numId="27">
    <w:abstractNumId w:val="41"/>
  </w:num>
  <w:num w:numId="28">
    <w:abstractNumId w:val="7"/>
  </w:num>
  <w:num w:numId="29">
    <w:abstractNumId w:val="18"/>
  </w:num>
  <w:num w:numId="30">
    <w:abstractNumId w:val="23"/>
  </w:num>
  <w:num w:numId="31">
    <w:abstractNumId w:val="1"/>
  </w:num>
  <w:num w:numId="32">
    <w:abstractNumId w:val="11"/>
  </w:num>
  <w:num w:numId="33">
    <w:abstractNumId w:val="21"/>
  </w:num>
  <w:num w:numId="34">
    <w:abstractNumId w:val="19"/>
  </w:num>
  <w:num w:numId="35">
    <w:abstractNumId w:val="16"/>
  </w:num>
  <w:num w:numId="36">
    <w:abstractNumId w:val="12"/>
  </w:num>
  <w:num w:numId="37">
    <w:abstractNumId w:val="6"/>
  </w:num>
  <w:num w:numId="38">
    <w:abstractNumId w:val="2"/>
  </w:num>
  <w:num w:numId="39">
    <w:abstractNumId w:val="5"/>
  </w:num>
  <w:num w:numId="40">
    <w:abstractNumId w:val="9"/>
  </w:num>
  <w:num w:numId="41">
    <w:abstractNumId w:val="8"/>
  </w:num>
  <w:num w:numId="42">
    <w:abstractNumId w:val="14"/>
  </w:num>
  <w:num w:numId="43">
    <w:abstractNumId w:val="36"/>
  </w:num>
  <w:num w:numId="44">
    <w:abstractNumId w:val="34"/>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B20"/>
    <w:rsid w:val="00000491"/>
    <w:rsid w:val="00007B91"/>
    <w:rsid w:val="00030CB9"/>
    <w:rsid w:val="00063274"/>
    <w:rsid w:val="00066E68"/>
    <w:rsid w:val="00067D81"/>
    <w:rsid w:val="00074B75"/>
    <w:rsid w:val="000765DD"/>
    <w:rsid w:val="00080E9F"/>
    <w:rsid w:val="000A3CC3"/>
    <w:rsid w:val="000B335F"/>
    <w:rsid w:val="000B5C82"/>
    <w:rsid w:val="000C4205"/>
    <w:rsid w:val="000D0186"/>
    <w:rsid w:val="000D24CA"/>
    <w:rsid w:val="000D4062"/>
    <w:rsid w:val="00111A1A"/>
    <w:rsid w:val="001134E5"/>
    <w:rsid w:val="001153D8"/>
    <w:rsid w:val="00126667"/>
    <w:rsid w:val="001401EB"/>
    <w:rsid w:val="001470DB"/>
    <w:rsid w:val="0015079B"/>
    <w:rsid w:val="0016608A"/>
    <w:rsid w:val="001666F4"/>
    <w:rsid w:val="001763C7"/>
    <w:rsid w:val="00176ABC"/>
    <w:rsid w:val="001853E5"/>
    <w:rsid w:val="0018714D"/>
    <w:rsid w:val="001A2FA8"/>
    <w:rsid w:val="001C69CD"/>
    <w:rsid w:val="001D0D6D"/>
    <w:rsid w:val="001E2F12"/>
    <w:rsid w:val="001F2A74"/>
    <w:rsid w:val="0021311E"/>
    <w:rsid w:val="00220229"/>
    <w:rsid w:val="00223340"/>
    <w:rsid w:val="002436AA"/>
    <w:rsid w:val="0024756E"/>
    <w:rsid w:val="00256FE6"/>
    <w:rsid w:val="00265C0D"/>
    <w:rsid w:val="00266183"/>
    <w:rsid w:val="00282A56"/>
    <w:rsid w:val="00291813"/>
    <w:rsid w:val="002943D9"/>
    <w:rsid w:val="002E02B9"/>
    <w:rsid w:val="002E27B1"/>
    <w:rsid w:val="002E54BA"/>
    <w:rsid w:val="00305E99"/>
    <w:rsid w:val="00313905"/>
    <w:rsid w:val="00325CC0"/>
    <w:rsid w:val="0033194F"/>
    <w:rsid w:val="003407F0"/>
    <w:rsid w:val="0034490A"/>
    <w:rsid w:val="003536A3"/>
    <w:rsid w:val="003578C1"/>
    <w:rsid w:val="003674A9"/>
    <w:rsid w:val="003A6CCC"/>
    <w:rsid w:val="003B1843"/>
    <w:rsid w:val="003D3FEA"/>
    <w:rsid w:val="003D4AC6"/>
    <w:rsid w:val="003F00B1"/>
    <w:rsid w:val="003F47C2"/>
    <w:rsid w:val="003F690D"/>
    <w:rsid w:val="004101E1"/>
    <w:rsid w:val="0041076B"/>
    <w:rsid w:val="00413050"/>
    <w:rsid w:val="004140A3"/>
    <w:rsid w:val="0041483D"/>
    <w:rsid w:val="004149A8"/>
    <w:rsid w:val="00415678"/>
    <w:rsid w:val="004335B3"/>
    <w:rsid w:val="00437C61"/>
    <w:rsid w:val="00447011"/>
    <w:rsid w:val="004510C7"/>
    <w:rsid w:val="0045468B"/>
    <w:rsid w:val="0045629B"/>
    <w:rsid w:val="004623A5"/>
    <w:rsid w:val="0046604D"/>
    <w:rsid w:val="004714A6"/>
    <w:rsid w:val="00475D22"/>
    <w:rsid w:val="00476F3D"/>
    <w:rsid w:val="00497AE9"/>
    <w:rsid w:val="004A288C"/>
    <w:rsid w:val="004B0021"/>
    <w:rsid w:val="004B01D6"/>
    <w:rsid w:val="004B1F29"/>
    <w:rsid w:val="004C1678"/>
    <w:rsid w:val="004C3ED4"/>
    <w:rsid w:val="004F63B7"/>
    <w:rsid w:val="0050120C"/>
    <w:rsid w:val="00511337"/>
    <w:rsid w:val="00525773"/>
    <w:rsid w:val="00534DDD"/>
    <w:rsid w:val="0054543A"/>
    <w:rsid w:val="00560865"/>
    <w:rsid w:val="0057383B"/>
    <w:rsid w:val="0057651D"/>
    <w:rsid w:val="00584FB0"/>
    <w:rsid w:val="005A7449"/>
    <w:rsid w:val="005B73F0"/>
    <w:rsid w:val="005C0FD2"/>
    <w:rsid w:val="005D5E26"/>
    <w:rsid w:val="00615EDF"/>
    <w:rsid w:val="00624CE5"/>
    <w:rsid w:val="0062557E"/>
    <w:rsid w:val="00626070"/>
    <w:rsid w:val="00636AA8"/>
    <w:rsid w:val="006462F3"/>
    <w:rsid w:val="006529A1"/>
    <w:rsid w:val="00662BBD"/>
    <w:rsid w:val="00662FB1"/>
    <w:rsid w:val="00663114"/>
    <w:rsid w:val="006A4C24"/>
    <w:rsid w:val="006C4BD1"/>
    <w:rsid w:val="006D4DF1"/>
    <w:rsid w:val="006E5A9C"/>
    <w:rsid w:val="006F33E7"/>
    <w:rsid w:val="0071077D"/>
    <w:rsid w:val="00716CD9"/>
    <w:rsid w:val="0072329E"/>
    <w:rsid w:val="00723C64"/>
    <w:rsid w:val="00727843"/>
    <w:rsid w:val="00727F5A"/>
    <w:rsid w:val="0075705A"/>
    <w:rsid w:val="00760164"/>
    <w:rsid w:val="007625AD"/>
    <w:rsid w:val="0077309A"/>
    <w:rsid w:val="00774308"/>
    <w:rsid w:val="00786B44"/>
    <w:rsid w:val="007A1DD8"/>
    <w:rsid w:val="007B2144"/>
    <w:rsid w:val="007B4320"/>
    <w:rsid w:val="007C1254"/>
    <w:rsid w:val="007D1891"/>
    <w:rsid w:val="007D3AD1"/>
    <w:rsid w:val="007E40E2"/>
    <w:rsid w:val="007F204E"/>
    <w:rsid w:val="007F2425"/>
    <w:rsid w:val="007F2DCB"/>
    <w:rsid w:val="0081627A"/>
    <w:rsid w:val="0083309D"/>
    <w:rsid w:val="00834CDD"/>
    <w:rsid w:val="00844E45"/>
    <w:rsid w:val="00854B3D"/>
    <w:rsid w:val="008722A4"/>
    <w:rsid w:val="008727FB"/>
    <w:rsid w:val="0089676A"/>
    <w:rsid w:val="008A0B9C"/>
    <w:rsid w:val="008A72A5"/>
    <w:rsid w:val="008B5E07"/>
    <w:rsid w:val="008C1BCD"/>
    <w:rsid w:val="008D02B7"/>
    <w:rsid w:val="008E1BA2"/>
    <w:rsid w:val="008E6BC9"/>
    <w:rsid w:val="008E7F42"/>
    <w:rsid w:val="008F3A5A"/>
    <w:rsid w:val="008F6962"/>
    <w:rsid w:val="008F7B19"/>
    <w:rsid w:val="009122DC"/>
    <w:rsid w:val="0093108E"/>
    <w:rsid w:val="009351FA"/>
    <w:rsid w:val="00940291"/>
    <w:rsid w:val="0094513A"/>
    <w:rsid w:val="0095163F"/>
    <w:rsid w:val="00951E8C"/>
    <w:rsid w:val="0096029B"/>
    <w:rsid w:val="00976FC9"/>
    <w:rsid w:val="009940EC"/>
    <w:rsid w:val="009A60BC"/>
    <w:rsid w:val="009B67E4"/>
    <w:rsid w:val="009D181B"/>
    <w:rsid w:val="009E3342"/>
    <w:rsid w:val="009E5206"/>
    <w:rsid w:val="00A0046F"/>
    <w:rsid w:val="00A121F9"/>
    <w:rsid w:val="00A125AD"/>
    <w:rsid w:val="00A1450A"/>
    <w:rsid w:val="00A26612"/>
    <w:rsid w:val="00A32027"/>
    <w:rsid w:val="00A3455D"/>
    <w:rsid w:val="00A54423"/>
    <w:rsid w:val="00A64466"/>
    <w:rsid w:val="00A72D1D"/>
    <w:rsid w:val="00A77674"/>
    <w:rsid w:val="00A82F67"/>
    <w:rsid w:val="00AA427D"/>
    <w:rsid w:val="00AA465A"/>
    <w:rsid w:val="00AA6C0C"/>
    <w:rsid w:val="00AC513B"/>
    <w:rsid w:val="00AC6E12"/>
    <w:rsid w:val="00AD2FCE"/>
    <w:rsid w:val="00AF22E9"/>
    <w:rsid w:val="00B129D6"/>
    <w:rsid w:val="00B262C6"/>
    <w:rsid w:val="00B51274"/>
    <w:rsid w:val="00B54472"/>
    <w:rsid w:val="00B5644D"/>
    <w:rsid w:val="00B92139"/>
    <w:rsid w:val="00BA6CD5"/>
    <w:rsid w:val="00BB00EE"/>
    <w:rsid w:val="00BB0433"/>
    <w:rsid w:val="00BE7F22"/>
    <w:rsid w:val="00BF31B2"/>
    <w:rsid w:val="00C01329"/>
    <w:rsid w:val="00C020FA"/>
    <w:rsid w:val="00C02477"/>
    <w:rsid w:val="00C05FE1"/>
    <w:rsid w:val="00C25A3E"/>
    <w:rsid w:val="00C265E5"/>
    <w:rsid w:val="00C32ED5"/>
    <w:rsid w:val="00C577FF"/>
    <w:rsid w:val="00C67393"/>
    <w:rsid w:val="00C74534"/>
    <w:rsid w:val="00C81B7D"/>
    <w:rsid w:val="00C8433F"/>
    <w:rsid w:val="00C85EB6"/>
    <w:rsid w:val="00C865CE"/>
    <w:rsid w:val="00C97FCF"/>
    <w:rsid w:val="00CA642D"/>
    <w:rsid w:val="00CB0668"/>
    <w:rsid w:val="00CB0A7B"/>
    <w:rsid w:val="00CB5611"/>
    <w:rsid w:val="00CC3BFA"/>
    <w:rsid w:val="00CD64BE"/>
    <w:rsid w:val="00CE4C25"/>
    <w:rsid w:val="00CE4E24"/>
    <w:rsid w:val="00CF5131"/>
    <w:rsid w:val="00D10680"/>
    <w:rsid w:val="00D14BFF"/>
    <w:rsid w:val="00D16D0A"/>
    <w:rsid w:val="00D2192C"/>
    <w:rsid w:val="00D27301"/>
    <w:rsid w:val="00D42281"/>
    <w:rsid w:val="00D5665F"/>
    <w:rsid w:val="00D73B0C"/>
    <w:rsid w:val="00D75A13"/>
    <w:rsid w:val="00D8752E"/>
    <w:rsid w:val="00DA6C5B"/>
    <w:rsid w:val="00DB5688"/>
    <w:rsid w:val="00DD1F7B"/>
    <w:rsid w:val="00DD3A26"/>
    <w:rsid w:val="00DD647F"/>
    <w:rsid w:val="00DE2626"/>
    <w:rsid w:val="00DE3DA2"/>
    <w:rsid w:val="00E67BBD"/>
    <w:rsid w:val="00E73AEC"/>
    <w:rsid w:val="00E830F3"/>
    <w:rsid w:val="00EB2A1A"/>
    <w:rsid w:val="00EB3F4C"/>
    <w:rsid w:val="00EC06D2"/>
    <w:rsid w:val="00EC4B20"/>
    <w:rsid w:val="00ED4E42"/>
    <w:rsid w:val="00EF1CFB"/>
    <w:rsid w:val="00EF3A15"/>
    <w:rsid w:val="00EF4F9B"/>
    <w:rsid w:val="00F030EE"/>
    <w:rsid w:val="00F203C0"/>
    <w:rsid w:val="00F2055E"/>
    <w:rsid w:val="00F22B01"/>
    <w:rsid w:val="00F644AA"/>
    <w:rsid w:val="00F74E50"/>
    <w:rsid w:val="00F75353"/>
    <w:rsid w:val="00F759F3"/>
    <w:rsid w:val="00F76233"/>
    <w:rsid w:val="00FA0A36"/>
    <w:rsid w:val="00FA2595"/>
    <w:rsid w:val="00FA311A"/>
    <w:rsid w:val="00FA6A85"/>
    <w:rsid w:val="00FC1C9E"/>
    <w:rsid w:val="00FC220F"/>
    <w:rsid w:val="00FD1005"/>
    <w:rsid w:val="00FD2543"/>
    <w:rsid w:val="00FE0A36"/>
    <w:rsid w:val="00FE49DA"/>
    <w:rsid w:val="00FF0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3105"/>
  <w15:docId w15:val="{E91737F0-0CE7-4883-A7AB-63F60E12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B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4B2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C4B2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4B2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B20"/>
    <w:rPr>
      <w:rFonts w:ascii="Arial" w:eastAsia="Times New Roman" w:hAnsi="Arial" w:cs="Arial"/>
      <w:b/>
      <w:bCs/>
      <w:kern w:val="32"/>
      <w:sz w:val="32"/>
      <w:szCs w:val="32"/>
    </w:rPr>
  </w:style>
  <w:style w:type="character" w:customStyle="1" w:styleId="Heading2Char">
    <w:name w:val="Heading 2 Char"/>
    <w:basedOn w:val="DefaultParagraphFont"/>
    <w:link w:val="Heading2"/>
    <w:rsid w:val="00EC4B20"/>
    <w:rPr>
      <w:rFonts w:ascii="Arial" w:eastAsia="Times New Roman" w:hAnsi="Arial" w:cs="Arial"/>
      <w:b/>
      <w:bCs/>
      <w:i/>
      <w:iCs/>
      <w:sz w:val="28"/>
      <w:szCs w:val="28"/>
    </w:rPr>
  </w:style>
  <w:style w:type="character" w:customStyle="1" w:styleId="Heading3Char">
    <w:name w:val="Heading 3 Char"/>
    <w:basedOn w:val="DefaultParagraphFont"/>
    <w:link w:val="Heading3"/>
    <w:rsid w:val="00EC4B20"/>
    <w:rPr>
      <w:rFonts w:ascii="Arial" w:eastAsia="Times New Roman" w:hAnsi="Arial" w:cs="Arial"/>
      <w:b/>
      <w:bCs/>
      <w:sz w:val="26"/>
      <w:szCs w:val="26"/>
    </w:rPr>
  </w:style>
  <w:style w:type="paragraph" w:styleId="FootnoteText">
    <w:name w:val="footnote text"/>
    <w:basedOn w:val="Normal"/>
    <w:link w:val="FootnoteTextChar"/>
    <w:semiHidden/>
    <w:rsid w:val="00EC4B20"/>
    <w:rPr>
      <w:sz w:val="20"/>
      <w:szCs w:val="20"/>
    </w:rPr>
  </w:style>
  <w:style w:type="character" w:customStyle="1" w:styleId="FootnoteTextChar">
    <w:name w:val="Footnote Text Char"/>
    <w:basedOn w:val="DefaultParagraphFont"/>
    <w:link w:val="FootnoteText"/>
    <w:semiHidden/>
    <w:rsid w:val="00EC4B20"/>
    <w:rPr>
      <w:rFonts w:ascii="Times New Roman" w:eastAsia="Times New Roman" w:hAnsi="Times New Roman" w:cs="Times New Roman"/>
      <w:sz w:val="20"/>
      <w:szCs w:val="20"/>
    </w:rPr>
  </w:style>
  <w:style w:type="character" w:styleId="FootnoteReference">
    <w:name w:val="footnote reference"/>
    <w:basedOn w:val="DefaultParagraphFont"/>
    <w:semiHidden/>
    <w:rsid w:val="00EC4B20"/>
    <w:rPr>
      <w:vertAlign w:val="superscript"/>
    </w:rPr>
  </w:style>
  <w:style w:type="paragraph" w:styleId="Footer">
    <w:name w:val="footer"/>
    <w:basedOn w:val="Normal"/>
    <w:link w:val="FooterChar"/>
    <w:rsid w:val="00EC4B20"/>
    <w:pPr>
      <w:tabs>
        <w:tab w:val="center" w:pos="4320"/>
        <w:tab w:val="right" w:pos="8640"/>
      </w:tabs>
    </w:pPr>
  </w:style>
  <w:style w:type="character" w:customStyle="1" w:styleId="FooterChar">
    <w:name w:val="Footer Char"/>
    <w:basedOn w:val="DefaultParagraphFont"/>
    <w:link w:val="Footer"/>
    <w:rsid w:val="00EC4B20"/>
    <w:rPr>
      <w:rFonts w:ascii="Times New Roman" w:eastAsia="Times New Roman" w:hAnsi="Times New Roman" w:cs="Times New Roman"/>
      <w:sz w:val="24"/>
      <w:szCs w:val="24"/>
    </w:rPr>
  </w:style>
  <w:style w:type="character" w:styleId="PageNumber">
    <w:name w:val="page number"/>
    <w:basedOn w:val="DefaultParagraphFont"/>
    <w:rsid w:val="00EC4B20"/>
  </w:style>
  <w:style w:type="paragraph" w:customStyle="1" w:styleId="DefaultText">
    <w:name w:val="Default Text"/>
    <w:basedOn w:val="Normal"/>
    <w:link w:val="DefaultTextChar"/>
    <w:rsid w:val="00EC4B20"/>
    <w:pPr>
      <w:autoSpaceDE w:val="0"/>
      <w:autoSpaceDN w:val="0"/>
      <w:adjustRightInd w:val="0"/>
    </w:pPr>
  </w:style>
  <w:style w:type="character" w:customStyle="1" w:styleId="InitialStyle">
    <w:name w:val="InitialStyle"/>
    <w:rsid w:val="00EC4B20"/>
  </w:style>
  <w:style w:type="paragraph" w:customStyle="1" w:styleId="a">
    <w:name w:val="&quot;"/>
    <w:basedOn w:val="Normal"/>
    <w:rsid w:val="00EC4B20"/>
    <w:pPr>
      <w:autoSpaceDE w:val="0"/>
      <w:autoSpaceDN w:val="0"/>
      <w:adjustRightInd w:val="0"/>
      <w:ind w:left="720" w:hanging="720"/>
    </w:pPr>
  </w:style>
  <w:style w:type="character" w:styleId="Hyperlink">
    <w:name w:val="Hyperlink"/>
    <w:basedOn w:val="DefaultParagraphFont"/>
    <w:rsid w:val="00EC4B20"/>
    <w:rPr>
      <w:color w:val="0000FF"/>
      <w:u w:val="single"/>
    </w:rPr>
  </w:style>
  <w:style w:type="paragraph" w:customStyle="1" w:styleId="300">
    <w:name w:val="300"/>
    <w:basedOn w:val="Normal"/>
    <w:rsid w:val="00EC4B20"/>
    <w:pPr>
      <w:overflowPunct w:val="0"/>
      <w:autoSpaceDE w:val="0"/>
      <w:autoSpaceDN w:val="0"/>
      <w:adjustRightInd w:val="0"/>
      <w:textAlignment w:val="baseline"/>
    </w:pPr>
    <w:rPr>
      <w:sz w:val="20"/>
      <w:szCs w:val="20"/>
    </w:rPr>
  </w:style>
  <w:style w:type="character" w:styleId="CommentReference">
    <w:name w:val="annotation reference"/>
    <w:basedOn w:val="DefaultParagraphFont"/>
    <w:semiHidden/>
    <w:rsid w:val="00EC4B20"/>
    <w:rPr>
      <w:sz w:val="16"/>
      <w:szCs w:val="16"/>
    </w:rPr>
  </w:style>
  <w:style w:type="paragraph" w:styleId="CommentText">
    <w:name w:val="annotation text"/>
    <w:basedOn w:val="Normal"/>
    <w:link w:val="CommentTextChar"/>
    <w:semiHidden/>
    <w:rsid w:val="00EC4B20"/>
    <w:rPr>
      <w:sz w:val="20"/>
      <w:szCs w:val="20"/>
    </w:rPr>
  </w:style>
  <w:style w:type="character" w:customStyle="1" w:styleId="CommentTextChar">
    <w:name w:val="Comment Text Char"/>
    <w:basedOn w:val="DefaultParagraphFont"/>
    <w:link w:val="CommentText"/>
    <w:semiHidden/>
    <w:rsid w:val="00EC4B20"/>
    <w:rPr>
      <w:rFonts w:ascii="Times New Roman" w:eastAsia="Times New Roman" w:hAnsi="Times New Roman" w:cs="Times New Roman"/>
      <w:sz w:val="20"/>
      <w:szCs w:val="20"/>
    </w:rPr>
  </w:style>
  <w:style w:type="character" w:customStyle="1" w:styleId="DefaultTextChar">
    <w:name w:val="Default Text Char"/>
    <w:basedOn w:val="DefaultParagraphFont"/>
    <w:link w:val="DefaultText"/>
    <w:rsid w:val="00EC4B20"/>
    <w:rPr>
      <w:rFonts w:ascii="Times New Roman" w:eastAsia="Times New Roman" w:hAnsi="Times New Roman" w:cs="Times New Roman"/>
      <w:sz w:val="24"/>
      <w:szCs w:val="24"/>
    </w:rPr>
  </w:style>
  <w:style w:type="paragraph" w:styleId="BodyTextIndent3">
    <w:name w:val="Body Text Indent 3"/>
    <w:basedOn w:val="Normal"/>
    <w:link w:val="BodyTextIndent3Char"/>
    <w:rsid w:val="00EC4B20"/>
    <w:pPr>
      <w:tabs>
        <w:tab w:val="left" w:pos="1800"/>
      </w:tabs>
      <w:ind w:left="2340"/>
    </w:pPr>
  </w:style>
  <w:style w:type="character" w:customStyle="1" w:styleId="BodyTextIndent3Char">
    <w:name w:val="Body Text Indent 3 Char"/>
    <w:basedOn w:val="DefaultParagraphFont"/>
    <w:link w:val="BodyTextIndent3"/>
    <w:rsid w:val="00EC4B2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4B20"/>
    <w:rPr>
      <w:rFonts w:ascii="Tahoma" w:hAnsi="Tahoma" w:cs="Tahoma"/>
      <w:sz w:val="16"/>
      <w:szCs w:val="16"/>
    </w:rPr>
  </w:style>
  <w:style w:type="character" w:customStyle="1" w:styleId="BalloonTextChar">
    <w:name w:val="Balloon Text Char"/>
    <w:basedOn w:val="DefaultParagraphFont"/>
    <w:link w:val="BalloonText"/>
    <w:uiPriority w:val="99"/>
    <w:semiHidden/>
    <w:rsid w:val="00EC4B20"/>
    <w:rPr>
      <w:rFonts w:ascii="Tahoma" w:eastAsia="Times New Roman" w:hAnsi="Tahoma" w:cs="Tahoma"/>
      <w:sz w:val="16"/>
      <w:szCs w:val="16"/>
    </w:rPr>
  </w:style>
  <w:style w:type="paragraph" w:styleId="ListParagraph">
    <w:name w:val="List Paragraph"/>
    <w:basedOn w:val="Normal"/>
    <w:uiPriority w:val="34"/>
    <w:qFormat/>
    <w:rsid w:val="00066E68"/>
    <w:pPr>
      <w:ind w:left="720"/>
      <w:contextualSpacing/>
    </w:pPr>
  </w:style>
  <w:style w:type="paragraph" w:styleId="CommentSubject">
    <w:name w:val="annotation subject"/>
    <w:basedOn w:val="CommentText"/>
    <w:next w:val="CommentText"/>
    <w:link w:val="CommentSubjectChar"/>
    <w:uiPriority w:val="99"/>
    <w:semiHidden/>
    <w:unhideWhenUsed/>
    <w:rsid w:val="008F6962"/>
    <w:rPr>
      <w:b/>
      <w:bCs/>
    </w:rPr>
  </w:style>
  <w:style w:type="character" w:customStyle="1" w:styleId="CommentSubjectChar">
    <w:name w:val="Comment Subject Char"/>
    <w:basedOn w:val="CommentTextChar"/>
    <w:link w:val="CommentSubject"/>
    <w:uiPriority w:val="99"/>
    <w:semiHidden/>
    <w:rsid w:val="008F6962"/>
    <w:rPr>
      <w:rFonts w:ascii="Times New Roman" w:eastAsia="Times New Roman" w:hAnsi="Times New Roman" w:cs="Times New Roman"/>
      <w:b/>
      <w:bCs/>
      <w:sz w:val="20"/>
      <w:szCs w:val="20"/>
    </w:rPr>
  </w:style>
  <w:style w:type="paragraph" w:styleId="E-mailSignature">
    <w:name w:val="E-mail Signature"/>
    <w:basedOn w:val="Normal"/>
    <w:link w:val="E-mailSignatureChar"/>
    <w:uiPriority w:val="99"/>
    <w:semiHidden/>
    <w:unhideWhenUsed/>
    <w:rsid w:val="003578C1"/>
    <w:rPr>
      <w:rFonts w:eastAsiaTheme="minorHAnsi"/>
    </w:rPr>
  </w:style>
  <w:style w:type="character" w:customStyle="1" w:styleId="E-mailSignatureChar">
    <w:name w:val="E-mail Signature Char"/>
    <w:basedOn w:val="DefaultParagraphFont"/>
    <w:link w:val="E-mailSignature"/>
    <w:uiPriority w:val="99"/>
    <w:semiHidden/>
    <w:rsid w:val="003578C1"/>
    <w:rPr>
      <w:rFonts w:ascii="Times New Roman" w:hAnsi="Times New Roman" w:cs="Times New Roman"/>
      <w:sz w:val="24"/>
      <w:szCs w:val="24"/>
    </w:rPr>
  </w:style>
  <w:style w:type="character" w:styleId="Emphasis">
    <w:name w:val="Emphasis"/>
    <w:basedOn w:val="DefaultParagraphFont"/>
    <w:uiPriority w:val="20"/>
    <w:qFormat/>
    <w:rsid w:val="003578C1"/>
    <w:rPr>
      <w:i/>
      <w:iCs/>
    </w:rPr>
  </w:style>
  <w:style w:type="paragraph" w:styleId="NormalWeb">
    <w:name w:val="Normal (Web)"/>
    <w:basedOn w:val="Normal"/>
    <w:uiPriority w:val="99"/>
    <w:unhideWhenUsed/>
    <w:rsid w:val="00584FB0"/>
    <w:pPr>
      <w:spacing w:before="100" w:beforeAutospacing="1" w:after="100" w:afterAutospacing="1" w:line="236" w:lineRule="atLeast"/>
    </w:pPr>
    <w:rPr>
      <w:rFonts w:ascii="Arial" w:hAnsi="Arial" w:cs="Arial"/>
      <w:color w:val="333333"/>
      <w:sz w:val="16"/>
      <w:szCs w:val="16"/>
    </w:rPr>
  </w:style>
  <w:style w:type="table" w:styleId="TableGrid">
    <w:name w:val="Table Grid"/>
    <w:basedOn w:val="TableNormal"/>
    <w:uiPriority w:val="59"/>
    <w:rsid w:val="004A2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3DA2"/>
    <w:pPr>
      <w:tabs>
        <w:tab w:val="center" w:pos="4680"/>
        <w:tab w:val="right" w:pos="9360"/>
      </w:tabs>
    </w:pPr>
  </w:style>
  <w:style w:type="character" w:customStyle="1" w:styleId="HeaderChar">
    <w:name w:val="Header Char"/>
    <w:basedOn w:val="DefaultParagraphFont"/>
    <w:link w:val="Header"/>
    <w:uiPriority w:val="99"/>
    <w:rsid w:val="00DE3DA2"/>
    <w:rPr>
      <w:rFonts w:ascii="Times New Roman" w:eastAsia="Times New Roman" w:hAnsi="Times New Roman" w:cs="Times New Roman"/>
      <w:sz w:val="24"/>
      <w:szCs w:val="24"/>
    </w:rPr>
  </w:style>
  <w:style w:type="character" w:styleId="Strong">
    <w:name w:val="Strong"/>
    <w:basedOn w:val="DefaultParagraphFont"/>
    <w:uiPriority w:val="22"/>
    <w:qFormat/>
    <w:rsid w:val="005D5E26"/>
    <w:rPr>
      <w:b/>
      <w:bCs/>
    </w:rPr>
  </w:style>
  <w:style w:type="character" w:styleId="FollowedHyperlink">
    <w:name w:val="FollowedHyperlink"/>
    <w:basedOn w:val="DefaultParagraphFont"/>
    <w:uiPriority w:val="99"/>
    <w:semiHidden/>
    <w:unhideWhenUsed/>
    <w:rsid w:val="00A266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58100">
      <w:bodyDiv w:val="1"/>
      <w:marLeft w:val="0"/>
      <w:marRight w:val="0"/>
      <w:marTop w:val="0"/>
      <w:marBottom w:val="0"/>
      <w:divBdr>
        <w:top w:val="none" w:sz="0" w:space="0" w:color="auto"/>
        <w:left w:val="none" w:sz="0" w:space="0" w:color="auto"/>
        <w:bottom w:val="none" w:sz="0" w:space="0" w:color="auto"/>
        <w:right w:val="none" w:sz="0" w:space="0" w:color="auto"/>
      </w:divBdr>
    </w:div>
    <w:div w:id="449009268">
      <w:bodyDiv w:val="1"/>
      <w:marLeft w:val="0"/>
      <w:marRight w:val="0"/>
      <w:marTop w:val="0"/>
      <w:marBottom w:val="0"/>
      <w:divBdr>
        <w:top w:val="none" w:sz="0" w:space="0" w:color="auto"/>
        <w:left w:val="none" w:sz="0" w:space="0" w:color="auto"/>
        <w:bottom w:val="none" w:sz="0" w:space="0" w:color="auto"/>
        <w:right w:val="none" w:sz="0" w:space="0" w:color="auto"/>
      </w:divBdr>
    </w:div>
    <w:div w:id="459997925">
      <w:bodyDiv w:val="1"/>
      <w:marLeft w:val="0"/>
      <w:marRight w:val="0"/>
      <w:marTop w:val="0"/>
      <w:marBottom w:val="0"/>
      <w:divBdr>
        <w:top w:val="none" w:sz="0" w:space="0" w:color="auto"/>
        <w:left w:val="none" w:sz="0" w:space="0" w:color="auto"/>
        <w:bottom w:val="none" w:sz="0" w:space="0" w:color="auto"/>
        <w:right w:val="none" w:sz="0" w:space="0" w:color="auto"/>
      </w:divBdr>
    </w:div>
    <w:div w:id="605114856">
      <w:bodyDiv w:val="1"/>
      <w:marLeft w:val="0"/>
      <w:marRight w:val="0"/>
      <w:marTop w:val="0"/>
      <w:marBottom w:val="0"/>
      <w:divBdr>
        <w:top w:val="none" w:sz="0" w:space="0" w:color="auto"/>
        <w:left w:val="none" w:sz="0" w:space="0" w:color="auto"/>
        <w:bottom w:val="none" w:sz="0" w:space="0" w:color="auto"/>
        <w:right w:val="none" w:sz="0" w:space="0" w:color="auto"/>
      </w:divBdr>
    </w:div>
    <w:div w:id="674845709">
      <w:bodyDiv w:val="1"/>
      <w:marLeft w:val="0"/>
      <w:marRight w:val="0"/>
      <w:marTop w:val="0"/>
      <w:marBottom w:val="0"/>
      <w:divBdr>
        <w:top w:val="none" w:sz="0" w:space="0" w:color="auto"/>
        <w:left w:val="none" w:sz="0" w:space="0" w:color="auto"/>
        <w:bottom w:val="none" w:sz="0" w:space="0" w:color="auto"/>
        <w:right w:val="none" w:sz="0" w:space="0" w:color="auto"/>
      </w:divBdr>
    </w:div>
    <w:div w:id="716320760">
      <w:bodyDiv w:val="1"/>
      <w:marLeft w:val="0"/>
      <w:marRight w:val="0"/>
      <w:marTop w:val="0"/>
      <w:marBottom w:val="0"/>
      <w:divBdr>
        <w:top w:val="none" w:sz="0" w:space="0" w:color="auto"/>
        <w:left w:val="none" w:sz="0" w:space="0" w:color="auto"/>
        <w:bottom w:val="none" w:sz="0" w:space="0" w:color="auto"/>
        <w:right w:val="none" w:sz="0" w:space="0" w:color="auto"/>
      </w:divBdr>
    </w:div>
    <w:div w:id="806052108">
      <w:bodyDiv w:val="1"/>
      <w:marLeft w:val="0"/>
      <w:marRight w:val="0"/>
      <w:marTop w:val="0"/>
      <w:marBottom w:val="0"/>
      <w:divBdr>
        <w:top w:val="none" w:sz="0" w:space="0" w:color="auto"/>
        <w:left w:val="none" w:sz="0" w:space="0" w:color="auto"/>
        <w:bottom w:val="none" w:sz="0" w:space="0" w:color="auto"/>
        <w:right w:val="none" w:sz="0" w:space="0" w:color="auto"/>
      </w:divBdr>
    </w:div>
    <w:div w:id="852694647">
      <w:bodyDiv w:val="1"/>
      <w:marLeft w:val="0"/>
      <w:marRight w:val="0"/>
      <w:marTop w:val="0"/>
      <w:marBottom w:val="0"/>
      <w:divBdr>
        <w:top w:val="none" w:sz="0" w:space="0" w:color="auto"/>
        <w:left w:val="none" w:sz="0" w:space="0" w:color="auto"/>
        <w:bottom w:val="none" w:sz="0" w:space="0" w:color="auto"/>
        <w:right w:val="none" w:sz="0" w:space="0" w:color="auto"/>
      </w:divBdr>
    </w:div>
    <w:div w:id="1167986723">
      <w:bodyDiv w:val="1"/>
      <w:marLeft w:val="0"/>
      <w:marRight w:val="0"/>
      <w:marTop w:val="0"/>
      <w:marBottom w:val="0"/>
      <w:divBdr>
        <w:top w:val="none" w:sz="0" w:space="0" w:color="auto"/>
        <w:left w:val="none" w:sz="0" w:space="0" w:color="auto"/>
        <w:bottom w:val="none" w:sz="0" w:space="0" w:color="auto"/>
        <w:right w:val="none" w:sz="0" w:space="0" w:color="auto"/>
      </w:divBdr>
    </w:div>
    <w:div w:id="1248419844">
      <w:bodyDiv w:val="1"/>
      <w:marLeft w:val="0"/>
      <w:marRight w:val="0"/>
      <w:marTop w:val="0"/>
      <w:marBottom w:val="0"/>
      <w:divBdr>
        <w:top w:val="none" w:sz="0" w:space="0" w:color="auto"/>
        <w:left w:val="none" w:sz="0" w:space="0" w:color="auto"/>
        <w:bottom w:val="none" w:sz="0" w:space="0" w:color="auto"/>
        <w:right w:val="none" w:sz="0" w:space="0" w:color="auto"/>
      </w:divBdr>
    </w:div>
    <w:div w:id="1427070925">
      <w:bodyDiv w:val="1"/>
      <w:marLeft w:val="0"/>
      <w:marRight w:val="0"/>
      <w:marTop w:val="0"/>
      <w:marBottom w:val="0"/>
      <w:divBdr>
        <w:top w:val="none" w:sz="0" w:space="0" w:color="auto"/>
        <w:left w:val="none" w:sz="0" w:space="0" w:color="auto"/>
        <w:bottom w:val="none" w:sz="0" w:space="0" w:color="auto"/>
        <w:right w:val="none" w:sz="0" w:space="0" w:color="auto"/>
      </w:divBdr>
    </w:div>
    <w:div w:id="1598557736">
      <w:bodyDiv w:val="1"/>
      <w:marLeft w:val="0"/>
      <w:marRight w:val="0"/>
      <w:marTop w:val="0"/>
      <w:marBottom w:val="0"/>
      <w:divBdr>
        <w:top w:val="none" w:sz="0" w:space="0" w:color="auto"/>
        <w:left w:val="none" w:sz="0" w:space="0" w:color="auto"/>
        <w:bottom w:val="none" w:sz="0" w:space="0" w:color="auto"/>
        <w:right w:val="none" w:sz="0" w:space="0" w:color="auto"/>
      </w:divBdr>
    </w:div>
    <w:div w:id="1849832657">
      <w:bodyDiv w:val="1"/>
      <w:marLeft w:val="0"/>
      <w:marRight w:val="0"/>
      <w:marTop w:val="0"/>
      <w:marBottom w:val="0"/>
      <w:divBdr>
        <w:top w:val="none" w:sz="0" w:space="0" w:color="auto"/>
        <w:left w:val="none" w:sz="0" w:space="0" w:color="auto"/>
        <w:bottom w:val="none" w:sz="0" w:space="0" w:color="auto"/>
        <w:right w:val="none" w:sz="0" w:space="0" w:color="auto"/>
      </w:divBdr>
    </w:div>
    <w:div w:id="2006542420">
      <w:bodyDiv w:val="1"/>
      <w:marLeft w:val="0"/>
      <w:marRight w:val="0"/>
      <w:marTop w:val="0"/>
      <w:marBottom w:val="0"/>
      <w:divBdr>
        <w:top w:val="none" w:sz="0" w:space="0" w:color="auto"/>
        <w:left w:val="none" w:sz="0" w:space="0" w:color="auto"/>
        <w:bottom w:val="none" w:sz="0" w:space="0" w:color="auto"/>
        <w:right w:val="none" w:sz="0" w:space="0" w:color="auto"/>
      </w:divBdr>
    </w:div>
    <w:div w:id="2054881702">
      <w:bodyDiv w:val="1"/>
      <w:marLeft w:val="0"/>
      <w:marRight w:val="0"/>
      <w:marTop w:val="0"/>
      <w:marBottom w:val="0"/>
      <w:divBdr>
        <w:top w:val="none" w:sz="0" w:space="0" w:color="auto"/>
        <w:left w:val="none" w:sz="0" w:space="0" w:color="auto"/>
        <w:bottom w:val="none" w:sz="0" w:space="0" w:color="auto"/>
        <w:right w:val="none" w:sz="0" w:space="0" w:color="auto"/>
      </w:divBdr>
      <w:divsChild>
        <w:div w:id="479923714">
          <w:marLeft w:val="0"/>
          <w:marRight w:val="0"/>
          <w:marTop w:val="0"/>
          <w:marBottom w:val="0"/>
          <w:divBdr>
            <w:top w:val="none" w:sz="0" w:space="0" w:color="auto"/>
            <w:left w:val="none" w:sz="0" w:space="0" w:color="auto"/>
            <w:bottom w:val="none" w:sz="0" w:space="0" w:color="auto"/>
            <w:right w:val="none" w:sz="0" w:space="0" w:color="auto"/>
          </w:divBdr>
          <w:divsChild>
            <w:div w:id="1110777215">
              <w:marLeft w:val="0"/>
              <w:marRight w:val="0"/>
              <w:marTop w:val="0"/>
              <w:marBottom w:val="0"/>
              <w:divBdr>
                <w:top w:val="single" w:sz="12" w:space="0" w:color="666666"/>
                <w:left w:val="single" w:sz="12" w:space="0" w:color="666666"/>
                <w:bottom w:val="single" w:sz="12" w:space="0" w:color="666666"/>
                <w:right w:val="single" w:sz="12" w:space="0" w:color="666666"/>
              </w:divBdr>
              <w:divsChild>
                <w:div w:id="824248646">
                  <w:marLeft w:val="0"/>
                  <w:marRight w:val="0"/>
                  <w:marTop w:val="0"/>
                  <w:marBottom w:val="0"/>
                  <w:divBdr>
                    <w:top w:val="none" w:sz="0" w:space="0" w:color="auto"/>
                    <w:left w:val="none" w:sz="0" w:space="0" w:color="auto"/>
                    <w:bottom w:val="none" w:sz="0" w:space="0" w:color="auto"/>
                    <w:right w:val="none" w:sz="0" w:space="0" w:color="auto"/>
                  </w:divBdr>
                  <w:divsChild>
                    <w:div w:id="308217107">
                      <w:marLeft w:val="0"/>
                      <w:marRight w:val="0"/>
                      <w:marTop w:val="0"/>
                      <w:marBottom w:val="0"/>
                      <w:divBdr>
                        <w:top w:val="none" w:sz="0" w:space="0" w:color="auto"/>
                        <w:left w:val="none" w:sz="0" w:space="0" w:color="auto"/>
                        <w:bottom w:val="none" w:sz="0" w:space="0" w:color="auto"/>
                        <w:right w:val="none" w:sz="0" w:space="0" w:color="auto"/>
                      </w:divBdr>
                      <w:divsChild>
                        <w:div w:id="3908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griddell@aabp.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simmons@beef.org" TargetMode="External"/><Relationship Id="rId17" Type="http://schemas.openxmlformats.org/officeDocument/2006/relationships/hyperlink" Target="http://www.aphis.usda.gov/nahms" TargetMode="External"/><Relationship Id="rId2" Type="http://schemas.openxmlformats.org/officeDocument/2006/relationships/customXml" Target="../customXml/item2.xml"/><Relationship Id="rId16" Type="http://schemas.openxmlformats.org/officeDocument/2006/relationships/hyperlink" Target="https://www.aphis.usda.gov/aphis/ourfocus/animalhealth/monitoring-andsurveillance/nahms/ct_national_animal_health_monitoring_system_nahms_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da.gov/AnimalVeterinary/DevelopmentApprovalProcess/ucm071807.htm" TargetMode="External"/><Relationship Id="rId5" Type="http://schemas.openxmlformats.org/officeDocument/2006/relationships/numbering" Target="numbering.xml"/><Relationship Id="rId15" Type="http://schemas.openxmlformats.org/officeDocument/2006/relationships/hyperlink" Target="mailto:john.davidson@boehringer-ingelheim.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portillodv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167853AF17D34FA8F78BF49E633F95" ma:contentTypeVersion="10" ma:contentTypeDescription="Create a new document." ma:contentTypeScope="" ma:versionID="8c6e302e017e7e02c75e64e7f9771621">
  <xsd:schema xmlns:xsd="http://www.w3.org/2001/XMLSchema" xmlns:xs="http://www.w3.org/2001/XMLSchema" xmlns:p="http://schemas.microsoft.com/office/2006/metadata/properties" targetNamespace="http://schemas.microsoft.com/office/2006/metadata/properties" ma:root="true" ma:fieldsID="c6929fa2afcbfdfb61ddf5a9584fd0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4C7CA-A308-495F-B727-F96103939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7D1FA6-B88A-4B26-8E7D-5F49211B41F7}">
  <ds:schemaRefs>
    <ds:schemaRef ds:uri="http://schemas.microsoft.com/sharepoint/v3/contenttype/forms"/>
  </ds:schemaRefs>
</ds:datastoreItem>
</file>

<file path=customXml/itemProps3.xml><?xml version="1.0" encoding="utf-8"?>
<ds:datastoreItem xmlns:ds="http://schemas.openxmlformats.org/officeDocument/2006/customXml" ds:itemID="{B20741A3-F40C-49DC-9B7A-CB629F67599F}">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7CBDB8A-E313-4304-A6B6-31F09AE37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3838</Words>
  <Characters>21878</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USDA APHIS VS CEAH</Company>
  <LinksUpToDate>false</LinksUpToDate>
  <CharactersWithSpaces>25665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cquatrano</dc:creator>
  <cp:lastModifiedBy>Hardy, Kimberly A - APHIS</cp:lastModifiedBy>
  <cp:revision>2</cp:revision>
  <cp:lastPrinted>2017-03-17T17:17:00Z</cp:lastPrinted>
  <dcterms:created xsi:type="dcterms:W3CDTF">2017-04-13T21:44:00Z</dcterms:created>
  <dcterms:modified xsi:type="dcterms:W3CDTF">2017-04-13T21:44:00Z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0x0101008A167853AF17D34FA8F78BF49E633F95</vt:lpwstr>
  </property>
</Properties>
</file>