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45303" w14:textId="77777777" w:rsidR="004E48D9" w:rsidRPr="005B4C2D" w:rsidRDefault="004E48D9" w:rsidP="004E48D9">
      <w:pPr>
        <w:pStyle w:val="DefaultText"/>
        <w:spacing w:line="360" w:lineRule="auto"/>
      </w:pPr>
      <w:bookmarkStart w:id="0" w:name="_Toc142106607"/>
      <w:r w:rsidRPr="005B4C2D">
        <w:rPr>
          <w:b/>
        </w:rPr>
        <w:t>B.  Collections of Information Employing Statistical Methods</w:t>
      </w:r>
      <w:bookmarkEnd w:id="0"/>
    </w:p>
    <w:p w14:paraId="4311500A" w14:textId="77777777" w:rsidR="004E48D9" w:rsidRDefault="004E48D9" w:rsidP="005B4C2D">
      <w:pPr>
        <w:pStyle w:val="Heading2"/>
        <w:numPr>
          <w:ilvl w:val="0"/>
          <w:numId w:val="6"/>
        </w:numPr>
        <w:tabs>
          <w:tab w:val="clear" w:pos="360"/>
          <w:tab w:val="num" w:pos="720"/>
        </w:tabs>
        <w:ind w:left="720" w:hanging="720"/>
        <w:rPr>
          <w:rFonts w:ascii="Times New Roman" w:hAnsi="Times New Roman" w:cs="Times New Roman"/>
          <w:i w:val="0"/>
          <w:sz w:val="24"/>
          <w:szCs w:val="24"/>
        </w:rPr>
      </w:pPr>
      <w:bookmarkStart w:id="1" w:name="_Toc120517344"/>
      <w:bookmarkStart w:id="2" w:name="_Toc121289103"/>
      <w:bookmarkStart w:id="3" w:name="_Toc133308572"/>
      <w:bookmarkStart w:id="4" w:name="_Toc142106608"/>
      <w:r w:rsidRPr="005B4C2D">
        <w:rPr>
          <w:rFonts w:ascii="Times New Roman" w:hAnsi="Times New Roman" w:cs="Times New Roman"/>
          <w:i w:val="0"/>
          <w:sz w:val="24"/>
          <w:szCs w:val="24"/>
        </w:rPr>
        <w:t xml:space="preserve">Describe the potential respondent universe and any sampling or other </w:t>
      </w:r>
      <w:r w:rsidR="005B4C2D">
        <w:rPr>
          <w:rFonts w:ascii="Times New Roman" w:hAnsi="Times New Roman" w:cs="Times New Roman"/>
          <w:i w:val="0"/>
          <w:sz w:val="24"/>
          <w:szCs w:val="24"/>
        </w:rPr>
        <w:t xml:space="preserve">       </w:t>
      </w:r>
      <w:r w:rsidRPr="005B4C2D">
        <w:rPr>
          <w:rFonts w:ascii="Times New Roman" w:hAnsi="Times New Roman" w:cs="Times New Roman"/>
          <w:i w:val="0"/>
          <w:sz w:val="24"/>
          <w:szCs w:val="24"/>
        </w:rPr>
        <w:t>respondent selection methods to be used</w:t>
      </w:r>
      <w:bookmarkEnd w:id="1"/>
      <w:bookmarkEnd w:id="2"/>
      <w:r w:rsidRPr="005B4C2D">
        <w:rPr>
          <w:rFonts w:ascii="Times New Roman" w:hAnsi="Times New Roman" w:cs="Times New Roman"/>
          <w:i w:val="0"/>
          <w:sz w:val="24"/>
          <w:szCs w:val="24"/>
        </w:rPr>
        <w:t>.</w:t>
      </w:r>
      <w:bookmarkEnd w:id="3"/>
      <w:bookmarkEnd w:id="4"/>
    </w:p>
    <w:p w14:paraId="0A386115" w14:textId="77777777" w:rsidR="00530401" w:rsidRPr="00530401" w:rsidRDefault="00530401" w:rsidP="00530401"/>
    <w:p w14:paraId="2FF1271D" w14:textId="77777777" w:rsidR="004E48D9" w:rsidRPr="00530401" w:rsidRDefault="00530401" w:rsidP="004E48D9">
      <w:pPr>
        <w:pStyle w:val="DefaultText"/>
        <w:rPr>
          <w:rStyle w:val="InitialStyle"/>
          <w:b/>
          <w:u w:val="single"/>
        </w:rPr>
      </w:pPr>
      <w:r w:rsidRPr="00530401">
        <w:rPr>
          <w:rStyle w:val="InitialStyle"/>
          <w:b/>
          <w:u w:val="single"/>
        </w:rPr>
        <w:t>Cattle-on-Feed Antimicrobial Use</w:t>
      </w:r>
    </w:p>
    <w:p w14:paraId="51765E1F" w14:textId="77777777" w:rsidR="009A2CA9" w:rsidRDefault="009A2CA9" w:rsidP="009A2CA9">
      <w:pPr>
        <w:pStyle w:val="DefaultText"/>
        <w:rPr>
          <w:rStyle w:val="InitialStyle"/>
        </w:rPr>
      </w:pPr>
      <w:r w:rsidRPr="005B4C2D">
        <w:rPr>
          <w:rStyle w:val="InitialStyle"/>
        </w:rPr>
        <w:t xml:space="preserve">The </w:t>
      </w:r>
      <w:r>
        <w:rPr>
          <w:rStyle w:val="InitialStyle"/>
        </w:rPr>
        <w:t>Cattle-on-Feed Antimicrobial Use S</w:t>
      </w:r>
      <w:r w:rsidRPr="005B4C2D">
        <w:rPr>
          <w:rStyle w:val="InitialStyle"/>
        </w:rPr>
        <w:t>tu</w:t>
      </w:r>
      <w:bookmarkStart w:id="5" w:name="_GoBack"/>
      <w:bookmarkEnd w:id="5"/>
      <w:r w:rsidRPr="005B4C2D">
        <w:rPr>
          <w:rStyle w:val="InitialStyle"/>
        </w:rPr>
        <w:t xml:space="preserve">dy </w:t>
      </w:r>
      <w:r>
        <w:rPr>
          <w:rStyle w:val="InitialStyle"/>
        </w:rPr>
        <w:t xml:space="preserve">has two components:  A high capacity component and a low capacity component.  The </w:t>
      </w:r>
      <w:r w:rsidRPr="005B4C2D">
        <w:rPr>
          <w:rStyle w:val="InitialStyle"/>
        </w:rPr>
        <w:t xml:space="preserve">potential respondent universe </w:t>
      </w:r>
      <w:r>
        <w:rPr>
          <w:rStyle w:val="InitialStyle"/>
        </w:rPr>
        <w:t>for the high capacity component is feedlot</w:t>
      </w:r>
      <w:r w:rsidRPr="005B4C2D">
        <w:rPr>
          <w:rStyle w:val="InitialStyle"/>
        </w:rPr>
        <w:t xml:space="preserve"> </w:t>
      </w:r>
      <w:r>
        <w:rPr>
          <w:rStyle w:val="InitialStyle"/>
        </w:rPr>
        <w:t>operations with 1,000 or more cattle-on-feed capacity in 16 states</w:t>
      </w:r>
      <w:r>
        <w:rPr>
          <w:rStyle w:val="FootnoteReference"/>
        </w:rPr>
        <w:footnoteReference w:id="1"/>
      </w:r>
      <w:r>
        <w:rPr>
          <w:rStyle w:val="InitialStyle"/>
        </w:rPr>
        <w:t>.  For the low capacity component, the potential respondent universe is feedlot operations with 50-999 head capacity in 13 states.</w:t>
      </w:r>
      <w:r w:rsidRPr="00EB34B1">
        <w:rPr>
          <w:rStyle w:val="InitialStyle"/>
          <w:vertAlign w:val="superscript"/>
        </w:rPr>
        <w:t>2</w:t>
      </w:r>
      <w:r>
        <w:rPr>
          <w:rStyle w:val="InitialStyle"/>
        </w:rPr>
        <w:t xml:space="preserve">  </w:t>
      </w:r>
    </w:p>
    <w:p w14:paraId="4505BC41" w14:textId="77777777" w:rsidR="009A2CA9" w:rsidRDefault="009A2CA9" w:rsidP="009A2CA9">
      <w:pPr>
        <w:pStyle w:val="DefaultText"/>
        <w:rPr>
          <w:rStyle w:val="InitialStyle"/>
        </w:rPr>
      </w:pPr>
    </w:p>
    <w:p w14:paraId="0813E029" w14:textId="77777777" w:rsidR="009A2CA9" w:rsidRDefault="009A2CA9" w:rsidP="009A2CA9">
      <w:pPr>
        <w:pStyle w:val="DefaultText"/>
        <w:rPr>
          <w:rStyle w:val="InitialStyle"/>
        </w:rPr>
      </w:pPr>
      <w:r>
        <w:rPr>
          <w:rStyle w:val="InitialStyle"/>
        </w:rPr>
        <w:t xml:space="preserve">Feedlot operations with 1,000 or more head capacity account for approximately 80 percent of all cattle-on-feed in the U.S. (NASS Cattle on Feed, Feb 2016). The 16 States for the high capacity component were chosen because they account for over 97 percent of the cattle-on-feed on operations with 1,000 or more head, and 92 percent of operations with 1,000 or more head capacity (2012 Census of Agriculture).  </w:t>
      </w:r>
    </w:p>
    <w:p w14:paraId="7D8B3080" w14:textId="77777777" w:rsidR="009A2CA9" w:rsidRDefault="009A2CA9" w:rsidP="009A2CA9">
      <w:pPr>
        <w:pStyle w:val="DefaultText"/>
        <w:rPr>
          <w:rStyle w:val="InitialStyle"/>
        </w:rPr>
      </w:pPr>
    </w:p>
    <w:p w14:paraId="5FD093C3" w14:textId="77777777" w:rsidR="009A2CA9" w:rsidRDefault="009A2CA9" w:rsidP="009A2CA9">
      <w:pPr>
        <w:pStyle w:val="DefaultText"/>
        <w:rPr>
          <w:rStyle w:val="InitialStyle"/>
        </w:rPr>
      </w:pPr>
      <w:r>
        <w:rPr>
          <w:rStyle w:val="InitialStyle"/>
        </w:rPr>
        <w:t xml:space="preserve">Although large feedlots account for 80 percent of U.S. cattle-on-feed, the Study includes a low capacity component because low capacity feedlots may have different management practices than large feedlots.  The 13 states for the low capacity component account for 92 percent of the inventory on operations with 50-999 head and 91 percent of operations with 50-999 head.  </w:t>
      </w:r>
    </w:p>
    <w:p w14:paraId="5FC18404" w14:textId="77777777" w:rsidR="009A2CA9" w:rsidRDefault="009A2CA9" w:rsidP="009A2CA9">
      <w:pPr>
        <w:pStyle w:val="DefaultText"/>
        <w:rPr>
          <w:rStyle w:val="InitialStyle"/>
        </w:rPr>
      </w:pPr>
    </w:p>
    <w:p w14:paraId="1DF2880A" w14:textId="77777777" w:rsidR="009A2CA9" w:rsidRDefault="00AB3BCF" w:rsidP="009A2CA9">
      <w:pPr>
        <w:pStyle w:val="DefaultText"/>
        <w:rPr>
          <w:rStyle w:val="InitialStyle"/>
        </w:rPr>
      </w:pPr>
      <w:r>
        <w:rPr>
          <w:rStyle w:val="InitialStyle"/>
        </w:rPr>
        <w:t>Due to the expected response rates, desired levels of precision, and importance of</w:t>
      </w:r>
      <w:r w:rsidR="004D2FFF">
        <w:rPr>
          <w:rStyle w:val="InitialStyle"/>
        </w:rPr>
        <w:t xml:space="preserve"> obtaining data from large operations, </w:t>
      </w:r>
      <w:r>
        <w:rPr>
          <w:rStyle w:val="InitialStyle"/>
        </w:rPr>
        <w:t>a</w:t>
      </w:r>
      <w:r w:rsidR="009A2CA9">
        <w:rPr>
          <w:rStyle w:val="InitialStyle"/>
        </w:rPr>
        <w:t>ll operations with 1,000 or more head capacity in the 16 States on NASS’ list frame will be selected to be in the survey.  Thus, there is no sampling for the high capacity component of the Study.  About 2,200 feedlots meet these criteria (NASS Cattle on Feed, Feb 2016).</w:t>
      </w:r>
    </w:p>
    <w:p w14:paraId="7C59A166" w14:textId="77777777" w:rsidR="009A2CA9" w:rsidRDefault="009A2CA9" w:rsidP="009A2CA9">
      <w:pPr>
        <w:pStyle w:val="DefaultText"/>
        <w:rPr>
          <w:rStyle w:val="InitialStyle"/>
        </w:rPr>
      </w:pPr>
    </w:p>
    <w:p w14:paraId="1591C7FC" w14:textId="77777777" w:rsidR="00ED00F1" w:rsidRDefault="009A2CA9" w:rsidP="004E48D9">
      <w:pPr>
        <w:pStyle w:val="DefaultText"/>
        <w:rPr>
          <w:rStyle w:val="InitialStyle"/>
        </w:rPr>
      </w:pPr>
      <w:r>
        <w:rPr>
          <w:rStyle w:val="InitialStyle"/>
        </w:rPr>
        <w:t xml:space="preserve">For the low capacity component, a sample of about 2,600 operations will be selected from an estimated population of about 13,000 operations with 50-999 head capacity in the 13 states (NASS, 2012 Census of Agriculture). </w:t>
      </w:r>
      <w:r w:rsidR="00ED00F1">
        <w:rPr>
          <w:rStyle w:val="InitialStyle"/>
        </w:rPr>
        <w:t xml:space="preserve"> </w:t>
      </w:r>
    </w:p>
    <w:p w14:paraId="14B1C0D4" w14:textId="77777777" w:rsidR="00530401" w:rsidRDefault="00530401" w:rsidP="004E48D9">
      <w:pPr>
        <w:pStyle w:val="DefaultText"/>
        <w:rPr>
          <w:rStyle w:val="InitialStyle"/>
        </w:rPr>
      </w:pPr>
    </w:p>
    <w:p w14:paraId="023F33ED"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4DB7B355" w14:textId="2718C6AC" w:rsidR="00530401" w:rsidRDefault="009A2CA9" w:rsidP="00530401">
      <w:pPr>
        <w:pStyle w:val="DefaultText"/>
        <w:rPr>
          <w:rStyle w:val="InitialStyle"/>
        </w:rPr>
      </w:pPr>
      <w:r w:rsidRPr="005B4C2D">
        <w:rPr>
          <w:rStyle w:val="InitialStyle"/>
        </w:rPr>
        <w:t xml:space="preserve">The potential respondent universe of </w:t>
      </w:r>
      <w:r>
        <w:rPr>
          <w:rStyle w:val="InitialStyle"/>
        </w:rPr>
        <w:t>the Swine Antimicrobial (AM) Use S</w:t>
      </w:r>
      <w:r w:rsidRPr="005B4C2D">
        <w:rPr>
          <w:rStyle w:val="InitialStyle"/>
        </w:rPr>
        <w:t xml:space="preserve">tudy is </w:t>
      </w:r>
      <w:r>
        <w:rPr>
          <w:rStyle w:val="InitialStyle"/>
        </w:rPr>
        <w:t>sites in 13 states</w:t>
      </w:r>
      <w:r>
        <w:rPr>
          <w:rStyle w:val="FootnoteReference"/>
        </w:rPr>
        <w:footnoteReference w:id="2"/>
      </w:r>
      <w:r>
        <w:rPr>
          <w:rStyle w:val="InitialStyle"/>
        </w:rPr>
        <w:t xml:space="preserve"> with 1,000 or more nursery pigs or grower-finisher pigs.  The 13 states were chosen because they account for 93.8% of all operations with 1,000 or more pigs in the US, and 92.1% of inventory on operations with 1,000 or more pigs (NASS 2012 Census of </w:t>
      </w:r>
      <w:r>
        <w:rPr>
          <w:rStyle w:val="InitialStyle"/>
        </w:rPr>
        <w:lastRenderedPageBreak/>
        <w:t xml:space="preserve">Agriculture, Appendix </w:t>
      </w:r>
      <w:r w:rsidR="00AF3973">
        <w:rPr>
          <w:rStyle w:val="InitialStyle"/>
        </w:rPr>
        <w:t>C</w:t>
      </w:r>
      <w:r>
        <w:rPr>
          <w:rStyle w:val="InitialStyle"/>
        </w:rPr>
        <w:t>)</w:t>
      </w:r>
      <w:r w:rsidRPr="005B4C2D">
        <w:rPr>
          <w:rStyle w:val="InitialStyle"/>
        </w:rPr>
        <w:t xml:space="preserve">.  </w:t>
      </w:r>
      <w:r>
        <w:rPr>
          <w:rStyle w:val="InitialStyle"/>
        </w:rPr>
        <w:t xml:space="preserve">This survey is limited to operations with 1,000 or more pigs because these operations in the 13 states account for 88.2% of total US pig inventory.  Only operations with nursery pigs or grower-finisher pigs are eligible because the vast majority of antimicrobial usage is in these types of pigs. </w:t>
      </w:r>
      <w:r w:rsidR="007575DB">
        <w:rPr>
          <w:rStyle w:val="InitialStyle"/>
        </w:rPr>
        <w:t>Operations</w:t>
      </w:r>
      <w:r w:rsidR="00530401">
        <w:rPr>
          <w:rStyle w:val="InitialStyle"/>
        </w:rPr>
        <w:t xml:space="preserve"> with nursery pigs or grower-finisher pigs are eligible because the vast majority of antimicrobial usage is in these types of pigs.  </w:t>
      </w:r>
    </w:p>
    <w:p w14:paraId="1B67B27A" w14:textId="77777777" w:rsidR="00530401" w:rsidRDefault="00530401" w:rsidP="004E48D9">
      <w:pPr>
        <w:pStyle w:val="DefaultText"/>
        <w:rPr>
          <w:rStyle w:val="InitialStyle"/>
        </w:rPr>
      </w:pPr>
    </w:p>
    <w:p w14:paraId="7436C0B1" w14:textId="77777777" w:rsidR="00B136AD" w:rsidRPr="005B4C2D" w:rsidRDefault="00B136AD" w:rsidP="004E48D9">
      <w:pPr>
        <w:pStyle w:val="DefaultText"/>
        <w:rPr>
          <w:rStyle w:val="InitialStyle"/>
        </w:rPr>
      </w:pPr>
      <w:bookmarkStart w:id="6" w:name="_Toc120517345"/>
      <w:bookmarkStart w:id="7" w:name="_Toc121289104"/>
      <w:bookmarkStart w:id="8" w:name="_Toc133308573"/>
      <w:bookmarkStart w:id="9" w:name="_Toc142106609"/>
    </w:p>
    <w:p w14:paraId="738B465A" w14:textId="77777777" w:rsidR="004E48D9" w:rsidRPr="005B4C2D" w:rsidRDefault="004E48D9" w:rsidP="005B4C2D">
      <w:pPr>
        <w:pStyle w:val="DefaultText"/>
        <w:ind w:left="720" w:hanging="720"/>
        <w:rPr>
          <w:rStyle w:val="InitialStyle"/>
          <w:b/>
        </w:rPr>
      </w:pPr>
      <w:r w:rsidRPr="005B4C2D">
        <w:rPr>
          <w:rStyle w:val="InitialStyle"/>
          <w:b/>
        </w:rPr>
        <w:t xml:space="preserve">2. </w:t>
      </w:r>
      <w:r w:rsidR="005B4C2D">
        <w:rPr>
          <w:rStyle w:val="InitialStyle"/>
          <w:b/>
        </w:rPr>
        <w:tab/>
      </w:r>
      <w:r w:rsidRPr="005B4C2D">
        <w:rPr>
          <w:rStyle w:val="InitialStyle"/>
          <w:b/>
        </w:rPr>
        <w:t>Describe the procedures for the collection of information including:</w:t>
      </w:r>
      <w:bookmarkEnd w:id="6"/>
      <w:bookmarkEnd w:id="7"/>
      <w:bookmarkEnd w:id="8"/>
      <w:bookmarkEnd w:id="9"/>
    </w:p>
    <w:p w14:paraId="4116D4DE" w14:textId="77777777" w:rsidR="00530401" w:rsidRDefault="00530401" w:rsidP="00530401">
      <w:pPr>
        <w:pStyle w:val="DefaultText"/>
        <w:rPr>
          <w:rStyle w:val="InitialStyle"/>
          <w:b/>
          <w:u w:val="single"/>
        </w:rPr>
      </w:pPr>
    </w:p>
    <w:p w14:paraId="23F13153" w14:textId="77777777" w:rsidR="00530401" w:rsidRPr="00530401" w:rsidRDefault="00530401" w:rsidP="00530401">
      <w:pPr>
        <w:pStyle w:val="DefaultText"/>
        <w:rPr>
          <w:rStyle w:val="InitialStyle"/>
          <w:b/>
          <w:u w:val="single"/>
        </w:rPr>
      </w:pPr>
      <w:r w:rsidRPr="00530401">
        <w:rPr>
          <w:rStyle w:val="InitialStyle"/>
          <w:b/>
          <w:u w:val="single"/>
        </w:rPr>
        <w:t>Cattle-on-Feed Antimicrobial Use</w:t>
      </w:r>
    </w:p>
    <w:p w14:paraId="76FE0D79" w14:textId="77777777" w:rsidR="004E48D9" w:rsidRPr="005B4C2D" w:rsidRDefault="004E48D9" w:rsidP="004E48D9">
      <w:pPr>
        <w:pStyle w:val="DefaultText"/>
        <w:rPr>
          <w:rStyle w:val="InitialStyle"/>
          <w:b/>
          <w:u w:val="single"/>
        </w:rPr>
      </w:pPr>
    </w:p>
    <w:p w14:paraId="0B57D060" w14:textId="77777777" w:rsidR="009A2CA9" w:rsidRPr="005B4C2D" w:rsidRDefault="009A2CA9" w:rsidP="009A2CA9">
      <w:pPr>
        <w:pStyle w:val="Heading3"/>
        <w:numPr>
          <w:ilvl w:val="0"/>
          <w:numId w:val="1"/>
        </w:numPr>
        <w:rPr>
          <w:rFonts w:ascii="Times New Roman" w:hAnsi="Times New Roman" w:cs="Times New Roman"/>
          <w:sz w:val="24"/>
          <w:szCs w:val="24"/>
        </w:rPr>
      </w:pPr>
      <w:bookmarkStart w:id="10" w:name="_Toc120517346"/>
      <w:bookmarkStart w:id="11" w:name="_Toc121289105"/>
      <w:bookmarkStart w:id="12" w:name="_Toc133308574"/>
      <w:bookmarkStart w:id="13" w:name="_Toc142106610"/>
      <w:r w:rsidRPr="005B4C2D">
        <w:rPr>
          <w:rFonts w:ascii="Times New Roman" w:hAnsi="Times New Roman" w:cs="Times New Roman"/>
          <w:b w:val="0"/>
          <w:sz w:val="24"/>
          <w:szCs w:val="24"/>
          <w:u w:val="single"/>
        </w:rPr>
        <w:t>Statistical methodology for stratification and sample selection</w:t>
      </w:r>
      <w:r w:rsidRPr="005B4C2D">
        <w:rPr>
          <w:rFonts w:ascii="Times New Roman" w:hAnsi="Times New Roman" w:cs="Times New Roman"/>
          <w:sz w:val="24"/>
          <w:szCs w:val="24"/>
        </w:rPr>
        <w:t>:</w:t>
      </w:r>
      <w:bookmarkEnd w:id="10"/>
      <w:bookmarkEnd w:id="11"/>
      <w:bookmarkEnd w:id="12"/>
      <w:bookmarkEnd w:id="13"/>
    </w:p>
    <w:p w14:paraId="42E19844" w14:textId="77777777" w:rsidR="009A2CA9" w:rsidRPr="005B4C2D" w:rsidRDefault="009A2CA9" w:rsidP="009A2CA9">
      <w:pPr>
        <w:pStyle w:val="DefaultText"/>
        <w:rPr>
          <w:rStyle w:val="InitialStyle"/>
        </w:rPr>
      </w:pPr>
    </w:p>
    <w:p w14:paraId="639B34AE" w14:textId="77777777" w:rsidR="009A2CA9" w:rsidRDefault="009A2CA9" w:rsidP="009A2CA9">
      <w:pPr>
        <w:pStyle w:val="DefaultText"/>
        <w:rPr>
          <w:rStyle w:val="InitialStyle"/>
        </w:rPr>
      </w:pPr>
      <w:r>
        <w:rPr>
          <w:rStyle w:val="InitialStyle"/>
        </w:rPr>
        <w:t>For the high capacity component of the Study, there is no sample selection because all of the approximately 2,200 feedlot operations with 1,000 or more head capacity in the 16 States will be included in the survey (NASS unpublished).</w:t>
      </w:r>
    </w:p>
    <w:p w14:paraId="5440D818" w14:textId="77777777" w:rsidR="009A2CA9" w:rsidRDefault="009A2CA9" w:rsidP="009A2CA9">
      <w:pPr>
        <w:pStyle w:val="DefaultText"/>
        <w:rPr>
          <w:rStyle w:val="InitialStyle"/>
        </w:rPr>
      </w:pPr>
      <w:r>
        <w:rPr>
          <w:rStyle w:val="InitialStyle"/>
        </w:rPr>
        <w:t xml:space="preserve"> </w:t>
      </w:r>
    </w:p>
    <w:p w14:paraId="56AEE53D" w14:textId="77777777" w:rsidR="009A2CA9" w:rsidRDefault="009A2CA9" w:rsidP="009A2CA9">
      <w:pPr>
        <w:pStyle w:val="DefaultText"/>
        <w:rPr>
          <w:rStyle w:val="InitialStyle"/>
        </w:rPr>
      </w:pPr>
      <w:r>
        <w:rPr>
          <w:rStyle w:val="InitialStyle"/>
        </w:rPr>
        <w:t>For the low capacity component, eligible operations with 50-999 cattle-on-feed capacity in the 13 States from NASS’ List Frame will be stratified by State and by size (50-199, 200-999).  The total sample will be allocated to strata based on a weighted average of inventory and number of operations in each stratum.  Within each stratum, a simple random sample will be chosen.</w:t>
      </w:r>
    </w:p>
    <w:p w14:paraId="0E9D2ACE" w14:textId="77777777" w:rsidR="009A2CA9" w:rsidRPr="005B4C2D" w:rsidRDefault="009A2CA9" w:rsidP="009A2CA9">
      <w:pPr>
        <w:pStyle w:val="Heading3"/>
        <w:numPr>
          <w:ilvl w:val="0"/>
          <w:numId w:val="2"/>
        </w:numPr>
        <w:tabs>
          <w:tab w:val="left" w:pos="6660"/>
        </w:tabs>
        <w:rPr>
          <w:rFonts w:ascii="Times New Roman" w:hAnsi="Times New Roman" w:cs="Times New Roman"/>
          <w:sz w:val="24"/>
          <w:szCs w:val="24"/>
        </w:rPr>
      </w:pPr>
      <w:bookmarkStart w:id="14" w:name="_Toc120517347"/>
      <w:bookmarkStart w:id="15" w:name="_Toc121289106"/>
      <w:bookmarkStart w:id="16" w:name="_Toc133308575"/>
      <w:bookmarkStart w:id="17" w:name="_Toc142106611"/>
      <w:r w:rsidRPr="005B4C2D">
        <w:rPr>
          <w:rFonts w:ascii="Times New Roman" w:hAnsi="Times New Roman" w:cs="Times New Roman"/>
          <w:b w:val="0"/>
          <w:sz w:val="24"/>
          <w:szCs w:val="24"/>
          <w:u w:val="single"/>
        </w:rPr>
        <w:t>Estimation procedure</w:t>
      </w:r>
      <w:r w:rsidRPr="005B4C2D">
        <w:rPr>
          <w:rFonts w:ascii="Times New Roman" w:hAnsi="Times New Roman" w:cs="Times New Roman"/>
          <w:sz w:val="24"/>
          <w:szCs w:val="24"/>
        </w:rPr>
        <w:t>:</w:t>
      </w:r>
      <w:bookmarkEnd w:id="14"/>
      <w:bookmarkEnd w:id="15"/>
      <w:bookmarkEnd w:id="16"/>
      <w:bookmarkEnd w:id="17"/>
    </w:p>
    <w:p w14:paraId="3E7FEBEA" w14:textId="77777777" w:rsidR="009A2CA9" w:rsidRPr="005B4C2D" w:rsidRDefault="009A2CA9" w:rsidP="009A2CA9">
      <w:pPr>
        <w:pStyle w:val="DefaultText"/>
      </w:pPr>
    </w:p>
    <w:p w14:paraId="4C8A49FF" w14:textId="77777777" w:rsidR="009A2CA9" w:rsidRPr="005B4C2D" w:rsidRDefault="009A2CA9" w:rsidP="009A2CA9">
      <w:pPr>
        <w:pStyle w:val="DefaultText"/>
      </w:pPr>
      <w:r w:rsidRPr="005B4C2D">
        <w:t xml:space="preserve">The statistical estimation will be </w:t>
      </w:r>
      <w:r>
        <w:t>done</w:t>
      </w:r>
      <w:r w:rsidRPr="005B4C2D">
        <w:t xml:space="preserve"> using either SAS survey procedures or SUDAAN.  Both software packages use a Taylor series expansion to estimate variances</w:t>
      </w:r>
      <w:r>
        <w:t xml:space="preserve"> appropriate to the survey design</w:t>
      </w:r>
      <w:r w:rsidRPr="005B4C2D">
        <w:t>.</w:t>
      </w:r>
    </w:p>
    <w:p w14:paraId="70459B3E" w14:textId="77777777" w:rsidR="009A2CA9" w:rsidRPr="005B4C2D" w:rsidRDefault="009A2CA9" w:rsidP="009A2CA9">
      <w:pPr>
        <w:pStyle w:val="DefaultText"/>
        <w:rPr>
          <w:rStyle w:val="InitialStyle"/>
        </w:rPr>
      </w:pPr>
    </w:p>
    <w:p w14:paraId="39619109" w14:textId="77777777" w:rsidR="009A2CA9" w:rsidRPr="005B4C2D" w:rsidRDefault="009A2CA9" w:rsidP="009A2CA9">
      <w:pPr>
        <w:pStyle w:val="Heading3"/>
        <w:numPr>
          <w:ilvl w:val="0"/>
          <w:numId w:val="2"/>
        </w:numPr>
        <w:rPr>
          <w:rStyle w:val="InitialStyle"/>
          <w:rFonts w:ascii="Times New Roman" w:hAnsi="Times New Roman" w:cs="Times New Roman"/>
          <w:sz w:val="24"/>
          <w:szCs w:val="24"/>
        </w:rPr>
      </w:pPr>
      <w:bookmarkStart w:id="18" w:name="_Toc120517349"/>
      <w:bookmarkStart w:id="19" w:name="_Toc121289108"/>
      <w:bookmarkStart w:id="20" w:name="_Toc133308576"/>
      <w:bookmarkStart w:id="21" w:name="_Toc142106612"/>
      <w:r w:rsidRPr="005B4C2D">
        <w:rPr>
          <w:rStyle w:val="InitialStyle"/>
          <w:rFonts w:ascii="Times New Roman" w:hAnsi="Times New Roman" w:cs="Times New Roman"/>
          <w:b w:val="0"/>
          <w:sz w:val="24"/>
          <w:szCs w:val="24"/>
          <w:u w:val="single"/>
        </w:rPr>
        <w:t xml:space="preserve">Degree of </w:t>
      </w:r>
      <w:r>
        <w:rPr>
          <w:rStyle w:val="InitialStyle"/>
          <w:rFonts w:ascii="Times New Roman" w:hAnsi="Times New Roman" w:cs="Times New Roman"/>
          <w:b w:val="0"/>
          <w:sz w:val="24"/>
          <w:szCs w:val="24"/>
          <w:u w:val="single"/>
        </w:rPr>
        <w:t>precision</w:t>
      </w:r>
      <w:r w:rsidRPr="005B4C2D">
        <w:rPr>
          <w:rStyle w:val="InitialStyle"/>
          <w:rFonts w:ascii="Times New Roman" w:hAnsi="Times New Roman" w:cs="Times New Roman"/>
          <w:b w:val="0"/>
          <w:sz w:val="24"/>
          <w:szCs w:val="24"/>
          <w:u w:val="single"/>
        </w:rPr>
        <w:t xml:space="preserve"> needed for the purpose described in the justification</w:t>
      </w:r>
      <w:r w:rsidRPr="005B4C2D">
        <w:rPr>
          <w:rStyle w:val="InitialStyle"/>
          <w:rFonts w:ascii="Times New Roman" w:hAnsi="Times New Roman" w:cs="Times New Roman"/>
          <w:sz w:val="24"/>
          <w:szCs w:val="24"/>
        </w:rPr>
        <w:t>:</w:t>
      </w:r>
      <w:bookmarkEnd w:id="18"/>
      <w:bookmarkEnd w:id="19"/>
      <w:bookmarkEnd w:id="20"/>
      <w:bookmarkEnd w:id="21"/>
    </w:p>
    <w:p w14:paraId="6F05D551" w14:textId="77777777" w:rsidR="009A2CA9" w:rsidRDefault="009A2CA9" w:rsidP="009A2CA9">
      <w:pPr>
        <w:rPr>
          <w:rStyle w:val="InitialStyle"/>
        </w:rPr>
      </w:pPr>
      <w:bookmarkStart w:id="22" w:name="_Toc142106613"/>
      <w:bookmarkStart w:id="23" w:name="_Toc133308578"/>
    </w:p>
    <w:p w14:paraId="4DD57677" w14:textId="77777777" w:rsidR="009A2CA9" w:rsidRDefault="009A2CA9" w:rsidP="009A2CA9">
      <w:pPr>
        <w:rPr>
          <w:rStyle w:val="InitialStyle"/>
        </w:rPr>
      </w:pPr>
      <w:r w:rsidRPr="005B4C2D">
        <w:rPr>
          <w:rStyle w:val="InitialStyle"/>
        </w:rPr>
        <w:t>The overall NAH</w:t>
      </w:r>
      <w:r>
        <w:rPr>
          <w:rStyle w:val="InitialStyle"/>
        </w:rPr>
        <w:t>M</w:t>
      </w:r>
      <w:r w:rsidRPr="005B4C2D">
        <w:rPr>
          <w:rStyle w:val="InitialStyle"/>
        </w:rPr>
        <w:t xml:space="preserve">S program goal is to develop descriptive statistics with a coefficient of variation </w:t>
      </w:r>
      <w:r>
        <w:rPr>
          <w:rStyle w:val="InitialStyle"/>
        </w:rPr>
        <w:t xml:space="preserve">(CV) </w:t>
      </w:r>
      <w:r w:rsidRPr="005B4C2D">
        <w:rPr>
          <w:rStyle w:val="InitialStyle"/>
        </w:rPr>
        <w:t>less than 20 percent.</w:t>
      </w:r>
      <w:r>
        <w:rPr>
          <w:rStyle w:val="InitialStyle"/>
        </w:rPr>
        <w:t xml:space="preserve">  Appendix A shows estimates of precision based on the sample sizes, by size category and nationally.  Most of the estimated CVs and confidence intervals are within the desired range.</w:t>
      </w:r>
    </w:p>
    <w:p w14:paraId="112E9EC1" w14:textId="77777777" w:rsidR="009A2CA9" w:rsidRDefault="009A2CA9" w:rsidP="009A2CA9">
      <w:pPr>
        <w:pStyle w:val="DefaultText"/>
        <w:rPr>
          <w:rStyle w:val="InitialStyle"/>
        </w:rPr>
      </w:pPr>
    </w:p>
    <w:bookmarkEnd w:id="22"/>
    <w:p w14:paraId="448D1EB1" w14:textId="77777777" w:rsidR="009A2CA9" w:rsidRPr="009A6001" w:rsidRDefault="009A2CA9" w:rsidP="009A2CA9"/>
    <w:p w14:paraId="74DF3833" w14:textId="77777777" w:rsidR="009A2CA9" w:rsidRPr="005B4C2D" w:rsidRDefault="009A2CA9" w:rsidP="009A2CA9">
      <w:pPr>
        <w:numPr>
          <w:ilvl w:val="0"/>
          <w:numId w:val="20"/>
        </w:numPr>
      </w:pPr>
      <w:r w:rsidRPr="005B4C2D">
        <w:rPr>
          <w:u w:val="single"/>
        </w:rPr>
        <w:t>Unusual problems requiring specialized sampling procedures and data collection cycles</w:t>
      </w:r>
      <w:r w:rsidRPr="005B4C2D">
        <w:t>:</w:t>
      </w:r>
    </w:p>
    <w:bookmarkEnd w:id="23"/>
    <w:p w14:paraId="327BFCCE" w14:textId="77777777" w:rsidR="009A2CA9" w:rsidRPr="005B4C2D" w:rsidRDefault="009A2CA9" w:rsidP="009A2CA9">
      <w:pPr>
        <w:pStyle w:val="DefaultText"/>
        <w:rPr>
          <w:rStyle w:val="InitialStyle"/>
        </w:rPr>
      </w:pPr>
    </w:p>
    <w:p w14:paraId="599E437A" w14:textId="77777777" w:rsidR="009A2CA9" w:rsidRPr="005B4C2D" w:rsidRDefault="009A2CA9" w:rsidP="009A2CA9">
      <w:pPr>
        <w:pStyle w:val="DefaultText"/>
        <w:rPr>
          <w:rStyle w:val="InitialStyle"/>
        </w:rPr>
      </w:pPr>
      <w:r w:rsidRPr="005B4C2D">
        <w:rPr>
          <w:rStyle w:val="InitialStyle"/>
        </w:rPr>
        <w:t>There are no unusual problems requiring specialized sampling procedures and data collection cycles.</w:t>
      </w:r>
    </w:p>
    <w:p w14:paraId="278F7497" w14:textId="77777777" w:rsidR="004E48D9" w:rsidRDefault="004E48D9" w:rsidP="004E48D9">
      <w:pPr>
        <w:pStyle w:val="DefaultText"/>
        <w:rPr>
          <w:rStyle w:val="InitialStyle"/>
        </w:rPr>
      </w:pPr>
    </w:p>
    <w:p w14:paraId="45789375"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3DBDB7BC" w14:textId="77777777" w:rsidR="009A2CA9" w:rsidRPr="005B4C2D" w:rsidRDefault="009A2CA9" w:rsidP="009A2CA9">
      <w:pPr>
        <w:pStyle w:val="Heading3"/>
        <w:numPr>
          <w:ilvl w:val="0"/>
          <w:numId w:val="1"/>
        </w:numPr>
        <w:rPr>
          <w:rFonts w:ascii="Times New Roman" w:hAnsi="Times New Roman" w:cs="Times New Roman"/>
          <w:sz w:val="24"/>
          <w:szCs w:val="24"/>
        </w:rPr>
      </w:pPr>
      <w:r w:rsidRPr="005B4C2D">
        <w:rPr>
          <w:rFonts w:ascii="Times New Roman" w:hAnsi="Times New Roman" w:cs="Times New Roman"/>
          <w:b w:val="0"/>
          <w:sz w:val="24"/>
          <w:szCs w:val="24"/>
          <w:u w:val="single"/>
        </w:rPr>
        <w:lastRenderedPageBreak/>
        <w:t>Statistical methodology for stratification and sample selection</w:t>
      </w:r>
      <w:r w:rsidRPr="005B4C2D">
        <w:rPr>
          <w:rFonts w:ascii="Times New Roman" w:hAnsi="Times New Roman" w:cs="Times New Roman"/>
          <w:sz w:val="24"/>
          <w:szCs w:val="24"/>
        </w:rPr>
        <w:t>:</w:t>
      </w:r>
    </w:p>
    <w:p w14:paraId="323E8509" w14:textId="77777777" w:rsidR="009A2CA9" w:rsidRPr="005B4C2D" w:rsidRDefault="009A2CA9" w:rsidP="009A2CA9">
      <w:pPr>
        <w:pStyle w:val="DefaultText"/>
        <w:rPr>
          <w:rStyle w:val="InitialStyle"/>
        </w:rPr>
      </w:pPr>
    </w:p>
    <w:p w14:paraId="238266AA" w14:textId="77777777" w:rsidR="009A2CA9" w:rsidRDefault="009A2CA9" w:rsidP="009A2CA9">
      <w:pPr>
        <w:pStyle w:val="DefaultText"/>
        <w:rPr>
          <w:rStyle w:val="InitialStyle"/>
        </w:rPr>
      </w:pPr>
      <w:r w:rsidRPr="005B4C2D">
        <w:rPr>
          <w:rStyle w:val="InitialStyle"/>
        </w:rPr>
        <w:t xml:space="preserve">A total of </w:t>
      </w:r>
      <w:r>
        <w:rPr>
          <w:rStyle w:val="InitialStyle"/>
        </w:rPr>
        <w:t>3,000</w:t>
      </w:r>
      <w:r w:rsidRPr="005B4C2D">
        <w:rPr>
          <w:rStyle w:val="InitialStyle"/>
        </w:rPr>
        <w:t xml:space="preserve"> operations with </w:t>
      </w:r>
      <w:r>
        <w:rPr>
          <w:rStyle w:val="InitialStyle"/>
        </w:rPr>
        <w:t xml:space="preserve">1,000 or more nursery pigs or grower-finisher pigs </w:t>
      </w:r>
      <w:r w:rsidRPr="005B4C2D">
        <w:rPr>
          <w:rStyle w:val="InitialStyle"/>
        </w:rPr>
        <w:t xml:space="preserve">will be selected from NASS’ </w:t>
      </w:r>
      <w:r>
        <w:rPr>
          <w:rStyle w:val="InitialStyle"/>
        </w:rPr>
        <w:t>L</w:t>
      </w:r>
      <w:r w:rsidRPr="005B4C2D">
        <w:rPr>
          <w:rStyle w:val="InitialStyle"/>
        </w:rPr>
        <w:t xml:space="preserve">ist </w:t>
      </w:r>
      <w:r>
        <w:rPr>
          <w:rStyle w:val="InitialStyle"/>
        </w:rPr>
        <w:t>F</w:t>
      </w:r>
      <w:r w:rsidRPr="005B4C2D">
        <w:rPr>
          <w:rStyle w:val="InitialStyle"/>
        </w:rPr>
        <w:t xml:space="preserve">rame from a population of approximately </w:t>
      </w:r>
      <w:r>
        <w:rPr>
          <w:rStyle w:val="InitialStyle"/>
        </w:rPr>
        <w:t xml:space="preserve">10,000 operations in the 13 participating states (Appendix </w:t>
      </w:r>
      <w:r w:rsidR="00AF3973">
        <w:rPr>
          <w:rStyle w:val="InitialStyle"/>
        </w:rPr>
        <w:t>E</w:t>
      </w:r>
      <w:r>
        <w:rPr>
          <w:rStyle w:val="InitialStyle"/>
        </w:rPr>
        <w:t>).  Although the analysis unit for this survey is a site, NASS’ list frame has only operations, some of which can have multiple sites.  Therefore the first-stage selection unit is an operation.</w:t>
      </w:r>
    </w:p>
    <w:p w14:paraId="5CA94AAB" w14:textId="77777777" w:rsidR="009A2CA9" w:rsidRDefault="009A2CA9" w:rsidP="009A2CA9">
      <w:pPr>
        <w:pStyle w:val="DefaultText"/>
        <w:rPr>
          <w:rStyle w:val="InitialStyle"/>
        </w:rPr>
      </w:pPr>
    </w:p>
    <w:p w14:paraId="65A263D3" w14:textId="77777777" w:rsidR="009A2CA9" w:rsidRDefault="009A2CA9" w:rsidP="009A2CA9">
      <w:pPr>
        <w:pStyle w:val="DefaultText"/>
        <w:rPr>
          <w:rStyle w:val="InitialStyle"/>
        </w:rPr>
      </w:pPr>
      <w:r>
        <w:rPr>
          <w:rStyle w:val="InitialStyle"/>
        </w:rPr>
        <w:t>The list frame will be stratified by State and by operation size as defined by total number of nursery and grower-finisher pigs (1000-1999, 2000-4999, 5000 or more).  The number of operations to be selected within each stratum is based on a weighted proportion of the total population (of operations and inventory) that the stratum represents.  In this way, strata with larger operations are sampled with higher selection probabilities so that more of the inventory is captured.  Within each stratum, a random sample of operations is selected.</w:t>
      </w:r>
    </w:p>
    <w:p w14:paraId="21DC9076" w14:textId="77777777" w:rsidR="009A2CA9" w:rsidRDefault="009A2CA9" w:rsidP="009A2CA9">
      <w:pPr>
        <w:pStyle w:val="DefaultText"/>
        <w:rPr>
          <w:rStyle w:val="InitialStyle"/>
        </w:rPr>
      </w:pPr>
    </w:p>
    <w:p w14:paraId="259ECD8B" w14:textId="77777777" w:rsidR="009A2CA9" w:rsidRDefault="009A2CA9" w:rsidP="009A2CA9">
      <w:pPr>
        <w:autoSpaceDE w:val="0"/>
        <w:autoSpaceDN w:val="0"/>
        <w:adjustRightInd w:val="0"/>
        <w:rPr>
          <w:rStyle w:val="InitialStyle"/>
        </w:rPr>
      </w:pPr>
      <w:r w:rsidRPr="00AB0F39">
        <w:t xml:space="preserve">Some </w:t>
      </w:r>
      <w:r>
        <w:t>operations</w:t>
      </w:r>
      <w:r w:rsidRPr="00AB0F39">
        <w:t xml:space="preserve"> on the NASS list frame </w:t>
      </w:r>
      <w:r>
        <w:t xml:space="preserve">represent </w:t>
      </w:r>
      <w:r w:rsidRPr="00AB0F39">
        <w:t>multiple sites. A sub</w:t>
      </w:r>
      <w:r>
        <w:t>-</w:t>
      </w:r>
      <w:r w:rsidRPr="00AB0F39">
        <w:t xml:space="preserve">sample of sites </w:t>
      </w:r>
      <w:r>
        <w:t>will be</w:t>
      </w:r>
      <w:r w:rsidRPr="00AB0F39">
        <w:t xml:space="preserve"> selected </w:t>
      </w:r>
      <w:r>
        <w:t>from</w:t>
      </w:r>
      <w:r w:rsidRPr="00AB0F39">
        <w:t xml:space="preserve"> operations with multiple</w:t>
      </w:r>
      <w:r>
        <w:t xml:space="preserve"> </w:t>
      </w:r>
      <w:r w:rsidRPr="00AB0F39">
        <w:t>sites in a State. The number of sites selected depend</w:t>
      </w:r>
      <w:r>
        <w:t>s</w:t>
      </w:r>
      <w:r w:rsidRPr="00AB0F39">
        <w:t xml:space="preserve"> on the size of the operation. </w:t>
      </w:r>
      <w:r>
        <w:t xml:space="preserve"> For operations with more than 1 site, i</w:t>
      </w:r>
      <w:r w:rsidRPr="00AB0F39">
        <w:t>f</w:t>
      </w:r>
      <w:r>
        <w:t xml:space="preserve"> t</w:t>
      </w:r>
      <w:r w:rsidRPr="00AB0F39">
        <w:t>he operation ha</w:t>
      </w:r>
      <w:r>
        <w:t>s</w:t>
      </w:r>
      <w:r w:rsidRPr="00AB0F39">
        <w:t xml:space="preserve"> </w:t>
      </w:r>
      <w:r>
        <w:t>2-19 sites</w:t>
      </w:r>
      <w:r w:rsidRPr="00AB0F39">
        <w:t xml:space="preserve">, </w:t>
      </w:r>
      <w:r>
        <w:t xml:space="preserve">2 sites will be randomly </w:t>
      </w:r>
      <w:r w:rsidRPr="00AB0F39">
        <w:t xml:space="preserve">selected. </w:t>
      </w:r>
      <w:r>
        <w:t xml:space="preserve"> </w:t>
      </w:r>
      <w:r w:rsidRPr="00AB0F39">
        <w:t>If the operation ha</w:t>
      </w:r>
      <w:r>
        <w:t>s</w:t>
      </w:r>
      <w:r w:rsidRPr="00AB0F39">
        <w:t xml:space="preserve"> 20 to 49 sites,</w:t>
      </w:r>
      <w:r>
        <w:t xml:space="preserve"> 7 sites will be </w:t>
      </w:r>
      <w:r w:rsidRPr="00AB0F39">
        <w:t>randomly selected</w:t>
      </w:r>
      <w:r>
        <w:t>, and i</w:t>
      </w:r>
      <w:r w:rsidRPr="00AB0F39">
        <w:t>f the operation ha</w:t>
      </w:r>
      <w:r>
        <w:t>s</w:t>
      </w:r>
      <w:r w:rsidRPr="00AB0F39">
        <w:t xml:space="preserve"> 50 or more sites, </w:t>
      </w:r>
      <w:r>
        <w:t xml:space="preserve">15 sites will be </w:t>
      </w:r>
      <w:r w:rsidRPr="00AB0F39">
        <w:t>randomly selected.</w:t>
      </w:r>
      <w:r>
        <w:t xml:space="preserve">  An estimated 3,786 sites will be visited for this survey (Appendix </w:t>
      </w:r>
      <w:r w:rsidR="00AF3973">
        <w:t>F</w:t>
      </w:r>
      <w:r>
        <w:t>).  This was the same process used for NAHMS Swine 2012, although the number of sites selected within operations was smaller.</w:t>
      </w:r>
    </w:p>
    <w:p w14:paraId="58401CB2" w14:textId="77777777" w:rsidR="009A2CA9" w:rsidRDefault="009A2CA9" w:rsidP="009A2CA9">
      <w:pPr>
        <w:pStyle w:val="DefaultText"/>
        <w:rPr>
          <w:rStyle w:val="InitialStyle"/>
        </w:rPr>
      </w:pPr>
    </w:p>
    <w:p w14:paraId="2E99B248" w14:textId="77777777" w:rsidR="009A2CA9" w:rsidRPr="005B4C2D" w:rsidRDefault="009A2CA9" w:rsidP="009A2CA9">
      <w:pPr>
        <w:pStyle w:val="Heading3"/>
        <w:numPr>
          <w:ilvl w:val="0"/>
          <w:numId w:val="2"/>
        </w:numPr>
        <w:tabs>
          <w:tab w:val="left" w:pos="6660"/>
        </w:tabs>
        <w:rPr>
          <w:rFonts w:ascii="Times New Roman" w:hAnsi="Times New Roman" w:cs="Times New Roman"/>
          <w:sz w:val="24"/>
          <w:szCs w:val="24"/>
        </w:rPr>
      </w:pPr>
      <w:r w:rsidRPr="005B4C2D">
        <w:rPr>
          <w:rFonts w:ascii="Times New Roman" w:hAnsi="Times New Roman" w:cs="Times New Roman"/>
          <w:b w:val="0"/>
          <w:sz w:val="24"/>
          <w:szCs w:val="24"/>
          <w:u w:val="single"/>
        </w:rPr>
        <w:t>Estimation procedure</w:t>
      </w:r>
      <w:r w:rsidRPr="005B4C2D">
        <w:rPr>
          <w:rFonts w:ascii="Times New Roman" w:hAnsi="Times New Roman" w:cs="Times New Roman"/>
          <w:sz w:val="24"/>
          <w:szCs w:val="24"/>
        </w:rPr>
        <w:t>:</w:t>
      </w:r>
    </w:p>
    <w:p w14:paraId="595930EC" w14:textId="77777777" w:rsidR="009A2CA9" w:rsidRPr="005B4C2D" w:rsidRDefault="009A2CA9" w:rsidP="009A2CA9">
      <w:pPr>
        <w:pStyle w:val="DefaultText"/>
      </w:pPr>
    </w:p>
    <w:p w14:paraId="4DB6B37D" w14:textId="77777777" w:rsidR="009A2CA9" w:rsidRPr="005B4C2D" w:rsidRDefault="009A2CA9" w:rsidP="009A2CA9">
      <w:pPr>
        <w:pStyle w:val="DefaultText"/>
      </w:pPr>
      <w:r>
        <w:t xml:space="preserve">The sampling design is a stratified random sample with unequal probabilities of selection between strata.  </w:t>
      </w:r>
      <w:r w:rsidRPr="005B4C2D">
        <w:t xml:space="preserve">The statistical estimation will be </w:t>
      </w:r>
      <w:r>
        <w:t>done</w:t>
      </w:r>
      <w:r w:rsidRPr="005B4C2D">
        <w:t xml:space="preserve"> using either SAS survey procedures or SUDAAN.  Both software packages use a </w:t>
      </w:r>
      <w:smartTag w:uri="urn:schemas-microsoft-com:office:smarttags" w:element="City">
        <w:smartTag w:uri="urn:schemas-microsoft-com:office:smarttags" w:element="place">
          <w:r w:rsidRPr="005B4C2D">
            <w:t>Taylor</w:t>
          </w:r>
        </w:smartTag>
      </w:smartTag>
      <w:r w:rsidRPr="005B4C2D">
        <w:t xml:space="preserve"> series expansion to estimate appropriate variances for the stratified</w:t>
      </w:r>
      <w:r>
        <w:t xml:space="preserve"> design with unequal</w:t>
      </w:r>
      <w:r w:rsidRPr="005B4C2D">
        <w:t xml:space="preserve"> weight</w:t>
      </w:r>
      <w:r>
        <w:t>s</w:t>
      </w:r>
      <w:r w:rsidRPr="005B4C2D">
        <w:t>.</w:t>
      </w:r>
    </w:p>
    <w:p w14:paraId="75108F82" w14:textId="77777777" w:rsidR="009A2CA9" w:rsidRPr="005B4C2D" w:rsidRDefault="009A2CA9" w:rsidP="009A2CA9">
      <w:pPr>
        <w:pStyle w:val="DefaultText"/>
        <w:rPr>
          <w:rStyle w:val="InitialStyle"/>
        </w:rPr>
      </w:pPr>
    </w:p>
    <w:p w14:paraId="175E6AE9" w14:textId="77777777" w:rsidR="009A2CA9" w:rsidRPr="005B4C2D" w:rsidRDefault="009A2CA9" w:rsidP="009A2CA9">
      <w:pPr>
        <w:pStyle w:val="Heading3"/>
        <w:numPr>
          <w:ilvl w:val="0"/>
          <w:numId w:val="2"/>
        </w:numPr>
        <w:rPr>
          <w:rStyle w:val="InitialStyle"/>
          <w:rFonts w:ascii="Times New Roman" w:hAnsi="Times New Roman" w:cs="Times New Roman"/>
          <w:sz w:val="24"/>
          <w:szCs w:val="24"/>
        </w:rPr>
      </w:pPr>
      <w:r w:rsidRPr="005B4C2D">
        <w:rPr>
          <w:rStyle w:val="InitialStyle"/>
          <w:rFonts w:ascii="Times New Roman" w:hAnsi="Times New Roman" w:cs="Times New Roman"/>
          <w:b w:val="0"/>
          <w:sz w:val="24"/>
          <w:szCs w:val="24"/>
          <w:u w:val="single"/>
        </w:rPr>
        <w:t xml:space="preserve">Degree of </w:t>
      </w:r>
      <w:r>
        <w:rPr>
          <w:rStyle w:val="InitialStyle"/>
          <w:rFonts w:ascii="Times New Roman" w:hAnsi="Times New Roman" w:cs="Times New Roman"/>
          <w:b w:val="0"/>
          <w:sz w:val="24"/>
          <w:szCs w:val="24"/>
          <w:u w:val="single"/>
        </w:rPr>
        <w:t>precision</w:t>
      </w:r>
      <w:r w:rsidRPr="005B4C2D">
        <w:rPr>
          <w:rStyle w:val="InitialStyle"/>
          <w:rFonts w:ascii="Times New Roman" w:hAnsi="Times New Roman" w:cs="Times New Roman"/>
          <w:b w:val="0"/>
          <w:sz w:val="24"/>
          <w:szCs w:val="24"/>
          <w:u w:val="single"/>
        </w:rPr>
        <w:t xml:space="preserve"> needed for the purpose described in the justification</w:t>
      </w:r>
      <w:r w:rsidRPr="005B4C2D">
        <w:rPr>
          <w:rStyle w:val="InitialStyle"/>
          <w:rFonts w:ascii="Times New Roman" w:hAnsi="Times New Roman" w:cs="Times New Roman"/>
          <w:sz w:val="24"/>
          <w:szCs w:val="24"/>
        </w:rPr>
        <w:t>:</w:t>
      </w:r>
    </w:p>
    <w:p w14:paraId="1C3829B7" w14:textId="77777777" w:rsidR="009A2CA9" w:rsidRDefault="009A2CA9" w:rsidP="009A2CA9">
      <w:pPr>
        <w:rPr>
          <w:rStyle w:val="InitialStyle"/>
        </w:rPr>
      </w:pPr>
    </w:p>
    <w:p w14:paraId="31A50662" w14:textId="77777777" w:rsidR="009A2CA9" w:rsidRDefault="009A2CA9" w:rsidP="009A2CA9">
      <w:pPr>
        <w:rPr>
          <w:rStyle w:val="InitialStyle"/>
        </w:rPr>
      </w:pPr>
      <w:r w:rsidRPr="005B4C2D">
        <w:rPr>
          <w:rStyle w:val="InitialStyle"/>
        </w:rPr>
        <w:t>The overall NAH</w:t>
      </w:r>
      <w:r>
        <w:rPr>
          <w:rStyle w:val="InitialStyle"/>
        </w:rPr>
        <w:t>M</w:t>
      </w:r>
      <w:r w:rsidRPr="005B4C2D">
        <w:rPr>
          <w:rStyle w:val="InitialStyle"/>
        </w:rPr>
        <w:t xml:space="preserve">S program goal is to develop descriptive statistics with a coefficient of variation </w:t>
      </w:r>
      <w:r>
        <w:rPr>
          <w:rStyle w:val="InitialStyle"/>
        </w:rPr>
        <w:t xml:space="preserve">(CV) </w:t>
      </w:r>
      <w:r w:rsidRPr="005B4C2D">
        <w:rPr>
          <w:rStyle w:val="InitialStyle"/>
        </w:rPr>
        <w:t>less than 20 percent.</w:t>
      </w:r>
      <w:r>
        <w:rPr>
          <w:rStyle w:val="InitialStyle"/>
        </w:rPr>
        <w:t xml:space="preserve">  Appendix </w:t>
      </w:r>
      <w:r w:rsidR="00AF3973">
        <w:rPr>
          <w:rStyle w:val="InitialStyle"/>
        </w:rPr>
        <w:t>E</w:t>
      </w:r>
      <w:r>
        <w:rPr>
          <w:rStyle w:val="InitialStyle"/>
        </w:rPr>
        <w:t xml:space="preserve"> shows sample sizes and estimates of precision for 3 prevalence estimates at the regional and national level.  The estimated CVs and confidence intervals are within the desired range.</w:t>
      </w:r>
    </w:p>
    <w:p w14:paraId="22F29A38" w14:textId="77777777" w:rsidR="009A2CA9" w:rsidRDefault="009A2CA9" w:rsidP="009A2CA9">
      <w:pPr>
        <w:pStyle w:val="DefaultText"/>
        <w:rPr>
          <w:rStyle w:val="InitialStyle"/>
        </w:rPr>
      </w:pPr>
    </w:p>
    <w:p w14:paraId="50132E29" w14:textId="77777777" w:rsidR="009A2CA9" w:rsidRPr="009A6001" w:rsidRDefault="009A2CA9" w:rsidP="009A2CA9"/>
    <w:p w14:paraId="0ADEB03E" w14:textId="77777777" w:rsidR="009A2CA9" w:rsidRPr="005B4C2D" w:rsidRDefault="009A2CA9" w:rsidP="009A2CA9">
      <w:pPr>
        <w:numPr>
          <w:ilvl w:val="0"/>
          <w:numId w:val="20"/>
        </w:numPr>
      </w:pPr>
      <w:r w:rsidRPr="005B4C2D">
        <w:rPr>
          <w:u w:val="single"/>
        </w:rPr>
        <w:t>Unusual problems requiring specialized sampling procedures and data collection cycles</w:t>
      </w:r>
      <w:r w:rsidRPr="005B4C2D">
        <w:t>:</w:t>
      </w:r>
    </w:p>
    <w:p w14:paraId="1C1BE9BB" w14:textId="77777777" w:rsidR="009A2CA9" w:rsidRPr="005B4C2D" w:rsidRDefault="009A2CA9" w:rsidP="009A2CA9">
      <w:pPr>
        <w:pStyle w:val="DefaultText"/>
        <w:rPr>
          <w:rStyle w:val="InitialStyle"/>
        </w:rPr>
      </w:pPr>
    </w:p>
    <w:p w14:paraId="75E26F0A" w14:textId="77777777" w:rsidR="00530401" w:rsidRPr="005B4C2D" w:rsidRDefault="009A2CA9" w:rsidP="009A2CA9">
      <w:pPr>
        <w:pStyle w:val="DefaultText"/>
        <w:rPr>
          <w:rStyle w:val="InitialStyle"/>
        </w:rPr>
      </w:pPr>
      <w:r w:rsidRPr="005B4C2D">
        <w:rPr>
          <w:rStyle w:val="InitialStyle"/>
        </w:rPr>
        <w:t>There are no unusual problems requiring specialized sampling procedures and data collection cycles.</w:t>
      </w:r>
    </w:p>
    <w:p w14:paraId="0ACAD71C" w14:textId="77777777" w:rsidR="00530401" w:rsidRPr="005B4C2D" w:rsidRDefault="00530401" w:rsidP="004E48D9">
      <w:pPr>
        <w:pStyle w:val="DefaultText"/>
        <w:rPr>
          <w:rStyle w:val="InitialStyle"/>
        </w:rPr>
      </w:pPr>
    </w:p>
    <w:p w14:paraId="22AB060B" w14:textId="77777777" w:rsidR="004E48D9" w:rsidRPr="005B4C2D" w:rsidRDefault="004E48D9" w:rsidP="00FE76DA">
      <w:pPr>
        <w:pStyle w:val="Heading2"/>
        <w:numPr>
          <w:ilvl w:val="0"/>
          <w:numId w:val="10"/>
        </w:numPr>
        <w:rPr>
          <w:rFonts w:ascii="Times New Roman" w:hAnsi="Times New Roman" w:cs="Times New Roman"/>
          <w:sz w:val="24"/>
          <w:szCs w:val="24"/>
        </w:rPr>
      </w:pPr>
      <w:bookmarkStart w:id="24" w:name="_Toc120517351"/>
      <w:bookmarkStart w:id="25" w:name="_Toc121289110"/>
      <w:bookmarkStart w:id="26" w:name="_Toc133308579"/>
      <w:bookmarkStart w:id="27" w:name="_Toc142106614"/>
      <w:r w:rsidRPr="005B4C2D">
        <w:rPr>
          <w:rFonts w:ascii="Times New Roman" w:hAnsi="Times New Roman" w:cs="Times New Roman"/>
          <w:sz w:val="24"/>
          <w:szCs w:val="24"/>
        </w:rPr>
        <w:t>Describe methods to maximize response rates and to deal with issues of non-response</w:t>
      </w:r>
      <w:bookmarkEnd w:id="24"/>
      <w:bookmarkEnd w:id="25"/>
      <w:bookmarkEnd w:id="26"/>
      <w:r w:rsidRPr="005B4C2D">
        <w:rPr>
          <w:rFonts w:ascii="Times New Roman" w:hAnsi="Times New Roman" w:cs="Times New Roman"/>
          <w:sz w:val="24"/>
          <w:szCs w:val="24"/>
        </w:rPr>
        <w:t>:</w:t>
      </w:r>
      <w:bookmarkEnd w:id="27"/>
    </w:p>
    <w:p w14:paraId="1613A8AB" w14:textId="77777777" w:rsidR="00530401" w:rsidRDefault="00530401" w:rsidP="00BF356B">
      <w:pPr>
        <w:pStyle w:val="DefaultText"/>
        <w:ind w:left="360"/>
        <w:rPr>
          <w:rStyle w:val="InitialStyle"/>
          <w:b/>
          <w:u w:val="single"/>
        </w:rPr>
      </w:pPr>
      <w:bookmarkStart w:id="28" w:name="_Toc120517352"/>
      <w:bookmarkStart w:id="29" w:name="_Toc121289111"/>
      <w:bookmarkStart w:id="30" w:name="_Toc133308580"/>
      <w:bookmarkStart w:id="31" w:name="_Toc142106615"/>
      <w:r w:rsidRPr="00530401">
        <w:rPr>
          <w:rStyle w:val="InitialStyle"/>
          <w:b/>
          <w:u w:val="single"/>
        </w:rPr>
        <w:t>Cattle-on-Feed Antimicrobial Use</w:t>
      </w:r>
    </w:p>
    <w:bookmarkEnd w:id="28"/>
    <w:bookmarkEnd w:id="29"/>
    <w:bookmarkEnd w:id="30"/>
    <w:bookmarkEnd w:id="31"/>
    <w:p w14:paraId="0B3A6557" w14:textId="77777777" w:rsidR="009A2CA9" w:rsidRPr="002018DF" w:rsidRDefault="009A2CA9" w:rsidP="009A2CA9">
      <w:pPr>
        <w:pStyle w:val="Heading3"/>
        <w:rPr>
          <w:rFonts w:ascii="Times New Roman" w:hAnsi="Times New Roman" w:cs="Times New Roman"/>
          <w:sz w:val="24"/>
          <w:szCs w:val="24"/>
        </w:rPr>
      </w:pPr>
      <w:r w:rsidRPr="005B4C2D">
        <w:rPr>
          <w:rStyle w:val="InitialStyle"/>
          <w:rFonts w:ascii="Times New Roman" w:hAnsi="Times New Roman" w:cs="Times New Roman"/>
          <w:b w:val="0"/>
          <w:sz w:val="24"/>
          <w:szCs w:val="24"/>
          <w:u w:val="single"/>
        </w:rPr>
        <w:t>Study Design</w:t>
      </w:r>
      <w:r w:rsidRPr="005B4C2D">
        <w:rPr>
          <w:rStyle w:val="InitialStyle"/>
          <w:rFonts w:ascii="Times New Roman" w:hAnsi="Times New Roman" w:cs="Times New Roman"/>
          <w:sz w:val="24"/>
          <w:szCs w:val="24"/>
        </w:rPr>
        <w:t>:</w:t>
      </w:r>
    </w:p>
    <w:p w14:paraId="5A4E7D71" w14:textId="77777777" w:rsidR="009A2CA9" w:rsidRPr="005B4C2D" w:rsidRDefault="009A2CA9" w:rsidP="009A2CA9">
      <w:pPr>
        <w:pStyle w:val="DefaultText"/>
        <w:numPr>
          <w:ilvl w:val="0"/>
          <w:numId w:val="3"/>
        </w:numPr>
        <w:rPr>
          <w:rStyle w:val="InitialStyle"/>
        </w:rPr>
      </w:pPr>
      <w:r w:rsidRPr="005B4C2D">
        <w:rPr>
          <w:rStyle w:val="InitialStyle"/>
        </w:rPr>
        <w:t>Minimizing collection of data to that which is absolutely necessary.</w:t>
      </w:r>
    </w:p>
    <w:p w14:paraId="102F32CB" w14:textId="77777777" w:rsidR="009A2CA9" w:rsidRPr="005B4C2D" w:rsidRDefault="009A2CA9" w:rsidP="009A2CA9">
      <w:pPr>
        <w:pStyle w:val="DefaultText"/>
        <w:rPr>
          <w:rStyle w:val="InitialStyle"/>
        </w:rPr>
      </w:pPr>
    </w:p>
    <w:p w14:paraId="7DBC47F2" w14:textId="68A88D29" w:rsidR="009A2CA9" w:rsidRPr="005B4C2D" w:rsidRDefault="009A2CA9" w:rsidP="009A2CA9">
      <w:pPr>
        <w:pStyle w:val="DefaultText"/>
        <w:numPr>
          <w:ilvl w:val="0"/>
          <w:numId w:val="4"/>
        </w:numPr>
        <w:rPr>
          <w:rStyle w:val="InitialStyle"/>
        </w:rPr>
      </w:pPr>
      <w:r>
        <w:rPr>
          <w:rStyle w:val="InitialStyle"/>
        </w:rPr>
        <w:t>Meetings and discussions with industry representatives from the National Cattlemen’s Beef Association, (NCBA) have been undertaken to get industry support</w:t>
      </w:r>
      <w:r w:rsidRPr="005B4C2D">
        <w:rPr>
          <w:rStyle w:val="InitialStyle"/>
        </w:rPr>
        <w:t>.</w:t>
      </w:r>
      <w:r>
        <w:rPr>
          <w:rStyle w:val="InitialStyle"/>
        </w:rPr>
        <w:t xml:space="preserve">  </w:t>
      </w:r>
      <w:r w:rsidRPr="005B4C2D">
        <w:rPr>
          <w:rStyle w:val="InitialStyle"/>
        </w:rPr>
        <w:t xml:space="preserve">  </w:t>
      </w:r>
    </w:p>
    <w:p w14:paraId="3B210394" w14:textId="77777777" w:rsidR="009A2CA9" w:rsidRPr="005B4C2D" w:rsidRDefault="009A2CA9" w:rsidP="009A2CA9">
      <w:pPr>
        <w:pStyle w:val="DefaultText"/>
        <w:rPr>
          <w:rStyle w:val="InitialStyle"/>
        </w:rPr>
      </w:pPr>
    </w:p>
    <w:p w14:paraId="7C93178F" w14:textId="61BE7268" w:rsidR="009A2CA9" w:rsidRDefault="009A2CA9" w:rsidP="009A2CA9">
      <w:pPr>
        <w:pStyle w:val="DefaultText"/>
        <w:numPr>
          <w:ilvl w:val="0"/>
          <w:numId w:val="20"/>
        </w:numPr>
        <w:tabs>
          <w:tab w:val="left" w:pos="720"/>
          <w:tab w:val="center" w:pos="4320"/>
          <w:tab w:val="center" w:pos="5040"/>
          <w:tab w:val="center" w:pos="5760"/>
          <w:tab w:val="center" w:pos="7560"/>
        </w:tabs>
        <w:rPr>
          <w:rStyle w:val="InitialStyle"/>
        </w:rPr>
      </w:pPr>
      <w:r>
        <w:rPr>
          <w:rStyle w:val="InitialStyle"/>
        </w:rPr>
        <w:t>The survey will be administered in person by a trained APHIS or State veterinarian.  Prior to the APHIS visit, NASS will mail out a pre-survey letter,</w:t>
      </w:r>
      <w:r w:rsidR="007575DB">
        <w:rPr>
          <w:rStyle w:val="InitialStyle"/>
        </w:rPr>
        <w:t xml:space="preserve"> a copy of the survey, and an informational sheet about the study,</w:t>
      </w:r>
      <w:r>
        <w:rPr>
          <w:rStyle w:val="InitialStyle"/>
        </w:rPr>
        <w:t xml:space="preserve"> followed by an in-person visit by a trained NASS enumerator</w:t>
      </w:r>
      <w:r w:rsidRPr="006C30C1">
        <w:rPr>
          <w:rStyle w:val="InitialStyle"/>
        </w:rPr>
        <w:t>.</w:t>
      </w:r>
      <w:r>
        <w:rPr>
          <w:rStyle w:val="InitialStyle"/>
        </w:rPr>
        <w:t xml:space="preserve">  The NASS enumerator will ask for the producers’ participation and, if consenting, the producer will sign a release allowing NASS to turn the contact information over to APHIS.</w:t>
      </w:r>
      <w:r w:rsidRPr="006C30C1">
        <w:rPr>
          <w:rStyle w:val="InitialStyle"/>
        </w:rPr>
        <w:t xml:space="preserve">  </w:t>
      </w:r>
      <w:r>
        <w:rPr>
          <w:rStyle w:val="InitialStyle"/>
        </w:rPr>
        <w:t>Recent NAHMS studies using similar methods have obtained response rates ranging from 40</w:t>
      </w:r>
      <w:r w:rsidRPr="00F92CFE">
        <w:rPr>
          <w:rStyle w:val="InitialStyle"/>
        </w:rPr>
        <w:t xml:space="preserve">% to </w:t>
      </w:r>
      <w:r>
        <w:rPr>
          <w:rStyle w:val="InitialStyle"/>
        </w:rPr>
        <w:t>62</w:t>
      </w:r>
      <w:r w:rsidRPr="00F92CFE">
        <w:rPr>
          <w:rStyle w:val="InitialStyle"/>
        </w:rPr>
        <w:t>% (Appendix B).</w:t>
      </w:r>
      <w:r>
        <w:rPr>
          <w:rStyle w:val="InitialStyle"/>
        </w:rPr>
        <w:t xml:space="preserve">  </w:t>
      </w:r>
    </w:p>
    <w:p w14:paraId="31FBBE23" w14:textId="77777777" w:rsidR="009A2CA9" w:rsidRDefault="009A2CA9" w:rsidP="009A2CA9">
      <w:pPr>
        <w:pStyle w:val="DefaultText"/>
        <w:tabs>
          <w:tab w:val="left" w:pos="720"/>
          <w:tab w:val="center" w:pos="4320"/>
          <w:tab w:val="center" w:pos="5040"/>
          <w:tab w:val="center" w:pos="5760"/>
          <w:tab w:val="center" w:pos="7560"/>
        </w:tabs>
        <w:ind w:left="360"/>
        <w:rPr>
          <w:rStyle w:val="InitialStyle"/>
        </w:rPr>
      </w:pPr>
    </w:p>
    <w:p w14:paraId="21BA21DA" w14:textId="77777777" w:rsidR="009A2CA9" w:rsidRDefault="009A2CA9" w:rsidP="009A2CA9">
      <w:pPr>
        <w:pStyle w:val="DefaultText"/>
        <w:numPr>
          <w:ilvl w:val="0"/>
          <w:numId w:val="23"/>
        </w:numPr>
        <w:rPr>
          <w:rStyle w:val="InitialStyle"/>
        </w:rPr>
      </w:pPr>
      <w:r>
        <w:rPr>
          <w:rStyle w:val="InitialStyle"/>
        </w:rPr>
        <w:t xml:space="preserve">NAHMS will develop specialized training </w:t>
      </w:r>
      <w:r w:rsidRPr="00D36F02">
        <w:rPr>
          <w:rStyle w:val="InitialStyle"/>
        </w:rPr>
        <w:t xml:space="preserve">for </w:t>
      </w:r>
      <w:r>
        <w:rPr>
          <w:rStyle w:val="InitialStyle"/>
        </w:rPr>
        <w:t>the data collectors</w:t>
      </w:r>
      <w:r w:rsidRPr="00D36F02">
        <w:rPr>
          <w:rStyle w:val="InitialStyle"/>
        </w:rPr>
        <w:t xml:space="preserve"> </w:t>
      </w:r>
      <w:r>
        <w:rPr>
          <w:rStyle w:val="InitialStyle"/>
        </w:rPr>
        <w:t>to address any potential</w:t>
      </w:r>
      <w:r w:rsidRPr="00D36F02">
        <w:rPr>
          <w:rStyle w:val="InitialStyle"/>
        </w:rPr>
        <w:t xml:space="preserve"> difficu</w:t>
      </w:r>
      <w:r>
        <w:rPr>
          <w:rStyle w:val="InitialStyle"/>
        </w:rPr>
        <w:t>lties with questions.</w:t>
      </w:r>
    </w:p>
    <w:p w14:paraId="7CB17990" w14:textId="77777777" w:rsidR="009A2CA9" w:rsidRPr="005B4C2D" w:rsidRDefault="009A2CA9" w:rsidP="009A2CA9">
      <w:pPr>
        <w:pStyle w:val="DefaultText"/>
        <w:ind w:left="360"/>
        <w:rPr>
          <w:rStyle w:val="InitialStyle"/>
        </w:rPr>
      </w:pPr>
    </w:p>
    <w:p w14:paraId="3F91938E" w14:textId="77777777" w:rsidR="009A2CA9" w:rsidRPr="005B4C2D" w:rsidRDefault="009A2CA9" w:rsidP="009A2CA9">
      <w:pPr>
        <w:pStyle w:val="DefaultText"/>
        <w:numPr>
          <w:ilvl w:val="0"/>
          <w:numId w:val="5"/>
        </w:numPr>
        <w:rPr>
          <w:rStyle w:val="InitialStyle"/>
        </w:rPr>
      </w:pPr>
      <w:r>
        <w:rPr>
          <w:rStyle w:val="InitialStyle"/>
        </w:rPr>
        <w:t xml:space="preserve">When NASS enumerators visit the operation to solicit consent for study participation, the enumerators will leave a </w:t>
      </w:r>
      <w:r w:rsidRPr="005B4C2D">
        <w:rPr>
          <w:rStyle w:val="InitialStyle"/>
        </w:rPr>
        <w:t xml:space="preserve">questionnaire </w:t>
      </w:r>
      <w:r>
        <w:rPr>
          <w:rStyle w:val="InitialStyle"/>
        </w:rPr>
        <w:t>with the producers to give them opportunity to gather the requested information in advance.</w:t>
      </w:r>
      <w:r w:rsidRPr="005B4C2D">
        <w:rPr>
          <w:rStyle w:val="InitialStyle"/>
        </w:rPr>
        <w:t xml:space="preserve">  </w:t>
      </w:r>
    </w:p>
    <w:p w14:paraId="4ED68D5F" w14:textId="77777777" w:rsidR="009A2CA9" w:rsidRPr="005B4C2D" w:rsidRDefault="009A2CA9" w:rsidP="009A2CA9">
      <w:pPr>
        <w:pStyle w:val="Heading3"/>
        <w:rPr>
          <w:rStyle w:val="InitialStyle"/>
        </w:rPr>
      </w:pPr>
      <w:r w:rsidRPr="00987009">
        <w:rPr>
          <w:rStyle w:val="InitialStyle"/>
          <w:rFonts w:ascii="Times New Roman" w:hAnsi="Times New Roman"/>
          <w:b w:val="0"/>
          <w:bCs w:val="0"/>
          <w:sz w:val="24"/>
          <w:u w:val="single"/>
        </w:rPr>
        <w:t>Non-response adjustment:</w:t>
      </w:r>
      <w:r w:rsidRPr="005B4C2D">
        <w:rPr>
          <w:rStyle w:val="InitialStyle"/>
        </w:rPr>
        <w:tab/>
      </w:r>
    </w:p>
    <w:p w14:paraId="17FA46BD" w14:textId="77777777" w:rsidR="009A2CA9" w:rsidRPr="005B4C2D" w:rsidRDefault="009A2CA9" w:rsidP="009A2CA9">
      <w:pPr>
        <w:pStyle w:val="DefaultText"/>
        <w:numPr>
          <w:ilvl w:val="0"/>
          <w:numId w:val="5"/>
        </w:numPr>
        <w:rPr>
          <w:rStyle w:val="InitialStyle"/>
        </w:rPr>
      </w:pPr>
      <w:r w:rsidRPr="005B4C2D">
        <w:rPr>
          <w:rStyle w:val="InitialStyle"/>
        </w:rPr>
        <w:t xml:space="preserve">Response rates, given the methods described above, are expected to be approximately </w:t>
      </w:r>
      <w:r>
        <w:rPr>
          <w:rStyle w:val="InitialStyle"/>
        </w:rPr>
        <w:t>50</w:t>
      </w:r>
      <w:r w:rsidRPr="005B4C2D">
        <w:rPr>
          <w:rStyle w:val="InitialStyle"/>
        </w:rPr>
        <w:t xml:space="preserve">% for this study.  If the respondents differ substantially from the non-respondents there will be the potential for bias.  </w:t>
      </w:r>
      <w:r>
        <w:rPr>
          <w:rStyle w:val="InitialStyle"/>
        </w:rPr>
        <w:t>NASS’</w:t>
      </w:r>
      <w:r w:rsidRPr="005B4C2D">
        <w:rPr>
          <w:rStyle w:val="InitialStyle"/>
        </w:rPr>
        <w:t xml:space="preserve"> list frame control data </w:t>
      </w:r>
      <w:r>
        <w:rPr>
          <w:rStyle w:val="InitialStyle"/>
        </w:rPr>
        <w:t>may</w:t>
      </w:r>
      <w:r w:rsidRPr="005B4C2D">
        <w:rPr>
          <w:rStyle w:val="InitialStyle"/>
        </w:rPr>
        <w:t xml:space="preserve"> be available for both respondents and non-respondents to allow for examination of potential differences in the types of responding and non-responding producers.  </w:t>
      </w:r>
      <w:r>
        <w:rPr>
          <w:rStyle w:val="InitialStyle"/>
        </w:rPr>
        <w:t>T</w:t>
      </w:r>
      <w:r w:rsidRPr="005B4C2D">
        <w:rPr>
          <w:rStyle w:val="InitialStyle"/>
        </w:rPr>
        <w:t>here will be limited opportunit</w:t>
      </w:r>
      <w:r>
        <w:rPr>
          <w:rStyle w:val="InitialStyle"/>
        </w:rPr>
        <w:t>y</w:t>
      </w:r>
      <w:r w:rsidRPr="005B4C2D">
        <w:rPr>
          <w:rStyle w:val="InitialStyle"/>
        </w:rPr>
        <w:t xml:space="preserve"> for comparison </w:t>
      </w:r>
      <w:r>
        <w:rPr>
          <w:rStyle w:val="InitialStyle"/>
        </w:rPr>
        <w:t xml:space="preserve">of antibiotic use estimates </w:t>
      </w:r>
      <w:r w:rsidRPr="005B4C2D">
        <w:rPr>
          <w:rStyle w:val="InitialStyle"/>
        </w:rPr>
        <w:t>bec</w:t>
      </w:r>
      <w:r>
        <w:rPr>
          <w:rStyle w:val="InitialStyle"/>
        </w:rPr>
        <w:t>ause little data exist</w:t>
      </w:r>
      <w:r w:rsidRPr="005B4C2D">
        <w:rPr>
          <w:rStyle w:val="InitialStyle"/>
        </w:rPr>
        <w:t xml:space="preserve"> for the type of information that is to be collected.</w:t>
      </w:r>
    </w:p>
    <w:p w14:paraId="7778703D" w14:textId="77777777" w:rsidR="009A2CA9" w:rsidRPr="005B4C2D" w:rsidRDefault="009A2CA9" w:rsidP="009A2CA9">
      <w:pPr>
        <w:pStyle w:val="DefaultText"/>
        <w:ind w:left="720" w:hanging="720"/>
        <w:rPr>
          <w:rStyle w:val="InitialStyle"/>
        </w:rPr>
      </w:pPr>
    </w:p>
    <w:p w14:paraId="6276BB1C" w14:textId="77777777" w:rsidR="004E48D9" w:rsidRPr="005B4C2D" w:rsidRDefault="009A2CA9" w:rsidP="009A2CA9">
      <w:pPr>
        <w:pStyle w:val="DefaultText"/>
        <w:numPr>
          <w:ilvl w:val="0"/>
          <w:numId w:val="20"/>
        </w:numPr>
        <w:rPr>
          <w:rStyle w:val="InitialStyle"/>
        </w:rPr>
      </w:pPr>
      <w:r>
        <w:rPr>
          <w:rStyle w:val="InitialStyle"/>
        </w:rPr>
        <w:t>Weights will be calculated to adjust for nonresponse</w:t>
      </w:r>
      <w:r w:rsidRPr="005B4C2D">
        <w:rPr>
          <w:rStyle w:val="InitialStyle"/>
        </w:rPr>
        <w:t xml:space="preserve">.  Weights of non-respondents will be transferred to responding operations that are most similar based on available data.  Within categories, the sum of weights of the non-respondents and respondents will be divided by the sum of the weights of the respondents only.  This factor will be used to adjust the weights of the respondents within the </w:t>
      </w:r>
      <w:r>
        <w:rPr>
          <w:rStyle w:val="InitialStyle"/>
        </w:rPr>
        <w:t>stratum</w:t>
      </w:r>
      <w:r w:rsidRPr="005B4C2D">
        <w:rPr>
          <w:rStyle w:val="InitialStyle"/>
        </w:rPr>
        <w:t>.  All weights for non-respondents will be set to zero.</w:t>
      </w:r>
    </w:p>
    <w:p w14:paraId="7FF51130" w14:textId="77777777" w:rsidR="00530401" w:rsidRDefault="00530401" w:rsidP="00530401">
      <w:pPr>
        <w:pStyle w:val="DefaultText"/>
        <w:spacing w:line="360" w:lineRule="auto"/>
        <w:rPr>
          <w:rStyle w:val="InitialStyle"/>
          <w:b/>
          <w:u w:val="single"/>
        </w:rPr>
      </w:pPr>
    </w:p>
    <w:p w14:paraId="77A14D7A"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02264905" w14:textId="77777777" w:rsidR="009A2CA9" w:rsidRPr="002018DF" w:rsidRDefault="009A2CA9" w:rsidP="009A2CA9">
      <w:pPr>
        <w:pStyle w:val="Heading3"/>
        <w:rPr>
          <w:rFonts w:ascii="Times New Roman" w:hAnsi="Times New Roman" w:cs="Times New Roman"/>
          <w:sz w:val="24"/>
          <w:szCs w:val="24"/>
        </w:rPr>
      </w:pPr>
      <w:r w:rsidRPr="005B4C2D">
        <w:rPr>
          <w:rStyle w:val="InitialStyle"/>
          <w:rFonts w:ascii="Times New Roman" w:hAnsi="Times New Roman" w:cs="Times New Roman"/>
          <w:b w:val="0"/>
          <w:sz w:val="24"/>
          <w:szCs w:val="24"/>
          <w:u w:val="single"/>
        </w:rPr>
        <w:t>Study Design</w:t>
      </w:r>
      <w:r w:rsidRPr="005B4C2D">
        <w:rPr>
          <w:rStyle w:val="InitialStyle"/>
          <w:rFonts w:ascii="Times New Roman" w:hAnsi="Times New Roman" w:cs="Times New Roman"/>
          <w:sz w:val="24"/>
          <w:szCs w:val="24"/>
        </w:rPr>
        <w:t>:</w:t>
      </w:r>
    </w:p>
    <w:p w14:paraId="11CBF67F" w14:textId="77777777" w:rsidR="009A2CA9" w:rsidRPr="005B4C2D" w:rsidRDefault="009A2CA9" w:rsidP="009A2CA9">
      <w:pPr>
        <w:pStyle w:val="DefaultText"/>
        <w:numPr>
          <w:ilvl w:val="0"/>
          <w:numId w:val="3"/>
        </w:numPr>
        <w:rPr>
          <w:rStyle w:val="InitialStyle"/>
        </w:rPr>
      </w:pPr>
      <w:r w:rsidRPr="005B4C2D">
        <w:rPr>
          <w:rStyle w:val="InitialStyle"/>
        </w:rPr>
        <w:t>Minimizing collection of data to that which is absolutely necessary.</w:t>
      </w:r>
    </w:p>
    <w:p w14:paraId="58BC2A06" w14:textId="77777777" w:rsidR="009A2CA9" w:rsidRPr="005B4C2D" w:rsidRDefault="009A2CA9" w:rsidP="009A2CA9">
      <w:pPr>
        <w:pStyle w:val="DefaultText"/>
        <w:rPr>
          <w:rStyle w:val="InitialStyle"/>
        </w:rPr>
      </w:pPr>
    </w:p>
    <w:p w14:paraId="45A50863" w14:textId="164F09A3" w:rsidR="009A2CA9" w:rsidRPr="005B4C2D" w:rsidRDefault="009A2CA9" w:rsidP="009A2CA9">
      <w:pPr>
        <w:pStyle w:val="DefaultText"/>
        <w:numPr>
          <w:ilvl w:val="0"/>
          <w:numId w:val="4"/>
        </w:numPr>
        <w:rPr>
          <w:rStyle w:val="InitialStyle"/>
        </w:rPr>
      </w:pPr>
      <w:r>
        <w:rPr>
          <w:rStyle w:val="InitialStyle"/>
        </w:rPr>
        <w:t>Meetings and discussions with swine industry representatives (Pork Board, National Pork Producers Council) have been undertaken to get industry support</w:t>
      </w:r>
      <w:r w:rsidRPr="005B4C2D">
        <w:rPr>
          <w:rStyle w:val="InitialStyle"/>
        </w:rPr>
        <w:t>.</w:t>
      </w:r>
      <w:r>
        <w:rPr>
          <w:rStyle w:val="InitialStyle"/>
        </w:rPr>
        <w:t xml:space="preserve">  </w:t>
      </w:r>
      <w:r w:rsidRPr="005B4C2D">
        <w:rPr>
          <w:rStyle w:val="InitialStyle"/>
        </w:rPr>
        <w:t xml:space="preserve">  </w:t>
      </w:r>
    </w:p>
    <w:p w14:paraId="673FA07E" w14:textId="77777777" w:rsidR="009A2CA9" w:rsidRPr="005B4C2D" w:rsidRDefault="009A2CA9" w:rsidP="009A2CA9">
      <w:pPr>
        <w:pStyle w:val="DefaultText"/>
        <w:rPr>
          <w:rStyle w:val="InitialStyle"/>
        </w:rPr>
      </w:pPr>
    </w:p>
    <w:p w14:paraId="0EFCFC82" w14:textId="71317F77" w:rsidR="009A2CA9" w:rsidRDefault="009A2CA9" w:rsidP="009A2CA9">
      <w:pPr>
        <w:pStyle w:val="DefaultText"/>
        <w:numPr>
          <w:ilvl w:val="0"/>
          <w:numId w:val="20"/>
        </w:numPr>
        <w:tabs>
          <w:tab w:val="left" w:pos="720"/>
          <w:tab w:val="center" w:pos="4320"/>
          <w:tab w:val="center" w:pos="5040"/>
          <w:tab w:val="center" w:pos="5760"/>
          <w:tab w:val="center" w:pos="7560"/>
        </w:tabs>
        <w:rPr>
          <w:rStyle w:val="InitialStyle"/>
        </w:rPr>
      </w:pPr>
      <w:r>
        <w:rPr>
          <w:rStyle w:val="InitialStyle"/>
        </w:rPr>
        <w:t>The survey will be administered in person by a trained APHIS or State veterinarian.  Prior to the APHIS visit, NASS will mail out a pre-survey letter,</w:t>
      </w:r>
      <w:r w:rsidR="007575DB">
        <w:rPr>
          <w:rStyle w:val="InitialStyle"/>
        </w:rPr>
        <w:t xml:space="preserve"> a copy of the survey, and an informational sheet about the study, </w:t>
      </w:r>
      <w:r>
        <w:rPr>
          <w:rStyle w:val="InitialStyle"/>
        </w:rPr>
        <w:t>followed by an in-person visit by a trained NASS enumerator</w:t>
      </w:r>
      <w:r w:rsidRPr="006C30C1">
        <w:rPr>
          <w:rStyle w:val="InitialStyle"/>
        </w:rPr>
        <w:t>.</w:t>
      </w:r>
      <w:r>
        <w:rPr>
          <w:rStyle w:val="InitialStyle"/>
        </w:rPr>
        <w:t xml:space="preserve">  The NASS enumerator will ask for the producers’ participation and, if consenting, the producer will sign a release allowing NASS to turn the contact information over to APHIS.</w:t>
      </w:r>
      <w:r w:rsidRPr="006C30C1">
        <w:rPr>
          <w:rStyle w:val="InitialStyle"/>
        </w:rPr>
        <w:t xml:space="preserve">  </w:t>
      </w:r>
      <w:r>
        <w:rPr>
          <w:rStyle w:val="InitialStyle"/>
        </w:rPr>
        <w:t>Recent NAHMS studies using similar methods have obtained response rates ranging from 40</w:t>
      </w:r>
      <w:r w:rsidRPr="00F92CFE">
        <w:rPr>
          <w:rStyle w:val="InitialStyle"/>
        </w:rPr>
        <w:t xml:space="preserve">% to </w:t>
      </w:r>
      <w:r>
        <w:rPr>
          <w:rStyle w:val="InitialStyle"/>
        </w:rPr>
        <w:t>62</w:t>
      </w:r>
      <w:r w:rsidRPr="00F92CFE">
        <w:rPr>
          <w:rStyle w:val="InitialStyle"/>
        </w:rPr>
        <w:t xml:space="preserve">% (Appendix </w:t>
      </w:r>
      <w:r w:rsidR="00AF3973">
        <w:rPr>
          <w:rStyle w:val="InitialStyle"/>
        </w:rPr>
        <w:t>D</w:t>
      </w:r>
      <w:r w:rsidRPr="00F92CFE">
        <w:rPr>
          <w:rStyle w:val="InitialStyle"/>
        </w:rPr>
        <w:t>).</w:t>
      </w:r>
      <w:r>
        <w:rPr>
          <w:rStyle w:val="InitialStyle"/>
        </w:rPr>
        <w:t xml:space="preserve">  </w:t>
      </w:r>
    </w:p>
    <w:p w14:paraId="1A6FCEF0" w14:textId="77777777" w:rsidR="009A2CA9" w:rsidRDefault="009A2CA9" w:rsidP="009A2CA9">
      <w:pPr>
        <w:pStyle w:val="DefaultText"/>
        <w:tabs>
          <w:tab w:val="left" w:pos="720"/>
          <w:tab w:val="center" w:pos="4320"/>
          <w:tab w:val="center" w:pos="5040"/>
          <w:tab w:val="center" w:pos="5760"/>
          <w:tab w:val="center" w:pos="7560"/>
        </w:tabs>
        <w:ind w:left="360"/>
        <w:rPr>
          <w:rStyle w:val="InitialStyle"/>
        </w:rPr>
      </w:pPr>
    </w:p>
    <w:p w14:paraId="4E627A25" w14:textId="77777777" w:rsidR="009A2CA9" w:rsidRDefault="009A2CA9" w:rsidP="009A2CA9">
      <w:pPr>
        <w:pStyle w:val="DefaultText"/>
        <w:numPr>
          <w:ilvl w:val="0"/>
          <w:numId w:val="20"/>
        </w:numPr>
        <w:tabs>
          <w:tab w:val="left" w:pos="720"/>
          <w:tab w:val="center" w:pos="4320"/>
          <w:tab w:val="center" w:pos="5040"/>
          <w:tab w:val="center" w:pos="5760"/>
          <w:tab w:val="center" w:pos="7560"/>
        </w:tabs>
        <w:rPr>
          <w:rStyle w:val="InitialStyle"/>
        </w:rPr>
      </w:pPr>
      <w:r>
        <w:rPr>
          <w:rStyle w:val="InitialStyle"/>
        </w:rPr>
        <w:t>A common problem in some NAHMS studies is that a substantial proportion of selected operations are no longer eligible (out of business, no animals)</w:t>
      </w:r>
      <w:r>
        <w:t>.  This usually occurs with smaller operations; however, because only operations with 1000 or more pigs are eligible for this survey, the issue of ineligible operations should be mitigated.</w:t>
      </w:r>
    </w:p>
    <w:p w14:paraId="32F4B6AF" w14:textId="77777777" w:rsidR="009A2CA9" w:rsidRDefault="009A2CA9" w:rsidP="009A2CA9">
      <w:pPr>
        <w:pStyle w:val="DefaultText"/>
        <w:rPr>
          <w:rStyle w:val="InitialStyle"/>
        </w:rPr>
      </w:pPr>
    </w:p>
    <w:p w14:paraId="711117DC" w14:textId="77777777" w:rsidR="009A2CA9" w:rsidRDefault="009A2CA9" w:rsidP="009A2CA9">
      <w:pPr>
        <w:pStyle w:val="DefaultText"/>
        <w:numPr>
          <w:ilvl w:val="0"/>
          <w:numId w:val="23"/>
        </w:numPr>
        <w:rPr>
          <w:rStyle w:val="InitialStyle"/>
        </w:rPr>
      </w:pPr>
      <w:r>
        <w:rPr>
          <w:rStyle w:val="InitialStyle"/>
        </w:rPr>
        <w:t xml:space="preserve">NAHMS will develop and participate in specialized training </w:t>
      </w:r>
      <w:r w:rsidRPr="00D36F02">
        <w:rPr>
          <w:rStyle w:val="InitialStyle"/>
        </w:rPr>
        <w:t xml:space="preserve">for </w:t>
      </w:r>
      <w:r>
        <w:rPr>
          <w:rStyle w:val="InitialStyle"/>
        </w:rPr>
        <w:t xml:space="preserve">data collectors to address </w:t>
      </w:r>
      <w:r w:rsidRPr="00D36F02">
        <w:rPr>
          <w:rStyle w:val="InitialStyle"/>
        </w:rPr>
        <w:t>anticipated difficu</w:t>
      </w:r>
      <w:r>
        <w:rPr>
          <w:rStyle w:val="InitialStyle"/>
        </w:rPr>
        <w:t>lties with questions.</w:t>
      </w:r>
    </w:p>
    <w:p w14:paraId="37CD4D48" w14:textId="77777777" w:rsidR="009A2CA9" w:rsidRPr="005B4C2D" w:rsidRDefault="009A2CA9" w:rsidP="009A2CA9">
      <w:pPr>
        <w:pStyle w:val="Heading3"/>
        <w:rPr>
          <w:rStyle w:val="InitialStyle"/>
          <w:rFonts w:ascii="Times New Roman" w:hAnsi="Times New Roman" w:cs="Times New Roman"/>
          <w:sz w:val="24"/>
          <w:szCs w:val="24"/>
        </w:rPr>
      </w:pPr>
      <w:bookmarkStart w:id="32" w:name="_Toc120517353"/>
      <w:bookmarkStart w:id="33" w:name="_Toc121289112"/>
      <w:bookmarkStart w:id="34" w:name="_Toc133308581"/>
      <w:bookmarkStart w:id="35" w:name="_Toc142106616"/>
      <w:r w:rsidRPr="005B4C2D">
        <w:rPr>
          <w:rStyle w:val="InitialStyle"/>
          <w:rFonts w:ascii="Times New Roman" w:hAnsi="Times New Roman" w:cs="Times New Roman"/>
          <w:b w:val="0"/>
          <w:sz w:val="24"/>
          <w:szCs w:val="24"/>
          <w:u w:val="single"/>
        </w:rPr>
        <w:t>Non-response</w:t>
      </w:r>
      <w:r w:rsidRPr="005B4C2D">
        <w:rPr>
          <w:rStyle w:val="InitialStyle"/>
          <w:rFonts w:ascii="Times New Roman" w:hAnsi="Times New Roman" w:cs="Times New Roman"/>
          <w:sz w:val="24"/>
          <w:szCs w:val="24"/>
        </w:rPr>
        <w:t>:</w:t>
      </w:r>
      <w:bookmarkEnd w:id="32"/>
      <w:bookmarkEnd w:id="33"/>
      <w:bookmarkEnd w:id="34"/>
      <w:bookmarkEnd w:id="35"/>
    </w:p>
    <w:p w14:paraId="5A1A8E75" w14:textId="77777777" w:rsidR="009A2CA9" w:rsidRDefault="009A2CA9" w:rsidP="009A2CA9">
      <w:pPr>
        <w:pStyle w:val="DefaultText"/>
        <w:numPr>
          <w:ilvl w:val="0"/>
          <w:numId w:val="5"/>
        </w:numPr>
        <w:rPr>
          <w:rStyle w:val="InitialStyle"/>
        </w:rPr>
      </w:pPr>
      <w:r w:rsidRPr="005B4C2D">
        <w:rPr>
          <w:rStyle w:val="InitialStyle"/>
        </w:rPr>
        <w:t xml:space="preserve">The study is supported by </w:t>
      </w:r>
      <w:r>
        <w:rPr>
          <w:rStyle w:val="InitialStyle"/>
        </w:rPr>
        <w:t>industry representatives who have contributed to the study development.</w:t>
      </w:r>
    </w:p>
    <w:p w14:paraId="47D80D66" w14:textId="77777777" w:rsidR="009A2CA9" w:rsidRPr="005B4C2D" w:rsidRDefault="009A2CA9" w:rsidP="009A2CA9">
      <w:pPr>
        <w:pStyle w:val="DefaultText"/>
        <w:ind w:left="360"/>
        <w:rPr>
          <w:rStyle w:val="InitialStyle"/>
        </w:rPr>
      </w:pPr>
    </w:p>
    <w:p w14:paraId="4686D54D" w14:textId="77777777" w:rsidR="009A2CA9" w:rsidRPr="005B4C2D" w:rsidRDefault="009A2CA9" w:rsidP="009A2CA9">
      <w:pPr>
        <w:pStyle w:val="DefaultText"/>
        <w:numPr>
          <w:ilvl w:val="0"/>
          <w:numId w:val="5"/>
        </w:numPr>
        <w:rPr>
          <w:rStyle w:val="InitialStyle"/>
        </w:rPr>
      </w:pPr>
      <w:r>
        <w:rPr>
          <w:rStyle w:val="InitialStyle"/>
        </w:rPr>
        <w:t xml:space="preserve">The mailing of a pre-survey </w:t>
      </w:r>
      <w:r w:rsidRPr="005B4C2D">
        <w:rPr>
          <w:rStyle w:val="InitialStyle"/>
        </w:rPr>
        <w:t xml:space="preserve">cover letter and </w:t>
      </w:r>
      <w:r>
        <w:rPr>
          <w:rStyle w:val="InitialStyle"/>
        </w:rPr>
        <w:t>information sheet</w:t>
      </w:r>
      <w:r w:rsidRPr="005B4C2D">
        <w:rPr>
          <w:rStyle w:val="InitialStyle"/>
        </w:rPr>
        <w:t xml:space="preserve"> announcing the study </w:t>
      </w:r>
      <w:r>
        <w:rPr>
          <w:rStyle w:val="InitialStyle"/>
        </w:rPr>
        <w:t xml:space="preserve">will </w:t>
      </w:r>
      <w:r w:rsidRPr="005B4C2D">
        <w:rPr>
          <w:rStyle w:val="InitialStyle"/>
        </w:rPr>
        <w:t xml:space="preserve">give </w:t>
      </w:r>
      <w:r>
        <w:rPr>
          <w:rStyle w:val="InitialStyle"/>
        </w:rPr>
        <w:t>producers</w:t>
      </w:r>
      <w:r w:rsidRPr="005B4C2D">
        <w:rPr>
          <w:rStyle w:val="InitialStyle"/>
        </w:rPr>
        <w:t xml:space="preserve"> more information on the study and why participation is important.  </w:t>
      </w:r>
    </w:p>
    <w:p w14:paraId="3DB1BD3F" w14:textId="77777777" w:rsidR="009A2CA9" w:rsidRPr="005B4C2D" w:rsidRDefault="009A2CA9" w:rsidP="009A2CA9">
      <w:pPr>
        <w:pStyle w:val="Heading3"/>
        <w:rPr>
          <w:rStyle w:val="InitialStyle"/>
        </w:rPr>
      </w:pPr>
      <w:r w:rsidRPr="00987009">
        <w:rPr>
          <w:rStyle w:val="InitialStyle"/>
          <w:rFonts w:ascii="Times New Roman" w:hAnsi="Times New Roman"/>
          <w:b w:val="0"/>
          <w:bCs w:val="0"/>
          <w:sz w:val="24"/>
          <w:u w:val="single"/>
        </w:rPr>
        <w:t>Non-response adjustment:</w:t>
      </w:r>
      <w:r w:rsidRPr="005B4C2D">
        <w:rPr>
          <w:rStyle w:val="InitialStyle"/>
        </w:rPr>
        <w:tab/>
      </w:r>
    </w:p>
    <w:p w14:paraId="66B5DE4B" w14:textId="77777777" w:rsidR="009A2CA9" w:rsidRPr="005B4C2D" w:rsidRDefault="009A2CA9" w:rsidP="009A2CA9">
      <w:pPr>
        <w:pStyle w:val="DefaultText"/>
        <w:numPr>
          <w:ilvl w:val="0"/>
          <w:numId w:val="5"/>
        </w:numPr>
        <w:rPr>
          <w:rStyle w:val="InitialStyle"/>
        </w:rPr>
      </w:pPr>
      <w:r w:rsidRPr="005B4C2D">
        <w:rPr>
          <w:rStyle w:val="InitialStyle"/>
        </w:rPr>
        <w:t xml:space="preserve">Response rates, given the methods described above, are expected to be approximately </w:t>
      </w:r>
      <w:r>
        <w:rPr>
          <w:rStyle w:val="InitialStyle"/>
        </w:rPr>
        <w:t>50</w:t>
      </w:r>
      <w:r w:rsidRPr="005B4C2D">
        <w:rPr>
          <w:rStyle w:val="InitialStyle"/>
        </w:rPr>
        <w:t>% for this study.  If the respondents differ substantially from the non-respondents there will be the potential for bias.  There are two approaches that we will use to examine fo</w:t>
      </w:r>
      <w:r>
        <w:rPr>
          <w:rStyle w:val="InitialStyle"/>
        </w:rPr>
        <w:t>r potential bias.  First, NASS’</w:t>
      </w:r>
      <w:r w:rsidRPr="005B4C2D">
        <w:rPr>
          <w:rStyle w:val="InitialStyle"/>
        </w:rPr>
        <w:t xml:space="preserve"> list frame control data </w:t>
      </w:r>
      <w:r>
        <w:rPr>
          <w:rStyle w:val="InitialStyle"/>
        </w:rPr>
        <w:t>may</w:t>
      </w:r>
      <w:r w:rsidRPr="005B4C2D">
        <w:rPr>
          <w:rStyle w:val="InitialStyle"/>
        </w:rPr>
        <w:t xml:space="preserve"> be available for both respondents and non-respondents to allow for examination of potential differences in the types of responding and non-responding producers.  Secondly, we can compare estimates from the study with available indicators from other sources.  For example, although we do not publish estimates of </w:t>
      </w:r>
      <w:r>
        <w:rPr>
          <w:rStyle w:val="InitialStyle"/>
        </w:rPr>
        <w:t>animal</w:t>
      </w:r>
      <w:r w:rsidRPr="005B4C2D">
        <w:rPr>
          <w:rStyle w:val="InitialStyle"/>
        </w:rPr>
        <w:t xml:space="preserve"> inventory, the study results will allow us to make estimates that we can use to compare against NASS’ inventory estimates.  </w:t>
      </w:r>
      <w:r>
        <w:rPr>
          <w:rStyle w:val="InitialStyle"/>
        </w:rPr>
        <w:t>T</w:t>
      </w:r>
      <w:r w:rsidRPr="005B4C2D">
        <w:rPr>
          <w:rStyle w:val="InitialStyle"/>
        </w:rPr>
        <w:t>here will be limited opportunit</w:t>
      </w:r>
      <w:r>
        <w:rPr>
          <w:rStyle w:val="InitialStyle"/>
        </w:rPr>
        <w:t>y</w:t>
      </w:r>
      <w:r w:rsidRPr="005B4C2D">
        <w:rPr>
          <w:rStyle w:val="InitialStyle"/>
        </w:rPr>
        <w:t xml:space="preserve"> for comparison </w:t>
      </w:r>
      <w:r>
        <w:rPr>
          <w:rStyle w:val="InitialStyle"/>
        </w:rPr>
        <w:t xml:space="preserve">of antibiotic use estimates </w:t>
      </w:r>
      <w:r w:rsidRPr="005B4C2D">
        <w:rPr>
          <w:rStyle w:val="InitialStyle"/>
        </w:rPr>
        <w:t>bec</w:t>
      </w:r>
      <w:r>
        <w:rPr>
          <w:rStyle w:val="InitialStyle"/>
        </w:rPr>
        <w:t>ause little data exist</w:t>
      </w:r>
      <w:r w:rsidRPr="005B4C2D">
        <w:rPr>
          <w:rStyle w:val="InitialStyle"/>
        </w:rPr>
        <w:t xml:space="preserve"> for the type of information that is to be collected.</w:t>
      </w:r>
    </w:p>
    <w:p w14:paraId="6A1DDD3A" w14:textId="77777777" w:rsidR="009A2CA9" w:rsidRPr="005B4C2D" w:rsidRDefault="009A2CA9" w:rsidP="009A2CA9">
      <w:pPr>
        <w:pStyle w:val="DefaultText"/>
        <w:ind w:left="720" w:hanging="720"/>
        <w:rPr>
          <w:rStyle w:val="InitialStyle"/>
        </w:rPr>
      </w:pPr>
    </w:p>
    <w:p w14:paraId="16BCEF30" w14:textId="77777777" w:rsidR="00530401" w:rsidRPr="005B4C2D" w:rsidRDefault="009A2CA9" w:rsidP="009A2CA9">
      <w:pPr>
        <w:pStyle w:val="DefaultText"/>
        <w:numPr>
          <w:ilvl w:val="0"/>
          <w:numId w:val="20"/>
        </w:numPr>
        <w:rPr>
          <w:rStyle w:val="InitialStyle"/>
        </w:rPr>
      </w:pPr>
      <w:r w:rsidRPr="005B4C2D">
        <w:rPr>
          <w:rStyle w:val="InitialStyle"/>
        </w:rPr>
        <w:t xml:space="preserve">The sampling design necessitates the use of weights which </w:t>
      </w:r>
      <w:r>
        <w:rPr>
          <w:rStyle w:val="InitialStyle"/>
        </w:rPr>
        <w:t>are based on</w:t>
      </w:r>
      <w:r w:rsidRPr="005B4C2D">
        <w:rPr>
          <w:rStyle w:val="InitialStyle"/>
        </w:rPr>
        <w:t xml:space="preserve"> the initial selection probabilities</w:t>
      </w:r>
      <w:r>
        <w:rPr>
          <w:rStyle w:val="InitialStyle"/>
        </w:rPr>
        <w:t>, and then adjusted for nonresponse</w:t>
      </w:r>
      <w:r w:rsidRPr="005B4C2D">
        <w:rPr>
          <w:rStyle w:val="InitialStyle"/>
        </w:rPr>
        <w:t xml:space="preserve">.  Weights of non-respondents will be transferred to responding operations that are most similar based on available data.  </w:t>
      </w:r>
      <w:r>
        <w:rPr>
          <w:rStyle w:val="InitialStyle"/>
        </w:rPr>
        <w:t>The nonresponse adjustment will use the method of propensity scores, whereby a logistic model is constructed to model the probability of responding</w:t>
      </w:r>
      <w:r w:rsidRPr="005B4C2D">
        <w:rPr>
          <w:rStyle w:val="InitialStyle"/>
        </w:rPr>
        <w:t>.</w:t>
      </w:r>
      <w:r>
        <w:rPr>
          <w:rStyle w:val="InitialStyle"/>
        </w:rPr>
        <w:t xml:space="preserve">  The inverse of this probability is the nonresponse adjustment.</w:t>
      </w:r>
      <w:r w:rsidRPr="005B4C2D">
        <w:rPr>
          <w:rStyle w:val="InitialStyle"/>
        </w:rPr>
        <w:t xml:space="preserve">  All weights for non-respondents will be set to zero.</w:t>
      </w:r>
    </w:p>
    <w:p w14:paraId="6930B43D" w14:textId="77777777" w:rsidR="004E48D9" w:rsidRPr="005B4C2D" w:rsidRDefault="004E48D9" w:rsidP="004E48D9">
      <w:pPr>
        <w:pStyle w:val="DefaultText"/>
        <w:rPr>
          <w:rStyle w:val="InitialStyle"/>
        </w:rPr>
      </w:pPr>
    </w:p>
    <w:p w14:paraId="0C7F8405" w14:textId="77777777" w:rsidR="004E48D9" w:rsidRPr="005B4C2D" w:rsidRDefault="004E48D9" w:rsidP="00FE76DA">
      <w:pPr>
        <w:pStyle w:val="Heading2"/>
        <w:numPr>
          <w:ilvl w:val="0"/>
          <w:numId w:val="13"/>
        </w:numPr>
        <w:rPr>
          <w:rStyle w:val="InitialStyle"/>
          <w:rFonts w:ascii="Times New Roman" w:hAnsi="Times New Roman" w:cs="Times New Roman"/>
          <w:i w:val="0"/>
          <w:sz w:val="24"/>
          <w:szCs w:val="24"/>
        </w:rPr>
      </w:pPr>
      <w:bookmarkStart w:id="36" w:name="_Toc120517355"/>
      <w:bookmarkStart w:id="37" w:name="_Toc121289114"/>
      <w:bookmarkStart w:id="38" w:name="_Toc133308583"/>
      <w:bookmarkStart w:id="39" w:name="_Toc142106618"/>
      <w:r w:rsidRPr="005B4C2D">
        <w:rPr>
          <w:rStyle w:val="InitialStyle"/>
          <w:rFonts w:ascii="Times New Roman" w:hAnsi="Times New Roman" w:cs="Times New Roman"/>
          <w:i w:val="0"/>
          <w:sz w:val="24"/>
          <w:szCs w:val="24"/>
        </w:rPr>
        <w:t>Describe</w:t>
      </w:r>
      <w:bookmarkEnd w:id="36"/>
      <w:bookmarkEnd w:id="37"/>
      <w:r w:rsidRPr="005B4C2D">
        <w:rPr>
          <w:rStyle w:val="InitialStyle"/>
          <w:rFonts w:ascii="Times New Roman" w:hAnsi="Times New Roman" w:cs="Times New Roman"/>
          <w:i w:val="0"/>
          <w:sz w:val="24"/>
          <w:szCs w:val="24"/>
        </w:rPr>
        <w:t xml:space="preserve"> any tests of procedures or methods to be undertaken.</w:t>
      </w:r>
      <w:bookmarkEnd w:id="38"/>
      <w:bookmarkEnd w:id="39"/>
    </w:p>
    <w:p w14:paraId="12F870F6" w14:textId="77777777" w:rsidR="00530401" w:rsidRPr="00530401" w:rsidRDefault="00530401" w:rsidP="00530401">
      <w:pPr>
        <w:pStyle w:val="DefaultText"/>
        <w:ind w:left="360"/>
        <w:rPr>
          <w:rStyle w:val="InitialStyle"/>
          <w:b/>
          <w:u w:val="single"/>
        </w:rPr>
      </w:pPr>
      <w:r w:rsidRPr="00530401">
        <w:rPr>
          <w:rStyle w:val="InitialStyle"/>
          <w:b/>
          <w:u w:val="single"/>
        </w:rPr>
        <w:t>Cattle-on-Feed Antimicrobial Use</w:t>
      </w:r>
    </w:p>
    <w:p w14:paraId="6012493C" w14:textId="77777777" w:rsidR="004E48D9" w:rsidRPr="005B4C2D" w:rsidRDefault="004E48D9" w:rsidP="004E48D9">
      <w:pPr>
        <w:pStyle w:val="DefaultText"/>
        <w:rPr>
          <w:rStyle w:val="InitialStyle"/>
        </w:rPr>
      </w:pPr>
    </w:p>
    <w:p w14:paraId="389061A8" w14:textId="54E0C5EB" w:rsidR="00B1230C" w:rsidRDefault="00B1230C" w:rsidP="004E48D9">
      <w:pPr>
        <w:pStyle w:val="DefaultText"/>
        <w:rPr>
          <w:rStyle w:val="InitialStyle"/>
        </w:rPr>
      </w:pPr>
    </w:p>
    <w:p w14:paraId="7C3F7384" w14:textId="5EF76C87" w:rsidR="007575DB" w:rsidRDefault="007575DB" w:rsidP="004E48D9">
      <w:pPr>
        <w:pStyle w:val="DefaultText"/>
        <w:rPr>
          <w:rStyle w:val="InitialStyle"/>
        </w:rPr>
      </w:pPr>
      <w:r>
        <w:rPr>
          <w:rStyle w:val="InitialStyle"/>
        </w:rPr>
        <w:t>An initial version of t</w:t>
      </w:r>
      <w:r w:rsidR="00CD1952">
        <w:rPr>
          <w:rStyle w:val="InitialStyle"/>
        </w:rPr>
        <w:t>he proposed Cattle on Feed questionnaire</w:t>
      </w:r>
      <w:r>
        <w:rPr>
          <w:rStyle w:val="InitialStyle"/>
        </w:rPr>
        <w:t xml:space="preserve"> </w:t>
      </w:r>
      <w:r w:rsidR="00CD1952">
        <w:rPr>
          <w:rStyle w:val="InitialStyle"/>
        </w:rPr>
        <w:t>was</w:t>
      </w:r>
      <w:r>
        <w:rPr>
          <w:rStyle w:val="InitialStyle"/>
        </w:rPr>
        <w:t xml:space="preserve"> tested on one large capacity </w:t>
      </w:r>
      <w:r w:rsidR="00CD1952">
        <w:rPr>
          <w:rStyle w:val="InitialStyle"/>
        </w:rPr>
        <w:t>operation.  The lessons learned from this test were used to make the questionnaire easier for respondents and improves the quality of the information collected.</w:t>
      </w:r>
    </w:p>
    <w:p w14:paraId="15FF423A" w14:textId="77777777" w:rsidR="00530401" w:rsidRDefault="00530401" w:rsidP="004E48D9">
      <w:pPr>
        <w:pStyle w:val="DefaultText"/>
        <w:rPr>
          <w:rStyle w:val="InitialStyle"/>
        </w:rPr>
      </w:pPr>
    </w:p>
    <w:p w14:paraId="7C9C5686" w14:textId="77777777" w:rsidR="00530401" w:rsidRPr="008D055D" w:rsidRDefault="00530401" w:rsidP="00530401">
      <w:pPr>
        <w:pStyle w:val="DefaultText"/>
        <w:spacing w:line="360" w:lineRule="auto"/>
        <w:rPr>
          <w:b/>
          <w:u w:val="single"/>
        </w:rPr>
      </w:pPr>
      <w:bookmarkStart w:id="40" w:name="_Toc120517356"/>
      <w:bookmarkStart w:id="41" w:name="_Toc121289115"/>
      <w:bookmarkStart w:id="42" w:name="_Toc133308584"/>
      <w:bookmarkStart w:id="43" w:name="_Toc142106619"/>
      <w:r w:rsidRPr="008D055D">
        <w:rPr>
          <w:rStyle w:val="InitialStyle"/>
          <w:b/>
          <w:u w:val="single"/>
        </w:rPr>
        <w:t>Swine Antimicrobial Use Study</w:t>
      </w:r>
    </w:p>
    <w:p w14:paraId="1B81FBA9" w14:textId="1973317E" w:rsidR="00CD1952" w:rsidRDefault="00CD1952" w:rsidP="00530401">
      <w:pPr>
        <w:pStyle w:val="DefaultText"/>
        <w:rPr>
          <w:rStyle w:val="InitialStyle"/>
        </w:rPr>
      </w:pPr>
    </w:p>
    <w:p w14:paraId="758F4C05" w14:textId="486B7BAF" w:rsidR="00CD1952" w:rsidRDefault="00CD1952" w:rsidP="00530401">
      <w:pPr>
        <w:pStyle w:val="DefaultText"/>
        <w:rPr>
          <w:rStyle w:val="InitialStyle"/>
        </w:rPr>
      </w:pPr>
      <w:r>
        <w:rPr>
          <w:rStyle w:val="InitialStyle"/>
        </w:rPr>
        <w:t>An initial version of the proposed Weaned Pig Operations and Weaned Pig Site questionnaires were tested on two swine operations and sites.  The lessons learned from these test were used to make the questionnaire easier for respondents and improves the quality of the information collected.</w:t>
      </w:r>
    </w:p>
    <w:p w14:paraId="4D6DE292" w14:textId="77777777" w:rsidR="003751DB" w:rsidRDefault="003751DB" w:rsidP="00B1230C">
      <w:pPr>
        <w:pStyle w:val="DefaultText"/>
        <w:ind w:left="720" w:hanging="720"/>
        <w:rPr>
          <w:rStyle w:val="InitialStyle"/>
          <w:b/>
        </w:rPr>
      </w:pPr>
    </w:p>
    <w:p w14:paraId="0B99CE83" w14:textId="77777777" w:rsidR="00530401" w:rsidRDefault="00530401" w:rsidP="00B1230C">
      <w:pPr>
        <w:pStyle w:val="DefaultText"/>
        <w:ind w:left="720" w:hanging="720"/>
        <w:rPr>
          <w:rStyle w:val="InitialStyle"/>
          <w:b/>
        </w:rPr>
      </w:pPr>
    </w:p>
    <w:p w14:paraId="26943868" w14:textId="77777777" w:rsidR="004E48D9" w:rsidRDefault="00B1230C" w:rsidP="00B1230C">
      <w:pPr>
        <w:pStyle w:val="DefaultText"/>
        <w:ind w:left="720" w:hanging="720"/>
        <w:rPr>
          <w:rStyle w:val="InitialStyle"/>
          <w:b/>
        </w:rPr>
      </w:pPr>
      <w:r>
        <w:rPr>
          <w:rStyle w:val="InitialStyle"/>
          <w:b/>
        </w:rPr>
        <w:t>5.</w:t>
      </w:r>
      <w:r>
        <w:rPr>
          <w:rStyle w:val="InitialStyle"/>
          <w:b/>
        </w:rPr>
        <w:tab/>
      </w:r>
      <w:r w:rsidRPr="00B1230C">
        <w:rPr>
          <w:rStyle w:val="InitialStyle"/>
          <w:b/>
        </w:rPr>
        <w:t>Pr</w:t>
      </w:r>
      <w:r w:rsidR="004E48D9" w:rsidRPr="00B1230C">
        <w:rPr>
          <w:rStyle w:val="InitialStyle"/>
          <w:b/>
        </w:rPr>
        <w:t>ovide the name and telephone number of individuals consulted on statistical aspects of the design and the name of the agency unit, contractor(s), grantee(s), or other person(s) who will actually collect and /or analyze the information for the agency.</w:t>
      </w:r>
      <w:bookmarkEnd w:id="40"/>
      <w:bookmarkEnd w:id="41"/>
      <w:bookmarkEnd w:id="42"/>
      <w:bookmarkEnd w:id="43"/>
    </w:p>
    <w:p w14:paraId="1F44A5D4" w14:textId="77777777" w:rsidR="00530401" w:rsidRPr="00B1230C" w:rsidRDefault="00530401" w:rsidP="00B1230C">
      <w:pPr>
        <w:pStyle w:val="DefaultText"/>
        <w:ind w:left="720" w:hanging="720"/>
        <w:rPr>
          <w:rStyle w:val="InitialStyle"/>
          <w:b/>
        </w:rPr>
      </w:pPr>
    </w:p>
    <w:p w14:paraId="279A8AC3" w14:textId="77777777" w:rsidR="00530401" w:rsidRPr="00530401" w:rsidRDefault="00530401" w:rsidP="00530401">
      <w:pPr>
        <w:pStyle w:val="DefaultText"/>
        <w:rPr>
          <w:rStyle w:val="InitialStyle"/>
          <w:b/>
          <w:u w:val="single"/>
        </w:rPr>
      </w:pPr>
      <w:r w:rsidRPr="00530401">
        <w:rPr>
          <w:rStyle w:val="InitialStyle"/>
          <w:b/>
          <w:u w:val="single"/>
        </w:rPr>
        <w:t>Cattle-on-Feed Antimicrobial Use</w:t>
      </w:r>
    </w:p>
    <w:p w14:paraId="6ECA1F06" w14:textId="77777777" w:rsidR="004E48D9" w:rsidRPr="005B4C2D" w:rsidRDefault="004E48D9" w:rsidP="004E48D9">
      <w:pPr>
        <w:pStyle w:val="DefaultText"/>
        <w:rPr>
          <w:rStyle w:val="InitialStyle"/>
          <w:b/>
        </w:rPr>
      </w:pPr>
    </w:p>
    <w:p w14:paraId="5B150E42" w14:textId="77777777" w:rsidR="004E48D9" w:rsidRPr="005B4C2D" w:rsidRDefault="004E48D9" w:rsidP="004E48D9">
      <w:pPr>
        <w:pStyle w:val="DefaultText"/>
        <w:rPr>
          <w:rStyle w:val="InitialStyle"/>
        </w:rPr>
      </w:pPr>
      <w:r w:rsidRPr="005B4C2D">
        <w:rPr>
          <w:rStyle w:val="InitialStyle"/>
        </w:rPr>
        <w:t xml:space="preserve">The statistical aspects of the design were coordinated by </w:t>
      </w:r>
      <w:r w:rsidR="007C3EFC">
        <w:rPr>
          <w:rStyle w:val="InitialStyle"/>
        </w:rPr>
        <w:t>Ms. Christine Kopral</w:t>
      </w:r>
      <w:r w:rsidRPr="005B4C2D">
        <w:rPr>
          <w:rStyle w:val="InitialStyle"/>
        </w:rPr>
        <w:t>, Statistician, USDA: APHIS, Veterinary Services, CEAH, Fort Collins, CO, (970) 494</w:t>
      </w:r>
      <w:r w:rsidR="00C618B9">
        <w:rPr>
          <w:rStyle w:val="InitialStyle"/>
        </w:rPr>
        <w:t>-</w:t>
      </w:r>
      <w:r w:rsidR="007C3EFC">
        <w:rPr>
          <w:rStyle w:val="InitialStyle"/>
        </w:rPr>
        <w:t xml:space="preserve"> 7325</w:t>
      </w:r>
      <w:r w:rsidRPr="005B4C2D">
        <w:rPr>
          <w:rStyle w:val="InitialStyle"/>
        </w:rPr>
        <w:t xml:space="preserve">.  The actual data collection will be conducted by </w:t>
      </w:r>
      <w:r w:rsidR="00E91923">
        <w:rPr>
          <w:rStyle w:val="InitialStyle"/>
        </w:rPr>
        <w:t>APHIS</w:t>
      </w:r>
      <w:r w:rsidRPr="005B4C2D">
        <w:rPr>
          <w:rStyle w:val="InitialStyle"/>
        </w:rPr>
        <w:t>.  Contact persons for data collection are:</w:t>
      </w:r>
    </w:p>
    <w:p w14:paraId="51D0D52A" w14:textId="77777777" w:rsidR="004E48D9" w:rsidRPr="005B4C2D" w:rsidRDefault="004E48D9" w:rsidP="004E48D9">
      <w:pPr>
        <w:pStyle w:val="DefaultText"/>
        <w:rPr>
          <w:rStyle w:val="InitialStyle"/>
        </w:rPr>
      </w:pPr>
    </w:p>
    <w:p w14:paraId="538E8845" w14:textId="77777777" w:rsidR="004E48D9" w:rsidRPr="005B4C2D" w:rsidRDefault="00C618B9" w:rsidP="004E48D9">
      <w:pPr>
        <w:pStyle w:val="DefaultText"/>
        <w:rPr>
          <w:rStyle w:val="InitialStyle"/>
        </w:rPr>
      </w:pPr>
      <w:r>
        <w:rPr>
          <w:rStyle w:val="InitialStyle"/>
        </w:rPr>
        <w:t>Mr. Gerald Tillman</w:t>
      </w:r>
      <w:r w:rsidR="004E48D9" w:rsidRPr="005B4C2D">
        <w:rPr>
          <w:rStyle w:val="InitialStyle"/>
        </w:rPr>
        <w:t>, Chief, Survey Administration Branch, Mail Stop 2024, 1400 Independence Ave., S.W., Washington, D.C. 20250, (202) 720-</w:t>
      </w:r>
      <w:r w:rsidR="00682C21">
        <w:rPr>
          <w:rStyle w:val="InitialStyle"/>
        </w:rPr>
        <w:t>3895</w:t>
      </w:r>
      <w:r w:rsidR="004E48D9" w:rsidRPr="005B4C2D">
        <w:rPr>
          <w:rStyle w:val="InitialStyle"/>
        </w:rPr>
        <w:t>.</w:t>
      </w:r>
    </w:p>
    <w:p w14:paraId="1E0E9B01" w14:textId="77777777" w:rsidR="004E48D9" w:rsidRPr="005B4C2D" w:rsidRDefault="004E48D9" w:rsidP="004E48D9">
      <w:pPr>
        <w:pStyle w:val="DefaultText"/>
        <w:rPr>
          <w:rStyle w:val="InitialStyle"/>
        </w:rPr>
      </w:pPr>
      <w:r w:rsidRPr="005B4C2D">
        <w:rPr>
          <w:rStyle w:val="InitialStyle"/>
        </w:rPr>
        <w:t xml:space="preserve">  </w:t>
      </w:r>
    </w:p>
    <w:p w14:paraId="315D4A55" w14:textId="77777777" w:rsidR="004E48D9" w:rsidRPr="005B4C2D" w:rsidRDefault="004E48D9" w:rsidP="004E48D9">
      <w:pPr>
        <w:pStyle w:val="DefaultText"/>
        <w:rPr>
          <w:rStyle w:val="InitialStyle"/>
        </w:rPr>
      </w:pPr>
      <w:r w:rsidRPr="005B4C2D">
        <w:rPr>
          <w:rStyle w:val="InitialStyle"/>
        </w:rPr>
        <w:t>Dr. J</w:t>
      </w:r>
      <w:r w:rsidR="002D2A6A">
        <w:rPr>
          <w:rStyle w:val="InitialStyle"/>
        </w:rPr>
        <w:t>ack Shere</w:t>
      </w:r>
      <w:r w:rsidRPr="005B4C2D">
        <w:rPr>
          <w:rStyle w:val="InitialStyle"/>
        </w:rPr>
        <w:t xml:space="preserve">, Deputy Administrator, USDA: APHIS, Veterinary Services, Washington, DC (202) </w:t>
      </w:r>
      <w:r w:rsidR="002D2A6A">
        <w:rPr>
          <w:rStyle w:val="InitialStyle"/>
        </w:rPr>
        <w:t>799-7146</w:t>
      </w:r>
      <w:r w:rsidRPr="005B4C2D">
        <w:rPr>
          <w:rStyle w:val="InitialStyle"/>
        </w:rPr>
        <w:t>.</w:t>
      </w:r>
    </w:p>
    <w:p w14:paraId="62F977F8" w14:textId="77777777" w:rsidR="004E48D9" w:rsidRPr="005B4C2D" w:rsidRDefault="004E48D9" w:rsidP="004E48D9">
      <w:pPr>
        <w:pStyle w:val="DefaultText"/>
        <w:ind w:left="1440"/>
        <w:rPr>
          <w:rStyle w:val="InitialStyle"/>
        </w:rPr>
      </w:pPr>
    </w:p>
    <w:p w14:paraId="177C3DD0" w14:textId="77777777" w:rsidR="004E48D9" w:rsidRPr="005B4C2D" w:rsidRDefault="004E48D9" w:rsidP="004E48D9">
      <w:pPr>
        <w:pStyle w:val="DefaultText"/>
        <w:rPr>
          <w:rStyle w:val="InitialStyle"/>
        </w:rPr>
      </w:pPr>
      <w:r w:rsidRPr="005B4C2D">
        <w:rPr>
          <w:rStyle w:val="InitialStyle"/>
        </w:rPr>
        <w:t xml:space="preserve">Analysis of the data will be accomplished by </w:t>
      </w:r>
      <w:r w:rsidR="003B5850">
        <w:rPr>
          <w:rStyle w:val="InitialStyle"/>
        </w:rPr>
        <w:t>Monitoring and Modeling</w:t>
      </w:r>
      <w:r w:rsidRPr="005B4C2D">
        <w:rPr>
          <w:rStyle w:val="InitialStyle"/>
        </w:rPr>
        <w:t xml:space="preserve"> veterinarians, epidemiologists, and statisticians under the direction of:</w:t>
      </w:r>
    </w:p>
    <w:p w14:paraId="145C0A70" w14:textId="77777777" w:rsidR="004E48D9" w:rsidRPr="005B4C2D" w:rsidRDefault="004E48D9" w:rsidP="004E48D9">
      <w:pPr>
        <w:pStyle w:val="DefaultText"/>
        <w:rPr>
          <w:rStyle w:val="InitialStyle"/>
        </w:rPr>
      </w:pPr>
    </w:p>
    <w:p w14:paraId="2A09352B" w14:textId="77777777" w:rsidR="00B1230C" w:rsidRDefault="004E48D9" w:rsidP="004E48D9">
      <w:pPr>
        <w:pStyle w:val="DefaultText"/>
        <w:rPr>
          <w:rStyle w:val="InitialStyle"/>
        </w:rPr>
      </w:pPr>
      <w:r w:rsidRPr="005B4C2D">
        <w:rPr>
          <w:rStyle w:val="InitialStyle"/>
        </w:rPr>
        <w:t xml:space="preserve">Dr. </w:t>
      </w:r>
      <w:r w:rsidR="00E91923">
        <w:rPr>
          <w:rStyle w:val="InitialStyle"/>
        </w:rPr>
        <w:t>Amy Delgado</w:t>
      </w:r>
      <w:r w:rsidRPr="005B4C2D">
        <w:rPr>
          <w:rStyle w:val="InitialStyle"/>
        </w:rPr>
        <w:t xml:space="preserve">, </w:t>
      </w:r>
      <w:r w:rsidR="00E91923">
        <w:rPr>
          <w:rStyle w:val="InitialStyle"/>
        </w:rPr>
        <w:t>Director</w:t>
      </w:r>
      <w:r w:rsidRPr="005B4C2D">
        <w:rPr>
          <w:rStyle w:val="InitialStyle"/>
        </w:rPr>
        <w:t xml:space="preserve">, </w:t>
      </w:r>
      <w:r w:rsidR="00E91923">
        <w:rPr>
          <w:rStyle w:val="InitialStyle"/>
        </w:rPr>
        <w:t>Monitoring and Modeling</w:t>
      </w:r>
      <w:r w:rsidRPr="005B4C2D">
        <w:rPr>
          <w:rStyle w:val="InitialStyle"/>
        </w:rPr>
        <w:t>, USDA: APHIS, VS, CEAH, 2150 Centre Avenue, Building B MS2E7, Fort Collins, CO 80526-8117 (970) 494-</w:t>
      </w:r>
      <w:r w:rsidR="00AC624E">
        <w:rPr>
          <w:rStyle w:val="InitialStyle"/>
        </w:rPr>
        <w:t>7</w:t>
      </w:r>
      <w:r w:rsidR="004A0885">
        <w:rPr>
          <w:rStyle w:val="InitialStyle"/>
        </w:rPr>
        <w:t>302</w:t>
      </w:r>
      <w:r w:rsidR="00B1230C">
        <w:rPr>
          <w:rStyle w:val="InitialStyle"/>
        </w:rPr>
        <w:t>.</w:t>
      </w:r>
    </w:p>
    <w:p w14:paraId="3E497B3A" w14:textId="77777777" w:rsidR="00861BAA" w:rsidRDefault="00861BAA" w:rsidP="00861BAA">
      <w:pPr>
        <w:autoSpaceDE w:val="0"/>
        <w:autoSpaceDN w:val="0"/>
        <w:adjustRightInd w:val="0"/>
        <w:rPr>
          <w:b/>
        </w:rPr>
      </w:pPr>
    </w:p>
    <w:p w14:paraId="24093A49"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110DD0AC" w14:textId="77777777" w:rsidR="00530401" w:rsidRPr="005B4C2D" w:rsidRDefault="00530401" w:rsidP="00530401">
      <w:pPr>
        <w:pStyle w:val="DefaultText"/>
        <w:rPr>
          <w:rStyle w:val="InitialStyle"/>
        </w:rPr>
      </w:pPr>
      <w:r w:rsidRPr="005B4C2D">
        <w:rPr>
          <w:rStyle w:val="InitialStyle"/>
        </w:rPr>
        <w:t xml:space="preserve">The statistical aspects of the design were coordinated by </w:t>
      </w:r>
      <w:r>
        <w:rPr>
          <w:rStyle w:val="InitialStyle"/>
        </w:rPr>
        <w:t>Ms. Christine Kopral</w:t>
      </w:r>
      <w:r w:rsidRPr="005B4C2D">
        <w:rPr>
          <w:rStyle w:val="InitialStyle"/>
        </w:rPr>
        <w:t>, Statistician, USDA: APHIS, Veterinary Services, CEAH, Fort Collins, CO, (970) 494</w:t>
      </w:r>
      <w:r>
        <w:rPr>
          <w:rStyle w:val="InitialStyle"/>
        </w:rPr>
        <w:t>- 7325</w:t>
      </w:r>
      <w:r w:rsidRPr="005B4C2D">
        <w:rPr>
          <w:rStyle w:val="InitialStyle"/>
        </w:rPr>
        <w:t>.  The actual data collection will be conducted by NASS.  Contact persons for data collection are:</w:t>
      </w:r>
    </w:p>
    <w:p w14:paraId="5A0B1B44" w14:textId="77777777" w:rsidR="00530401" w:rsidRPr="005B4C2D" w:rsidRDefault="00530401" w:rsidP="00530401">
      <w:pPr>
        <w:pStyle w:val="DefaultText"/>
        <w:rPr>
          <w:rStyle w:val="InitialStyle"/>
        </w:rPr>
      </w:pPr>
    </w:p>
    <w:p w14:paraId="7721F629" w14:textId="77777777" w:rsidR="00530401" w:rsidRPr="005B4C2D" w:rsidRDefault="00530401" w:rsidP="00530401">
      <w:pPr>
        <w:pStyle w:val="DefaultText"/>
        <w:rPr>
          <w:rStyle w:val="InitialStyle"/>
        </w:rPr>
      </w:pPr>
      <w:r>
        <w:rPr>
          <w:rStyle w:val="InitialStyle"/>
        </w:rPr>
        <w:t>Mr. Gerald Tillman</w:t>
      </w:r>
      <w:r w:rsidRPr="005B4C2D">
        <w:rPr>
          <w:rStyle w:val="InitialStyle"/>
        </w:rPr>
        <w:t>, Chief, Survey Administration Branch, Mail Stop 2024, 1400 Independence Ave., S.W., Washington, D.C. 20250, (202) 720-</w:t>
      </w:r>
      <w:r>
        <w:rPr>
          <w:rStyle w:val="InitialStyle"/>
        </w:rPr>
        <w:t>3895</w:t>
      </w:r>
      <w:r w:rsidRPr="005B4C2D">
        <w:rPr>
          <w:rStyle w:val="InitialStyle"/>
        </w:rPr>
        <w:t>.</w:t>
      </w:r>
    </w:p>
    <w:p w14:paraId="6CED89C3" w14:textId="77777777" w:rsidR="00530401" w:rsidRPr="005B4C2D" w:rsidRDefault="00530401" w:rsidP="00530401">
      <w:pPr>
        <w:pStyle w:val="DefaultText"/>
        <w:rPr>
          <w:rStyle w:val="InitialStyle"/>
        </w:rPr>
      </w:pPr>
      <w:r w:rsidRPr="005B4C2D">
        <w:rPr>
          <w:rStyle w:val="InitialStyle"/>
        </w:rPr>
        <w:t xml:space="preserve">  </w:t>
      </w:r>
    </w:p>
    <w:p w14:paraId="6FCAFC3E" w14:textId="77777777" w:rsidR="00530401" w:rsidRPr="005B4C2D" w:rsidRDefault="00530401" w:rsidP="00530401">
      <w:pPr>
        <w:pStyle w:val="DefaultText"/>
        <w:rPr>
          <w:rStyle w:val="InitialStyle"/>
        </w:rPr>
      </w:pPr>
      <w:r w:rsidRPr="005B4C2D">
        <w:rPr>
          <w:rStyle w:val="InitialStyle"/>
        </w:rPr>
        <w:t>Dr. J</w:t>
      </w:r>
      <w:r>
        <w:rPr>
          <w:rStyle w:val="InitialStyle"/>
        </w:rPr>
        <w:t>ack Shere</w:t>
      </w:r>
      <w:r w:rsidRPr="005B4C2D">
        <w:rPr>
          <w:rStyle w:val="InitialStyle"/>
        </w:rPr>
        <w:t xml:space="preserve">, Deputy Administrator, USDA: APHIS, Veterinary Services, Washington, DC (202) </w:t>
      </w:r>
      <w:r>
        <w:rPr>
          <w:rStyle w:val="InitialStyle"/>
        </w:rPr>
        <w:t>799-7146</w:t>
      </w:r>
      <w:r w:rsidRPr="005B4C2D">
        <w:rPr>
          <w:rStyle w:val="InitialStyle"/>
        </w:rPr>
        <w:t>.</w:t>
      </w:r>
    </w:p>
    <w:p w14:paraId="593BC0D8" w14:textId="77777777" w:rsidR="00530401" w:rsidRPr="005B4C2D" w:rsidRDefault="00530401" w:rsidP="00530401">
      <w:pPr>
        <w:pStyle w:val="DefaultText"/>
        <w:ind w:left="1440"/>
        <w:rPr>
          <w:rStyle w:val="InitialStyle"/>
        </w:rPr>
      </w:pPr>
    </w:p>
    <w:p w14:paraId="64621514" w14:textId="77777777" w:rsidR="00530401" w:rsidRPr="005B4C2D" w:rsidRDefault="00530401" w:rsidP="00530401">
      <w:pPr>
        <w:pStyle w:val="DefaultText"/>
        <w:rPr>
          <w:rStyle w:val="InitialStyle"/>
        </w:rPr>
      </w:pPr>
      <w:r w:rsidRPr="005B4C2D">
        <w:rPr>
          <w:rStyle w:val="InitialStyle"/>
        </w:rPr>
        <w:t>Analysis of t</w:t>
      </w:r>
      <w:r>
        <w:rPr>
          <w:rStyle w:val="InitialStyle"/>
        </w:rPr>
        <w:t>he data will be accomplished by</w:t>
      </w:r>
      <w:r w:rsidRPr="005B4C2D">
        <w:rPr>
          <w:rStyle w:val="InitialStyle"/>
        </w:rPr>
        <w:t xml:space="preserve"> </w:t>
      </w:r>
      <w:r>
        <w:rPr>
          <w:rStyle w:val="InitialStyle"/>
        </w:rPr>
        <w:t xml:space="preserve">Monitoring and Modeling </w:t>
      </w:r>
      <w:r w:rsidRPr="005B4C2D">
        <w:rPr>
          <w:rStyle w:val="InitialStyle"/>
        </w:rPr>
        <w:t>veterinarians, epidemiologists, and statisticians under the direction of:</w:t>
      </w:r>
    </w:p>
    <w:p w14:paraId="21CF8EB6" w14:textId="77777777" w:rsidR="00530401" w:rsidRPr="005B4C2D" w:rsidRDefault="00530401" w:rsidP="00530401">
      <w:pPr>
        <w:pStyle w:val="DefaultText"/>
        <w:rPr>
          <w:rStyle w:val="InitialStyle"/>
        </w:rPr>
      </w:pPr>
    </w:p>
    <w:p w14:paraId="32A2ABEB" w14:textId="77777777" w:rsidR="00530401" w:rsidRDefault="00530401" w:rsidP="00530401">
      <w:pPr>
        <w:pStyle w:val="DefaultText"/>
        <w:rPr>
          <w:rStyle w:val="InitialStyle"/>
        </w:rPr>
      </w:pPr>
      <w:r>
        <w:rPr>
          <w:rStyle w:val="InitialStyle"/>
        </w:rPr>
        <w:t>Dr. Amy Delgado</w:t>
      </w:r>
      <w:r w:rsidRPr="005B4C2D">
        <w:rPr>
          <w:rStyle w:val="InitialStyle"/>
        </w:rPr>
        <w:t xml:space="preserve">, </w:t>
      </w:r>
      <w:r>
        <w:rPr>
          <w:rStyle w:val="InitialStyle"/>
        </w:rPr>
        <w:t>Director</w:t>
      </w:r>
      <w:r w:rsidRPr="005B4C2D">
        <w:rPr>
          <w:rStyle w:val="InitialStyle"/>
        </w:rPr>
        <w:t xml:space="preserve">, </w:t>
      </w:r>
      <w:r>
        <w:rPr>
          <w:rStyle w:val="InitialStyle"/>
        </w:rPr>
        <w:t>Monitoring and Modeling</w:t>
      </w:r>
      <w:r w:rsidRPr="005B4C2D">
        <w:rPr>
          <w:rStyle w:val="InitialStyle"/>
        </w:rPr>
        <w:t>, USDA: APHIS, VS, CEAH, 2150 Centre Avenue, Building B MS2E7, Fort Collins, CO 80526-8117 (970) 494-</w:t>
      </w:r>
      <w:r>
        <w:rPr>
          <w:rStyle w:val="InitialStyle"/>
        </w:rPr>
        <w:t>7302.</w:t>
      </w:r>
    </w:p>
    <w:p w14:paraId="25AA1B02" w14:textId="77777777" w:rsidR="00530401" w:rsidRDefault="00530401" w:rsidP="00530401">
      <w:pPr>
        <w:autoSpaceDE w:val="0"/>
        <w:autoSpaceDN w:val="0"/>
        <w:adjustRightInd w:val="0"/>
        <w:rPr>
          <w:b/>
        </w:rPr>
      </w:pPr>
      <w:r>
        <w:rPr>
          <w:rStyle w:val="InitialStyle"/>
        </w:rPr>
        <w:br w:type="page"/>
      </w:r>
    </w:p>
    <w:p w14:paraId="09DADDE4" w14:textId="77777777" w:rsidR="00861BAA" w:rsidRDefault="00861BAA" w:rsidP="00861BAA">
      <w:pPr>
        <w:autoSpaceDE w:val="0"/>
        <w:autoSpaceDN w:val="0"/>
        <w:adjustRightInd w:val="0"/>
        <w:rPr>
          <w:b/>
        </w:rPr>
      </w:pPr>
      <w:r w:rsidRPr="00CC7174">
        <w:rPr>
          <w:b/>
        </w:rPr>
        <w:t xml:space="preserve">Appendix </w:t>
      </w:r>
      <w:r>
        <w:rPr>
          <w:b/>
        </w:rPr>
        <w:t>A</w:t>
      </w:r>
      <w:r w:rsidRPr="00CC7174">
        <w:rPr>
          <w:b/>
        </w:rPr>
        <w:t xml:space="preserve">:  </w:t>
      </w:r>
      <w:r>
        <w:rPr>
          <w:b/>
        </w:rPr>
        <w:t>Precision of Estimates</w:t>
      </w:r>
      <w:r w:rsidR="00530401">
        <w:rPr>
          <w:b/>
        </w:rPr>
        <w:t xml:space="preserve"> </w:t>
      </w:r>
    </w:p>
    <w:p w14:paraId="2C7F3637" w14:textId="77777777" w:rsidR="00530401" w:rsidRDefault="00530401" w:rsidP="00530401">
      <w:pPr>
        <w:pStyle w:val="DefaultText"/>
        <w:rPr>
          <w:rStyle w:val="InitialStyle"/>
          <w:b/>
          <w:u w:val="single"/>
        </w:rPr>
      </w:pPr>
    </w:p>
    <w:p w14:paraId="274FB346" w14:textId="77777777" w:rsidR="00530401" w:rsidRPr="00530401" w:rsidRDefault="00530401" w:rsidP="00530401">
      <w:pPr>
        <w:pStyle w:val="DefaultText"/>
        <w:rPr>
          <w:rStyle w:val="InitialStyle"/>
          <w:b/>
          <w:u w:val="single"/>
        </w:rPr>
      </w:pPr>
      <w:r w:rsidRPr="00530401">
        <w:rPr>
          <w:rStyle w:val="InitialStyle"/>
          <w:b/>
          <w:u w:val="single"/>
        </w:rPr>
        <w:t>Cattle-on-Feed Antimicrobial Use</w:t>
      </w:r>
    </w:p>
    <w:p w14:paraId="379D4F5C" w14:textId="77777777" w:rsidR="00861BAA" w:rsidRPr="00CC7174" w:rsidRDefault="00861BAA" w:rsidP="00861BAA">
      <w:pPr>
        <w:autoSpaceDE w:val="0"/>
        <w:autoSpaceDN w:val="0"/>
        <w:adjustRightInd w:val="0"/>
        <w:rPr>
          <w:b/>
        </w:rPr>
      </w:pPr>
    </w:p>
    <w:p w14:paraId="28FA487A" w14:textId="77777777" w:rsidR="009A2CA9" w:rsidRDefault="009A2CA9" w:rsidP="009A2CA9">
      <w:pPr>
        <w:autoSpaceDE w:val="0"/>
        <w:autoSpaceDN w:val="0"/>
        <w:adjustRightInd w:val="0"/>
        <w:rPr>
          <w:color w:val="000000"/>
        </w:rPr>
      </w:pPr>
      <w:r>
        <w:rPr>
          <w:color w:val="000000"/>
        </w:rPr>
        <w:t xml:space="preserve">Estimates of percent of operations and percent of animals will be reported at the national level and by size category.  </w:t>
      </w:r>
    </w:p>
    <w:p w14:paraId="24BB31CF" w14:textId="77777777" w:rsidR="009A2CA9" w:rsidRDefault="009A2CA9" w:rsidP="009A2CA9">
      <w:pPr>
        <w:autoSpaceDE w:val="0"/>
        <w:autoSpaceDN w:val="0"/>
        <w:adjustRightInd w:val="0"/>
        <w:rPr>
          <w:color w:val="000000"/>
        </w:rPr>
      </w:pPr>
    </w:p>
    <w:p w14:paraId="3C72A299" w14:textId="77777777" w:rsidR="009A2CA9" w:rsidRDefault="009A2CA9" w:rsidP="009A2CA9">
      <w:pPr>
        <w:autoSpaceDE w:val="0"/>
        <w:autoSpaceDN w:val="0"/>
        <w:adjustRightInd w:val="0"/>
        <w:rPr>
          <w:color w:val="000000"/>
        </w:rPr>
      </w:pPr>
      <w:r>
        <w:rPr>
          <w:color w:val="000000"/>
        </w:rPr>
        <w:t>Estimates of precision for proportions of .5 and .1 are shown in Table 1.  As an example, for the size category 1000-7999 and an expected proportion of 0.5, the coefficient of variation (CV) is 5%.  Only one of the estimated CV’s in the examples presented in Table 1 exceeds 20%.  We believe these CV’s err on the high side because the effective sample sizes will likely be higher than those shown here for a design effect of 2.</w:t>
      </w:r>
    </w:p>
    <w:p w14:paraId="14D49D9A" w14:textId="77777777" w:rsidR="009A2CA9" w:rsidRDefault="009A2CA9" w:rsidP="009A2CA9">
      <w:pPr>
        <w:autoSpaceDE w:val="0"/>
        <w:autoSpaceDN w:val="0"/>
        <w:adjustRightInd w:val="0"/>
        <w:rPr>
          <w:color w:val="000000"/>
        </w:rPr>
      </w:pPr>
    </w:p>
    <w:p w14:paraId="3BAEE481" w14:textId="77777777" w:rsidR="009A2CA9" w:rsidRDefault="009A2CA9" w:rsidP="009A2CA9">
      <w:pPr>
        <w:autoSpaceDE w:val="0"/>
        <w:autoSpaceDN w:val="0"/>
        <w:adjustRightInd w:val="0"/>
        <w:rPr>
          <w:color w:val="000000"/>
        </w:rPr>
      </w:pPr>
      <w:r w:rsidRPr="00D3269F">
        <w:rPr>
          <w:color w:val="000000"/>
        </w:rPr>
        <w:t xml:space="preserve">Table </w:t>
      </w:r>
      <w:r>
        <w:rPr>
          <w:color w:val="000000"/>
        </w:rPr>
        <w:t>1</w:t>
      </w:r>
      <w:r w:rsidRPr="00D3269F">
        <w:rPr>
          <w:color w:val="000000"/>
        </w:rPr>
        <w:t xml:space="preserve">.  </w:t>
      </w:r>
      <w:r>
        <w:rPr>
          <w:color w:val="000000"/>
        </w:rPr>
        <w:t>Precision of estimates, by reporting class and by expected proportion, at 95% confidence</w:t>
      </w:r>
      <w:r w:rsidRPr="00D3269F">
        <w:rPr>
          <w:color w:val="000000"/>
        </w:rPr>
        <w:t>.</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225"/>
        <w:gridCol w:w="990"/>
        <w:gridCol w:w="1440"/>
        <w:gridCol w:w="1260"/>
        <w:gridCol w:w="1260"/>
        <w:gridCol w:w="1440"/>
        <w:gridCol w:w="1350"/>
      </w:tblGrid>
      <w:tr w:rsidR="009A2CA9" w:rsidRPr="009266DE" w14:paraId="573C639A" w14:textId="77777777" w:rsidTr="00AB3BCF">
        <w:tc>
          <w:tcPr>
            <w:tcW w:w="1565" w:type="dxa"/>
            <w:shd w:val="clear" w:color="auto" w:fill="auto"/>
            <w:vAlign w:val="bottom"/>
          </w:tcPr>
          <w:p w14:paraId="3F80EE3F"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Reporting class</w:t>
            </w:r>
          </w:p>
        </w:tc>
        <w:tc>
          <w:tcPr>
            <w:tcW w:w="1225" w:type="dxa"/>
            <w:shd w:val="clear" w:color="auto" w:fill="auto"/>
          </w:tcPr>
          <w:p w14:paraId="5040C85E"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Total Population (N)</w:t>
            </w:r>
            <w:r w:rsidRPr="00E24729">
              <w:rPr>
                <w:color w:val="000000"/>
                <w:sz w:val="22"/>
                <w:szCs w:val="22"/>
                <w:vertAlign w:val="superscript"/>
              </w:rPr>
              <w:t>1</w:t>
            </w:r>
          </w:p>
        </w:tc>
        <w:tc>
          <w:tcPr>
            <w:tcW w:w="990" w:type="dxa"/>
          </w:tcPr>
          <w:p w14:paraId="6053A40D"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Sample size</w:t>
            </w:r>
          </w:p>
        </w:tc>
        <w:tc>
          <w:tcPr>
            <w:tcW w:w="1440" w:type="dxa"/>
            <w:shd w:val="clear" w:color="auto" w:fill="auto"/>
          </w:tcPr>
          <w:p w14:paraId="03C961C4"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Number of respondents at 50% response rate</w:t>
            </w:r>
          </w:p>
        </w:tc>
        <w:tc>
          <w:tcPr>
            <w:tcW w:w="1260" w:type="dxa"/>
          </w:tcPr>
          <w:p w14:paraId="5FB843EA"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Effective sample size with design effect of 2</w:t>
            </w:r>
          </w:p>
        </w:tc>
        <w:tc>
          <w:tcPr>
            <w:tcW w:w="1260" w:type="dxa"/>
          </w:tcPr>
          <w:p w14:paraId="3B124C30"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Expected proportion</w:t>
            </w:r>
          </w:p>
        </w:tc>
        <w:tc>
          <w:tcPr>
            <w:tcW w:w="1440" w:type="dxa"/>
          </w:tcPr>
          <w:p w14:paraId="4801A1A8"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Half-width of confidence interval</w:t>
            </w:r>
          </w:p>
          <w:p w14:paraId="01A38A2B"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79F848D1"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Coefficient of variation</w:t>
            </w:r>
          </w:p>
          <w:p w14:paraId="450E78C8"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w:t>
            </w:r>
          </w:p>
        </w:tc>
      </w:tr>
      <w:tr w:rsidR="009A2CA9" w:rsidRPr="009266DE" w14:paraId="7C9140F2" w14:textId="77777777" w:rsidTr="00AB3BCF">
        <w:tc>
          <w:tcPr>
            <w:tcW w:w="1565" w:type="dxa"/>
            <w:shd w:val="clear" w:color="auto" w:fill="auto"/>
          </w:tcPr>
          <w:p w14:paraId="42C5E7B5" w14:textId="77777777" w:rsidR="009A2CA9" w:rsidRPr="00E24729" w:rsidRDefault="009A2CA9" w:rsidP="00AB3BCF">
            <w:pPr>
              <w:autoSpaceDE w:val="0"/>
              <w:autoSpaceDN w:val="0"/>
              <w:adjustRightInd w:val="0"/>
              <w:rPr>
                <w:b/>
                <w:color w:val="000000"/>
                <w:sz w:val="22"/>
                <w:szCs w:val="22"/>
              </w:rPr>
            </w:pPr>
            <w:r>
              <w:rPr>
                <w:b/>
                <w:color w:val="000000"/>
                <w:sz w:val="22"/>
                <w:szCs w:val="22"/>
              </w:rPr>
              <w:t>High capacity component</w:t>
            </w:r>
          </w:p>
        </w:tc>
        <w:tc>
          <w:tcPr>
            <w:tcW w:w="1225" w:type="dxa"/>
            <w:shd w:val="clear" w:color="auto" w:fill="auto"/>
          </w:tcPr>
          <w:p w14:paraId="3D56DFA6"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48CEB56D"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3D12F36F"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B11C530"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3C69071"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439FF5E6"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6AA950E5"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2A656E38" w14:textId="77777777" w:rsidTr="00AB3BCF">
        <w:tc>
          <w:tcPr>
            <w:tcW w:w="1565" w:type="dxa"/>
            <w:shd w:val="clear" w:color="auto" w:fill="auto"/>
          </w:tcPr>
          <w:p w14:paraId="6B75895C"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17237B98"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474942B8"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60917824"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47BADB1D"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6674BFCC"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27EEF444"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151D918C"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6F66458B" w14:textId="77777777" w:rsidTr="00AB3BCF">
        <w:tc>
          <w:tcPr>
            <w:tcW w:w="1565" w:type="dxa"/>
            <w:shd w:val="clear" w:color="auto" w:fill="auto"/>
          </w:tcPr>
          <w:p w14:paraId="10422354"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 xml:space="preserve">  1000-7999</w:t>
            </w:r>
          </w:p>
        </w:tc>
        <w:tc>
          <w:tcPr>
            <w:tcW w:w="1225" w:type="dxa"/>
            <w:shd w:val="clear" w:color="auto" w:fill="auto"/>
          </w:tcPr>
          <w:p w14:paraId="5451FDD8"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1740</w:t>
            </w:r>
          </w:p>
        </w:tc>
        <w:tc>
          <w:tcPr>
            <w:tcW w:w="990" w:type="dxa"/>
          </w:tcPr>
          <w:p w14:paraId="68842760"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1740</w:t>
            </w:r>
          </w:p>
        </w:tc>
        <w:tc>
          <w:tcPr>
            <w:tcW w:w="1440" w:type="dxa"/>
            <w:shd w:val="clear" w:color="auto" w:fill="auto"/>
          </w:tcPr>
          <w:p w14:paraId="30E77AE6"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870</w:t>
            </w:r>
          </w:p>
        </w:tc>
        <w:tc>
          <w:tcPr>
            <w:tcW w:w="1260" w:type="dxa"/>
          </w:tcPr>
          <w:p w14:paraId="3B62880C"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435</w:t>
            </w:r>
          </w:p>
        </w:tc>
        <w:tc>
          <w:tcPr>
            <w:tcW w:w="1260" w:type="dxa"/>
          </w:tcPr>
          <w:p w14:paraId="4E09FA91"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0.5</w:t>
            </w:r>
          </w:p>
        </w:tc>
        <w:tc>
          <w:tcPr>
            <w:tcW w:w="1440" w:type="dxa"/>
          </w:tcPr>
          <w:p w14:paraId="6FDE6E14"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0.0</w:t>
            </w:r>
            <w:r>
              <w:rPr>
                <w:color w:val="000000"/>
                <w:sz w:val="22"/>
                <w:szCs w:val="22"/>
              </w:rPr>
              <w:t>5</w:t>
            </w:r>
          </w:p>
        </w:tc>
        <w:tc>
          <w:tcPr>
            <w:tcW w:w="1350" w:type="dxa"/>
          </w:tcPr>
          <w:p w14:paraId="4331FA90"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5</w:t>
            </w:r>
          </w:p>
        </w:tc>
      </w:tr>
      <w:tr w:rsidR="009A2CA9" w:rsidRPr="009266DE" w14:paraId="02139B81" w14:textId="77777777" w:rsidTr="00AB3BCF">
        <w:tc>
          <w:tcPr>
            <w:tcW w:w="1565" w:type="dxa"/>
            <w:shd w:val="clear" w:color="auto" w:fill="auto"/>
          </w:tcPr>
          <w:p w14:paraId="4186E087"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6E607EC5"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06EC42B5"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30C7C60A"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7B052E84"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0D689B3"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0.1</w:t>
            </w:r>
          </w:p>
        </w:tc>
        <w:tc>
          <w:tcPr>
            <w:tcW w:w="1440" w:type="dxa"/>
          </w:tcPr>
          <w:p w14:paraId="116D425D"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0.0</w:t>
            </w:r>
            <w:r>
              <w:rPr>
                <w:color w:val="000000"/>
                <w:sz w:val="22"/>
                <w:szCs w:val="22"/>
              </w:rPr>
              <w:t>3</w:t>
            </w:r>
          </w:p>
        </w:tc>
        <w:tc>
          <w:tcPr>
            <w:tcW w:w="1350" w:type="dxa"/>
          </w:tcPr>
          <w:p w14:paraId="2797B551"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w:t>
            </w:r>
            <w:r>
              <w:rPr>
                <w:color w:val="000000"/>
                <w:sz w:val="22"/>
                <w:szCs w:val="22"/>
              </w:rPr>
              <w:t>4</w:t>
            </w:r>
          </w:p>
        </w:tc>
      </w:tr>
      <w:tr w:rsidR="009A2CA9" w:rsidRPr="009266DE" w14:paraId="528CB19D" w14:textId="77777777" w:rsidTr="00AB3BCF">
        <w:tc>
          <w:tcPr>
            <w:tcW w:w="1565" w:type="dxa"/>
            <w:shd w:val="clear" w:color="auto" w:fill="auto"/>
          </w:tcPr>
          <w:p w14:paraId="45414462"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73E936FF"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54EFCBD9"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0E6C1D60"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64AFA1AC"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40DA2D5C"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0D0AEF27"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77855EA4"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4709076B" w14:textId="77777777" w:rsidTr="00AB3BCF">
        <w:tc>
          <w:tcPr>
            <w:tcW w:w="1565" w:type="dxa"/>
            <w:shd w:val="clear" w:color="auto" w:fill="auto"/>
          </w:tcPr>
          <w:p w14:paraId="7A86AD92"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 xml:space="preserve">  8000+</w:t>
            </w:r>
          </w:p>
        </w:tc>
        <w:tc>
          <w:tcPr>
            <w:tcW w:w="1225" w:type="dxa"/>
            <w:shd w:val="clear" w:color="auto" w:fill="auto"/>
          </w:tcPr>
          <w:p w14:paraId="1BBDBC91"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449</w:t>
            </w:r>
          </w:p>
        </w:tc>
        <w:tc>
          <w:tcPr>
            <w:tcW w:w="990" w:type="dxa"/>
          </w:tcPr>
          <w:p w14:paraId="58F7CA56"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449</w:t>
            </w:r>
          </w:p>
        </w:tc>
        <w:tc>
          <w:tcPr>
            <w:tcW w:w="1440" w:type="dxa"/>
            <w:shd w:val="clear" w:color="auto" w:fill="auto"/>
          </w:tcPr>
          <w:p w14:paraId="351A1FE8"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225</w:t>
            </w:r>
          </w:p>
        </w:tc>
        <w:tc>
          <w:tcPr>
            <w:tcW w:w="1260" w:type="dxa"/>
          </w:tcPr>
          <w:p w14:paraId="4646D8E1"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113</w:t>
            </w:r>
          </w:p>
        </w:tc>
        <w:tc>
          <w:tcPr>
            <w:tcW w:w="1260" w:type="dxa"/>
          </w:tcPr>
          <w:p w14:paraId="26FB0229"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0.5</w:t>
            </w:r>
          </w:p>
        </w:tc>
        <w:tc>
          <w:tcPr>
            <w:tcW w:w="1440" w:type="dxa"/>
          </w:tcPr>
          <w:p w14:paraId="068EB13F"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0.0</w:t>
            </w:r>
            <w:r>
              <w:rPr>
                <w:color w:val="000000"/>
                <w:sz w:val="22"/>
                <w:szCs w:val="22"/>
              </w:rPr>
              <w:t>9</w:t>
            </w:r>
          </w:p>
        </w:tc>
        <w:tc>
          <w:tcPr>
            <w:tcW w:w="1350" w:type="dxa"/>
          </w:tcPr>
          <w:p w14:paraId="2B3262E7"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9</w:t>
            </w:r>
          </w:p>
        </w:tc>
      </w:tr>
      <w:tr w:rsidR="009A2CA9" w:rsidRPr="009266DE" w14:paraId="3276B69D" w14:textId="77777777" w:rsidTr="00AB3BCF">
        <w:tc>
          <w:tcPr>
            <w:tcW w:w="1565" w:type="dxa"/>
            <w:shd w:val="clear" w:color="auto" w:fill="auto"/>
          </w:tcPr>
          <w:p w14:paraId="406E62FF"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65D8A348"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42FCE868"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7B6CC328"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687CC85"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72BDCEDF"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0.1</w:t>
            </w:r>
          </w:p>
        </w:tc>
        <w:tc>
          <w:tcPr>
            <w:tcW w:w="1440" w:type="dxa"/>
          </w:tcPr>
          <w:p w14:paraId="76B648EE"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0.0</w:t>
            </w:r>
            <w:r>
              <w:rPr>
                <w:color w:val="000000"/>
                <w:sz w:val="22"/>
                <w:szCs w:val="22"/>
              </w:rPr>
              <w:t>6</w:t>
            </w:r>
          </w:p>
        </w:tc>
        <w:tc>
          <w:tcPr>
            <w:tcW w:w="1350" w:type="dxa"/>
          </w:tcPr>
          <w:p w14:paraId="4A18BF7B"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2</w:t>
            </w:r>
            <w:r>
              <w:rPr>
                <w:color w:val="000000"/>
                <w:sz w:val="22"/>
                <w:szCs w:val="22"/>
              </w:rPr>
              <w:t>8</w:t>
            </w:r>
          </w:p>
        </w:tc>
      </w:tr>
      <w:tr w:rsidR="009A2CA9" w:rsidRPr="009266DE" w14:paraId="5C3BDB77" w14:textId="77777777" w:rsidTr="00AB3BCF">
        <w:tc>
          <w:tcPr>
            <w:tcW w:w="1565" w:type="dxa"/>
            <w:shd w:val="clear" w:color="auto" w:fill="auto"/>
          </w:tcPr>
          <w:p w14:paraId="0F487237"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69525EE7"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180FA33B"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2AF5C3B6"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3161D637"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163BF32"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3AAA9205"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3CB08DC7"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79A03CD1" w14:textId="77777777" w:rsidTr="00AB3BCF">
        <w:tc>
          <w:tcPr>
            <w:tcW w:w="1565" w:type="dxa"/>
            <w:shd w:val="clear" w:color="auto" w:fill="auto"/>
          </w:tcPr>
          <w:p w14:paraId="7F5F4BB4"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05E832AD"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37ECDB1C"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149E86DC"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20A8568D"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750D34A3"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16A9541E"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790CC2F5"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327319C3" w14:textId="77777777" w:rsidTr="00AB3BCF">
        <w:tc>
          <w:tcPr>
            <w:tcW w:w="1565" w:type="dxa"/>
            <w:shd w:val="clear" w:color="auto" w:fill="auto"/>
          </w:tcPr>
          <w:p w14:paraId="134A1C08"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Total</w:t>
            </w:r>
          </w:p>
        </w:tc>
        <w:tc>
          <w:tcPr>
            <w:tcW w:w="1225" w:type="dxa"/>
            <w:shd w:val="clear" w:color="auto" w:fill="auto"/>
          </w:tcPr>
          <w:p w14:paraId="1D222D5C"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2189</w:t>
            </w:r>
          </w:p>
        </w:tc>
        <w:tc>
          <w:tcPr>
            <w:tcW w:w="990" w:type="dxa"/>
          </w:tcPr>
          <w:p w14:paraId="4332DCB7"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2189</w:t>
            </w:r>
          </w:p>
        </w:tc>
        <w:tc>
          <w:tcPr>
            <w:tcW w:w="1440" w:type="dxa"/>
            <w:shd w:val="clear" w:color="auto" w:fill="auto"/>
          </w:tcPr>
          <w:p w14:paraId="114A3E76"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1095</w:t>
            </w:r>
          </w:p>
        </w:tc>
        <w:tc>
          <w:tcPr>
            <w:tcW w:w="1260" w:type="dxa"/>
          </w:tcPr>
          <w:p w14:paraId="684AF082"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548</w:t>
            </w:r>
          </w:p>
        </w:tc>
        <w:tc>
          <w:tcPr>
            <w:tcW w:w="1260" w:type="dxa"/>
          </w:tcPr>
          <w:p w14:paraId="1DF99B8C"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0.5</w:t>
            </w:r>
          </w:p>
        </w:tc>
        <w:tc>
          <w:tcPr>
            <w:tcW w:w="1440" w:type="dxa"/>
          </w:tcPr>
          <w:p w14:paraId="0BD1080E"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0.0</w:t>
            </w:r>
            <w:r>
              <w:rPr>
                <w:color w:val="000000"/>
                <w:sz w:val="22"/>
                <w:szCs w:val="22"/>
              </w:rPr>
              <w:t>4</w:t>
            </w:r>
          </w:p>
        </w:tc>
        <w:tc>
          <w:tcPr>
            <w:tcW w:w="1350" w:type="dxa"/>
          </w:tcPr>
          <w:p w14:paraId="6D2EAB6B"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4</w:t>
            </w:r>
          </w:p>
        </w:tc>
      </w:tr>
      <w:tr w:rsidR="009A2CA9" w:rsidRPr="009266DE" w14:paraId="399DE20F" w14:textId="77777777" w:rsidTr="00AB3BCF">
        <w:tc>
          <w:tcPr>
            <w:tcW w:w="1565" w:type="dxa"/>
            <w:shd w:val="clear" w:color="auto" w:fill="auto"/>
          </w:tcPr>
          <w:p w14:paraId="04B02B48"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757909AC"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3F75053E"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0756FBCF"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2F06F756"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394B6E7E"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0.1</w:t>
            </w:r>
          </w:p>
        </w:tc>
        <w:tc>
          <w:tcPr>
            <w:tcW w:w="1440" w:type="dxa"/>
          </w:tcPr>
          <w:p w14:paraId="1DDA9FDB"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0.0</w:t>
            </w:r>
            <w:r>
              <w:rPr>
                <w:color w:val="000000"/>
                <w:sz w:val="22"/>
                <w:szCs w:val="22"/>
              </w:rPr>
              <w:t>3</w:t>
            </w:r>
          </w:p>
        </w:tc>
        <w:tc>
          <w:tcPr>
            <w:tcW w:w="1350" w:type="dxa"/>
          </w:tcPr>
          <w:p w14:paraId="6733645B"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13</w:t>
            </w:r>
          </w:p>
        </w:tc>
      </w:tr>
      <w:tr w:rsidR="009A2CA9" w:rsidRPr="009266DE" w14:paraId="6A622E07" w14:textId="77777777" w:rsidTr="00AB3BCF">
        <w:tc>
          <w:tcPr>
            <w:tcW w:w="1565" w:type="dxa"/>
            <w:shd w:val="clear" w:color="auto" w:fill="auto"/>
          </w:tcPr>
          <w:p w14:paraId="78F61B9C" w14:textId="77777777" w:rsidR="009A2CA9" w:rsidRPr="00E24729" w:rsidRDefault="009A2CA9" w:rsidP="00AB3BCF">
            <w:pPr>
              <w:autoSpaceDE w:val="0"/>
              <w:autoSpaceDN w:val="0"/>
              <w:adjustRightInd w:val="0"/>
              <w:rPr>
                <w:b/>
                <w:color w:val="000000"/>
                <w:sz w:val="22"/>
                <w:szCs w:val="22"/>
              </w:rPr>
            </w:pPr>
            <w:r>
              <w:rPr>
                <w:b/>
                <w:color w:val="000000"/>
                <w:sz w:val="22"/>
                <w:szCs w:val="22"/>
              </w:rPr>
              <w:t>Low capacity component</w:t>
            </w:r>
          </w:p>
        </w:tc>
        <w:tc>
          <w:tcPr>
            <w:tcW w:w="1225" w:type="dxa"/>
            <w:shd w:val="clear" w:color="auto" w:fill="auto"/>
          </w:tcPr>
          <w:p w14:paraId="148E186D"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2A4BBEAD"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36DECBB7"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C39EF4B"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759DD27B"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42A0A867"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28694AAA"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5B80AC5D" w14:textId="77777777" w:rsidTr="00AB3BCF">
        <w:tc>
          <w:tcPr>
            <w:tcW w:w="1565" w:type="dxa"/>
            <w:shd w:val="clear" w:color="auto" w:fill="auto"/>
          </w:tcPr>
          <w:p w14:paraId="538CAD51"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56E1D00B"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2FF72B1C"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383DA757"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30498A1A"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1043C497"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12D990BA"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3F91E811"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17E48911" w14:textId="77777777" w:rsidTr="00AB3BCF">
        <w:tc>
          <w:tcPr>
            <w:tcW w:w="1565" w:type="dxa"/>
            <w:shd w:val="clear" w:color="auto" w:fill="auto"/>
          </w:tcPr>
          <w:p w14:paraId="726163F8"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50-199</w:t>
            </w:r>
          </w:p>
        </w:tc>
        <w:tc>
          <w:tcPr>
            <w:tcW w:w="1225" w:type="dxa"/>
            <w:shd w:val="clear" w:color="auto" w:fill="auto"/>
          </w:tcPr>
          <w:p w14:paraId="1D45086C"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9053</w:t>
            </w:r>
          </w:p>
        </w:tc>
        <w:tc>
          <w:tcPr>
            <w:tcW w:w="990" w:type="dxa"/>
          </w:tcPr>
          <w:p w14:paraId="7C60DD4A"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1000</w:t>
            </w:r>
          </w:p>
        </w:tc>
        <w:tc>
          <w:tcPr>
            <w:tcW w:w="1440" w:type="dxa"/>
            <w:shd w:val="clear" w:color="auto" w:fill="auto"/>
          </w:tcPr>
          <w:p w14:paraId="2B1659B8"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500</w:t>
            </w:r>
          </w:p>
        </w:tc>
        <w:tc>
          <w:tcPr>
            <w:tcW w:w="1260" w:type="dxa"/>
          </w:tcPr>
          <w:p w14:paraId="137CA8CF"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250</w:t>
            </w:r>
          </w:p>
        </w:tc>
        <w:tc>
          <w:tcPr>
            <w:tcW w:w="1260" w:type="dxa"/>
          </w:tcPr>
          <w:p w14:paraId="3064D32F"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.5</w:t>
            </w:r>
          </w:p>
        </w:tc>
        <w:tc>
          <w:tcPr>
            <w:tcW w:w="1440" w:type="dxa"/>
          </w:tcPr>
          <w:p w14:paraId="27067E94"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.06</w:t>
            </w:r>
          </w:p>
        </w:tc>
        <w:tc>
          <w:tcPr>
            <w:tcW w:w="1350" w:type="dxa"/>
          </w:tcPr>
          <w:p w14:paraId="3F32B8B3"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6</w:t>
            </w:r>
          </w:p>
        </w:tc>
      </w:tr>
      <w:tr w:rsidR="009A2CA9" w:rsidRPr="009266DE" w14:paraId="30569711" w14:textId="77777777" w:rsidTr="00AB3BCF">
        <w:tc>
          <w:tcPr>
            <w:tcW w:w="1565" w:type="dxa"/>
            <w:shd w:val="clear" w:color="auto" w:fill="auto"/>
          </w:tcPr>
          <w:p w14:paraId="356B0314"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6561EF0E"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791CCF4A"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6149369A"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50C0A15D"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08FB4A73"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w:t>
            </w:r>
          </w:p>
        </w:tc>
        <w:tc>
          <w:tcPr>
            <w:tcW w:w="1440" w:type="dxa"/>
          </w:tcPr>
          <w:p w14:paraId="2B63D334"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.04</w:t>
            </w:r>
          </w:p>
        </w:tc>
        <w:tc>
          <w:tcPr>
            <w:tcW w:w="1350" w:type="dxa"/>
          </w:tcPr>
          <w:p w14:paraId="2FAA38ED"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19</w:t>
            </w:r>
          </w:p>
        </w:tc>
      </w:tr>
      <w:tr w:rsidR="009A2CA9" w:rsidRPr="009266DE" w14:paraId="4AAF6E5D" w14:textId="77777777" w:rsidTr="00AB3BCF">
        <w:tc>
          <w:tcPr>
            <w:tcW w:w="1565" w:type="dxa"/>
            <w:shd w:val="clear" w:color="auto" w:fill="auto"/>
          </w:tcPr>
          <w:p w14:paraId="04EE3F25"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42F92B5C"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6C0135BF"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0577CB9D"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5FCAF6D0"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086B6CEC"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1C3E47AB"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1C502BDD"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192A0692" w14:textId="77777777" w:rsidTr="00AB3BCF">
        <w:tc>
          <w:tcPr>
            <w:tcW w:w="1565" w:type="dxa"/>
            <w:shd w:val="clear" w:color="auto" w:fill="auto"/>
          </w:tcPr>
          <w:p w14:paraId="4729BEA6"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200-999</w:t>
            </w:r>
          </w:p>
        </w:tc>
        <w:tc>
          <w:tcPr>
            <w:tcW w:w="1225" w:type="dxa"/>
            <w:shd w:val="clear" w:color="auto" w:fill="auto"/>
          </w:tcPr>
          <w:p w14:paraId="2783D07B"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4273</w:t>
            </w:r>
          </w:p>
        </w:tc>
        <w:tc>
          <w:tcPr>
            <w:tcW w:w="990" w:type="dxa"/>
          </w:tcPr>
          <w:p w14:paraId="06E1C0ED"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1611</w:t>
            </w:r>
          </w:p>
        </w:tc>
        <w:tc>
          <w:tcPr>
            <w:tcW w:w="1440" w:type="dxa"/>
            <w:shd w:val="clear" w:color="auto" w:fill="auto"/>
          </w:tcPr>
          <w:p w14:paraId="1DB2E717"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806</w:t>
            </w:r>
          </w:p>
        </w:tc>
        <w:tc>
          <w:tcPr>
            <w:tcW w:w="1260" w:type="dxa"/>
          </w:tcPr>
          <w:p w14:paraId="73583086"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403</w:t>
            </w:r>
          </w:p>
        </w:tc>
        <w:tc>
          <w:tcPr>
            <w:tcW w:w="1260" w:type="dxa"/>
          </w:tcPr>
          <w:p w14:paraId="194A7659"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.5</w:t>
            </w:r>
          </w:p>
        </w:tc>
        <w:tc>
          <w:tcPr>
            <w:tcW w:w="1440" w:type="dxa"/>
          </w:tcPr>
          <w:p w14:paraId="58AAFCF0"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.05</w:t>
            </w:r>
          </w:p>
        </w:tc>
        <w:tc>
          <w:tcPr>
            <w:tcW w:w="1350" w:type="dxa"/>
          </w:tcPr>
          <w:p w14:paraId="32B65D67"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5</w:t>
            </w:r>
          </w:p>
        </w:tc>
      </w:tr>
      <w:tr w:rsidR="009A2CA9" w:rsidRPr="009266DE" w14:paraId="3FFA94E5" w14:textId="77777777" w:rsidTr="00AB3BCF">
        <w:tc>
          <w:tcPr>
            <w:tcW w:w="1565" w:type="dxa"/>
            <w:shd w:val="clear" w:color="auto" w:fill="auto"/>
          </w:tcPr>
          <w:p w14:paraId="7C4AD3D2"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5DAD15C0"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54284755"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284566E4"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0988F899"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66B5A8CC"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w:t>
            </w:r>
          </w:p>
        </w:tc>
        <w:tc>
          <w:tcPr>
            <w:tcW w:w="1440" w:type="dxa"/>
          </w:tcPr>
          <w:p w14:paraId="6219822F"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.03</w:t>
            </w:r>
          </w:p>
        </w:tc>
        <w:tc>
          <w:tcPr>
            <w:tcW w:w="1350" w:type="dxa"/>
          </w:tcPr>
          <w:p w14:paraId="07A42A62"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15</w:t>
            </w:r>
          </w:p>
        </w:tc>
      </w:tr>
      <w:tr w:rsidR="009A2CA9" w:rsidRPr="009266DE" w14:paraId="56EC48C0" w14:textId="77777777" w:rsidTr="00AB3BCF">
        <w:tc>
          <w:tcPr>
            <w:tcW w:w="1565" w:type="dxa"/>
            <w:shd w:val="clear" w:color="auto" w:fill="auto"/>
          </w:tcPr>
          <w:p w14:paraId="0B2EDDE0"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20029532"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1E226932"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292A6853"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5AF104BA"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6B4F45D5" w14:textId="77777777" w:rsidR="009A2CA9" w:rsidRPr="00E24729" w:rsidRDefault="009A2CA9" w:rsidP="00AB3BCF">
            <w:pPr>
              <w:autoSpaceDE w:val="0"/>
              <w:autoSpaceDN w:val="0"/>
              <w:adjustRightInd w:val="0"/>
              <w:jc w:val="center"/>
              <w:rPr>
                <w:color w:val="000000"/>
                <w:sz w:val="22"/>
                <w:szCs w:val="22"/>
              </w:rPr>
            </w:pPr>
          </w:p>
        </w:tc>
        <w:tc>
          <w:tcPr>
            <w:tcW w:w="1440" w:type="dxa"/>
          </w:tcPr>
          <w:p w14:paraId="5B36FCA8" w14:textId="77777777" w:rsidR="009A2CA9" w:rsidRPr="00E24729" w:rsidRDefault="009A2CA9" w:rsidP="00AB3BCF">
            <w:pPr>
              <w:autoSpaceDE w:val="0"/>
              <w:autoSpaceDN w:val="0"/>
              <w:adjustRightInd w:val="0"/>
              <w:jc w:val="center"/>
              <w:rPr>
                <w:color w:val="000000"/>
                <w:sz w:val="22"/>
                <w:szCs w:val="22"/>
              </w:rPr>
            </w:pPr>
          </w:p>
        </w:tc>
        <w:tc>
          <w:tcPr>
            <w:tcW w:w="1350" w:type="dxa"/>
          </w:tcPr>
          <w:p w14:paraId="678791AB" w14:textId="77777777" w:rsidR="009A2CA9" w:rsidRPr="00E24729" w:rsidRDefault="009A2CA9" w:rsidP="00AB3BCF">
            <w:pPr>
              <w:autoSpaceDE w:val="0"/>
              <w:autoSpaceDN w:val="0"/>
              <w:adjustRightInd w:val="0"/>
              <w:jc w:val="center"/>
              <w:rPr>
                <w:color w:val="000000"/>
                <w:sz w:val="22"/>
                <w:szCs w:val="22"/>
              </w:rPr>
            </w:pPr>
          </w:p>
        </w:tc>
      </w:tr>
      <w:tr w:rsidR="009A2CA9" w:rsidRPr="009266DE" w14:paraId="3B1C53F1" w14:textId="77777777" w:rsidTr="00AB3BCF">
        <w:tc>
          <w:tcPr>
            <w:tcW w:w="1565" w:type="dxa"/>
            <w:shd w:val="clear" w:color="auto" w:fill="auto"/>
          </w:tcPr>
          <w:p w14:paraId="41AFE2B7" w14:textId="77777777" w:rsidR="009A2CA9" w:rsidRPr="00E24729" w:rsidRDefault="009A2CA9" w:rsidP="00AB3BCF">
            <w:pPr>
              <w:autoSpaceDE w:val="0"/>
              <w:autoSpaceDN w:val="0"/>
              <w:adjustRightInd w:val="0"/>
              <w:rPr>
                <w:color w:val="000000"/>
                <w:sz w:val="22"/>
                <w:szCs w:val="22"/>
              </w:rPr>
            </w:pPr>
            <w:r w:rsidRPr="00E24729">
              <w:rPr>
                <w:color w:val="000000"/>
                <w:sz w:val="22"/>
                <w:szCs w:val="22"/>
              </w:rPr>
              <w:t>Total</w:t>
            </w:r>
          </w:p>
        </w:tc>
        <w:tc>
          <w:tcPr>
            <w:tcW w:w="1225" w:type="dxa"/>
            <w:shd w:val="clear" w:color="auto" w:fill="auto"/>
          </w:tcPr>
          <w:p w14:paraId="13994EB7"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13326</w:t>
            </w:r>
          </w:p>
        </w:tc>
        <w:tc>
          <w:tcPr>
            <w:tcW w:w="990" w:type="dxa"/>
          </w:tcPr>
          <w:p w14:paraId="7B6D79D9"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2611</w:t>
            </w:r>
          </w:p>
        </w:tc>
        <w:tc>
          <w:tcPr>
            <w:tcW w:w="1440" w:type="dxa"/>
            <w:shd w:val="clear" w:color="auto" w:fill="auto"/>
          </w:tcPr>
          <w:p w14:paraId="31E882F4"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1306</w:t>
            </w:r>
          </w:p>
        </w:tc>
        <w:tc>
          <w:tcPr>
            <w:tcW w:w="1260" w:type="dxa"/>
          </w:tcPr>
          <w:p w14:paraId="3FF48DB4"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653</w:t>
            </w:r>
          </w:p>
        </w:tc>
        <w:tc>
          <w:tcPr>
            <w:tcW w:w="1260" w:type="dxa"/>
          </w:tcPr>
          <w:p w14:paraId="23ECFBAC"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.5</w:t>
            </w:r>
          </w:p>
        </w:tc>
        <w:tc>
          <w:tcPr>
            <w:tcW w:w="1440" w:type="dxa"/>
          </w:tcPr>
          <w:p w14:paraId="557FC1AF"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.04</w:t>
            </w:r>
          </w:p>
        </w:tc>
        <w:tc>
          <w:tcPr>
            <w:tcW w:w="1350" w:type="dxa"/>
          </w:tcPr>
          <w:p w14:paraId="21364C5D"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4</w:t>
            </w:r>
          </w:p>
        </w:tc>
      </w:tr>
      <w:tr w:rsidR="009A2CA9" w:rsidRPr="009266DE" w14:paraId="0E92739B" w14:textId="77777777" w:rsidTr="00AB3BCF">
        <w:tc>
          <w:tcPr>
            <w:tcW w:w="1565" w:type="dxa"/>
            <w:shd w:val="clear" w:color="auto" w:fill="auto"/>
          </w:tcPr>
          <w:p w14:paraId="48CD1B51" w14:textId="77777777" w:rsidR="009A2CA9" w:rsidRPr="00E24729" w:rsidRDefault="009A2CA9" w:rsidP="00AB3BCF">
            <w:pPr>
              <w:autoSpaceDE w:val="0"/>
              <w:autoSpaceDN w:val="0"/>
              <w:adjustRightInd w:val="0"/>
              <w:rPr>
                <w:color w:val="000000"/>
                <w:sz w:val="22"/>
                <w:szCs w:val="22"/>
              </w:rPr>
            </w:pPr>
          </w:p>
        </w:tc>
        <w:tc>
          <w:tcPr>
            <w:tcW w:w="1225" w:type="dxa"/>
            <w:shd w:val="clear" w:color="auto" w:fill="auto"/>
          </w:tcPr>
          <w:p w14:paraId="7F9DD94C" w14:textId="77777777" w:rsidR="009A2CA9" w:rsidRPr="00E24729" w:rsidRDefault="009A2CA9" w:rsidP="00AB3BCF">
            <w:pPr>
              <w:autoSpaceDE w:val="0"/>
              <w:autoSpaceDN w:val="0"/>
              <w:adjustRightInd w:val="0"/>
              <w:jc w:val="center"/>
              <w:rPr>
                <w:color w:val="000000"/>
                <w:sz w:val="22"/>
                <w:szCs w:val="22"/>
              </w:rPr>
            </w:pPr>
          </w:p>
        </w:tc>
        <w:tc>
          <w:tcPr>
            <w:tcW w:w="990" w:type="dxa"/>
          </w:tcPr>
          <w:p w14:paraId="65A647DF" w14:textId="77777777" w:rsidR="009A2CA9" w:rsidRPr="00E24729" w:rsidRDefault="009A2CA9" w:rsidP="00AB3BCF">
            <w:pPr>
              <w:autoSpaceDE w:val="0"/>
              <w:autoSpaceDN w:val="0"/>
              <w:adjustRightInd w:val="0"/>
              <w:jc w:val="center"/>
              <w:rPr>
                <w:color w:val="000000"/>
                <w:sz w:val="22"/>
                <w:szCs w:val="22"/>
              </w:rPr>
            </w:pPr>
          </w:p>
        </w:tc>
        <w:tc>
          <w:tcPr>
            <w:tcW w:w="1440" w:type="dxa"/>
            <w:shd w:val="clear" w:color="auto" w:fill="auto"/>
          </w:tcPr>
          <w:p w14:paraId="37201B3E"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65C1DC35" w14:textId="77777777" w:rsidR="009A2CA9" w:rsidRPr="00E24729" w:rsidRDefault="009A2CA9" w:rsidP="00AB3BCF">
            <w:pPr>
              <w:autoSpaceDE w:val="0"/>
              <w:autoSpaceDN w:val="0"/>
              <w:adjustRightInd w:val="0"/>
              <w:jc w:val="center"/>
              <w:rPr>
                <w:color w:val="000000"/>
                <w:sz w:val="22"/>
                <w:szCs w:val="22"/>
              </w:rPr>
            </w:pPr>
          </w:p>
        </w:tc>
        <w:tc>
          <w:tcPr>
            <w:tcW w:w="1260" w:type="dxa"/>
          </w:tcPr>
          <w:p w14:paraId="5929D06B" w14:textId="77777777" w:rsidR="009A2CA9" w:rsidRPr="00E24729" w:rsidRDefault="009A2CA9" w:rsidP="00AB3BCF">
            <w:pPr>
              <w:autoSpaceDE w:val="0"/>
              <w:autoSpaceDN w:val="0"/>
              <w:adjustRightInd w:val="0"/>
              <w:jc w:val="center"/>
              <w:rPr>
                <w:color w:val="000000"/>
                <w:sz w:val="22"/>
                <w:szCs w:val="22"/>
              </w:rPr>
            </w:pPr>
            <w:r w:rsidRPr="00E24729">
              <w:rPr>
                <w:color w:val="000000"/>
                <w:sz w:val="22"/>
                <w:szCs w:val="22"/>
              </w:rPr>
              <w:t>.1</w:t>
            </w:r>
          </w:p>
        </w:tc>
        <w:tc>
          <w:tcPr>
            <w:tcW w:w="1440" w:type="dxa"/>
          </w:tcPr>
          <w:p w14:paraId="342D79AE"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.02</w:t>
            </w:r>
          </w:p>
        </w:tc>
        <w:tc>
          <w:tcPr>
            <w:tcW w:w="1350" w:type="dxa"/>
          </w:tcPr>
          <w:p w14:paraId="4FA1D5C3" w14:textId="77777777" w:rsidR="009A2CA9" w:rsidRPr="00E24729" w:rsidRDefault="009A2CA9" w:rsidP="00AB3BCF">
            <w:pPr>
              <w:autoSpaceDE w:val="0"/>
              <w:autoSpaceDN w:val="0"/>
              <w:adjustRightInd w:val="0"/>
              <w:jc w:val="center"/>
              <w:rPr>
                <w:color w:val="000000"/>
                <w:sz w:val="22"/>
                <w:szCs w:val="22"/>
              </w:rPr>
            </w:pPr>
            <w:r>
              <w:rPr>
                <w:color w:val="000000"/>
                <w:sz w:val="22"/>
                <w:szCs w:val="22"/>
              </w:rPr>
              <w:t>12</w:t>
            </w:r>
          </w:p>
        </w:tc>
      </w:tr>
    </w:tbl>
    <w:p w14:paraId="2369CC04" w14:textId="77777777" w:rsidR="009A2CA9" w:rsidRPr="00BE1FD3" w:rsidRDefault="009A2CA9" w:rsidP="009A2CA9">
      <w:pPr>
        <w:autoSpaceDE w:val="0"/>
        <w:autoSpaceDN w:val="0"/>
        <w:adjustRightInd w:val="0"/>
        <w:rPr>
          <w:sz w:val="22"/>
          <w:szCs w:val="22"/>
        </w:rPr>
      </w:pPr>
      <w:r w:rsidRPr="00861BAA">
        <w:rPr>
          <w:color w:val="000000"/>
          <w:vertAlign w:val="superscript"/>
        </w:rPr>
        <w:t>1</w:t>
      </w:r>
      <w:r>
        <w:rPr>
          <w:color w:val="000000"/>
          <w:vertAlign w:val="superscript"/>
        </w:rPr>
        <w:t xml:space="preserve"> </w:t>
      </w:r>
      <w:r>
        <w:rPr>
          <w:color w:val="000000"/>
          <w:sz w:val="22"/>
          <w:szCs w:val="22"/>
        </w:rPr>
        <w:t>High capacity component</w:t>
      </w:r>
      <w:r w:rsidRPr="00BE1FD3">
        <w:rPr>
          <w:color w:val="000000"/>
          <w:sz w:val="22"/>
          <w:szCs w:val="22"/>
        </w:rPr>
        <w:t xml:space="preserve">:  NASS </w:t>
      </w:r>
      <w:r w:rsidRPr="00BE1FD3">
        <w:rPr>
          <w:sz w:val="22"/>
          <w:szCs w:val="22"/>
        </w:rPr>
        <w:t xml:space="preserve">Cattle on Feed, February 2016. </w:t>
      </w:r>
    </w:p>
    <w:p w14:paraId="2CC46C9A" w14:textId="77777777" w:rsidR="009A2CA9" w:rsidRPr="00BE1FD3" w:rsidRDefault="009A2CA9" w:rsidP="009A2CA9">
      <w:pPr>
        <w:autoSpaceDE w:val="0"/>
        <w:autoSpaceDN w:val="0"/>
        <w:adjustRightInd w:val="0"/>
        <w:rPr>
          <w:sz w:val="22"/>
          <w:szCs w:val="22"/>
        </w:rPr>
      </w:pPr>
      <w:r w:rsidRPr="00BE1FD3">
        <w:rPr>
          <w:sz w:val="22"/>
          <w:szCs w:val="22"/>
        </w:rPr>
        <w:t xml:space="preserve">  </w:t>
      </w:r>
      <w:r>
        <w:rPr>
          <w:sz w:val="22"/>
          <w:szCs w:val="22"/>
        </w:rPr>
        <w:t>Low capacity component</w:t>
      </w:r>
      <w:r w:rsidRPr="00BE1FD3">
        <w:rPr>
          <w:sz w:val="22"/>
          <w:szCs w:val="22"/>
        </w:rPr>
        <w:t xml:space="preserve">:  2012 Census of Agriculture.  </w:t>
      </w:r>
      <w:r>
        <w:rPr>
          <w:sz w:val="22"/>
          <w:szCs w:val="22"/>
        </w:rPr>
        <w:t>The largest published size class is ‘500 or more’ head, so we estimated the number of lots with 500-999.</w:t>
      </w:r>
    </w:p>
    <w:p w14:paraId="06871DCD" w14:textId="77777777" w:rsidR="009A2CA9" w:rsidRPr="00BE1FD3" w:rsidRDefault="009A2CA9" w:rsidP="009A2CA9">
      <w:pPr>
        <w:autoSpaceDE w:val="0"/>
        <w:autoSpaceDN w:val="0"/>
        <w:adjustRightInd w:val="0"/>
        <w:rPr>
          <w:sz w:val="22"/>
          <w:szCs w:val="22"/>
        </w:rPr>
      </w:pPr>
      <w:r w:rsidRPr="00BE1FD3">
        <w:rPr>
          <w:sz w:val="22"/>
          <w:szCs w:val="22"/>
        </w:rPr>
        <w:t>These numbers are for the US; the number of feedlot operations in the participating States will be slightly lower.</w:t>
      </w:r>
    </w:p>
    <w:p w14:paraId="088EEA63" w14:textId="77777777" w:rsidR="004D7613" w:rsidRPr="00530401" w:rsidRDefault="00530401" w:rsidP="00861BAA">
      <w:pPr>
        <w:autoSpaceDE w:val="0"/>
        <w:autoSpaceDN w:val="0"/>
        <w:adjustRightInd w:val="0"/>
        <w:rPr>
          <w:sz w:val="22"/>
          <w:szCs w:val="22"/>
        </w:rPr>
      </w:pPr>
      <w:r>
        <w:rPr>
          <w:sz w:val="22"/>
          <w:szCs w:val="22"/>
        </w:rPr>
        <w:br w:type="page"/>
      </w:r>
    </w:p>
    <w:p w14:paraId="6DC2922F" w14:textId="77777777" w:rsidR="004E48D9" w:rsidRPr="005B4C2D" w:rsidRDefault="00C20D56" w:rsidP="00861BAA">
      <w:pPr>
        <w:pStyle w:val="Heading1"/>
        <w:rPr>
          <w:rFonts w:ascii="Times New Roman" w:hAnsi="Times New Roman" w:cs="Times New Roman"/>
          <w:sz w:val="24"/>
          <w:szCs w:val="24"/>
        </w:rPr>
      </w:pPr>
      <w:bookmarkStart w:id="44" w:name="_Toc142106621"/>
      <w:r>
        <w:rPr>
          <w:rFonts w:ascii="Times New Roman" w:hAnsi="Times New Roman" w:cs="Times New Roman"/>
          <w:sz w:val="24"/>
          <w:szCs w:val="24"/>
        </w:rPr>
        <w:t>A</w:t>
      </w:r>
      <w:r w:rsidR="004E48D9" w:rsidRPr="005B4C2D">
        <w:rPr>
          <w:rFonts w:ascii="Times New Roman" w:hAnsi="Times New Roman" w:cs="Times New Roman"/>
          <w:sz w:val="24"/>
          <w:szCs w:val="24"/>
        </w:rPr>
        <w:t xml:space="preserve">ppendix </w:t>
      </w:r>
      <w:r w:rsidR="001A554D">
        <w:rPr>
          <w:rFonts w:ascii="Times New Roman" w:hAnsi="Times New Roman" w:cs="Times New Roman"/>
          <w:sz w:val="24"/>
          <w:szCs w:val="24"/>
        </w:rPr>
        <w:t>B</w:t>
      </w:r>
      <w:r w:rsidR="004E48D9" w:rsidRPr="005B4C2D">
        <w:rPr>
          <w:rFonts w:ascii="Times New Roman" w:hAnsi="Times New Roman" w:cs="Times New Roman"/>
          <w:sz w:val="24"/>
          <w:szCs w:val="24"/>
        </w:rPr>
        <w:t>: Predicted Response Rate</w:t>
      </w:r>
      <w:bookmarkEnd w:id="44"/>
    </w:p>
    <w:p w14:paraId="5C6EF415" w14:textId="77777777" w:rsidR="00530401" w:rsidRDefault="00530401" w:rsidP="00530401">
      <w:pPr>
        <w:pStyle w:val="DefaultText"/>
        <w:rPr>
          <w:rStyle w:val="InitialStyle"/>
          <w:b/>
          <w:u w:val="single"/>
        </w:rPr>
      </w:pPr>
    </w:p>
    <w:p w14:paraId="2796AFC2" w14:textId="77777777" w:rsidR="00530401" w:rsidRPr="00530401" w:rsidRDefault="00530401" w:rsidP="00530401">
      <w:pPr>
        <w:pStyle w:val="DefaultText"/>
        <w:rPr>
          <w:rStyle w:val="InitialStyle"/>
          <w:b/>
          <w:u w:val="single"/>
        </w:rPr>
      </w:pPr>
      <w:r w:rsidRPr="00530401">
        <w:rPr>
          <w:rStyle w:val="InitialStyle"/>
          <w:b/>
          <w:u w:val="single"/>
        </w:rPr>
        <w:t>Cattle-on-Feed Antimicrobial Use</w:t>
      </w:r>
    </w:p>
    <w:p w14:paraId="5AE16F0E" w14:textId="77777777" w:rsidR="00FD2271" w:rsidRDefault="00FD2271" w:rsidP="004E48D9">
      <w:pPr>
        <w:autoSpaceDE w:val="0"/>
        <w:autoSpaceDN w:val="0"/>
        <w:adjustRightInd w:val="0"/>
        <w:spacing w:line="240" w:lineRule="atLeast"/>
      </w:pPr>
    </w:p>
    <w:p w14:paraId="156E542A" w14:textId="77777777" w:rsidR="00FD2271" w:rsidRDefault="00FD2271" w:rsidP="00FD2271">
      <w:pPr>
        <w:autoSpaceDE w:val="0"/>
        <w:autoSpaceDN w:val="0"/>
        <w:adjustRightInd w:val="0"/>
        <w:spacing w:line="240" w:lineRule="atLeast"/>
      </w:pPr>
      <w:r w:rsidRPr="005B4C2D">
        <w:t>A questionnaire</w:t>
      </w:r>
      <w:r w:rsidR="00803E44">
        <w:t xml:space="preserve"> and</w:t>
      </w:r>
      <w:r w:rsidR="00D128A6">
        <w:t xml:space="preserve"> instructions</w:t>
      </w:r>
      <w:r w:rsidR="001C2610">
        <w:t xml:space="preserve"> </w:t>
      </w:r>
      <w:r w:rsidRPr="005B4C2D">
        <w:t xml:space="preserve">will be </w:t>
      </w:r>
      <w:r w:rsidR="00803E44">
        <w:t>left with consenting operations during the initial visit by NASS enumerators</w:t>
      </w:r>
      <w:r w:rsidRPr="005B4C2D">
        <w:t xml:space="preserve">. </w:t>
      </w:r>
      <w:r w:rsidR="001C2610">
        <w:t xml:space="preserve"> Approximately </w:t>
      </w:r>
      <w:r w:rsidR="00803E44">
        <w:t>2-4</w:t>
      </w:r>
      <w:r w:rsidR="001C2610">
        <w:t xml:space="preserve"> weeks later, a</w:t>
      </w:r>
      <w:r w:rsidR="00803E44">
        <w:t xml:space="preserve">n APHIS or State veterinarian </w:t>
      </w:r>
      <w:r w:rsidR="001C2610">
        <w:t xml:space="preserve">will visit the operation </w:t>
      </w:r>
      <w:r w:rsidR="00F53686">
        <w:t>to</w:t>
      </w:r>
      <w:r w:rsidR="001C2610">
        <w:t xml:space="preserve"> administer the questionnaire.  </w:t>
      </w:r>
      <w:r w:rsidR="00F802BE">
        <w:t>This will</w:t>
      </w:r>
      <w:r w:rsidR="00647CCA">
        <w:t xml:space="preserve"> allow operators</w:t>
      </w:r>
      <w:r w:rsidR="001C2610">
        <w:t xml:space="preserve"> time to compile any necessary records.  </w:t>
      </w:r>
      <w:r w:rsidRPr="005B4C2D">
        <w:t xml:space="preserve">The </w:t>
      </w:r>
      <w:r w:rsidR="00D128A6">
        <w:t xml:space="preserve">time required to complete the questionnaire is expected to be </w:t>
      </w:r>
      <w:r w:rsidR="00647CCA">
        <w:t>60</w:t>
      </w:r>
      <w:r w:rsidR="00D128A6">
        <w:t xml:space="preserve"> minutes, and </w:t>
      </w:r>
      <w:r w:rsidRPr="005B4C2D">
        <w:t xml:space="preserve">response rate to the questionnaire using this data collection technique is predicted to be </w:t>
      </w:r>
      <w:r w:rsidR="00C37BE5">
        <w:t>5</w:t>
      </w:r>
      <w:r w:rsidR="006851B7">
        <w:t>0</w:t>
      </w:r>
      <w:r w:rsidRPr="005B4C2D">
        <w:t>%.</w:t>
      </w:r>
    </w:p>
    <w:p w14:paraId="449F8E33" w14:textId="77777777" w:rsidR="00FD2271" w:rsidRDefault="00FD2271" w:rsidP="004E48D9">
      <w:pPr>
        <w:autoSpaceDE w:val="0"/>
        <w:autoSpaceDN w:val="0"/>
        <w:adjustRightInd w:val="0"/>
        <w:spacing w:line="240" w:lineRule="atLeast"/>
      </w:pPr>
    </w:p>
    <w:p w14:paraId="381F042F" w14:textId="77777777" w:rsidR="00BE08AA" w:rsidRDefault="00F50BF3" w:rsidP="00CD79C6">
      <w:pPr>
        <w:pStyle w:val="DefaultText"/>
        <w:numPr>
          <w:ilvl w:val="0"/>
          <w:numId w:val="24"/>
        </w:numPr>
      </w:pPr>
      <w:r>
        <w:t xml:space="preserve">Review of </w:t>
      </w:r>
      <w:r w:rsidR="00CD79C6">
        <w:t>p</w:t>
      </w:r>
      <w:r>
        <w:t xml:space="preserve">revious NAHMS </w:t>
      </w:r>
      <w:r w:rsidR="00CD79C6">
        <w:t>r</w:t>
      </w:r>
      <w:r>
        <w:t xml:space="preserve">esponse </w:t>
      </w:r>
      <w:r w:rsidR="00CD79C6">
        <w:t>r</w:t>
      </w:r>
      <w:r>
        <w:t>ates</w:t>
      </w:r>
      <w:r w:rsidR="00FD2271">
        <w:t xml:space="preserve"> for </w:t>
      </w:r>
      <w:r w:rsidR="00CD79C6">
        <w:t>s</w:t>
      </w:r>
      <w:r w:rsidR="00FD2271">
        <w:t xml:space="preserve">tudies </w:t>
      </w:r>
      <w:r w:rsidR="00CD79C6">
        <w:t>c</w:t>
      </w:r>
      <w:r w:rsidR="00FD2271">
        <w:t xml:space="preserve">onducted </w:t>
      </w:r>
      <w:r w:rsidR="00CD79C6">
        <w:t>u</w:t>
      </w:r>
      <w:r w:rsidR="00FD2271">
        <w:t xml:space="preserve">sing </w:t>
      </w:r>
      <w:r w:rsidR="00CD79C6">
        <w:t>on-farm enumeration</w:t>
      </w:r>
    </w:p>
    <w:p w14:paraId="18F047C2" w14:textId="77777777" w:rsidR="00473CD1" w:rsidRPr="00267DA1" w:rsidRDefault="00473CD1" w:rsidP="00473CD1">
      <w:pPr>
        <w:pStyle w:val="DefaultText"/>
        <w:tabs>
          <w:tab w:val="left" w:pos="360"/>
          <w:tab w:val="left" w:pos="720"/>
          <w:tab w:val="center" w:pos="4320"/>
          <w:tab w:val="center" w:pos="5040"/>
          <w:tab w:val="center" w:pos="5760"/>
          <w:tab w:val="center" w:pos="7560"/>
        </w:tabs>
      </w:pPr>
      <w:r w:rsidRPr="00267DA1">
        <w:tab/>
      </w:r>
    </w:p>
    <w:tbl>
      <w:tblPr>
        <w:tblW w:w="10080" w:type="dxa"/>
        <w:tblInd w:w="-792" w:type="dxa"/>
        <w:tblBorders>
          <w:top w:val="single" w:sz="4" w:space="0" w:color="auto"/>
          <w:bottom w:val="single" w:sz="4" w:space="0" w:color="auto"/>
          <w:insideH w:val="single" w:sz="4" w:space="0" w:color="C0C0C0"/>
          <w:insideV w:val="single" w:sz="4" w:space="0" w:color="C0C0C0"/>
        </w:tblBorders>
        <w:tblLayout w:type="fixed"/>
        <w:tblLook w:val="01E0" w:firstRow="1" w:lastRow="1" w:firstColumn="1" w:lastColumn="1" w:noHBand="0" w:noVBand="0"/>
      </w:tblPr>
      <w:tblGrid>
        <w:gridCol w:w="828"/>
        <w:gridCol w:w="1748"/>
        <w:gridCol w:w="1367"/>
        <w:gridCol w:w="1277"/>
        <w:gridCol w:w="1170"/>
        <w:gridCol w:w="1080"/>
        <w:gridCol w:w="1350"/>
        <w:gridCol w:w="1260"/>
      </w:tblGrid>
      <w:tr w:rsidR="009E57AA" w:rsidRPr="00267DA1" w14:paraId="1837A5F0" w14:textId="77777777" w:rsidTr="00765738">
        <w:tc>
          <w:tcPr>
            <w:tcW w:w="828" w:type="dxa"/>
            <w:tcBorders>
              <w:top w:val="single" w:sz="4" w:space="0" w:color="auto"/>
              <w:bottom w:val="single" w:sz="4" w:space="0" w:color="auto"/>
            </w:tcBorders>
            <w:vAlign w:val="bottom"/>
          </w:tcPr>
          <w:p w14:paraId="54FD984B" w14:textId="77777777" w:rsidR="009E57AA" w:rsidRPr="0037636A" w:rsidRDefault="009E57AA" w:rsidP="00BB06A8">
            <w:pPr>
              <w:pStyle w:val="DefaultText"/>
              <w:tabs>
                <w:tab w:val="left" w:pos="360"/>
                <w:tab w:val="left" w:pos="720"/>
                <w:tab w:val="center" w:pos="4320"/>
                <w:tab w:val="center" w:pos="5040"/>
                <w:tab w:val="center" w:pos="5760"/>
                <w:tab w:val="center" w:pos="7560"/>
              </w:tabs>
              <w:rPr>
                <w:b/>
              </w:rPr>
            </w:pPr>
            <w:r w:rsidRPr="0037636A">
              <w:rPr>
                <w:b/>
              </w:rPr>
              <w:t>Year</w:t>
            </w:r>
          </w:p>
        </w:tc>
        <w:tc>
          <w:tcPr>
            <w:tcW w:w="1748" w:type="dxa"/>
            <w:tcBorders>
              <w:top w:val="single" w:sz="4" w:space="0" w:color="auto"/>
              <w:bottom w:val="single" w:sz="4" w:space="0" w:color="auto"/>
            </w:tcBorders>
            <w:vAlign w:val="bottom"/>
          </w:tcPr>
          <w:p w14:paraId="1FC865A4" w14:textId="77777777" w:rsidR="009E57AA" w:rsidRPr="0037636A" w:rsidRDefault="009E57AA" w:rsidP="00BB06A8">
            <w:pPr>
              <w:pStyle w:val="DefaultText"/>
              <w:tabs>
                <w:tab w:val="left" w:pos="360"/>
                <w:tab w:val="left" w:pos="720"/>
                <w:tab w:val="center" w:pos="4320"/>
                <w:tab w:val="center" w:pos="5040"/>
                <w:tab w:val="center" w:pos="5760"/>
                <w:tab w:val="center" w:pos="7560"/>
              </w:tabs>
              <w:jc w:val="center"/>
              <w:rPr>
                <w:b/>
              </w:rPr>
            </w:pPr>
            <w:r w:rsidRPr="0037636A">
              <w:rPr>
                <w:b/>
              </w:rPr>
              <w:t>Questionnaire</w:t>
            </w:r>
          </w:p>
        </w:tc>
        <w:tc>
          <w:tcPr>
            <w:tcW w:w="1367" w:type="dxa"/>
            <w:tcBorders>
              <w:top w:val="single" w:sz="4" w:space="0" w:color="auto"/>
              <w:bottom w:val="single" w:sz="4" w:space="0" w:color="auto"/>
            </w:tcBorders>
            <w:vAlign w:val="bottom"/>
          </w:tcPr>
          <w:p w14:paraId="65F009BC" w14:textId="77777777" w:rsidR="009E57AA" w:rsidRPr="0037636A" w:rsidRDefault="009E57AA" w:rsidP="00BB06A8">
            <w:pPr>
              <w:pStyle w:val="DefaultText"/>
              <w:tabs>
                <w:tab w:val="left" w:pos="360"/>
                <w:tab w:val="left" w:pos="720"/>
                <w:tab w:val="center" w:pos="4320"/>
                <w:tab w:val="center" w:pos="5040"/>
                <w:tab w:val="center" w:pos="5760"/>
                <w:tab w:val="center" w:pos="7560"/>
              </w:tabs>
              <w:jc w:val="center"/>
              <w:rPr>
                <w:b/>
              </w:rPr>
            </w:pPr>
            <w:r w:rsidRPr="0037636A">
              <w:rPr>
                <w:b/>
              </w:rPr>
              <w:t>Collection dates</w:t>
            </w:r>
          </w:p>
        </w:tc>
        <w:tc>
          <w:tcPr>
            <w:tcW w:w="1277" w:type="dxa"/>
            <w:tcBorders>
              <w:top w:val="single" w:sz="4" w:space="0" w:color="auto"/>
              <w:bottom w:val="single" w:sz="4" w:space="0" w:color="auto"/>
            </w:tcBorders>
            <w:vAlign w:val="bottom"/>
          </w:tcPr>
          <w:p w14:paraId="44B2643D" w14:textId="77777777" w:rsidR="009E57AA" w:rsidRPr="0037636A" w:rsidRDefault="009E57AA" w:rsidP="00BB06A8">
            <w:pPr>
              <w:pStyle w:val="DefaultText"/>
              <w:tabs>
                <w:tab w:val="left" w:pos="360"/>
                <w:tab w:val="left" w:pos="720"/>
                <w:tab w:val="center" w:pos="4320"/>
                <w:tab w:val="center" w:pos="5040"/>
                <w:tab w:val="center" w:pos="5760"/>
                <w:tab w:val="center" w:pos="7560"/>
              </w:tabs>
              <w:jc w:val="center"/>
              <w:rPr>
                <w:b/>
              </w:rPr>
            </w:pPr>
            <w:r w:rsidRPr="0037636A">
              <w:rPr>
                <w:b/>
              </w:rPr>
              <w:t>Sample</w:t>
            </w:r>
          </w:p>
        </w:tc>
        <w:tc>
          <w:tcPr>
            <w:tcW w:w="1170" w:type="dxa"/>
            <w:tcBorders>
              <w:top w:val="single" w:sz="4" w:space="0" w:color="auto"/>
              <w:bottom w:val="single" w:sz="4" w:space="0" w:color="auto"/>
            </w:tcBorders>
            <w:vAlign w:val="bottom"/>
          </w:tcPr>
          <w:p w14:paraId="0ABC4411" w14:textId="77777777" w:rsidR="009E57AA" w:rsidRPr="0037636A" w:rsidRDefault="009E57AA" w:rsidP="00BB06A8">
            <w:pPr>
              <w:pStyle w:val="DefaultText"/>
              <w:tabs>
                <w:tab w:val="left" w:pos="360"/>
                <w:tab w:val="left" w:pos="720"/>
                <w:tab w:val="center" w:pos="4320"/>
                <w:tab w:val="center" w:pos="5040"/>
                <w:tab w:val="center" w:pos="5760"/>
                <w:tab w:val="center" w:pos="7560"/>
              </w:tabs>
              <w:jc w:val="center"/>
              <w:rPr>
                <w:b/>
              </w:rPr>
            </w:pPr>
            <w:r>
              <w:rPr>
                <w:b/>
              </w:rPr>
              <w:t>Useable</w:t>
            </w:r>
            <w:r w:rsidRPr="009E57AA">
              <w:rPr>
                <w:rFonts w:ascii="Times New (W1)" w:hAnsi="Times New (W1)"/>
                <w:b/>
                <w:vertAlign w:val="superscript"/>
              </w:rPr>
              <w:t>1</w:t>
            </w:r>
          </w:p>
        </w:tc>
        <w:tc>
          <w:tcPr>
            <w:tcW w:w="1080" w:type="dxa"/>
            <w:tcBorders>
              <w:top w:val="single" w:sz="4" w:space="0" w:color="auto"/>
              <w:bottom w:val="single" w:sz="4" w:space="0" w:color="auto"/>
            </w:tcBorders>
          </w:tcPr>
          <w:p w14:paraId="738BF3B9" w14:textId="77777777" w:rsidR="009E57AA" w:rsidRPr="0037636A" w:rsidRDefault="009E57AA" w:rsidP="00BB06A8">
            <w:pPr>
              <w:pStyle w:val="DefaultText"/>
              <w:tabs>
                <w:tab w:val="left" w:pos="360"/>
                <w:tab w:val="left" w:pos="720"/>
                <w:tab w:val="center" w:pos="4320"/>
                <w:tab w:val="center" w:pos="5040"/>
                <w:tab w:val="center" w:pos="5760"/>
                <w:tab w:val="center" w:pos="7560"/>
              </w:tabs>
              <w:jc w:val="center"/>
              <w:rPr>
                <w:b/>
              </w:rPr>
            </w:pPr>
            <w:r>
              <w:rPr>
                <w:b/>
              </w:rPr>
              <w:t>Useable %</w:t>
            </w:r>
          </w:p>
        </w:tc>
        <w:tc>
          <w:tcPr>
            <w:tcW w:w="1350" w:type="dxa"/>
            <w:tcBorders>
              <w:top w:val="single" w:sz="4" w:space="0" w:color="auto"/>
              <w:bottom w:val="single" w:sz="4" w:space="0" w:color="auto"/>
            </w:tcBorders>
            <w:vAlign w:val="bottom"/>
          </w:tcPr>
          <w:p w14:paraId="5B11FF36" w14:textId="77777777" w:rsidR="009E57AA" w:rsidRPr="0037636A" w:rsidRDefault="009E57AA" w:rsidP="00C64DDB">
            <w:pPr>
              <w:pStyle w:val="DefaultText"/>
              <w:tabs>
                <w:tab w:val="left" w:pos="360"/>
                <w:tab w:val="left" w:pos="720"/>
                <w:tab w:val="center" w:pos="4320"/>
                <w:tab w:val="center" w:pos="5040"/>
                <w:tab w:val="center" w:pos="5760"/>
                <w:tab w:val="center" w:pos="7560"/>
              </w:tabs>
              <w:jc w:val="center"/>
              <w:rPr>
                <w:b/>
              </w:rPr>
            </w:pPr>
            <w:r w:rsidRPr="0037636A">
              <w:rPr>
                <w:b/>
              </w:rPr>
              <w:t>Complete</w:t>
            </w:r>
            <w:r w:rsidRPr="009E57AA">
              <w:rPr>
                <w:rFonts w:ascii="Times New (W1)" w:hAnsi="Times New (W1)"/>
                <w:b/>
                <w:vertAlign w:val="superscript"/>
              </w:rPr>
              <w:t>2</w:t>
            </w:r>
          </w:p>
        </w:tc>
        <w:tc>
          <w:tcPr>
            <w:tcW w:w="1260" w:type="dxa"/>
            <w:tcBorders>
              <w:top w:val="single" w:sz="4" w:space="0" w:color="auto"/>
              <w:bottom w:val="single" w:sz="4" w:space="0" w:color="auto"/>
            </w:tcBorders>
            <w:vAlign w:val="bottom"/>
          </w:tcPr>
          <w:p w14:paraId="5C788FF6" w14:textId="77777777" w:rsidR="009E57AA" w:rsidRPr="0037636A" w:rsidRDefault="009E57AA" w:rsidP="00BB06A8">
            <w:pPr>
              <w:pStyle w:val="DefaultText"/>
              <w:tabs>
                <w:tab w:val="left" w:pos="360"/>
                <w:tab w:val="left" w:pos="720"/>
                <w:tab w:val="center" w:pos="4320"/>
                <w:tab w:val="center" w:pos="5040"/>
                <w:tab w:val="center" w:pos="5760"/>
                <w:tab w:val="center" w:pos="7560"/>
              </w:tabs>
              <w:jc w:val="center"/>
              <w:rPr>
                <w:b/>
              </w:rPr>
            </w:pPr>
            <w:r w:rsidRPr="0037636A">
              <w:rPr>
                <w:b/>
              </w:rPr>
              <w:t>Complete %</w:t>
            </w:r>
          </w:p>
        </w:tc>
      </w:tr>
      <w:tr w:rsidR="009E57AA" w:rsidRPr="00267DA1" w14:paraId="1FD8A45D" w14:textId="77777777" w:rsidTr="00765738">
        <w:tc>
          <w:tcPr>
            <w:tcW w:w="828" w:type="dxa"/>
            <w:tcBorders>
              <w:top w:val="single" w:sz="4" w:space="0" w:color="auto"/>
            </w:tcBorders>
            <w:vAlign w:val="center"/>
          </w:tcPr>
          <w:p w14:paraId="29E5AC4D" w14:textId="77777777" w:rsidR="009E57AA" w:rsidRPr="0037636A" w:rsidRDefault="001C2610" w:rsidP="00BB06A8">
            <w:pPr>
              <w:pStyle w:val="DefaultText"/>
              <w:tabs>
                <w:tab w:val="left" w:pos="360"/>
                <w:tab w:val="left" w:pos="720"/>
                <w:tab w:val="center" w:pos="4320"/>
                <w:tab w:val="center" w:pos="5040"/>
                <w:tab w:val="center" w:pos="5760"/>
                <w:tab w:val="center" w:pos="7560"/>
              </w:tabs>
            </w:pPr>
            <w:r>
              <w:t>2014</w:t>
            </w:r>
          </w:p>
        </w:tc>
        <w:tc>
          <w:tcPr>
            <w:tcW w:w="1748" w:type="dxa"/>
            <w:tcBorders>
              <w:top w:val="single" w:sz="4" w:space="0" w:color="auto"/>
            </w:tcBorders>
            <w:vAlign w:val="bottom"/>
          </w:tcPr>
          <w:p w14:paraId="6B0FBDB8"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 xml:space="preserve">General Dairy Management Questionnaire </w:t>
            </w:r>
          </w:p>
        </w:tc>
        <w:tc>
          <w:tcPr>
            <w:tcW w:w="1367" w:type="dxa"/>
            <w:tcBorders>
              <w:top w:val="single" w:sz="4" w:space="0" w:color="auto"/>
            </w:tcBorders>
            <w:vAlign w:val="center"/>
          </w:tcPr>
          <w:p w14:paraId="55EE1B14"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January 2014</w:t>
            </w:r>
          </w:p>
        </w:tc>
        <w:tc>
          <w:tcPr>
            <w:tcW w:w="1277" w:type="dxa"/>
            <w:tcBorders>
              <w:top w:val="single" w:sz="4" w:space="0" w:color="auto"/>
            </w:tcBorders>
            <w:vAlign w:val="center"/>
          </w:tcPr>
          <w:p w14:paraId="2A91A303"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3,554 operations</w:t>
            </w:r>
          </w:p>
        </w:tc>
        <w:tc>
          <w:tcPr>
            <w:tcW w:w="1170" w:type="dxa"/>
            <w:tcBorders>
              <w:top w:val="single" w:sz="4" w:space="0" w:color="auto"/>
            </w:tcBorders>
            <w:vAlign w:val="center"/>
          </w:tcPr>
          <w:p w14:paraId="30276E47" w14:textId="77777777" w:rsidR="009E57AA" w:rsidRPr="0037636A" w:rsidRDefault="001C2610" w:rsidP="00C64DDB">
            <w:pPr>
              <w:pStyle w:val="DefaultText"/>
              <w:tabs>
                <w:tab w:val="left" w:pos="360"/>
                <w:tab w:val="left" w:pos="720"/>
                <w:tab w:val="center" w:pos="4320"/>
                <w:tab w:val="center" w:pos="5040"/>
                <w:tab w:val="center" w:pos="5760"/>
                <w:tab w:val="center" w:pos="7560"/>
              </w:tabs>
              <w:jc w:val="center"/>
            </w:pPr>
            <w:r>
              <w:t>2,519</w:t>
            </w:r>
          </w:p>
        </w:tc>
        <w:tc>
          <w:tcPr>
            <w:tcW w:w="1080" w:type="dxa"/>
            <w:tcBorders>
              <w:top w:val="single" w:sz="4" w:space="0" w:color="auto"/>
            </w:tcBorders>
            <w:vAlign w:val="center"/>
          </w:tcPr>
          <w:p w14:paraId="73BE5881" w14:textId="77777777" w:rsidR="009E57AA" w:rsidRPr="0037636A" w:rsidRDefault="001C2610" w:rsidP="00C64DDB">
            <w:pPr>
              <w:pStyle w:val="DefaultText"/>
              <w:tabs>
                <w:tab w:val="left" w:pos="360"/>
                <w:tab w:val="left" w:pos="720"/>
                <w:tab w:val="center" w:pos="4320"/>
                <w:tab w:val="center" w:pos="5040"/>
                <w:tab w:val="center" w:pos="5760"/>
                <w:tab w:val="center" w:pos="7560"/>
              </w:tabs>
              <w:jc w:val="center"/>
            </w:pPr>
            <w:r>
              <w:t>70.9</w:t>
            </w:r>
          </w:p>
        </w:tc>
        <w:tc>
          <w:tcPr>
            <w:tcW w:w="1350" w:type="dxa"/>
            <w:tcBorders>
              <w:top w:val="single" w:sz="4" w:space="0" w:color="auto"/>
            </w:tcBorders>
            <w:vAlign w:val="center"/>
          </w:tcPr>
          <w:p w14:paraId="68564E56" w14:textId="77777777" w:rsidR="009E57AA" w:rsidRPr="0037636A" w:rsidRDefault="001C2610" w:rsidP="00C64DDB">
            <w:pPr>
              <w:pStyle w:val="DefaultText"/>
              <w:tabs>
                <w:tab w:val="left" w:pos="360"/>
                <w:tab w:val="left" w:pos="720"/>
                <w:tab w:val="center" w:pos="4320"/>
                <w:tab w:val="center" w:pos="5040"/>
                <w:tab w:val="center" w:pos="5760"/>
                <w:tab w:val="center" w:pos="7560"/>
              </w:tabs>
              <w:jc w:val="center"/>
            </w:pPr>
            <w:r>
              <w:t>2,194</w:t>
            </w:r>
          </w:p>
        </w:tc>
        <w:tc>
          <w:tcPr>
            <w:tcW w:w="1260" w:type="dxa"/>
            <w:tcBorders>
              <w:top w:val="single" w:sz="4" w:space="0" w:color="auto"/>
            </w:tcBorders>
            <w:vAlign w:val="center"/>
          </w:tcPr>
          <w:p w14:paraId="520834A6"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61.7</w:t>
            </w:r>
          </w:p>
        </w:tc>
      </w:tr>
      <w:tr w:rsidR="009E57AA" w:rsidRPr="00267DA1" w14:paraId="1D63D034" w14:textId="77777777" w:rsidTr="00765738">
        <w:tc>
          <w:tcPr>
            <w:tcW w:w="828" w:type="dxa"/>
            <w:tcBorders>
              <w:top w:val="single" w:sz="4" w:space="0" w:color="auto"/>
              <w:bottom w:val="single" w:sz="4" w:space="0" w:color="auto"/>
            </w:tcBorders>
            <w:shd w:val="clear" w:color="auto" w:fill="auto"/>
            <w:vAlign w:val="center"/>
          </w:tcPr>
          <w:p w14:paraId="55265861" w14:textId="77777777" w:rsidR="009E57AA" w:rsidRPr="0037636A" w:rsidRDefault="001C2610" w:rsidP="00BB06A8">
            <w:pPr>
              <w:pStyle w:val="DefaultText"/>
              <w:tabs>
                <w:tab w:val="left" w:pos="360"/>
                <w:tab w:val="left" w:pos="720"/>
                <w:tab w:val="center" w:pos="4320"/>
                <w:tab w:val="center" w:pos="5040"/>
                <w:tab w:val="center" w:pos="5760"/>
                <w:tab w:val="center" w:pos="7560"/>
              </w:tabs>
            </w:pPr>
            <w:r>
              <w:t>2012</w:t>
            </w:r>
          </w:p>
        </w:tc>
        <w:tc>
          <w:tcPr>
            <w:tcW w:w="1748" w:type="dxa"/>
            <w:tcBorders>
              <w:top w:val="single" w:sz="4" w:space="0" w:color="auto"/>
              <w:bottom w:val="single" w:sz="4" w:space="0" w:color="auto"/>
            </w:tcBorders>
            <w:vAlign w:val="bottom"/>
          </w:tcPr>
          <w:p w14:paraId="3B195DDA"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General Swine Farm Questionnaire</w:t>
            </w:r>
            <w:r w:rsidR="00CD79C6" w:rsidRPr="00CD79C6">
              <w:rPr>
                <w:vertAlign w:val="superscript"/>
              </w:rPr>
              <w:t>3</w:t>
            </w:r>
          </w:p>
        </w:tc>
        <w:tc>
          <w:tcPr>
            <w:tcW w:w="1367" w:type="dxa"/>
            <w:tcBorders>
              <w:top w:val="single" w:sz="4" w:space="0" w:color="auto"/>
              <w:bottom w:val="single" w:sz="4" w:space="0" w:color="auto"/>
            </w:tcBorders>
            <w:vAlign w:val="center"/>
          </w:tcPr>
          <w:p w14:paraId="57323B27"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July 2012</w:t>
            </w:r>
          </w:p>
        </w:tc>
        <w:tc>
          <w:tcPr>
            <w:tcW w:w="1277" w:type="dxa"/>
            <w:tcBorders>
              <w:top w:val="single" w:sz="4" w:space="0" w:color="auto"/>
              <w:bottom w:val="single" w:sz="4" w:space="0" w:color="auto"/>
            </w:tcBorders>
            <w:vAlign w:val="center"/>
          </w:tcPr>
          <w:p w14:paraId="3D142188"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5,237 sites</w:t>
            </w:r>
          </w:p>
        </w:tc>
        <w:tc>
          <w:tcPr>
            <w:tcW w:w="1170" w:type="dxa"/>
            <w:tcBorders>
              <w:top w:val="single" w:sz="4" w:space="0" w:color="auto"/>
              <w:bottom w:val="single" w:sz="4" w:space="0" w:color="auto"/>
            </w:tcBorders>
            <w:vAlign w:val="center"/>
          </w:tcPr>
          <w:p w14:paraId="48573A7E" w14:textId="77777777" w:rsidR="009E57AA" w:rsidRPr="0037636A" w:rsidRDefault="001C2610" w:rsidP="00C64DDB">
            <w:pPr>
              <w:pStyle w:val="DefaultText"/>
              <w:tabs>
                <w:tab w:val="left" w:pos="360"/>
                <w:tab w:val="left" w:pos="720"/>
                <w:tab w:val="center" w:pos="4320"/>
                <w:tab w:val="center" w:pos="5040"/>
                <w:tab w:val="center" w:pos="5760"/>
                <w:tab w:val="center" w:pos="7560"/>
              </w:tabs>
              <w:jc w:val="center"/>
            </w:pPr>
            <w:r>
              <w:t>3,067</w:t>
            </w:r>
          </w:p>
        </w:tc>
        <w:tc>
          <w:tcPr>
            <w:tcW w:w="1080" w:type="dxa"/>
            <w:tcBorders>
              <w:top w:val="single" w:sz="4" w:space="0" w:color="auto"/>
              <w:bottom w:val="single" w:sz="4" w:space="0" w:color="auto"/>
            </w:tcBorders>
            <w:vAlign w:val="center"/>
          </w:tcPr>
          <w:p w14:paraId="556BD6AE" w14:textId="77777777" w:rsidR="009E57AA" w:rsidRPr="0037636A" w:rsidRDefault="001C2610" w:rsidP="00C64DDB">
            <w:pPr>
              <w:pStyle w:val="DefaultText"/>
              <w:tabs>
                <w:tab w:val="left" w:pos="360"/>
                <w:tab w:val="left" w:pos="720"/>
                <w:tab w:val="center" w:pos="4320"/>
                <w:tab w:val="center" w:pos="5040"/>
                <w:tab w:val="center" w:pos="5760"/>
                <w:tab w:val="center" w:pos="7560"/>
              </w:tabs>
              <w:jc w:val="center"/>
            </w:pPr>
            <w:r>
              <w:t>58.6</w:t>
            </w:r>
          </w:p>
        </w:tc>
        <w:tc>
          <w:tcPr>
            <w:tcW w:w="1350" w:type="dxa"/>
            <w:tcBorders>
              <w:top w:val="single" w:sz="4" w:space="0" w:color="auto"/>
              <w:bottom w:val="single" w:sz="4" w:space="0" w:color="auto"/>
            </w:tcBorders>
            <w:vAlign w:val="center"/>
          </w:tcPr>
          <w:p w14:paraId="2517A20F" w14:textId="77777777" w:rsidR="009E57AA" w:rsidRPr="0037636A" w:rsidRDefault="001C2610" w:rsidP="00C64DDB">
            <w:pPr>
              <w:pStyle w:val="DefaultText"/>
              <w:tabs>
                <w:tab w:val="left" w:pos="360"/>
                <w:tab w:val="left" w:pos="720"/>
                <w:tab w:val="center" w:pos="4320"/>
                <w:tab w:val="center" w:pos="5040"/>
                <w:tab w:val="center" w:pos="5760"/>
                <w:tab w:val="center" w:pos="7560"/>
              </w:tabs>
              <w:jc w:val="center"/>
            </w:pPr>
            <w:r>
              <w:t>2,119</w:t>
            </w:r>
          </w:p>
        </w:tc>
        <w:tc>
          <w:tcPr>
            <w:tcW w:w="1260" w:type="dxa"/>
            <w:tcBorders>
              <w:top w:val="single" w:sz="4" w:space="0" w:color="auto"/>
              <w:bottom w:val="single" w:sz="4" w:space="0" w:color="auto"/>
            </w:tcBorders>
            <w:vAlign w:val="center"/>
          </w:tcPr>
          <w:p w14:paraId="16B0F2EB" w14:textId="77777777" w:rsidR="009E57AA" w:rsidRPr="0037636A" w:rsidRDefault="001C2610" w:rsidP="00BB06A8">
            <w:pPr>
              <w:pStyle w:val="DefaultText"/>
              <w:tabs>
                <w:tab w:val="left" w:pos="360"/>
                <w:tab w:val="left" w:pos="720"/>
                <w:tab w:val="center" w:pos="4320"/>
                <w:tab w:val="center" w:pos="5040"/>
                <w:tab w:val="center" w:pos="5760"/>
                <w:tab w:val="center" w:pos="7560"/>
              </w:tabs>
              <w:jc w:val="center"/>
            </w:pPr>
            <w:r>
              <w:t>40.5</w:t>
            </w:r>
          </w:p>
        </w:tc>
      </w:tr>
      <w:tr w:rsidR="00765738" w:rsidRPr="00267DA1" w14:paraId="48E21AF8" w14:textId="77777777" w:rsidTr="00765738">
        <w:tc>
          <w:tcPr>
            <w:tcW w:w="828" w:type="dxa"/>
            <w:tcBorders>
              <w:top w:val="single" w:sz="4" w:space="0" w:color="auto"/>
              <w:bottom w:val="single" w:sz="4" w:space="0" w:color="auto"/>
            </w:tcBorders>
            <w:shd w:val="clear" w:color="auto" w:fill="auto"/>
            <w:vAlign w:val="center"/>
          </w:tcPr>
          <w:p w14:paraId="19372286" w14:textId="77777777" w:rsidR="00765738" w:rsidRDefault="00765738" w:rsidP="00BB06A8">
            <w:pPr>
              <w:pStyle w:val="DefaultText"/>
              <w:tabs>
                <w:tab w:val="left" w:pos="360"/>
                <w:tab w:val="left" w:pos="720"/>
                <w:tab w:val="center" w:pos="4320"/>
                <w:tab w:val="center" w:pos="5040"/>
                <w:tab w:val="center" w:pos="5760"/>
                <w:tab w:val="center" w:pos="7560"/>
              </w:tabs>
            </w:pPr>
            <w:r>
              <w:t>2011</w:t>
            </w:r>
          </w:p>
        </w:tc>
        <w:tc>
          <w:tcPr>
            <w:tcW w:w="1748" w:type="dxa"/>
            <w:tcBorders>
              <w:top w:val="single" w:sz="4" w:space="0" w:color="auto"/>
              <w:bottom w:val="single" w:sz="4" w:space="0" w:color="auto"/>
            </w:tcBorders>
            <w:vAlign w:val="bottom"/>
          </w:tcPr>
          <w:p w14:paraId="73343B07" w14:textId="77777777" w:rsidR="00765738" w:rsidRDefault="00765738" w:rsidP="00BB06A8">
            <w:pPr>
              <w:pStyle w:val="DefaultText"/>
              <w:tabs>
                <w:tab w:val="left" w:pos="360"/>
                <w:tab w:val="left" w:pos="720"/>
                <w:tab w:val="center" w:pos="4320"/>
                <w:tab w:val="center" w:pos="5040"/>
                <w:tab w:val="center" w:pos="5760"/>
                <w:tab w:val="center" w:pos="7560"/>
              </w:tabs>
              <w:jc w:val="center"/>
            </w:pPr>
            <w:r>
              <w:t>Feedlot Health and Management Questionnaire (1,000 or more</w:t>
            </w:r>
            <w:r w:rsidR="00B20444">
              <w:t xml:space="preserve"> head</w:t>
            </w:r>
            <w:r>
              <w:t xml:space="preserve"> capacity)</w:t>
            </w:r>
          </w:p>
        </w:tc>
        <w:tc>
          <w:tcPr>
            <w:tcW w:w="1367" w:type="dxa"/>
            <w:tcBorders>
              <w:top w:val="single" w:sz="4" w:space="0" w:color="auto"/>
              <w:bottom w:val="single" w:sz="4" w:space="0" w:color="auto"/>
            </w:tcBorders>
            <w:vAlign w:val="center"/>
          </w:tcPr>
          <w:p w14:paraId="35C97F45" w14:textId="77777777" w:rsidR="00765738" w:rsidRDefault="00765738" w:rsidP="00BB06A8">
            <w:pPr>
              <w:pStyle w:val="DefaultText"/>
              <w:tabs>
                <w:tab w:val="left" w:pos="360"/>
                <w:tab w:val="left" w:pos="720"/>
                <w:tab w:val="center" w:pos="4320"/>
                <w:tab w:val="center" w:pos="5040"/>
                <w:tab w:val="center" w:pos="5760"/>
                <w:tab w:val="center" w:pos="7560"/>
              </w:tabs>
              <w:jc w:val="center"/>
            </w:pPr>
            <w:r>
              <w:t>October-December 2011</w:t>
            </w:r>
          </w:p>
        </w:tc>
        <w:tc>
          <w:tcPr>
            <w:tcW w:w="1277" w:type="dxa"/>
            <w:tcBorders>
              <w:top w:val="single" w:sz="4" w:space="0" w:color="auto"/>
              <w:bottom w:val="single" w:sz="4" w:space="0" w:color="auto"/>
            </w:tcBorders>
            <w:vAlign w:val="center"/>
          </w:tcPr>
          <w:p w14:paraId="0E243A22" w14:textId="77777777" w:rsidR="00765738" w:rsidRDefault="00765738" w:rsidP="00BB06A8">
            <w:pPr>
              <w:pStyle w:val="DefaultText"/>
              <w:tabs>
                <w:tab w:val="left" w:pos="360"/>
                <w:tab w:val="left" w:pos="720"/>
                <w:tab w:val="center" w:pos="4320"/>
                <w:tab w:val="center" w:pos="5040"/>
                <w:tab w:val="center" w:pos="5760"/>
                <w:tab w:val="center" w:pos="7560"/>
              </w:tabs>
              <w:jc w:val="center"/>
            </w:pPr>
            <w:r>
              <w:t>995</w:t>
            </w:r>
          </w:p>
        </w:tc>
        <w:tc>
          <w:tcPr>
            <w:tcW w:w="1170" w:type="dxa"/>
            <w:tcBorders>
              <w:top w:val="single" w:sz="4" w:space="0" w:color="auto"/>
              <w:bottom w:val="single" w:sz="4" w:space="0" w:color="auto"/>
            </w:tcBorders>
            <w:vAlign w:val="center"/>
          </w:tcPr>
          <w:p w14:paraId="1ED6E972" w14:textId="77777777" w:rsidR="00765738" w:rsidRDefault="00765738" w:rsidP="00C64DDB">
            <w:pPr>
              <w:pStyle w:val="DefaultText"/>
              <w:tabs>
                <w:tab w:val="left" w:pos="360"/>
                <w:tab w:val="left" w:pos="720"/>
                <w:tab w:val="center" w:pos="4320"/>
                <w:tab w:val="center" w:pos="5040"/>
                <w:tab w:val="center" w:pos="5760"/>
                <w:tab w:val="center" w:pos="7560"/>
              </w:tabs>
              <w:jc w:val="center"/>
            </w:pPr>
            <w:r>
              <w:t>517</w:t>
            </w:r>
          </w:p>
        </w:tc>
        <w:tc>
          <w:tcPr>
            <w:tcW w:w="1080" w:type="dxa"/>
            <w:tcBorders>
              <w:top w:val="single" w:sz="4" w:space="0" w:color="auto"/>
              <w:bottom w:val="single" w:sz="4" w:space="0" w:color="auto"/>
            </w:tcBorders>
            <w:vAlign w:val="center"/>
          </w:tcPr>
          <w:p w14:paraId="35C66BA5" w14:textId="77777777" w:rsidR="00765738" w:rsidRDefault="00765738" w:rsidP="00C64DDB">
            <w:pPr>
              <w:pStyle w:val="DefaultText"/>
              <w:tabs>
                <w:tab w:val="left" w:pos="360"/>
                <w:tab w:val="left" w:pos="720"/>
                <w:tab w:val="center" w:pos="4320"/>
                <w:tab w:val="center" w:pos="5040"/>
                <w:tab w:val="center" w:pos="5760"/>
                <w:tab w:val="center" w:pos="7560"/>
              </w:tabs>
              <w:jc w:val="center"/>
            </w:pPr>
            <w:r>
              <w:t>52.0</w:t>
            </w:r>
          </w:p>
        </w:tc>
        <w:tc>
          <w:tcPr>
            <w:tcW w:w="1350" w:type="dxa"/>
            <w:tcBorders>
              <w:top w:val="single" w:sz="4" w:space="0" w:color="auto"/>
              <w:bottom w:val="single" w:sz="4" w:space="0" w:color="auto"/>
            </w:tcBorders>
            <w:vAlign w:val="center"/>
          </w:tcPr>
          <w:p w14:paraId="181C5962" w14:textId="77777777" w:rsidR="00765738" w:rsidRDefault="00765738" w:rsidP="00C64DDB">
            <w:pPr>
              <w:pStyle w:val="DefaultText"/>
              <w:tabs>
                <w:tab w:val="left" w:pos="360"/>
                <w:tab w:val="left" w:pos="720"/>
                <w:tab w:val="center" w:pos="4320"/>
                <w:tab w:val="center" w:pos="5040"/>
                <w:tab w:val="center" w:pos="5760"/>
                <w:tab w:val="center" w:pos="7560"/>
              </w:tabs>
              <w:jc w:val="center"/>
            </w:pPr>
            <w:r>
              <w:t>403</w:t>
            </w:r>
          </w:p>
        </w:tc>
        <w:tc>
          <w:tcPr>
            <w:tcW w:w="1260" w:type="dxa"/>
            <w:tcBorders>
              <w:top w:val="single" w:sz="4" w:space="0" w:color="auto"/>
              <w:bottom w:val="single" w:sz="4" w:space="0" w:color="auto"/>
            </w:tcBorders>
            <w:vAlign w:val="center"/>
          </w:tcPr>
          <w:p w14:paraId="129DC02C" w14:textId="77777777" w:rsidR="00765738" w:rsidRDefault="00765738" w:rsidP="00BB06A8">
            <w:pPr>
              <w:pStyle w:val="DefaultText"/>
              <w:tabs>
                <w:tab w:val="left" w:pos="360"/>
                <w:tab w:val="left" w:pos="720"/>
                <w:tab w:val="center" w:pos="4320"/>
                <w:tab w:val="center" w:pos="5040"/>
                <w:tab w:val="center" w:pos="5760"/>
                <w:tab w:val="center" w:pos="7560"/>
              </w:tabs>
              <w:jc w:val="center"/>
            </w:pPr>
            <w:r>
              <w:t>40.5</w:t>
            </w:r>
          </w:p>
        </w:tc>
      </w:tr>
    </w:tbl>
    <w:p w14:paraId="253184C5" w14:textId="77777777" w:rsidR="00473CD1" w:rsidRDefault="009E57AA" w:rsidP="004E48D9">
      <w:pPr>
        <w:autoSpaceDE w:val="0"/>
        <w:autoSpaceDN w:val="0"/>
        <w:adjustRightInd w:val="0"/>
        <w:spacing w:line="240" w:lineRule="atLeast"/>
      </w:pPr>
      <w:r w:rsidRPr="009E57AA">
        <w:rPr>
          <w:rFonts w:ascii="Times New (W1)" w:hAnsi="Times New (W1)"/>
          <w:b/>
          <w:vertAlign w:val="superscript"/>
        </w:rPr>
        <w:t>1</w:t>
      </w:r>
      <w:r w:rsidR="00906DB5">
        <w:t xml:space="preserve">Respondent was contacted and </w:t>
      </w:r>
      <w:r w:rsidR="00CC376D">
        <w:t>provided at least inventory information</w:t>
      </w:r>
      <w:r w:rsidR="00906DB5">
        <w:t>.  Includes operations with zero inventory on hand.</w:t>
      </w:r>
    </w:p>
    <w:p w14:paraId="77BF49E3" w14:textId="77777777" w:rsidR="00473CD1" w:rsidRDefault="00926FAA" w:rsidP="004E48D9">
      <w:pPr>
        <w:autoSpaceDE w:val="0"/>
        <w:autoSpaceDN w:val="0"/>
        <w:adjustRightInd w:val="0"/>
        <w:spacing w:line="240" w:lineRule="atLeast"/>
      </w:pPr>
      <w:r>
        <w:rPr>
          <w:rFonts w:ascii="Times New (W1)" w:hAnsi="Times New (W1)"/>
          <w:b/>
          <w:vertAlign w:val="superscript"/>
        </w:rPr>
        <w:t>2</w:t>
      </w:r>
      <w:r w:rsidR="009E57AA">
        <w:t>Respondent provided answers to all or nearly all questions.</w:t>
      </w:r>
    </w:p>
    <w:p w14:paraId="00827EE2" w14:textId="77777777" w:rsidR="007C2843" w:rsidRDefault="00CD79C6" w:rsidP="00CD79C6">
      <w:pPr>
        <w:autoSpaceDE w:val="0"/>
        <w:autoSpaceDN w:val="0"/>
        <w:adjustRightInd w:val="0"/>
        <w:spacing w:line="240" w:lineRule="atLeast"/>
      </w:pPr>
      <w:r w:rsidRPr="00CD79C6">
        <w:rPr>
          <w:vertAlign w:val="superscript"/>
        </w:rPr>
        <w:t>3</w:t>
      </w:r>
      <w:r>
        <w:t>Data collection was partly via CATI (n=</w:t>
      </w:r>
      <w:r w:rsidR="00F0443F">
        <w:t>2,000</w:t>
      </w:r>
      <w:r>
        <w:t>) and partly via on-farm enumeration</w:t>
      </w:r>
      <w:r w:rsidR="00F0443F">
        <w:t xml:space="preserve"> (n=2,600)</w:t>
      </w:r>
    </w:p>
    <w:p w14:paraId="294A497E" w14:textId="77777777" w:rsidR="00530401" w:rsidRDefault="00530401" w:rsidP="00530401">
      <w:pPr>
        <w:pStyle w:val="Heading1"/>
        <w:rPr>
          <w:rFonts w:ascii="Times New Roman" w:hAnsi="Times New Roman" w:cs="Times New Roman"/>
          <w:sz w:val="24"/>
          <w:szCs w:val="24"/>
        </w:rPr>
      </w:pPr>
      <w:r>
        <w:rPr>
          <w:color w:val="000000"/>
        </w:rPr>
        <w:br w:type="page"/>
      </w:r>
      <w:r w:rsidRPr="005B4C2D">
        <w:rPr>
          <w:rFonts w:ascii="Times New Roman" w:hAnsi="Times New Roman" w:cs="Times New Roman"/>
          <w:sz w:val="24"/>
          <w:szCs w:val="24"/>
        </w:rPr>
        <w:t xml:space="preserve">Appendix </w:t>
      </w:r>
      <w:r>
        <w:rPr>
          <w:rFonts w:ascii="Times New Roman" w:hAnsi="Times New Roman" w:cs="Times New Roman"/>
          <w:sz w:val="24"/>
          <w:szCs w:val="24"/>
        </w:rPr>
        <w:t>C</w:t>
      </w:r>
      <w:r w:rsidRPr="005B4C2D">
        <w:rPr>
          <w:rFonts w:ascii="Times New Roman" w:hAnsi="Times New Roman" w:cs="Times New Roman"/>
          <w:sz w:val="24"/>
          <w:szCs w:val="24"/>
        </w:rPr>
        <w:t xml:space="preserve">: </w:t>
      </w:r>
      <w:r>
        <w:rPr>
          <w:rFonts w:ascii="Times New Roman" w:hAnsi="Times New Roman" w:cs="Times New Roman"/>
          <w:sz w:val="24"/>
          <w:szCs w:val="24"/>
        </w:rPr>
        <w:t>Number and percent of operations and pigs in 13 participating states</w:t>
      </w:r>
    </w:p>
    <w:p w14:paraId="21F232C1" w14:textId="77777777" w:rsidR="00530401" w:rsidRDefault="00530401" w:rsidP="00530401">
      <w:pPr>
        <w:pStyle w:val="DefaultText"/>
        <w:spacing w:line="360" w:lineRule="auto"/>
        <w:rPr>
          <w:rStyle w:val="InitialStyle"/>
          <w:b/>
          <w:u w:val="single"/>
        </w:rPr>
      </w:pPr>
    </w:p>
    <w:p w14:paraId="6391DC22"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6DB6E784" w14:textId="77777777" w:rsidR="00530401" w:rsidRDefault="00530401" w:rsidP="00530401">
      <w:pPr>
        <w:pStyle w:val="Heading1"/>
        <w:rPr>
          <w:rFonts w:ascii="Times New Roman" w:hAnsi="Times New Roman" w:cs="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1650"/>
        <w:gridCol w:w="1170"/>
        <w:gridCol w:w="1800"/>
      </w:tblGrid>
      <w:tr w:rsidR="00530401" w14:paraId="593F3DCC" w14:textId="77777777" w:rsidTr="005C226F">
        <w:trPr>
          <w:trHeight w:val="302"/>
        </w:trPr>
        <w:tc>
          <w:tcPr>
            <w:tcW w:w="4620" w:type="dxa"/>
            <w:gridSpan w:val="3"/>
            <w:tcBorders>
              <w:top w:val="nil"/>
              <w:left w:val="nil"/>
              <w:bottom w:val="nil"/>
              <w:right w:val="nil"/>
            </w:tcBorders>
          </w:tcPr>
          <w:p w14:paraId="1CDCAF56" w14:textId="77777777" w:rsidR="00530401" w:rsidRDefault="00530401" w:rsidP="005C226F">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Hog inventory and number of operations with pigs, operations with 1000+ pigs</w:t>
            </w:r>
          </w:p>
        </w:tc>
      </w:tr>
      <w:tr w:rsidR="00530401" w14:paraId="2A0FDCCF" w14:textId="77777777" w:rsidTr="005C226F">
        <w:trPr>
          <w:trHeight w:val="290"/>
        </w:trPr>
        <w:tc>
          <w:tcPr>
            <w:tcW w:w="1650" w:type="dxa"/>
            <w:tcBorders>
              <w:top w:val="nil"/>
              <w:left w:val="nil"/>
              <w:bottom w:val="nil"/>
              <w:right w:val="nil"/>
            </w:tcBorders>
          </w:tcPr>
          <w:p w14:paraId="6A32A6DB" w14:textId="77777777" w:rsidR="00530401" w:rsidRDefault="00530401" w:rsidP="005C226F">
            <w:pPr>
              <w:autoSpaceDE w:val="0"/>
              <w:autoSpaceDN w:val="0"/>
              <w:adjustRightInd w:val="0"/>
              <w:jc w:val="right"/>
              <w:rPr>
                <w:rFonts w:ascii="Calibri" w:hAnsi="Calibri" w:cs="Calibri"/>
                <w:color w:val="000000"/>
                <w:sz w:val="22"/>
                <w:szCs w:val="22"/>
              </w:rPr>
            </w:pPr>
          </w:p>
        </w:tc>
        <w:tc>
          <w:tcPr>
            <w:tcW w:w="1170" w:type="dxa"/>
            <w:tcBorders>
              <w:top w:val="nil"/>
              <w:left w:val="nil"/>
              <w:bottom w:val="nil"/>
              <w:right w:val="nil"/>
            </w:tcBorders>
          </w:tcPr>
          <w:p w14:paraId="3438010B" w14:textId="77777777" w:rsidR="00530401" w:rsidRDefault="00530401" w:rsidP="005C226F">
            <w:pPr>
              <w:autoSpaceDE w:val="0"/>
              <w:autoSpaceDN w:val="0"/>
              <w:adjustRightInd w:val="0"/>
              <w:jc w:val="right"/>
              <w:rPr>
                <w:rFonts w:ascii="Calibri" w:hAnsi="Calibri" w:cs="Calibri"/>
                <w:color w:val="000000"/>
                <w:sz w:val="22"/>
                <w:szCs w:val="22"/>
              </w:rPr>
            </w:pPr>
          </w:p>
        </w:tc>
        <w:tc>
          <w:tcPr>
            <w:tcW w:w="1800" w:type="dxa"/>
            <w:tcBorders>
              <w:top w:val="nil"/>
              <w:left w:val="nil"/>
              <w:bottom w:val="nil"/>
              <w:right w:val="nil"/>
            </w:tcBorders>
          </w:tcPr>
          <w:p w14:paraId="638CC289" w14:textId="77777777" w:rsidR="00530401" w:rsidRDefault="00530401" w:rsidP="005C226F">
            <w:pPr>
              <w:autoSpaceDE w:val="0"/>
              <w:autoSpaceDN w:val="0"/>
              <w:adjustRightInd w:val="0"/>
              <w:jc w:val="right"/>
              <w:rPr>
                <w:rFonts w:ascii="Calibri" w:hAnsi="Calibri" w:cs="Calibri"/>
                <w:color w:val="000000"/>
                <w:sz w:val="22"/>
                <w:szCs w:val="22"/>
              </w:rPr>
            </w:pPr>
          </w:p>
        </w:tc>
      </w:tr>
      <w:tr w:rsidR="00530401" w14:paraId="242FD2F7" w14:textId="77777777" w:rsidTr="005C226F">
        <w:trPr>
          <w:trHeight w:val="665"/>
        </w:trPr>
        <w:tc>
          <w:tcPr>
            <w:tcW w:w="1650" w:type="dxa"/>
            <w:tcBorders>
              <w:top w:val="nil"/>
              <w:left w:val="nil"/>
              <w:bottom w:val="nil"/>
              <w:right w:val="nil"/>
            </w:tcBorders>
          </w:tcPr>
          <w:p w14:paraId="3D96BF46" w14:textId="77777777" w:rsidR="00530401" w:rsidRDefault="00530401" w:rsidP="005C226F">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State</w:t>
            </w:r>
          </w:p>
        </w:tc>
        <w:tc>
          <w:tcPr>
            <w:tcW w:w="1170" w:type="dxa"/>
            <w:tcBorders>
              <w:top w:val="nil"/>
              <w:left w:val="nil"/>
              <w:bottom w:val="nil"/>
              <w:right w:val="nil"/>
            </w:tcBorders>
          </w:tcPr>
          <w:p w14:paraId="5B34C49C" w14:textId="77777777" w:rsidR="00530401" w:rsidRDefault="00530401" w:rsidP="005C226F">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operations with pigs</w:t>
            </w:r>
          </w:p>
        </w:tc>
        <w:tc>
          <w:tcPr>
            <w:tcW w:w="1800" w:type="dxa"/>
            <w:tcBorders>
              <w:top w:val="nil"/>
              <w:left w:val="nil"/>
              <w:bottom w:val="nil"/>
              <w:right w:val="nil"/>
            </w:tcBorders>
          </w:tcPr>
          <w:p w14:paraId="126768E5" w14:textId="77777777" w:rsidR="00530401" w:rsidRDefault="00530401" w:rsidP="005C226F">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Inventory</w:t>
            </w:r>
          </w:p>
        </w:tc>
      </w:tr>
      <w:tr w:rsidR="00530401" w14:paraId="0659DE4E" w14:textId="77777777" w:rsidTr="005C226F">
        <w:trPr>
          <w:trHeight w:val="665"/>
        </w:trPr>
        <w:tc>
          <w:tcPr>
            <w:tcW w:w="1650" w:type="dxa"/>
            <w:tcBorders>
              <w:top w:val="nil"/>
              <w:left w:val="nil"/>
              <w:bottom w:val="nil"/>
              <w:right w:val="nil"/>
            </w:tcBorders>
          </w:tcPr>
          <w:p w14:paraId="59BD02EE" w14:textId="77777777" w:rsidR="00530401" w:rsidRDefault="00530401" w:rsidP="005C226F">
            <w:pPr>
              <w:autoSpaceDE w:val="0"/>
              <w:autoSpaceDN w:val="0"/>
              <w:adjustRightInd w:val="0"/>
              <w:rPr>
                <w:rFonts w:ascii="Calibri" w:hAnsi="Calibri" w:cs="Calibri"/>
                <w:b/>
                <w:bCs/>
                <w:color w:val="000000"/>
                <w:sz w:val="22"/>
                <w:szCs w:val="22"/>
              </w:rPr>
            </w:pPr>
          </w:p>
        </w:tc>
        <w:tc>
          <w:tcPr>
            <w:tcW w:w="1170" w:type="dxa"/>
            <w:tcBorders>
              <w:top w:val="nil"/>
              <w:left w:val="nil"/>
              <w:bottom w:val="nil"/>
              <w:right w:val="nil"/>
            </w:tcBorders>
          </w:tcPr>
          <w:p w14:paraId="43263CF4" w14:textId="77777777" w:rsidR="00530401" w:rsidRDefault="00530401" w:rsidP="005C226F">
            <w:pPr>
              <w:autoSpaceDE w:val="0"/>
              <w:autoSpaceDN w:val="0"/>
              <w:adjustRightInd w:val="0"/>
              <w:jc w:val="center"/>
              <w:rPr>
                <w:rFonts w:ascii="Calibri" w:hAnsi="Calibri" w:cs="Calibri"/>
                <w:b/>
                <w:bCs/>
                <w:color w:val="000000"/>
                <w:sz w:val="22"/>
                <w:szCs w:val="22"/>
              </w:rPr>
            </w:pPr>
          </w:p>
        </w:tc>
        <w:tc>
          <w:tcPr>
            <w:tcW w:w="1800" w:type="dxa"/>
            <w:tcBorders>
              <w:top w:val="nil"/>
              <w:left w:val="nil"/>
              <w:bottom w:val="nil"/>
              <w:right w:val="nil"/>
            </w:tcBorders>
          </w:tcPr>
          <w:p w14:paraId="2CFD23F9" w14:textId="77777777" w:rsidR="00530401" w:rsidRDefault="00530401" w:rsidP="005C226F">
            <w:pPr>
              <w:autoSpaceDE w:val="0"/>
              <w:autoSpaceDN w:val="0"/>
              <w:adjustRightInd w:val="0"/>
              <w:jc w:val="center"/>
              <w:rPr>
                <w:rFonts w:ascii="Calibri" w:hAnsi="Calibri" w:cs="Calibri"/>
                <w:b/>
                <w:bCs/>
                <w:color w:val="000000"/>
                <w:sz w:val="22"/>
                <w:szCs w:val="22"/>
              </w:rPr>
            </w:pPr>
          </w:p>
        </w:tc>
      </w:tr>
      <w:tr w:rsidR="00530401" w14:paraId="5FB92AFC" w14:textId="77777777" w:rsidTr="005C226F">
        <w:trPr>
          <w:trHeight w:val="302"/>
        </w:trPr>
        <w:tc>
          <w:tcPr>
            <w:tcW w:w="1650" w:type="dxa"/>
            <w:tcBorders>
              <w:top w:val="nil"/>
              <w:left w:val="nil"/>
              <w:bottom w:val="nil"/>
              <w:right w:val="nil"/>
            </w:tcBorders>
          </w:tcPr>
          <w:p w14:paraId="40B1F774"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CO</w:t>
            </w:r>
          </w:p>
        </w:tc>
        <w:tc>
          <w:tcPr>
            <w:tcW w:w="1170" w:type="dxa"/>
            <w:tcBorders>
              <w:top w:val="nil"/>
              <w:left w:val="nil"/>
              <w:bottom w:val="nil"/>
              <w:right w:val="nil"/>
            </w:tcBorders>
          </w:tcPr>
          <w:p w14:paraId="066F01EC"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18</w:t>
            </w:r>
          </w:p>
        </w:tc>
        <w:tc>
          <w:tcPr>
            <w:tcW w:w="1800" w:type="dxa"/>
            <w:tcBorders>
              <w:top w:val="nil"/>
              <w:left w:val="nil"/>
              <w:bottom w:val="nil"/>
              <w:right w:val="nil"/>
            </w:tcBorders>
          </w:tcPr>
          <w:p w14:paraId="6BA979F9"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714,972</w:t>
            </w:r>
          </w:p>
        </w:tc>
      </w:tr>
      <w:tr w:rsidR="00530401" w14:paraId="7EDDFD82" w14:textId="77777777" w:rsidTr="005C226F">
        <w:trPr>
          <w:trHeight w:val="302"/>
        </w:trPr>
        <w:tc>
          <w:tcPr>
            <w:tcW w:w="1650" w:type="dxa"/>
            <w:tcBorders>
              <w:top w:val="nil"/>
              <w:left w:val="nil"/>
              <w:bottom w:val="nil"/>
              <w:right w:val="nil"/>
            </w:tcBorders>
          </w:tcPr>
          <w:p w14:paraId="5DB2E42E"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IA</w:t>
            </w:r>
          </w:p>
        </w:tc>
        <w:tc>
          <w:tcPr>
            <w:tcW w:w="1170" w:type="dxa"/>
            <w:tcBorders>
              <w:top w:val="nil"/>
              <w:left w:val="nil"/>
              <w:bottom w:val="nil"/>
              <w:right w:val="nil"/>
            </w:tcBorders>
          </w:tcPr>
          <w:p w14:paraId="32E8A25C"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3815</w:t>
            </w:r>
          </w:p>
        </w:tc>
        <w:tc>
          <w:tcPr>
            <w:tcW w:w="1800" w:type="dxa"/>
            <w:tcBorders>
              <w:top w:val="nil"/>
              <w:left w:val="nil"/>
              <w:bottom w:val="nil"/>
              <w:right w:val="nil"/>
            </w:tcBorders>
          </w:tcPr>
          <w:p w14:paraId="21A9819C"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19,733,548</w:t>
            </w:r>
          </w:p>
        </w:tc>
      </w:tr>
      <w:tr w:rsidR="00530401" w14:paraId="7B3DB27E" w14:textId="77777777" w:rsidTr="005C226F">
        <w:trPr>
          <w:trHeight w:val="302"/>
        </w:trPr>
        <w:tc>
          <w:tcPr>
            <w:tcW w:w="1650" w:type="dxa"/>
            <w:tcBorders>
              <w:top w:val="nil"/>
              <w:left w:val="nil"/>
              <w:bottom w:val="nil"/>
              <w:right w:val="nil"/>
            </w:tcBorders>
          </w:tcPr>
          <w:p w14:paraId="25535B24"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IL</w:t>
            </w:r>
          </w:p>
        </w:tc>
        <w:tc>
          <w:tcPr>
            <w:tcW w:w="1170" w:type="dxa"/>
            <w:tcBorders>
              <w:top w:val="nil"/>
              <w:left w:val="nil"/>
              <w:bottom w:val="nil"/>
              <w:right w:val="nil"/>
            </w:tcBorders>
          </w:tcPr>
          <w:p w14:paraId="09DC31BF"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672</w:t>
            </w:r>
          </w:p>
        </w:tc>
        <w:tc>
          <w:tcPr>
            <w:tcW w:w="1800" w:type="dxa"/>
            <w:tcBorders>
              <w:top w:val="nil"/>
              <w:left w:val="nil"/>
              <w:bottom w:val="nil"/>
              <w:right w:val="nil"/>
            </w:tcBorders>
          </w:tcPr>
          <w:p w14:paraId="5F6D32AB"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4,452,458</w:t>
            </w:r>
          </w:p>
        </w:tc>
      </w:tr>
      <w:tr w:rsidR="00530401" w14:paraId="1A425A1F" w14:textId="77777777" w:rsidTr="005C226F">
        <w:trPr>
          <w:trHeight w:val="302"/>
        </w:trPr>
        <w:tc>
          <w:tcPr>
            <w:tcW w:w="1650" w:type="dxa"/>
            <w:tcBorders>
              <w:top w:val="nil"/>
              <w:left w:val="nil"/>
              <w:bottom w:val="nil"/>
              <w:right w:val="nil"/>
            </w:tcBorders>
          </w:tcPr>
          <w:p w14:paraId="08F58CF4"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IN</w:t>
            </w:r>
          </w:p>
        </w:tc>
        <w:tc>
          <w:tcPr>
            <w:tcW w:w="1170" w:type="dxa"/>
            <w:tcBorders>
              <w:top w:val="nil"/>
              <w:left w:val="nil"/>
              <w:bottom w:val="nil"/>
              <w:right w:val="nil"/>
            </w:tcBorders>
          </w:tcPr>
          <w:p w14:paraId="4F2D25CF"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632</w:t>
            </w:r>
          </w:p>
        </w:tc>
        <w:tc>
          <w:tcPr>
            <w:tcW w:w="1800" w:type="dxa"/>
            <w:tcBorders>
              <w:top w:val="nil"/>
              <w:left w:val="nil"/>
              <w:bottom w:val="nil"/>
              <w:right w:val="nil"/>
            </w:tcBorders>
          </w:tcPr>
          <w:p w14:paraId="121066BF"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3,523,874</w:t>
            </w:r>
          </w:p>
        </w:tc>
      </w:tr>
      <w:tr w:rsidR="00530401" w14:paraId="331576C9" w14:textId="77777777" w:rsidTr="005C226F">
        <w:trPr>
          <w:trHeight w:val="302"/>
        </w:trPr>
        <w:tc>
          <w:tcPr>
            <w:tcW w:w="1650" w:type="dxa"/>
            <w:tcBorders>
              <w:top w:val="nil"/>
              <w:left w:val="nil"/>
              <w:bottom w:val="nil"/>
              <w:right w:val="nil"/>
            </w:tcBorders>
          </w:tcPr>
          <w:p w14:paraId="7E881B98"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KS</w:t>
            </w:r>
          </w:p>
        </w:tc>
        <w:tc>
          <w:tcPr>
            <w:tcW w:w="1170" w:type="dxa"/>
            <w:tcBorders>
              <w:top w:val="nil"/>
              <w:left w:val="nil"/>
              <w:bottom w:val="nil"/>
              <w:right w:val="nil"/>
            </w:tcBorders>
          </w:tcPr>
          <w:p w14:paraId="4697893C"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118</w:t>
            </w:r>
          </w:p>
        </w:tc>
        <w:tc>
          <w:tcPr>
            <w:tcW w:w="1800" w:type="dxa"/>
            <w:tcBorders>
              <w:top w:val="nil"/>
              <w:left w:val="nil"/>
              <w:bottom w:val="nil"/>
              <w:right w:val="nil"/>
            </w:tcBorders>
          </w:tcPr>
          <w:p w14:paraId="3E7895BE"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1,840,103</w:t>
            </w:r>
          </w:p>
        </w:tc>
      </w:tr>
      <w:tr w:rsidR="00530401" w14:paraId="1B16A084" w14:textId="77777777" w:rsidTr="005C226F">
        <w:trPr>
          <w:trHeight w:val="302"/>
        </w:trPr>
        <w:tc>
          <w:tcPr>
            <w:tcW w:w="1650" w:type="dxa"/>
            <w:tcBorders>
              <w:top w:val="nil"/>
              <w:left w:val="nil"/>
              <w:bottom w:val="nil"/>
              <w:right w:val="nil"/>
            </w:tcBorders>
          </w:tcPr>
          <w:p w14:paraId="597AD1E9"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MN</w:t>
            </w:r>
          </w:p>
        </w:tc>
        <w:tc>
          <w:tcPr>
            <w:tcW w:w="1170" w:type="dxa"/>
            <w:tcBorders>
              <w:top w:val="nil"/>
              <w:left w:val="nil"/>
              <w:bottom w:val="nil"/>
              <w:right w:val="nil"/>
            </w:tcBorders>
          </w:tcPr>
          <w:p w14:paraId="57D3D021"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1548</w:t>
            </w:r>
          </w:p>
        </w:tc>
        <w:tc>
          <w:tcPr>
            <w:tcW w:w="1800" w:type="dxa"/>
            <w:tcBorders>
              <w:top w:val="nil"/>
              <w:left w:val="nil"/>
              <w:bottom w:val="nil"/>
              <w:right w:val="nil"/>
            </w:tcBorders>
          </w:tcPr>
          <w:p w14:paraId="73E45ED2"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7,294,150</w:t>
            </w:r>
          </w:p>
        </w:tc>
      </w:tr>
      <w:tr w:rsidR="00530401" w14:paraId="6FDFBCEE" w14:textId="77777777" w:rsidTr="005C226F">
        <w:trPr>
          <w:trHeight w:val="302"/>
        </w:trPr>
        <w:tc>
          <w:tcPr>
            <w:tcW w:w="1650" w:type="dxa"/>
            <w:tcBorders>
              <w:top w:val="nil"/>
              <w:left w:val="nil"/>
              <w:bottom w:val="nil"/>
              <w:right w:val="nil"/>
            </w:tcBorders>
          </w:tcPr>
          <w:p w14:paraId="4E18B61A"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MO</w:t>
            </w:r>
          </w:p>
        </w:tc>
        <w:tc>
          <w:tcPr>
            <w:tcW w:w="1170" w:type="dxa"/>
            <w:tcBorders>
              <w:top w:val="nil"/>
              <w:left w:val="nil"/>
              <w:bottom w:val="nil"/>
              <w:right w:val="nil"/>
            </w:tcBorders>
          </w:tcPr>
          <w:p w14:paraId="250EEE98"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272</w:t>
            </w:r>
          </w:p>
        </w:tc>
        <w:tc>
          <w:tcPr>
            <w:tcW w:w="1800" w:type="dxa"/>
            <w:tcBorders>
              <w:top w:val="nil"/>
              <w:left w:val="nil"/>
              <w:bottom w:val="nil"/>
              <w:right w:val="nil"/>
            </w:tcBorders>
          </w:tcPr>
          <w:p w14:paraId="48E40D51"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2,685,463</w:t>
            </w:r>
          </w:p>
        </w:tc>
      </w:tr>
      <w:tr w:rsidR="00530401" w14:paraId="7F01A1E3" w14:textId="77777777" w:rsidTr="005C226F">
        <w:trPr>
          <w:trHeight w:val="302"/>
        </w:trPr>
        <w:tc>
          <w:tcPr>
            <w:tcW w:w="1650" w:type="dxa"/>
            <w:tcBorders>
              <w:top w:val="nil"/>
              <w:left w:val="nil"/>
              <w:bottom w:val="nil"/>
              <w:right w:val="nil"/>
            </w:tcBorders>
          </w:tcPr>
          <w:p w14:paraId="755FF4DD"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NC</w:t>
            </w:r>
          </w:p>
        </w:tc>
        <w:tc>
          <w:tcPr>
            <w:tcW w:w="1170" w:type="dxa"/>
            <w:tcBorders>
              <w:top w:val="nil"/>
              <w:left w:val="nil"/>
              <w:bottom w:val="nil"/>
              <w:right w:val="nil"/>
            </w:tcBorders>
          </w:tcPr>
          <w:p w14:paraId="7D41AC9B"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1011</w:t>
            </w:r>
          </w:p>
        </w:tc>
        <w:tc>
          <w:tcPr>
            <w:tcW w:w="1800" w:type="dxa"/>
            <w:tcBorders>
              <w:top w:val="nil"/>
              <w:left w:val="nil"/>
              <w:bottom w:val="nil"/>
              <w:right w:val="nil"/>
            </w:tcBorders>
          </w:tcPr>
          <w:p w14:paraId="5B87ACEB"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8,854,463</w:t>
            </w:r>
          </w:p>
        </w:tc>
      </w:tr>
      <w:tr w:rsidR="00530401" w14:paraId="44213748" w14:textId="77777777" w:rsidTr="005C226F">
        <w:trPr>
          <w:trHeight w:val="302"/>
        </w:trPr>
        <w:tc>
          <w:tcPr>
            <w:tcW w:w="1650" w:type="dxa"/>
            <w:tcBorders>
              <w:top w:val="nil"/>
              <w:left w:val="nil"/>
              <w:bottom w:val="nil"/>
              <w:right w:val="nil"/>
            </w:tcBorders>
          </w:tcPr>
          <w:p w14:paraId="7CAC7E97"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NE</w:t>
            </w:r>
          </w:p>
        </w:tc>
        <w:tc>
          <w:tcPr>
            <w:tcW w:w="1170" w:type="dxa"/>
            <w:tcBorders>
              <w:top w:val="nil"/>
              <w:left w:val="nil"/>
              <w:bottom w:val="nil"/>
              <w:right w:val="nil"/>
            </w:tcBorders>
          </w:tcPr>
          <w:p w14:paraId="00817440"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427</w:t>
            </w:r>
          </w:p>
        </w:tc>
        <w:tc>
          <w:tcPr>
            <w:tcW w:w="1800" w:type="dxa"/>
            <w:tcBorders>
              <w:top w:val="nil"/>
              <w:left w:val="nil"/>
              <w:bottom w:val="nil"/>
              <w:right w:val="nil"/>
            </w:tcBorders>
          </w:tcPr>
          <w:p w14:paraId="01556570"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2,789,665</w:t>
            </w:r>
          </w:p>
        </w:tc>
      </w:tr>
      <w:tr w:rsidR="00530401" w14:paraId="749BF66F" w14:textId="77777777" w:rsidTr="005C226F">
        <w:trPr>
          <w:trHeight w:val="302"/>
        </w:trPr>
        <w:tc>
          <w:tcPr>
            <w:tcW w:w="1650" w:type="dxa"/>
            <w:tcBorders>
              <w:top w:val="nil"/>
              <w:left w:val="nil"/>
              <w:bottom w:val="nil"/>
              <w:right w:val="nil"/>
            </w:tcBorders>
          </w:tcPr>
          <w:p w14:paraId="49528FF8"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OH</w:t>
            </w:r>
          </w:p>
        </w:tc>
        <w:tc>
          <w:tcPr>
            <w:tcW w:w="1170" w:type="dxa"/>
            <w:tcBorders>
              <w:top w:val="nil"/>
              <w:left w:val="nil"/>
              <w:bottom w:val="nil"/>
              <w:right w:val="nil"/>
            </w:tcBorders>
          </w:tcPr>
          <w:p w14:paraId="7F6A0145"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575</w:t>
            </w:r>
          </w:p>
        </w:tc>
        <w:tc>
          <w:tcPr>
            <w:tcW w:w="1800" w:type="dxa"/>
            <w:tcBorders>
              <w:top w:val="nil"/>
              <w:left w:val="nil"/>
              <w:bottom w:val="nil"/>
              <w:right w:val="nil"/>
            </w:tcBorders>
          </w:tcPr>
          <w:p w14:paraId="20BFAEA7"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1,916,601</w:t>
            </w:r>
          </w:p>
        </w:tc>
      </w:tr>
      <w:tr w:rsidR="00530401" w14:paraId="29B5BEAF" w14:textId="77777777" w:rsidTr="005C226F">
        <w:trPr>
          <w:trHeight w:val="302"/>
        </w:trPr>
        <w:tc>
          <w:tcPr>
            <w:tcW w:w="1650" w:type="dxa"/>
            <w:tcBorders>
              <w:top w:val="nil"/>
              <w:left w:val="nil"/>
              <w:bottom w:val="nil"/>
              <w:right w:val="nil"/>
            </w:tcBorders>
          </w:tcPr>
          <w:p w14:paraId="1E4A0241"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OK</w:t>
            </w:r>
          </w:p>
        </w:tc>
        <w:tc>
          <w:tcPr>
            <w:tcW w:w="1170" w:type="dxa"/>
            <w:tcBorders>
              <w:top w:val="nil"/>
              <w:left w:val="nil"/>
              <w:bottom w:val="nil"/>
              <w:right w:val="nil"/>
            </w:tcBorders>
          </w:tcPr>
          <w:p w14:paraId="184529E5"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81</w:t>
            </w:r>
          </w:p>
        </w:tc>
        <w:tc>
          <w:tcPr>
            <w:tcW w:w="1800" w:type="dxa"/>
            <w:tcBorders>
              <w:top w:val="nil"/>
              <w:left w:val="nil"/>
              <w:bottom w:val="nil"/>
              <w:right w:val="nil"/>
            </w:tcBorders>
          </w:tcPr>
          <w:p w14:paraId="3064E519"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2,283,159</w:t>
            </w:r>
          </w:p>
        </w:tc>
      </w:tr>
      <w:tr w:rsidR="00530401" w14:paraId="433DEB2C" w14:textId="77777777" w:rsidTr="005C226F">
        <w:trPr>
          <w:trHeight w:val="302"/>
        </w:trPr>
        <w:tc>
          <w:tcPr>
            <w:tcW w:w="1650" w:type="dxa"/>
            <w:tcBorders>
              <w:top w:val="nil"/>
              <w:left w:val="nil"/>
              <w:bottom w:val="nil"/>
              <w:right w:val="nil"/>
            </w:tcBorders>
          </w:tcPr>
          <w:p w14:paraId="3C6107CE"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PA</w:t>
            </w:r>
          </w:p>
        </w:tc>
        <w:tc>
          <w:tcPr>
            <w:tcW w:w="1170" w:type="dxa"/>
            <w:tcBorders>
              <w:top w:val="nil"/>
              <w:left w:val="nil"/>
              <w:bottom w:val="nil"/>
              <w:right w:val="nil"/>
            </w:tcBorders>
          </w:tcPr>
          <w:p w14:paraId="71754792"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389</w:t>
            </w:r>
          </w:p>
        </w:tc>
        <w:tc>
          <w:tcPr>
            <w:tcW w:w="1800" w:type="dxa"/>
            <w:tcBorders>
              <w:top w:val="nil"/>
              <w:left w:val="nil"/>
              <w:bottom w:val="nil"/>
              <w:right w:val="nil"/>
            </w:tcBorders>
          </w:tcPr>
          <w:p w14:paraId="3B478ECC"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1,013,557</w:t>
            </w:r>
          </w:p>
        </w:tc>
      </w:tr>
      <w:tr w:rsidR="00530401" w14:paraId="199CEAEA" w14:textId="77777777" w:rsidTr="005C226F">
        <w:trPr>
          <w:trHeight w:val="302"/>
        </w:trPr>
        <w:tc>
          <w:tcPr>
            <w:tcW w:w="1650" w:type="dxa"/>
            <w:tcBorders>
              <w:top w:val="nil"/>
              <w:left w:val="nil"/>
              <w:bottom w:val="nil"/>
              <w:right w:val="nil"/>
            </w:tcBorders>
          </w:tcPr>
          <w:p w14:paraId="3973C044"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SD</w:t>
            </w:r>
          </w:p>
        </w:tc>
        <w:tc>
          <w:tcPr>
            <w:tcW w:w="1170" w:type="dxa"/>
            <w:tcBorders>
              <w:top w:val="nil"/>
              <w:left w:val="nil"/>
              <w:bottom w:val="nil"/>
              <w:right w:val="nil"/>
            </w:tcBorders>
          </w:tcPr>
          <w:p w14:paraId="28A3BCE8"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199</w:t>
            </w:r>
          </w:p>
        </w:tc>
        <w:tc>
          <w:tcPr>
            <w:tcW w:w="1800" w:type="dxa"/>
            <w:tcBorders>
              <w:top w:val="nil"/>
              <w:left w:val="nil"/>
              <w:bottom w:val="nil"/>
              <w:right w:val="nil"/>
            </w:tcBorders>
          </w:tcPr>
          <w:p w14:paraId="2C92DFB5"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1,129,795</w:t>
            </w:r>
          </w:p>
        </w:tc>
      </w:tr>
      <w:tr w:rsidR="00530401" w14:paraId="35D923B6" w14:textId="77777777" w:rsidTr="005C226F">
        <w:trPr>
          <w:trHeight w:val="302"/>
        </w:trPr>
        <w:tc>
          <w:tcPr>
            <w:tcW w:w="1650" w:type="dxa"/>
            <w:tcBorders>
              <w:top w:val="nil"/>
              <w:left w:val="nil"/>
              <w:bottom w:val="nil"/>
              <w:right w:val="nil"/>
            </w:tcBorders>
          </w:tcPr>
          <w:p w14:paraId="33ECC36A" w14:textId="77777777" w:rsidR="00530401" w:rsidRDefault="00530401" w:rsidP="005C226F">
            <w:pPr>
              <w:autoSpaceDE w:val="0"/>
              <w:autoSpaceDN w:val="0"/>
              <w:adjustRightInd w:val="0"/>
              <w:rPr>
                <w:rFonts w:ascii="Calibri" w:hAnsi="Calibri" w:cs="Calibri"/>
                <w:color w:val="000000"/>
                <w:sz w:val="22"/>
                <w:szCs w:val="22"/>
              </w:rPr>
            </w:pPr>
          </w:p>
        </w:tc>
        <w:tc>
          <w:tcPr>
            <w:tcW w:w="1170" w:type="dxa"/>
            <w:tcBorders>
              <w:top w:val="nil"/>
              <w:left w:val="nil"/>
              <w:bottom w:val="nil"/>
              <w:right w:val="nil"/>
            </w:tcBorders>
          </w:tcPr>
          <w:p w14:paraId="1D117A06" w14:textId="77777777" w:rsidR="00530401" w:rsidRDefault="00530401" w:rsidP="005C226F">
            <w:pPr>
              <w:autoSpaceDE w:val="0"/>
              <w:autoSpaceDN w:val="0"/>
              <w:adjustRightInd w:val="0"/>
              <w:jc w:val="right"/>
              <w:rPr>
                <w:rFonts w:ascii="Calibri" w:hAnsi="Calibri" w:cs="Calibri"/>
                <w:color w:val="000000"/>
                <w:sz w:val="22"/>
                <w:szCs w:val="22"/>
              </w:rPr>
            </w:pPr>
          </w:p>
        </w:tc>
        <w:tc>
          <w:tcPr>
            <w:tcW w:w="1800" w:type="dxa"/>
            <w:tcBorders>
              <w:top w:val="nil"/>
              <w:left w:val="nil"/>
              <w:bottom w:val="nil"/>
              <w:right w:val="nil"/>
            </w:tcBorders>
          </w:tcPr>
          <w:p w14:paraId="4282FAB7" w14:textId="77777777" w:rsidR="00530401" w:rsidRDefault="00530401" w:rsidP="005C226F">
            <w:pPr>
              <w:autoSpaceDE w:val="0"/>
              <w:autoSpaceDN w:val="0"/>
              <w:adjustRightInd w:val="0"/>
              <w:jc w:val="right"/>
              <w:rPr>
                <w:rFonts w:ascii="Calibri" w:hAnsi="Calibri" w:cs="Calibri"/>
                <w:color w:val="000000"/>
                <w:sz w:val="22"/>
                <w:szCs w:val="22"/>
              </w:rPr>
            </w:pPr>
          </w:p>
        </w:tc>
      </w:tr>
      <w:tr w:rsidR="00530401" w14:paraId="421A07BB" w14:textId="77777777" w:rsidTr="005C226F">
        <w:trPr>
          <w:trHeight w:val="290"/>
        </w:trPr>
        <w:tc>
          <w:tcPr>
            <w:tcW w:w="1650" w:type="dxa"/>
            <w:tcBorders>
              <w:top w:val="nil"/>
              <w:left w:val="nil"/>
              <w:bottom w:val="nil"/>
              <w:right w:val="nil"/>
            </w:tcBorders>
          </w:tcPr>
          <w:p w14:paraId="663BBFCD" w14:textId="77777777" w:rsidR="00530401" w:rsidRDefault="00530401" w:rsidP="005C226F">
            <w:pPr>
              <w:autoSpaceDE w:val="0"/>
              <w:autoSpaceDN w:val="0"/>
              <w:adjustRightInd w:val="0"/>
              <w:jc w:val="right"/>
              <w:rPr>
                <w:rFonts w:ascii="Calibri" w:hAnsi="Calibri" w:cs="Calibri"/>
                <w:color w:val="000000"/>
                <w:sz w:val="22"/>
                <w:szCs w:val="22"/>
              </w:rPr>
            </w:pPr>
          </w:p>
        </w:tc>
        <w:tc>
          <w:tcPr>
            <w:tcW w:w="1170" w:type="dxa"/>
            <w:tcBorders>
              <w:top w:val="nil"/>
              <w:left w:val="nil"/>
              <w:bottom w:val="nil"/>
              <w:right w:val="nil"/>
            </w:tcBorders>
          </w:tcPr>
          <w:p w14:paraId="1D3A0EA4" w14:textId="77777777" w:rsidR="00530401" w:rsidRDefault="00530401" w:rsidP="005C226F">
            <w:pPr>
              <w:autoSpaceDE w:val="0"/>
              <w:autoSpaceDN w:val="0"/>
              <w:adjustRightInd w:val="0"/>
              <w:jc w:val="right"/>
              <w:rPr>
                <w:rFonts w:ascii="Calibri" w:hAnsi="Calibri" w:cs="Calibri"/>
                <w:color w:val="000000"/>
                <w:sz w:val="22"/>
                <w:szCs w:val="22"/>
              </w:rPr>
            </w:pPr>
          </w:p>
        </w:tc>
        <w:tc>
          <w:tcPr>
            <w:tcW w:w="1800" w:type="dxa"/>
            <w:tcBorders>
              <w:top w:val="nil"/>
              <w:left w:val="nil"/>
              <w:bottom w:val="nil"/>
              <w:right w:val="nil"/>
            </w:tcBorders>
          </w:tcPr>
          <w:p w14:paraId="57506405" w14:textId="77777777" w:rsidR="00530401" w:rsidRDefault="00530401" w:rsidP="005C226F">
            <w:pPr>
              <w:autoSpaceDE w:val="0"/>
              <w:autoSpaceDN w:val="0"/>
              <w:adjustRightInd w:val="0"/>
              <w:jc w:val="right"/>
              <w:rPr>
                <w:rFonts w:ascii="Calibri" w:hAnsi="Calibri" w:cs="Calibri"/>
                <w:color w:val="000000"/>
                <w:sz w:val="22"/>
                <w:szCs w:val="22"/>
              </w:rPr>
            </w:pPr>
          </w:p>
        </w:tc>
      </w:tr>
      <w:tr w:rsidR="00530401" w14:paraId="51C59122" w14:textId="77777777" w:rsidTr="005C226F">
        <w:trPr>
          <w:trHeight w:val="302"/>
        </w:trPr>
        <w:tc>
          <w:tcPr>
            <w:tcW w:w="1650" w:type="dxa"/>
            <w:tcBorders>
              <w:top w:val="nil"/>
              <w:left w:val="nil"/>
              <w:bottom w:val="nil"/>
              <w:right w:val="nil"/>
            </w:tcBorders>
          </w:tcPr>
          <w:p w14:paraId="7BA76AB2"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Total</w:t>
            </w:r>
          </w:p>
        </w:tc>
        <w:tc>
          <w:tcPr>
            <w:tcW w:w="1170" w:type="dxa"/>
            <w:tcBorders>
              <w:top w:val="nil"/>
              <w:left w:val="nil"/>
              <w:bottom w:val="nil"/>
              <w:right w:val="nil"/>
            </w:tcBorders>
          </w:tcPr>
          <w:p w14:paraId="60B51FBB"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9,757</w:t>
            </w:r>
          </w:p>
        </w:tc>
        <w:tc>
          <w:tcPr>
            <w:tcW w:w="1800" w:type="dxa"/>
            <w:tcBorders>
              <w:top w:val="nil"/>
              <w:left w:val="nil"/>
              <w:bottom w:val="nil"/>
              <w:right w:val="nil"/>
            </w:tcBorders>
          </w:tcPr>
          <w:p w14:paraId="1F8F2685"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58,231,808</w:t>
            </w:r>
          </w:p>
        </w:tc>
      </w:tr>
      <w:tr w:rsidR="00530401" w14:paraId="3EF59FA2" w14:textId="77777777" w:rsidTr="005C226F">
        <w:trPr>
          <w:trHeight w:val="302"/>
        </w:trPr>
        <w:tc>
          <w:tcPr>
            <w:tcW w:w="1650" w:type="dxa"/>
            <w:tcBorders>
              <w:top w:val="nil"/>
              <w:left w:val="nil"/>
              <w:bottom w:val="nil"/>
              <w:right w:val="nil"/>
            </w:tcBorders>
          </w:tcPr>
          <w:p w14:paraId="235DB6DF"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 of U.S.  1000+</w:t>
            </w:r>
          </w:p>
        </w:tc>
        <w:tc>
          <w:tcPr>
            <w:tcW w:w="1170" w:type="dxa"/>
            <w:tcBorders>
              <w:top w:val="nil"/>
              <w:left w:val="nil"/>
              <w:bottom w:val="nil"/>
              <w:right w:val="nil"/>
            </w:tcBorders>
          </w:tcPr>
          <w:p w14:paraId="5D3D439B"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93.8</w:t>
            </w:r>
          </w:p>
        </w:tc>
        <w:tc>
          <w:tcPr>
            <w:tcW w:w="1800" w:type="dxa"/>
            <w:tcBorders>
              <w:top w:val="nil"/>
              <w:left w:val="nil"/>
              <w:bottom w:val="nil"/>
              <w:right w:val="nil"/>
            </w:tcBorders>
          </w:tcPr>
          <w:p w14:paraId="12576CCD"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92.1</w:t>
            </w:r>
          </w:p>
        </w:tc>
      </w:tr>
      <w:tr w:rsidR="00530401" w14:paraId="3D9D8EDE" w14:textId="77777777" w:rsidTr="005C226F">
        <w:trPr>
          <w:trHeight w:val="290"/>
        </w:trPr>
        <w:tc>
          <w:tcPr>
            <w:tcW w:w="1650" w:type="dxa"/>
            <w:tcBorders>
              <w:top w:val="nil"/>
              <w:left w:val="nil"/>
              <w:bottom w:val="nil"/>
              <w:right w:val="nil"/>
            </w:tcBorders>
          </w:tcPr>
          <w:p w14:paraId="6FF9D54D" w14:textId="77777777" w:rsidR="00530401" w:rsidRDefault="00530401" w:rsidP="005C226F">
            <w:pPr>
              <w:autoSpaceDE w:val="0"/>
              <w:autoSpaceDN w:val="0"/>
              <w:adjustRightInd w:val="0"/>
              <w:jc w:val="right"/>
              <w:rPr>
                <w:rFonts w:ascii="Calibri" w:hAnsi="Calibri" w:cs="Calibri"/>
                <w:color w:val="000000"/>
                <w:sz w:val="22"/>
                <w:szCs w:val="22"/>
              </w:rPr>
            </w:pPr>
          </w:p>
        </w:tc>
        <w:tc>
          <w:tcPr>
            <w:tcW w:w="1170" w:type="dxa"/>
            <w:tcBorders>
              <w:top w:val="nil"/>
              <w:left w:val="nil"/>
              <w:bottom w:val="nil"/>
              <w:right w:val="nil"/>
            </w:tcBorders>
          </w:tcPr>
          <w:p w14:paraId="5E78E7CD" w14:textId="77777777" w:rsidR="00530401" w:rsidRDefault="00530401" w:rsidP="005C226F">
            <w:pPr>
              <w:autoSpaceDE w:val="0"/>
              <w:autoSpaceDN w:val="0"/>
              <w:adjustRightInd w:val="0"/>
              <w:jc w:val="right"/>
              <w:rPr>
                <w:rFonts w:ascii="Calibri" w:hAnsi="Calibri" w:cs="Calibri"/>
                <w:color w:val="000000"/>
                <w:sz w:val="22"/>
                <w:szCs w:val="22"/>
              </w:rPr>
            </w:pPr>
          </w:p>
        </w:tc>
        <w:tc>
          <w:tcPr>
            <w:tcW w:w="1800" w:type="dxa"/>
            <w:tcBorders>
              <w:top w:val="nil"/>
              <w:left w:val="nil"/>
              <w:bottom w:val="nil"/>
              <w:right w:val="nil"/>
            </w:tcBorders>
          </w:tcPr>
          <w:p w14:paraId="5F6194FD" w14:textId="77777777" w:rsidR="00530401" w:rsidRDefault="00530401" w:rsidP="005C226F">
            <w:pPr>
              <w:autoSpaceDE w:val="0"/>
              <w:autoSpaceDN w:val="0"/>
              <w:adjustRightInd w:val="0"/>
              <w:jc w:val="right"/>
              <w:rPr>
                <w:rFonts w:ascii="Calibri" w:hAnsi="Calibri" w:cs="Calibri"/>
                <w:color w:val="000000"/>
                <w:sz w:val="22"/>
                <w:szCs w:val="22"/>
              </w:rPr>
            </w:pPr>
          </w:p>
        </w:tc>
      </w:tr>
      <w:tr w:rsidR="00530401" w14:paraId="1D3E4E94" w14:textId="77777777" w:rsidTr="005C226F">
        <w:trPr>
          <w:trHeight w:val="302"/>
        </w:trPr>
        <w:tc>
          <w:tcPr>
            <w:tcW w:w="1650" w:type="dxa"/>
            <w:tcBorders>
              <w:top w:val="nil"/>
              <w:left w:val="nil"/>
              <w:bottom w:val="nil"/>
              <w:right w:val="nil"/>
            </w:tcBorders>
          </w:tcPr>
          <w:p w14:paraId="607EB622"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 1000+ </w:t>
            </w:r>
          </w:p>
        </w:tc>
        <w:tc>
          <w:tcPr>
            <w:tcW w:w="1170" w:type="dxa"/>
            <w:tcBorders>
              <w:top w:val="nil"/>
              <w:left w:val="nil"/>
              <w:bottom w:val="nil"/>
              <w:right w:val="nil"/>
            </w:tcBorders>
          </w:tcPr>
          <w:p w14:paraId="781E2E3C"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10,401</w:t>
            </w:r>
          </w:p>
        </w:tc>
        <w:tc>
          <w:tcPr>
            <w:tcW w:w="1800" w:type="dxa"/>
            <w:tcBorders>
              <w:top w:val="nil"/>
              <w:left w:val="nil"/>
              <w:bottom w:val="nil"/>
              <w:right w:val="nil"/>
            </w:tcBorders>
          </w:tcPr>
          <w:p w14:paraId="38E0A59D"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63,248,402</w:t>
            </w:r>
          </w:p>
        </w:tc>
      </w:tr>
      <w:tr w:rsidR="00530401" w14:paraId="1B842236" w14:textId="77777777" w:rsidTr="005C226F">
        <w:trPr>
          <w:trHeight w:val="302"/>
        </w:trPr>
        <w:tc>
          <w:tcPr>
            <w:tcW w:w="1650" w:type="dxa"/>
            <w:tcBorders>
              <w:top w:val="nil"/>
              <w:left w:val="nil"/>
              <w:bottom w:val="nil"/>
              <w:right w:val="nil"/>
            </w:tcBorders>
          </w:tcPr>
          <w:p w14:paraId="7A5955BC"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U.S.Total</w:t>
            </w:r>
          </w:p>
        </w:tc>
        <w:tc>
          <w:tcPr>
            <w:tcW w:w="1170" w:type="dxa"/>
            <w:tcBorders>
              <w:top w:val="nil"/>
              <w:left w:val="nil"/>
              <w:bottom w:val="nil"/>
              <w:right w:val="nil"/>
            </w:tcBorders>
          </w:tcPr>
          <w:p w14:paraId="503B028F"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63,246</w:t>
            </w:r>
          </w:p>
        </w:tc>
        <w:tc>
          <w:tcPr>
            <w:tcW w:w="1800" w:type="dxa"/>
            <w:tcBorders>
              <w:top w:val="nil"/>
              <w:left w:val="nil"/>
              <w:bottom w:val="nil"/>
              <w:right w:val="nil"/>
            </w:tcBorders>
          </w:tcPr>
          <w:p w14:paraId="02DE0C22" w14:textId="77777777" w:rsidR="00530401" w:rsidRDefault="00530401" w:rsidP="005C226F">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66,026,785</w:t>
            </w:r>
          </w:p>
        </w:tc>
      </w:tr>
      <w:tr w:rsidR="00530401" w14:paraId="55110289" w14:textId="77777777" w:rsidTr="005C226F">
        <w:trPr>
          <w:trHeight w:val="290"/>
        </w:trPr>
        <w:tc>
          <w:tcPr>
            <w:tcW w:w="1650" w:type="dxa"/>
            <w:tcBorders>
              <w:top w:val="nil"/>
              <w:left w:val="nil"/>
              <w:bottom w:val="nil"/>
              <w:right w:val="nil"/>
            </w:tcBorders>
          </w:tcPr>
          <w:p w14:paraId="37212B64" w14:textId="77777777" w:rsidR="00530401" w:rsidRDefault="00530401" w:rsidP="005C226F">
            <w:pPr>
              <w:autoSpaceDE w:val="0"/>
              <w:autoSpaceDN w:val="0"/>
              <w:adjustRightInd w:val="0"/>
              <w:jc w:val="right"/>
              <w:rPr>
                <w:rFonts w:ascii="Calibri" w:hAnsi="Calibri" w:cs="Calibri"/>
                <w:color w:val="000000"/>
                <w:sz w:val="22"/>
                <w:szCs w:val="22"/>
              </w:rPr>
            </w:pPr>
          </w:p>
        </w:tc>
        <w:tc>
          <w:tcPr>
            <w:tcW w:w="1170" w:type="dxa"/>
            <w:tcBorders>
              <w:top w:val="nil"/>
              <w:left w:val="nil"/>
              <w:bottom w:val="nil"/>
              <w:right w:val="nil"/>
            </w:tcBorders>
          </w:tcPr>
          <w:p w14:paraId="0E8A6789" w14:textId="77777777" w:rsidR="00530401" w:rsidRDefault="00530401" w:rsidP="005C226F">
            <w:pPr>
              <w:autoSpaceDE w:val="0"/>
              <w:autoSpaceDN w:val="0"/>
              <w:adjustRightInd w:val="0"/>
              <w:jc w:val="right"/>
              <w:rPr>
                <w:rFonts w:ascii="Calibri" w:hAnsi="Calibri" w:cs="Calibri"/>
                <w:color w:val="000000"/>
                <w:sz w:val="22"/>
                <w:szCs w:val="22"/>
              </w:rPr>
            </w:pPr>
          </w:p>
        </w:tc>
        <w:tc>
          <w:tcPr>
            <w:tcW w:w="1800" w:type="dxa"/>
            <w:tcBorders>
              <w:top w:val="nil"/>
              <w:left w:val="nil"/>
              <w:bottom w:val="nil"/>
              <w:right w:val="nil"/>
            </w:tcBorders>
          </w:tcPr>
          <w:p w14:paraId="6EB29BD4" w14:textId="77777777" w:rsidR="00530401" w:rsidRDefault="00530401" w:rsidP="005C226F">
            <w:pPr>
              <w:autoSpaceDE w:val="0"/>
              <w:autoSpaceDN w:val="0"/>
              <w:adjustRightInd w:val="0"/>
              <w:jc w:val="right"/>
              <w:rPr>
                <w:rFonts w:ascii="Calibri" w:hAnsi="Calibri" w:cs="Calibri"/>
                <w:color w:val="000000"/>
                <w:sz w:val="22"/>
                <w:szCs w:val="22"/>
              </w:rPr>
            </w:pPr>
          </w:p>
        </w:tc>
      </w:tr>
      <w:tr w:rsidR="00530401" w14:paraId="3C6E1D89" w14:textId="77777777" w:rsidTr="005C226F">
        <w:trPr>
          <w:trHeight w:val="290"/>
        </w:trPr>
        <w:tc>
          <w:tcPr>
            <w:tcW w:w="1650" w:type="dxa"/>
            <w:tcBorders>
              <w:top w:val="nil"/>
              <w:left w:val="nil"/>
              <w:bottom w:val="nil"/>
              <w:right w:val="nil"/>
            </w:tcBorders>
          </w:tcPr>
          <w:p w14:paraId="089B189D" w14:textId="77777777" w:rsidR="00530401" w:rsidRDefault="00530401" w:rsidP="005C226F">
            <w:pPr>
              <w:autoSpaceDE w:val="0"/>
              <w:autoSpaceDN w:val="0"/>
              <w:adjustRightInd w:val="0"/>
              <w:jc w:val="right"/>
              <w:rPr>
                <w:rFonts w:ascii="Calibri" w:hAnsi="Calibri" w:cs="Calibri"/>
                <w:color w:val="000000"/>
                <w:sz w:val="22"/>
                <w:szCs w:val="22"/>
              </w:rPr>
            </w:pPr>
          </w:p>
        </w:tc>
        <w:tc>
          <w:tcPr>
            <w:tcW w:w="1170" w:type="dxa"/>
            <w:tcBorders>
              <w:top w:val="nil"/>
              <w:left w:val="nil"/>
              <w:bottom w:val="nil"/>
              <w:right w:val="nil"/>
            </w:tcBorders>
          </w:tcPr>
          <w:p w14:paraId="410C0684" w14:textId="77777777" w:rsidR="00530401" w:rsidRDefault="00530401" w:rsidP="005C226F">
            <w:pPr>
              <w:autoSpaceDE w:val="0"/>
              <w:autoSpaceDN w:val="0"/>
              <w:adjustRightInd w:val="0"/>
              <w:jc w:val="right"/>
              <w:rPr>
                <w:rFonts w:ascii="Calibri" w:hAnsi="Calibri" w:cs="Calibri"/>
                <w:color w:val="000000"/>
                <w:sz w:val="22"/>
                <w:szCs w:val="22"/>
              </w:rPr>
            </w:pPr>
          </w:p>
        </w:tc>
        <w:tc>
          <w:tcPr>
            <w:tcW w:w="1800" w:type="dxa"/>
            <w:tcBorders>
              <w:top w:val="nil"/>
              <w:left w:val="nil"/>
              <w:bottom w:val="nil"/>
              <w:right w:val="nil"/>
            </w:tcBorders>
          </w:tcPr>
          <w:p w14:paraId="0562DABC" w14:textId="77777777" w:rsidR="00530401" w:rsidRDefault="00530401" w:rsidP="005C226F">
            <w:pPr>
              <w:autoSpaceDE w:val="0"/>
              <w:autoSpaceDN w:val="0"/>
              <w:adjustRightInd w:val="0"/>
              <w:jc w:val="right"/>
              <w:rPr>
                <w:rFonts w:ascii="Calibri" w:hAnsi="Calibri" w:cs="Calibri"/>
                <w:color w:val="000000"/>
                <w:sz w:val="22"/>
                <w:szCs w:val="22"/>
              </w:rPr>
            </w:pPr>
          </w:p>
        </w:tc>
      </w:tr>
      <w:tr w:rsidR="00530401" w14:paraId="4D48A02B" w14:textId="77777777" w:rsidTr="005C226F">
        <w:trPr>
          <w:trHeight w:val="302"/>
        </w:trPr>
        <w:tc>
          <w:tcPr>
            <w:tcW w:w="4620" w:type="dxa"/>
            <w:gridSpan w:val="3"/>
            <w:tcBorders>
              <w:top w:val="nil"/>
              <w:left w:val="nil"/>
              <w:bottom w:val="nil"/>
              <w:right w:val="nil"/>
            </w:tcBorders>
          </w:tcPr>
          <w:p w14:paraId="676FF64C" w14:textId="77777777" w:rsidR="00530401" w:rsidRDefault="00530401" w:rsidP="005C226F">
            <w:pPr>
              <w:autoSpaceDE w:val="0"/>
              <w:autoSpaceDN w:val="0"/>
              <w:adjustRightInd w:val="0"/>
              <w:rPr>
                <w:rFonts w:ascii="Calibri" w:hAnsi="Calibri" w:cs="Calibri"/>
                <w:color w:val="000000"/>
                <w:sz w:val="22"/>
                <w:szCs w:val="22"/>
              </w:rPr>
            </w:pPr>
            <w:r>
              <w:rPr>
                <w:rFonts w:ascii="Calibri" w:hAnsi="Calibri" w:cs="Calibri"/>
                <w:color w:val="000000"/>
                <w:sz w:val="22"/>
                <w:szCs w:val="22"/>
              </w:rPr>
              <w:t>Source: NASS 2012 Census of Agriculture</w:t>
            </w:r>
          </w:p>
        </w:tc>
      </w:tr>
    </w:tbl>
    <w:p w14:paraId="7635744C" w14:textId="77777777" w:rsidR="00530401" w:rsidRDefault="00530401" w:rsidP="00530401">
      <w:pPr>
        <w:pStyle w:val="Heading1"/>
        <w:rPr>
          <w:rFonts w:ascii="Times New Roman" w:hAnsi="Times New Roman" w:cs="Times New Roman"/>
          <w:sz w:val="24"/>
          <w:szCs w:val="24"/>
        </w:rPr>
      </w:pPr>
      <w:r w:rsidRPr="00F0443F">
        <w:rPr>
          <w:rFonts w:ascii="Times New Roman" w:hAnsi="Times New Roman" w:cs="Times New Roman"/>
          <w:b w:val="0"/>
          <w:sz w:val="24"/>
          <w:szCs w:val="24"/>
        </w:rPr>
        <w:t>These operations and inventor</w:t>
      </w:r>
      <w:r>
        <w:rPr>
          <w:rFonts w:ascii="Times New Roman" w:hAnsi="Times New Roman" w:cs="Times New Roman"/>
          <w:b w:val="0"/>
          <w:sz w:val="24"/>
          <w:szCs w:val="24"/>
        </w:rPr>
        <w:t>ies</w:t>
      </w:r>
      <w:r w:rsidRPr="00F0443F">
        <w:rPr>
          <w:rFonts w:ascii="Times New Roman" w:hAnsi="Times New Roman" w:cs="Times New Roman"/>
          <w:b w:val="0"/>
          <w:sz w:val="24"/>
          <w:szCs w:val="24"/>
        </w:rPr>
        <w:t xml:space="preserve"> include breeding pigs</w:t>
      </w:r>
      <w:r>
        <w:rPr>
          <w:rFonts w:ascii="Times New Roman" w:hAnsi="Times New Roman" w:cs="Times New Roman"/>
          <w:b w:val="0"/>
          <w:sz w:val="24"/>
          <w:szCs w:val="24"/>
        </w:rPr>
        <w:t>,</w:t>
      </w:r>
      <w:r w:rsidRPr="00F0443F">
        <w:rPr>
          <w:rFonts w:ascii="Times New Roman" w:hAnsi="Times New Roman" w:cs="Times New Roman"/>
          <w:b w:val="0"/>
          <w:sz w:val="24"/>
          <w:szCs w:val="24"/>
        </w:rPr>
        <w:t xml:space="preserve"> which are not part of the target population.</w:t>
      </w:r>
      <w:r>
        <w:rPr>
          <w:rFonts w:ascii="Times New Roman" w:hAnsi="Times New Roman" w:cs="Times New Roman"/>
          <w:b w:val="0"/>
          <w:sz w:val="24"/>
          <w:szCs w:val="24"/>
        </w:rPr>
        <w:t xml:space="preserve">  However, since only 8.6% of total pigs in the U.S. are breeding pigs (2012 Census of Agriculture), we used the above numbers to approximate the target population of nursery and grower-finisher pigs.  </w:t>
      </w:r>
      <w:r>
        <w:rPr>
          <w:rFonts w:ascii="Times New Roman" w:hAnsi="Times New Roman" w:cs="Times New Roman"/>
          <w:sz w:val="24"/>
          <w:szCs w:val="24"/>
        </w:rPr>
        <w:br w:type="page"/>
      </w:r>
      <w:r w:rsidRPr="005B4C2D">
        <w:rPr>
          <w:rFonts w:ascii="Times New Roman" w:hAnsi="Times New Roman" w:cs="Times New Roman"/>
          <w:sz w:val="24"/>
          <w:szCs w:val="24"/>
        </w:rPr>
        <w:t xml:space="preserve">Appendix </w:t>
      </w:r>
      <w:r>
        <w:rPr>
          <w:rFonts w:ascii="Times New Roman" w:hAnsi="Times New Roman" w:cs="Times New Roman"/>
          <w:sz w:val="24"/>
          <w:szCs w:val="24"/>
        </w:rPr>
        <w:t>D</w:t>
      </w:r>
      <w:r w:rsidRPr="005B4C2D">
        <w:rPr>
          <w:rFonts w:ascii="Times New Roman" w:hAnsi="Times New Roman" w:cs="Times New Roman"/>
          <w:sz w:val="24"/>
          <w:szCs w:val="24"/>
        </w:rPr>
        <w:t>: Predicted Response Rate</w:t>
      </w:r>
    </w:p>
    <w:p w14:paraId="7BBB9046" w14:textId="77777777" w:rsidR="00530401" w:rsidRPr="00530401" w:rsidRDefault="00530401" w:rsidP="00530401"/>
    <w:p w14:paraId="659AD99E"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009B7CE9" w14:textId="77777777" w:rsidR="00530401" w:rsidRDefault="00530401" w:rsidP="00530401">
      <w:pPr>
        <w:autoSpaceDE w:val="0"/>
        <w:autoSpaceDN w:val="0"/>
        <w:adjustRightInd w:val="0"/>
        <w:spacing w:line="240" w:lineRule="atLeast"/>
      </w:pPr>
    </w:p>
    <w:p w14:paraId="6813A972" w14:textId="77777777" w:rsidR="00530401" w:rsidRDefault="00530401" w:rsidP="00530401">
      <w:pPr>
        <w:autoSpaceDE w:val="0"/>
        <w:autoSpaceDN w:val="0"/>
        <w:adjustRightInd w:val="0"/>
        <w:spacing w:line="240" w:lineRule="atLeast"/>
      </w:pPr>
      <w:r w:rsidRPr="005B4C2D">
        <w:t>A questionnaire</w:t>
      </w:r>
      <w:r>
        <w:t xml:space="preserve"> and instructions </w:t>
      </w:r>
      <w:r w:rsidRPr="005B4C2D">
        <w:t xml:space="preserve">will be </w:t>
      </w:r>
      <w:r>
        <w:t>left with consenting operations during the initial visit by NASS enumerators</w:t>
      </w:r>
      <w:r w:rsidRPr="005B4C2D">
        <w:t xml:space="preserve">. </w:t>
      </w:r>
      <w:r>
        <w:t xml:space="preserve"> For operations with multiple sites, the NASS enumerators will sub-select sites at this time, using a NAHMS-provided site selection scheme.  Approximately 2-4 weeks later, an APHIS or State veterinarian will visit the operation to administer the questionnaire.  This will allow operators time to compile any necessary records.  </w:t>
      </w:r>
      <w:r w:rsidRPr="005B4C2D">
        <w:t xml:space="preserve">The </w:t>
      </w:r>
      <w:r>
        <w:t xml:space="preserve">time required to complete the questionnaire is expected to be 60 minutes, and </w:t>
      </w:r>
      <w:r w:rsidRPr="005B4C2D">
        <w:t xml:space="preserve">response rate to the questionnaire using this data collection technique is predicted to be </w:t>
      </w:r>
      <w:r>
        <w:t>50</w:t>
      </w:r>
      <w:r w:rsidRPr="005B4C2D">
        <w:t>%.</w:t>
      </w:r>
    </w:p>
    <w:p w14:paraId="55585A19" w14:textId="77777777" w:rsidR="00530401" w:rsidRDefault="00530401" w:rsidP="00530401">
      <w:pPr>
        <w:autoSpaceDE w:val="0"/>
        <w:autoSpaceDN w:val="0"/>
        <w:adjustRightInd w:val="0"/>
        <w:spacing w:line="240" w:lineRule="atLeast"/>
      </w:pPr>
    </w:p>
    <w:p w14:paraId="398554AA" w14:textId="77777777" w:rsidR="00530401" w:rsidRDefault="00530401" w:rsidP="00530401">
      <w:pPr>
        <w:pStyle w:val="DefaultText"/>
        <w:numPr>
          <w:ilvl w:val="0"/>
          <w:numId w:val="25"/>
        </w:numPr>
      </w:pPr>
      <w:r>
        <w:t>Review of previous NAHMS response rates for studies conducted using on-farm enumeration</w:t>
      </w:r>
    </w:p>
    <w:p w14:paraId="4B0DC098" w14:textId="77777777" w:rsidR="00530401" w:rsidRPr="00267DA1" w:rsidRDefault="00530401" w:rsidP="00530401">
      <w:pPr>
        <w:pStyle w:val="DefaultText"/>
        <w:tabs>
          <w:tab w:val="left" w:pos="360"/>
          <w:tab w:val="left" w:pos="720"/>
          <w:tab w:val="center" w:pos="4320"/>
          <w:tab w:val="center" w:pos="5040"/>
          <w:tab w:val="center" w:pos="5760"/>
          <w:tab w:val="center" w:pos="7560"/>
        </w:tabs>
      </w:pPr>
      <w:r w:rsidRPr="00267DA1">
        <w:tab/>
      </w:r>
    </w:p>
    <w:tbl>
      <w:tblPr>
        <w:tblW w:w="10080" w:type="dxa"/>
        <w:tblInd w:w="-792" w:type="dxa"/>
        <w:tblBorders>
          <w:top w:val="single" w:sz="4" w:space="0" w:color="auto"/>
          <w:bottom w:val="single" w:sz="4" w:space="0" w:color="auto"/>
          <w:insideH w:val="single" w:sz="4" w:space="0" w:color="C0C0C0"/>
          <w:insideV w:val="single" w:sz="4" w:space="0" w:color="C0C0C0"/>
        </w:tblBorders>
        <w:tblLayout w:type="fixed"/>
        <w:tblLook w:val="01E0" w:firstRow="1" w:lastRow="1" w:firstColumn="1" w:lastColumn="1" w:noHBand="0" w:noVBand="0"/>
      </w:tblPr>
      <w:tblGrid>
        <w:gridCol w:w="828"/>
        <w:gridCol w:w="1748"/>
        <w:gridCol w:w="1367"/>
        <w:gridCol w:w="1277"/>
        <w:gridCol w:w="1170"/>
        <w:gridCol w:w="1080"/>
        <w:gridCol w:w="1350"/>
        <w:gridCol w:w="1260"/>
      </w:tblGrid>
      <w:tr w:rsidR="00530401" w:rsidRPr="00267DA1" w14:paraId="12A03C6F" w14:textId="77777777" w:rsidTr="005C226F">
        <w:tc>
          <w:tcPr>
            <w:tcW w:w="828" w:type="dxa"/>
            <w:tcBorders>
              <w:top w:val="single" w:sz="4" w:space="0" w:color="auto"/>
              <w:bottom w:val="single" w:sz="4" w:space="0" w:color="auto"/>
            </w:tcBorders>
            <w:vAlign w:val="bottom"/>
          </w:tcPr>
          <w:p w14:paraId="69A261F4" w14:textId="77777777" w:rsidR="00530401" w:rsidRPr="0037636A" w:rsidRDefault="00530401" w:rsidP="005C226F">
            <w:pPr>
              <w:pStyle w:val="DefaultText"/>
              <w:tabs>
                <w:tab w:val="left" w:pos="360"/>
                <w:tab w:val="left" w:pos="720"/>
                <w:tab w:val="center" w:pos="4320"/>
                <w:tab w:val="center" w:pos="5040"/>
                <w:tab w:val="center" w:pos="5760"/>
                <w:tab w:val="center" w:pos="7560"/>
              </w:tabs>
              <w:rPr>
                <w:b/>
              </w:rPr>
            </w:pPr>
            <w:r w:rsidRPr="0037636A">
              <w:rPr>
                <w:b/>
              </w:rPr>
              <w:t>Year</w:t>
            </w:r>
          </w:p>
        </w:tc>
        <w:tc>
          <w:tcPr>
            <w:tcW w:w="1748" w:type="dxa"/>
            <w:tcBorders>
              <w:top w:val="single" w:sz="4" w:space="0" w:color="auto"/>
              <w:bottom w:val="single" w:sz="4" w:space="0" w:color="auto"/>
            </w:tcBorders>
            <w:vAlign w:val="bottom"/>
          </w:tcPr>
          <w:p w14:paraId="1594CC92"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sidRPr="0037636A">
              <w:rPr>
                <w:b/>
              </w:rPr>
              <w:t>Questionnaire</w:t>
            </w:r>
          </w:p>
        </w:tc>
        <w:tc>
          <w:tcPr>
            <w:tcW w:w="1367" w:type="dxa"/>
            <w:tcBorders>
              <w:top w:val="single" w:sz="4" w:space="0" w:color="auto"/>
              <w:bottom w:val="single" w:sz="4" w:space="0" w:color="auto"/>
            </w:tcBorders>
            <w:vAlign w:val="bottom"/>
          </w:tcPr>
          <w:p w14:paraId="0878CB58"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sidRPr="0037636A">
              <w:rPr>
                <w:b/>
              </w:rPr>
              <w:t>Collection dates</w:t>
            </w:r>
          </w:p>
        </w:tc>
        <w:tc>
          <w:tcPr>
            <w:tcW w:w="1277" w:type="dxa"/>
            <w:tcBorders>
              <w:top w:val="single" w:sz="4" w:space="0" w:color="auto"/>
              <w:bottom w:val="single" w:sz="4" w:space="0" w:color="auto"/>
            </w:tcBorders>
            <w:vAlign w:val="bottom"/>
          </w:tcPr>
          <w:p w14:paraId="1D1D9B54"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sidRPr="0037636A">
              <w:rPr>
                <w:b/>
              </w:rPr>
              <w:t>Sample</w:t>
            </w:r>
          </w:p>
        </w:tc>
        <w:tc>
          <w:tcPr>
            <w:tcW w:w="1170" w:type="dxa"/>
            <w:tcBorders>
              <w:top w:val="single" w:sz="4" w:space="0" w:color="auto"/>
              <w:bottom w:val="single" w:sz="4" w:space="0" w:color="auto"/>
            </w:tcBorders>
            <w:vAlign w:val="bottom"/>
          </w:tcPr>
          <w:p w14:paraId="13DCAD60"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Pr>
                <w:b/>
              </w:rPr>
              <w:t>Useable</w:t>
            </w:r>
            <w:r w:rsidRPr="009E57AA">
              <w:rPr>
                <w:rFonts w:ascii="Times New (W1)" w:hAnsi="Times New (W1)"/>
                <w:b/>
                <w:vertAlign w:val="superscript"/>
              </w:rPr>
              <w:t>1</w:t>
            </w:r>
          </w:p>
        </w:tc>
        <w:tc>
          <w:tcPr>
            <w:tcW w:w="1080" w:type="dxa"/>
            <w:tcBorders>
              <w:top w:val="single" w:sz="4" w:space="0" w:color="auto"/>
              <w:bottom w:val="single" w:sz="4" w:space="0" w:color="auto"/>
            </w:tcBorders>
          </w:tcPr>
          <w:p w14:paraId="13F3F6C6"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Pr>
                <w:b/>
              </w:rPr>
              <w:t>Useable %</w:t>
            </w:r>
          </w:p>
        </w:tc>
        <w:tc>
          <w:tcPr>
            <w:tcW w:w="1350" w:type="dxa"/>
            <w:tcBorders>
              <w:top w:val="single" w:sz="4" w:space="0" w:color="auto"/>
              <w:bottom w:val="single" w:sz="4" w:space="0" w:color="auto"/>
            </w:tcBorders>
            <w:vAlign w:val="bottom"/>
          </w:tcPr>
          <w:p w14:paraId="114EB491"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sidRPr="0037636A">
              <w:rPr>
                <w:b/>
              </w:rPr>
              <w:t>Complete</w:t>
            </w:r>
            <w:r w:rsidRPr="009E57AA">
              <w:rPr>
                <w:rFonts w:ascii="Times New (W1)" w:hAnsi="Times New (W1)"/>
                <w:b/>
                <w:vertAlign w:val="superscript"/>
              </w:rPr>
              <w:t>2</w:t>
            </w:r>
          </w:p>
        </w:tc>
        <w:tc>
          <w:tcPr>
            <w:tcW w:w="1260" w:type="dxa"/>
            <w:tcBorders>
              <w:top w:val="single" w:sz="4" w:space="0" w:color="auto"/>
              <w:bottom w:val="single" w:sz="4" w:space="0" w:color="auto"/>
            </w:tcBorders>
            <w:vAlign w:val="bottom"/>
          </w:tcPr>
          <w:p w14:paraId="1371DFB7"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rPr>
                <w:b/>
              </w:rPr>
            </w:pPr>
            <w:r w:rsidRPr="0037636A">
              <w:rPr>
                <w:b/>
              </w:rPr>
              <w:t>Complete %</w:t>
            </w:r>
          </w:p>
        </w:tc>
      </w:tr>
      <w:tr w:rsidR="00530401" w:rsidRPr="00267DA1" w14:paraId="3328962C" w14:textId="77777777" w:rsidTr="005C226F">
        <w:tc>
          <w:tcPr>
            <w:tcW w:w="828" w:type="dxa"/>
            <w:tcBorders>
              <w:top w:val="single" w:sz="4" w:space="0" w:color="auto"/>
            </w:tcBorders>
            <w:vAlign w:val="center"/>
          </w:tcPr>
          <w:p w14:paraId="283B36B5" w14:textId="77777777" w:rsidR="00530401" w:rsidRPr="0037636A" w:rsidRDefault="00530401" w:rsidP="005C226F">
            <w:pPr>
              <w:pStyle w:val="DefaultText"/>
              <w:tabs>
                <w:tab w:val="left" w:pos="360"/>
                <w:tab w:val="left" w:pos="720"/>
                <w:tab w:val="center" w:pos="4320"/>
                <w:tab w:val="center" w:pos="5040"/>
                <w:tab w:val="center" w:pos="5760"/>
                <w:tab w:val="center" w:pos="7560"/>
              </w:tabs>
            </w:pPr>
            <w:r>
              <w:t>2014</w:t>
            </w:r>
          </w:p>
        </w:tc>
        <w:tc>
          <w:tcPr>
            <w:tcW w:w="1748" w:type="dxa"/>
            <w:tcBorders>
              <w:top w:val="single" w:sz="4" w:space="0" w:color="auto"/>
            </w:tcBorders>
            <w:vAlign w:val="bottom"/>
          </w:tcPr>
          <w:p w14:paraId="02AE8311"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 xml:space="preserve">General Dairy Management Questionnaire </w:t>
            </w:r>
          </w:p>
        </w:tc>
        <w:tc>
          <w:tcPr>
            <w:tcW w:w="1367" w:type="dxa"/>
            <w:tcBorders>
              <w:top w:val="single" w:sz="4" w:space="0" w:color="auto"/>
            </w:tcBorders>
            <w:vAlign w:val="center"/>
          </w:tcPr>
          <w:p w14:paraId="7BE6D753"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January 2014</w:t>
            </w:r>
          </w:p>
        </w:tc>
        <w:tc>
          <w:tcPr>
            <w:tcW w:w="1277" w:type="dxa"/>
            <w:tcBorders>
              <w:top w:val="single" w:sz="4" w:space="0" w:color="auto"/>
            </w:tcBorders>
            <w:vAlign w:val="center"/>
          </w:tcPr>
          <w:p w14:paraId="61DF752D"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3,554 operations</w:t>
            </w:r>
          </w:p>
        </w:tc>
        <w:tc>
          <w:tcPr>
            <w:tcW w:w="1170" w:type="dxa"/>
            <w:tcBorders>
              <w:top w:val="single" w:sz="4" w:space="0" w:color="auto"/>
            </w:tcBorders>
            <w:vAlign w:val="center"/>
          </w:tcPr>
          <w:p w14:paraId="549F3103"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2,519</w:t>
            </w:r>
          </w:p>
        </w:tc>
        <w:tc>
          <w:tcPr>
            <w:tcW w:w="1080" w:type="dxa"/>
            <w:tcBorders>
              <w:top w:val="single" w:sz="4" w:space="0" w:color="auto"/>
            </w:tcBorders>
            <w:vAlign w:val="center"/>
          </w:tcPr>
          <w:p w14:paraId="7A282EFB"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70.9</w:t>
            </w:r>
          </w:p>
        </w:tc>
        <w:tc>
          <w:tcPr>
            <w:tcW w:w="1350" w:type="dxa"/>
            <w:tcBorders>
              <w:top w:val="single" w:sz="4" w:space="0" w:color="auto"/>
            </w:tcBorders>
            <w:vAlign w:val="center"/>
          </w:tcPr>
          <w:p w14:paraId="729F4CCA"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2,194</w:t>
            </w:r>
          </w:p>
        </w:tc>
        <w:tc>
          <w:tcPr>
            <w:tcW w:w="1260" w:type="dxa"/>
            <w:tcBorders>
              <w:top w:val="single" w:sz="4" w:space="0" w:color="auto"/>
            </w:tcBorders>
            <w:vAlign w:val="center"/>
          </w:tcPr>
          <w:p w14:paraId="6451DA17"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61.7</w:t>
            </w:r>
          </w:p>
        </w:tc>
      </w:tr>
      <w:tr w:rsidR="00530401" w:rsidRPr="00267DA1" w14:paraId="1D64E660" w14:textId="77777777" w:rsidTr="005C226F">
        <w:tc>
          <w:tcPr>
            <w:tcW w:w="828" w:type="dxa"/>
            <w:tcBorders>
              <w:top w:val="single" w:sz="4" w:space="0" w:color="auto"/>
              <w:bottom w:val="single" w:sz="4" w:space="0" w:color="auto"/>
            </w:tcBorders>
            <w:shd w:val="clear" w:color="auto" w:fill="auto"/>
            <w:vAlign w:val="center"/>
          </w:tcPr>
          <w:p w14:paraId="3715EC74" w14:textId="77777777" w:rsidR="00530401" w:rsidRPr="0037636A" w:rsidRDefault="00530401" w:rsidP="005C226F">
            <w:pPr>
              <w:pStyle w:val="DefaultText"/>
              <w:tabs>
                <w:tab w:val="left" w:pos="360"/>
                <w:tab w:val="left" w:pos="720"/>
                <w:tab w:val="center" w:pos="4320"/>
                <w:tab w:val="center" w:pos="5040"/>
                <w:tab w:val="center" w:pos="5760"/>
                <w:tab w:val="center" w:pos="7560"/>
              </w:tabs>
            </w:pPr>
            <w:r>
              <w:t>2012</w:t>
            </w:r>
          </w:p>
        </w:tc>
        <w:tc>
          <w:tcPr>
            <w:tcW w:w="1748" w:type="dxa"/>
            <w:tcBorders>
              <w:top w:val="single" w:sz="4" w:space="0" w:color="auto"/>
              <w:bottom w:val="single" w:sz="4" w:space="0" w:color="auto"/>
            </w:tcBorders>
            <w:vAlign w:val="bottom"/>
          </w:tcPr>
          <w:p w14:paraId="5F1CE924"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General Swine Farm Questionnaire</w:t>
            </w:r>
            <w:r w:rsidRPr="00CD79C6">
              <w:rPr>
                <w:vertAlign w:val="superscript"/>
              </w:rPr>
              <w:t>3</w:t>
            </w:r>
          </w:p>
        </w:tc>
        <w:tc>
          <w:tcPr>
            <w:tcW w:w="1367" w:type="dxa"/>
            <w:tcBorders>
              <w:top w:val="single" w:sz="4" w:space="0" w:color="auto"/>
              <w:bottom w:val="single" w:sz="4" w:space="0" w:color="auto"/>
            </w:tcBorders>
            <w:vAlign w:val="center"/>
          </w:tcPr>
          <w:p w14:paraId="73290376"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July 2012</w:t>
            </w:r>
          </w:p>
        </w:tc>
        <w:tc>
          <w:tcPr>
            <w:tcW w:w="1277" w:type="dxa"/>
            <w:tcBorders>
              <w:top w:val="single" w:sz="4" w:space="0" w:color="auto"/>
              <w:bottom w:val="single" w:sz="4" w:space="0" w:color="auto"/>
            </w:tcBorders>
            <w:vAlign w:val="center"/>
          </w:tcPr>
          <w:p w14:paraId="0776A99A"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5,237 sites</w:t>
            </w:r>
          </w:p>
        </w:tc>
        <w:tc>
          <w:tcPr>
            <w:tcW w:w="1170" w:type="dxa"/>
            <w:tcBorders>
              <w:top w:val="single" w:sz="4" w:space="0" w:color="auto"/>
              <w:bottom w:val="single" w:sz="4" w:space="0" w:color="auto"/>
            </w:tcBorders>
            <w:vAlign w:val="center"/>
          </w:tcPr>
          <w:p w14:paraId="6E55236D"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3,067</w:t>
            </w:r>
          </w:p>
        </w:tc>
        <w:tc>
          <w:tcPr>
            <w:tcW w:w="1080" w:type="dxa"/>
            <w:tcBorders>
              <w:top w:val="single" w:sz="4" w:space="0" w:color="auto"/>
              <w:bottom w:val="single" w:sz="4" w:space="0" w:color="auto"/>
            </w:tcBorders>
            <w:vAlign w:val="center"/>
          </w:tcPr>
          <w:p w14:paraId="533D0C6D"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58.6</w:t>
            </w:r>
          </w:p>
        </w:tc>
        <w:tc>
          <w:tcPr>
            <w:tcW w:w="1350" w:type="dxa"/>
            <w:tcBorders>
              <w:top w:val="single" w:sz="4" w:space="0" w:color="auto"/>
              <w:bottom w:val="single" w:sz="4" w:space="0" w:color="auto"/>
            </w:tcBorders>
            <w:vAlign w:val="center"/>
          </w:tcPr>
          <w:p w14:paraId="681286F0"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2,119</w:t>
            </w:r>
          </w:p>
        </w:tc>
        <w:tc>
          <w:tcPr>
            <w:tcW w:w="1260" w:type="dxa"/>
            <w:tcBorders>
              <w:top w:val="single" w:sz="4" w:space="0" w:color="auto"/>
              <w:bottom w:val="single" w:sz="4" w:space="0" w:color="auto"/>
            </w:tcBorders>
            <w:vAlign w:val="center"/>
          </w:tcPr>
          <w:p w14:paraId="29CFA11F" w14:textId="77777777" w:rsidR="00530401" w:rsidRPr="0037636A" w:rsidRDefault="00530401" w:rsidP="005C226F">
            <w:pPr>
              <w:pStyle w:val="DefaultText"/>
              <w:tabs>
                <w:tab w:val="left" w:pos="360"/>
                <w:tab w:val="left" w:pos="720"/>
                <w:tab w:val="center" w:pos="4320"/>
                <w:tab w:val="center" w:pos="5040"/>
                <w:tab w:val="center" w:pos="5760"/>
                <w:tab w:val="center" w:pos="7560"/>
              </w:tabs>
              <w:jc w:val="center"/>
            </w:pPr>
            <w:r>
              <w:t>40.5</w:t>
            </w:r>
          </w:p>
        </w:tc>
      </w:tr>
      <w:tr w:rsidR="00530401" w:rsidRPr="00267DA1" w14:paraId="11BD3B81" w14:textId="77777777" w:rsidTr="005C226F">
        <w:tc>
          <w:tcPr>
            <w:tcW w:w="828" w:type="dxa"/>
            <w:tcBorders>
              <w:top w:val="single" w:sz="4" w:space="0" w:color="auto"/>
              <w:bottom w:val="single" w:sz="4" w:space="0" w:color="auto"/>
            </w:tcBorders>
            <w:shd w:val="clear" w:color="auto" w:fill="auto"/>
            <w:vAlign w:val="center"/>
          </w:tcPr>
          <w:p w14:paraId="42E6A89F" w14:textId="77777777" w:rsidR="00530401" w:rsidRDefault="00530401" w:rsidP="005C226F">
            <w:pPr>
              <w:pStyle w:val="DefaultText"/>
              <w:tabs>
                <w:tab w:val="left" w:pos="360"/>
                <w:tab w:val="left" w:pos="720"/>
                <w:tab w:val="center" w:pos="4320"/>
                <w:tab w:val="center" w:pos="5040"/>
                <w:tab w:val="center" w:pos="5760"/>
                <w:tab w:val="center" w:pos="7560"/>
              </w:tabs>
            </w:pPr>
            <w:r>
              <w:t>2011</w:t>
            </w:r>
          </w:p>
        </w:tc>
        <w:tc>
          <w:tcPr>
            <w:tcW w:w="1748" w:type="dxa"/>
            <w:tcBorders>
              <w:top w:val="single" w:sz="4" w:space="0" w:color="auto"/>
              <w:bottom w:val="single" w:sz="4" w:space="0" w:color="auto"/>
            </w:tcBorders>
            <w:vAlign w:val="bottom"/>
          </w:tcPr>
          <w:p w14:paraId="25DFBAFF"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Feedlot Health and Management Questionnaire (1,000 or more head capacity)</w:t>
            </w:r>
          </w:p>
        </w:tc>
        <w:tc>
          <w:tcPr>
            <w:tcW w:w="1367" w:type="dxa"/>
            <w:tcBorders>
              <w:top w:val="single" w:sz="4" w:space="0" w:color="auto"/>
              <w:bottom w:val="single" w:sz="4" w:space="0" w:color="auto"/>
            </w:tcBorders>
            <w:vAlign w:val="center"/>
          </w:tcPr>
          <w:p w14:paraId="13159D4F"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October-December 2011</w:t>
            </w:r>
          </w:p>
        </w:tc>
        <w:tc>
          <w:tcPr>
            <w:tcW w:w="1277" w:type="dxa"/>
            <w:tcBorders>
              <w:top w:val="single" w:sz="4" w:space="0" w:color="auto"/>
              <w:bottom w:val="single" w:sz="4" w:space="0" w:color="auto"/>
            </w:tcBorders>
            <w:vAlign w:val="center"/>
          </w:tcPr>
          <w:p w14:paraId="3F409CEA"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995</w:t>
            </w:r>
          </w:p>
        </w:tc>
        <w:tc>
          <w:tcPr>
            <w:tcW w:w="1170" w:type="dxa"/>
            <w:tcBorders>
              <w:top w:val="single" w:sz="4" w:space="0" w:color="auto"/>
              <w:bottom w:val="single" w:sz="4" w:space="0" w:color="auto"/>
            </w:tcBorders>
            <w:vAlign w:val="center"/>
          </w:tcPr>
          <w:p w14:paraId="2CD0A635"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517</w:t>
            </w:r>
          </w:p>
        </w:tc>
        <w:tc>
          <w:tcPr>
            <w:tcW w:w="1080" w:type="dxa"/>
            <w:tcBorders>
              <w:top w:val="single" w:sz="4" w:space="0" w:color="auto"/>
              <w:bottom w:val="single" w:sz="4" w:space="0" w:color="auto"/>
            </w:tcBorders>
            <w:vAlign w:val="center"/>
          </w:tcPr>
          <w:p w14:paraId="5B8519FE"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52.0</w:t>
            </w:r>
          </w:p>
        </w:tc>
        <w:tc>
          <w:tcPr>
            <w:tcW w:w="1350" w:type="dxa"/>
            <w:tcBorders>
              <w:top w:val="single" w:sz="4" w:space="0" w:color="auto"/>
              <w:bottom w:val="single" w:sz="4" w:space="0" w:color="auto"/>
            </w:tcBorders>
            <w:vAlign w:val="center"/>
          </w:tcPr>
          <w:p w14:paraId="1C42FDD7"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403</w:t>
            </w:r>
          </w:p>
        </w:tc>
        <w:tc>
          <w:tcPr>
            <w:tcW w:w="1260" w:type="dxa"/>
            <w:tcBorders>
              <w:top w:val="single" w:sz="4" w:space="0" w:color="auto"/>
              <w:bottom w:val="single" w:sz="4" w:space="0" w:color="auto"/>
            </w:tcBorders>
            <w:vAlign w:val="center"/>
          </w:tcPr>
          <w:p w14:paraId="5110EF68" w14:textId="77777777" w:rsidR="00530401" w:rsidRDefault="00530401" w:rsidP="005C226F">
            <w:pPr>
              <w:pStyle w:val="DefaultText"/>
              <w:tabs>
                <w:tab w:val="left" w:pos="360"/>
                <w:tab w:val="left" w:pos="720"/>
                <w:tab w:val="center" w:pos="4320"/>
                <w:tab w:val="center" w:pos="5040"/>
                <w:tab w:val="center" w:pos="5760"/>
                <w:tab w:val="center" w:pos="7560"/>
              </w:tabs>
              <w:jc w:val="center"/>
            </w:pPr>
            <w:r>
              <w:t>40.5</w:t>
            </w:r>
          </w:p>
        </w:tc>
      </w:tr>
    </w:tbl>
    <w:p w14:paraId="23A08BB9" w14:textId="77777777" w:rsidR="00530401" w:rsidRPr="00267DA1" w:rsidRDefault="00530401" w:rsidP="00530401">
      <w:pPr>
        <w:pStyle w:val="DefaultText"/>
        <w:tabs>
          <w:tab w:val="left" w:pos="360"/>
          <w:tab w:val="left" w:pos="720"/>
          <w:tab w:val="center" w:pos="4320"/>
          <w:tab w:val="center" w:pos="5040"/>
          <w:tab w:val="center" w:pos="5760"/>
          <w:tab w:val="center" w:pos="7560"/>
        </w:tabs>
      </w:pPr>
    </w:p>
    <w:p w14:paraId="611CF319" w14:textId="77777777" w:rsidR="00530401" w:rsidRDefault="00530401" w:rsidP="00530401">
      <w:pPr>
        <w:autoSpaceDE w:val="0"/>
        <w:autoSpaceDN w:val="0"/>
        <w:adjustRightInd w:val="0"/>
        <w:spacing w:line="240" w:lineRule="atLeast"/>
      </w:pPr>
      <w:r w:rsidRPr="009E57AA">
        <w:rPr>
          <w:rFonts w:ascii="Times New (W1)" w:hAnsi="Times New (W1)"/>
          <w:b/>
          <w:vertAlign w:val="superscript"/>
        </w:rPr>
        <w:t>1</w:t>
      </w:r>
      <w:r>
        <w:t>Respondent was contacted and provided at least inventory information.  Includes operations with zero inventory on hand.</w:t>
      </w:r>
    </w:p>
    <w:p w14:paraId="2EA6FD72" w14:textId="77777777" w:rsidR="00530401" w:rsidRDefault="00530401" w:rsidP="00530401">
      <w:pPr>
        <w:autoSpaceDE w:val="0"/>
        <w:autoSpaceDN w:val="0"/>
        <w:adjustRightInd w:val="0"/>
        <w:spacing w:line="240" w:lineRule="atLeast"/>
      </w:pPr>
      <w:r>
        <w:rPr>
          <w:rFonts w:ascii="Times New (W1)" w:hAnsi="Times New (W1)"/>
          <w:b/>
          <w:vertAlign w:val="superscript"/>
        </w:rPr>
        <w:t>2</w:t>
      </w:r>
      <w:r>
        <w:t>Respondent provided answers to all or nearly all questions.</w:t>
      </w:r>
    </w:p>
    <w:p w14:paraId="5755BF73" w14:textId="77777777" w:rsidR="00530401" w:rsidRDefault="00530401" w:rsidP="00530401">
      <w:pPr>
        <w:autoSpaceDE w:val="0"/>
        <w:autoSpaceDN w:val="0"/>
        <w:adjustRightInd w:val="0"/>
        <w:spacing w:line="240" w:lineRule="atLeast"/>
      </w:pPr>
      <w:r w:rsidRPr="00CD79C6">
        <w:rPr>
          <w:vertAlign w:val="superscript"/>
        </w:rPr>
        <w:t>3</w:t>
      </w:r>
      <w:r>
        <w:t>Data collection was partly via CATI (n=2,000) and partly via on-farm enumeration (n=2,600)</w:t>
      </w:r>
    </w:p>
    <w:p w14:paraId="0F9E9218" w14:textId="77777777" w:rsidR="00530401" w:rsidRDefault="00530401" w:rsidP="00530401">
      <w:pPr>
        <w:autoSpaceDE w:val="0"/>
        <w:autoSpaceDN w:val="0"/>
        <w:adjustRightInd w:val="0"/>
        <w:rPr>
          <w:b/>
        </w:rPr>
      </w:pPr>
      <w:r>
        <w:br w:type="page"/>
        <w:t xml:space="preserve"> </w:t>
      </w:r>
      <w:r w:rsidRPr="00CC7174">
        <w:rPr>
          <w:b/>
        </w:rPr>
        <w:t xml:space="preserve">Appendix </w:t>
      </w:r>
      <w:r>
        <w:rPr>
          <w:b/>
        </w:rPr>
        <w:t>E</w:t>
      </w:r>
      <w:r w:rsidRPr="00CC7174">
        <w:rPr>
          <w:b/>
        </w:rPr>
        <w:t xml:space="preserve">:  Sample </w:t>
      </w:r>
      <w:r>
        <w:rPr>
          <w:b/>
        </w:rPr>
        <w:t>Calculation</w:t>
      </w:r>
    </w:p>
    <w:p w14:paraId="51576B19" w14:textId="77777777" w:rsidR="00530401" w:rsidRDefault="00530401" w:rsidP="00530401">
      <w:pPr>
        <w:autoSpaceDE w:val="0"/>
        <w:autoSpaceDN w:val="0"/>
        <w:adjustRightInd w:val="0"/>
        <w:rPr>
          <w:b/>
        </w:rPr>
      </w:pPr>
    </w:p>
    <w:p w14:paraId="21B489C2"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26158BA1" w14:textId="77777777" w:rsidR="00530401" w:rsidRPr="00CC7174" w:rsidRDefault="00530401" w:rsidP="00530401">
      <w:pPr>
        <w:autoSpaceDE w:val="0"/>
        <w:autoSpaceDN w:val="0"/>
        <w:adjustRightInd w:val="0"/>
        <w:rPr>
          <w:b/>
        </w:rPr>
      </w:pPr>
    </w:p>
    <w:p w14:paraId="239A6327" w14:textId="77777777" w:rsidR="00530401" w:rsidRDefault="00530401" w:rsidP="00530401">
      <w:pPr>
        <w:autoSpaceDE w:val="0"/>
        <w:autoSpaceDN w:val="0"/>
        <w:adjustRightInd w:val="0"/>
        <w:rPr>
          <w:color w:val="000000"/>
        </w:rPr>
      </w:pPr>
      <w:r w:rsidRPr="00D3269F">
        <w:rPr>
          <w:color w:val="000000"/>
        </w:rPr>
        <w:t xml:space="preserve">To estimate a sample size, we </w:t>
      </w:r>
      <w:r>
        <w:rPr>
          <w:color w:val="000000"/>
        </w:rPr>
        <w:t>used</w:t>
      </w:r>
      <w:r w:rsidRPr="00D3269F">
        <w:rPr>
          <w:color w:val="000000"/>
        </w:rPr>
        <w:t xml:space="preserve"> the number of </w:t>
      </w:r>
      <w:r>
        <w:rPr>
          <w:color w:val="000000"/>
        </w:rPr>
        <w:t>operations</w:t>
      </w:r>
      <w:r w:rsidRPr="00D3269F">
        <w:rPr>
          <w:color w:val="000000"/>
        </w:rPr>
        <w:t xml:space="preserve"> </w:t>
      </w:r>
      <w:r>
        <w:rPr>
          <w:color w:val="000000"/>
        </w:rPr>
        <w:t>in each region</w:t>
      </w:r>
      <w:r w:rsidRPr="00D3269F">
        <w:rPr>
          <w:color w:val="000000"/>
        </w:rPr>
        <w:t xml:space="preserve"> based on the </w:t>
      </w:r>
      <w:r>
        <w:rPr>
          <w:color w:val="000000"/>
        </w:rPr>
        <w:t>2012 Census of Agriculture</w:t>
      </w:r>
      <w:r w:rsidRPr="00D3269F">
        <w:rPr>
          <w:color w:val="000000"/>
        </w:rPr>
        <w:t xml:space="preserve">.  </w:t>
      </w:r>
      <w:r>
        <w:rPr>
          <w:color w:val="000000"/>
        </w:rPr>
        <w:t xml:space="preserve">Our goal is obtain coefficients of variation less than 20 percent. </w:t>
      </w:r>
    </w:p>
    <w:p w14:paraId="74DA8377" w14:textId="77777777" w:rsidR="00530401" w:rsidRDefault="00530401" w:rsidP="00530401">
      <w:pPr>
        <w:autoSpaceDE w:val="0"/>
        <w:autoSpaceDN w:val="0"/>
        <w:adjustRightInd w:val="0"/>
        <w:rPr>
          <w:color w:val="000000"/>
        </w:rPr>
      </w:pPr>
    </w:p>
    <w:p w14:paraId="7DF26430" w14:textId="77777777" w:rsidR="00530401" w:rsidRDefault="00530401" w:rsidP="00530401">
      <w:pPr>
        <w:autoSpaceDE w:val="0"/>
        <w:autoSpaceDN w:val="0"/>
        <w:adjustRightInd w:val="0"/>
        <w:rPr>
          <w:color w:val="000000"/>
        </w:rPr>
      </w:pPr>
      <w:r>
        <w:rPr>
          <w:color w:val="000000"/>
        </w:rPr>
        <w:t xml:space="preserve">The strata for sample </w:t>
      </w:r>
      <w:r w:rsidRPr="009D0BC8">
        <w:rPr>
          <w:color w:val="000000"/>
          <w:u w:val="single"/>
        </w:rPr>
        <w:t>selection</w:t>
      </w:r>
      <w:r>
        <w:rPr>
          <w:color w:val="000000"/>
        </w:rPr>
        <w:t xml:space="preserve"> will be based on State/size combinations; however, reporting of estimates will be done by region (and potentially by size category).  Therefore our sample size calculations are based on regions, and we call these reporting classes (to distinguish from selection strata). </w:t>
      </w:r>
    </w:p>
    <w:p w14:paraId="56FA7E4C" w14:textId="77777777" w:rsidR="00530401" w:rsidRDefault="00530401" w:rsidP="00530401">
      <w:pPr>
        <w:autoSpaceDE w:val="0"/>
        <w:autoSpaceDN w:val="0"/>
        <w:adjustRightInd w:val="0"/>
        <w:rPr>
          <w:color w:val="000000"/>
        </w:rPr>
      </w:pPr>
    </w:p>
    <w:p w14:paraId="62CC02FF" w14:textId="77777777" w:rsidR="00530401" w:rsidRDefault="00530401" w:rsidP="00530401">
      <w:pPr>
        <w:autoSpaceDE w:val="0"/>
        <w:autoSpaceDN w:val="0"/>
        <w:adjustRightInd w:val="0"/>
        <w:rPr>
          <w:color w:val="000000"/>
        </w:rPr>
      </w:pPr>
      <w:r>
        <w:rPr>
          <w:color w:val="000000"/>
        </w:rPr>
        <w:t>The allocation (n) assumes a design effect of 2 and a response rate of 50%.  For example, if the total population is 6,007 (Midwest region) and we desire a confidence interval of .5±.06, the required sample size, under a simple random sample, would be 255.  However, the stratified survey design results in a design effect of approximately 2, based on past NAHMS surveys.  Thus, in this example, the sample size needed for the desired precision for the Midwest region is 255 x 2 x 2 (50% response rate) = 1020.  The total sample needed is 2,880 (~3000 for simplicity).</w:t>
      </w:r>
    </w:p>
    <w:p w14:paraId="479BE53A" w14:textId="77777777" w:rsidR="00530401" w:rsidRDefault="00530401" w:rsidP="00530401">
      <w:pPr>
        <w:autoSpaceDE w:val="0"/>
        <w:autoSpaceDN w:val="0"/>
        <w:adjustRightInd w:val="0"/>
        <w:rPr>
          <w:color w:val="000000"/>
        </w:rPr>
      </w:pPr>
    </w:p>
    <w:p w14:paraId="42B5ADD3" w14:textId="77777777" w:rsidR="00530401" w:rsidRDefault="00530401" w:rsidP="00530401">
      <w:pPr>
        <w:autoSpaceDE w:val="0"/>
        <w:autoSpaceDN w:val="0"/>
        <w:adjustRightInd w:val="0"/>
        <w:rPr>
          <w:color w:val="000000"/>
        </w:rPr>
      </w:pPr>
      <w:r w:rsidRPr="00D3269F">
        <w:rPr>
          <w:color w:val="000000"/>
        </w:rPr>
        <w:t xml:space="preserve">Table </w:t>
      </w:r>
      <w:r>
        <w:rPr>
          <w:color w:val="000000"/>
        </w:rPr>
        <w:t>1</w:t>
      </w:r>
      <w:r w:rsidRPr="00D3269F">
        <w:rPr>
          <w:color w:val="000000"/>
        </w:rPr>
        <w:t>.  Number o</w:t>
      </w:r>
      <w:r>
        <w:rPr>
          <w:color w:val="000000"/>
        </w:rPr>
        <w:t>f operations that will be sampled, by reporting class</w:t>
      </w:r>
      <w:r w:rsidRPr="00D3269F">
        <w:rPr>
          <w:color w:val="000000"/>
        </w:rPr>
        <w:t>.</w:t>
      </w:r>
    </w:p>
    <w:tbl>
      <w:tblPr>
        <w:tblW w:w="72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620"/>
        <w:gridCol w:w="1710"/>
        <w:gridCol w:w="1530"/>
      </w:tblGrid>
      <w:tr w:rsidR="00530401" w:rsidRPr="009266DE" w14:paraId="411274D5" w14:textId="77777777" w:rsidTr="005C226F">
        <w:tc>
          <w:tcPr>
            <w:tcW w:w="2430" w:type="dxa"/>
            <w:shd w:val="clear" w:color="auto" w:fill="auto"/>
            <w:vAlign w:val="bottom"/>
          </w:tcPr>
          <w:p w14:paraId="4EDA43A1" w14:textId="77777777" w:rsidR="00530401" w:rsidRPr="009266DE" w:rsidRDefault="00530401" w:rsidP="005C226F">
            <w:pPr>
              <w:autoSpaceDE w:val="0"/>
              <w:autoSpaceDN w:val="0"/>
              <w:adjustRightInd w:val="0"/>
              <w:rPr>
                <w:color w:val="000000"/>
              </w:rPr>
            </w:pPr>
            <w:r>
              <w:rPr>
                <w:color w:val="000000"/>
              </w:rPr>
              <w:t>Reporting class</w:t>
            </w:r>
          </w:p>
        </w:tc>
        <w:tc>
          <w:tcPr>
            <w:tcW w:w="1620" w:type="dxa"/>
            <w:shd w:val="clear" w:color="auto" w:fill="auto"/>
          </w:tcPr>
          <w:p w14:paraId="2661585F" w14:textId="77777777" w:rsidR="00530401" w:rsidRPr="009266DE" w:rsidRDefault="00530401" w:rsidP="005C226F">
            <w:pPr>
              <w:autoSpaceDE w:val="0"/>
              <w:autoSpaceDN w:val="0"/>
              <w:adjustRightInd w:val="0"/>
              <w:jc w:val="center"/>
              <w:rPr>
                <w:color w:val="000000"/>
              </w:rPr>
            </w:pPr>
            <w:r w:rsidRPr="009266DE">
              <w:rPr>
                <w:color w:val="000000"/>
              </w:rPr>
              <w:t>Total Population (N)</w:t>
            </w:r>
          </w:p>
        </w:tc>
        <w:tc>
          <w:tcPr>
            <w:tcW w:w="1710" w:type="dxa"/>
            <w:shd w:val="clear" w:color="auto" w:fill="auto"/>
          </w:tcPr>
          <w:p w14:paraId="7F880907" w14:textId="77777777" w:rsidR="00530401" w:rsidRDefault="00530401" w:rsidP="005C226F">
            <w:pPr>
              <w:autoSpaceDE w:val="0"/>
              <w:autoSpaceDN w:val="0"/>
              <w:adjustRightInd w:val="0"/>
              <w:jc w:val="center"/>
              <w:rPr>
                <w:color w:val="000000"/>
              </w:rPr>
            </w:pPr>
            <w:r>
              <w:rPr>
                <w:color w:val="000000"/>
              </w:rPr>
              <w:t xml:space="preserve">Sample size </w:t>
            </w:r>
          </w:p>
          <w:p w14:paraId="20CF4D8D" w14:textId="77777777" w:rsidR="00530401" w:rsidRPr="009266DE" w:rsidRDefault="00530401" w:rsidP="005C226F">
            <w:pPr>
              <w:autoSpaceDE w:val="0"/>
              <w:autoSpaceDN w:val="0"/>
              <w:adjustRightInd w:val="0"/>
              <w:jc w:val="center"/>
              <w:rPr>
                <w:color w:val="000000"/>
              </w:rPr>
            </w:pPr>
            <w:r>
              <w:rPr>
                <w:color w:val="000000"/>
              </w:rPr>
              <w:t>(SRS)</w:t>
            </w:r>
            <w:r w:rsidRPr="009266DE" w:rsidDel="003601FF">
              <w:rPr>
                <w:color w:val="000000"/>
              </w:rPr>
              <w:t xml:space="preserve"> </w:t>
            </w:r>
          </w:p>
        </w:tc>
        <w:tc>
          <w:tcPr>
            <w:tcW w:w="1530" w:type="dxa"/>
            <w:shd w:val="clear" w:color="auto" w:fill="auto"/>
          </w:tcPr>
          <w:p w14:paraId="4BDEE560" w14:textId="77777777" w:rsidR="00530401" w:rsidRPr="009266DE" w:rsidRDefault="00530401" w:rsidP="005C226F">
            <w:pPr>
              <w:autoSpaceDE w:val="0"/>
              <w:autoSpaceDN w:val="0"/>
              <w:adjustRightInd w:val="0"/>
              <w:jc w:val="center"/>
              <w:rPr>
                <w:color w:val="000000"/>
              </w:rPr>
            </w:pPr>
            <w:r>
              <w:rPr>
                <w:color w:val="000000"/>
              </w:rPr>
              <w:t>Allocation (n)</w:t>
            </w:r>
          </w:p>
        </w:tc>
      </w:tr>
      <w:tr w:rsidR="00530401" w:rsidRPr="009266DE" w14:paraId="0B52BF8A" w14:textId="77777777" w:rsidTr="005C226F">
        <w:tc>
          <w:tcPr>
            <w:tcW w:w="2430" w:type="dxa"/>
            <w:shd w:val="clear" w:color="auto" w:fill="auto"/>
          </w:tcPr>
          <w:p w14:paraId="7C18EADD" w14:textId="77777777" w:rsidR="00530401" w:rsidRPr="009266DE" w:rsidRDefault="00530401" w:rsidP="005C226F">
            <w:pPr>
              <w:autoSpaceDE w:val="0"/>
              <w:autoSpaceDN w:val="0"/>
              <w:adjustRightInd w:val="0"/>
              <w:rPr>
                <w:color w:val="000000"/>
              </w:rPr>
            </w:pPr>
            <w:r>
              <w:rPr>
                <w:color w:val="000000"/>
              </w:rPr>
              <w:t>Midwest</w:t>
            </w:r>
          </w:p>
        </w:tc>
        <w:tc>
          <w:tcPr>
            <w:tcW w:w="1620" w:type="dxa"/>
            <w:shd w:val="clear" w:color="auto" w:fill="auto"/>
          </w:tcPr>
          <w:p w14:paraId="62F7182B" w14:textId="77777777" w:rsidR="00530401" w:rsidRPr="009266DE" w:rsidRDefault="00530401" w:rsidP="005C226F">
            <w:pPr>
              <w:autoSpaceDE w:val="0"/>
              <w:autoSpaceDN w:val="0"/>
              <w:adjustRightInd w:val="0"/>
              <w:jc w:val="center"/>
              <w:rPr>
                <w:color w:val="000000"/>
              </w:rPr>
            </w:pPr>
            <w:r>
              <w:rPr>
                <w:color w:val="000000"/>
              </w:rPr>
              <w:t>6,007</w:t>
            </w:r>
          </w:p>
        </w:tc>
        <w:tc>
          <w:tcPr>
            <w:tcW w:w="1710" w:type="dxa"/>
            <w:shd w:val="clear" w:color="auto" w:fill="auto"/>
          </w:tcPr>
          <w:p w14:paraId="3C671B70" w14:textId="77777777" w:rsidR="00530401" w:rsidRPr="009266DE" w:rsidRDefault="00530401" w:rsidP="005C226F">
            <w:pPr>
              <w:autoSpaceDE w:val="0"/>
              <w:autoSpaceDN w:val="0"/>
              <w:adjustRightInd w:val="0"/>
              <w:jc w:val="center"/>
              <w:rPr>
                <w:color w:val="000000"/>
              </w:rPr>
            </w:pPr>
            <w:r>
              <w:rPr>
                <w:color w:val="000000"/>
              </w:rPr>
              <w:t>255</w:t>
            </w:r>
          </w:p>
        </w:tc>
        <w:tc>
          <w:tcPr>
            <w:tcW w:w="1530" w:type="dxa"/>
            <w:shd w:val="clear" w:color="auto" w:fill="auto"/>
          </w:tcPr>
          <w:p w14:paraId="5A946E27" w14:textId="77777777" w:rsidR="00530401" w:rsidRPr="009266DE" w:rsidRDefault="00530401" w:rsidP="005C226F">
            <w:pPr>
              <w:autoSpaceDE w:val="0"/>
              <w:autoSpaceDN w:val="0"/>
              <w:adjustRightInd w:val="0"/>
              <w:jc w:val="center"/>
              <w:rPr>
                <w:color w:val="000000"/>
              </w:rPr>
            </w:pPr>
            <w:r>
              <w:rPr>
                <w:color w:val="000000"/>
              </w:rPr>
              <w:t>1020</w:t>
            </w:r>
          </w:p>
        </w:tc>
      </w:tr>
      <w:tr w:rsidR="00530401" w:rsidRPr="009266DE" w14:paraId="0EC4D3B2" w14:textId="77777777" w:rsidTr="005C226F">
        <w:tc>
          <w:tcPr>
            <w:tcW w:w="2430" w:type="dxa"/>
            <w:shd w:val="clear" w:color="auto" w:fill="auto"/>
          </w:tcPr>
          <w:p w14:paraId="008ABDCB" w14:textId="77777777" w:rsidR="00530401" w:rsidRPr="009266DE" w:rsidRDefault="00530401" w:rsidP="005C226F">
            <w:pPr>
              <w:autoSpaceDE w:val="0"/>
              <w:autoSpaceDN w:val="0"/>
              <w:adjustRightInd w:val="0"/>
              <w:rPr>
                <w:color w:val="000000"/>
              </w:rPr>
            </w:pPr>
            <w:r>
              <w:rPr>
                <w:color w:val="000000"/>
              </w:rPr>
              <w:t>East</w:t>
            </w:r>
          </w:p>
        </w:tc>
        <w:tc>
          <w:tcPr>
            <w:tcW w:w="1620" w:type="dxa"/>
            <w:shd w:val="clear" w:color="auto" w:fill="auto"/>
          </w:tcPr>
          <w:p w14:paraId="659FD21C" w14:textId="77777777" w:rsidR="00530401" w:rsidRPr="009266DE" w:rsidRDefault="00530401" w:rsidP="005C226F">
            <w:pPr>
              <w:autoSpaceDE w:val="0"/>
              <w:autoSpaceDN w:val="0"/>
              <w:adjustRightInd w:val="0"/>
              <w:jc w:val="center"/>
              <w:rPr>
                <w:color w:val="000000"/>
              </w:rPr>
            </w:pPr>
            <w:r>
              <w:rPr>
                <w:color w:val="000000"/>
              </w:rPr>
              <w:t>2,268</w:t>
            </w:r>
          </w:p>
        </w:tc>
        <w:tc>
          <w:tcPr>
            <w:tcW w:w="1710" w:type="dxa"/>
            <w:shd w:val="clear" w:color="auto" w:fill="auto"/>
          </w:tcPr>
          <w:p w14:paraId="3F4C734F" w14:textId="77777777" w:rsidR="00530401" w:rsidRPr="009266DE" w:rsidRDefault="00530401" w:rsidP="005C226F">
            <w:pPr>
              <w:autoSpaceDE w:val="0"/>
              <w:autoSpaceDN w:val="0"/>
              <w:adjustRightInd w:val="0"/>
              <w:jc w:val="center"/>
              <w:rPr>
                <w:color w:val="000000"/>
              </w:rPr>
            </w:pPr>
            <w:r>
              <w:rPr>
                <w:color w:val="000000"/>
              </w:rPr>
              <w:t>239</w:t>
            </w:r>
          </w:p>
        </w:tc>
        <w:tc>
          <w:tcPr>
            <w:tcW w:w="1530" w:type="dxa"/>
            <w:shd w:val="clear" w:color="auto" w:fill="auto"/>
          </w:tcPr>
          <w:p w14:paraId="72F07BA8" w14:textId="77777777" w:rsidR="00530401" w:rsidRPr="009266DE" w:rsidRDefault="00530401" w:rsidP="005C226F">
            <w:pPr>
              <w:autoSpaceDE w:val="0"/>
              <w:autoSpaceDN w:val="0"/>
              <w:adjustRightInd w:val="0"/>
              <w:jc w:val="center"/>
              <w:rPr>
                <w:color w:val="000000"/>
              </w:rPr>
            </w:pPr>
            <w:r>
              <w:rPr>
                <w:color w:val="000000"/>
              </w:rPr>
              <w:t>956</w:t>
            </w:r>
          </w:p>
        </w:tc>
      </w:tr>
      <w:tr w:rsidR="00530401" w:rsidRPr="009266DE" w14:paraId="5136F496" w14:textId="77777777" w:rsidTr="005C226F">
        <w:tc>
          <w:tcPr>
            <w:tcW w:w="2430" w:type="dxa"/>
            <w:shd w:val="clear" w:color="auto" w:fill="auto"/>
          </w:tcPr>
          <w:p w14:paraId="2FFA0A4A" w14:textId="77777777" w:rsidR="00530401" w:rsidRPr="009266DE" w:rsidRDefault="00530401" w:rsidP="005C226F">
            <w:pPr>
              <w:autoSpaceDE w:val="0"/>
              <w:autoSpaceDN w:val="0"/>
              <w:adjustRightInd w:val="0"/>
              <w:rPr>
                <w:color w:val="000000"/>
              </w:rPr>
            </w:pPr>
            <w:r>
              <w:rPr>
                <w:color w:val="000000"/>
              </w:rPr>
              <w:t>South</w:t>
            </w:r>
          </w:p>
        </w:tc>
        <w:tc>
          <w:tcPr>
            <w:tcW w:w="1620" w:type="dxa"/>
            <w:shd w:val="clear" w:color="auto" w:fill="auto"/>
          </w:tcPr>
          <w:p w14:paraId="26697C52" w14:textId="77777777" w:rsidR="00530401" w:rsidRPr="009266DE" w:rsidRDefault="00530401" w:rsidP="005C226F">
            <w:pPr>
              <w:autoSpaceDE w:val="0"/>
              <w:autoSpaceDN w:val="0"/>
              <w:adjustRightInd w:val="0"/>
              <w:jc w:val="center"/>
              <w:rPr>
                <w:color w:val="000000"/>
              </w:rPr>
            </w:pPr>
            <w:r>
              <w:rPr>
                <w:color w:val="000000"/>
              </w:rPr>
              <w:t>1,482</w:t>
            </w:r>
          </w:p>
        </w:tc>
        <w:tc>
          <w:tcPr>
            <w:tcW w:w="1710" w:type="dxa"/>
            <w:shd w:val="clear" w:color="auto" w:fill="auto"/>
          </w:tcPr>
          <w:p w14:paraId="37D31B8C" w14:textId="77777777" w:rsidR="00530401" w:rsidRPr="009266DE" w:rsidRDefault="00530401" w:rsidP="005C226F">
            <w:pPr>
              <w:autoSpaceDE w:val="0"/>
              <w:autoSpaceDN w:val="0"/>
              <w:adjustRightInd w:val="0"/>
              <w:jc w:val="center"/>
              <w:rPr>
                <w:color w:val="000000"/>
              </w:rPr>
            </w:pPr>
            <w:r>
              <w:rPr>
                <w:color w:val="000000"/>
              </w:rPr>
              <w:t>226</w:t>
            </w:r>
          </w:p>
        </w:tc>
        <w:tc>
          <w:tcPr>
            <w:tcW w:w="1530" w:type="dxa"/>
            <w:shd w:val="clear" w:color="auto" w:fill="auto"/>
          </w:tcPr>
          <w:p w14:paraId="38D4A7D2" w14:textId="77777777" w:rsidR="00530401" w:rsidRPr="009266DE" w:rsidRDefault="00530401" w:rsidP="005C226F">
            <w:pPr>
              <w:autoSpaceDE w:val="0"/>
              <w:autoSpaceDN w:val="0"/>
              <w:adjustRightInd w:val="0"/>
              <w:jc w:val="center"/>
              <w:rPr>
                <w:color w:val="000000"/>
              </w:rPr>
            </w:pPr>
            <w:r>
              <w:rPr>
                <w:color w:val="000000"/>
              </w:rPr>
              <w:t>904</w:t>
            </w:r>
          </w:p>
        </w:tc>
      </w:tr>
      <w:tr w:rsidR="00530401" w:rsidRPr="009266DE" w14:paraId="1F0CBD39" w14:textId="77777777" w:rsidTr="005C226F">
        <w:tc>
          <w:tcPr>
            <w:tcW w:w="2430" w:type="dxa"/>
            <w:shd w:val="clear" w:color="auto" w:fill="auto"/>
          </w:tcPr>
          <w:p w14:paraId="4451FB67" w14:textId="77777777" w:rsidR="00530401" w:rsidRPr="009266DE" w:rsidRDefault="00530401" w:rsidP="005C226F">
            <w:pPr>
              <w:autoSpaceDE w:val="0"/>
              <w:autoSpaceDN w:val="0"/>
              <w:adjustRightInd w:val="0"/>
              <w:rPr>
                <w:color w:val="000000"/>
              </w:rPr>
            </w:pPr>
          </w:p>
        </w:tc>
        <w:tc>
          <w:tcPr>
            <w:tcW w:w="1620" w:type="dxa"/>
            <w:shd w:val="clear" w:color="auto" w:fill="auto"/>
          </w:tcPr>
          <w:p w14:paraId="18268140" w14:textId="77777777" w:rsidR="00530401" w:rsidRPr="009266DE" w:rsidRDefault="00530401" w:rsidP="005C226F">
            <w:pPr>
              <w:autoSpaceDE w:val="0"/>
              <w:autoSpaceDN w:val="0"/>
              <w:adjustRightInd w:val="0"/>
              <w:jc w:val="center"/>
              <w:rPr>
                <w:color w:val="000000"/>
              </w:rPr>
            </w:pPr>
          </w:p>
        </w:tc>
        <w:tc>
          <w:tcPr>
            <w:tcW w:w="1710" w:type="dxa"/>
            <w:shd w:val="clear" w:color="auto" w:fill="auto"/>
          </w:tcPr>
          <w:p w14:paraId="18393E22" w14:textId="77777777" w:rsidR="00530401" w:rsidRPr="009266DE" w:rsidRDefault="00530401" w:rsidP="005C226F">
            <w:pPr>
              <w:autoSpaceDE w:val="0"/>
              <w:autoSpaceDN w:val="0"/>
              <w:adjustRightInd w:val="0"/>
              <w:jc w:val="center"/>
              <w:rPr>
                <w:color w:val="000000"/>
              </w:rPr>
            </w:pPr>
          </w:p>
        </w:tc>
        <w:tc>
          <w:tcPr>
            <w:tcW w:w="1530" w:type="dxa"/>
            <w:shd w:val="clear" w:color="auto" w:fill="auto"/>
          </w:tcPr>
          <w:p w14:paraId="67115592" w14:textId="77777777" w:rsidR="00530401" w:rsidRPr="009266DE" w:rsidRDefault="00530401" w:rsidP="005C226F">
            <w:pPr>
              <w:autoSpaceDE w:val="0"/>
              <w:autoSpaceDN w:val="0"/>
              <w:adjustRightInd w:val="0"/>
              <w:jc w:val="center"/>
              <w:rPr>
                <w:color w:val="000000"/>
              </w:rPr>
            </w:pPr>
          </w:p>
        </w:tc>
      </w:tr>
      <w:tr w:rsidR="00530401" w:rsidRPr="009266DE" w14:paraId="4C31CDAC" w14:textId="77777777" w:rsidTr="005C226F">
        <w:tc>
          <w:tcPr>
            <w:tcW w:w="2430" w:type="dxa"/>
            <w:shd w:val="clear" w:color="auto" w:fill="auto"/>
          </w:tcPr>
          <w:p w14:paraId="46C3FEDC" w14:textId="77777777" w:rsidR="00530401" w:rsidRPr="009266DE" w:rsidRDefault="00530401" w:rsidP="005C226F">
            <w:pPr>
              <w:autoSpaceDE w:val="0"/>
              <w:autoSpaceDN w:val="0"/>
              <w:adjustRightInd w:val="0"/>
              <w:rPr>
                <w:color w:val="000000"/>
              </w:rPr>
            </w:pPr>
            <w:r w:rsidRPr="009266DE">
              <w:rPr>
                <w:color w:val="000000"/>
              </w:rPr>
              <w:t>Total</w:t>
            </w:r>
          </w:p>
        </w:tc>
        <w:tc>
          <w:tcPr>
            <w:tcW w:w="1620" w:type="dxa"/>
            <w:shd w:val="clear" w:color="auto" w:fill="auto"/>
          </w:tcPr>
          <w:p w14:paraId="68151EE1" w14:textId="77777777" w:rsidR="00530401" w:rsidRPr="009266DE" w:rsidRDefault="00530401" w:rsidP="005C226F">
            <w:pPr>
              <w:autoSpaceDE w:val="0"/>
              <w:autoSpaceDN w:val="0"/>
              <w:adjustRightInd w:val="0"/>
              <w:jc w:val="center"/>
              <w:rPr>
                <w:color w:val="000000"/>
              </w:rPr>
            </w:pPr>
            <w:r>
              <w:rPr>
                <w:color w:val="000000"/>
              </w:rPr>
              <w:t>9,757</w:t>
            </w:r>
          </w:p>
        </w:tc>
        <w:tc>
          <w:tcPr>
            <w:tcW w:w="1710" w:type="dxa"/>
            <w:shd w:val="clear" w:color="auto" w:fill="auto"/>
          </w:tcPr>
          <w:p w14:paraId="0D4E793B" w14:textId="77777777" w:rsidR="00530401" w:rsidRPr="009266DE" w:rsidRDefault="00530401" w:rsidP="005C226F">
            <w:pPr>
              <w:autoSpaceDE w:val="0"/>
              <w:autoSpaceDN w:val="0"/>
              <w:adjustRightInd w:val="0"/>
              <w:jc w:val="center"/>
              <w:rPr>
                <w:color w:val="000000"/>
              </w:rPr>
            </w:pPr>
            <w:r>
              <w:rPr>
                <w:color w:val="000000"/>
              </w:rPr>
              <w:t>720</w:t>
            </w:r>
          </w:p>
        </w:tc>
        <w:tc>
          <w:tcPr>
            <w:tcW w:w="1530" w:type="dxa"/>
            <w:shd w:val="clear" w:color="auto" w:fill="auto"/>
          </w:tcPr>
          <w:p w14:paraId="168D7798" w14:textId="77777777" w:rsidR="00530401" w:rsidRPr="009266DE" w:rsidRDefault="00530401" w:rsidP="005C226F">
            <w:pPr>
              <w:autoSpaceDE w:val="0"/>
              <w:autoSpaceDN w:val="0"/>
              <w:adjustRightInd w:val="0"/>
              <w:jc w:val="center"/>
              <w:rPr>
                <w:color w:val="000000"/>
              </w:rPr>
            </w:pPr>
            <w:r>
              <w:rPr>
                <w:color w:val="000000"/>
              </w:rPr>
              <w:t>2,880</w:t>
            </w:r>
          </w:p>
        </w:tc>
      </w:tr>
    </w:tbl>
    <w:p w14:paraId="2DAC15F4" w14:textId="77777777" w:rsidR="00530401" w:rsidRPr="0070597D" w:rsidRDefault="00530401" w:rsidP="00530401">
      <w:pPr>
        <w:pStyle w:val="NoSpacing"/>
        <w:rPr>
          <w:rFonts w:ascii="Times New Roman" w:hAnsi="Times New Roman"/>
        </w:rPr>
      </w:pPr>
      <w:r w:rsidRPr="0070597D">
        <w:rPr>
          <w:rFonts w:ascii="Times New Roman" w:hAnsi="Times New Roman"/>
        </w:rPr>
        <w:t xml:space="preserve">Midwest:  </w:t>
      </w:r>
      <w:r>
        <w:rPr>
          <w:rFonts w:ascii="Times New Roman" w:hAnsi="Times New Roman"/>
        </w:rPr>
        <w:t>CO,</w:t>
      </w:r>
      <w:r w:rsidRPr="0070597D">
        <w:rPr>
          <w:rFonts w:ascii="Times New Roman" w:hAnsi="Times New Roman"/>
        </w:rPr>
        <w:t>SD,NE,MN,IA</w:t>
      </w:r>
    </w:p>
    <w:p w14:paraId="3DD2FCA5" w14:textId="77777777" w:rsidR="00530401" w:rsidRPr="0070597D" w:rsidRDefault="00530401" w:rsidP="00530401">
      <w:pPr>
        <w:pStyle w:val="NoSpacing"/>
        <w:rPr>
          <w:rFonts w:ascii="Times New Roman" w:hAnsi="Times New Roman"/>
        </w:rPr>
      </w:pPr>
      <w:r w:rsidRPr="0070597D">
        <w:rPr>
          <w:rFonts w:ascii="Times New Roman" w:hAnsi="Times New Roman"/>
        </w:rPr>
        <w:t>East:  IL,IN,OH,PA</w:t>
      </w:r>
    </w:p>
    <w:p w14:paraId="623318F6" w14:textId="77777777" w:rsidR="00530401" w:rsidRPr="0070597D" w:rsidRDefault="00530401" w:rsidP="00530401">
      <w:pPr>
        <w:pStyle w:val="NoSpacing"/>
      </w:pPr>
      <w:r w:rsidRPr="0070597D">
        <w:rPr>
          <w:rFonts w:ascii="Times New Roman" w:hAnsi="Times New Roman"/>
        </w:rPr>
        <w:t>South:  KS,OK,MO,NC</w:t>
      </w:r>
    </w:p>
    <w:p w14:paraId="5D517918" w14:textId="77777777" w:rsidR="00530401" w:rsidRPr="00D3269F" w:rsidRDefault="00530401" w:rsidP="00530401">
      <w:pPr>
        <w:autoSpaceDE w:val="0"/>
        <w:autoSpaceDN w:val="0"/>
        <w:adjustRightInd w:val="0"/>
      </w:pPr>
    </w:p>
    <w:p w14:paraId="199F84DB" w14:textId="77777777" w:rsidR="00530401" w:rsidRDefault="00530401" w:rsidP="00530401">
      <w:pPr>
        <w:autoSpaceDE w:val="0"/>
        <w:autoSpaceDN w:val="0"/>
        <w:adjustRightInd w:val="0"/>
      </w:pPr>
      <w:r w:rsidRPr="00D3269F">
        <w:t xml:space="preserve">Table </w:t>
      </w:r>
      <w:r>
        <w:t>2</w:t>
      </w:r>
      <w:r w:rsidRPr="00D3269F">
        <w:t xml:space="preserve">.  </w:t>
      </w:r>
      <w:r>
        <w:t>Precision</w:t>
      </w:r>
      <w:r w:rsidRPr="00D3269F">
        <w:t xml:space="preserve"> of estimates based on sample sizes </w:t>
      </w:r>
      <w:r>
        <w:t xml:space="preserve">and expected number of responses </w:t>
      </w:r>
      <w:r w:rsidRPr="00D3269F">
        <w:t xml:space="preserve">outlined in Table </w:t>
      </w:r>
      <w:r>
        <w:t>1</w:t>
      </w:r>
      <w:r w:rsidRPr="00D3269F">
        <w:t>.</w:t>
      </w:r>
    </w:p>
    <w:tbl>
      <w:tblPr>
        <w:tblW w:w="812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23"/>
        <w:gridCol w:w="1980"/>
        <w:gridCol w:w="1440"/>
        <w:gridCol w:w="1440"/>
        <w:gridCol w:w="1440"/>
      </w:tblGrid>
      <w:tr w:rsidR="00530401" w:rsidRPr="009266DE" w14:paraId="6F2B54B8" w14:textId="77777777" w:rsidTr="005C226F">
        <w:trPr>
          <w:trHeight w:val="273"/>
        </w:trPr>
        <w:tc>
          <w:tcPr>
            <w:tcW w:w="1823" w:type="dxa"/>
            <w:shd w:val="clear" w:color="auto" w:fill="auto"/>
          </w:tcPr>
          <w:p w14:paraId="17B8980F" w14:textId="77777777" w:rsidR="00530401" w:rsidRPr="009266DE" w:rsidRDefault="00530401" w:rsidP="005C226F">
            <w:pPr>
              <w:tabs>
                <w:tab w:val="left" w:pos="1665"/>
              </w:tabs>
              <w:autoSpaceDE w:val="0"/>
              <w:autoSpaceDN w:val="0"/>
              <w:adjustRightInd w:val="0"/>
              <w:jc w:val="center"/>
              <w:rPr>
                <w:color w:val="000000"/>
              </w:rPr>
            </w:pPr>
            <w:r>
              <w:rPr>
                <w:color w:val="000000"/>
              </w:rPr>
              <w:t>Proportion</w:t>
            </w:r>
          </w:p>
        </w:tc>
        <w:tc>
          <w:tcPr>
            <w:tcW w:w="3420" w:type="dxa"/>
            <w:gridSpan w:val="2"/>
            <w:shd w:val="clear" w:color="auto" w:fill="auto"/>
          </w:tcPr>
          <w:p w14:paraId="1FAE2A67" w14:textId="77777777" w:rsidR="00530401" w:rsidRPr="001D0BA4" w:rsidRDefault="00530401" w:rsidP="005C226F">
            <w:pPr>
              <w:tabs>
                <w:tab w:val="left" w:pos="1665"/>
              </w:tabs>
              <w:autoSpaceDE w:val="0"/>
              <w:autoSpaceDN w:val="0"/>
              <w:adjustRightInd w:val="0"/>
              <w:jc w:val="center"/>
              <w:rPr>
                <w:b/>
              </w:rPr>
            </w:pPr>
            <w:r w:rsidRPr="001D0BA4">
              <w:rPr>
                <w:b/>
              </w:rPr>
              <w:t>Regional</w:t>
            </w:r>
          </w:p>
        </w:tc>
        <w:tc>
          <w:tcPr>
            <w:tcW w:w="2880" w:type="dxa"/>
            <w:gridSpan w:val="2"/>
            <w:shd w:val="clear" w:color="auto" w:fill="auto"/>
          </w:tcPr>
          <w:p w14:paraId="779D78AC" w14:textId="77777777" w:rsidR="00530401" w:rsidRPr="001D0BA4" w:rsidRDefault="00530401" w:rsidP="005C226F">
            <w:pPr>
              <w:tabs>
                <w:tab w:val="left" w:pos="1665"/>
              </w:tabs>
              <w:autoSpaceDE w:val="0"/>
              <w:autoSpaceDN w:val="0"/>
              <w:adjustRightInd w:val="0"/>
              <w:jc w:val="center"/>
              <w:rPr>
                <w:b/>
              </w:rPr>
            </w:pPr>
            <w:r w:rsidRPr="001D0BA4">
              <w:rPr>
                <w:b/>
              </w:rPr>
              <w:t>National</w:t>
            </w:r>
          </w:p>
        </w:tc>
      </w:tr>
      <w:tr w:rsidR="00530401" w:rsidRPr="009266DE" w14:paraId="4CA68A2A" w14:textId="77777777" w:rsidTr="005C226F">
        <w:trPr>
          <w:trHeight w:val="273"/>
        </w:trPr>
        <w:tc>
          <w:tcPr>
            <w:tcW w:w="1823" w:type="dxa"/>
            <w:shd w:val="clear" w:color="auto" w:fill="auto"/>
          </w:tcPr>
          <w:p w14:paraId="6C5E08F5" w14:textId="77777777" w:rsidR="00530401" w:rsidRPr="009266DE" w:rsidRDefault="00530401" w:rsidP="005C226F">
            <w:pPr>
              <w:autoSpaceDE w:val="0"/>
              <w:autoSpaceDN w:val="0"/>
              <w:adjustRightInd w:val="0"/>
              <w:jc w:val="center"/>
              <w:rPr>
                <w:color w:val="000000"/>
              </w:rPr>
            </w:pPr>
          </w:p>
        </w:tc>
        <w:tc>
          <w:tcPr>
            <w:tcW w:w="1980" w:type="dxa"/>
            <w:shd w:val="clear" w:color="auto" w:fill="auto"/>
          </w:tcPr>
          <w:p w14:paraId="6E8A916B" w14:textId="77777777" w:rsidR="00530401" w:rsidRPr="009266DE" w:rsidRDefault="00530401" w:rsidP="005C226F">
            <w:pPr>
              <w:autoSpaceDE w:val="0"/>
              <w:autoSpaceDN w:val="0"/>
              <w:adjustRightInd w:val="0"/>
              <w:jc w:val="center"/>
              <w:rPr>
                <w:color w:val="000000"/>
              </w:rPr>
            </w:pPr>
            <w:r>
              <w:rPr>
                <w:color w:val="000000"/>
              </w:rPr>
              <w:t>Half-width of CI</w:t>
            </w:r>
          </w:p>
        </w:tc>
        <w:tc>
          <w:tcPr>
            <w:tcW w:w="1440" w:type="dxa"/>
          </w:tcPr>
          <w:p w14:paraId="54F99DCC" w14:textId="77777777" w:rsidR="00530401" w:rsidRPr="009266DE" w:rsidRDefault="00530401" w:rsidP="005C226F">
            <w:pPr>
              <w:autoSpaceDE w:val="0"/>
              <w:autoSpaceDN w:val="0"/>
              <w:adjustRightInd w:val="0"/>
              <w:jc w:val="center"/>
              <w:rPr>
                <w:color w:val="000000"/>
              </w:rPr>
            </w:pPr>
            <w:r>
              <w:rPr>
                <w:color w:val="000000"/>
              </w:rPr>
              <w:t xml:space="preserve">Coefficient of variation (%) </w:t>
            </w:r>
          </w:p>
        </w:tc>
        <w:tc>
          <w:tcPr>
            <w:tcW w:w="1440" w:type="dxa"/>
            <w:shd w:val="clear" w:color="auto" w:fill="auto"/>
          </w:tcPr>
          <w:p w14:paraId="0727728E" w14:textId="77777777" w:rsidR="00530401" w:rsidRPr="009266DE" w:rsidRDefault="00530401" w:rsidP="005C226F">
            <w:pPr>
              <w:autoSpaceDE w:val="0"/>
              <w:autoSpaceDN w:val="0"/>
              <w:adjustRightInd w:val="0"/>
              <w:jc w:val="center"/>
              <w:rPr>
                <w:color w:val="000000"/>
              </w:rPr>
            </w:pPr>
            <w:r>
              <w:rPr>
                <w:color w:val="000000"/>
              </w:rPr>
              <w:t>Half-width of CI</w:t>
            </w:r>
          </w:p>
        </w:tc>
        <w:tc>
          <w:tcPr>
            <w:tcW w:w="1440" w:type="dxa"/>
          </w:tcPr>
          <w:p w14:paraId="0F626417" w14:textId="77777777" w:rsidR="00530401" w:rsidRPr="009266DE" w:rsidRDefault="00530401" w:rsidP="005C226F">
            <w:pPr>
              <w:autoSpaceDE w:val="0"/>
              <w:autoSpaceDN w:val="0"/>
              <w:adjustRightInd w:val="0"/>
              <w:jc w:val="center"/>
              <w:rPr>
                <w:color w:val="000000"/>
              </w:rPr>
            </w:pPr>
            <w:r>
              <w:rPr>
                <w:color w:val="000000"/>
              </w:rPr>
              <w:t>Coefficient of variation (%)</w:t>
            </w:r>
          </w:p>
        </w:tc>
      </w:tr>
      <w:tr w:rsidR="00530401" w:rsidRPr="009266DE" w14:paraId="42669FB8" w14:textId="77777777" w:rsidTr="005C226F">
        <w:trPr>
          <w:trHeight w:val="273"/>
        </w:trPr>
        <w:tc>
          <w:tcPr>
            <w:tcW w:w="1823" w:type="dxa"/>
            <w:shd w:val="clear" w:color="auto" w:fill="auto"/>
          </w:tcPr>
          <w:p w14:paraId="2C0F55DC" w14:textId="77777777" w:rsidR="00530401" w:rsidRPr="009266DE" w:rsidRDefault="00530401" w:rsidP="005C226F">
            <w:pPr>
              <w:autoSpaceDE w:val="0"/>
              <w:autoSpaceDN w:val="0"/>
              <w:adjustRightInd w:val="0"/>
              <w:jc w:val="center"/>
              <w:rPr>
                <w:color w:val="000000"/>
              </w:rPr>
            </w:pPr>
            <w:r>
              <w:rPr>
                <w:color w:val="000000"/>
              </w:rPr>
              <w:t>.5</w:t>
            </w:r>
          </w:p>
        </w:tc>
        <w:tc>
          <w:tcPr>
            <w:tcW w:w="1980" w:type="dxa"/>
            <w:shd w:val="clear" w:color="auto" w:fill="auto"/>
          </w:tcPr>
          <w:p w14:paraId="635DA246" w14:textId="77777777" w:rsidR="00530401" w:rsidRPr="009266DE" w:rsidRDefault="00530401" w:rsidP="005C226F">
            <w:pPr>
              <w:autoSpaceDE w:val="0"/>
              <w:autoSpaceDN w:val="0"/>
              <w:adjustRightInd w:val="0"/>
              <w:jc w:val="center"/>
              <w:rPr>
                <w:color w:val="000000"/>
              </w:rPr>
            </w:pPr>
            <w:r w:rsidRPr="009266DE">
              <w:rPr>
                <w:color w:val="000000"/>
              </w:rPr>
              <w:t xml:space="preserve"> </w:t>
            </w:r>
            <w:r>
              <w:rPr>
                <w:color w:val="000000"/>
              </w:rPr>
              <w:t>.06</w:t>
            </w:r>
          </w:p>
        </w:tc>
        <w:tc>
          <w:tcPr>
            <w:tcW w:w="1440" w:type="dxa"/>
          </w:tcPr>
          <w:p w14:paraId="1A2750F7" w14:textId="77777777" w:rsidR="00530401" w:rsidRPr="009266DE" w:rsidRDefault="00530401" w:rsidP="005C226F">
            <w:pPr>
              <w:autoSpaceDE w:val="0"/>
              <w:autoSpaceDN w:val="0"/>
              <w:adjustRightInd w:val="0"/>
              <w:jc w:val="center"/>
              <w:rPr>
                <w:color w:val="000000"/>
              </w:rPr>
            </w:pPr>
            <w:r>
              <w:rPr>
                <w:color w:val="000000"/>
              </w:rPr>
              <w:t>6</w:t>
            </w:r>
          </w:p>
        </w:tc>
        <w:tc>
          <w:tcPr>
            <w:tcW w:w="1440" w:type="dxa"/>
            <w:shd w:val="clear" w:color="auto" w:fill="auto"/>
          </w:tcPr>
          <w:p w14:paraId="7159DF08" w14:textId="77777777" w:rsidR="00530401" w:rsidRPr="009266DE" w:rsidRDefault="00530401" w:rsidP="005C226F">
            <w:pPr>
              <w:autoSpaceDE w:val="0"/>
              <w:autoSpaceDN w:val="0"/>
              <w:adjustRightInd w:val="0"/>
              <w:jc w:val="center"/>
              <w:rPr>
                <w:color w:val="000000"/>
              </w:rPr>
            </w:pPr>
            <w:r w:rsidRPr="009266DE">
              <w:rPr>
                <w:color w:val="000000"/>
              </w:rPr>
              <w:t xml:space="preserve"> </w:t>
            </w:r>
            <w:r>
              <w:rPr>
                <w:color w:val="000000"/>
              </w:rPr>
              <w:t>.04</w:t>
            </w:r>
          </w:p>
        </w:tc>
        <w:tc>
          <w:tcPr>
            <w:tcW w:w="1440" w:type="dxa"/>
          </w:tcPr>
          <w:p w14:paraId="1FCE24CD" w14:textId="77777777" w:rsidR="00530401" w:rsidRPr="009266DE" w:rsidRDefault="00530401" w:rsidP="005C226F">
            <w:pPr>
              <w:autoSpaceDE w:val="0"/>
              <w:autoSpaceDN w:val="0"/>
              <w:adjustRightInd w:val="0"/>
              <w:jc w:val="center"/>
              <w:rPr>
                <w:color w:val="000000"/>
              </w:rPr>
            </w:pPr>
            <w:r>
              <w:rPr>
                <w:color w:val="000000"/>
              </w:rPr>
              <w:t>4</w:t>
            </w:r>
          </w:p>
        </w:tc>
      </w:tr>
      <w:tr w:rsidR="00530401" w:rsidRPr="009266DE" w14:paraId="58FAF28F" w14:textId="77777777" w:rsidTr="005C226F">
        <w:trPr>
          <w:trHeight w:val="273"/>
        </w:trPr>
        <w:tc>
          <w:tcPr>
            <w:tcW w:w="1823" w:type="dxa"/>
            <w:shd w:val="clear" w:color="auto" w:fill="auto"/>
          </w:tcPr>
          <w:p w14:paraId="760A281D" w14:textId="77777777" w:rsidR="00530401" w:rsidRPr="009266DE" w:rsidRDefault="00530401" w:rsidP="005C226F">
            <w:pPr>
              <w:autoSpaceDE w:val="0"/>
              <w:autoSpaceDN w:val="0"/>
              <w:adjustRightInd w:val="0"/>
              <w:jc w:val="center"/>
              <w:rPr>
                <w:color w:val="000000"/>
              </w:rPr>
            </w:pPr>
            <w:r>
              <w:rPr>
                <w:color w:val="000000"/>
              </w:rPr>
              <w:t>.</w:t>
            </w:r>
            <w:r w:rsidRPr="009266DE">
              <w:rPr>
                <w:color w:val="000000"/>
              </w:rPr>
              <w:t>2</w:t>
            </w:r>
          </w:p>
        </w:tc>
        <w:tc>
          <w:tcPr>
            <w:tcW w:w="1980" w:type="dxa"/>
            <w:shd w:val="clear" w:color="auto" w:fill="auto"/>
          </w:tcPr>
          <w:p w14:paraId="7EB1CB4E" w14:textId="77777777" w:rsidR="00530401" w:rsidRPr="009266DE" w:rsidRDefault="00530401" w:rsidP="005C226F">
            <w:pPr>
              <w:autoSpaceDE w:val="0"/>
              <w:autoSpaceDN w:val="0"/>
              <w:adjustRightInd w:val="0"/>
              <w:jc w:val="center"/>
              <w:rPr>
                <w:color w:val="000000"/>
              </w:rPr>
            </w:pPr>
            <w:r w:rsidRPr="009266DE">
              <w:rPr>
                <w:color w:val="000000"/>
              </w:rPr>
              <w:t xml:space="preserve"> </w:t>
            </w:r>
            <w:r>
              <w:rPr>
                <w:color w:val="000000"/>
              </w:rPr>
              <w:t>.05</w:t>
            </w:r>
          </w:p>
        </w:tc>
        <w:tc>
          <w:tcPr>
            <w:tcW w:w="1440" w:type="dxa"/>
          </w:tcPr>
          <w:p w14:paraId="05D16966" w14:textId="77777777" w:rsidR="00530401" w:rsidRPr="009266DE" w:rsidRDefault="00530401" w:rsidP="005C226F">
            <w:pPr>
              <w:autoSpaceDE w:val="0"/>
              <w:autoSpaceDN w:val="0"/>
              <w:adjustRightInd w:val="0"/>
              <w:jc w:val="center"/>
              <w:rPr>
                <w:color w:val="000000"/>
              </w:rPr>
            </w:pPr>
            <w:r>
              <w:rPr>
                <w:color w:val="000000"/>
              </w:rPr>
              <w:t>13</w:t>
            </w:r>
          </w:p>
        </w:tc>
        <w:tc>
          <w:tcPr>
            <w:tcW w:w="1440" w:type="dxa"/>
            <w:shd w:val="clear" w:color="auto" w:fill="auto"/>
          </w:tcPr>
          <w:p w14:paraId="4DC51D7C" w14:textId="77777777" w:rsidR="00530401" w:rsidRPr="009266DE" w:rsidRDefault="00530401" w:rsidP="005C226F">
            <w:pPr>
              <w:autoSpaceDE w:val="0"/>
              <w:autoSpaceDN w:val="0"/>
              <w:adjustRightInd w:val="0"/>
              <w:jc w:val="center"/>
              <w:rPr>
                <w:color w:val="000000"/>
              </w:rPr>
            </w:pPr>
            <w:r w:rsidRPr="009266DE">
              <w:rPr>
                <w:color w:val="000000"/>
              </w:rPr>
              <w:t xml:space="preserve"> </w:t>
            </w:r>
            <w:r>
              <w:rPr>
                <w:color w:val="000000"/>
              </w:rPr>
              <w:t>.03</w:t>
            </w:r>
          </w:p>
        </w:tc>
        <w:tc>
          <w:tcPr>
            <w:tcW w:w="1440" w:type="dxa"/>
          </w:tcPr>
          <w:p w14:paraId="1E08F710" w14:textId="77777777" w:rsidR="00530401" w:rsidRPr="009266DE" w:rsidRDefault="00530401" w:rsidP="005C226F">
            <w:pPr>
              <w:autoSpaceDE w:val="0"/>
              <w:autoSpaceDN w:val="0"/>
              <w:adjustRightInd w:val="0"/>
              <w:jc w:val="center"/>
              <w:rPr>
                <w:color w:val="000000"/>
              </w:rPr>
            </w:pPr>
            <w:r>
              <w:rPr>
                <w:color w:val="000000"/>
              </w:rPr>
              <w:t>7</w:t>
            </w:r>
          </w:p>
        </w:tc>
      </w:tr>
      <w:tr w:rsidR="00530401" w:rsidRPr="009266DE" w14:paraId="27FF21E0" w14:textId="77777777" w:rsidTr="005C226F">
        <w:trPr>
          <w:trHeight w:val="215"/>
        </w:trPr>
        <w:tc>
          <w:tcPr>
            <w:tcW w:w="1823" w:type="dxa"/>
            <w:shd w:val="clear" w:color="auto" w:fill="auto"/>
          </w:tcPr>
          <w:p w14:paraId="2E38384F" w14:textId="77777777" w:rsidR="00530401" w:rsidRPr="009266DE" w:rsidRDefault="00530401" w:rsidP="005C226F">
            <w:pPr>
              <w:autoSpaceDE w:val="0"/>
              <w:autoSpaceDN w:val="0"/>
              <w:adjustRightInd w:val="0"/>
              <w:jc w:val="center"/>
              <w:rPr>
                <w:color w:val="000000"/>
              </w:rPr>
            </w:pPr>
            <w:r>
              <w:rPr>
                <w:color w:val="000000"/>
              </w:rPr>
              <w:t>.</w:t>
            </w:r>
            <w:r w:rsidRPr="009266DE">
              <w:rPr>
                <w:color w:val="000000"/>
              </w:rPr>
              <w:t>1</w:t>
            </w:r>
          </w:p>
        </w:tc>
        <w:tc>
          <w:tcPr>
            <w:tcW w:w="1980" w:type="dxa"/>
            <w:shd w:val="clear" w:color="auto" w:fill="auto"/>
          </w:tcPr>
          <w:p w14:paraId="3DD4F8CE" w14:textId="77777777" w:rsidR="00530401" w:rsidRPr="009266DE" w:rsidRDefault="00530401" w:rsidP="005C226F">
            <w:pPr>
              <w:autoSpaceDE w:val="0"/>
              <w:autoSpaceDN w:val="0"/>
              <w:adjustRightInd w:val="0"/>
              <w:jc w:val="center"/>
              <w:rPr>
                <w:color w:val="000000"/>
              </w:rPr>
            </w:pPr>
            <w:r w:rsidRPr="009266DE">
              <w:rPr>
                <w:color w:val="000000"/>
              </w:rPr>
              <w:t xml:space="preserve"> </w:t>
            </w:r>
            <w:r>
              <w:rPr>
                <w:color w:val="000000"/>
              </w:rPr>
              <w:t>.04</w:t>
            </w:r>
          </w:p>
        </w:tc>
        <w:tc>
          <w:tcPr>
            <w:tcW w:w="1440" w:type="dxa"/>
          </w:tcPr>
          <w:p w14:paraId="2E59C2F7" w14:textId="77777777" w:rsidR="00530401" w:rsidRPr="009266DE" w:rsidRDefault="00530401" w:rsidP="005C226F">
            <w:pPr>
              <w:autoSpaceDE w:val="0"/>
              <w:autoSpaceDN w:val="0"/>
              <w:adjustRightInd w:val="0"/>
              <w:jc w:val="center"/>
              <w:rPr>
                <w:color w:val="000000"/>
              </w:rPr>
            </w:pPr>
            <w:r>
              <w:rPr>
                <w:color w:val="000000"/>
              </w:rPr>
              <w:t>19</w:t>
            </w:r>
          </w:p>
        </w:tc>
        <w:tc>
          <w:tcPr>
            <w:tcW w:w="1440" w:type="dxa"/>
            <w:shd w:val="clear" w:color="auto" w:fill="auto"/>
          </w:tcPr>
          <w:p w14:paraId="44994630" w14:textId="77777777" w:rsidR="00530401" w:rsidRPr="009266DE" w:rsidRDefault="00530401" w:rsidP="005C226F">
            <w:pPr>
              <w:autoSpaceDE w:val="0"/>
              <w:autoSpaceDN w:val="0"/>
              <w:adjustRightInd w:val="0"/>
              <w:jc w:val="center"/>
              <w:rPr>
                <w:color w:val="000000"/>
              </w:rPr>
            </w:pPr>
            <w:r w:rsidRPr="009266DE">
              <w:rPr>
                <w:color w:val="000000"/>
              </w:rPr>
              <w:t xml:space="preserve"> </w:t>
            </w:r>
            <w:r>
              <w:rPr>
                <w:color w:val="000000"/>
              </w:rPr>
              <w:t>.02</w:t>
            </w:r>
          </w:p>
        </w:tc>
        <w:tc>
          <w:tcPr>
            <w:tcW w:w="1440" w:type="dxa"/>
          </w:tcPr>
          <w:p w14:paraId="47266BB7" w14:textId="77777777" w:rsidR="00530401" w:rsidRPr="009266DE" w:rsidRDefault="00530401" w:rsidP="005C226F">
            <w:pPr>
              <w:autoSpaceDE w:val="0"/>
              <w:autoSpaceDN w:val="0"/>
              <w:adjustRightInd w:val="0"/>
              <w:jc w:val="center"/>
              <w:rPr>
                <w:color w:val="000000"/>
              </w:rPr>
            </w:pPr>
            <w:r>
              <w:rPr>
                <w:color w:val="000000"/>
              </w:rPr>
              <w:t>11</w:t>
            </w:r>
          </w:p>
        </w:tc>
      </w:tr>
    </w:tbl>
    <w:p w14:paraId="01C3526A" w14:textId="77777777" w:rsidR="00530401" w:rsidRDefault="00530401" w:rsidP="00530401">
      <w:pPr>
        <w:autoSpaceDE w:val="0"/>
        <w:autoSpaceDN w:val="0"/>
        <w:adjustRightInd w:val="0"/>
        <w:rPr>
          <w:color w:val="000000"/>
        </w:rPr>
      </w:pPr>
    </w:p>
    <w:p w14:paraId="3D3D5D49" w14:textId="77777777" w:rsidR="00530401" w:rsidRDefault="00530401" w:rsidP="00530401">
      <w:pPr>
        <w:autoSpaceDE w:val="0"/>
        <w:autoSpaceDN w:val="0"/>
        <w:adjustRightInd w:val="0"/>
        <w:rPr>
          <w:color w:val="000000"/>
        </w:rPr>
      </w:pPr>
      <w:r>
        <w:rPr>
          <w:color w:val="000000"/>
        </w:rPr>
        <w:t xml:space="preserve">These sample size calculations are at the operation level, since the primary selection unit will be an operation.  However, the reporting unit will be a site, and, since some operations have multiple sites, the level of precision will be higher than estimated here.  We estimate that 3,000 operations represent 3,786 sites (Appendix </w:t>
      </w:r>
      <w:r w:rsidR="00D34CDF">
        <w:rPr>
          <w:color w:val="000000"/>
        </w:rPr>
        <w:t>F</w:t>
      </w:r>
      <w:r>
        <w:rPr>
          <w:color w:val="000000"/>
        </w:rPr>
        <w:t xml:space="preserve">).  </w:t>
      </w:r>
    </w:p>
    <w:p w14:paraId="76309CE0" w14:textId="77777777" w:rsidR="00530401" w:rsidRPr="00DB0D78" w:rsidRDefault="00530401" w:rsidP="00530401">
      <w:pPr>
        <w:pStyle w:val="NoSpacing"/>
        <w:rPr>
          <w:rFonts w:ascii="Times New Roman" w:hAnsi="Times New Roman"/>
          <w:b/>
          <w:sz w:val="24"/>
          <w:szCs w:val="24"/>
        </w:rPr>
      </w:pPr>
      <w:r>
        <w:rPr>
          <w:rFonts w:ascii="Times New Roman" w:hAnsi="Times New Roman"/>
        </w:rPr>
        <w:br w:type="page"/>
      </w:r>
      <w:r>
        <w:rPr>
          <w:rFonts w:ascii="Times New Roman" w:hAnsi="Times New Roman"/>
          <w:b/>
          <w:sz w:val="24"/>
          <w:szCs w:val="24"/>
        </w:rPr>
        <w:t>Appendix F</w:t>
      </w:r>
      <w:r w:rsidRPr="00DB0D78">
        <w:rPr>
          <w:rFonts w:ascii="Times New Roman" w:hAnsi="Times New Roman"/>
          <w:b/>
          <w:sz w:val="24"/>
          <w:szCs w:val="24"/>
        </w:rPr>
        <w:t>:  Number of sites that will need to be visited</w:t>
      </w:r>
    </w:p>
    <w:p w14:paraId="41FF28AC" w14:textId="77777777" w:rsidR="00530401" w:rsidRDefault="00530401" w:rsidP="00530401">
      <w:pPr>
        <w:pStyle w:val="NoSpacing"/>
        <w:rPr>
          <w:rFonts w:ascii="Times New Roman" w:hAnsi="Times New Roman"/>
          <w:sz w:val="24"/>
          <w:szCs w:val="24"/>
        </w:rPr>
      </w:pPr>
    </w:p>
    <w:p w14:paraId="74C82C84" w14:textId="77777777" w:rsidR="00530401" w:rsidRPr="008D055D" w:rsidRDefault="00530401" w:rsidP="00530401">
      <w:pPr>
        <w:pStyle w:val="DefaultText"/>
        <w:spacing w:line="360" w:lineRule="auto"/>
        <w:rPr>
          <w:b/>
          <w:u w:val="single"/>
        </w:rPr>
      </w:pPr>
      <w:r w:rsidRPr="008D055D">
        <w:rPr>
          <w:rStyle w:val="InitialStyle"/>
          <w:b/>
          <w:u w:val="single"/>
        </w:rPr>
        <w:t>Swine Antimicrobial Use Study</w:t>
      </w:r>
    </w:p>
    <w:p w14:paraId="3E60C295" w14:textId="77777777" w:rsidR="00530401" w:rsidRPr="00DB0D78" w:rsidRDefault="00530401" w:rsidP="00530401">
      <w:pPr>
        <w:pStyle w:val="NoSpacing"/>
        <w:rPr>
          <w:rFonts w:ascii="Times New Roman" w:hAnsi="Times New Roman"/>
          <w:sz w:val="24"/>
          <w:szCs w:val="24"/>
        </w:rPr>
      </w:pPr>
    </w:p>
    <w:p w14:paraId="2115A712"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 xml:space="preserve">This appendix describes how we arrived at the </w:t>
      </w:r>
      <w:r w:rsidRPr="00DB0D78">
        <w:rPr>
          <w:rFonts w:ascii="Times New Roman" w:hAnsi="Times New Roman"/>
          <w:sz w:val="24"/>
          <w:szCs w:val="24"/>
          <w:u w:val="single"/>
        </w:rPr>
        <w:t>number of sites</w:t>
      </w:r>
      <w:r w:rsidRPr="00DB0D78">
        <w:rPr>
          <w:rFonts w:ascii="Times New Roman" w:hAnsi="Times New Roman"/>
          <w:sz w:val="24"/>
          <w:szCs w:val="24"/>
        </w:rPr>
        <w:t xml:space="preserve"> with </w:t>
      </w:r>
      <w:r>
        <w:rPr>
          <w:rFonts w:ascii="Times New Roman" w:hAnsi="Times New Roman"/>
          <w:sz w:val="24"/>
          <w:szCs w:val="24"/>
        </w:rPr>
        <w:t xml:space="preserve">nursery or grower-finisher </w:t>
      </w:r>
      <w:r w:rsidRPr="00DB0D78">
        <w:rPr>
          <w:rFonts w:ascii="Times New Roman" w:hAnsi="Times New Roman"/>
          <w:sz w:val="24"/>
          <w:szCs w:val="24"/>
        </w:rPr>
        <w:t xml:space="preserve">pigs that will need to be visited for the Swine AM-Use 2017 Study.  </w:t>
      </w:r>
      <w:r w:rsidRPr="00161515">
        <w:rPr>
          <w:rFonts w:ascii="Times New Roman" w:hAnsi="Times New Roman"/>
          <w:sz w:val="24"/>
          <w:szCs w:val="24"/>
        </w:rPr>
        <w:t xml:space="preserve">The survey design will be a 2-stage design, with operations selected from NASS’ list frame at the first stage, then sites selected within operations.  </w:t>
      </w:r>
    </w:p>
    <w:p w14:paraId="56B72851" w14:textId="77777777" w:rsidR="00530401" w:rsidRDefault="00530401" w:rsidP="00530401">
      <w:pPr>
        <w:pStyle w:val="NoSpacing"/>
        <w:rPr>
          <w:rFonts w:ascii="Times New Roman" w:hAnsi="Times New Roman"/>
          <w:sz w:val="24"/>
          <w:szCs w:val="24"/>
        </w:rPr>
      </w:pPr>
    </w:p>
    <w:p w14:paraId="4B928FE7" w14:textId="77777777" w:rsidR="00530401" w:rsidRDefault="00530401" w:rsidP="00530401">
      <w:pPr>
        <w:pStyle w:val="NoSpacing"/>
        <w:rPr>
          <w:rFonts w:ascii="Times New Roman" w:hAnsi="Times New Roman"/>
          <w:sz w:val="24"/>
          <w:szCs w:val="24"/>
        </w:rPr>
      </w:pPr>
      <w:r w:rsidRPr="00DB0D78">
        <w:rPr>
          <w:rFonts w:ascii="Times New Roman" w:hAnsi="Times New Roman"/>
          <w:sz w:val="24"/>
          <w:szCs w:val="24"/>
        </w:rPr>
        <w:t xml:space="preserve">For Swine AM-Use 2017, there will be a total of </w:t>
      </w:r>
      <w:r>
        <w:rPr>
          <w:rFonts w:ascii="Times New Roman" w:hAnsi="Times New Roman"/>
          <w:sz w:val="24"/>
          <w:szCs w:val="24"/>
        </w:rPr>
        <w:t>3</w:t>
      </w:r>
      <w:r w:rsidRPr="00DB0D78">
        <w:rPr>
          <w:rFonts w:ascii="Times New Roman" w:hAnsi="Times New Roman"/>
          <w:sz w:val="24"/>
          <w:szCs w:val="24"/>
        </w:rPr>
        <w:t>,</w:t>
      </w:r>
      <w:r>
        <w:rPr>
          <w:rFonts w:ascii="Times New Roman" w:hAnsi="Times New Roman"/>
          <w:sz w:val="24"/>
          <w:szCs w:val="24"/>
        </w:rPr>
        <w:t>000</w:t>
      </w:r>
      <w:r w:rsidRPr="00DB0D78">
        <w:rPr>
          <w:rFonts w:ascii="Times New Roman" w:hAnsi="Times New Roman"/>
          <w:sz w:val="24"/>
          <w:szCs w:val="24"/>
        </w:rPr>
        <w:t xml:space="preserve"> operations selected</w:t>
      </w:r>
      <w:r>
        <w:rPr>
          <w:rFonts w:ascii="Times New Roman" w:hAnsi="Times New Roman"/>
          <w:sz w:val="24"/>
          <w:szCs w:val="24"/>
        </w:rPr>
        <w:t>, of which we expect 1,500 to respond.</w:t>
      </w:r>
      <w:r w:rsidRPr="00DB0D78">
        <w:rPr>
          <w:rFonts w:ascii="Times New Roman" w:hAnsi="Times New Roman"/>
          <w:sz w:val="24"/>
          <w:szCs w:val="24"/>
        </w:rPr>
        <w:t xml:space="preserve">  We expect the following size breakout (number of operations) based </w:t>
      </w:r>
      <w:r>
        <w:rPr>
          <w:rFonts w:ascii="Times New Roman" w:hAnsi="Times New Roman"/>
          <w:sz w:val="24"/>
          <w:szCs w:val="24"/>
        </w:rPr>
        <w:t xml:space="preserve">on the size distribution of respondents from </w:t>
      </w:r>
      <w:r w:rsidRPr="00DB0D78">
        <w:rPr>
          <w:rFonts w:ascii="Times New Roman" w:hAnsi="Times New Roman"/>
          <w:sz w:val="24"/>
          <w:szCs w:val="24"/>
        </w:rPr>
        <w:t>Swine 2012:</w:t>
      </w:r>
    </w:p>
    <w:p w14:paraId="50A78103" w14:textId="77777777" w:rsidR="00530401" w:rsidRPr="00DB0D78" w:rsidRDefault="00530401" w:rsidP="00530401">
      <w:pPr>
        <w:pStyle w:val="NoSpacing"/>
        <w:rPr>
          <w:rFonts w:ascii="Times New Roman" w:hAnsi="Times New Roman"/>
          <w:sz w:val="24"/>
          <w:szCs w:val="24"/>
        </w:rPr>
      </w:pPr>
    </w:p>
    <w:p w14:paraId="450D1FBD" w14:textId="77777777" w:rsidR="00530401" w:rsidRPr="00DB0D78" w:rsidRDefault="00530401" w:rsidP="00530401">
      <w:pPr>
        <w:pStyle w:val="NoSpacing"/>
        <w:rPr>
          <w:rFonts w:ascii="Times New Roman" w:hAnsi="Times New Roman"/>
          <w:sz w:val="24"/>
          <w:szCs w:val="24"/>
          <w:u w:val="single"/>
        </w:rPr>
      </w:pPr>
      <w:r w:rsidRPr="00DB0D78">
        <w:rPr>
          <w:rFonts w:ascii="Times New Roman" w:hAnsi="Times New Roman"/>
          <w:sz w:val="24"/>
          <w:szCs w:val="24"/>
          <w:u w:val="single"/>
        </w:rPr>
        <w:t>100</w:t>
      </w:r>
      <w:r>
        <w:rPr>
          <w:rFonts w:ascii="Times New Roman" w:hAnsi="Times New Roman"/>
          <w:sz w:val="24"/>
          <w:szCs w:val="24"/>
          <w:u w:val="single"/>
        </w:rPr>
        <w:t>0</w:t>
      </w:r>
      <w:r w:rsidRPr="00DB0D78">
        <w:rPr>
          <w:rFonts w:ascii="Times New Roman" w:hAnsi="Times New Roman"/>
          <w:sz w:val="24"/>
          <w:szCs w:val="24"/>
          <w:u w:val="single"/>
        </w:rPr>
        <w:t>-1999</w:t>
      </w:r>
      <w:r w:rsidRPr="00DB0D78">
        <w:rPr>
          <w:rFonts w:ascii="Times New Roman" w:hAnsi="Times New Roman"/>
          <w:sz w:val="24"/>
          <w:szCs w:val="24"/>
          <w:u w:val="single"/>
        </w:rPr>
        <w:tab/>
        <w:t>2000-4999</w:t>
      </w:r>
      <w:r w:rsidRPr="00DB0D78">
        <w:rPr>
          <w:rFonts w:ascii="Times New Roman" w:hAnsi="Times New Roman"/>
          <w:sz w:val="24"/>
          <w:szCs w:val="24"/>
          <w:u w:val="single"/>
        </w:rPr>
        <w:tab/>
        <w:t>5000+</w:t>
      </w:r>
      <w:r>
        <w:rPr>
          <w:rFonts w:ascii="Times New Roman" w:hAnsi="Times New Roman"/>
          <w:sz w:val="24"/>
          <w:szCs w:val="24"/>
          <w:u w:val="single"/>
        </w:rPr>
        <w:tab/>
      </w:r>
      <w:r>
        <w:rPr>
          <w:rFonts w:ascii="Times New Roman" w:hAnsi="Times New Roman"/>
          <w:sz w:val="24"/>
          <w:szCs w:val="24"/>
          <w:u w:val="single"/>
        </w:rPr>
        <w:tab/>
        <w:t>Total</w:t>
      </w:r>
    </w:p>
    <w:p w14:paraId="238772B9"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 xml:space="preserve">  </w:t>
      </w:r>
      <w:r>
        <w:rPr>
          <w:rFonts w:ascii="Times New Roman" w:hAnsi="Times New Roman"/>
          <w:sz w:val="24"/>
          <w:szCs w:val="24"/>
        </w:rPr>
        <w:t>420</w:t>
      </w:r>
      <w:r>
        <w:rPr>
          <w:rFonts w:ascii="Times New Roman" w:hAnsi="Times New Roman"/>
          <w:sz w:val="24"/>
          <w:szCs w:val="24"/>
        </w:rPr>
        <w:tab/>
      </w:r>
      <w:r>
        <w:rPr>
          <w:rFonts w:ascii="Times New Roman" w:hAnsi="Times New Roman"/>
          <w:sz w:val="24"/>
          <w:szCs w:val="24"/>
        </w:rPr>
        <w:tab/>
        <w:t>480</w:t>
      </w:r>
      <w:r>
        <w:rPr>
          <w:rFonts w:ascii="Times New Roman" w:hAnsi="Times New Roman"/>
          <w:sz w:val="24"/>
          <w:szCs w:val="24"/>
        </w:rPr>
        <w:tab/>
      </w:r>
      <w:r>
        <w:rPr>
          <w:rFonts w:ascii="Times New Roman" w:hAnsi="Times New Roman"/>
          <w:sz w:val="24"/>
          <w:szCs w:val="24"/>
        </w:rPr>
        <w:tab/>
        <w:t>600</w:t>
      </w:r>
      <w:r>
        <w:rPr>
          <w:rFonts w:ascii="Times New Roman" w:hAnsi="Times New Roman"/>
          <w:sz w:val="24"/>
          <w:szCs w:val="24"/>
        </w:rPr>
        <w:tab/>
      </w:r>
      <w:r>
        <w:rPr>
          <w:rFonts w:ascii="Times New Roman" w:hAnsi="Times New Roman"/>
          <w:sz w:val="24"/>
          <w:szCs w:val="24"/>
        </w:rPr>
        <w:tab/>
        <w:t>1,500</w:t>
      </w:r>
    </w:p>
    <w:p w14:paraId="1E48ED9D" w14:textId="77777777" w:rsidR="00530401" w:rsidRPr="00DB0D78" w:rsidRDefault="00530401" w:rsidP="00530401">
      <w:pPr>
        <w:pStyle w:val="NoSpacing"/>
        <w:rPr>
          <w:rFonts w:ascii="Times New Roman" w:hAnsi="Times New Roman"/>
          <w:sz w:val="24"/>
          <w:szCs w:val="24"/>
        </w:rPr>
      </w:pPr>
    </w:p>
    <w:p w14:paraId="6ED061AB" w14:textId="77777777" w:rsidR="00530401" w:rsidRDefault="00530401" w:rsidP="00530401">
      <w:pPr>
        <w:pStyle w:val="NoSpacing"/>
        <w:rPr>
          <w:rFonts w:ascii="Times New Roman" w:hAnsi="Times New Roman"/>
          <w:sz w:val="24"/>
          <w:szCs w:val="24"/>
        </w:rPr>
      </w:pPr>
      <w:r w:rsidRPr="00DB0D78">
        <w:rPr>
          <w:rFonts w:ascii="Times New Roman" w:hAnsi="Times New Roman"/>
          <w:sz w:val="24"/>
          <w:szCs w:val="24"/>
        </w:rPr>
        <w:t xml:space="preserve">For operation-level </w:t>
      </w:r>
      <w:r w:rsidRPr="007E2CF7">
        <w:rPr>
          <w:rFonts w:ascii="Times New Roman" w:hAnsi="Times New Roman"/>
          <w:sz w:val="24"/>
          <w:szCs w:val="24"/>
        </w:rPr>
        <w:t>respondents</w:t>
      </w:r>
      <w:r w:rsidRPr="00DB0D78">
        <w:rPr>
          <w:rFonts w:ascii="Times New Roman" w:hAnsi="Times New Roman"/>
          <w:sz w:val="24"/>
          <w:szCs w:val="24"/>
        </w:rPr>
        <w:t>, we expect the following site-number distribution, by operation size</w:t>
      </w:r>
    </w:p>
    <w:p w14:paraId="4B3FE1D2" w14:textId="77777777" w:rsidR="00530401" w:rsidRPr="007E2CF7" w:rsidRDefault="00530401" w:rsidP="00530401">
      <w:pPr>
        <w:pStyle w:val="NoSpacing"/>
        <w:rPr>
          <w:rFonts w:ascii="Times New Roman" w:hAnsi="Times New Roman"/>
          <w:sz w:val="24"/>
          <w:szCs w:val="24"/>
        </w:rPr>
      </w:pPr>
    </w:p>
    <w:p w14:paraId="6CC70323" w14:textId="77777777" w:rsidR="00530401" w:rsidRPr="007E2CF7" w:rsidRDefault="00530401" w:rsidP="00530401">
      <w:pPr>
        <w:pStyle w:val="NoSpacing"/>
        <w:rPr>
          <w:rFonts w:ascii="Times New Roman" w:hAnsi="Times New Roman"/>
          <w:sz w:val="24"/>
          <w:szCs w:val="24"/>
        </w:rPr>
      </w:pPr>
      <w:r w:rsidRPr="007E2CF7">
        <w:rPr>
          <w:rFonts w:ascii="Times New Roman" w:hAnsi="Times New Roman"/>
          <w:sz w:val="24"/>
          <w:szCs w:val="24"/>
        </w:rPr>
        <w:t>Expected number of operations by number of sites and by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343"/>
        <w:gridCol w:w="1260"/>
        <w:gridCol w:w="1260"/>
        <w:gridCol w:w="1260"/>
      </w:tblGrid>
      <w:tr w:rsidR="00530401" w:rsidRPr="007E2CF7" w14:paraId="4A942862" w14:textId="77777777" w:rsidTr="005C226F">
        <w:tc>
          <w:tcPr>
            <w:tcW w:w="1915" w:type="dxa"/>
            <w:tcBorders>
              <w:top w:val="single" w:sz="4" w:space="0" w:color="auto"/>
              <w:left w:val="single" w:sz="4" w:space="0" w:color="auto"/>
              <w:bottom w:val="single" w:sz="4" w:space="0" w:color="auto"/>
              <w:right w:val="single" w:sz="4" w:space="0" w:color="auto"/>
            </w:tcBorders>
          </w:tcPr>
          <w:p w14:paraId="29D04B5B" w14:textId="77777777" w:rsidR="00530401" w:rsidRPr="007E2CF7" w:rsidRDefault="00530401" w:rsidP="005C226F">
            <w:pPr>
              <w:pStyle w:val="NoSpacing"/>
              <w:rPr>
                <w:rFonts w:ascii="Times New Roman" w:hAnsi="Times New Roman"/>
                <w:sz w:val="24"/>
                <w:szCs w:val="24"/>
              </w:rPr>
            </w:pPr>
          </w:p>
        </w:tc>
        <w:tc>
          <w:tcPr>
            <w:tcW w:w="3863" w:type="dxa"/>
            <w:gridSpan w:val="3"/>
            <w:tcBorders>
              <w:top w:val="single" w:sz="4" w:space="0" w:color="auto"/>
              <w:left w:val="single" w:sz="4" w:space="0" w:color="auto"/>
              <w:bottom w:val="single" w:sz="4" w:space="0" w:color="auto"/>
              <w:right w:val="single" w:sz="4" w:space="0" w:color="auto"/>
            </w:tcBorders>
            <w:hideMark/>
          </w:tcPr>
          <w:p w14:paraId="36E79C6E"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Operation size (total number of pigs)</w:t>
            </w:r>
          </w:p>
        </w:tc>
        <w:tc>
          <w:tcPr>
            <w:tcW w:w="1260" w:type="dxa"/>
            <w:tcBorders>
              <w:top w:val="single" w:sz="4" w:space="0" w:color="auto"/>
              <w:left w:val="single" w:sz="4" w:space="0" w:color="auto"/>
              <w:bottom w:val="single" w:sz="4" w:space="0" w:color="auto"/>
              <w:right w:val="single" w:sz="4" w:space="0" w:color="auto"/>
            </w:tcBorders>
            <w:hideMark/>
          </w:tcPr>
          <w:p w14:paraId="6E68EE8A"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Total</w:t>
            </w:r>
          </w:p>
        </w:tc>
      </w:tr>
      <w:tr w:rsidR="00530401" w:rsidRPr="007E2CF7" w14:paraId="79453FE3" w14:textId="77777777" w:rsidTr="005C226F">
        <w:tc>
          <w:tcPr>
            <w:tcW w:w="1915" w:type="dxa"/>
            <w:tcBorders>
              <w:top w:val="single" w:sz="4" w:space="0" w:color="auto"/>
              <w:left w:val="single" w:sz="4" w:space="0" w:color="auto"/>
              <w:bottom w:val="single" w:sz="4" w:space="0" w:color="auto"/>
              <w:right w:val="single" w:sz="4" w:space="0" w:color="auto"/>
            </w:tcBorders>
            <w:hideMark/>
          </w:tcPr>
          <w:p w14:paraId="30DE0202"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Number of sites</w:t>
            </w:r>
          </w:p>
        </w:tc>
        <w:tc>
          <w:tcPr>
            <w:tcW w:w="1343" w:type="dxa"/>
            <w:tcBorders>
              <w:top w:val="single" w:sz="4" w:space="0" w:color="auto"/>
              <w:left w:val="single" w:sz="4" w:space="0" w:color="auto"/>
              <w:bottom w:val="single" w:sz="4" w:space="0" w:color="auto"/>
              <w:right w:val="single" w:sz="4" w:space="0" w:color="auto"/>
            </w:tcBorders>
            <w:hideMark/>
          </w:tcPr>
          <w:p w14:paraId="4FFFC85D" w14:textId="77777777" w:rsidR="00530401" w:rsidRPr="007E2CF7" w:rsidRDefault="00530401" w:rsidP="005C226F">
            <w:pPr>
              <w:pStyle w:val="NoSpacing"/>
              <w:jc w:val="center"/>
              <w:rPr>
                <w:rFonts w:ascii="Times New Roman" w:hAnsi="Times New Roman"/>
                <w:sz w:val="24"/>
                <w:szCs w:val="24"/>
              </w:rPr>
            </w:pPr>
            <w:r w:rsidRPr="007E2CF7">
              <w:rPr>
                <w:rFonts w:ascii="Times New Roman" w:hAnsi="Times New Roman"/>
                <w:sz w:val="24"/>
                <w:szCs w:val="24"/>
              </w:rPr>
              <w:t>1000-1999</w:t>
            </w:r>
          </w:p>
        </w:tc>
        <w:tc>
          <w:tcPr>
            <w:tcW w:w="1260" w:type="dxa"/>
            <w:tcBorders>
              <w:top w:val="single" w:sz="4" w:space="0" w:color="auto"/>
              <w:left w:val="single" w:sz="4" w:space="0" w:color="auto"/>
              <w:bottom w:val="single" w:sz="4" w:space="0" w:color="auto"/>
              <w:right w:val="single" w:sz="4" w:space="0" w:color="auto"/>
            </w:tcBorders>
            <w:hideMark/>
          </w:tcPr>
          <w:p w14:paraId="22B6761F" w14:textId="77777777" w:rsidR="00530401" w:rsidRPr="007E2CF7" w:rsidRDefault="00530401" w:rsidP="005C226F">
            <w:pPr>
              <w:pStyle w:val="NoSpacing"/>
              <w:jc w:val="center"/>
              <w:rPr>
                <w:rFonts w:ascii="Times New Roman" w:hAnsi="Times New Roman"/>
                <w:sz w:val="24"/>
                <w:szCs w:val="24"/>
              </w:rPr>
            </w:pPr>
            <w:r w:rsidRPr="007E2CF7">
              <w:rPr>
                <w:rFonts w:ascii="Times New Roman" w:hAnsi="Times New Roman"/>
                <w:sz w:val="24"/>
                <w:szCs w:val="24"/>
              </w:rPr>
              <w:t>2000-4999</w:t>
            </w:r>
          </w:p>
        </w:tc>
        <w:tc>
          <w:tcPr>
            <w:tcW w:w="1260" w:type="dxa"/>
            <w:tcBorders>
              <w:top w:val="single" w:sz="4" w:space="0" w:color="auto"/>
              <w:left w:val="single" w:sz="4" w:space="0" w:color="auto"/>
              <w:bottom w:val="single" w:sz="4" w:space="0" w:color="auto"/>
              <w:right w:val="single" w:sz="4" w:space="0" w:color="auto"/>
            </w:tcBorders>
            <w:hideMark/>
          </w:tcPr>
          <w:p w14:paraId="4CDE5109" w14:textId="77777777" w:rsidR="00530401" w:rsidRPr="007E2CF7" w:rsidRDefault="00530401" w:rsidP="005C226F">
            <w:pPr>
              <w:pStyle w:val="NoSpacing"/>
              <w:jc w:val="center"/>
              <w:rPr>
                <w:rFonts w:ascii="Times New Roman" w:hAnsi="Times New Roman"/>
                <w:sz w:val="24"/>
                <w:szCs w:val="24"/>
              </w:rPr>
            </w:pPr>
            <w:r w:rsidRPr="007E2CF7">
              <w:rPr>
                <w:rFonts w:ascii="Times New Roman" w:hAnsi="Times New Roman"/>
                <w:sz w:val="24"/>
                <w:szCs w:val="24"/>
              </w:rPr>
              <w:t>5000+</w:t>
            </w:r>
          </w:p>
        </w:tc>
        <w:tc>
          <w:tcPr>
            <w:tcW w:w="1260" w:type="dxa"/>
            <w:tcBorders>
              <w:top w:val="single" w:sz="4" w:space="0" w:color="auto"/>
              <w:left w:val="single" w:sz="4" w:space="0" w:color="auto"/>
              <w:bottom w:val="single" w:sz="4" w:space="0" w:color="auto"/>
              <w:right w:val="single" w:sz="4" w:space="0" w:color="auto"/>
            </w:tcBorders>
          </w:tcPr>
          <w:p w14:paraId="07D7B4F1" w14:textId="77777777" w:rsidR="00530401" w:rsidRPr="007E2CF7" w:rsidRDefault="00530401" w:rsidP="005C226F">
            <w:pPr>
              <w:pStyle w:val="NoSpacing"/>
              <w:jc w:val="center"/>
              <w:rPr>
                <w:rFonts w:ascii="Times New Roman" w:hAnsi="Times New Roman"/>
                <w:sz w:val="24"/>
                <w:szCs w:val="24"/>
              </w:rPr>
            </w:pPr>
          </w:p>
        </w:tc>
      </w:tr>
      <w:tr w:rsidR="00530401" w:rsidRPr="007E2CF7" w14:paraId="1FFBE3F9" w14:textId="77777777" w:rsidTr="005C226F">
        <w:tc>
          <w:tcPr>
            <w:tcW w:w="1915" w:type="dxa"/>
            <w:tcBorders>
              <w:top w:val="single" w:sz="4" w:space="0" w:color="auto"/>
              <w:left w:val="single" w:sz="4" w:space="0" w:color="auto"/>
              <w:bottom w:val="single" w:sz="4" w:space="0" w:color="auto"/>
              <w:right w:val="single" w:sz="4" w:space="0" w:color="auto"/>
            </w:tcBorders>
            <w:hideMark/>
          </w:tcPr>
          <w:p w14:paraId="70B0EC76"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1</w:t>
            </w:r>
          </w:p>
        </w:tc>
        <w:tc>
          <w:tcPr>
            <w:tcW w:w="1343" w:type="dxa"/>
            <w:tcBorders>
              <w:top w:val="single" w:sz="4" w:space="0" w:color="auto"/>
              <w:left w:val="single" w:sz="4" w:space="0" w:color="auto"/>
              <w:bottom w:val="single" w:sz="4" w:space="0" w:color="auto"/>
              <w:right w:val="single" w:sz="4" w:space="0" w:color="auto"/>
            </w:tcBorders>
          </w:tcPr>
          <w:p w14:paraId="4E6C5497"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305</w:t>
            </w:r>
          </w:p>
        </w:tc>
        <w:tc>
          <w:tcPr>
            <w:tcW w:w="1260" w:type="dxa"/>
            <w:tcBorders>
              <w:top w:val="single" w:sz="4" w:space="0" w:color="auto"/>
              <w:left w:val="single" w:sz="4" w:space="0" w:color="auto"/>
              <w:bottom w:val="single" w:sz="4" w:space="0" w:color="auto"/>
              <w:right w:val="single" w:sz="4" w:space="0" w:color="auto"/>
            </w:tcBorders>
          </w:tcPr>
          <w:p w14:paraId="2CF60A16"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276</w:t>
            </w:r>
          </w:p>
        </w:tc>
        <w:tc>
          <w:tcPr>
            <w:tcW w:w="1260" w:type="dxa"/>
            <w:tcBorders>
              <w:top w:val="single" w:sz="4" w:space="0" w:color="auto"/>
              <w:left w:val="single" w:sz="4" w:space="0" w:color="auto"/>
              <w:bottom w:val="single" w:sz="4" w:space="0" w:color="auto"/>
              <w:right w:val="single" w:sz="4" w:space="0" w:color="auto"/>
            </w:tcBorders>
          </w:tcPr>
          <w:p w14:paraId="75EDB0AD"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84</w:t>
            </w:r>
          </w:p>
        </w:tc>
        <w:tc>
          <w:tcPr>
            <w:tcW w:w="1260" w:type="dxa"/>
            <w:tcBorders>
              <w:top w:val="single" w:sz="4" w:space="0" w:color="auto"/>
              <w:left w:val="single" w:sz="4" w:space="0" w:color="auto"/>
              <w:bottom w:val="single" w:sz="4" w:space="0" w:color="auto"/>
              <w:right w:val="single" w:sz="4" w:space="0" w:color="auto"/>
            </w:tcBorders>
          </w:tcPr>
          <w:p w14:paraId="3A9FD003"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665</w:t>
            </w:r>
          </w:p>
        </w:tc>
      </w:tr>
      <w:tr w:rsidR="00530401" w:rsidRPr="007E2CF7" w14:paraId="10318A03" w14:textId="77777777" w:rsidTr="005C226F">
        <w:tc>
          <w:tcPr>
            <w:tcW w:w="1915" w:type="dxa"/>
            <w:tcBorders>
              <w:top w:val="single" w:sz="4" w:space="0" w:color="auto"/>
              <w:left w:val="single" w:sz="4" w:space="0" w:color="auto"/>
              <w:bottom w:val="single" w:sz="4" w:space="0" w:color="auto"/>
              <w:right w:val="single" w:sz="4" w:space="0" w:color="auto"/>
            </w:tcBorders>
            <w:hideMark/>
          </w:tcPr>
          <w:p w14:paraId="1D659BFB"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2-19</w:t>
            </w:r>
          </w:p>
        </w:tc>
        <w:tc>
          <w:tcPr>
            <w:tcW w:w="1343" w:type="dxa"/>
            <w:tcBorders>
              <w:top w:val="single" w:sz="4" w:space="0" w:color="auto"/>
              <w:left w:val="single" w:sz="4" w:space="0" w:color="auto"/>
              <w:bottom w:val="single" w:sz="4" w:space="0" w:color="auto"/>
              <w:right w:val="single" w:sz="4" w:space="0" w:color="auto"/>
            </w:tcBorders>
          </w:tcPr>
          <w:p w14:paraId="5E1D9B76"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115</w:t>
            </w:r>
          </w:p>
        </w:tc>
        <w:tc>
          <w:tcPr>
            <w:tcW w:w="1260" w:type="dxa"/>
            <w:tcBorders>
              <w:top w:val="single" w:sz="4" w:space="0" w:color="auto"/>
              <w:left w:val="single" w:sz="4" w:space="0" w:color="auto"/>
              <w:bottom w:val="single" w:sz="4" w:space="0" w:color="auto"/>
              <w:right w:val="single" w:sz="4" w:space="0" w:color="auto"/>
            </w:tcBorders>
          </w:tcPr>
          <w:p w14:paraId="30E1EF4F"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204</w:t>
            </w:r>
          </w:p>
        </w:tc>
        <w:tc>
          <w:tcPr>
            <w:tcW w:w="1260" w:type="dxa"/>
            <w:tcBorders>
              <w:top w:val="single" w:sz="4" w:space="0" w:color="auto"/>
              <w:left w:val="single" w:sz="4" w:space="0" w:color="auto"/>
              <w:bottom w:val="single" w:sz="4" w:space="0" w:color="auto"/>
              <w:right w:val="single" w:sz="4" w:space="0" w:color="auto"/>
            </w:tcBorders>
          </w:tcPr>
          <w:p w14:paraId="66A683B0"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325</w:t>
            </w:r>
          </w:p>
        </w:tc>
        <w:tc>
          <w:tcPr>
            <w:tcW w:w="1260" w:type="dxa"/>
            <w:tcBorders>
              <w:top w:val="single" w:sz="4" w:space="0" w:color="auto"/>
              <w:left w:val="single" w:sz="4" w:space="0" w:color="auto"/>
              <w:bottom w:val="single" w:sz="4" w:space="0" w:color="auto"/>
              <w:right w:val="single" w:sz="4" w:space="0" w:color="auto"/>
            </w:tcBorders>
          </w:tcPr>
          <w:p w14:paraId="1D16D68C"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644</w:t>
            </w:r>
          </w:p>
        </w:tc>
      </w:tr>
      <w:tr w:rsidR="00530401" w:rsidRPr="007E2CF7" w14:paraId="1D73B9D0" w14:textId="77777777" w:rsidTr="005C226F">
        <w:tc>
          <w:tcPr>
            <w:tcW w:w="1915" w:type="dxa"/>
            <w:tcBorders>
              <w:top w:val="single" w:sz="4" w:space="0" w:color="auto"/>
              <w:left w:val="single" w:sz="4" w:space="0" w:color="auto"/>
              <w:bottom w:val="single" w:sz="4" w:space="0" w:color="auto"/>
              <w:right w:val="single" w:sz="4" w:space="0" w:color="auto"/>
            </w:tcBorders>
            <w:hideMark/>
          </w:tcPr>
          <w:p w14:paraId="57883DB3"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20-49</w:t>
            </w:r>
          </w:p>
        </w:tc>
        <w:tc>
          <w:tcPr>
            <w:tcW w:w="1343" w:type="dxa"/>
            <w:tcBorders>
              <w:top w:val="single" w:sz="4" w:space="0" w:color="auto"/>
              <w:left w:val="single" w:sz="4" w:space="0" w:color="auto"/>
              <w:bottom w:val="single" w:sz="4" w:space="0" w:color="auto"/>
              <w:right w:val="single" w:sz="4" w:space="0" w:color="auto"/>
            </w:tcBorders>
          </w:tcPr>
          <w:p w14:paraId="20B3E71A"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30B59994"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41D18108"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129</w:t>
            </w:r>
          </w:p>
        </w:tc>
        <w:tc>
          <w:tcPr>
            <w:tcW w:w="1260" w:type="dxa"/>
            <w:tcBorders>
              <w:top w:val="single" w:sz="4" w:space="0" w:color="auto"/>
              <w:left w:val="single" w:sz="4" w:space="0" w:color="auto"/>
              <w:bottom w:val="single" w:sz="4" w:space="0" w:color="auto"/>
              <w:right w:val="single" w:sz="4" w:space="0" w:color="auto"/>
            </w:tcBorders>
          </w:tcPr>
          <w:p w14:paraId="1D4FE793"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129</w:t>
            </w:r>
          </w:p>
        </w:tc>
      </w:tr>
      <w:tr w:rsidR="00530401" w:rsidRPr="007E2CF7" w14:paraId="63ABC43F" w14:textId="77777777" w:rsidTr="005C226F">
        <w:tc>
          <w:tcPr>
            <w:tcW w:w="1915" w:type="dxa"/>
            <w:tcBorders>
              <w:top w:val="single" w:sz="4" w:space="0" w:color="auto"/>
              <w:left w:val="single" w:sz="4" w:space="0" w:color="auto"/>
              <w:bottom w:val="single" w:sz="4" w:space="0" w:color="auto"/>
              <w:right w:val="single" w:sz="4" w:space="0" w:color="auto"/>
            </w:tcBorders>
            <w:hideMark/>
          </w:tcPr>
          <w:p w14:paraId="7BAC1802"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50+</w:t>
            </w:r>
          </w:p>
        </w:tc>
        <w:tc>
          <w:tcPr>
            <w:tcW w:w="1343" w:type="dxa"/>
            <w:tcBorders>
              <w:top w:val="single" w:sz="4" w:space="0" w:color="auto"/>
              <w:left w:val="single" w:sz="4" w:space="0" w:color="auto"/>
              <w:bottom w:val="single" w:sz="4" w:space="0" w:color="auto"/>
              <w:right w:val="single" w:sz="4" w:space="0" w:color="auto"/>
            </w:tcBorders>
          </w:tcPr>
          <w:p w14:paraId="1421EE74"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74C59701"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5B3EEA69"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62</w:t>
            </w:r>
          </w:p>
        </w:tc>
        <w:tc>
          <w:tcPr>
            <w:tcW w:w="1260" w:type="dxa"/>
            <w:tcBorders>
              <w:top w:val="single" w:sz="4" w:space="0" w:color="auto"/>
              <w:left w:val="single" w:sz="4" w:space="0" w:color="auto"/>
              <w:bottom w:val="single" w:sz="4" w:space="0" w:color="auto"/>
              <w:right w:val="single" w:sz="4" w:space="0" w:color="auto"/>
            </w:tcBorders>
          </w:tcPr>
          <w:p w14:paraId="17B3B176"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62</w:t>
            </w:r>
          </w:p>
        </w:tc>
      </w:tr>
      <w:tr w:rsidR="00530401" w:rsidRPr="007E2CF7" w14:paraId="426412EF" w14:textId="77777777" w:rsidTr="005C226F">
        <w:tc>
          <w:tcPr>
            <w:tcW w:w="1915" w:type="dxa"/>
            <w:tcBorders>
              <w:top w:val="single" w:sz="4" w:space="0" w:color="auto"/>
              <w:left w:val="single" w:sz="4" w:space="0" w:color="auto"/>
              <w:bottom w:val="single" w:sz="4" w:space="0" w:color="auto"/>
              <w:right w:val="single" w:sz="4" w:space="0" w:color="auto"/>
            </w:tcBorders>
            <w:hideMark/>
          </w:tcPr>
          <w:p w14:paraId="4F94908F" w14:textId="77777777" w:rsidR="00530401" w:rsidRPr="007E2CF7" w:rsidRDefault="00530401" w:rsidP="005C226F">
            <w:pPr>
              <w:pStyle w:val="NoSpacing"/>
              <w:rPr>
                <w:rFonts w:ascii="Times New Roman" w:hAnsi="Times New Roman"/>
                <w:sz w:val="24"/>
                <w:szCs w:val="24"/>
              </w:rPr>
            </w:pPr>
            <w:r w:rsidRPr="007E2CF7">
              <w:rPr>
                <w:rFonts w:ascii="Times New Roman" w:hAnsi="Times New Roman"/>
                <w:sz w:val="24"/>
                <w:szCs w:val="24"/>
              </w:rPr>
              <w:t>Total</w:t>
            </w:r>
          </w:p>
        </w:tc>
        <w:tc>
          <w:tcPr>
            <w:tcW w:w="1343" w:type="dxa"/>
            <w:tcBorders>
              <w:top w:val="single" w:sz="4" w:space="0" w:color="auto"/>
              <w:left w:val="single" w:sz="4" w:space="0" w:color="auto"/>
              <w:bottom w:val="single" w:sz="4" w:space="0" w:color="auto"/>
              <w:right w:val="single" w:sz="4" w:space="0" w:color="auto"/>
            </w:tcBorders>
          </w:tcPr>
          <w:p w14:paraId="117A9877"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420</w:t>
            </w:r>
          </w:p>
        </w:tc>
        <w:tc>
          <w:tcPr>
            <w:tcW w:w="1260" w:type="dxa"/>
            <w:tcBorders>
              <w:top w:val="single" w:sz="4" w:space="0" w:color="auto"/>
              <w:left w:val="single" w:sz="4" w:space="0" w:color="auto"/>
              <w:bottom w:val="single" w:sz="4" w:space="0" w:color="auto"/>
              <w:right w:val="single" w:sz="4" w:space="0" w:color="auto"/>
            </w:tcBorders>
          </w:tcPr>
          <w:p w14:paraId="2737D0E4"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480</w:t>
            </w:r>
          </w:p>
        </w:tc>
        <w:tc>
          <w:tcPr>
            <w:tcW w:w="1260" w:type="dxa"/>
            <w:tcBorders>
              <w:top w:val="single" w:sz="4" w:space="0" w:color="auto"/>
              <w:left w:val="single" w:sz="4" w:space="0" w:color="auto"/>
              <w:bottom w:val="single" w:sz="4" w:space="0" w:color="auto"/>
              <w:right w:val="single" w:sz="4" w:space="0" w:color="auto"/>
            </w:tcBorders>
          </w:tcPr>
          <w:p w14:paraId="2355957E" w14:textId="77777777" w:rsidR="00530401" w:rsidRPr="007E2CF7" w:rsidRDefault="00530401" w:rsidP="005C226F">
            <w:pPr>
              <w:pStyle w:val="NoSpacing"/>
              <w:jc w:val="center"/>
              <w:rPr>
                <w:rFonts w:ascii="Times New Roman" w:hAnsi="Times New Roman"/>
                <w:sz w:val="24"/>
                <w:szCs w:val="24"/>
              </w:rPr>
            </w:pPr>
            <w:r>
              <w:rPr>
                <w:rFonts w:ascii="Times New Roman" w:hAnsi="Times New Roman"/>
                <w:sz w:val="24"/>
                <w:szCs w:val="24"/>
              </w:rPr>
              <w:t>600</w:t>
            </w:r>
          </w:p>
        </w:tc>
        <w:tc>
          <w:tcPr>
            <w:tcW w:w="1260" w:type="dxa"/>
            <w:tcBorders>
              <w:top w:val="single" w:sz="4" w:space="0" w:color="auto"/>
              <w:left w:val="single" w:sz="4" w:space="0" w:color="auto"/>
              <w:bottom w:val="single" w:sz="4" w:space="0" w:color="auto"/>
              <w:right w:val="single" w:sz="4" w:space="0" w:color="auto"/>
            </w:tcBorders>
          </w:tcPr>
          <w:p w14:paraId="2554D45F" w14:textId="77777777" w:rsidR="00530401" w:rsidRPr="007E2CF7" w:rsidRDefault="00530401" w:rsidP="005C226F">
            <w:pPr>
              <w:pStyle w:val="NoSpacing"/>
              <w:jc w:val="center"/>
              <w:rPr>
                <w:rFonts w:ascii="Times New Roman" w:hAnsi="Times New Roman"/>
                <w:b/>
                <w:sz w:val="24"/>
                <w:szCs w:val="24"/>
              </w:rPr>
            </w:pPr>
            <w:r>
              <w:rPr>
                <w:rFonts w:ascii="Times New Roman" w:hAnsi="Times New Roman"/>
                <w:b/>
                <w:sz w:val="24"/>
                <w:szCs w:val="24"/>
              </w:rPr>
              <w:t>1,500</w:t>
            </w:r>
          </w:p>
        </w:tc>
      </w:tr>
    </w:tbl>
    <w:p w14:paraId="14372D2C" w14:textId="77777777" w:rsidR="00530401" w:rsidRPr="00DB0D78" w:rsidRDefault="00530401" w:rsidP="00530401">
      <w:pPr>
        <w:pStyle w:val="NoSpacing"/>
        <w:rPr>
          <w:rFonts w:ascii="Times New Roman" w:hAnsi="Times New Roman"/>
        </w:rPr>
      </w:pPr>
      <w:r w:rsidRPr="00DB0D78">
        <w:rPr>
          <w:rFonts w:ascii="Times New Roman" w:hAnsi="Times New Roman"/>
        </w:rPr>
        <w:t>This table includes sites with sows only, so slightly overestimates the number of sites per operation</w:t>
      </w:r>
      <w:r>
        <w:rPr>
          <w:rFonts w:ascii="Times New Roman" w:hAnsi="Times New Roman"/>
        </w:rPr>
        <w:t xml:space="preserve">. </w:t>
      </w:r>
      <w:r w:rsidRPr="00DB0D78">
        <w:rPr>
          <w:rFonts w:ascii="Times New Roman" w:hAnsi="Times New Roman"/>
        </w:rPr>
        <w:t xml:space="preserve"> </w:t>
      </w:r>
    </w:p>
    <w:p w14:paraId="23CCBC5D" w14:textId="77777777" w:rsidR="00530401" w:rsidRPr="00DB0D78" w:rsidRDefault="00530401" w:rsidP="00530401">
      <w:pPr>
        <w:pStyle w:val="NoSpacing"/>
        <w:rPr>
          <w:rFonts w:ascii="Times New Roman" w:hAnsi="Times New Roman"/>
          <w:sz w:val="24"/>
          <w:szCs w:val="24"/>
        </w:rPr>
      </w:pPr>
    </w:p>
    <w:p w14:paraId="00630B4A"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Our site-selection scheme instructs the following:</w:t>
      </w:r>
    </w:p>
    <w:p w14:paraId="72B4BEA4"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 xml:space="preserve">For operations with </w:t>
      </w:r>
      <w:r w:rsidRPr="00DB0D78">
        <w:rPr>
          <w:rFonts w:ascii="Times New Roman" w:hAnsi="Times New Roman"/>
          <w:sz w:val="24"/>
          <w:szCs w:val="24"/>
        </w:rPr>
        <w:tab/>
        <w:t xml:space="preserve">1 site, </w:t>
      </w:r>
      <w:r w:rsidRPr="00DB0D78">
        <w:rPr>
          <w:rFonts w:ascii="Times New Roman" w:hAnsi="Times New Roman"/>
          <w:sz w:val="24"/>
          <w:szCs w:val="24"/>
        </w:rPr>
        <w:tab/>
      </w:r>
      <w:r w:rsidRPr="00DB0D78">
        <w:rPr>
          <w:rFonts w:ascii="Times New Roman" w:hAnsi="Times New Roman"/>
          <w:sz w:val="24"/>
          <w:szCs w:val="24"/>
        </w:rPr>
        <w:tab/>
        <w:t>select 1 site</w:t>
      </w:r>
    </w:p>
    <w:p w14:paraId="1B029297"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ab/>
      </w:r>
      <w:r w:rsidRPr="00DB0D78">
        <w:rPr>
          <w:rFonts w:ascii="Times New Roman" w:hAnsi="Times New Roman"/>
          <w:sz w:val="24"/>
          <w:szCs w:val="24"/>
        </w:rPr>
        <w:tab/>
      </w:r>
      <w:r w:rsidRPr="00DB0D78">
        <w:rPr>
          <w:rFonts w:ascii="Times New Roman" w:hAnsi="Times New Roman"/>
          <w:sz w:val="24"/>
          <w:szCs w:val="24"/>
        </w:rPr>
        <w:tab/>
        <w:t>2-19 sites</w:t>
      </w:r>
      <w:r w:rsidRPr="00DB0D78">
        <w:rPr>
          <w:rFonts w:ascii="Times New Roman" w:hAnsi="Times New Roman"/>
          <w:sz w:val="24"/>
          <w:szCs w:val="24"/>
        </w:rPr>
        <w:tab/>
        <w:t xml:space="preserve">select </w:t>
      </w:r>
      <w:r>
        <w:rPr>
          <w:rFonts w:ascii="Times New Roman" w:hAnsi="Times New Roman"/>
          <w:sz w:val="24"/>
          <w:szCs w:val="24"/>
        </w:rPr>
        <w:t>2</w:t>
      </w:r>
      <w:r w:rsidRPr="00DB0D78">
        <w:rPr>
          <w:rFonts w:ascii="Times New Roman" w:hAnsi="Times New Roman"/>
          <w:sz w:val="24"/>
          <w:szCs w:val="24"/>
        </w:rPr>
        <w:t xml:space="preserve"> sites</w:t>
      </w:r>
    </w:p>
    <w:p w14:paraId="4CBE7A34"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ab/>
      </w:r>
      <w:r w:rsidRPr="00DB0D78">
        <w:rPr>
          <w:rFonts w:ascii="Times New Roman" w:hAnsi="Times New Roman"/>
          <w:sz w:val="24"/>
          <w:szCs w:val="24"/>
        </w:rPr>
        <w:tab/>
      </w:r>
      <w:r w:rsidRPr="00DB0D78">
        <w:rPr>
          <w:rFonts w:ascii="Times New Roman" w:hAnsi="Times New Roman"/>
          <w:sz w:val="24"/>
          <w:szCs w:val="24"/>
        </w:rPr>
        <w:tab/>
        <w:t>20-49 sites</w:t>
      </w:r>
      <w:r w:rsidRPr="00DB0D78">
        <w:rPr>
          <w:rFonts w:ascii="Times New Roman" w:hAnsi="Times New Roman"/>
          <w:sz w:val="24"/>
          <w:szCs w:val="24"/>
        </w:rPr>
        <w:tab/>
        <w:t xml:space="preserve">select </w:t>
      </w:r>
      <w:r>
        <w:rPr>
          <w:rFonts w:ascii="Times New Roman" w:hAnsi="Times New Roman"/>
          <w:sz w:val="24"/>
          <w:szCs w:val="24"/>
        </w:rPr>
        <w:t>7</w:t>
      </w:r>
      <w:r w:rsidRPr="00DB0D78">
        <w:rPr>
          <w:rFonts w:ascii="Times New Roman" w:hAnsi="Times New Roman"/>
          <w:sz w:val="24"/>
          <w:szCs w:val="24"/>
        </w:rPr>
        <w:t xml:space="preserve"> sites</w:t>
      </w:r>
    </w:p>
    <w:p w14:paraId="42630471" w14:textId="77777777" w:rsidR="00530401" w:rsidRPr="00DB0D78" w:rsidRDefault="00530401" w:rsidP="00530401">
      <w:pPr>
        <w:pStyle w:val="NoSpacing"/>
        <w:rPr>
          <w:rFonts w:ascii="Times New Roman" w:hAnsi="Times New Roman"/>
          <w:sz w:val="24"/>
          <w:szCs w:val="24"/>
        </w:rPr>
      </w:pPr>
      <w:r w:rsidRPr="00DB0D78">
        <w:rPr>
          <w:rFonts w:ascii="Times New Roman" w:hAnsi="Times New Roman"/>
          <w:sz w:val="24"/>
          <w:szCs w:val="24"/>
        </w:rPr>
        <w:tab/>
      </w:r>
      <w:r w:rsidRPr="00DB0D78">
        <w:rPr>
          <w:rFonts w:ascii="Times New Roman" w:hAnsi="Times New Roman"/>
          <w:sz w:val="24"/>
          <w:szCs w:val="24"/>
        </w:rPr>
        <w:tab/>
      </w:r>
      <w:r w:rsidRPr="00DB0D78">
        <w:rPr>
          <w:rFonts w:ascii="Times New Roman" w:hAnsi="Times New Roman"/>
          <w:sz w:val="24"/>
          <w:szCs w:val="24"/>
        </w:rPr>
        <w:tab/>
        <w:t>50+ sites</w:t>
      </w:r>
      <w:r w:rsidRPr="00DB0D78">
        <w:rPr>
          <w:rFonts w:ascii="Times New Roman" w:hAnsi="Times New Roman"/>
          <w:sz w:val="24"/>
          <w:szCs w:val="24"/>
        </w:rPr>
        <w:tab/>
        <w:t xml:space="preserve">select </w:t>
      </w:r>
      <w:r>
        <w:rPr>
          <w:rFonts w:ascii="Times New Roman" w:hAnsi="Times New Roman"/>
          <w:sz w:val="24"/>
          <w:szCs w:val="24"/>
        </w:rPr>
        <w:t>15</w:t>
      </w:r>
      <w:r w:rsidRPr="00DB0D78">
        <w:rPr>
          <w:rFonts w:ascii="Times New Roman" w:hAnsi="Times New Roman"/>
          <w:sz w:val="24"/>
          <w:szCs w:val="24"/>
        </w:rPr>
        <w:t xml:space="preserve"> sites</w:t>
      </w:r>
    </w:p>
    <w:p w14:paraId="6BAE3DF0" w14:textId="77777777" w:rsidR="00530401" w:rsidRPr="00DB0D78" w:rsidRDefault="00530401" w:rsidP="00530401">
      <w:pPr>
        <w:pStyle w:val="NoSpacing"/>
        <w:rPr>
          <w:rFonts w:ascii="Times New Roman" w:hAnsi="Times New Roman"/>
          <w:sz w:val="24"/>
          <w:szCs w:val="24"/>
        </w:rPr>
      </w:pPr>
    </w:p>
    <w:p w14:paraId="168B06B1" w14:textId="77777777" w:rsidR="00530401" w:rsidRPr="007E2CF7" w:rsidRDefault="00530401" w:rsidP="00530401">
      <w:pPr>
        <w:pStyle w:val="NoSpacing"/>
        <w:rPr>
          <w:rFonts w:ascii="Times New Roman" w:hAnsi="Times New Roman"/>
          <w:sz w:val="24"/>
          <w:szCs w:val="24"/>
        </w:rPr>
      </w:pPr>
      <w:r w:rsidRPr="00DB0D78">
        <w:rPr>
          <w:rFonts w:ascii="Times New Roman" w:hAnsi="Times New Roman"/>
          <w:sz w:val="24"/>
          <w:szCs w:val="24"/>
        </w:rPr>
        <w:t>Therefore, we expect the following number of site visits:</w:t>
      </w:r>
      <w:r w:rsidRPr="00DB0D78">
        <w:rPr>
          <w:rFonts w:ascii="Times New Roman" w:hAnsi="Times New Roman"/>
          <w:sz w:val="24"/>
          <w:szCs w:val="24"/>
        </w:rPr>
        <w:br/>
      </w:r>
      <w:r w:rsidRPr="007E2CF7">
        <w:rPr>
          <w:rFonts w:ascii="Times New Roman" w:hAnsi="Times New Roman"/>
          <w:sz w:val="24"/>
          <w:szCs w:val="24"/>
        </w:rPr>
        <w:t>(</w:t>
      </w:r>
      <w:r>
        <w:rPr>
          <w:rFonts w:ascii="Times New Roman" w:hAnsi="Times New Roman"/>
          <w:sz w:val="24"/>
          <w:szCs w:val="24"/>
        </w:rPr>
        <w:t>665</w:t>
      </w:r>
      <w:r w:rsidRPr="007E2CF7">
        <w:rPr>
          <w:rFonts w:ascii="Times New Roman" w:hAnsi="Times New Roman"/>
          <w:sz w:val="24"/>
          <w:szCs w:val="24"/>
        </w:rPr>
        <w:t>*1) + (</w:t>
      </w:r>
      <w:r>
        <w:rPr>
          <w:rFonts w:ascii="Times New Roman" w:hAnsi="Times New Roman"/>
          <w:sz w:val="24"/>
          <w:szCs w:val="24"/>
        </w:rPr>
        <w:t>644</w:t>
      </w:r>
      <w:r w:rsidRPr="007E2CF7">
        <w:rPr>
          <w:rFonts w:ascii="Times New Roman" w:hAnsi="Times New Roman"/>
          <w:sz w:val="24"/>
          <w:szCs w:val="24"/>
        </w:rPr>
        <w:t>*2) + (</w:t>
      </w:r>
      <w:r>
        <w:rPr>
          <w:rFonts w:ascii="Times New Roman" w:hAnsi="Times New Roman"/>
          <w:sz w:val="24"/>
          <w:szCs w:val="24"/>
        </w:rPr>
        <w:t>129</w:t>
      </w:r>
      <w:r w:rsidRPr="007E2CF7">
        <w:rPr>
          <w:rFonts w:ascii="Times New Roman" w:hAnsi="Times New Roman"/>
          <w:sz w:val="24"/>
          <w:szCs w:val="24"/>
        </w:rPr>
        <w:t>*7) + (</w:t>
      </w:r>
      <w:r>
        <w:rPr>
          <w:rFonts w:ascii="Times New Roman" w:hAnsi="Times New Roman"/>
          <w:sz w:val="24"/>
          <w:szCs w:val="24"/>
        </w:rPr>
        <w:t>62</w:t>
      </w:r>
      <w:r w:rsidRPr="007E2CF7">
        <w:rPr>
          <w:rFonts w:ascii="Times New Roman" w:hAnsi="Times New Roman"/>
          <w:sz w:val="24"/>
          <w:szCs w:val="24"/>
        </w:rPr>
        <w:t xml:space="preserve">*15) = </w:t>
      </w:r>
      <w:r>
        <w:rPr>
          <w:rFonts w:ascii="Times New Roman" w:hAnsi="Times New Roman"/>
          <w:sz w:val="24"/>
          <w:szCs w:val="24"/>
        </w:rPr>
        <w:t>3,786</w:t>
      </w:r>
    </w:p>
    <w:p w14:paraId="6E8C7A5B" w14:textId="77777777" w:rsidR="00530401" w:rsidRPr="007E2CF7" w:rsidRDefault="00530401" w:rsidP="00530401">
      <w:pPr>
        <w:pStyle w:val="NoSpacing"/>
        <w:rPr>
          <w:rFonts w:ascii="Times New Roman" w:hAnsi="Times New Roman"/>
          <w:sz w:val="24"/>
          <w:szCs w:val="24"/>
        </w:rPr>
      </w:pPr>
    </w:p>
    <w:p w14:paraId="1E3EEEE5" w14:textId="77777777" w:rsidR="009157BC" w:rsidRPr="00AB358E" w:rsidRDefault="009157BC" w:rsidP="00AB358E">
      <w:pPr>
        <w:autoSpaceDE w:val="0"/>
        <w:autoSpaceDN w:val="0"/>
        <w:adjustRightInd w:val="0"/>
        <w:rPr>
          <w:color w:val="000000"/>
        </w:rPr>
      </w:pPr>
    </w:p>
    <w:sectPr w:rsidR="009157BC" w:rsidRPr="00AB358E" w:rsidSect="00FB4D48">
      <w:footerReference w:type="even" r:id="rId11"/>
      <w:footerReference w:type="default" r:id="rId12"/>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1170" w14:textId="77777777" w:rsidR="00FD32F3" w:rsidRDefault="00FD32F3">
      <w:r>
        <w:separator/>
      </w:r>
    </w:p>
  </w:endnote>
  <w:endnote w:type="continuationSeparator" w:id="0">
    <w:p w14:paraId="009240C1" w14:textId="77777777" w:rsidR="00FD32F3" w:rsidRDefault="00FD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DA97" w14:textId="77777777" w:rsidR="007575DB" w:rsidRDefault="007575D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BC81F" w14:textId="77777777" w:rsidR="007575DB" w:rsidRDefault="00757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F29E" w14:textId="77777777" w:rsidR="007575DB" w:rsidRDefault="007575D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27A">
      <w:rPr>
        <w:rStyle w:val="PageNumber"/>
        <w:noProof/>
      </w:rPr>
      <w:t>1</w:t>
    </w:r>
    <w:r>
      <w:rPr>
        <w:rStyle w:val="PageNumber"/>
      </w:rPr>
      <w:fldChar w:fldCharType="end"/>
    </w:r>
  </w:p>
  <w:p w14:paraId="1EA3554B" w14:textId="77777777" w:rsidR="007575DB" w:rsidRDefault="00757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B116F" w14:textId="77777777" w:rsidR="00FD32F3" w:rsidRDefault="00FD32F3">
      <w:r>
        <w:separator/>
      </w:r>
    </w:p>
  </w:footnote>
  <w:footnote w:type="continuationSeparator" w:id="0">
    <w:p w14:paraId="3E3DA421" w14:textId="77777777" w:rsidR="00FD32F3" w:rsidRDefault="00FD32F3">
      <w:r>
        <w:continuationSeparator/>
      </w:r>
    </w:p>
  </w:footnote>
  <w:footnote w:id="1">
    <w:p w14:paraId="02EC3E2A" w14:textId="77777777" w:rsidR="007575DB" w:rsidRDefault="007575DB" w:rsidP="009A2CA9">
      <w:pPr>
        <w:pStyle w:val="NoSpacing"/>
      </w:pPr>
      <w:r>
        <w:rPr>
          <w:rStyle w:val="FootnoteReference"/>
        </w:rPr>
        <w:footnoteRef/>
      </w:r>
      <w:r>
        <w:t xml:space="preserve"> AZ, CA, CO, ID, IL, IA, KS, MN, NE, NM, OK, OR, SD, TX, WA, WY</w:t>
      </w:r>
    </w:p>
    <w:p w14:paraId="3C197FDD" w14:textId="77777777" w:rsidR="007575DB" w:rsidRDefault="007575DB" w:rsidP="009A2CA9">
      <w:pPr>
        <w:pStyle w:val="NoSpacing"/>
      </w:pPr>
      <w:r w:rsidRPr="00EB34B1">
        <w:rPr>
          <w:vertAlign w:val="superscript"/>
        </w:rPr>
        <w:t>2</w:t>
      </w:r>
      <w:r>
        <w:t xml:space="preserve"> CO, IL, IN, IA, KS, MI, MN, MO, NE, OH, PA, SD, WI</w:t>
      </w:r>
    </w:p>
    <w:p w14:paraId="394B1A61" w14:textId="77777777" w:rsidR="007575DB" w:rsidRDefault="007575DB" w:rsidP="009A2CA9">
      <w:pPr>
        <w:pStyle w:val="NoSpacing"/>
      </w:pPr>
    </w:p>
    <w:p w14:paraId="113FC499" w14:textId="77777777" w:rsidR="007575DB" w:rsidRDefault="007575DB" w:rsidP="009A2CA9">
      <w:pPr>
        <w:pStyle w:val="NoSpacing"/>
      </w:pPr>
    </w:p>
    <w:p w14:paraId="5665CE63" w14:textId="77777777" w:rsidR="007575DB" w:rsidRDefault="007575DB" w:rsidP="009A2CA9">
      <w:pPr>
        <w:pStyle w:val="NoSpacing"/>
      </w:pPr>
    </w:p>
  </w:footnote>
  <w:footnote w:id="2">
    <w:p w14:paraId="1AAB9DA2" w14:textId="77777777" w:rsidR="007575DB" w:rsidRDefault="007575DB" w:rsidP="009A2CA9">
      <w:pPr>
        <w:pStyle w:val="NoSpacing"/>
      </w:pPr>
      <w:r>
        <w:rPr>
          <w:rStyle w:val="FootnoteReference"/>
        </w:rPr>
        <w:footnoteRef/>
      </w:r>
      <w:r>
        <w:t xml:space="preserve"> CO, IL, IN, IA, KS, MN, MO, NE, NC, OH, OK, PA, SD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C7E"/>
    <w:multiLevelType w:val="hybridMultilevel"/>
    <w:tmpl w:val="52ACF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1007359"/>
    <w:multiLevelType w:val="hybridMultilevel"/>
    <w:tmpl w:val="C438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957A0"/>
    <w:multiLevelType w:val="hybridMultilevel"/>
    <w:tmpl w:val="932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350407F4"/>
    <w:multiLevelType w:val="hybridMultilevel"/>
    <w:tmpl w:val="C9FAF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FDD2FC0"/>
    <w:multiLevelType w:val="multilevel"/>
    <w:tmpl w:val="A45033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7F51D0"/>
    <w:multiLevelType w:val="multilevel"/>
    <w:tmpl w:val="9B64B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61D0484"/>
    <w:multiLevelType w:val="hybridMultilevel"/>
    <w:tmpl w:val="DB1AF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47E59"/>
    <w:multiLevelType w:val="hybridMultilevel"/>
    <w:tmpl w:val="CBD660C6"/>
    <w:lvl w:ilvl="0" w:tplc="3C98E01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116E4"/>
    <w:multiLevelType w:val="hybridMultilevel"/>
    <w:tmpl w:val="932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5210F"/>
    <w:multiLevelType w:val="hybridMultilevel"/>
    <w:tmpl w:val="E294D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2D6692"/>
    <w:multiLevelType w:val="hybridMultilevel"/>
    <w:tmpl w:val="A98837A2"/>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066794"/>
    <w:multiLevelType w:val="hybridMultilevel"/>
    <w:tmpl w:val="E0A6C876"/>
    <w:lvl w:ilvl="0" w:tplc="4A0E69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BD4CB3"/>
    <w:multiLevelType w:val="hybridMultilevel"/>
    <w:tmpl w:val="504CC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143120"/>
    <w:multiLevelType w:val="multilevel"/>
    <w:tmpl w:val="67A23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44B5979"/>
    <w:multiLevelType w:val="hybridMultilevel"/>
    <w:tmpl w:val="5E984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371D01"/>
    <w:multiLevelType w:val="hybridMultilevel"/>
    <w:tmpl w:val="D10A10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91E6000"/>
    <w:multiLevelType w:val="hybridMultilevel"/>
    <w:tmpl w:val="67A2349E"/>
    <w:lvl w:ilvl="0" w:tplc="B06CD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C3209F2"/>
    <w:multiLevelType w:val="hybridMultilevel"/>
    <w:tmpl w:val="519E9ACC"/>
    <w:lvl w:ilvl="0" w:tplc="2220A12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76351759"/>
    <w:multiLevelType w:val="hybridMultilevel"/>
    <w:tmpl w:val="AF8E4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23"/>
  </w:num>
  <w:num w:numId="4">
    <w:abstractNumId w:val="4"/>
  </w:num>
  <w:num w:numId="5">
    <w:abstractNumId w:val="13"/>
  </w:num>
  <w:num w:numId="6">
    <w:abstractNumId w:val="19"/>
  </w:num>
  <w:num w:numId="7">
    <w:abstractNumId w:val="6"/>
  </w:num>
  <w:num w:numId="8">
    <w:abstractNumId w:val="24"/>
  </w:num>
  <w:num w:numId="9">
    <w:abstractNumId w:val="17"/>
  </w:num>
  <w:num w:numId="10">
    <w:abstractNumId w:val="8"/>
  </w:num>
  <w:num w:numId="11">
    <w:abstractNumId w:val="7"/>
  </w:num>
  <w:num w:numId="12">
    <w:abstractNumId w:val="16"/>
  </w:num>
  <w:num w:numId="13">
    <w:abstractNumId w:val="14"/>
  </w:num>
  <w:num w:numId="14">
    <w:abstractNumId w:val="9"/>
  </w:num>
  <w:num w:numId="15">
    <w:abstractNumId w:val="2"/>
  </w:num>
  <w:num w:numId="16">
    <w:abstractNumId w:val="18"/>
  </w:num>
  <w:num w:numId="17">
    <w:abstractNumId w:val="0"/>
  </w:num>
  <w:num w:numId="18">
    <w:abstractNumId w:val="12"/>
  </w:num>
  <w:num w:numId="19">
    <w:abstractNumId w:val="15"/>
  </w:num>
  <w:num w:numId="20">
    <w:abstractNumId w:val="5"/>
  </w:num>
  <w:num w:numId="21">
    <w:abstractNumId w:val="10"/>
  </w:num>
  <w:num w:numId="22">
    <w:abstractNumId w:val="20"/>
  </w:num>
  <w:num w:numId="23">
    <w:abstractNumId w:val="21"/>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D9"/>
    <w:rsid w:val="000004AE"/>
    <w:rsid w:val="000068F7"/>
    <w:rsid w:val="000165B8"/>
    <w:rsid w:val="0001683F"/>
    <w:rsid w:val="00017DC9"/>
    <w:rsid w:val="00021638"/>
    <w:rsid w:val="0002264E"/>
    <w:rsid w:val="0003420C"/>
    <w:rsid w:val="000343EF"/>
    <w:rsid w:val="00035330"/>
    <w:rsid w:val="000400F9"/>
    <w:rsid w:val="000400FF"/>
    <w:rsid w:val="00043D10"/>
    <w:rsid w:val="0005608B"/>
    <w:rsid w:val="00067CB3"/>
    <w:rsid w:val="00072C05"/>
    <w:rsid w:val="00081529"/>
    <w:rsid w:val="00082B0B"/>
    <w:rsid w:val="000869AE"/>
    <w:rsid w:val="00096139"/>
    <w:rsid w:val="000973DF"/>
    <w:rsid w:val="000A08F4"/>
    <w:rsid w:val="000A1416"/>
    <w:rsid w:val="000B0C5E"/>
    <w:rsid w:val="000B475D"/>
    <w:rsid w:val="000C1F4E"/>
    <w:rsid w:val="000C4F9A"/>
    <w:rsid w:val="000D3C51"/>
    <w:rsid w:val="000E4274"/>
    <w:rsid w:val="000E64BD"/>
    <w:rsid w:val="000F3C90"/>
    <w:rsid w:val="000F65C9"/>
    <w:rsid w:val="00101330"/>
    <w:rsid w:val="00110D6C"/>
    <w:rsid w:val="00114A1E"/>
    <w:rsid w:val="001216FD"/>
    <w:rsid w:val="00125BA0"/>
    <w:rsid w:val="00127480"/>
    <w:rsid w:val="00145F2F"/>
    <w:rsid w:val="0016074E"/>
    <w:rsid w:val="00162F5D"/>
    <w:rsid w:val="001752C5"/>
    <w:rsid w:val="00184070"/>
    <w:rsid w:val="001A0CE1"/>
    <w:rsid w:val="001A554D"/>
    <w:rsid w:val="001A7002"/>
    <w:rsid w:val="001B361A"/>
    <w:rsid w:val="001C2610"/>
    <w:rsid w:val="001C2CC3"/>
    <w:rsid w:val="001C4691"/>
    <w:rsid w:val="001D0BA4"/>
    <w:rsid w:val="001D71E4"/>
    <w:rsid w:val="001F3A72"/>
    <w:rsid w:val="001F44AE"/>
    <w:rsid w:val="002016D2"/>
    <w:rsid w:val="002018DF"/>
    <w:rsid w:val="0020615F"/>
    <w:rsid w:val="00220605"/>
    <w:rsid w:val="00221269"/>
    <w:rsid w:val="00222B21"/>
    <w:rsid w:val="002330B6"/>
    <w:rsid w:val="0023699D"/>
    <w:rsid w:val="00251AD1"/>
    <w:rsid w:val="00254561"/>
    <w:rsid w:val="00256625"/>
    <w:rsid w:val="00257A8E"/>
    <w:rsid w:val="00266A95"/>
    <w:rsid w:val="00280F7E"/>
    <w:rsid w:val="002847CF"/>
    <w:rsid w:val="00293FCA"/>
    <w:rsid w:val="0029415E"/>
    <w:rsid w:val="00294655"/>
    <w:rsid w:val="00296425"/>
    <w:rsid w:val="00297AC3"/>
    <w:rsid w:val="002A6A26"/>
    <w:rsid w:val="002B2BB1"/>
    <w:rsid w:val="002B58D1"/>
    <w:rsid w:val="002B612C"/>
    <w:rsid w:val="002C34EC"/>
    <w:rsid w:val="002C644E"/>
    <w:rsid w:val="002D2A6A"/>
    <w:rsid w:val="002D3402"/>
    <w:rsid w:val="002D527D"/>
    <w:rsid w:val="002E6E31"/>
    <w:rsid w:val="002F749E"/>
    <w:rsid w:val="00313EFF"/>
    <w:rsid w:val="00323D1F"/>
    <w:rsid w:val="0032611D"/>
    <w:rsid w:val="00337710"/>
    <w:rsid w:val="003419A7"/>
    <w:rsid w:val="003441DF"/>
    <w:rsid w:val="00345DFB"/>
    <w:rsid w:val="00345E9C"/>
    <w:rsid w:val="0036057C"/>
    <w:rsid w:val="0036443C"/>
    <w:rsid w:val="00365421"/>
    <w:rsid w:val="00371327"/>
    <w:rsid w:val="00372A95"/>
    <w:rsid w:val="003751DB"/>
    <w:rsid w:val="00376791"/>
    <w:rsid w:val="00386E35"/>
    <w:rsid w:val="00395A61"/>
    <w:rsid w:val="003B25F3"/>
    <w:rsid w:val="003B4077"/>
    <w:rsid w:val="003B5850"/>
    <w:rsid w:val="003B7343"/>
    <w:rsid w:val="003C717F"/>
    <w:rsid w:val="003D116A"/>
    <w:rsid w:val="003D14CC"/>
    <w:rsid w:val="003D4A00"/>
    <w:rsid w:val="003E7328"/>
    <w:rsid w:val="003F266B"/>
    <w:rsid w:val="003F281A"/>
    <w:rsid w:val="003F5D3C"/>
    <w:rsid w:val="003F5D44"/>
    <w:rsid w:val="0040035F"/>
    <w:rsid w:val="00407CE7"/>
    <w:rsid w:val="00416375"/>
    <w:rsid w:val="00426140"/>
    <w:rsid w:val="004423AD"/>
    <w:rsid w:val="00444021"/>
    <w:rsid w:val="00455BB4"/>
    <w:rsid w:val="004564F3"/>
    <w:rsid w:val="00463C3C"/>
    <w:rsid w:val="0046420C"/>
    <w:rsid w:val="0047274B"/>
    <w:rsid w:val="0047304C"/>
    <w:rsid w:val="00473CD1"/>
    <w:rsid w:val="00475138"/>
    <w:rsid w:val="0049650F"/>
    <w:rsid w:val="004A0885"/>
    <w:rsid w:val="004A767C"/>
    <w:rsid w:val="004B0D2D"/>
    <w:rsid w:val="004C0CE1"/>
    <w:rsid w:val="004C47C4"/>
    <w:rsid w:val="004C6101"/>
    <w:rsid w:val="004D2FFF"/>
    <w:rsid w:val="004D7613"/>
    <w:rsid w:val="004E48D9"/>
    <w:rsid w:val="004E7EAA"/>
    <w:rsid w:val="004F20D6"/>
    <w:rsid w:val="00507973"/>
    <w:rsid w:val="00521498"/>
    <w:rsid w:val="0052423D"/>
    <w:rsid w:val="005266C4"/>
    <w:rsid w:val="00530401"/>
    <w:rsid w:val="00546E53"/>
    <w:rsid w:val="00552D3D"/>
    <w:rsid w:val="00560504"/>
    <w:rsid w:val="0056066E"/>
    <w:rsid w:val="00561B67"/>
    <w:rsid w:val="00562470"/>
    <w:rsid w:val="00563B0D"/>
    <w:rsid w:val="00566D96"/>
    <w:rsid w:val="00570990"/>
    <w:rsid w:val="0057232B"/>
    <w:rsid w:val="005731A3"/>
    <w:rsid w:val="0058567D"/>
    <w:rsid w:val="005954CE"/>
    <w:rsid w:val="00595B0B"/>
    <w:rsid w:val="005A2914"/>
    <w:rsid w:val="005A5DA5"/>
    <w:rsid w:val="005B4C2D"/>
    <w:rsid w:val="005C226F"/>
    <w:rsid w:val="005C333D"/>
    <w:rsid w:val="005D25C7"/>
    <w:rsid w:val="005D2B58"/>
    <w:rsid w:val="005E167B"/>
    <w:rsid w:val="005E3D15"/>
    <w:rsid w:val="005E5A3F"/>
    <w:rsid w:val="005F70A6"/>
    <w:rsid w:val="00600836"/>
    <w:rsid w:val="00603E29"/>
    <w:rsid w:val="006059F8"/>
    <w:rsid w:val="00617D59"/>
    <w:rsid w:val="00624F1F"/>
    <w:rsid w:val="0062700E"/>
    <w:rsid w:val="006311BA"/>
    <w:rsid w:val="006333B6"/>
    <w:rsid w:val="00647CCA"/>
    <w:rsid w:val="006557F0"/>
    <w:rsid w:val="0066799A"/>
    <w:rsid w:val="006813BB"/>
    <w:rsid w:val="00682C21"/>
    <w:rsid w:val="0068453D"/>
    <w:rsid w:val="006851B7"/>
    <w:rsid w:val="00695047"/>
    <w:rsid w:val="006A412E"/>
    <w:rsid w:val="006B5801"/>
    <w:rsid w:val="006B7E08"/>
    <w:rsid w:val="006C30C1"/>
    <w:rsid w:val="006C3407"/>
    <w:rsid w:val="006C53E2"/>
    <w:rsid w:val="006C5FB7"/>
    <w:rsid w:val="006C6A43"/>
    <w:rsid w:val="006D13F1"/>
    <w:rsid w:val="006D3B79"/>
    <w:rsid w:val="006D4AF6"/>
    <w:rsid w:val="006E085E"/>
    <w:rsid w:val="006E6243"/>
    <w:rsid w:val="006E6873"/>
    <w:rsid w:val="006F0AE3"/>
    <w:rsid w:val="006F1182"/>
    <w:rsid w:val="006F55B6"/>
    <w:rsid w:val="00700D2B"/>
    <w:rsid w:val="0070597D"/>
    <w:rsid w:val="0071390B"/>
    <w:rsid w:val="00731604"/>
    <w:rsid w:val="00733241"/>
    <w:rsid w:val="00733256"/>
    <w:rsid w:val="00735E2C"/>
    <w:rsid w:val="00737230"/>
    <w:rsid w:val="0074746A"/>
    <w:rsid w:val="00754EFF"/>
    <w:rsid w:val="00756C3E"/>
    <w:rsid w:val="007575DB"/>
    <w:rsid w:val="00757CFE"/>
    <w:rsid w:val="00765738"/>
    <w:rsid w:val="00767BB4"/>
    <w:rsid w:val="00774608"/>
    <w:rsid w:val="007768E1"/>
    <w:rsid w:val="00786981"/>
    <w:rsid w:val="0079169F"/>
    <w:rsid w:val="00794E86"/>
    <w:rsid w:val="00796150"/>
    <w:rsid w:val="007A30E0"/>
    <w:rsid w:val="007B1086"/>
    <w:rsid w:val="007B3CDB"/>
    <w:rsid w:val="007C2843"/>
    <w:rsid w:val="007C2E06"/>
    <w:rsid w:val="007C3EFC"/>
    <w:rsid w:val="007C7D55"/>
    <w:rsid w:val="007D4ACF"/>
    <w:rsid w:val="007D5261"/>
    <w:rsid w:val="007D6586"/>
    <w:rsid w:val="007E151F"/>
    <w:rsid w:val="007F3C17"/>
    <w:rsid w:val="007F3FEE"/>
    <w:rsid w:val="008007FC"/>
    <w:rsid w:val="00803DDF"/>
    <w:rsid w:val="00803E44"/>
    <w:rsid w:val="008062C7"/>
    <w:rsid w:val="008164FA"/>
    <w:rsid w:val="00816CB2"/>
    <w:rsid w:val="00823510"/>
    <w:rsid w:val="0082372A"/>
    <w:rsid w:val="008303DF"/>
    <w:rsid w:val="008546C4"/>
    <w:rsid w:val="0086079C"/>
    <w:rsid w:val="00861BAA"/>
    <w:rsid w:val="0087690A"/>
    <w:rsid w:val="008840B4"/>
    <w:rsid w:val="008A4EEE"/>
    <w:rsid w:val="008A5CEB"/>
    <w:rsid w:val="008B1617"/>
    <w:rsid w:val="008B191F"/>
    <w:rsid w:val="008B2B26"/>
    <w:rsid w:val="008B3CC0"/>
    <w:rsid w:val="008B3ED5"/>
    <w:rsid w:val="008C2308"/>
    <w:rsid w:val="008C6E24"/>
    <w:rsid w:val="008D4DA6"/>
    <w:rsid w:val="008E013D"/>
    <w:rsid w:val="008E1B78"/>
    <w:rsid w:val="008E1BAC"/>
    <w:rsid w:val="008E4315"/>
    <w:rsid w:val="008F3156"/>
    <w:rsid w:val="008F7059"/>
    <w:rsid w:val="00901568"/>
    <w:rsid w:val="00906DB5"/>
    <w:rsid w:val="009157BC"/>
    <w:rsid w:val="009174D9"/>
    <w:rsid w:val="009205AF"/>
    <w:rsid w:val="0092258D"/>
    <w:rsid w:val="00925FD3"/>
    <w:rsid w:val="009266DE"/>
    <w:rsid w:val="00926FAA"/>
    <w:rsid w:val="00933735"/>
    <w:rsid w:val="009564D9"/>
    <w:rsid w:val="00963F16"/>
    <w:rsid w:val="00977D67"/>
    <w:rsid w:val="00987009"/>
    <w:rsid w:val="00993014"/>
    <w:rsid w:val="0099456F"/>
    <w:rsid w:val="009A1FD4"/>
    <w:rsid w:val="009A201B"/>
    <w:rsid w:val="009A2CA9"/>
    <w:rsid w:val="009A6001"/>
    <w:rsid w:val="009A7BCE"/>
    <w:rsid w:val="009A7E33"/>
    <w:rsid w:val="009B277A"/>
    <w:rsid w:val="009C741C"/>
    <w:rsid w:val="009D0BC8"/>
    <w:rsid w:val="009D2285"/>
    <w:rsid w:val="009E57AA"/>
    <w:rsid w:val="009F31E2"/>
    <w:rsid w:val="00A01736"/>
    <w:rsid w:val="00A02960"/>
    <w:rsid w:val="00A05B04"/>
    <w:rsid w:val="00A17EB0"/>
    <w:rsid w:val="00A25F4C"/>
    <w:rsid w:val="00A31EAF"/>
    <w:rsid w:val="00A40C52"/>
    <w:rsid w:val="00A45DAC"/>
    <w:rsid w:val="00A47C54"/>
    <w:rsid w:val="00A73DD2"/>
    <w:rsid w:val="00A76898"/>
    <w:rsid w:val="00A83109"/>
    <w:rsid w:val="00A936BB"/>
    <w:rsid w:val="00A93B80"/>
    <w:rsid w:val="00AA0EAF"/>
    <w:rsid w:val="00AA0FD6"/>
    <w:rsid w:val="00AA311E"/>
    <w:rsid w:val="00AA352D"/>
    <w:rsid w:val="00AA427A"/>
    <w:rsid w:val="00AA48D8"/>
    <w:rsid w:val="00AA5281"/>
    <w:rsid w:val="00AB0F39"/>
    <w:rsid w:val="00AB358E"/>
    <w:rsid w:val="00AB3BCF"/>
    <w:rsid w:val="00AB49BF"/>
    <w:rsid w:val="00AC06A3"/>
    <w:rsid w:val="00AC624E"/>
    <w:rsid w:val="00AD4573"/>
    <w:rsid w:val="00AE0F93"/>
    <w:rsid w:val="00AF3973"/>
    <w:rsid w:val="00B05A30"/>
    <w:rsid w:val="00B074DE"/>
    <w:rsid w:val="00B104DA"/>
    <w:rsid w:val="00B1230C"/>
    <w:rsid w:val="00B136AD"/>
    <w:rsid w:val="00B20444"/>
    <w:rsid w:val="00B23D57"/>
    <w:rsid w:val="00B36E00"/>
    <w:rsid w:val="00B42B59"/>
    <w:rsid w:val="00B446C7"/>
    <w:rsid w:val="00B538B8"/>
    <w:rsid w:val="00B55D98"/>
    <w:rsid w:val="00B6063B"/>
    <w:rsid w:val="00B61BA0"/>
    <w:rsid w:val="00B61D23"/>
    <w:rsid w:val="00B64E1D"/>
    <w:rsid w:val="00B907A3"/>
    <w:rsid w:val="00B942AD"/>
    <w:rsid w:val="00BA79E2"/>
    <w:rsid w:val="00BB06A8"/>
    <w:rsid w:val="00BB0B37"/>
    <w:rsid w:val="00BB7764"/>
    <w:rsid w:val="00BC6A79"/>
    <w:rsid w:val="00BD7B81"/>
    <w:rsid w:val="00BE08AA"/>
    <w:rsid w:val="00BE1FD3"/>
    <w:rsid w:val="00BF356B"/>
    <w:rsid w:val="00BF3D06"/>
    <w:rsid w:val="00BF6CC1"/>
    <w:rsid w:val="00BF76FC"/>
    <w:rsid w:val="00C20D56"/>
    <w:rsid w:val="00C2235B"/>
    <w:rsid w:val="00C22BEA"/>
    <w:rsid w:val="00C31AE8"/>
    <w:rsid w:val="00C35F59"/>
    <w:rsid w:val="00C35FD3"/>
    <w:rsid w:val="00C37BE5"/>
    <w:rsid w:val="00C45E98"/>
    <w:rsid w:val="00C502CA"/>
    <w:rsid w:val="00C539AD"/>
    <w:rsid w:val="00C53C21"/>
    <w:rsid w:val="00C5493F"/>
    <w:rsid w:val="00C618B9"/>
    <w:rsid w:val="00C64DDB"/>
    <w:rsid w:val="00C67054"/>
    <w:rsid w:val="00C74438"/>
    <w:rsid w:val="00C777C3"/>
    <w:rsid w:val="00C80BAC"/>
    <w:rsid w:val="00C80FAF"/>
    <w:rsid w:val="00C81282"/>
    <w:rsid w:val="00C90C0E"/>
    <w:rsid w:val="00CA0E0C"/>
    <w:rsid w:val="00CA3C55"/>
    <w:rsid w:val="00CB119B"/>
    <w:rsid w:val="00CB2F5D"/>
    <w:rsid w:val="00CB51D6"/>
    <w:rsid w:val="00CB7A13"/>
    <w:rsid w:val="00CC0148"/>
    <w:rsid w:val="00CC376D"/>
    <w:rsid w:val="00CC4AC7"/>
    <w:rsid w:val="00CC6AC0"/>
    <w:rsid w:val="00CC7174"/>
    <w:rsid w:val="00CD1952"/>
    <w:rsid w:val="00CD537C"/>
    <w:rsid w:val="00CD6BED"/>
    <w:rsid w:val="00CD79C6"/>
    <w:rsid w:val="00CE4592"/>
    <w:rsid w:val="00CF2A5A"/>
    <w:rsid w:val="00CF456B"/>
    <w:rsid w:val="00D00880"/>
    <w:rsid w:val="00D128A6"/>
    <w:rsid w:val="00D13352"/>
    <w:rsid w:val="00D20EB2"/>
    <w:rsid w:val="00D26637"/>
    <w:rsid w:val="00D3269F"/>
    <w:rsid w:val="00D34CDF"/>
    <w:rsid w:val="00D4359C"/>
    <w:rsid w:val="00D550FB"/>
    <w:rsid w:val="00D65143"/>
    <w:rsid w:val="00D71E30"/>
    <w:rsid w:val="00D83291"/>
    <w:rsid w:val="00D84487"/>
    <w:rsid w:val="00D86161"/>
    <w:rsid w:val="00D9216B"/>
    <w:rsid w:val="00DA3860"/>
    <w:rsid w:val="00DA6815"/>
    <w:rsid w:val="00DB1DF2"/>
    <w:rsid w:val="00DC7ECE"/>
    <w:rsid w:val="00DE0AE9"/>
    <w:rsid w:val="00DF1F5E"/>
    <w:rsid w:val="00DF663E"/>
    <w:rsid w:val="00E00793"/>
    <w:rsid w:val="00E00E44"/>
    <w:rsid w:val="00E029C9"/>
    <w:rsid w:val="00E054EE"/>
    <w:rsid w:val="00E062AF"/>
    <w:rsid w:val="00E176FF"/>
    <w:rsid w:val="00E1795B"/>
    <w:rsid w:val="00E21E27"/>
    <w:rsid w:val="00E24729"/>
    <w:rsid w:val="00E267F7"/>
    <w:rsid w:val="00E37A2B"/>
    <w:rsid w:val="00E400CD"/>
    <w:rsid w:val="00E50BEA"/>
    <w:rsid w:val="00E560C3"/>
    <w:rsid w:val="00E662AD"/>
    <w:rsid w:val="00E85419"/>
    <w:rsid w:val="00E85761"/>
    <w:rsid w:val="00E85CDD"/>
    <w:rsid w:val="00E91923"/>
    <w:rsid w:val="00E93C0B"/>
    <w:rsid w:val="00E9441C"/>
    <w:rsid w:val="00E96013"/>
    <w:rsid w:val="00EA0C1F"/>
    <w:rsid w:val="00EA487B"/>
    <w:rsid w:val="00EA4892"/>
    <w:rsid w:val="00EB34B1"/>
    <w:rsid w:val="00EB4CA9"/>
    <w:rsid w:val="00EC324A"/>
    <w:rsid w:val="00ED00F1"/>
    <w:rsid w:val="00ED01E5"/>
    <w:rsid w:val="00ED2A4D"/>
    <w:rsid w:val="00ED2D4C"/>
    <w:rsid w:val="00ED4D39"/>
    <w:rsid w:val="00EE4E69"/>
    <w:rsid w:val="00EE5C1C"/>
    <w:rsid w:val="00EF4369"/>
    <w:rsid w:val="00F02CCF"/>
    <w:rsid w:val="00F0443F"/>
    <w:rsid w:val="00F07288"/>
    <w:rsid w:val="00F1224D"/>
    <w:rsid w:val="00F16209"/>
    <w:rsid w:val="00F16386"/>
    <w:rsid w:val="00F16898"/>
    <w:rsid w:val="00F17B74"/>
    <w:rsid w:val="00F23D9D"/>
    <w:rsid w:val="00F3340C"/>
    <w:rsid w:val="00F447E8"/>
    <w:rsid w:val="00F46EA5"/>
    <w:rsid w:val="00F50BF3"/>
    <w:rsid w:val="00F514B7"/>
    <w:rsid w:val="00F53686"/>
    <w:rsid w:val="00F54444"/>
    <w:rsid w:val="00F624CD"/>
    <w:rsid w:val="00F76BEE"/>
    <w:rsid w:val="00F7778E"/>
    <w:rsid w:val="00F77F88"/>
    <w:rsid w:val="00F802BE"/>
    <w:rsid w:val="00F83AC7"/>
    <w:rsid w:val="00F85A32"/>
    <w:rsid w:val="00F92CFE"/>
    <w:rsid w:val="00F968A6"/>
    <w:rsid w:val="00FA0364"/>
    <w:rsid w:val="00FB3F35"/>
    <w:rsid w:val="00FB4D48"/>
    <w:rsid w:val="00FB5563"/>
    <w:rsid w:val="00FB7A74"/>
    <w:rsid w:val="00FC7C13"/>
    <w:rsid w:val="00FD212B"/>
    <w:rsid w:val="00FD2271"/>
    <w:rsid w:val="00FD32F3"/>
    <w:rsid w:val="00FE095C"/>
    <w:rsid w:val="00FE32F2"/>
    <w:rsid w:val="00FE5792"/>
    <w:rsid w:val="00FE74DF"/>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A5691A"/>
  <w15:chartTrackingRefBased/>
  <w15:docId w15:val="{BA6442FC-8293-4302-857F-AC339886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8D9"/>
    <w:rPr>
      <w:sz w:val="24"/>
      <w:szCs w:val="24"/>
    </w:rPr>
  </w:style>
  <w:style w:type="paragraph" w:styleId="Heading1">
    <w:name w:val="heading 1"/>
    <w:basedOn w:val="Normal"/>
    <w:next w:val="Normal"/>
    <w:link w:val="Heading1Char"/>
    <w:qFormat/>
    <w:rsid w:val="004E48D9"/>
    <w:pPr>
      <w:keepNext/>
      <w:spacing w:before="240" w:after="60"/>
      <w:outlineLvl w:val="0"/>
    </w:pPr>
    <w:rPr>
      <w:rFonts w:ascii="Arial" w:hAnsi="Arial" w:cs="Arial"/>
      <w:b/>
      <w:bCs/>
      <w:kern w:val="32"/>
      <w:sz w:val="32"/>
      <w:szCs w:val="32"/>
    </w:rPr>
  </w:style>
  <w:style w:type="paragraph" w:styleId="Heading2">
    <w:name w:val="heading 2"/>
    <w:aliases w:val="Heading 2 Char"/>
    <w:basedOn w:val="Normal"/>
    <w:next w:val="Normal"/>
    <w:link w:val="Heading2Char1"/>
    <w:qFormat/>
    <w:rsid w:val="004E48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48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E48D9"/>
    <w:pPr>
      <w:autoSpaceDE w:val="0"/>
      <w:autoSpaceDN w:val="0"/>
      <w:adjustRightInd w:val="0"/>
    </w:pPr>
  </w:style>
  <w:style w:type="character" w:customStyle="1" w:styleId="InitialStyle">
    <w:name w:val="InitialStyle"/>
    <w:rsid w:val="004E48D9"/>
  </w:style>
  <w:style w:type="character" w:customStyle="1" w:styleId="Heading2Char1">
    <w:name w:val="Heading 2 Char1"/>
    <w:aliases w:val="Heading 2 Char Char"/>
    <w:link w:val="Heading2"/>
    <w:rsid w:val="004E48D9"/>
    <w:rPr>
      <w:rFonts w:ascii="Arial" w:hAnsi="Arial" w:cs="Arial"/>
      <w:b/>
      <w:bCs/>
      <w:i/>
      <w:iCs/>
      <w:sz w:val="28"/>
      <w:szCs w:val="28"/>
      <w:lang w:val="en-US" w:eastAsia="en-US" w:bidi="ar-SA"/>
    </w:rPr>
  </w:style>
  <w:style w:type="table" w:styleId="TableGrid">
    <w:name w:val="Table Grid"/>
    <w:basedOn w:val="TableNormal"/>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48D9"/>
    <w:rPr>
      <w:rFonts w:ascii="Arial" w:hAnsi="Arial" w:cs="Arial"/>
      <w:b/>
      <w:bCs/>
      <w:kern w:val="32"/>
      <w:sz w:val="32"/>
      <w:szCs w:val="32"/>
      <w:lang w:val="en-US" w:eastAsia="en-US" w:bidi="ar-SA"/>
    </w:rPr>
  </w:style>
  <w:style w:type="character" w:customStyle="1" w:styleId="DefaultTextChar">
    <w:name w:val="Default Text Char"/>
    <w:link w:val="DefaultText"/>
    <w:rsid w:val="004E48D9"/>
    <w:rPr>
      <w:sz w:val="24"/>
      <w:szCs w:val="24"/>
      <w:lang w:val="en-US" w:eastAsia="en-US" w:bidi="ar-SA"/>
    </w:rPr>
  </w:style>
  <w:style w:type="paragraph" w:styleId="Footer">
    <w:name w:val="footer"/>
    <w:basedOn w:val="Normal"/>
    <w:rsid w:val="004E48D9"/>
    <w:pPr>
      <w:tabs>
        <w:tab w:val="center" w:pos="4320"/>
        <w:tab w:val="right" w:pos="8640"/>
      </w:tabs>
    </w:pPr>
  </w:style>
  <w:style w:type="character" w:styleId="PageNumber">
    <w:name w:val="page number"/>
    <w:basedOn w:val="DefaultParagraphFont"/>
    <w:rsid w:val="004E48D9"/>
  </w:style>
  <w:style w:type="paragraph" w:styleId="BalloonText">
    <w:name w:val="Balloon Text"/>
    <w:basedOn w:val="Normal"/>
    <w:semiHidden/>
    <w:rsid w:val="00FE76DA"/>
    <w:rPr>
      <w:rFonts w:ascii="Tahoma" w:hAnsi="Tahoma" w:cs="Tahoma"/>
      <w:sz w:val="16"/>
      <w:szCs w:val="16"/>
    </w:rPr>
  </w:style>
  <w:style w:type="paragraph" w:styleId="DocumentMap">
    <w:name w:val="Document Map"/>
    <w:basedOn w:val="Normal"/>
    <w:semiHidden/>
    <w:rsid w:val="009A7BCE"/>
    <w:pPr>
      <w:shd w:val="clear" w:color="auto" w:fill="000080"/>
    </w:pPr>
    <w:rPr>
      <w:rFonts w:ascii="Tahoma" w:hAnsi="Tahoma" w:cs="Tahoma"/>
      <w:sz w:val="20"/>
      <w:szCs w:val="20"/>
    </w:rPr>
  </w:style>
  <w:style w:type="character" w:styleId="CommentReference">
    <w:name w:val="annotation reference"/>
    <w:semiHidden/>
    <w:rsid w:val="00E400CD"/>
    <w:rPr>
      <w:sz w:val="16"/>
      <w:szCs w:val="16"/>
    </w:rPr>
  </w:style>
  <w:style w:type="paragraph" w:styleId="CommentText">
    <w:name w:val="annotation text"/>
    <w:basedOn w:val="Normal"/>
    <w:semiHidden/>
    <w:rsid w:val="00E400CD"/>
    <w:rPr>
      <w:sz w:val="20"/>
      <w:szCs w:val="20"/>
    </w:rPr>
  </w:style>
  <w:style w:type="paragraph" w:styleId="CommentSubject">
    <w:name w:val="annotation subject"/>
    <w:basedOn w:val="CommentText"/>
    <w:next w:val="CommentText"/>
    <w:semiHidden/>
    <w:rsid w:val="00E400CD"/>
    <w:rPr>
      <w:b/>
      <w:bCs/>
    </w:rPr>
  </w:style>
  <w:style w:type="character" w:customStyle="1" w:styleId="CharChar1">
    <w:name w:val="Char Char1"/>
    <w:rsid w:val="00FC7C13"/>
    <w:rPr>
      <w:rFonts w:ascii="Arial" w:hAnsi="Arial" w:cs="Arial"/>
      <w:b/>
      <w:bCs/>
      <w:kern w:val="32"/>
      <w:sz w:val="32"/>
      <w:szCs w:val="32"/>
      <w:lang w:val="en-US" w:eastAsia="en-US" w:bidi="ar-SA"/>
    </w:rPr>
  </w:style>
  <w:style w:type="paragraph" w:styleId="FootnoteText">
    <w:name w:val="footnote text"/>
    <w:basedOn w:val="Normal"/>
    <w:semiHidden/>
    <w:rsid w:val="0016074E"/>
    <w:rPr>
      <w:sz w:val="20"/>
      <w:szCs w:val="20"/>
    </w:rPr>
  </w:style>
  <w:style w:type="character" w:styleId="FootnoteReference">
    <w:name w:val="footnote reference"/>
    <w:semiHidden/>
    <w:rsid w:val="0016074E"/>
    <w:rPr>
      <w:vertAlign w:val="superscript"/>
    </w:rPr>
  </w:style>
  <w:style w:type="paragraph" w:styleId="NoSpacing">
    <w:name w:val="No Spacing"/>
    <w:uiPriority w:val="1"/>
    <w:qFormat/>
    <w:rsid w:val="00B136A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67853AF17D34FA8F78BF49E633F95" ma:contentTypeVersion="10" ma:contentTypeDescription="Create a new document." ma:contentTypeScope="" ma:versionID="8c6e302e017e7e02c75e64e7f9771621">
  <xsd:schema xmlns:xsd="http://www.w3.org/2001/XMLSchema" xmlns:xs="http://www.w3.org/2001/XMLSchema" xmlns:p="http://schemas.microsoft.com/office/2006/metadata/properties" targetNamespace="http://schemas.microsoft.com/office/2006/metadata/properties" ma:root="true" ma:fieldsID="c6929fa2afcbfdfb61ddf5a9584fd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E0DA-1C06-40C0-ADE7-9C77D46B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0FED89-279C-4FF2-BD88-EA6BD8079205}">
  <ds:schemaRefs>
    <ds:schemaRef ds:uri="http://schemas.microsoft.com/sharepoint/v3/contenttype/forms"/>
  </ds:schemaRefs>
</ds:datastoreItem>
</file>

<file path=customXml/itemProps3.xml><?xml version="1.0" encoding="utf-8"?>
<ds:datastoreItem xmlns:ds="http://schemas.openxmlformats.org/officeDocument/2006/customXml" ds:itemID="{D309DF66-75E4-434F-A238-5D642F2C9E3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C34985F-41D2-414F-89CC-35945B7E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3687</Words>
  <Characters>20429</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24068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swarnken</dc:creator>
  <cp:keywords/>
  <cp:lastModifiedBy>Hardy, Kimberly A - APHIS</cp:lastModifiedBy>
  <cp:revision>2</cp:revision>
  <cp:lastPrinted>2017-04-07T19:10:00Z</cp:lastPrinted>
  <dcterms:created xsi:type="dcterms:W3CDTF">2017-04-13T21:45:00Z</dcterms:created>
  <dcterms:modified xsi:type="dcterms:W3CDTF">2017-04-13T21:45:00Z</dcterms:modified>
</cp:coreProperties>
</file>