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47BC1" w14:textId="77777777" w:rsidR="007738E2" w:rsidRDefault="007738E2" w:rsidP="007738E2">
      <w:pPr>
        <w:jc w:val="center"/>
        <w:rPr>
          <w:b/>
        </w:rPr>
      </w:pPr>
      <w:r>
        <w:rPr>
          <w:b/>
        </w:rPr>
        <w:t>Justification of Change Worksheet</w:t>
      </w:r>
    </w:p>
    <w:p w14:paraId="738C5E8C" w14:textId="20422C95" w:rsidR="007738E2" w:rsidRDefault="007435F8" w:rsidP="007738E2">
      <w:pPr>
        <w:jc w:val="center"/>
        <w:rPr>
          <w:b/>
        </w:rPr>
      </w:pPr>
      <w:r>
        <w:rPr>
          <w:b/>
        </w:rPr>
        <w:t xml:space="preserve">OMB No. </w:t>
      </w:r>
      <w:r w:rsidR="00A272E0">
        <w:rPr>
          <w:b/>
        </w:rPr>
        <w:t>0581-0143</w:t>
      </w:r>
    </w:p>
    <w:p w14:paraId="7B42D737" w14:textId="5BC94B1B" w:rsidR="007738E2" w:rsidRDefault="00A272E0" w:rsidP="007738E2">
      <w:pPr>
        <w:jc w:val="center"/>
        <w:rPr>
          <w:b/>
        </w:rPr>
      </w:pPr>
      <w:r>
        <w:rPr>
          <w:b/>
        </w:rPr>
        <w:t>Export Fruit Act</w:t>
      </w:r>
      <w:r w:rsidR="00FC2187">
        <w:rPr>
          <w:b/>
        </w:rPr>
        <w:t>s</w:t>
      </w:r>
    </w:p>
    <w:p w14:paraId="184B325C" w14:textId="35A02C1F" w:rsidR="00A272E0" w:rsidRPr="00FC2813" w:rsidRDefault="00A272E0" w:rsidP="00A272E0">
      <w:pPr>
        <w:tabs>
          <w:tab w:val="center" w:pos="4680"/>
        </w:tabs>
        <w:contextualSpacing/>
        <w:rPr>
          <w:b/>
          <w:bCs/>
        </w:rPr>
      </w:pPr>
      <w:r w:rsidRPr="00FC2813">
        <w:rPr>
          <w:b/>
          <w:bCs/>
        </w:rPr>
        <w:tab/>
        <w:t xml:space="preserve">7 CFR </w:t>
      </w:r>
      <w:r>
        <w:rPr>
          <w:b/>
          <w:bCs/>
        </w:rPr>
        <w:t>Parts</w:t>
      </w:r>
      <w:r w:rsidRPr="00FC2813">
        <w:rPr>
          <w:b/>
          <w:bCs/>
        </w:rPr>
        <w:t xml:space="preserve"> 33 </w:t>
      </w:r>
      <w:r>
        <w:rPr>
          <w:b/>
          <w:bCs/>
        </w:rPr>
        <w:t>and</w:t>
      </w:r>
      <w:r w:rsidRPr="00FC2813">
        <w:rPr>
          <w:b/>
          <w:bCs/>
        </w:rPr>
        <w:t xml:space="preserve"> 35</w:t>
      </w:r>
    </w:p>
    <w:p w14:paraId="4E4757AF" w14:textId="77777777" w:rsidR="007738E2" w:rsidRDefault="007738E2" w:rsidP="007738E2">
      <w:pPr>
        <w:rPr>
          <w:b/>
        </w:rPr>
      </w:pPr>
    </w:p>
    <w:p w14:paraId="21FBB469" w14:textId="01ECC99C" w:rsidR="007738E2" w:rsidRDefault="0016666D" w:rsidP="007738E2">
      <w:pPr>
        <w:rPr>
          <w:b/>
        </w:rPr>
      </w:pPr>
      <w:r>
        <w:rPr>
          <w:b/>
        </w:rPr>
        <w:t>Februa</w:t>
      </w:r>
      <w:r w:rsidR="0079145F">
        <w:rPr>
          <w:b/>
        </w:rPr>
        <w:t>ry 2017</w:t>
      </w:r>
    </w:p>
    <w:p w14:paraId="5044DFD5" w14:textId="77777777" w:rsidR="007738E2" w:rsidRDefault="007738E2" w:rsidP="007738E2">
      <w:pPr>
        <w:rPr>
          <w:b/>
        </w:rPr>
      </w:pPr>
    </w:p>
    <w:p w14:paraId="7D4BD75A" w14:textId="64860E61" w:rsidR="007738E2" w:rsidRPr="00DF3FD0" w:rsidRDefault="007C1D79" w:rsidP="007738E2">
      <w:pPr>
        <w:jc w:val="center"/>
        <w:rPr>
          <w:b/>
        </w:rPr>
      </w:pPr>
      <w:r>
        <w:rPr>
          <w:b/>
        </w:rPr>
        <w:t>SC</w:t>
      </w:r>
      <w:r w:rsidR="00A272E0">
        <w:rPr>
          <w:b/>
        </w:rPr>
        <w:t>-205</w:t>
      </w:r>
      <w:r w:rsidR="007435F8">
        <w:rPr>
          <w:b/>
        </w:rPr>
        <w:t xml:space="preserve"> </w:t>
      </w:r>
      <w:r w:rsidR="00A272E0" w:rsidRPr="00A272E0">
        <w:rPr>
          <w:b/>
        </w:rPr>
        <w:t xml:space="preserve">Export Form Certificate </w:t>
      </w:r>
    </w:p>
    <w:p w14:paraId="619183E4" w14:textId="77777777" w:rsidR="007738E2" w:rsidRDefault="007738E2" w:rsidP="007738E2">
      <w:pPr>
        <w:jc w:val="center"/>
        <w:rPr>
          <w:b/>
        </w:rPr>
      </w:pPr>
    </w:p>
    <w:p w14:paraId="3665AE10" w14:textId="1689D457" w:rsidR="0016666D" w:rsidRDefault="007738E2" w:rsidP="007738E2">
      <w:r>
        <w:t xml:space="preserve">This </w:t>
      </w:r>
      <w:r w:rsidR="00D166BE">
        <w:t>Justification for Change</w:t>
      </w:r>
      <w:r w:rsidRPr="00582DD6">
        <w:t xml:space="preserve"> addresses modifications to </w:t>
      </w:r>
      <w:r w:rsidR="00A272E0">
        <w:t>the</w:t>
      </w:r>
      <w:r w:rsidRPr="00582DD6">
        <w:t xml:space="preserve"> form</w:t>
      </w:r>
      <w:r w:rsidR="009A53A2">
        <w:t>s</w:t>
      </w:r>
      <w:r w:rsidRPr="00582DD6">
        <w:t xml:space="preserve"> currently </w:t>
      </w:r>
      <w:r w:rsidR="007435F8">
        <w:t>approved under OMB No. 0581-</w:t>
      </w:r>
      <w:r w:rsidR="00A272E0">
        <w:t>0143, Export Fruit Act</w:t>
      </w:r>
      <w:r w:rsidR="00FC2187">
        <w:t>s</w:t>
      </w:r>
      <w:r w:rsidR="00A272E0">
        <w:t xml:space="preserve">. </w:t>
      </w:r>
      <w:r w:rsidRPr="00582DD6">
        <w:t xml:space="preserve"> </w:t>
      </w:r>
      <w:r w:rsidR="00582AD9" w:rsidRPr="00A272E0">
        <w:t>Federal or Federal</w:t>
      </w:r>
      <w:r w:rsidR="00582AD9">
        <w:t>-State Inspection Program</w:t>
      </w:r>
      <w:r w:rsidR="00582AD9" w:rsidRPr="00A272E0">
        <w:t xml:space="preserve"> </w:t>
      </w:r>
      <w:r w:rsidR="002F5A52">
        <w:t>grader</w:t>
      </w:r>
      <w:r w:rsidR="00582AD9">
        <w:t xml:space="preserve">s </w:t>
      </w:r>
      <w:r w:rsidR="00A672DA">
        <w:t xml:space="preserve">complete </w:t>
      </w:r>
      <w:r w:rsidR="00A272E0">
        <w:t>Export Form Certificate</w:t>
      </w:r>
      <w:r w:rsidR="00A672DA">
        <w:t>s</w:t>
      </w:r>
      <w:r w:rsidR="00A272E0">
        <w:t xml:space="preserve"> </w:t>
      </w:r>
      <w:r w:rsidR="00582AD9">
        <w:t xml:space="preserve">in the process of </w:t>
      </w:r>
      <w:r w:rsidR="00A272E0" w:rsidRPr="00A272E0">
        <w:t>inspect</w:t>
      </w:r>
      <w:r w:rsidR="00582AD9">
        <w:t>ing</w:t>
      </w:r>
      <w:r w:rsidR="00A272E0" w:rsidRPr="00A272E0">
        <w:t xml:space="preserve"> and certify</w:t>
      </w:r>
      <w:r w:rsidR="00582AD9">
        <w:t>ing</w:t>
      </w:r>
      <w:r w:rsidR="00A272E0" w:rsidRPr="00A272E0">
        <w:t xml:space="preserve"> that each shipment of fresh apples and grapes meets quality and other requirements effective under the </w:t>
      </w:r>
      <w:r w:rsidR="00A272E0">
        <w:t xml:space="preserve">Export Fruit </w:t>
      </w:r>
      <w:r w:rsidR="00A272E0" w:rsidRPr="00A272E0">
        <w:t>Act</w:t>
      </w:r>
      <w:r w:rsidR="00A272E0">
        <w:t>s</w:t>
      </w:r>
      <w:r w:rsidR="00A272E0" w:rsidRPr="00A272E0">
        <w:t xml:space="preserve">.  </w:t>
      </w:r>
      <w:r w:rsidR="00A672DA">
        <w:t>T</w:t>
      </w:r>
      <w:r w:rsidR="001A6102">
        <w:t>he Proposed Rule published in the Federal Register on December 5, 2016 (Vol. 81, No. 233, Pages 87486-87493)</w:t>
      </w:r>
      <w:r w:rsidR="00A672DA">
        <w:t xml:space="preserve"> explains the changes</w:t>
      </w:r>
      <w:r w:rsidR="00DC73DA">
        <w:t xml:space="preserve"> and provides opportunity for public comment</w:t>
      </w:r>
      <w:r w:rsidR="001A6102">
        <w:t>.</w:t>
      </w:r>
      <w:r w:rsidR="00582AD9">
        <w:t xml:space="preserve">  </w:t>
      </w:r>
      <w:r w:rsidR="00A672DA">
        <w:t xml:space="preserve">A </w:t>
      </w:r>
      <w:r w:rsidR="003B5C48">
        <w:t>second</w:t>
      </w:r>
      <w:r w:rsidR="00582AD9">
        <w:t xml:space="preserve"> notice (Vol. 82, No. 13, Page 7733) </w:t>
      </w:r>
      <w:r w:rsidR="00A672DA">
        <w:t>published on January 23, 2017, added 60 days to the comment period</w:t>
      </w:r>
      <w:r w:rsidR="00582AD9">
        <w:t xml:space="preserve">, giving affected industry members </w:t>
      </w:r>
      <w:r w:rsidR="009A53A2">
        <w:t xml:space="preserve">more </w:t>
      </w:r>
      <w:r w:rsidR="00582AD9">
        <w:t>opportunity to express their views.</w:t>
      </w:r>
    </w:p>
    <w:p w14:paraId="54533CD9" w14:textId="77777777" w:rsidR="00FC2187" w:rsidRDefault="00FC2187" w:rsidP="007738E2"/>
    <w:p w14:paraId="18523C35" w14:textId="3C940809" w:rsidR="00FC2187" w:rsidRDefault="00FC2187" w:rsidP="007738E2">
      <w:r>
        <w:t xml:space="preserve">On September 26, 2016, OMB approved </w:t>
      </w:r>
      <w:r w:rsidR="000F0AE6">
        <w:t xml:space="preserve">the three-year renewal of </w:t>
      </w:r>
      <w:r>
        <w:t xml:space="preserve">Export Fruit Acts OMB No. 0581-0143 that </w:t>
      </w:r>
      <w:r w:rsidR="000F0AE6">
        <w:t xml:space="preserve">declared </w:t>
      </w:r>
      <w:r w:rsidR="00DC5CCA">
        <w:t>the Agricultural Marketing Service</w:t>
      </w:r>
      <w:r w:rsidR="003522EE">
        <w:t>’s</w:t>
      </w:r>
      <w:r w:rsidR="00DC5CCA">
        <w:t xml:space="preserve"> (AMS)</w:t>
      </w:r>
      <w:r>
        <w:t xml:space="preserve"> intention </w:t>
      </w:r>
      <w:r w:rsidR="003522EE">
        <w:t>of enacting rulemaking to</w:t>
      </w:r>
      <w:r w:rsidR="003522EE" w:rsidRPr="00A53DCB">
        <w:t xml:space="preserve"> automate the filing of export </w:t>
      </w:r>
      <w:r w:rsidR="003522EE">
        <w:t xml:space="preserve">information according to the International Trade Data System (ITDS).  </w:t>
      </w:r>
      <w:r w:rsidR="00322F1A">
        <w:t xml:space="preserve">This approval merged the existing FV-207 and 205 into one FV-205.  </w:t>
      </w:r>
      <w:r w:rsidR="003522EE">
        <w:t xml:space="preserve">This Justification for Change Worksheet effectuates those changes, and seeks to obtain OMB’s approval </w:t>
      </w:r>
      <w:r w:rsidR="000F0AE6">
        <w:t>of the burden added as a result of the new requirements described below.</w:t>
      </w:r>
    </w:p>
    <w:p w14:paraId="4D4A2B59" w14:textId="77777777" w:rsidR="002F5A52" w:rsidRDefault="002F5A52" w:rsidP="007738E2"/>
    <w:p w14:paraId="3535A095" w14:textId="1E9D037A" w:rsidR="009406F0" w:rsidRDefault="002F5A52" w:rsidP="002F5A52">
      <w:r w:rsidRPr="006B014E">
        <w:rPr>
          <w:b/>
        </w:rPr>
        <w:t>Export Form Certificate SC-205</w:t>
      </w:r>
      <w:r w:rsidR="00CA29BD">
        <w:rPr>
          <w:b/>
        </w:rPr>
        <w:t xml:space="preserve"> and SC-205-1</w:t>
      </w:r>
      <w:r w:rsidRPr="006B014E">
        <w:rPr>
          <w:b/>
        </w:rPr>
        <w:t>:</w:t>
      </w:r>
      <w:r w:rsidRPr="006B014E">
        <w:t xml:space="preserve">  </w:t>
      </w:r>
      <w:r>
        <w:t>AMS seeks approv</w:t>
      </w:r>
      <w:r w:rsidR="00E3276D">
        <w:t>al</w:t>
      </w:r>
      <w:r>
        <w:t xml:space="preserve"> to </w:t>
      </w:r>
      <w:r w:rsidR="009406F0">
        <w:t xml:space="preserve">change </w:t>
      </w:r>
      <w:r>
        <w:t xml:space="preserve">FV-205 </w:t>
      </w:r>
      <w:r w:rsidR="00CA29BD">
        <w:t>to</w:t>
      </w:r>
      <w:r>
        <w:t xml:space="preserve"> SC-205</w:t>
      </w:r>
      <w:r w:rsidR="009406F0">
        <w:t xml:space="preserve"> due to </w:t>
      </w:r>
      <w:r w:rsidR="00CA29BD">
        <w:t>a change in the name of the AMS program from Fruit and Vegetable (FV) to Specialty Crops (SC)</w:t>
      </w:r>
      <w:r>
        <w:t xml:space="preserve">.  </w:t>
      </w:r>
      <w:r w:rsidR="00CA29BD" w:rsidRPr="00E563D1">
        <w:t>The</w:t>
      </w:r>
      <w:r w:rsidR="00CA29BD" w:rsidRPr="00E563D1">
        <w:rPr>
          <w:color w:val="000000" w:themeColor="text1"/>
        </w:rPr>
        <w:t xml:space="preserve"> SC-205 would allow for versions in hardcopy, electronic or Documented Quality Assurance program (SC-205-1) formats. The different formats do not affect burden.</w:t>
      </w:r>
      <w:r w:rsidR="00CA29BD">
        <w:rPr>
          <w:color w:val="000000" w:themeColor="text1"/>
        </w:rPr>
        <w:t xml:space="preserve">  </w:t>
      </w:r>
      <w:r w:rsidR="001F0F42">
        <w:rPr>
          <w:color w:val="000000" w:themeColor="text1"/>
        </w:rPr>
        <w:t xml:space="preserve">The SC-205 forms will be completed by Federal and/or Federal-State inspectors, while the SC-205-1, or </w:t>
      </w:r>
      <w:r w:rsidR="001F0F42" w:rsidRPr="00322F1A">
        <w:rPr>
          <w:color w:val="000000" w:themeColor="text1"/>
        </w:rPr>
        <w:t>Documented Quality Assurance program</w:t>
      </w:r>
      <w:r w:rsidR="001F0F42">
        <w:rPr>
          <w:color w:val="000000" w:themeColor="text1"/>
        </w:rPr>
        <w:t xml:space="preserve"> version, would be completed </w:t>
      </w:r>
      <w:r w:rsidR="001F0F42" w:rsidRPr="008B2E3A">
        <w:rPr>
          <w:b/>
          <w:color w:val="000000" w:themeColor="text1"/>
        </w:rPr>
        <w:t>only</w:t>
      </w:r>
      <w:r w:rsidR="001F0F42">
        <w:rPr>
          <w:color w:val="000000" w:themeColor="text1"/>
        </w:rPr>
        <w:t xml:space="preserve"> by a trained representative of a company operating under the alternative Partners In Quality (PIQ) program where the company is audited at periodic intervals by Federal-State auditors.</w:t>
      </w:r>
      <w:r w:rsidR="00280FFB">
        <w:rPr>
          <w:color w:val="000000" w:themeColor="text1"/>
        </w:rPr>
        <w:t xml:space="preserve">  There are currently no companies operating under the alternate inspection program. </w:t>
      </w:r>
    </w:p>
    <w:p w14:paraId="69F6C1E6" w14:textId="77777777" w:rsidR="009406F0" w:rsidRDefault="009406F0" w:rsidP="002F5A52"/>
    <w:p w14:paraId="0416F63F" w14:textId="655E33D1" w:rsidR="002F5A52" w:rsidRDefault="002F5A52" w:rsidP="002F5A52">
      <w:r w:rsidRPr="006B014E">
        <w:t xml:space="preserve">Implementation of ITDS is causing the U.S. Department of Agriculture (USDA) to modify requirements for documentation pertaining </w:t>
      </w:r>
      <w:r>
        <w:t xml:space="preserve">to exported </w:t>
      </w:r>
      <w:r w:rsidRPr="006B014E">
        <w:t xml:space="preserve">apples and grapes.  </w:t>
      </w:r>
      <w:r>
        <w:t>ITDS and its connected systems from multiple government agencies</w:t>
      </w:r>
      <w:r w:rsidR="00E3276D">
        <w:t xml:space="preserve"> would create efficiencies by</w:t>
      </w:r>
      <w:r w:rsidR="003522EE">
        <w:t xml:space="preserve"> which shippers </w:t>
      </w:r>
      <w:r w:rsidR="00F9621D">
        <w:t xml:space="preserve">of exported </w:t>
      </w:r>
      <w:r w:rsidRPr="006B014E">
        <w:t xml:space="preserve">apples and grapes </w:t>
      </w:r>
      <w:r w:rsidR="003522EE">
        <w:t xml:space="preserve">would be required </w:t>
      </w:r>
      <w:r w:rsidRPr="006B014E">
        <w:t>to electronically enter an Export Form Certificate number or a USDA-defined exemption code into the Automated Export System</w:t>
      </w:r>
      <w:r>
        <w:t xml:space="preserve"> (AES)</w:t>
      </w:r>
      <w:r w:rsidRPr="006B014E">
        <w:t xml:space="preserve">.  The collection of AES data is approved under the </w:t>
      </w:r>
      <w:r w:rsidRPr="00EE2970">
        <w:t>Census Bureau’s OMB No. 0607-0152.</w:t>
      </w:r>
    </w:p>
    <w:p w14:paraId="5A3F43A1" w14:textId="77777777" w:rsidR="00E3276D" w:rsidRDefault="00E3276D" w:rsidP="002F5A52"/>
    <w:p w14:paraId="1470E63E" w14:textId="63E34DC8" w:rsidR="009A5016" w:rsidRDefault="00E3276D" w:rsidP="009A5016">
      <w:pPr>
        <w:rPr>
          <w:color w:val="000000" w:themeColor="text1"/>
        </w:rPr>
      </w:pPr>
      <w:r>
        <w:rPr>
          <w:color w:val="000000" w:themeColor="text1"/>
        </w:rPr>
        <w:t>M</w:t>
      </w:r>
      <w:r w:rsidRPr="00EA2CFB">
        <w:rPr>
          <w:color w:val="000000" w:themeColor="text1"/>
        </w:rPr>
        <w:t xml:space="preserve">odified procedures would: (1) no longer require </w:t>
      </w:r>
      <w:r>
        <w:rPr>
          <w:color w:val="000000" w:themeColor="text1"/>
        </w:rPr>
        <w:t xml:space="preserve">that </w:t>
      </w:r>
      <w:r w:rsidRPr="00F9621D">
        <w:rPr>
          <w:color w:val="000000" w:themeColor="text1"/>
        </w:rPr>
        <w:t>carriers</w:t>
      </w:r>
      <w:r w:rsidRPr="00EA2CFB">
        <w:rPr>
          <w:color w:val="000000" w:themeColor="text1"/>
        </w:rPr>
        <w:t xml:space="preserve"> </w:t>
      </w:r>
      <w:r w:rsidRPr="00EE2970">
        <w:t xml:space="preserve">retain a copy of the </w:t>
      </w:r>
      <w:r w:rsidR="00E563D1">
        <w:t>SC</w:t>
      </w:r>
      <w:r>
        <w:t xml:space="preserve">-205; and (2) </w:t>
      </w:r>
      <w:r w:rsidR="009A5016">
        <w:rPr>
          <w:color w:val="000000" w:themeColor="text1"/>
        </w:rPr>
        <w:t xml:space="preserve">require </w:t>
      </w:r>
      <w:r w:rsidR="009A5016" w:rsidRPr="00F9621D">
        <w:rPr>
          <w:color w:val="000000" w:themeColor="text1"/>
        </w:rPr>
        <w:t>shippers</w:t>
      </w:r>
      <w:r w:rsidR="009A5016">
        <w:rPr>
          <w:color w:val="000000" w:themeColor="text1"/>
        </w:rPr>
        <w:t xml:space="preserve"> </w:t>
      </w:r>
      <w:r w:rsidRPr="00EA2CFB">
        <w:rPr>
          <w:color w:val="000000" w:themeColor="text1"/>
        </w:rPr>
        <w:t>maintain and provide, upon request, a paper or electronic copy of the SC-205 to USDA when needed to monitor compliance with regulations</w:t>
      </w:r>
      <w:r>
        <w:rPr>
          <w:color w:val="000000" w:themeColor="text1"/>
        </w:rPr>
        <w:t>.</w:t>
      </w:r>
      <w:r w:rsidR="009A5016" w:rsidRPr="009A5016">
        <w:rPr>
          <w:color w:val="000000" w:themeColor="text1"/>
        </w:rPr>
        <w:t xml:space="preserve"> </w:t>
      </w:r>
      <w:r w:rsidR="009A5016">
        <w:rPr>
          <w:color w:val="000000" w:themeColor="text1"/>
        </w:rPr>
        <w:t xml:space="preserve"> The</w:t>
      </w:r>
      <w:r w:rsidR="00E563D1">
        <w:rPr>
          <w:color w:val="000000" w:themeColor="text1"/>
        </w:rPr>
        <w:t xml:space="preserve"> SC-205</w:t>
      </w:r>
      <w:r w:rsidR="009A5016" w:rsidRPr="00EA2CFB">
        <w:rPr>
          <w:color w:val="000000" w:themeColor="text1"/>
        </w:rPr>
        <w:t xml:space="preserve"> </w:t>
      </w:r>
      <w:r w:rsidR="009A5016">
        <w:rPr>
          <w:color w:val="000000" w:themeColor="text1"/>
        </w:rPr>
        <w:t xml:space="preserve">certificates </w:t>
      </w:r>
      <w:r w:rsidR="009A5016">
        <w:rPr>
          <w:color w:val="000000" w:themeColor="text1"/>
        </w:rPr>
        <w:lastRenderedPageBreak/>
        <w:t xml:space="preserve">completed by Federal and State graders </w:t>
      </w:r>
      <w:r w:rsidR="009A5016" w:rsidRPr="00EA2CFB">
        <w:rPr>
          <w:color w:val="000000" w:themeColor="text1"/>
        </w:rPr>
        <w:t xml:space="preserve">are </w:t>
      </w:r>
      <w:r w:rsidR="009A5016">
        <w:rPr>
          <w:color w:val="000000" w:themeColor="text1"/>
        </w:rPr>
        <w:t>either</w:t>
      </w:r>
      <w:r w:rsidR="009A5016" w:rsidRPr="00EA2CFB">
        <w:rPr>
          <w:color w:val="000000" w:themeColor="text1"/>
        </w:rPr>
        <w:t xml:space="preserve"> handwritten, electronically generated or issued under a Documented Quality Assurance prog</w:t>
      </w:r>
      <w:r w:rsidR="009A5016">
        <w:rPr>
          <w:color w:val="000000" w:themeColor="text1"/>
        </w:rPr>
        <w:t xml:space="preserve">ram.  </w:t>
      </w:r>
      <w:r w:rsidR="009A5016">
        <w:t xml:space="preserve">Continued existence of the form on paper is necessary because some State inspection offices are not yet connected to the Federal system that enables other States to complete inspection certificates on laptop computers and electronically transmit inspection results to the Federal inspection headquarters office.  </w:t>
      </w:r>
    </w:p>
    <w:p w14:paraId="316DC728" w14:textId="77777777" w:rsidR="002F5A52" w:rsidRDefault="002F5A52" w:rsidP="007738E2"/>
    <w:p w14:paraId="724E3BF2" w14:textId="69C37722" w:rsidR="009B7A94" w:rsidRDefault="002F5A52" w:rsidP="007738E2">
      <w:r>
        <w:t xml:space="preserve">In addition to issuing the proposed rules, </w:t>
      </w:r>
      <w:r w:rsidR="00E3276D">
        <w:t>AMS</w:t>
      </w:r>
      <w:r w:rsidR="0081798E">
        <w:t xml:space="preserve"> made presentations to trade groups to make </w:t>
      </w:r>
      <w:r w:rsidR="008803BF">
        <w:t xml:space="preserve">impacted </w:t>
      </w:r>
      <w:r w:rsidR="008803BF" w:rsidRPr="00F9621D">
        <w:t>shippers</w:t>
      </w:r>
      <w:r w:rsidR="00DC5CCA">
        <w:t xml:space="preserve"> and </w:t>
      </w:r>
      <w:r w:rsidR="008803BF" w:rsidRPr="00F9621D">
        <w:t>exporters</w:t>
      </w:r>
      <w:r w:rsidR="0081798E">
        <w:t xml:space="preserve"> aware of upcoming changes</w:t>
      </w:r>
      <w:r>
        <w:t xml:space="preserve"> and efficiencies</w:t>
      </w:r>
      <w:r w:rsidR="0081798E">
        <w:t xml:space="preserve"> </w:t>
      </w:r>
      <w:r w:rsidR="00E3276D">
        <w:t>created</w:t>
      </w:r>
      <w:r>
        <w:t xml:space="preserve"> by the implementation of ITDS</w:t>
      </w:r>
      <w:r w:rsidRPr="002F5A52">
        <w:t xml:space="preserve"> </w:t>
      </w:r>
      <w:r>
        <w:t>to the inspection and documentation process</w:t>
      </w:r>
      <w:r w:rsidR="003046C2">
        <w:t xml:space="preserve">.  </w:t>
      </w:r>
      <w:r w:rsidR="00007241">
        <w:rPr>
          <w:color w:val="000000" w:themeColor="text1"/>
        </w:rPr>
        <w:t xml:space="preserve">Throughout 2016, AMS conducted either on-site or video linked presentations to inform </w:t>
      </w:r>
      <w:r w:rsidR="00176388">
        <w:rPr>
          <w:color w:val="000000" w:themeColor="text1"/>
        </w:rPr>
        <w:t xml:space="preserve">an increased population of </w:t>
      </w:r>
      <w:r w:rsidR="00007241">
        <w:rPr>
          <w:color w:val="000000" w:themeColor="text1"/>
        </w:rPr>
        <w:t xml:space="preserve">trade participants </w:t>
      </w:r>
      <w:r w:rsidR="00176388">
        <w:rPr>
          <w:color w:val="000000" w:themeColor="text1"/>
        </w:rPr>
        <w:t>about</w:t>
      </w:r>
      <w:r w:rsidR="00007241">
        <w:rPr>
          <w:color w:val="000000" w:themeColor="text1"/>
        </w:rPr>
        <w:t xml:space="preserve"> upcoming changes.  The presentations took place in border points at Nogales, AZ; Philadelphia, PA; Seattle, WA; Los Angeles and San Diego, CA; Champlain and New York, NY; and Pembina, ND</w:t>
      </w:r>
      <w:r w:rsidR="003B5C48">
        <w:rPr>
          <w:color w:val="000000" w:themeColor="text1"/>
        </w:rPr>
        <w:t>.  A</w:t>
      </w:r>
      <w:r w:rsidR="003046C2">
        <w:t xml:space="preserve"> </w:t>
      </w:r>
      <w:r w:rsidR="00007241">
        <w:t>June 2016 webinar</w:t>
      </w:r>
      <w:r w:rsidR="00C839DE">
        <w:t xml:space="preserve">, </w:t>
      </w:r>
      <w:r w:rsidR="00007241">
        <w:t>a December 2016 Notice to Trade</w:t>
      </w:r>
      <w:r w:rsidR="00C839DE">
        <w:t xml:space="preserve"> and a December 2016 presentation to the joint meeting of the Chilean and American</w:t>
      </w:r>
      <w:r w:rsidR="00007241">
        <w:t xml:space="preserve"> </w:t>
      </w:r>
      <w:r w:rsidR="00C839DE">
        <w:t xml:space="preserve">Chambers of Commerce in Washington, D.C. </w:t>
      </w:r>
      <w:r w:rsidR="00007241">
        <w:t xml:space="preserve">further communicated information to </w:t>
      </w:r>
      <w:r w:rsidR="003328A4">
        <w:t>the newly affected community of produce shippers</w:t>
      </w:r>
      <w:r w:rsidR="00007241">
        <w:t>.</w:t>
      </w:r>
    </w:p>
    <w:p w14:paraId="4A6A3601" w14:textId="77777777" w:rsidR="00EE2970" w:rsidRPr="00EA2CFB" w:rsidRDefault="00EE2970" w:rsidP="00EE2970">
      <w:pPr>
        <w:rPr>
          <w:color w:val="000000" w:themeColor="text1"/>
        </w:rPr>
      </w:pPr>
    </w:p>
    <w:p w14:paraId="16F2870B" w14:textId="77777777" w:rsidR="000A3FAD" w:rsidRDefault="000818C0" w:rsidP="000818C0">
      <w:r>
        <w:t>As a result of these actions, t</w:t>
      </w:r>
      <w:r w:rsidR="004312B0" w:rsidRPr="00430A7D">
        <w:t xml:space="preserve">he total number of respondents </w:t>
      </w:r>
      <w:r w:rsidR="004312B0">
        <w:t xml:space="preserve">would </w:t>
      </w:r>
      <w:r w:rsidR="008803BF">
        <w:t>increase from 74</w:t>
      </w:r>
      <w:r w:rsidR="00A22BC9">
        <w:t xml:space="preserve"> </w:t>
      </w:r>
      <w:r>
        <w:t>shippers</w:t>
      </w:r>
      <w:r w:rsidR="008803BF">
        <w:t xml:space="preserve"> </w:t>
      </w:r>
      <w:r>
        <w:t xml:space="preserve">(which represents 60 apple shippers and 14 grape shippers) </w:t>
      </w:r>
      <w:r w:rsidR="008803BF">
        <w:t>to 200</w:t>
      </w:r>
      <w:r w:rsidR="00A22BC9">
        <w:t xml:space="preserve"> shippers</w:t>
      </w:r>
      <w:r w:rsidR="006D059F">
        <w:t xml:space="preserve"> </w:t>
      </w:r>
      <w:r>
        <w:t>(which represents 150 apple shippers and 50 grape shippers).  AMS is seeking</w:t>
      </w:r>
      <w:r w:rsidR="006D059F">
        <w:t xml:space="preserve"> OMB’s approval for an additional 126 respondents who would </w:t>
      </w:r>
      <w:r w:rsidR="006D059F" w:rsidRPr="006B014E">
        <w:t xml:space="preserve">electronically enter an Export Form Certificate number or a USDA-defined exemption code into </w:t>
      </w:r>
      <w:r w:rsidR="006D059F">
        <w:t xml:space="preserve">the </w:t>
      </w:r>
      <w:r w:rsidR="006D059F" w:rsidRPr="006B014E">
        <w:t>Automated Export System</w:t>
      </w:r>
      <w:r w:rsidR="00D672CC">
        <w:t xml:space="preserve">.  </w:t>
      </w:r>
    </w:p>
    <w:p w14:paraId="5F179FCC" w14:textId="77777777" w:rsidR="000A3FAD" w:rsidRDefault="000A3FAD" w:rsidP="000818C0"/>
    <w:p w14:paraId="207A98BD" w14:textId="321A9188" w:rsidR="00022E26" w:rsidRDefault="00D672CC" w:rsidP="000818C0">
      <w:r>
        <w:t xml:space="preserve">AMS </w:t>
      </w:r>
      <w:r w:rsidR="00412F01">
        <w:t>see</w:t>
      </w:r>
      <w:r w:rsidR="007C5318">
        <w:t>ks approval to add</w:t>
      </w:r>
      <w:r w:rsidR="00412F01">
        <w:t xml:space="preserve"> </w:t>
      </w:r>
      <w:r w:rsidR="00B2166D" w:rsidRPr="008F7106">
        <w:t>204</w:t>
      </w:r>
      <w:r w:rsidR="000A3FAD">
        <w:t xml:space="preserve"> (69.567 for apples and 134.714 for grapes)</w:t>
      </w:r>
      <w:r w:rsidR="007C5318">
        <w:t xml:space="preserve"> to</w:t>
      </w:r>
      <w:r w:rsidR="009406F0">
        <w:t xml:space="preserve"> the previously approved</w:t>
      </w:r>
      <w:r w:rsidR="007C5318">
        <w:t xml:space="preserve"> </w:t>
      </w:r>
      <w:r w:rsidR="007C5318" w:rsidRPr="008F7106">
        <w:t>1,453</w:t>
      </w:r>
      <w:r w:rsidR="007C5318">
        <w:t xml:space="preserve"> </w:t>
      </w:r>
      <w:r w:rsidR="000A3FAD">
        <w:t xml:space="preserve">(705.433 for apples and 747.286 for grapes) </w:t>
      </w:r>
      <w:r w:rsidR="009406F0">
        <w:t>for</w:t>
      </w:r>
      <w:r w:rsidR="004312B0" w:rsidRPr="00430A7D">
        <w:t xml:space="preserve"> responses per respondent</w:t>
      </w:r>
      <w:r w:rsidR="009406F0">
        <w:t>, for a new total of 1,657 responses per respondent.  AMS also seeks to</w:t>
      </w:r>
      <w:r w:rsidR="007C5318">
        <w:t xml:space="preserve"> add </w:t>
      </w:r>
      <w:r w:rsidR="00B2166D" w:rsidRPr="008F7106">
        <w:t>107</w:t>
      </w:r>
      <w:r w:rsidR="009406F0" w:rsidRPr="008F7106">
        <w:t>,</w:t>
      </w:r>
      <w:r w:rsidR="00AB5332">
        <w:t>4</w:t>
      </w:r>
      <w:r w:rsidR="00B2166D" w:rsidRPr="008F7106">
        <w:t>6</w:t>
      </w:r>
      <w:r w:rsidR="00AB5332">
        <w:t>8</w:t>
      </w:r>
      <w:r w:rsidR="007C5318">
        <w:t xml:space="preserve"> to </w:t>
      </w:r>
      <w:r w:rsidR="009406F0">
        <w:t>the previously approved 52,882</w:t>
      </w:r>
      <w:r w:rsidR="007C5318">
        <w:t xml:space="preserve"> </w:t>
      </w:r>
      <w:r w:rsidR="004312B0" w:rsidRPr="00430A7D">
        <w:t>total annual responses</w:t>
      </w:r>
      <w:r w:rsidR="000A3FAD">
        <w:t xml:space="preserve"> for a </w:t>
      </w:r>
      <w:r w:rsidR="00AB5332">
        <w:t>new total of 160,5</w:t>
      </w:r>
      <w:r w:rsidR="000A3FAD">
        <w:t xml:space="preserve">50 total annual responses.  AMS also seeks to </w:t>
      </w:r>
      <w:r w:rsidR="007C5318">
        <w:t xml:space="preserve">add </w:t>
      </w:r>
      <w:r w:rsidR="00AB5332">
        <w:t>12,947.34</w:t>
      </w:r>
      <w:r w:rsidR="007C5318">
        <w:t xml:space="preserve"> to </w:t>
      </w:r>
      <w:r w:rsidR="009406F0">
        <w:t xml:space="preserve">the previously approved </w:t>
      </w:r>
      <w:r w:rsidR="007C5318">
        <w:t>4,381</w:t>
      </w:r>
      <w:r w:rsidR="00AB5332">
        <w:t>.41</w:t>
      </w:r>
      <w:r w:rsidR="007C5318">
        <w:t xml:space="preserve"> </w:t>
      </w:r>
      <w:r w:rsidR="00B2166D">
        <w:t xml:space="preserve">total </w:t>
      </w:r>
      <w:r w:rsidR="004312B0" w:rsidRPr="00430A7D">
        <w:t>burden hours</w:t>
      </w:r>
      <w:r w:rsidR="009406F0">
        <w:t xml:space="preserve"> for a new total of 17,328.75 total burden hours</w:t>
      </w:r>
      <w:r w:rsidR="004312B0">
        <w:t>.</w:t>
      </w:r>
      <w:r w:rsidR="00322F1A">
        <w:t xml:space="preserve">  The time it takes for the respondent to fill out the form has decreased from 5 minutes to 3 minutes.  The electronic form is faster to fill out than the paper copy, hence the decrease in time. </w:t>
      </w:r>
    </w:p>
    <w:p w14:paraId="002E9BCE" w14:textId="171BECC7" w:rsidR="00022E26" w:rsidRDefault="00022E26" w:rsidP="00022E26"/>
    <w:tbl>
      <w:tblPr>
        <w:tblStyle w:val="TableGrid"/>
        <w:tblW w:w="0" w:type="auto"/>
        <w:tblLook w:val="04A0" w:firstRow="1" w:lastRow="0" w:firstColumn="1" w:lastColumn="0" w:noHBand="0" w:noVBand="1"/>
      </w:tblPr>
      <w:tblGrid>
        <w:gridCol w:w="2061"/>
        <w:gridCol w:w="1526"/>
        <w:gridCol w:w="1958"/>
        <w:gridCol w:w="1913"/>
        <w:gridCol w:w="1892"/>
      </w:tblGrid>
      <w:tr w:rsidR="008F7106" w14:paraId="630FD147" w14:textId="77777777" w:rsidTr="008F7106">
        <w:tc>
          <w:tcPr>
            <w:tcW w:w="2061" w:type="dxa"/>
          </w:tcPr>
          <w:p w14:paraId="3EBB69C2" w14:textId="624C2A06" w:rsidR="008F7106" w:rsidRDefault="008F7106" w:rsidP="00022E26"/>
        </w:tc>
        <w:tc>
          <w:tcPr>
            <w:tcW w:w="1526" w:type="dxa"/>
          </w:tcPr>
          <w:p w14:paraId="3595FDA6" w14:textId="09AFDF48" w:rsidR="008F7106" w:rsidRDefault="008F7106" w:rsidP="00022E26">
            <w:r>
              <w:t>Number of Respondents</w:t>
            </w:r>
          </w:p>
        </w:tc>
        <w:tc>
          <w:tcPr>
            <w:tcW w:w="1958" w:type="dxa"/>
          </w:tcPr>
          <w:p w14:paraId="36D513F0" w14:textId="4E192464" w:rsidR="008F7106" w:rsidRDefault="008F7106" w:rsidP="00022E26">
            <w:r>
              <w:t>Number of Responses per Respondent</w:t>
            </w:r>
          </w:p>
        </w:tc>
        <w:tc>
          <w:tcPr>
            <w:tcW w:w="1913" w:type="dxa"/>
          </w:tcPr>
          <w:p w14:paraId="276ABD93" w14:textId="48A3083B" w:rsidR="008F7106" w:rsidRDefault="008F7106" w:rsidP="00022E26">
            <w:r>
              <w:t>Total Annual Responses</w:t>
            </w:r>
          </w:p>
        </w:tc>
        <w:tc>
          <w:tcPr>
            <w:tcW w:w="1892" w:type="dxa"/>
          </w:tcPr>
          <w:p w14:paraId="44F76CA5" w14:textId="68029B4C" w:rsidR="008F7106" w:rsidRDefault="008F7106" w:rsidP="00022E26">
            <w:r>
              <w:t>Total Hours</w:t>
            </w:r>
          </w:p>
        </w:tc>
      </w:tr>
      <w:tr w:rsidR="008F7106" w14:paraId="47C9D52E" w14:textId="77777777" w:rsidTr="008F7106">
        <w:tc>
          <w:tcPr>
            <w:tcW w:w="2061" w:type="dxa"/>
          </w:tcPr>
          <w:p w14:paraId="70DC7ABD" w14:textId="6DB382A5" w:rsidR="008F7106" w:rsidRDefault="008F7106" w:rsidP="00022E26">
            <w:r>
              <w:t>Previously Approved</w:t>
            </w:r>
          </w:p>
        </w:tc>
        <w:tc>
          <w:tcPr>
            <w:tcW w:w="1526" w:type="dxa"/>
          </w:tcPr>
          <w:p w14:paraId="2303B336" w14:textId="1625ABB0" w:rsidR="008F7106" w:rsidRDefault="008F7106" w:rsidP="00F20F45">
            <w:pPr>
              <w:jc w:val="center"/>
            </w:pPr>
            <w:r>
              <w:t>74</w:t>
            </w:r>
          </w:p>
        </w:tc>
        <w:tc>
          <w:tcPr>
            <w:tcW w:w="1958" w:type="dxa"/>
          </w:tcPr>
          <w:p w14:paraId="555D9EB8" w14:textId="5630A3AB" w:rsidR="008F7106" w:rsidRDefault="008F7106" w:rsidP="00F20F45">
            <w:pPr>
              <w:jc w:val="center"/>
            </w:pPr>
            <w:r>
              <w:t>1,453</w:t>
            </w:r>
          </w:p>
        </w:tc>
        <w:tc>
          <w:tcPr>
            <w:tcW w:w="1913" w:type="dxa"/>
          </w:tcPr>
          <w:p w14:paraId="039ECEA4" w14:textId="13560A7F" w:rsidR="008F7106" w:rsidRDefault="008F7106" w:rsidP="00F20F45">
            <w:pPr>
              <w:jc w:val="center"/>
            </w:pPr>
            <w:r>
              <w:t>52,882</w:t>
            </w:r>
          </w:p>
        </w:tc>
        <w:tc>
          <w:tcPr>
            <w:tcW w:w="1892" w:type="dxa"/>
          </w:tcPr>
          <w:p w14:paraId="7E6A1C3A" w14:textId="5579E06A" w:rsidR="008F7106" w:rsidRDefault="008F7106" w:rsidP="00F20F45">
            <w:pPr>
              <w:jc w:val="center"/>
            </w:pPr>
            <w:r>
              <w:t>4,381.41</w:t>
            </w:r>
          </w:p>
        </w:tc>
      </w:tr>
      <w:tr w:rsidR="008F7106" w14:paraId="38CDD449" w14:textId="77777777" w:rsidTr="008F7106">
        <w:tc>
          <w:tcPr>
            <w:tcW w:w="2061" w:type="dxa"/>
          </w:tcPr>
          <w:p w14:paraId="25042625" w14:textId="2763F12D" w:rsidR="008F7106" w:rsidRDefault="008F7106" w:rsidP="00022E26">
            <w:r>
              <w:t>Change Increase</w:t>
            </w:r>
          </w:p>
        </w:tc>
        <w:tc>
          <w:tcPr>
            <w:tcW w:w="1526" w:type="dxa"/>
          </w:tcPr>
          <w:p w14:paraId="4F2A84BE" w14:textId="44D782CC" w:rsidR="008F7106" w:rsidRDefault="008F7106" w:rsidP="00F20F45">
            <w:pPr>
              <w:jc w:val="center"/>
            </w:pPr>
            <w:r>
              <w:t>+126</w:t>
            </w:r>
          </w:p>
        </w:tc>
        <w:tc>
          <w:tcPr>
            <w:tcW w:w="1958" w:type="dxa"/>
          </w:tcPr>
          <w:p w14:paraId="2B382A84" w14:textId="20E41DFF" w:rsidR="008F7106" w:rsidRDefault="00F20F45" w:rsidP="00F20F45">
            <w:pPr>
              <w:jc w:val="center"/>
            </w:pPr>
            <w:r>
              <w:t>+</w:t>
            </w:r>
            <w:bookmarkStart w:id="0" w:name="_GoBack"/>
            <w:bookmarkEnd w:id="0"/>
            <w:r w:rsidR="008F7106">
              <w:t>204</w:t>
            </w:r>
          </w:p>
        </w:tc>
        <w:tc>
          <w:tcPr>
            <w:tcW w:w="1913" w:type="dxa"/>
          </w:tcPr>
          <w:p w14:paraId="24C3D1F6" w14:textId="3B25241B" w:rsidR="008F7106" w:rsidRDefault="008F7106" w:rsidP="00F20F45">
            <w:pPr>
              <w:jc w:val="center"/>
            </w:pPr>
            <w:r>
              <w:t>+107,</w:t>
            </w:r>
            <w:r w:rsidR="00AB5332">
              <w:t>468</w:t>
            </w:r>
          </w:p>
        </w:tc>
        <w:tc>
          <w:tcPr>
            <w:tcW w:w="1892" w:type="dxa"/>
          </w:tcPr>
          <w:p w14:paraId="075A9334" w14:textId="7DF2D93B" w:rsidR="008F7106" w:rsidRDefault="00AB5332" w:rsidP="00F20F45">
            <w:pPr>
              <w:jc w:val="center"/>
            </w:pPr>
            <w:r>
              <w:t>+12,947.34</w:t>
            </w:r>
          </w:p>
        </w:tc>
      </w:tr>
      <w:tr w:rsidR="008F7106" w14:paraId="713ABE5B" w14:textId="77777777" w:rsidTr="008F7106">
        <w:tc>
          <w:tcPr>
            <w:tcW w:w="2061" w:type="dxa"/>
          </w:tcPr>
          <w:p w14:paraId="4B55B64E" w14:textId="083B27B7" w:rsidR="008F7106" w:rsidRDefault="00AB5332" w:rsidP="00022E26">
            <w:r>
              <w:t>Record Keeping</w:t>
            </w:r>
          </w:p>
        </w:tc>
        <w:tc>
          <w:tcPr>
            <w:tcW w:w="1526" w:type="dxa"/>
          </w:tcPr>
          <w:p w14:paraId="2323FE9B" w14:textId="606F4C87" w:rsidR="008F7106" w:rsidRDefault="00AB5332" w:rsidP="00F20F45">
            <w:pPr>
              <w:jc w:val="center"/>
            </w:pPr>
            <w:r>
              <w:t>X</w:t>
            </w:r>
          </w:p>
        </w:tc>
        <w:tc>
          <w:tcPr>
            <w:tcW w:w="1958" w:type="dxa"/>
          </w:tcPr>
          <w:p w14:paraId="323FBA9C" w14:textId="28D7C7F6" w:rsidR="008F7106" w:rsidRDefault="00AB5332" w:rsidP="00F20F45">
            <w:pPr>
              <w:jc w:val="center"/>
            </w:pPr>
            <w:r>
              <w:t>X</w:t>
            </w:r>
          </w:p>
        </w:tc>
        <w:tc>
          <w:tcPr>
            <w:tcW w:w="1913" w:type="dxa"/>
          </w:tcPr>
          <w:p w14:paraId="51E6B834" w14:textId="791EF7F0" w:rsidR="008F7106" w:rsidRDefault="00AB5332" w:rsidP="00F20F45">
            <w:pPr>
              <w:jc w:val="center"/>
            </w:pPr>
            <w:r>
              <w:t>+200</w:t>
            </w:r>
          </w:p>
        </w:tc>
        <w:tc>
          <w:tcPr>
            <w:tcW w:w="1892" w:type="dxa"/>
          </w:tcPr>
          <w:p w14:paraId="1B359250" w14:textId="341AAEA5" w:rsidR="008F7106" w:rsidRDefault="00AB5332" w:rsidP="00F20F45">
            <w:pPr>
              <w:jc w:val="center"/>
            </w:pPr>
            <w:r>
              <w:t>X</w:t>
            </w:r>
          </w:p>
        </w:tc>
      </w:tr>
      <w:tr w:rsidR="00AB5332" w14:paraId="7CBDD5C1" w14:textId="77777777" w:rsidTr="008F7106">
        <w:tc>
          <w:tcPr>
            <w:tcW w:w="2061" w:type="dxa"/>
          </w:tcPr>
          <w:p w14:paraId="2E18E225" w14:textId="66AA453E" w:rsidR="00AB5332" w:rsidRDefault="00AB5332" w:rsidP="00AB5332">
            <w:r>
              <w:t>TOTAL  REQUESTED</w:t>
            </w:r>
          </w:p>
        </w:tc>
        <w:tc>
          <w:tcPr>
            <w:tcW w:w="1526" w:type="dxa"/>
          </w:tcPr>
          <w:p w14:paraId="0BA865F5" w14:textId="3E3834E3" w:rsidR="00AB5332" w:rsidRDefault="00AB5332" w:rsidP="00F20F45">
            <w:pPr>
              <w:jc w:val="center"/>
            </w:pPr>
            <w:r>
              <w:t>200</w:t>
            </w:r>
          </w:p>
        </w:tc>
        <w:tc>
          <w:tcPr>
            <w:tcW w:w="1958" w:type="dxa"/>
          </w:tcPr>
          <w:p w14:paraId="565C2A8A" w14:textId="0D51B9EA" w:rsidR="00AB5332" w:rsidRDefault="00AB5332" w:rsidP="00F20F45">
            <w:pPr>
              <w:jc w:val="center"/>
            </w:pPr>
            <w:r>
              <w:t>1,657</w:t>
            </w:r>
          </w:p>
        </w:tc>
        <w:tc>
          <w:tcPr>
            <w:tcW w:w="1913" w:type="dxa"/>
          </w:tcPr>
          <w:p w14:paraId="28D8D55D" w14:textId="66DD5E5C" w:rsidR="00AB5332" w:rsidRDefault="00AB5332" w:rsidP="00F20F45">
            <w:pPr>
              <w:jc w:val="center"/>
            </w:pPr>
            <w:r>
              <w:t>160,550</w:t>
            </w:r>
          </w:p>
        </w:tc>
        <w:tc>
          <w:tcPr>
            <w:tcW w:w="1892" w:type="dxa"/>
          </w:tcPr>
          <w:p w14:paraId="217E1379" w14:textId="6F04D9B1" w:rsidR="00AB5332" w:rsidRDefault="00AB5332" w:rsidP="00F20F45">
            <w:pPr>
              <w:jc w:val="center"/>
            </w:pPr>
            <w:r>
              <w:t>17,328.75</w:t>
            </w:r>
          </w:p>
        </w:tc>
      </w:tr>
    </w:tbl>
    <w:p w14:paraId="255757F3" w14:textId="77777777" w:rsidR="00F21525" w:rsidRPr="00022E26" w:rsidRDefault="00F21525" w:rsidP="00022E26"/>
    <w:sectPr w:rsidR="00F21525" w:rsidRPr="00022E26" w:rsidSect="00A22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F6AC0"/>
    <w:multiLevelType w:val="hybridMultilevel"/>
    <w:tmpl w:val="6DC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E2"/>
    <w:rsid w:val="0000541D"/>
    <w:rsid w:val="00007241"/>
    <w:rsid w:val="00022E26"/>
    <w:rsid w:val="000818C0"/>
    <w:rsid w:val="000A3FAD"/>
    <w:rsid w:val="000B0AFE"/>
    <w:rsid w:val="000C2B65"/>
    <w:rsid w:val="000F0AE6"/>
    <w:rsid w:val="0016666D"/>
    <w:rsid w:val="00176388"/>
    <w:rsid w:val="001A6102"/>
    <w:rsid w:val="001C7EB6"/>
    <w:rsid w:val="001F0F42"/>
    <w:rsid w:val="00252456"/>
    <w:rsid w:val="00280FFB"/>
    <w:rsid w:val="002E100D"/>
    <w:rsid w:val="002F5A52"/>
    <w:rsid w:val="003046C2"/>
    <w:rsid w:val="00322F1A"/>
    <w:rsid w:val="003328A4"/>
    <w:rsid w:val="003522EE"/>
    <w:rsid w:val="00370273"/>
    <w:rsid w:val="003903CE"/>
    <w:rsid w:val="0039220A"/>
    <w:rsid w:val="003B5C48"/>
    <w:rsid w:val="00412F01"/>
    <w:rsid w:val="004312B0"/>
    <w:rsid w:val="00444CB8"/>
    <w:rsid w:val="004B1AD6"/>
    <w:rsid w:val="004F7389"/>
    <w:rsid w:val="0051718A"/>
    <w:rsid w:val="00582AD9"/>
    <w:rsid w:val="005D7CD7"/>
    <w:rsid w:val="00674902"/>
    <w:rsid w:val="006A4156"/>
    <w:rsid w:val="006B014E"/>
    <w:rsid w:val="006D059F"/>
    <w:rsid w:val="006F7D4B"/>
    <w:rsid w:val="00704351"/>
    <w:rsid w:val="007435F8"/>
    <w:rsid w:val="00765A76"/>
    <w:rsid w:val="007738E2"/>
    <w:rsid w:val="007759F4"/>
    <w:rsid w:val="0079145F"/>
    <w:rsid w:val="007C03FD"/>
    <w:rsid w:val="007C1D79"/>
    <w:rsid w:val="007C5318"/>
    <w:rsid w:val="00812FDD"/>
    <w:rsid w:val="0081798E"/>
    <w:rsid w:val="00852A76"/>
    <w:rsid w:val="008803BF"/>
    <w:rsid w:val="00893A90"/>
    <w:rsid w:val="008F7106"/>
    <w:rsid w:val="009406F0"/>
    <w:rsid w:val="0098648C"/>
    <w:rsid w:val="00986D14"/>
    <w:rsid w:val="00996598"/>
    <w:rsid w:val="009A5016"/>
    <w:rsid w:val="009A53A2"/>
    <w:rsid w:val="009B7A94"/>
    <w:rsid w:val="009C371F"/>
    <w:rsid w:val="009E28B5"/>
    <w:rsid w:val="00A22BC9"/>
    <w:rsid w:val="00A272E0"/>
    <w:rsid w:val="00A56B7B"/>
    <w:rsid w:val="00A672DA"/>
    <w:rsid w:val="00A71A76"/>
    <w:rsid w:val="00A9084D"/>
    <w:rsid w:val="00AB5332"/>
    <w:rsid w:val="00B2166D"/>
    <w:rsid w:val="00BB6374"/>
    <w:rsid w:val="00C1051B"/>
    <w:rsid w:val="00C3733A"/>
    <w:rsid w:val="00C839DE"/>
    <w:rsid w:val="00CA29BD"/>
    <w:rsid w:val="00D166BE"/>
    <w:rsid w:val="00D672CC"/>
    <w:rsid w:val="00DC5CCA"/>
    <w:rsid w:val="00DC73DA"/>
    <w:rsid w:val="00DD1889"/>
    <w:rsid w:val="00DF63D2"/>
    <w:rsid w:val="00E3276D"/>
    <w:rsid w:val="00E563D1"/>
    <w:rsid w:val="00E62206"/>
    <w:rsid w:val="00E73873"/>
    <w:rsid w:val="00E762CC"/>
    <w:rsid w:val="00EA2CFB"/>
    <w:rsid w:val="00EE2970"/>
    <w:rsid w:val="00EE5923"/>
    <w:rsid w:val="00F20F45"/>
    <w:rsid w:val="00F21408"/>
    <w:rsid w:val="00F21525"/>
    <w:rsid w:val="00F9621D"/>
    <w:rsid w:val="00FA5CC3"/>
    <w:rsid w:val="00FC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8B68"/>
  <w15:chartTrackingRefBased/>
  <w15:docId w15:val="{51AB5A50-F67D-458B-A4D7-2B0DC7E6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8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03CE"/>
    <w:rPr>
      <w:sz w:val="16"/>
      <w:szCs w:val="16"/>
    </w:rPr>
  </w:style>
  <w:style w:type="paragraph" w:styleId="CommentText">
    <w:name w:val="annotation text"/>
    <w:basedOn w:val="Normal"/>
    <w:link w:val="CommentTextChar"/>
    <w:uiPriority w:val="99"/>
    <w:semiHidden/>
    <w:unhideWhenUsed/>
    <w:rsid w:val="003903CE"/>
    <w:rPr>
      <w:sz w:val="20"/>
      <w:szCs w:val="20"/>
    </w:rPr>
  </w:style>
  <w:style w:type="character" w:customStyle="1" w:styleId="CommentTextChar">
    <w:name w:val="Comment Text Char"/>
    <w:basedOn w:val="DefaultParagraphFont"/>
    <w:link w:val="CommentText"/>
    <w:uiPriority w:val="99"/>
    <w:semiHidden/>
    <w:rsid w:val="003903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03CE"/>
    <w:rPr>
      <w:b/>
      <w:bCs/>
    </w:rPr>
  </w:style>
  <w:style w:type="character" w:customStyle="1" w:styleId="CommentSubjectChar">
    <w:name w:val="Comment Subject Char"/>
    <w:basedOn w:val="CommentTextChar"/>
    <w:link w:val="CommentSubject"/>
    <w:uiPriority w:val="99"/>
    <w:semiHidden/>
    <w:rsid w:val="003903C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0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CE"/>
    <w:rPr>
      <w:rFonts w:ascii="Segoe UI" w:eastAsia="Times New Roman" w:hAnsi="Segoe UI" w:cs="Segoe UI"/>
      <w:sz w:val="18"/>
      <w:szCs w:val="18"/>
    </w:rPr>
  </w:style>
  <w:style w:type="paragraph" w:styleId="ListParagraph">
    <w:name w:val="List Paragraph"/>
    <w:basedOn w:val="Normal"/>
    <w:uiPriority w:val="34"/>
    <w:qFormat/>
    <w:rsid w:val="00765A76"/>
    <w:pPr>
      <w:ind w:left="720"/>
      <w:contextualSpacing/>
    </w:pPr>
  </w:style>
  <w:style w:type="table" w:styleId="TableGrid">
    <w:name w:val="Table Grid"/>
    <w:basedOn w:val="TableNormal"/>
    <w:uiPriority w:val="39"/>
    <w:rsid w:val="00022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20B0-EE67-4F8A-897C-E3ED0D6B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2017-02-07T20:32:00Z</cp:lastPrinted>
  <dcterms:created xsi:type="dcterms:W3CDTF">2017-02-23T21:05:00Z</dcterms:created>
  <dcterms:modified xsi:type="dcterms:W3CDTF">2017-02-23T21:05:00Z</dcterms:modified>
</cp:coreProperties>
</file>