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619" w:rsidRDefault="00E738BB" w:rsidP="00421B58">
      <w:pPr>
        <w:framePr w:hSpace="180" w:wrap="around" w:vAnchor="text" w:hAnchor="page" w:x="4033" w:y="-869"/>
      </w:pPr>
      <w:bookmarkStart w:id="0" w:name="_GoBack"/>
      <w:bookmarkEnd w:id="0"/>
      <w:r>
        <w:t xml:space="preserve"> </w:t>
      </w:r>
    </w:p>
    <w:p w:rsidR="00996619" w:rsidRDefault="007F47A1">
      <w:pPr>
        <w:framePr w:hSpace="180" w:wrap="around" w:vAnchor="text" w:hAnchor="page" w:x="2161" w:y="-1004"/>
      </w:pPr>
      <w:r>
        <w:rPr>
          <w:noProof/>
        </w:rPr>
        <w:drawing>
          <wp:inline distT="0" distB="0" distL="0" distR="0" wp14:anchorId="2174E47D" wp14:editId="1C6E5B2A">
            <wp:extent cx="762000" cy="5238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b/>
          <w:sz w:val="18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Univers" w:hAnsi="Univers"/>
              <w:b/>
              <w:sz w:val="18"/>
            </w:rPr>
            <w:t>United States</w:t>
          </w:r>
        </w:smartTag>
      </w:smartTag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Department of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</w:pPr>
      <w:r>
        <w:rPr>
          <w:rFonts w:ascii="Univers" w:hAnsi="Univers"/>
          <w:b/>
          <w:sz w:val="18"/>
        </w:rPr>
        <w:t>Agriculture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Food and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Nutrition          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Service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3101 Park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Center Drive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Univers" w:hAnsi="Univers"/>
              <w:sz w:val="16"/>
            </w:rPr>
            <w:t>Alexandria</w:t>
          </w:r>
        </w:smartTag>
        <w:r>
          <w:rPr>
            <w:rFonts w:ascii="Univers" w:hAnsi="Univers"/>
            <w:sz w:val="16"/>
          </w:rPr>
          <w:t xml:space="preserve">, </w:t>
        </w:r>
        <w:smartTag w:uri="urn:schemas-microsoft-com:office:smarttags" w:element="State">
          <w:r>
            <w:rPr>
              <w:rFonts w:ascii="Univers" w:hAnsi="Univers"/>
              <w:sz w:val="16"/>
            </w:rPr>
            <w:t>VA</w:t>
          </w:r>
        </w:smartTag>
      </w:smartTag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22302-1500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>
      <w:pPr>
        <w:rPr>
          <w:sz w:val="24"/>
          <w:szCs w:val="24"/>
        </w:rPr>
      </w:pPr>
    </w:p>
    <w:p w:rsidR="00996619" w:rsidRPr="000A3C27" w:rsidRDefault="00996619">
      <w:pPr>
        <w:ind w:left="270"/>
        <w:rPr>
          <w:rFonts w:ascii="Univers" w:hAnsi="Univers"/>
          <w:sz w:val="24"/>
          <w:szCs w:val="24"/>
        </w:rPr>
      </w:pPr>
    </w:p>
    <w:p w:rsidR="00996619" w:rsidRPr="000A3C27" w:rsidRDefault="00901A84" w:rsidP="00901A84">
      <w:pPr>
        <w:tabs>
          <w:tab w:val="left" w:pos="2160"/>
        </w:tabs>
        <w:jc w:val="center"/>
        <w:rPr>
          <w:sz w:val="24"/>
          <w:szCs w:val="24"/>
        </w:rPr>
      </w:pPr>
      <w:r w:rsidRPr="000A3C27">
        <w:rPr>
          <w:sz w:val="24"/>
          <w:szCs w:val="24"/>
        </w:rPr>
        <w:tab/>
      </w:r>
      <w:r w:rsidRPr="000A3C27">
        <w:rPr>
          <w:sz w:val="24"/>
          <w:szCs w:val="24"/>
        </w:rPr>
        <w:tab/>
      </w:r>
    </w:p>
    <w:p w:rsidR="00EC53EA" w:rsidRPr="000A3C27" w:rsidRDefault="001C0B50" w:rsidP="00EC53EA">
      <w:pPr>
        <w:tabs>
          <w:tab w:val="left" w:pos="2160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0AC263C" wp14:editId="7743ACAD">
                <wp:simplePos x="0" y="0"/>
                <wp:positionH relativeFrom="column">
                  <wp:posOffset>-27305</wp:posOffset>
                </wp:positionH>
                <wp:positionV relativeFrom="paragraph">
                  <wp:posOffset>131445</wp:posOffset>
                </wp:positionV>
                <wp:extent cx="4800600" cy="23145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231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4B74" w:rsidRDefault="00FF4B74" w:rsidP="00FF4B74">
                            <w:pPr>
                              <w:pStyle w:val="SL-FlLftSgl"/>
                            </w:pPr>
                            <w:r>
                              <w:t xml:space="preserve">Date:  </w:t>
                            </w:r>
                            <w:r>
                              <w:tab/>
                            </w:r>
                            <w:r>
                              <w:tab/>
                              <w:t>December 21, 2017</w:t>
                            </w:r>
                          </w:p>
                          <w:p w:rsidR="00FF4B74" w:rsidRDefault="00FF4B74" w:rsidP="00FF4B74">
                            <w:pPr>
                              <w:pStyle w:val="SL-FlLftSgl"/>
                            </w:pPr>
                          </w:p>
                          <w:p w:rsidR="00FF4B74" w:rsidRDefault="00FF4B74" w:rsidP="00FF4B74">
                            <w:pPr>
                              <w:pStyle w:val="SL-FlLftSgl"/>
                              <w:ind w:left="1440" w:hanging="1440"/>
                            </w:pPr>
                            <w:r>
                              <w:t>From:</w:t>
                            </w:r>
                            <w:r>
                              <w:tab/>
                              <w:t xml:space="preserve">Rosemarie Downer, Ph.D., Social Science Researcher; USDA, Food and Nutrition Service (FNS), </w:t>
                            </w:r>
                            <w:r w:rsidRPr="009E63AE">
                              <w:t>Office of Policy Support</w:t>
                            </w:r>
                          </w:p>
                          <w:p w:rsidR="00FF4B74" w:rsidRDefault="00FF4B74" w:rsidP="00FF4B74">
                            <w:pPr>
                              <w:pStyle w:val="SL-FlLftSgl"/>
                            </w:pPr>
                          </w:p>
                          <w:p w:rsidR="00FF4B74" w:rsidRDefault="00FF4B74" w:rsidP="00FF4B74">
                            <w:pPr>
                              <w:pStyle w:val="SL-FlLftSgl"/>
                              <w:ind w:left="1440" w:hanging="1440"/>
                            </w:pPr>
                            <w:r>
                              <w:t xml:space="preserve">Through: </w:t>
                            </w:r>
                            <w:r>
                              <w:tab/>
                              <w:t xml:space="preserve">Rachelle Ragland-Greene Information Collection Officer; FNS, Planning and Regulatory Affairs Office </w:t>
                            </w:r>
                            <w:r w:rsidRPr="00AD5DBC">
                              <w:rPr>
                                <w:rFonts w:ascii="Edwardian Script ITC" w:hAnsi="Edwardian Script ITC"/>
                                <w:i/>
                                <w:sz w:val="36"/>
                                <w:szCs w:val="36"/>
                              </w:rPr>
                              <w:t>rgreeene</w:t>
                            </w:r>
                          </w:p>
                          <w:p w:rsidR="00FF4B74" w:rsidRDefault="00FF4B74" w:rsidP="00FF4B74">
                            <w:pPr>
                              <w:pStyle w:val="SL-FlLftSgl"/>
                            </w:pPr>
                          </w:p>
                          <w:p w:rsidR="00FF4B74" w:rsidRDefault="00FF4B74" w:rsidP="00FF4B74">
                            <w:pPr>
                              <w:pStyle w:val="SL-FlLftSgl"/>
                            </w:pPr>
                            <w:r>
                              <w:t>To:</w:t>
                            </w:r>
                            <w:r>
                              <w:tab/>
                            </w:r>
                            <w:r>
                              <w:tab/>
                              <w:t>Steph Tatham, OMB/OIRA Desk Officer</w:t>
                            </w:r>
                          </w:p>
                          <w:p w:rsidR="00FF4B74" w:rsidRDefault="00FF4B74" w:rsidP="00FF4B74">
                            <w:pPr>
                              <w:pStyle w:val="SL-FlLftSgl"/>
                            </w:pPr>
                          </w:p>
                          <w:p w:rsidR="00FF4B74" w:rsidRDefault="00FF4B74" w:rsidP="00FF4B74">
                            <w:pPr>
                              <w:pStyle w:val="SL-FlLftSgl"/>
                              <w:ind w:left="1440" w:hanging="1440"/>
                            </w:pPr>
                            <w:r>
                              <w:t>Subject:</w:t>
                            </w:r>
                            <w:r>
                              <w:tab/>
                            </w:r>
                            <w:r w:rsidRPr="0016749E">
                              <w:t>ICR Ref. No. 201702-0584-002</w:t>
                            </w:r>
                            <w:r>
                              <w:t xml:space="preserve"> - Proposed Survey Incentives Experiment</w:t>
                            </w:r>
                          </w:p>
                          <w:p w:rsidR="00927A92" w:rsidRPr="00AE556D" w:rsidRDefault="00927A92" w:rsidP="00FF4B74">
                            <w:pPr>
                              <w:tabs>
                                <w:tab w:val="right" w:pos="1080"/>
                                <w:tab w:val="left" w:pos="144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15pt;margin-top:10.35pt;width:378pt;height:18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YR6tQIAALo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" filled="f" stroked="f">
                <v:textbox>
                  <w:txbxContent>
                    <w:p w:rsidR="00FF4B74" w:rsidRDefault="00FF4B74" w:rsidP="00FF4B74">
                      <w:pPr>
                        <w:pStyle w:val="SL-FlLftSgl"/>
                      </w:pPr>
                      <w:r>
                        <w:t xml:space="preserve">Date:  </w:t>
                      </w:r>
                      <w:r>
                        <w:tab/>
                      </w:r>
                      <w:r>
                        <w:tab/>
                        <w:t>December 21, 2017</w:t>
                      </w:r>
                    </w:p>
                    <w:p w:rsidR="00FF4B74" w:rsidRDefault="00FF4B74" w:rsidP="00FF4B74">
                      <w:pPr>
                        <w:pStyle w:val="SL-FlLftSgl"/>
                      </w:pPr>
                    </w:p>
                    <w:p w:rsidR="00FF4B74" w:rsidRDefault="00FF4B74" w:rsidP="00FF4B74">
                      <w:pPr>
                        <w:pStyle w:val="SL-FlLftSgl"/>
                        <w:ind w:left="1440" w:hanging="1440"/>
                      </w:pPr>
                      <w:r>
                        <w:t>From:</w:t>
                      </w:r>
                      <w:r>
                        <w:tab/>
                        <w:t xml:space="preserve">Rosemarie Downer, Ph.D., Social Science Researcher; USDA, Food and Nutrition Service (FNS), </w:t>
                      </w:r>
                      <w:r w:rsidRPr="009E63AE">
                        <w:t>Office of Policy Support</w:t>
                      </w:r>
                    </w:p>
                    <w:p w:rsidR="00FF4B74" w:rsidRDefault="00FF4B74" w:rsidP="00FF4B74">
                      <w:pPr>
                        <w:pStyle w:val="SL-FlLftSgl"/>
                      </w:pPr>
                    </w:p>
                    <w:p w:rsidR="00FF4B74" w:rsidRDefault="00FF4B74" w:rsidP="00FF4B74">
                      <w:pPr>
                        <w:pStyle w:val="SL-FlLftSgl"/>
                        <w:ind w:left="1440" w:hanging="1440"/>
                      </w:pPr>
                      <w:r>
                        <w:t xml:space="preserve">Through: </w:t>
                      </w:r>
                      <w:r>
                        <w:tab/>
                        <w:t xml:space="preserve">Rachelle Ragland-Greene Information Collection Officer; FNS, Planning and Regulatory Affairs Office </w:t>
                      </w:r>
                      <w:r w:rsidRPr="00AD5DBC">
                        <w:rPr>
                          <w:rFonts w:ascii="Edwardian Script ITC" w:hAnsi="Edwardian Script ITC"/>
                          <w:i/>
                          <w:sz w:val="36"/>
                          <w:szCs w:val="36"/>
                        </w:rPr>
                        <w:t>rgreeene</w:t>
                      </w:r>
                    </w:p>
                    <w:p w:rsidR="00FF4B74" w:rsidRDefault="00FF4B74" w:rsidP="00FF4B74">
                      <w:pPr>
                        <w:pStyle w:val="SL-FlLftSgl"/>
                      </w:pPr>
                    </w:p>
                    <w:p w:rsidR="00FF4B74" w:rsidRDefault="00FF4B74" w:rsidP="00FF4B74">
                      <w:pPr>
                        <w:pStyle w:val="SL-FlLftSgl"/>
                      </w:pPr>
                      <w:r>
                        <w:t>To:</w:t>
                      </w:r>
                      <w:r>
                        <w:tab/>
                      </w:r>
                      <w:r>
                        <w:tab/>
                        <w:t>Steph Tatham, OMB/OIRA Desk Officer</w:t>
                      </w:r>
                    </w:p>
                    <w:p w:rsidR="00FF4B74" w:rsidRDefault="00FF4B74" w:rsidP="00FF4B74">
                      <w:pPr>
                        <w:pStyle w:val="SL-FlLftSgl"/>
                      </w:pPr>
                    </w:p>
                    <w:p w:rsidR="00FF4B74" w:rsidRDefault="00FF4B74" w:rsidP="00FF4B74">
                      <w:pPr>
                        <w:pStyle w:val="SL-FlLftSgl"/>
                        <w:ind w:left="1440" w:hanging="1440"/>
                      </w:pPr>
                      <w:r>
                        <w:t>Subject:</w:t>
                      </w:r>
                      <w:r>
                        <w:tab/>
                      </w:r>
                      <w:r w:rsidRPr="0016749E">
                        <w:t>ICR Ref. No. 201702-0584-002</w:t>
                      </w:r>
                      <w:r>
                        <w:t xml:space="preserve"> - Proposed Survey Incentives Experiment</w:t>
                      </w:r>
                    </w:p>
                    <w:p w:rsidR="00927A92" w:rsidRPr="00AE556D" w:rsidRDefault="00927A92" w:rsidP="00FF4B74">
                      <w:pPr>
                        <w:tabs>
                          <w:tab w:val="right" w:pos="1080"/>
                          <w:tab w:val="left" w:pos="144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F870B4" w:rsidP="00F870B4">
      <w:pPr>
        <w:tabs>
          <w:tab w:val="left" w:pos="33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F141C2" w:rsidRPr="000A3C27" w:rsidRDefault="00F141C2" w:rsidP="00BF03F3">
      <w:pPr>
        <w:tabs>
          <w:tab w:val="right" w:pos="1080"/>
          <w:tab w:val="left" w:pos="1260"/>
        </w:tabs>
        <w:rPr>
          <w:sz w:val="24"/>
          <w:szCs w:val="24"/>
        </w:rPr>
      </w:pPr>
    </w:p>
    <w:p w:rsidR="00BF03F3" w:rsidRPr="000A3C27" w:rsidRDefault="00F141C2" w:rsidP="00421B58">
      <w:pPr>
        <w:tabs>
          <w:tab w:val="right" w:pos="1080"/>
          <w:tab w:val="left" w:pos="1260"/>
        </w:tabs>
        <w:rPr>
          <w:sz w:val="24"/>
          <w:szCs w:val="24"/>
        </w:rPr>
      </w:pPr>
      <w:r w:rsidRPr="000A3C27">
        <w:rPr>
          <w:sz w:val="24"/>
          <w:szCs w:val="24"/>
        </w:rPr>
        <w:t xml:space="preserve">     </w:t>
      </w:r>
    </w:p>
    <w:p w:rsidR="000A3C27" w:rsidRPr="000A3C27" w:rsidRDefault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0445E5" w:rsidRDefault="000445E5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FF4B74" w:rsidRPr="00BB3AAF" w:rsidRDefault="00FF4B74" w:rsidP="00FF4B74">
      <w:pPr>
        <w:pStyle w:val="SL-FlLftSgl"/>
        <w:rPr>
          <w:color w:val="000000" w:themeColor="text1"/>
        </w:rPr>
      </w:pPr>
      <w:r w:rsidRPr="00BB3AAF">
        <w:rPr>
          <w:color w:val="000000" w:themeColor="text1"/>
        </w:rPr>
        <w:t xml:space="preserve">In response to OMB’s concern about providing a $5 pre-incentive to the entire study sample in the absence of evidence showing that a pre-survey incentive reduces non-response bias in SNAP participants, FNS is proposing to conduct an experiment within this study.    The proposed experiment would test the effectiveness of survey pre-incentives in combination with post-incentives, as a way to improve survey representativeness and add to the evidence to inform use of incentives in future studies on program participants. </w:t>
      </w:r>
    </w:p>
    <w:p w:rsidR="00FF4B74" w:rsidRPr="00BB3AAF" w:rsidRDefault="00FF4B74" w:rsidP="00FF4B74">
      <w:pPr>
        <w:pStyle w:val="SL-FlLftSgl"/>
        <w:rPr>
          <w:color w:val="000000" w:themeColor="text1"/>
        </w:rPr>
      </w:pPr>
    </w:p>
    <w:p w:rsidR="00FF4B74" w:rsidRPr="00BB3AAF" w:rsidRDefault="00FF4B74" w:rsidP="00FF4B74">
      <w:pPr>
        <w:pStyle w:val="SL-FlLftSgl"/>
        <w:rPr>
          <w:color w:val="000000" w:themeColor="text1"/>
        </w:rPr>
      </w:pPr>
      <w:r w:rsidRPr="00BB3AAF">
        <w:rPr>
          <w:color w:val="000000" w:themeColor="text1"/>
        </w:rPr>
        <w:t>The proposed sample size for this study is 6,593. In the original proposal, we had planned to send out a $5 pre-incentive with all surveys, and provide a $20 post-incentive for all completed surveys. We now propose to randomly assign the sample to one of two groups to test the combination of pre- and post-survey incentives. The design and method would be as follows:</w:t>
      </w:r>
    </w:p>
    <w:p w:rsidR="00FF4B74" w:rsidRPr="00BB3AAF" w:rsidRDefault="00FF4B74" w:rsidP="00FF4B74">
      <w:pPr>
        <w:pStyle w:val="SL-FlLftSgl"/>
        <w:rPr>
          <w:color w:val="000000" w:themeColor="text1"/>
        </w:rPr>
      </w:pPr>
    </w:p>
    <w:p w:rsidR="00FF4B74" w:rsidRPr="00BB3AAF" w:rsidRDefault="00FF4B74" w:rsidP="00FF4B74">
      <w:pPr>
        <w:pStyle w:val="SL-FlLftSgl"/>
        <w:rPr>
          <w:color w:val="000000" w:themeColor="text1"/>
        </w:rPr>
      </w:pPr>
      <w:r w:rsidRPr="00BB3AAF">
        <w:rPr>
          <w:color w:val="000000" w:themeColor="text1"/>
        </w:rPr>
        <w:t>We would sample 6,593 SNAP recipients, as originally proposed. We would then randomly assign recipients to one of two conditions:</w:t>
      </w:r>
    </w:p>
    <w:p w:rsidR="00FF4B74" w:rsidRPr="00BB3AAF" w:rsidRDefault="00FF4B74" w:rsidP="00FF4B74">
      <w:pPr>
        <w:pStyle w:val="SL-FlLftSgl"/>
        <w:numPr>
          <w:ilvl w:val="0"/>
          <w:numId w:val="1"/>
        </w:numPr>
        <w:rPr>
          <w:color w:val="000000" w:themeColor="text1"/>
        </w:rPr>
      </w:pPr>
      <w:r w:rsidRPr="00BB3AAF">
        <w:rPr>
          <w:color w:val="000000" w:themeColor="text1"/>
        </w:rPr>
        <w:t>No pre-incentive; $20 post-incentive for completed surveys;</w:t>
      </w:r>
    </w:p>
    <w:p w:rsidR="00FF4B74" w:rsidRPr="00BB3AAF" w:rsidRDefault="00FF4B74" w:rsidP="00FF4B74">
      <w:pPr>
        <w:pStyle w:val="SL-FlLftSgl"/>
        <w:numPr>
          <w:ilvl w:val="0"/>
          <w:numId w:val="1"/>
        </w:numPr>
        <w:rPr>
          <w:color w:val="000000" w:themeColor="text1"/>
        </w:rPr>
      </w:pPr>
      <w:r w:rsidRPr="00BB3AAF">
        <w:rPr>
          <w:color w:val="000000" w:themeColor="text1"/>
        </w:rPr>
        <w:t>$2 pre-incentive; $20 post-incentive for completed surveys.</w:t>
      </w:r>
    </w:p>
    <w:p w:rsidR="00FF4B74" w:rsidRPr="00BB3AAF" w:rsidRDefault="00FF4B74" w:rsidP="00FF4B74">
      <w:pPr>
        <w:pStyle w:val="SL-FlLftSgl"/>
        <w:rPr>
          <w:color w:val="000000" w:themeColor="text1"/>
        </w:rPr>
      </w:pPr>
    </w:p>
    <w:p w:rsidR="00FF4B74" w:rsidRPr="00BB3AAF" w:rsidRDefault="00FF4B74" w:rsidP="00FF4B74">
      <w:pPr>
        <w:pStyle w:val="SL-FlLftSgl"/>
        <w:rPr>
          <w:color w:val="000000" w:themeColor="text1"/>
        </w:rPr>
      </w:pPr>
      <w:r w:rsidRPr="00BB3AAF">
        <w:rPr>
          <w:color w:val="000000" w:themeColor="text1"/>
        </w:rPr>
        <w:t>We calculate that each incentive subgroup would have an effective size of 2</w:t>
      </w:r>
      <w:r>
        <w:rPr>
          <w:color w:val="000000" w:themeColor="text1"/>
        </w:rPr>
        <w:t>,746,</w:t>
      </w:r>
      <w:r w:rsidRPr="00BB3AAF">
        <w:rPr>
          <w:color w:val="000000" w:themeColor="text1"/>
        </w:rPr>
        <w:t xml:space="preserve"> with a design effect of 1.2. At this size, minimum detectable differences could be seen at a range of subgroup response rates, at both a 0.1 and a 0.05 significance level, as shown in the tables below.</w:t>
      </w:r>
    </w:p>
    <w:p w:rsidR="00FF4B74" w:rsidRPr="00BB3AAF" w:rsidRDefault="00FF4B74" w:rsidP="00FF4B74">
      <w:pPr>
        <w:pStyle w:val="SL-FlLftSgl"/>
        <w:rPr>
          <w:color w:val="000000" w:themeColor="text1"/>
        </w:rPr>
      </w:pPr>
    </w:p>
    <w:p w:rsidR="00FF4B74" w:rsidRPr="00BB3AAF" w:rsidRDefault="00FF4B74" w:rsidP="00FF4B74">
      <w:pPr>
        <w:pStyle w:val="SL-FlLftSgl"/>
        <w:rPr>
          <w:color w:val="000000" w:themeColor="text1"/>
        </w:rPr>
      </w:pPr>
      <w:r w:rsidRPr="00BB3AAF">
        <w:rPr>
          <w:color w:val="000000" w:themeColor="text1"/>
        </w:rPr>
        <w:t>Table 1. Minimum detectable difference for response rates between two subgroups (0.1 level of significance)</w:t>
      </w:r>
    </w:p>
    <w:tbl>
      <w:tblPr>
        <w:tblW w:w="100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  <w:gridCol w:w="825"/>
        <w:gridCol w:w="825"/>
        <w:gridCol w:w="825"/>
        <w:gridCol w:w="825"/>
        <w:gridCol w:w="960"/>
        <w:gridCol w:w="960"/>
        <w:gridCol w:w="960"/>
      </w:tblGrid>
      <w:tr w:rsidR="00FF4B74" w:rsidRPr="00BB3AAF" w:rsidTr="00FF4B74">
        <w:trPr>
          <w:trHeight w:val="300"/>
        </w:trPr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4B74" w:rsidRPr="00BB3AAF" w:rsidRDefault="00FF4B74" w:rsidP="008A7074">
            <w:pPr>
              <w:rPr>
                <w:rFonts w:ascii="Calibri" w:hAnsi="Calibri"/>
                <w:color w:val="000000" w:themeColor="text1"/>
                <w:sz w:val="22"/>
              </w:rPr>
            </w:pPr>
            <w:r w:rsidRPr="00BB3AAF">
              <w:rPr>
                <w:color w:val="000000" w:themeColor="text1"/>
              </w:rPr>
              <w:lastRenderedPageBreak/>
              <w:t>Subgroup response rate (R)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4B74" w:rsidRPr="00BB3AAF" w:rsidRDefault="00FF4B74" w:rsidP="008A7074">
            <w:pPr>
              <w:jc w:val="right"/>
              <w:rPr>
                <w:color w:val="000000" w:themeColor="text1"/>
              </w:rPr>
            </w:pPr>
            <w:r w:rsidRPr="00BB3AAF">
              <w:rPr>
                <w:color w:val="000000" w:themeColor="text1"/>
              </w:rPr>
              <w:t>30%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4B74" w:rsidRPr="00BB3AAF" w:rsidRDefault="00FF4B74" w:rsidP="008A7074">
            <w:pPr>
              <w:jc w:val="right"/>
              <w:rPr>
                <w:color w:val="000000" w:themeColor="text1"/>
              </w:rPr>
            </w:pPr>
            <w:r w:rsidRPr="00BB3AAF">
              <w:rPr>
                <w:color w:val="000000" w:themeColor="text1"/>
              </w:rPr>
              <w:t>40%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4B74" w:rsidRPr="00BB3AAF" w:rsidRDefault="00FF4B74" w:rsidP="008A7074">
            <w:pPr>
              <w:jc w:val="right"/>
              <w:rPr>
                <w:color w:val="000000" w:themeColor="text1"/>
              </w:rPr>
            </w:pPr>
            <w:r w:rsidRPr="00BB3AAF">
              <w:rPr>
                <w:color w:val="000000" w:themeColor="text1"/>
              </w:rPr>
              <w:t>50%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4B74" w:rsidRPr="00BB3AAF" w:rsidRDefault="00FF4B74" w:rsidP="008A7074">
            <w:pPr>
              <w:jc w:val="right"/>
              <w:rPr>
                <w:color w:val="000000" w:themeColor="text1"/>
              </w:rPr>
            </w:pPr>
            <w:r w:rsidRPr="00BB3AAF">
              <w:rPr>
                <w:color w:val="000000" w:themeColor="text1"/>
              </w:rPr>
              <w:t>60%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4B74" w:rsidRPr="00BB3AAF" w:rsidRDefault="00FF4B74" w:rsidP="008A7074">
            <w:pPr>
              <w:jc w:val="right"/>
              <w:rPr>
                <w:color w:val="000000" w:themeColor="text1"/>
              </w:rPr>
            </w:pPr>
            <w:r w:rsidRPr="00BB3AAF">
              <w:rPr>
                <w:color w:val="000000" w:themeColor="text1"/>
              </w:rPr>
              <w:t>70%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4B74" w:rsidRPr="00BB3AAF" w:rsidRDefault="00FF4B74" w:rsidP="008A7074">
            <w:pPr>
              <w:jc w:val="right"/>
              <w:rPr>
                <w:color w:val="000000" w:themeColor="text1"/>
              </w:rPr>
            </w:pPr>
            <w:r w:rsidRPr="00BB3AAF">
              <w:rPr>
                <w:color w:val="000000" w:themeColor="text1"/>
              </w:rPr>
              <w:t>80%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4B74" w:rsidRPr="00BB3AAF" w:rsidRDefault="00FF4B74" w:rsidP="008A7074">
            <w:pPr>
              <w:jc w:val="right"/>
              <w:rPr>
                <w:color w:val="000000" w:themeColor="text1"/>
              </w:rPr>
            </w:pPr>
            <w:r w:rsidRPr="00BB3AAF">
              <w:rPr>
                <w:color w:val="000000" w:themeColor="text1"/>
              </w:rPr>
              <w:t>90%</w:t>
            </w:r>
          </w:p>
        </w:tc>
      </w:tr>
      <w:tr w:rsidR="00FF4B74" w:rsidRPr="00BB3AAF" w:rsidTr="00FF4B74">
        <w:trPr>
          <w:trHeight w:val="300"/>
        </w:trPr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4B74" w:rsidRPr="00BB3AAF" w:rsidRDefault="00FF4B74" w:rsidP="008A7074">
            <w:pPr>
              <w:rPr>
                <w:color w:val="000000" w:themeColor="text1"/>
              </w:rPr>
            </w:pPr>
            <w:r w:rsidRPr="00BB3AAF">
              <w:rPr>
                <w:color w:val="000000" w:themeColor="text1"/>
              </w:rPr>
              <w:t xml:space="preserve">Minimum detectable difference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4B74" w:rsidRPr="00BB3AAF" w:rsidRDefault="00FF4B74" w:rsidP="008A7074">
            <w:pPr>
              <w:jc w:val="right"/>
              <w:rPr>
                <w:color w:val="000000" w:themeColor="text1"/>
              </w:rPr>
            </w:pPr>
            <w:r w:rsidRPr="00BB3AAF">
              <w:rPr>
                <w:color w:val="000000" w:themeColor="text1"/>
              </w:rPr>
              <w:t>2.66%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4B74" w:rsidRPr="00BB3AAF" w:rsidRDefault="00FF4B74" w:rsidP="008A7074">
            <w:pPr>
              <w:jc w:val="right"/>
              <w:rPr>
                <w:color w:val="000000" w:themeColor="text1"/>
              </w:rPr>
            </w:pPr>
            <w:r w:rsidRPr="00BB3AAF">
              <w:rPr>
                <w:color w:val="000000" w:themeColor="text1"/>
              </w:rPr>
              <w:t>2.82%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4B74" w:rsidRPr="00BB3AAF" w:rsidRDefault="00FF4B74" w:rsidP="008A7074">
            <w:pPr>
              <w:jc w:val="right"/>
              <w:rPr>
                <w:color w:val="000000" w:themeColor="text1"/>
              </w:rPr>
            </w:pPr>
            <w:r w:rsidRPr="00BB3AAF">
              <w:rPr>
                <w:color w:val="000000" w:themeColor="text1"/>
              </w:rPr>
              <w:t>2.86%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4B74" w:rsidRPr="00BB3AAF" w:rsidRDefault="00FF4B74" w:rsidP="008A7074">
            <w:pPr>
              <w:jc w:val="right"/>
              <w:rPr>
                <w:color w:val="000000" w:themeColor="text1"/>
              </w:rPr>
            </w:pPr>
            <w:r w:rsidRPr="00BB3AAF">
              <w:rPr>
                <w:color w:val="000000" w:themeColor="text1"/>
              </w:rPr>
              <w:t>2.79%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4B74" w:rsidRPr="00BB3AAF" w:rsidRDefault="00FF4B74" w:rsidP="008A7074">
            <w:pPr>
              <w:jc w:val="right"/>
              <w:rPr>
                <w:color w:val="000000" w:themeColor="text1"/>
              </w:rPr>
            </w:pPr>
            <w:r w:rsidRPr="00BB3AAF">
              <w:rPr>
                <w:color w:val="000000" w:themeColor="text1"/>
              </w:rPr>
              <w:t>2.59%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4B74" w:rsidRPr="00BB3AAF" w:rsidRDefault="00FF4B74" w:rsidP="008A7074">
            <w:pPr>
              <w:jc w:val="right"/>
              <w:rPr>
                <w:color w:val="000000" w:themeColor="text1"/>
              </w:rPr>
            </w:pPr>
            <w:r w:rsidRPr="00BB3AAF">
              <w:rPr>
                <w:color w:val="000000" w:themeColor="text1"/>
              </w:rPr>
              <w:t>2.24%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4B74" w:rsidRPr="00BB3AAF" w:rsidRDefault="00FF4B74" w:rsidP="008A7074">
            <w:pPr>
              <w:jc w:val="right"/>
              <w:rPr>
                <w:color w:val="000000" w:themeColor="text1"/>
              </w:rPr>
            </w:pPr>
            <w:r w:rsidRPr="00BB3AAF">
              <w:rPr>
                <w:color w:val="000000" w:themeColor="text1"/>
              </w:rPr>
              <w:t>1.65%</w:t>
            </w:r>
          </w:p>
        </w:tc>
      </w:tr>
      <w:tr w:rsidR="00FF4B74" w:rsidRPr="00BB3AAF" w:rsidTr="00FF4B74">
        <w:trPr>
          <w:trHeight w:val="300"/>
        </w:trPr>
        <w:tc>
          <w:tcPr>
            <w:tcW w:w="9108" w:type="dxa"/>
            <w:gridSpan w:val="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4B74" w:rsidRPr="00BB3AAF" w:rsidRDefault="00FF4B74" w:rsidP="008A7074">
            <w:pPr>
              <w:rPr>
                <w:rFonts w:ascii="ArialMT" w:hAnsi="ArialMT"/>
                <w:color w:val="000000" w:themeColor="text1"/>
                <w:sz w:val="16"/>
                <w:szCs w:val="16"/>
              </w:rPr>
            </w:pPr>
            <w:r w:rsidRPr="00BB3AAF">
              <w:rPr>
                <w:rFonts w:ascii="ArialMT" w:hAnsi="ArialMT"/>
                <w:color w:val="000000" w:themeColor="text1"/>
                <w:sz w:val="16"/>
                <w:szCs w:val="16"/>
              </w:rPr>
              <w:t>Subgroup sample size = 3296. Assuming a one-sided test with a significance level of 0.1, power of 0.80, and DEFF = 1.2.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4B74" w:rsidRPr="00BB3AAF" w:rsidRDefault="00FF4B74" w:rsidP="008A7074">
            <w:pPr>
              <w:rPr>
                <w:rFonts w:ascii="ArialMT" w:hAnsi="ArialMT"/>
                <w:color w:val="000000" w:themeColor="text1"/>
                <w:sz w:val="16"/>
                <w:szCs w:val="16"/>
              </w:rPr>
            </w:pPr>
          </w:p>
        </w:tc>
      </w:tr>
    </w:tbl>
    <w:p w:rsidR="00FF4B74" w:rsidRPr="00BB3AAF" w:rsidRDefault="00FF4B74" w:rsidP="00FF4B74">
      <w:pPr>
        <w:rPr>
          <w:rFonts w:ascii="Calibri" w:eastAsiaTheme="minorHAnsi" w:hAnsi="Calibri"/>
          <w:color w:val="000000" w:themeColor="text1"/>
          <w:sz w:val="22"/>
          <w:szCs w:val="22"/>
        </w:rPr>
      </w:pPr>
    </w:p>
    <w:p w:rsidR="00FF4B74" w:rsidRPr="00BB3AAF" w:rsidRDefault="00FF4B74" w:rsidP="00FF4B74">
      <w:pPr>
        <w:pStyle w:val="SL-FlLftSgl"/>
        <w:rPr>
          <w:color w:val="000000" w:themeColor="text1"/>
        </w:rPr>
      </w:pPr>
      <w:r w:rsidRPr="00BB3AAF">
        <w:rPr>
          <w:color w:val="000000" w:themeColor="text1"/>
        </w:rPr>
        <w:t>Table 2. Minimum detectable difference for response rates between two subgroups (0.5 level of significance)</w:t>
      </w:r>
    </w:p>
    <w:tbl>
      <w:tblPr>
        <w:tblW w:w="100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  <w:gridCol w:w="819"/>
        <w:gridCol w:w="818"/>
        <w:gridCol w:w="818"/>
        <w:gridCol w:w="818"/>
        <w:gridCol w:w="960"/>
        <w:gridCol w:w="960"/>
        <w:gridCol w:w="960"/>
      </w:tblGrid>
      <w:tr w:rsidR="00FF4B74" w:rsidRPr="00BB3AAF" w:rsidTr="00FF4B74">
        <w:trPr>
          <w:trHeight w:val="300"/>
        </w:trPr>
        <w:tc>
          <w:tcPr>
            <w:tcW w:w="7161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4B74" w:rsidRPr="00BB3AAF" w:rsidRDefault="00FF4B74" w:rsidP="008A7074">
            <w:pPr>
              <w:rPr>
                <w:rFonts w:ascii="FranklinGothic-Medium" w:eastAsiaTheme="minorHAnsi" w:hAnsi="FranklinGothic-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4B74" w:rsidRPr="00BB3AAF" w:rsidRDefault="00FF4B74" w:rsidP="008A7074">
            <w:pPr>
              <w:rPr>
                <w:color w:val="000000" w:themeColor="text1"/>
              </w:rPr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4B74" w:rsidRPr="00BB3AAF" w:rsidRDefault="00FF4B74" w:rsidP="008A7074">
            <w:pPr>
              <w:rPr>
                <w:color w:val="000000" w:themeColor="text1"/>
              </w:rPr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4B74" w:rsidRPr="00BB3AAF" w:rsidRDefault="00FF4B74" w:rsidP="008A7074">
            <w:pPr>
              <w:rPr>
                <w:color w:val="000000" w:themeColor="text1"/>
              </w:rPr>
            </w:pPr>
          </w:p>
        </w:tc>
      </w:tr>
      <w:tr w:rsidR="00FF4B74" w:rsidRPr="00BB3AAF" w:rsidTr="00FF4B74">
        <w:trPr>
          <w:trHeight w:val="300"/>
        </w:trPr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4B74" w:rsidRPr="00BB3AAF" w:rsidRDefault="00FF4B74" w:rsidP="008A7074">
            <w:pPr>
              <w:rPr>
                <w:rFonts w:ascii="Calibri" w:eastAsiaTheme="minorHAnsi" w:hAnsi="Calibri"/>
                <w:color w:val="000000" w:themeColor="text1"/>
                <w:sz w:val="22"/>
                <w:szCs w:val="22"/>
              </w:rPr>
            </w:pPr>
            <w:r w:rsidRPr="00BB3AAF">
              <w:rPr>
                <w:color w:val="000000" w:themeColor="text1"/>
              </w:rPr>
              <w:t>Subgroup response rate (R)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4B74" w:rsidRPr="00BB3AAF" w:rsidRDefault="00FF4B74" w:rsidP="008A7074">
            <w:pPr>
              <w:jc w:val="right"/>
              <w:rPr>
                <w:rFonts w:ascii="Calibri" w:eastAsiaTheme="minorHAnsi" w:hAnsi="Calibri"/>
                <w:color w:val="000000" w:themeColor="text1"/>
                <w:sz w:val="22"/>
                <w:szCs w:val="22"/>
              </w:rPr>
            </w:pPr>
            <w:r w:rsidRPr="00BB3AAF">
              <w:rPr>
                <w:color w:val="000000" w:themeColor="text1"/>
              </w:rPr>
              <w:t>30%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4B74" w:rsidRPr="00BB3AAF" w:rsidRDefault="00FF4B74" w:rsidP="008A7074">
            <w:pPr>
              <w:jc w:val="right"/>
              <w:rPr>
                <w:rFonts w:ascii="Calibri" w:eastAsiaTheme="minorHAnsi" w:hAnsi="Calibri"/>
                <w:color w:val="000000" w:themeColor="text1"/>
                <w:sz w:val="22"/>
                <w:szCs w:val="22"/>
              </w:rPr>
            </w:pPr>
            <w:r w:rsidRPr="00BB3AAF">
              <w:rPr>
                <w:color w:val="000000" w:themeColor="text1"/>
              </w:rPr>
              <w:t>40%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4B74" w:rsidRPr="00BB3AAF" w:rsidRDefault="00FF4B74" w:rsidP="008A7074">
            <w:pPr>
              <w:jc w:val="right"/>
              <w:rPr>
                <w:rFonts w:ascii="Calibri" w:eastAsiaTheme="minorHAnsi" w:hAnsi="Calibri"/>
                <w:color w:val="000000" w:themeColor="text1"/>
                <w:sz w:val="22"/>
                <w:szCs w:val="22"/>
              </w:rPr>
            </w:pPr>
            <w:r w:rsidRPr="00BB3AAF">
              <w:rPr>
                <w:color w:val="000000" w:themeColor="text1"/>
              </w:rPr>
              <w:t>50%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4B74" w:rsidRPr="00BB3AAF" w:rsidRDefault="00FF4B74" w:rsidP="008A7074">
            <w:pPr>
              <w:jc w:val="right"/>
              <w:rPr>
                <w:rFonts w:ascii="Calibri" w:eastAsiaTheme="minorHAnsi" w:hAnsi="Calibri"/>
                <w:color w:val="000000" w:themeColor="text1"/>
                <w:sz w:val="22"/>
                <w:szCs w:val="22"/>
              </w:rPr>
            </w:pPr>
            <w:r w:rsidRPr="00BB3AAF">
              <w:rPr>
                <w:color w:val="000000" w:themeColor="text1"/>
              </w:rPr>
              <w:t>60%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4B74" w:rsidRPr="00BB3AAF" w:rsidRDefault="00FF4B74" w:rsidP="008A7074">
            <w:pPr>
              <w:jc w:val="right"/>
              <w:rPr>
                <w:rFonts w:ascii="Calibri" w:eastAsiaTheme="minorHAnsi" w:hAnsi="Calibri"/>
                <w:color w:val="000000" w:themeColor="text1"/>
                <w:sz w:val="22"/>
                <w:szCs w:val="22"/>
              </w:rPr>
            </w:pPr>
            <w:r w:rsidRPr="00BB3AAF">
              <w:rPr>
                <w:color w:val="000000" w:themeColor="text1"/>
              </w:rPr>
              <w:t>70%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4B74" w:rsidRPr="00BB3AAF" w:rsidRDefault="00FF4B74" w:rsidP="008A7074">
            <w:pPr>
              <w:jc w:val="right"/>
              <w:rPr>
                <w:rFonts w:ascii="Calibri" w:eastAsiaTheme="minorHAnsi" w:hAnsi="Calibri"/>
                <w:color w:val="000000" w:themeColor="text1"/>
                <w:sz w:val="22"/>
                <w:szCs w:val="22"/>
              </w:rPr>
            </w:pPr>
            <w:r w:rsidRPr="00BB3AAF">
              <w:rPr>
                <w:color w:val="000000" w:themeColor="text1"/>
              </w:rPr>
              <w:t>80%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4B74" w:rsidRPr="00BB3AAF" w:rsidRDefault="00FF4B74" w:rsidP="008A7074">
            <w:pPr>
              <w:jc w:val="right"/>
              <w:rPr>
                <w:rFonts w:ascii="Calibri" w:eastAsiaTheme="minorHAnsi" w:hAnsi="Calibri"/>
                <w:color w:val="000000" w:themeColor="text1"/>
                <w:sz w:val="22"/>
                <w:szCs w:val="22"/>
              </w:rPr>
            </w:pPr>
            <w:r w:rsidRPr="00BB3AAF">
              <w:rPr>
                <w:color w:val="000000" w:themeColor="text1"/>
              </w:rPr>
              <w:t>90%</w:t>
            </w:r>
          </w:p>
        </w:tc>
      </w:tr>
      <w:tr w:rsidR="00FF4B74" w:rsidRPr="00BB3AAF" w:rsidTr="00FF4B74">
        <w:trPr>
          <w:trHeight w:val="300"/>
        </w:trPr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4B74" w:rsidRPr="00BB3AAF" w:rsidRDefault="00FF4B74" w:rsidP="008A7074">
            <w:pPr>
              <w:rPr>
                <w:rFonts w:ascii="Calibri" w:eastAsiaTheme="minorHAnsi" w:hAnsi="Calibri"/>
                <w:color w:val="000000" w:themeColor="text1"/>
                <w:sz w:val="22"/>
                <w:szCs w:val="22"/>
              </w:rPr>
            </w:pPr>
            <w:r w:rsidRPr="00BB3AAF">
              <w:rPr>
                <w:color w:val="000000" w:themeColor="text1"/>
              </w:rPr>
              <w:t xml:space="preserve">Minimum detectable difference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4B74" w:rsidRPr="00BB3AAF" w:rsidRDefault="00FF4B74" w:rsidP="008A7074">
            <w:pPr>
              <w:jc w:val="right"/>
              <w:rPr>
                <w:rFonts w:ascii="Calibri" w:eastAsiaTheme="minorHAnsi" w:hAnsi="Calibri"/>
                <w:color w:val="000000" w:themeColor="text1"/>
                <w:sz w:val="22"/>
                <w:szCs w:val="22"/>
              </w:rPr>
            </w:pPr>
            <w:r w:rsidRPr="00BB3AAF">
              <w:rPr>
                <w:color w:val="000000" w:themeColor="text1"/>
              </w:rPr>
              <w:t>3.12%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4B74" w:rsidRPr="00BB3AAF" w:rsidRDefault="00FF4B74" w:rsidP="008A7074">
            <w:pPr>
              <w:jc w:val="right"/>
              <w:rPr>
                <w:rFonts w:ascii="Calibri" w:eastAsiaTheme="minorHAnsi" w:hAnsi="Calibri"/>
                <w:color w:val="000000" w:themeColor="text1"/>
                <w:sz w:val="22"/>
                <w:szCs w:val="22"/>
              </w:rPr>
            </w:pPr>
            <w:r w:rsidRPr="00BB3AAF">
              <w:rPr>
                <w:color w:val="000000" w:themeColor="text1"/>
              </w:rPr>
              <w:t>3.31%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4B74" w:rsidRPr="00BB3AAF" w:rsidRDefault="00FF4B74" w:rsidP="008A7074">
            <w:pPr>
              <w:jc w:val="right"/>
              <w:rPr>
                <w:rFonts w:ascii="Calibri" w:eastAsiaTheme="minorHAnsi" w:hAnsi="Calibri"/>
                <w:color w:val="000000" w:themeColor="text1"/>
                <w:sz w:val="22"/>
                <w:szCs w:val="22"/>
              </w:rPr>
            </w:pPr>
            <w:r w:rsidRPr="00BB3AAF">
              <w:rPr>
                <w:color w:val="000000" w:themeColor="text1"/>
              </w:rPr>
              <w:t>3.35%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4B74" w:rsidRPr="00BB3AAF" w:rsidRDefault="00FF4B74" w:rsidP="008A7074">
            <w:pPr>
              <w:jc w:val="right"/>
              <w:rPr>
                <w:rFonts w:ascii="Calibri" w:eastAsiaTheme="minorHAnsi" w:hAnsi="Calibri"/>
                <w:color w:val="000000" w:themeColor="text1"/>
                <w:sz w:val="22"/>
                <w:szCs w:val="22"/>
              </w:rPr>
            </w:pPr>
            <w:r w:rsidRPr="00BB3AAF">
              <w:rPr>
                <w:color w:val="000000" w:themeColor="text1"/>
              </w:rPr>
              <w:t>3.26%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4B74" w:rsidRPr="00BB3AAF" w:rsidRDefault="00FF4B74" w:rsidP="008A7074">
            <w:pPr>
              <w:jc w:val="right"/>
              <w:rPr>
                <w:rFonts w:ascii="Calibri" w:eastAsiaTheme="minorHAnsi" w:hAnsi="Calibri"/>
                <w:color w:val="000000" w:themeColor="text1"/>
                <w:sz w:val="22"/>
                <w:szCs w:val="22"/>
              </w:rPr>
            </w:pPr>
            <w:r w:rsidRPr="00BB3AAF">
              <w:rPr>
                <w:color w:val="000000" w:themeColor="text1"/>
              </w:rPr>
              <w:t>3.03%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4B74" w:rsidRPr="00BB3AAF" w:rsidRDefault="00FF4B74" w:rsidP="008A7074">
            <w:pPr>
              <w:jc w:val="right"/>
              <w:rPr>
                <w:rFonts w:ascii="Calibri" w:eastAsiaTheme="minorHAnsi" w:hAnsi="Calibri"/>
                <w:color w:val="000000" w:themeColor="text1"/>
                <w:sz w:val="22"/>
                <w:szCs w:val="22"/>
              </w:rPr>
            </w:pPr>
            <w:r w:rsidRPr="00BB3AAF">
              <w:rPr>
                <w:color w:val="000000" w:themeColor="text1"/>
              </w:rPr>
              <w:t>2.62%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4B74" w:rsidRPr="00BB3AAF" w:rsidRDefault="00FF4B74" w:rsidP="008A7074">
            <w:pPr>
              <w:jc w:val="right"/>
              <w:rPr>
                <w:rFonts w:ascii="Calibri" w:eastAsiaTheme="minorHAnsi" w:hAnsi="Calibri"/>
                <w:color w:val="000000" w:themeColor="text1"/>
                <w:sz w:val="22"/>
                <w:szCs w:val="22"/>
              </w:rPr>
            </w:pPr>
            <w:r w:rsidRPr="00BB3AAF">
              <w:rPr>
                <w:color w:val="000000" w:themeColor="text1"/>
              </w:rPr>
              <w:t>1.92%</w:t>
            </w:r>
          </w:p>
        </w:tc>
      </w:tr>
      <w:tr w:rsidR="00FF4B74" w:rsidRPr="00BB3AAF" w:rsidTr="00FF4B74">
        <w:trPr>
          <w:trHeight w:val="300"/>
        </w:trPr>
        <w:tc>
          <w:tcPr>
            <w:tcW w:w="9081" w:type="dxa"/>
            <w:gridSpan w:val="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4B74" w:rsidRPr="00BB3AAF" w:rsidRDefault="00FF4B74" w:rsidP="008A7074">
            <w:pPr>
              <w:rPr>
                <w:rFonts w:ascii="ArialMT" w:eastAsiaTheme="minorHAnsi" w:hAnsi="ArialMT"/>
                <w:color w:val="000000" w:themeColor="text1"/>
                <w:sz w:val="16"/>
                <w:szCs w:val="16"/>
              </w:rPr>
            </w:pPr>
            <w:r w:rsidRPr="00BB3AAF">
              <w:rPr>
                <w:rFonts w:ascii="ArialMT" w:hAnsi="ArialMT"/>
                <w:color w:val="000000" w:themeColor="text1"/>
                <w:sz w:val="16"/>
                <w:szCs w:val="16"/>
              </w:rPr>
              <w:t>Subgroup sample size = 3296. Assuming a one-sided test with a significance level of 0.05, power of 0.80, and DEFF = 1.2.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4B74" w:rsidRPr="00BB3AAF" w:rsidRDefault="00FF4B74" w:rsidP="008A7074">
            <w:pPr>
              <w:rPr>
                <w:color w:val="000000" w:themeColor="text1"/>
              </w:rPr>
            </w:pPr>
          </w:p>
        </w:tc>
      </w:tr>
    </w:tbl>
    <w:p w:rsidR="00FF4B74" w:rsidRPr="00BB3AAF" w:rsidRDefault="00FF4B74" w:rsidP="00FF4B74">
      <w:pPr>
        <w:rPr>
          <w:rFonts w:ascii="Calibri" w:eastAsiaTheme="minorHAnsi" w:hAnsi="Calibri"/>
          <w:color w:val="000000" w:themeColor="text1"/>
          <w:sz w:val="22"/>
          <w:szCs w:val="22"/>
        </w:rPr>
      </w:pPr>
    </w:p>
    <w:p w:rsidR="00FF4B74" w:rsidRPr="00BB3AAF" w:rsidRDefault="00FF4B74" w:rsidP="00FF4B74">
      <w:pPr>
        <w:pStyle w:val="SL-FlLftSgl"/>
        <w:rPr>
          <w:color w:val="000000" w:themeColor="text1"/>
        </w:rPr>
      </w:pPr>
      <w:r w:rsidRPr="00BB3AAF">
        <w:rPr>
          <w:color w:val="000000" w:themeColor="text1"/>
        </w:rPr>
        <w:t>We would then analyze the response rates to determine the effectiveness of including a pre-incentive with a post-incentive on response rates. As subgroup response rates allow, we will examine the effect of pre-incentives on response rates within additional strata, including race; gender; education level; and household size.</w:t>
      </w:r>
    </w:p>
    <w:p w:rsidR="00FF4B74" w:rsidRPr="00BB3AAF" w:rsidRDefault="00FF4B74" w:rsidP="00FF4B74">
      <w:pPr>
        <w:pStyle w:val="SL-FlLftSgl"/>
        <w:rPr>
          <w:color w:val="000000" w:themeColor="text1"/>
        </w:rPr>
      </w:pPr>
    </w:p>
    <w:p w:rsidR="00FF4B74" w:rsidRPr="00BB3AAF" w:rsidRDefault="00FF4B74" w:rsidP="00FF4B74">
      <w:pPr>
        <w:pStyle w:val="SL-FlLftSgl"/>
        <w:rPr>
          <w:color w:val="000000" w:themeColor="text1"/>
        </w:rPr>
      </w:pPr>
      <w:r w:rsidRPr="00BB3AAF">
        <w:rPr>
          <w:color w:val="000000" w:themeColor="text1"/>
        </w:rPr>
        <w:t>This experiment will provide valuable evidence for future studies. To date, no study has examined the effectiveness of providing no pre-incentive in combination with a post-incentive versus a small pre-incentive in combination with the post incentive on survey response rates of SNAP populations, or on any population of program recipients. Evidence from broader samples suggests that pre-incentives increase response rates and survey representativeness substantially, but this effect has not yet been tested in SNAP populations.</w:t>
      </w:r>
      <w:r w:rsidRPr="00BB3AAF">
        <w:rPr>
          <w:rStyle w:val="FootnoteReference"/>
          <w:color w:val="000000" w:themeColor="text1"/>
        </w:rPr>
        <w:footnoteReference w:id="1"/>
      </w:r>
      <w:r w:rsidRPr="00BB3AAF">
        <w:rPr>
          <w:color w:val="000000" w:themeColor="text1"/>
        </w:rPr>
        <w:t xml:space="preserve"> The results of this experiment will thus help in designing representative studies of SNAP populations and other program recipient populations in the future.</w:t>
      </w:r>
    </w:p>
    <w:p w:rsidR="00FF4B74" w:rsidRDefault="00FF4B74" w:rsidP="00FF4B74"/>
    <w:p w:rsidR="00FF4B74" w:rsidRDefault="00FF4B74">
      <w:pPr>
        <w:tabs>
          <w:tab w:val="left" w:pos="2160"/>
        </w:tabs>
        <w:jc w:val="right"/>
      </w:pPr>
    </w:p>
    <w:p w:rsidR="00FF4B74" w:rsidRPr="00FF4B74" w:rsidRDefault="00FF4B74" w:rsidP="00FF4B74"/>
    <w:p w:rsidR="00FF4B74" w:rsidRPr="00FF4B74" w:rsidRDefault="00FF4B74" w:rsidP="00FF4B74"/>
    <w:p w:rsidR="00FF4B74" w:rsidRPr="00FF4B74" w:rsidRDefault="00FF4B74" w:rsidP="00FF4B74"/>
    <w:p w:rsidR="00FF4B74" w:rsidRPr="00FF4B74" w:rsidRDefault="00FF4B74" w:rsidP="00FF4B74"/>
    <w:p w:rsidR="00FF4B74" w:rsidRPr="00FF4B74" w:rsidRDefault="00FF4B74" w:rsidP="00FF4B74"/>
    <w:p w:rsidR="00FF4B74" w:rsidRPr="00FF4B74" w:rsidRDefault="00FF4B74" w:rsidP="00FF4B74"/>
    <w:p w:rsidR="00FF4B74" w:rsidRPr="00FF4B74" w:rsidRDefault="00FF4B74" w:rsidP="00FF4B74"/>
    <w:p w:rsidR="00FF4B74" w:rsidRPr="00FF4B74" w:rsidRDefault="00FF4B74" w:rsidP="00FF4B74"/>
    <w:p w:rsidR="00FF4B74" w:rsidRPr="00FF4B74" w:rsidRDefault="00FF4B74" w:rsidP="00FF4B74"/>
    <w:p w:rsidR="00FF4B74" w:rsidRPr="00FF4B74" w:rsidRDefault="00FF4B74" w:rsidP="00FF4B74"/>
    <w:p w:rsidR="00FF4B74" w:rsidRPr="00FF4B74" w:rsidRDefault="00FF4B74" w:rsidP="00FF4B74"/>
    <w:p w:rsidR="00FF4B74" w:rsidRPr="00FF4B74" w:rsidRDefault="00FF4B74" w:rsidP="00FF4B74"/>
    <w:p w:rsidR="00FF4B74" w:rsidRPr="00FF4B74" w:rsidRDefault="00FF4B74" w:rsidP="00FF4B74"/>
    <w:p w:rsidR="00FF4B74" w:rsidRPr="00FF4B74" w:rsidRDefault="00FF4B74" w:rsidP="00FF4B74"/>
    <w:p w:rsidR="00FF4B74" w:rsidRPr="00FF4B74" w:rsidRDefault="00FF4B74" w:rsidP="00FF4B74"/>
    <w:p w:rsidR="00FF4B74" w:rsidRPr="00FF4B74" w:rsidRDefault="00FF4B74" w:rsidP="00FF4B74"/>
    <w:p w:rsidR="00FF4B74" w:rsidRPr="00FF4B74" w:rsidRDefault="00FF4B74" w:rsidP="00FF4B74"/>
    <w:p w:rsidR="00FF4B74" w:rsidRPr="00FF4B74" w:rsidRDefault="00FF4B74" w:rsidP="00FF4B74"/>
    <w:p w:rsidR="00FF4B74" w:rsidRPr="00FF4B74" w:rsidRDefault="00FF4B74" w:rsidP="00FF4B74"/>
    <w:p w:rsidR="00FF4B74" w:rsidRPr="00FF4B74" w:rsidRDefault="00FF4B74" w:rsidP="00FF4B74"/>
    <w:p w:rsidR="00FF4B74" w:rsidRDefault="00FF4B74" w:rsidP="00FF4B74"/>
    <w:p w:rsidR="00FF4B74" w:rsidRDefault="00FF4B74" w:rsidP="00FF4B74"/>
    <w:p w:rsidR="00996619" w:rsidRPr="00FF4B74" w:rsidRDefault="00996619" w:rsidP="00FF4B74">
      <w:pPr>
        <w:tabs>
          <w:tab w:val="left" w:pos="1530"/>
        </w:tabs>
      </w:pPr>
    </w:p>
    <w:sectPr w:rsidR="00996619" w:rsidRPr="00FF4B74" w:rsidSect="00302A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360" w:left="1800" w:header="720" w:footer="1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8A1" w:rsidRDefault="004678A1">
      <w:r>
        <w:separator/>
      </w:r>
    </w:p>
  </w:endnote>
  <w:endnote w:type="continuationSeparator" w:id="0">
    <w:p w:rsidR="004678A1" w:rsidRDefault="0046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Times New Roman"/>
    <w:charset w:val="00"/>
    <w:family w:val="auto"/>
    <w:pitch w:val="default"/>
  </w:font>
  <w:font w:name="FranklinGothic-Medium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74" w:rsidRDefault="00FF4B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30348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4B74" w:rsidRDefault="00FF4B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49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27A92" w:rsidRDefault="00927A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74" w:rsidRDefault="00FF4B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8A1" w:rsidRDefault="004678A1">
      <w:r>
        <w:separator/>
      </w:r>
    </w:p>
  </w:footnote>
  <w:footnote w:type="continuationSeparator" w:id="0">
    <w:p w:rsidR="004678A1" w:rsidRDefault="004678A1">
      <w:r>
        <w:continuationSeparator/>
      </w:r>
    </w:p>
  </w:footnote>
  <w:footnote w:id="1">
    <w:p w:rsidR="00FF4B74" w:rsidRPr="00FD43FF" w:rsidRDefault="00FF4B74" w:rsidP="00FF4B74">
      <w:pPr>
        <w:pStyle w:val="FootnoteText"/>
      </w:pPr>
      <w:r>
        <w:rPr>
          <w:rStyle w:val="FootnoteReference"/>
        </w:rPr>
        <w:footnoteRef/>
      </w:r>
      <w:r>
        <w:t xml:space="preserve"> Mercer, A, Caporaso A, Cantor D, Townsend R. (2015). How much gets you how much? Monetary incentives and response rates in household surveys. </w:t>
      </w:r>
      <w:r>
        <w:rPr>
          <w:i/>
        </w:rPr>
        <w:t>Public Opinion Quarterly</w:t>
      </w:r>
      <w:r>
        <w:t>, 79: 105-129.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74" w:rsidRDefault="00FF4B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74" w:rsidRDefault="00FF4B7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74" w:rsidRDefault="00FF4B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403D9"/>
    <w:multiLevelType w:val="hybridMultilevel"/>
    <w:tmpl w:val="765AF6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390"/>
    <w:rsid w:val="000445E5"/>
    <w:rsid w:val="0004533D"/>
    <w:rsid w:val="000A3C27"/>
    <w:rsid w:val="000C069B"/>
    <w:rsid w:val="000F5EC5"/>
    <w:rsid w:val="00102913"/>
    <w:rsid w:val="0010535F"/>
    <w:rsid w:val="001316E3"/>
    <w:rsid w:val="001530A5"/>
    <w:rsid w:val="00181485"/>
    <w:rsid w:val="001A799E"/>
    <w:rsid w:val="001C0B50"/>
    <w:rsid w:val="002162ED"/>
    <w:rsid w:val="00296AA6"/>
    <w:rsid w:val="002A0C21"/>
    <w:rsid w:val="002C064D"/>
    <w:rsid w:val="00302AA0"/>
    <w:rsid w:val="00344992"/>
    <w:rsid w:val="00354105"/>
    <w:rsid w:val="00371F24"/>
    <w:rsid w:val="003D774A"/>
    <w:rsid w:val="003E1E3B"/>
    <w:rsid w:val="003E2A3E"/>
    <w:rsid w:val="003E67C7"/>
    <w:rsid w:val="003F0388"/>
    <w:rsid w:val="00400ED6"/>
    <w:rsid w:val="00421B58"/>
    <w:rsid w:val="0042663D"/>
    <w:rsid w:val="00461BE0"/>
    <w:rsid w:val="004678A1"/>
    <w:rsid w:val="00493BD4"/>
    <w:rsid w:val="004B7744"/>
    <w:rsid w:val="004C0C8E"/>
    <w:rsid w:val="005265B3"/>
    <w:rsid w:val="0055012A"/>
    <w:rsid w:val="00572603"/>
    <w:rsid w:val="00592B54"/>
    <w:rsid w:val="005D355F"/>
    <w:rsid w:val="005F49FC"/>
    <w:rsid w:val="00652EB9"/>
    <w:rsid w:val="006F4F0A"/>
    <w:rsid w:val="00753C29"/>
    <w:rsid w:val="007F47A1"/>
    <w:rsid w:val="00820270"/>
    <w:rsid w:val="008375A3"/>
    <w:rsid w:val="008C2B28"/>
    <w:rsid w:val="008E01FC"/>
    <w:rsid w:val="00901A84"/>
    <w:rsid w:val="00927A92"/>
    <w:rsid w:val="00972B7A"/>
    <w:rsid w:val="00996619"/>
    <w:rsid w:val="009B3390"/>
    <w:rsid w:val="00A12F05"/>
    <w:rsid w:val="00A1561E"/>
    <w:rsid w:val="00A33F5C"/>
    <w:rsid w:val="00A340C2"/>
    <w:rsid w:val="00A47A28"/>
    <w:rsid w:val="00AD73D0"/>
    <w:rsid w:val="00AE556D"/>
    <w:rsid w:val="00AF5D27"/>
    <w:rsid w:val="00B06243"/>
    <w:rsid w:val="00B259DC"/>
    <w:rsid w:val="00B2782B"/>
    <w:rsid w:val="00B7611C"/>
    <w:rsid w:val="00B973DD"/>
    <w:rsid w:val="00BF03F3"/>
    <w:rsid w:val="00C43F29"/>
    <w:rsid w:val="00C44C72"/>
    <w:rsid w:val="00CC21D1"/>
    <w:rsid w:val="00CF240E"/>
    <w:rsid w:val="00CF2463"/>
    <w:rsid w:val="00D31EE7"/>
    <w:rsid w:val="00D33B0F"/>
    <w:rsid w:val="00D5688D"/>
    <w:rsid w:val="00D638B7"/>
    <w:rsid w:val="00E50E95"/>
    <w:rsid w:val="00E738BB"/>
    <w:rsid w:val="00E87060"/>
    <w:rsid w:val="00EC53EA"/>
    <w:rsid w:val="00EE1446"/>
    <w:rsid w:val="00F141C2"/>
    <w:rsid w:val="00F8193E"/>
    <w:rsid w:val="00F84AD5"/>
    <w:rsid w:val="00F870B4"/>
    <w:rsid w:val="00FC7D5B"/>
    <w:rsid w:val="00FF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AA0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02AA0"/>
    <w:pPr>
      <w:keepNext/>
      <w:tabs>
        <w:tab w:val="left" w:pos="2160"/>
      </w:tabs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2A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02AA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02AA0"/>
    <w:pPr>
      <w:spacing w:after="120"/>
    </w:pPr>
  </w:style>
  <w:style w:type="paragraph" w:styleId="BalloonText">
    <w:name w:val="Balloon Text"/>
    <w:basedOn w:val="Normal"/>
    <w:link w:val="BalloonTextChar"/>
    <w:rsid w:val="00CC2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21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2162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62ED"/>
  </w:style>
  <w:style w:type="character" w:customStyle="1" w:styleId="CommentTextChar">
    <w:name w:val="Comment Text Char"/>
    <w:basedOn w:val="DefaultParagraphFont"/>
    <w:link w:val="CommentText"/>
    <w:rsid w:val="002162ED"/>
  </w:style>
  <w:style w:type="paragraph" w:styleId="CommentSubject">
    <w:name w:val="annotation subject"/>
    <w:basedOn w:val="CommentText"/>
    <w:next w:val="CommentText"/>
    <w:link w:val="CommentSubjectChar"/>
    <w:rsid w:val="002162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62ED"/>
    <w:rPr>
      <w:b/>
      <w:bCs/>
    </w:rPr>
  </w:style>
  <w:style w:type="paragraph" w:customStyle="1" w:styleId="SL-FlLftSgl">
    <w:name w:val="SL-Fl Lft Sgl"/>
    <w:basedOn w:val="Normal"/>
    <w:rsid w:val="00FF4B74"/>
    <w:pPr>
      <w:overflowPunct/>
      <w:autoSpaceDE/>
      <w:autoSpaceDN/>
      <w:adjustRightInd/>
      <w:spacing w:line="240" w:lineRule="atLeast"/>
      <w:textAlignment w:val="auto"/>
    </w:pPr>
    <w:rPr>
      <w:rFonts w:ascii="Garamond" w:hAnsi="Garamond"/>
      <w:sz w:val="24"/>
    </w:rPr>
  </w:style>
  <w:style w:type="paragraph" w:styleId="FootnoteText">
    <w:name w:val="footnote text"/>
    <w:aliases w:val="F1"/>
    <w:link w:val="FootnoteTextChar"/>
    <w:rsid w:val="00FF4B74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FF4B74"/>
    <w:rPr>
      <w:rFonts w:ascii="Garamond" w:hAnsi="Garamond"/>
      <w:sz w:val="16"/>
    </w:rPr>
  </w:style>
  <w:style w:type="character" w:styleId="FootnoteReference">
    <w:name w:val="footnote reference"/>
    <w:basedOn w:val="DefaultParagraphFont"/>
    <w:uiPriority w:val="99"/>
    <w:unhideWhenUsed/>
    <w:rsid w:val="00FF4B74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FF4B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AA0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02AA0"/>
    <w:pPr>
      <w:keepNext/>
      <w:tabs>
        <w:tab w:val="left" w:pos="2160"/>
      </w:tabs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2A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02AA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02AA0"/>
    <w:pPr>
      <w:spacing w:after="120"/>
    </w:pPr>
  </w:style>
  <w:style w:type="paragraph" w:styleId="BalloonText">
    <w:name w:val="Balloon Text"/>
    <w:basedOn w:val="Normal"/>
    <w:link w:val="BalloonTextChar"/>
    <w:rsid w:val="00CC2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21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2162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62ED"/>
  </w:style>
  <w:style w:type="character" w:customStyle="1" w:styleId="CommentTextChar">
    <w:name w:val="Comment Text Char"/>
    <w:basedOn w:val="DefaultParagraphFont"/>
    <w:link w:val="CommentText"/>
    <w:rsid w:val="002162ED"/>
  </w:style>
  <w:style w:type="paragraph" w:styleId="CommentSubject">
    <w:name w:val="annotation subject"/>
    <w:basedOn w:val="CommentText"/>
    <w:next w:val="CommentText"/>
    <w:link w:val="CommentSubjectChar"/>
    <w:rsid w:val="002162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62ED"/>
    <w:rPr>
      <w:b/>
      <w:bCs/>
    </w:rPr>
  </w:style>
  <w:style w:type="paragraph" w:customStyle="1" w:styleId="SL-FlLftSgl">
    <w:name w:val="SL-Fl Lft Sgl"/>
    <w:basedOn w:val="Normal"/>
    <w:rsid w:val="00FF4B74"/>
    <w:pPr>
      <w:overflowPunct/>
      <w:autoSpaceDE/>
      <w:autoSpaceDN/>
      <w:adjustRightInd/>
      <w:spacing w:line="240" w:lineRule="atLeast"/>
      <w:textAlignment w:val="auto"/>
    </w:pPr>
    <w:rPr>
      <w:rFonts w:ascii="Garamond" w:hAnsi="Garamond"/>
      <w:sz w:val="24"/>
    </w:rPr>
  </w:style>
  <w:style w:type="paragraph" w:styleId="FootnoteText">
    <w:name w:val="footnote text"/>
    <w:aliases w:val="F1"/>
    <w:link w:val="FootnoteTextChar"/>
    <w:rsid w:val="00FF4B74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FF4B74"/>
    <w:rPr>
      <w:rFonts w:ascii="Garamond" w:hAnsi="Garamond"/>
      <w:sz w:val="16"/>
    </w:rPr>
  </w:style>
  <w:style w:type="character" w:styleId="FootnoteReference">
    <w:name w:val="footnote reference"/>
    <w:basedOn w:val="DefaultParagraphFont"/>
    <w:uiPriority w:val="99"/>
    <w:unhideWhenUsed/>
    <w:rsid w:val="00FF4B74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FF4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0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FCS LETTERHEAD</vt:lpstr>
    </vt:vector>
  </TitlesOfParts>
  <Manager>PAM WASHINGTON</Manager>
  <Company>USDA FSC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FCS LETTERHEAD</dc:title>
  <dc:subject>FORMAL LETTERHEAD</dc:subject>
  <dc:creator>USDA</dc:creator>
  <cp:keywords>LETTERHEAD</cp:keywords>
  <dc:description>THIS IS THE OFFICIAL FCS LETTERHEAD.  PLEASE DO NOT CHANGE THE AGENCY INFORMATION.   CONTACT THE AUTHOR IF ANY CHANGES ARE REQUIRED.</dc:description>
  <cp:lastModifiedBy>SYSTEM</cp:lastModifiedBy>
  <cp:revision>2</cp:revision>
  <cp:lastPrinted>2009-05-07T17:58:00Z</cp:lastPrinted>
  <dcterms:created xsi:type="dcterms:W3CDTF">2017-12-22T18:09:00Z</dcterms:created>
  <dcterms:modified xsi:type="dcterms:W3CDTF">2017-12-22T18:09:00Z</dcterms:modified>
  <cp:category>LETTERHEAD</cp:category>
</cp:coreProperties>
</file>