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20" w:rsidRDefault="00BC5C20" w:rsidP="00BC5C20">
      <w:pPr>
        <w:jc w:val="center"/>
        <w:rPr>
          <w:b/>
          <w:bCs/>
          <w:sz w:val="24"/>
          <w:szCs w:val="24"/>
        </w:rPr>
      </w:pPr>
      <w:r>
        <w:rPr>
          <w:b/>
          <w:bCs/>
          <w:sz w:val="24"/>
          <w:szCs w:val="24"/>
        </w:rPr>
        <w:t>JUSTIFICATION</w:t>
      </w:r>
      <w:r w:rsidR="006E195A">
        <w:rPr>
          <w:b/>
          <w:bCs/>
          <w:sz w:val="24"/>
          <w:szCs w:val="24"/>
        </w:rPr>
        <w:t xml:space="preserve"> FOR CHANGE</w:t>
      </w:r>
    </w:p>
    <w:p w:rsidR="00BC5C20" w:rsidRDefault="00BC5C20" w:rsidP="00BC5C20">
      <w:pPr>
        <w:jc w:val="center"/>
        <w:rPr>
          <w:b/>
          <w:bCs/>
          <w:sz w:val="24"/>
          <w:szCs w:val="24"/>
        </w:rPr>
      </w:pPr>
      <w:r>
        <w:rPr>
          <w:b/>
          <w:bCs/>
          <w:sz w:val="24"/>
          <w:szCs w:val="24"/>
        </w:rPr>
        <w:t xml:space="preserve">ALASKA </w:t>
      </w:r>
      <w:r w:rsidRPr="00C53E90">
        <w:rPr>
          <w:b/>
          <w:bCs/>
          <w:sz w:val="24"/>
          <w:szCs w:val="24"/>
        </w:rPr>
        <w:t>PACIFIC HALIBUT</w:t>
      </w:r>
      <w:r>
        <w:rPr>
          <w:b/>
          <w:bCs/>
          <w:sz w:val="24"/>
          <w:szCs w:val="24"/>
        </w:rPr>
        <w:t xml:space="preserve"> &amp; </w:t>
      </w:r>
      <w:r w:rsidRPr="00C53E90">
        <w:rPr>
          <w:b/>
          <w:bCs/>
          <w:sz w:val="24"/>
          <w:szCs w:val="24"/>
        </w:rPr>
        <w:t>SABLEFISH</w:t>
      </w:r>
      <w:r>
        <w:rPr>
          <w:b/>
          <w:bCs/>
          <w:sz w:val="24"/>
          <w:szCs w:val="24"/>
        </w:rPr>
        <w:t xml:space="preserve"> FISHERIES:  </w:t>
      </w:r>
    </w:p>
    <w:p w:rsidR="00BC5C20" w:rsidRDefault="00BC5C20" w:rsidP="00BC5C20">
      <w:pPr>
        <w:jc w:val="center"/>
        <w:rPr>
          <w:b/>
          <w:bCs/>
          <w:sz w:val="24"/>
          <w:szCs w:val="24"/>
        </w:rPr>
      </w:pPr>
      <w:r w:rsidRPr="00C53E90">
        <w:rPr>
          <w:b/>
          <w:bCs/>
          <w:sz w:val="24"/>
          <w:szCs w:val="24"/>
        </w:rPr>
        <w:t>INDIVIDUAL FISHING QUOTA</w:t>
      </w:r>
      <w:r>
        <w:rPr>
          <w:b/>
          <w:bCs/>
          <w:sz w:val="24"/>
          <w:szCs w:val="24"/>
        </w:rPr>
        <w:t xml:space="preserve"> (IFQ)</w:t>
      </w:r>
    </w:p>
    <w:p w:rsidR="00BC5C20" w:rsidRPr="00444035" w:rsidRDefault="00BC5C20" w:rsidP="00BC5C20">
      <w:pPr>
        <w:jc w:val="center"/>
        <w:rPr>
          <w:b/>
          <w:bCs/>
          <w:sz w:val="24"/>
          <w:szCs w:val="24"/>
        </w:rPr>
      </w:pPr>
      <w:r>
        <w:rPr>
          <w:b/>
          <w:bCs/>
          <w:sz w:val="24"/>
          <w:szCs w:val="24"/>
        </w:rPr>
        <w:t xml:space="preserve">OMB </w:t>
      </w:r>
      <w:r w:rsidRPr="00444035">
        <w:rPr>
          <w:b/>
          <w:bCs/>
          <w:sz w:val="24"/>
          <w:szCs w:val="24"/>
        </w:rPr>
        <w:t>CONTROL NO. 0648-0272</w:t>
      </w:r>
    </w:p>
    <w:p w:rsidR="00BC5C20" w:rsidRPr="00444035" w:rsidRDefault="00BC5C20" w:rsidP="00BC5C20">
      <w:pPr>
        <w:jc w:val="center"/>
        <w:rPr>
          <w:b/>
          <w:bCs/>
          <w:sz w:val="24"/>
          <w:szCs w:val="24"/>
        </w:rPr>
      </w:pPr>
    </w:p>
    <w:p w:rsidR="00BC5C20" w:rsidRPr="00444035" w:rsidRDefault="00BC5C20" w:rsidP="00BC5C20">
      <w:pPr>
        <w:rPr>
          <w:b/>
          <w:sz w:val="24"/>
          <w:szCs w:val="24"/>
        </w:rPr>
      </w:pPr>
      <w:r w:rsidRPr="00444035">
        <w:rPr>
          <w:b/>
          <w:bCs/>
          <w:sz w:val="24"/>
          <w:szCs w:val="24"/>
        </w:rPr>
        <w:t>JUSTIFICATION</w:t>
      </w:r>
      <w:bookmarkStart w:id="0" w:name="_GoBack"/>
      <w:bookmarkEnd w:id="0"/>
      <w:r w:rsidRPr="00444035">
        <w:rPr>
          <w:b/>
          <w:bCs/>
          <w:sz w:val="24"/>
          <w:szCs w:val="24"/>
        </w:rPr>
        <w:t xml:space="preserve">:  The application to apply </w:t>
      </w:r>
      <w:r w:rsidRPr="00103EFE">
        <w:rPr>
          <w:b/>
          <w:bCs/>
          <w:sz w:val="24"/>
          <w:szCs w:val="24"/>
        </w:rPr>
        <w:t xml:space="preserve">for a Medical Transfer is </w:t>
      </w:r>
      <w:r w:rsidR="00D1498B">
        <w:rPr>
          <w:b/>
          <w:bCs/>
          <w:sz w:val="24"/>
          <w:szCs w:val="24"/>
        </w:rPr>
        <w:t>modified</w:t>
      </w:r>
      <w:r w:rsidRPr="00444035">
        <w:rPr>
          <w:b/>
          <w:bCs/>
          <w:sz w:val="24"/>
          <w:szCs w:val="24"/>
        </w:rPr>
        <w:t>.</w:t>
      </w:r>
    </w:p>
    <w:p w:rsidR="00BC5C20" w:rsidRPr="00444035" w:rsidRDefault="00BC5C20" w:rsidP="00BC5C20">
      <w:pPr>
        <w:rPr>
          <w:sz w:val="24"/>
          <w:szCs w:val="24"/>
        </w:rPr>
      </w:pPr>
    </w:p>
    <w:p w:rsidR="00BC5C20" w:rsidRDefault="00BC5C20" w:rsidP="00BC5C20">
      <w:pPr>
        <w:rPr>
          <w:sz w:val="24"/>
          <w:szCs w:val="24"/>
        </w:rPr>
      </w:pPr>
      <w:r w:rsidRPr="00444035">
        <w:rPr>
          <w:sz w:val="24"/>
          <w:szCs w:val="24"/>
        </w:rPr>
        <w:t>The International Pacific Halibut Commission (IPHC) and National Marine Fisheries Service (NMFS) manage fishing for Pacific halibut (</w:t>
      </w:r>
      <w:r w:rsidRPr="00444035">
        <w:rPr>
          <w:i/>
          <w:sz w:val="24"/>
          <w:szCs w:val="24"/>
        </w:rPr>
        <w:t>Hippoglossus</w:t>
      </w:r>
      <w:r w:rsidRPr="002A30EF">
        <w:rPr>
          <w:i/>
          <w:sz w:val="24"/>
          <w:szCs w:val="24"/>
        </w:rPr>
        <w:t xml:space="preserve"> stenolepis</w:t>
      </w:r>
      <w:r w:rsidRPr="002D3A66">
        <w:rPr>
          <w:sz w:val="24"/>
          <w:szCs w:val="24"/>
        </w:rPr>
        <w:t xml:space="preserve">) through regulations established under the authority of the Convention between the United States Halibut Fishery of the Northern Pacific Ocean and Bering Sea (Convention) and the Northern Pacific Halibut Act of 1982 (Halibut Act).  </w:t>
      </w:r>
    </w:p>
    <w:p w:rsidR="00BC5C20" w:rsidRDefault="00BC5C20" w:rsidP="00BC5C20">
      <w:pPr>
        <w:rPr>
          <w:sz w:val="24"/>
          <w:szCs w:val="24"/>
        </w:rPr>
      </w:pPr>
    </w:p>
    <w:p w:rsidR="00BC5C20" w:rsidRDefault="00BC5C20" w:rsidP="00BC5C20">
      <w:pPr>
        <w:rPr>
          <w:sz w:val="24"/>
          <w:szCs w:val="24"/>
        </w:rPr>
      </w:pPr>
      <w:r>
        <w:rPr>
          <w:sz w:val="24"/>
          <w:szCs w:val="24"/>
        </w:rPr>
        <w:t xml:space="preserve">NMFS would revise the IFQ </w:t>
      </w:r>
      <w:r w:rsidRPr="00932229">
        <w:rPr>
          <w:sz w:val="24"/>
          <w:szCs w:val="24"/>
        </w:rPr>
        <w:t>Eme</w:t>
      </w:r>
      <w:r>
        <w:rPr>
          <w:sz w:val="24"/>
          <w:szCs w:val="24"/>
        </w:rPr>
        <w:t>rgency Med</w:t>
      </w:r>
      <w:r w:rsidR="00D1498B">
        <w:rPr>
          <w:sz w:val="24"/>
          <w:szCs w:val="24"/>
        </w:rPr>
        <w:t>ical Transfer (EMT) Application</w:t>
      </w:r>
      <w:r>
        <w:rPr>
          <w:sz w:val="24"/>
          <w:szCs w:val="24"/>
        </w:rPr>
        <w:t>:</w:t>
      </w:r>
    </w:p>
    <w:p w:rsidR="00BC5C20" w:rsidRDefault="00BC5C20" w:rsidP="00BC5C20">
      <w:pPr>
        <w:rPr>
          <w:sz w:val="24"/>
          <w:szCs w:val="24"/>
        </w:rPr>
      </w:pPr>
    </w:p>
    <w:p w:rsidR="00BC5C20" w:rsidRDefault="00BC5C20" w:rsidP="00D1498B">
      <w:pPr>
        <w:tabs>
          <w:tab w:val="left" w:pos="360"/>
          <w:tab w:val="left" w:pos="720"/>
          <w:tab w:val="left" w:pos="1080"/>
        </w:tabs>
        <w:ind w:left="720" w:hanging="720"/>
        <w:rPr>
          <w:sz w:val="24"/>
          <w:szCs w:val="24"/>
        </w:rPr>
      </w:pPr>
      <w:r>
        <w:rPr>
          <w:sz w:val="24"/>
          <w:szCs w:val="24"/>
        </w:rPr>
        <w:tab/>
        <w:t>♦</w:t>
      </w:r>
      <w:r>
        <w:rPr>
          <w:sz w:val="24"/>
          <w:szCs w:val="24"/>
        </w:rPr>
        <w:tab/>
        <w:t>Chang</w:t>
      </w:r>
      <w:r w:rsidR="00D1498B">
        <w:rPr>
          <w:sz w:val="24"/>
          <w:szCs w:val="24"/>
        </w:rPr>
        <w:t>e</w:t>
      </w:r>
      <w:r>
        <w:rPr>
          <w:sz w:val="24"/>
          <w:szCs w:val="24"/>
        </w:rPr>
        <w:t xml:space="preserve"> the name of the form </w:t>
      </w:r>
      <w:r w:rsidR="00D1498B">
        <w:rPr>
          <w:sz w:val="24"/>
          <w:szCs w:val="24"/>
        </w:rPr>
        <w:t xml:space="preserve">from “IFQ Emergency Medical Transfer (EMT)” </w:t>
      </w:r>
      <w:r>
        <w:rPr>
          <w:sz w:val="24"/>
          <w:szCs w:val="24"/>
        </w:rPr>
        <w:t>to read “IFQ Medical Transfer”</w:t>
      </w:r>
    </w:p>
    <w:p w:rsidR="00BC5C20" w:rsidRDefault="00BC5C20" w:rsidP="00BC5C20">
      <w:pPr>
        <w:tabs>
          <w:tab w:val="left" w:pos="360"/>
          <w:tab w:val="left" w:pos="720"/>
          <w:tab w:val="left" w:pos="1080"/>
        </w:tabs>
        <w:rPr>
          <w:sz w:val="24"/>
          <w:szCs w:val="24"/>
        </w:rPr>
      </w:pPr>
    </w:p>
    <w:p w:rsidR="00BC5C20" w:rsidRDefault="00BC5C20" w:rsidP="00BC5C20">
      <w:pPr>
        <w:tabs>
          <w:tab w:val="left" w:pos="360"/>
          <w:tab w:val="left" w:pos="720"/>
          <w:tab w:val="left" w:pos="1080"/>
        </w:tabs>
        <w:ind w:left="720" w:hanging="720"/>
        <w:rPr>
          <w:sz w:val="24"/>
          <w:szCs w:val="24"/>
        </w:rPr>
      </w:pPr>
      <w:r>
        <w:rPr>
          <w:sz w:val="24"/>
          <w:szCs w:val="24"/>
        </w:rPr>
        <w:tab/>
        <w:t>♦</w:t>
      </w:r>
      <w:r>
        <w:rPr>
          <w:sz w:val="24"/>
          <w:szCs w:val="24"/>
        </w:rPr>
        <w:tab/>
        <w:t xml:space="preserve">Block G – Remove requirement for notary public certification from this form.  </w:t>
      </w:r>
      <w:r w:rsidR="00103EFE">
        <w:rPr>
          <w:sz w:val="24"/>
          <w:szCs w:val="24"/>
        </w:rPr>
        <w:t>R</w:t>
      </w:r>
      <w:r>
        <w:rPr>
          <w:sz w:val="24"/>
          <w:szCs w:val="24"/>
        </w:rPr>
        <w:t xml:space="preserve">emove from Block G the signature of notary public, date notary commission expires, and the space for the notary stamp or seal.  </w:t>
      </w:r>
    </w:p>
    <w:p w:rsidR="00BC5C20" w:rsidRDefault="00BC5C20" w:rsidP="00BC5C20">
      <w:pPr>
        <w:rPr>
          <w:sz w:val="24"/>
          <w:szCs w:val="24"/>
        </w:rPr>
      </w:pPr>
    </w:p>
    <w:p w:rsidR="00BC5C20" w:rsidRDefault="00BC5C20" w:rsidP="00BC5C20">
      <w:pPr>
        <w:tabs>
          <w:tab w:val="left" w:pos="360"/>
          <w:tab w:val="left" w:pos="720"/>
        </w:tabs>
        <w:ind w:left="720" w:hanging="720"/>
        <w:rPr>
          <w:sz w:val="24"/>
          <w:szCs w:val="24"/>
        </w:rPr>
      </w:pPr>
      <w:r>
        <w:rPr>
          <w:sz w:val="24"/>
          <w:szCs w:val="24"/>
        </w:rPr>
        <w:tab/>
      </w:r>
      <w:r>
        <w:rPr>
          <w:sz w:val="24"/>
          <w:szCs w:val="24"/>
        </w:rPr>
        <w:tab/>
        <w:t xml:space="preserve">The notary </w:t>
      </w:r>
      <w:r w:rsidRPr="0000242C">
        <w:rPr>
          <w:sz w:val="24"/>
          <w:szCs w:val="24"/>
        </w:rPr>
        <w:t xml:space="preserve">information </w:t>
      </w:r>
      <w:r>
        <w:rPr>
          <w:sz w:val="24"/>
          <w:szCs w:val="24"/>
        </w:rPr>
        <w:t>was</w:t>
      </w:r>
      <w:r w:rsidRPr="0000242C">
        <w:rPr>
          <w:sz w:val="24"/>
          <w:szCs w:val="24"/>
        </w:rPr>
        <w:t xml:space="preserve"> simply confirming what is already in </w:t>
      </w:r>
      <w:r>
        <w:rPr>
          <w:sz w:val="24"/>
          <w:szCs w:val="24"/>
        </w:rPr>
        <w:t>NMFS</w:t>
      </w:r>
      <w:r w:rsidRPr="0000242C">
        <w:rPr>
          <w:sz w:val="24"/>
          <w:szCs w:val="24"/>
        </w:rPr>
        <w:t xml:space="preserve"> database records.  </w:t>
      </w:r>
      <w:r>
        <w:rPr>
          <w:sz w:val="24"/>
          <w:szCs w:val="24"/>
        </w:rPr>
        <w:t xml:space="preserve">Instead of notary confirmation, the certification block is now considered sufficient because it is signed </w:t>
      </w:r>
      <w:r w:rsidRPr="0000242C">
        <w:rPr>
          <w:sz w:val="24"/>
          <w:szCs w:val="24"/>
        </w:rPr>
        <w:t xml:space="preserve">under penalty of perjury that the information is true and correct.  </w:t>
      </w:r>
      <w:r>
        <w:rPr>
          <w:sz w:val="24"/>
          <w:szCs w:val="24"/>
        </w:rPr>
        <w:t>T</w:t>
      </w:r>
      <w:r w:rsidRPr="0000242C">
        <w:rPr>
          <w:sz w:val="24"/>
          <w:szCs w:val="24"/>
        </w:rPr>
        <w:t xml:space="preserve">he notary </w:t>
      </w:r>
      <w:r>
        <w:rPr>
          <w:sz w:val="24"/>
          <w:szCs w:val="24"/>
        </w:rPr>
        <w:t>was confirming</w:t>
      </w:r>
      <w:r w:rsidRPr="0000242C">
        <w:rPr>
          <w:sz w:val="24"/>
          <w:szCs w:val="24"/>
        </w:rPr>
        <w:t xml:space="preserve"> that the person signing the form is the person that appeared before them</w:t>
      </w:r>
      <w:r>
        <w:rPr>
          <w:sz w:val="24"/>
          <w:szCs w:val="24"/>
        </w:rPr>
        <w:t xml:space="preserve">, not that </w:t>
      </w:r>
      <w:r w:rsidRPr="0000242C">
        <w:rPr>
          <w:sz w:val="24"/>
          <w:szCs w:val="24"/>
        </w:rPr>
        <w:t xml:space="preserve">the information is true and correct.  </w:t>
      </w:r>
    </w:p>
    <w:p w:rsidR="00BC5C20" w:rsidRDefault="00BC5C20" w:rsidP="00BC5C20">
      <w:pPr>
        <w:rPr>
          <w:sz w:val="24"/>
          <w:szCs w:val="24"/>
        </w:rPr>
      </w:pPr>
    </w:p>
    <w:p w:rsidR="00BC5C20" w:rsidRDefault="00BC5C20" w:rsidP="00720439">
      <w:pPr>
        <w:tabs>
          <w:tab w:val="left" w:pos="360"/>
          <w:tab w:val="left" w:pos="720"/>
        </w:tabs>
        <w:ind w:left="720" w:hanging="720"/>
        <w:rPr>
          <w:sz w:val="24"/>
          <w:szCs w:val="24"/>
        </w:rPr>
      </w:pPr>
      <w:r>
        <w:rPr>
          <w:sz w:val="24"/>
          <w:szCs w:val="24"/>
        </w:rPr>
        <w:tab/>
        <w:t>♦</w:t>
      </w:r>
      <w:r>
        <w:rPr>
          <w:sz w:val="24"/>
          <w:szCs w:val="24"/>
        </w:rPr>
        <w:tab/>
        <w:t>Block C – Identification of IFQ to be Transferred – remov</w:t>
      </w:r>
      <w:r w:rsidR="00720439">
        <w:rPr>
          <w:sz w:val="24"/>
          <w:szCs w:val="24"/>
        </w:rPr>
        <w:t>e</w:t>
      </w:r>
      <w:r>
        <w:rPr>
          <w:sz w:val="24"/>
          <w:szCs w:val="24"/>
        </w:rPr>
        <w:t xml:space="preserve"> </w:t>
      </w:r>
      <w:r w:rsidR="00720439">
        <w:rPr>
          <w:sz w:val="24"/>
          <w:szCs w:val="24"/>
        </w:rPr>
        <w:t>“</w:t>
      </w:r>
      <w:r>
        <w:rPr>
          <w:sz w:val="24"/>
          <w:szCs w:val="24"/>
        </w:rPr>
        <w:t xml:space="preserve">IFQ Regulatory Area, </w:t>
      </w:r>
      <w:r w:rsidRPr="00D3711F">
        <w:rPr>
          <w:sz w:val="24"/>
          <w:szCs w:val="24"/>
        </w:rPr>
        <w:t>Number of Units</w:t>
      </w:r>
      <w:r>
        <w:rPr>
          <w:sz w:val="24"/>
          <w:szCs w:val="24"/>
        </w:rPr>
        <w:t xml:space="preserve">, </w:t>
      </w:r>
      <w:r w:rsidRPr="00D3711F">
        <w:rPr>
          <w:sz w:val="24"/>
          <w:szCs w:val="24"/>
        </w:rPr>
        <w:t>Numbered To and From (Serial Numbers are shown on the QS Certificate)</w:t>
      </w:r>
      <w:r>
        <w:rPr>
          <w:sz w:val="24"/>
          <w:szCs w:val="24"/>
        </w:rPr>
        <w:t xml:space="preserve">, </w:t>
      </w:r>
      <w:r w:rsidRPr="00D3711F">
        <w:rPr>
          <w:sz w:val="24"/>
          <w:szCs w:val="24"/>
        </w:rPr>
        <w:t>Actual Number of IFQ Pounds</w:t>
      </w:r>
      <w:r>
        <w:rPr>
          <w:sz w:val="24"/>
          <w:szCs w:val="24"/>
        </w:rPr>
        <w:t>, Transferor Permit Number, and Fishing Year</w:t>
      </w:r>
      <w:r w:rsidR="00720439">
        <w:rPr>
          <w:sz w:val="24"/>
          <w:szCs w:val="24"/>
        </w:rPr>
        <w:t xml:space="preserve">” </w:t>
      </w:r>
      <w:r>
        <w:rPr>
          <w:sz w:val="24"/>
          <w:szCs w:val="24"/>
        </w:rPr>
        <w:t>and add in</w:t>
      </w:r>
      <w:r w:rsidR="00720439">
        <w:rPr>
          <w:sz w:val="24"/>
          <w:szCs w:val="24"/>
        </w:rPr>
        <w:t xml:space="preserve"> its</w:t>
      </w:r>
      <w:r>
        <w:rPr>
          <w:sz w:val="24"/>
          <w:szCs w:val="24"/>
        </w:rPr>
        <w:t xml:space="preserve"> place </w:t>
      </w:r>
      <w:r w:rsidR="00720439">
        <w:rPr>
          <w:sz w:val="24"/>
          <w:szCs w:val="24"/>
        </w:rPr>
        <w:t>“</w:t>
      </w:r>
      <w:r>
        <w:rPr>
          <w:sz w:val="24"/>
          <w:szCs w:val="24"/>
        </w:rPr>
        <w:t xml:space="preserve">Fishing year, </w:t>
      </w:r>
      <w:r w:rsidRPr="00D3711F">
        <w:rPr>
          <w:sz w:val="24"/>
          <w:szCs w:val="24"/>
        </w:rPr>
        <w:t>Transferor IFQ Permit Number</w:t>
      </w:r>
      <w:r>
        <w:rPr>
          <w:sz w:val="24"/>
          <w:szCs w:val="24"/>
        </w:rPr>
        <w:t xml:space="preserve">, </w:t>
      </w:r>
      <w:r w:rsidRPr="00D3711F">
        <w:rPr>
          <w:sz w:val="24"/>
          <w:szCs w:val="24"/>
        </w:rPr>
        <w:t>IFQ Area</w:t>
      </w:r>
      <w:r>
        <w:rPr>
          <w:sz w:val="24"/>
          <w:szCs w:val="24"/>
        </w:rPr>
        <w:t xml:space="preserve">, </w:t>
      </w:r>
      <w:r w:rsidR="00720439">
        <w:rPr>
          <w:sz w:val="24"/>
          <w:szCs w:val="24"/>
        </w:rPr>
        <w:t xml:space="preserve">and </w:t>
      </w:r>
      <w:r w:rsidRPr="00D3711F">
        <w:rPr>
          <w:sz w:val="24"/>
          <w:szCs w:val="24"/>
        </w:rPr>
        <w:t>IFQ Pounds Transferring</w:t>
      </w:r>
      <w:r>
        <w:rPr>
          <w:sz w:val="24"/>
          <w:szCs w:val="24"/>
        </w:rPr>
        <w:t>.</w:t>
      </w:r>
      <w:r w:rsidR="00720439">
        <w:rPr>
          <w:sz w:val="24"/>
          <w:szCs w:val="24"/>
        </w:rPr>
        <w:t>”</w:t>
      </w:r>
    </w:p>
    <w:p w:rsidR="00BC5C20" w:rsidRDefault="00BC5C20" w:rsidP="00BC5C20">
      <w:pPr>
        <w:rPr>
          <w:sz w:val="24"/>
          <w:szCs w:val="24"/>
        </w:rPr>
      </w:pPr>
    </w:p>
    <w:p w:rsidR="00BC5C20" w:rsidRDefault="00720439" w:rsidP="00BC5C20">
      <w:pPr>
        <w:rPr>
          <w:sz w:val="24"/>
          <w:szCs w:val="24"/>
        </w:rPr>
      </w:pPr>
      <w:r>
        <w:rPr>
          <w:sz w:val="24"/>
          <w:szCs w:val="24"/>
        </w:rPr>
        <w:t>These changes simplif</w:t>
      </w:r>
      <w:r w:rsidR="000F0443">
        <w:rPr>
          <w:sz w:val="24"/>
          <w:szCs w:val="24"/>
        </w:rPr>
        <w:t>y</w:t>
      </w:r>
      <w:r>
        <w:rPr>
          <w:sz w:val="24"/>
          <w:szCs w:val="24"/>
        </w:rPr>
        <w:t xml:space="preserve"> the application</w:t>
      </w:r>
      <w:r w:rsidR="00BC5C20" w:rsidRPr="00DB7C83">
        <w:rPr>
          <w:sz w:val="24"/>
          <w:szCs w:val="24"/>
        </w:rPr>
        <w:t>.</w:t>
      </w:r>
    </w:p>
    <w:p w:rsidR="00BC5C20" w:rsidRDefault="00BC5C20" w:rsidP="00BC5C20">
      <w:pPr>
        <w:rPr>
          <w:sz w:val="24"/>
          <w:szCs w:val="24"/>
        </w:rPr>
      </w:pPr>
    </w:p>
    <w:p w:rsidR="00BC5C20" w:rsidRDefault="00BC5C20" w:rsidP="00BC5C20">
      <w:pPr>
        <w:rPr>
          <w:sz w:val="24"/>
          <w:szCs w:val="24"/>
        </w:rPr>
      </w:pPr>
      <w:r>
        <w:rPr>
          <w:sz w:val="24"/>
          <w:szCs w:val="24"/>
        </w:rPr>
        <w:t>No increase in cost or burden is anticipated with this change.  In fact, there will be a slight decrease in cost and burden due to removal of the notary requirement, to be confirmed in the next renewal of this information collection.</w:t>
      </w:r>
    </w:p>
    <w:p w:rsidR="00BC5C20" w:rsidRDefault="00BC5C20" w:rsidP="00BC5C20">
      <w:pPr>
        <w:rPr>
          <w:sz w:val="24"/>
          <w:szCs w:val="24"/>
        </w:rPr>
      </w:pPr>
    </w:p>
    <w:p w:rsidR="000862A3" w:rsidRDefault="000862A3"/>
    <w:sectPr w:rsidR="000862A3" w:rsidSect="00BC5C20">
      <w:footerReference w:type="even" r:id="rId6"/>
      <w:footerReference w:type="default" r:id="rId7"/>
      <w:footnotePr>
        <w:numRestart w:val="eachSect"/>
      </w:footnotePr>
      <w:endnotePr>
        <w:numFmt w:val="decimal"/>
      </w:endnotePr>
      <w:pgSz w:w="12240" w:h="15840"/>
      <w:pgMar w:top="1152" w:right="1152"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20" w:rsidRDefault="00BC5C20" w:rsidP="00BC5C20">
      <w:r>
        <w:separator/>
      </w:r>
    </w:p>
  </w:endnote>
  <w:endnote w:type="continuationSeparator" w:id="0">
    <w:p w:rsidR="00BC5C20" w:rsidRDefault="00BC5C20" w:rsidP="00B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5E" w:rsidRDefault="000F0443" w:rsidP="001169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65E" w:rsidRDefault="006E1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18651"/>
      <w:docPartObj>
        <w:docPartGallery w:val="Page Numbers (Bottom of Page)"/>
        <w:docPartUnique/>
      </w:docPartObj>
    </w:sdtPr>
    <w:sdtEndPr/>
    <w:sdtContent>
      <w:sdt>
        <w:sdtPr>
          <w:id w:val="-1669238322"/>
          <w:docPartObj>
            <w:docPartGallery w:val="Page Numbers (Top of Page)"/>
            <w:docPartUnique/>
          </w:docPartObj>
        </w:sdtPr>
        <w:sdtEndPr/>
        <w:sdtContent>
          <w:p w:rsidR="00BC5C20" w:rsidRDefault="00BC5C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E19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195A">
              <w:rPr>
                <w:b/>
                <w:bCs/>
                <w:noProof/>
              </w:rPr>
              <w:t>1</w:t>
            </w:r>
            <w:r>
              <w:rPr>
                <w:b/>
                <w:bCs/>
                <w:sz w:val="24"/>
                <w:szCs w:val="24"/>
              </w:rPr>
              <w:fldChar w:fldCharType="end"/>
            </w:r>
          </w:p>
        </w:sdtContent>
      </w:sdt>
    </w:sdtContent>
  </w:sdt>
  <w:p w:rsidR="0094565E" w:rsidRDefault="006E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20" w:rsidRDefault="00BC5C20" w:rsidP="00BC5C20">
      <w:r>
        <w:separator/>
      </w:r>
    </w:p>
  </w:footnote>
  <w:footnote w:type="continuationSeparator" w:id="0">
    <w:p w:rsidR="00BC5C20" w:rsidRDefault="00BC5C20" w:rsidP="00BC5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20"/>
    <w:rsid w:val="000464CD"/>
    <w:rsid w:val="000862A3"/>
    <w:rsid w:val="000F0443"/>
    <w:rsid w:val="00103EFE"/>
    <w:rsid w:val="006E195A"/>
    <w:rsid w:val="00720439"/>
    <w:rsid w:val="00BC5C20"/>
    <w:rsid w:val="00D1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9EDB"/>
  <w15:docId w15:val="{4B461846-207D-4408-A52F-E0E101C7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5C20"/>
    <w:pPr>
      <w:tabs>
        <w:tab w:val="center" w:pos="4320"/>
        <w:tab w:val="right" w:pos="8640"/>
      </w:tabs>
    </w:pPr>
  </w:style>
  <w:style w:type="character" w:customStyle="1" w:styleId="FooterChar">
    <w:name w:val="Footer Char"/>
    <w:basedOn w:val="DefaultParagraphFont"/>
    <w:link w:val="Footer"/>
    <w:uiPriority w:val="99"/>
    <w:rsid w:val="00BC5C20"/>
    <w:rPr>
      <w:rFonts w:ascii="Times New Roman" w:eastAsia="Times New Roman" w:hAnsi="Times New Roman" w:cs="Times New Roman"/>
      <w:sz w:val="20"/>
      <w:szCs w:val="20"/>
    </w:rPr>
  </w:style>
  <w:style w:type="character" w:styleId="PageNumber">
    <w:name w:val="page number"/>
    <w:basedOn w:val="DefaultParagraphFont"/>
    <w:rsid w:val="00BC5C20"/>
  </w:style>
  <w:style w:type="paragraph" w:styleId="Header">
    <w:name w:val="header"/>
    <w:basedOn w:val="Normal"/>
    <w:link w:val="HeaderChar"/>
    <w:uiPriority w:val="99"/>
    <w:unhideWhenUsed/>
    <w:rsid w:val="00BC5C20"/>
    <w:pPr>
      <w:tabs>
        <w:tab w:val="center" w:pos="4680"/>
        <w:tab w:val="right" w:pos="9360"/>
      </w:tabs>
    </w:pPr>
  </w:style>
  <w:style w:type="character" w:customStyle="1" w:styleId="HeaderChar">
    <w:name w:val="Header Char"/>
    <w:basedOn w:val="DefaultParagraphFont"/>
    <w:link w:val="Header"/>
    <w:uiPriority w:val="99"/>
    <w:rsid w:val="00BC5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Karilyn_Smith</cp:lastModifiedBy>
  <cp:revision>5</cp:revision>
  <dcterms:created xsi:type="dcterms:W3CDTF">2016-08-22T19:17:00Z</dcterms:created>
  <dcterms:modified xsi:type="dcterms:W3CDTF">2017-02-03T14:29:00Z</dcterms:modified>
</cp:coreProperties>
</file>