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AF4F8" w14:textId="69468E2F" w:rsidR="004A4867" w:rsidRDefault="005A3A35">
      <w:pPr>
        <w:pStyle w:val="BodyText"/>
        <w:spacing w:before="72"/>
        <w:ind w:left="1525" w:right="1549"/>
        <w:jc w:val="center"/>
      </w:pPr>
      <w:bookmarkStart w:id="0" w:name="_GoBack"/>
      <w:bookmarkEnd w:id="0"/>
      <w:r>
        <w:t>S</w:t>
      </w:r>
      <w:r w:rsidR="00877558">
        <w:t>upporting Statement Part A</w:t>
      </w:r>
    </w:p>
    <w:p w14:paraId="31DE1190" w14:textId="77777777" w:rsidR="00407EB5" w:rsidRDefault="00877558" w:rsidP="00407EB5">
      <w:pPr>
        <w:pStyle w:val="BodyText"/>
        <w:spacing w:line="242" w:lineRule="auto"/>
        <w:jc w:val="center"/>
      </w:pPr>
      <w:r>
        <w:t>Creditable</w:t>
      </w:r>
      <w:r>
        <w:rPr>
          <w:spacing w:val="-19"/>
        </w:rPr>
        <w:t xml:space="preserve"> </w:t>
      </w:r>
      <w:r>
        <w:t>Coverage</w:t>
      </w:r>
      <w:r>
        <w:rPr>
          <w:spacing w:val="-19"/>
        </w:rPr>
        <w:t xml:space="preserve"> </w:t>
      </w:r>
      <w:r>
        <w:t>Disclosure</w:t>
      </w:r>
      <w:r>
        <w:rPr>
          <w:spacing w:val="-19"/>
        </w:rPr>
        <w:t xml:space="preserve"> </w:t>
      </w:r>
      <w:r>
        <w:t>to</w:t>
      </w:r>
      <w:r>
        <w:rPr>
          <w:spacing w:val="-6"/>
        </w:rPr>
        <w:t xml:space="preserve"> </w:t>
      </w:r>
      <w:r>
        <w:t>CMS</w:t>
      </w:r>
      <w:r>
        <w:rPr>
          <w:spacing w:val="-12"/>
        </w:rPr>
        <w:t xml:space="preserve"> </w:t>
      </w:r>
      <w:r>
        <w:t>On-Line</w:t>
      </w:r>
      <w:r>
        <w:rPr>
          <w:spacing w:val="-14"/>
        </w:rPr>
        <w:t xml:space="preserve"> </w:t>
      </w:r>
      <w:r>
        <w:t>Form</w:t>
      </w:r>
      <w:r>
        <w:rPr>
          <w:spacing w:val="-17"/>
        </w:rPr>
        <w:t xml:space="preserve"> </w:t>
      </w:r>
      <w:r>
        <w:t>and</w:t>
      </w:r>
      <w:r>
        <w:rPr>
          <w:spacing w:val="-6"/>
        </w:rPr>
        <w:t xml:space="preserve"> </w:t>
      </w:r>
      <w:r>
        <w:t>Instructions</w:t>
      </w:r>
    </w:p>
    <w:p w14:paraId="0B94AA1C" w14:textId="1948A3E5" w:rsidR="004A4867" w:rsidRDefault="00877558">
      <w:pPr>
        <w:pStyle w:val="BodyText"/>
        <w:spacing w:line="242" w:lineRule="auto"/>
        <w:ind w:left="1525" w:right="1566"/>
        <w:jc w:val="center"/>
      </w:pPr>
      <w:r>
        <w:rPr>
          <w:position w:val="1"/>
        </w:rPr>
        <w:t xml:space="preserve">CMS-10198, </w:t>
      </w:r>
      <w:r>
        <w:t>O</w:t>
      </w:r>
      <w:r w:rsidR="00765634">
        <w:t>MB</w:t>
      </w:r>
      <w:r>
        <w:rPr>
          <w:spacing w:val="-30"/>
        </w:rPr>
        <w:t xml:space="preserve"> </w:t>
      </w:r>
      <w:r>
        <w:t>0938-1013</w:t>
      </w:r>
    </w:p>
    <w:p w14:paraId="614EA9BE" w14:textId="77777777" w:rsidR="004A4867" w:rsidRPr="00AC29B2" w:rsidRDefault="004A4867" w:rsidP="00AC29B2">
      <w:pPr>
        <w:pStyle w:val="BodyText"/>
      </w:pPr>
    </w:p>
    <w:p w14:paraId="21D2D95C" w14:textId="77777777" w:rsidR="004A4867" w:rsidRPr="00AC29B2" w:rsidRDefault="00877558" w:rsidP="00AC29B2">
      <w:pPr>
        <w:pStyle w:val="Heading1"/>
        <w:ind w:left="0" w:firstLine="0"/>
      </w:pPr>
      <w:r w:rsidRPr="00AC29B2">
        <w:t>Background</w:t>
      </w:r>
    </w:p>
    <w:p w14:paraId="30E95126" w14:textId="77777777" w:rsidR="004A4867" w:rsidRPr="00AC29B2" w:rsidRDefault="004A4867" w:rsidP="00AC29B2">
      <w:pPr>
        <w:pStyle w:val="BodyText"/>
        <w:rPr>
          <w:b/>
        </w:rPr>
      </w:pPr>
    </w:p>
    <w:p w14:paraId="01DAF786" w14:textId="79D49978" w:rsidR="004A4867" w:rsidRPr="00AC29B2" w:rsidRDefault="00306659" w:rsidP="00AC29B2">
      <w:pPr>
        <w:pStyle w:val="BodyText"/>
      </w:pPr>
      <w:r>
        <w:t xml:space="preserve">An employer having at least one employee age 65 and older </w:t>
      </w:r>
      <w:r w:rsidR="00877558" w:rsidRPr="00AC29B2">
        <w:t>that currently provide</w:t>
      </w:r>
      <w:r>
        <w:t>s</w:t>
      </w:r>
      <w:r w:rsidR="00877558" w:rsidRPr="00AC29B2">
        <w:t xml:space="preserve"> prescription drug benefits to any Medicare Part D eligible individual must disclose to the Centers for Medicare &amp; Medicaid Services (CMS) whether the prescription drug benefit that they offer is creditable (expected to pay at least as much, on average, as the standard prescription drug plan under Medicare). The disclosure is required annually and upon any change that affects whether the coverage is creditable prescription drug coverage. CMS released a Creditable Coverage Disclosure to CMS online form and guidance in January</w:t>
      </w:r>
      <w:r w:rsidR="00877558" w:rsidRPr="00AC29B2">
        <w:rPr>
          <w:spacing w:val="-22"/>
        </w:rPr>
        <w:t xml:space="preserve"> </w:t>
      </w:r>
      <w:r w:rsidR="00877558" w:rsidRPr="00AC29B2">
        <w:t>2006.</w:t>
      </w:r>
      <w:r w:rsidR="00FC1932">
        <w:t xml:space="preserve"> The form remains active as the only form the employer must submit to CMS under this control number.</w:t>
      </w:r>
    </w:p>
    <w:p w14:paraId="4856858E" w14:textId="77777777" w:rsidR="004A4867" w:rsidRPr="00AC29B2" w:rsidRDefault="004A4867" w:rsidP="00AC29B2">
      <w:pPr>
        <w:pStyle w:val="BodyText"/>
      </w:pPr>
    </w:p>
    <w:p w14:paraId="3A4E6311" w14:textId="77777777" w:rsidR="004A4867" w:rsidRPr="00AC29B2" w:rsidRDefault="00877558" w:rsidP="00AC29B2">
      <w:pPr>
        <w:pStyle w:val="Heading1"/>
        <w:numPr>
          <w:ilvl w:val="0"/>
          <w:numId w:val="2"/>
        </w:numPr>
        <w:tabs>
          <w:tab w:val="left" w:pos="520"/>
        </w:tabs>
        <w:ind w:left="0" w:firstLine="0"/>
      </w:pPr>
      <w:r w:rsidRPr="00AC29B2">
        <w:t>Justification</w:t>
      </w:r>
    </w:p>
    <w:p w14:paraId="6C3B62C8" w14:textId="77777777" w:rsidR="00FD6EDC" w:rsidRDefault="00FD6EDC" w:rsidP="00AC29B2">
      <w:pPr>
        <w:pStyle w:val="BodyText"/>
      </w:pPr>
    </w:p>
    <w:p w14:paraId="3D498A2B" w14:textId="77777777" w:rsidR="004A4867" w:rsidRPr="00AC29B2" w:rsidRDefault="00877558" w:rsidP="00AC29B2">
      <w:pPr>
        <w:pStyle w:val="BodyText"/>
      </w:pPr>
      <w:r w:rsidRPr="00AC29B2">
        <w:t xml:space="preserve">1.   </w:t>
      </w:r>
      <w:r w:rsidRPr="00AC29B2">
        <w:rPr>
          <w:u w:val="single"/>
        </w:rPr>
        <w:t>Need and Legal Basis</w:t>
      </w:r>
    </w:p>
    <w:p w14:paraId="494662AC" w14:textId="77777777" w:rsidR="004A4867" w:rsidRPr="00AC29B2" w:rsidRDefault="004A4867" w:rsidP="00AC29B2">
      <w:pPr>
        <w:pStyle w:val="BodyText"/>
      </w:pPr>
    </w:p>
    <w:p w14:paraId="2C442C2A" w14:textId="77777777" w:rsidR="004A4867" w:rsidRPr="00AC29B2" w:rsidRDefault="00877558" w:rsidP="00AC29B2">
      <w:pPr>
        <w:pStyle w:val="BodyText"/>
      </w:pPr>
      <w:r w:rsidRPr="00AC29B2">
        <w:t>Section</w:t>
      </w:r>
      <w:r w:rsidRPr="00AC29B2">
        <w:rPr>
          <w:spacing w:val="-2"/>
        </w:rPr>
        <w:t xml:space="preserve"> </w:t>
      </w:r>
      <w:r w:rsidRPr="00AC29B2">
        <w:t>1860D-13</w:t>
      </w:r>
      <w:r w:rsidRPr="00AC29B2">
        <w:rPr>
          <w:spacing w:val="-2"/>
        </w:rPr>
        <w:t xml:space="preserve"> </w:t>
      </w:r>
      <w:r w:rsidRPr="00AC29B2">
        <w:t>of</w:t>
      </w:r>
      <w:r w:rsidRPr="00AC29B2">
        <w:rPr>
          <w:spacing w:val="-3"/>
        </w:rPr>
        <w:t xml:space="preserve"> </w:t>
      </w:r>
      <w:r w:rsidRPr="00AC29B2">
        <w:t>the</w:t>
      </w:r>
      <w:r w:rsidRPr="00AC29B2">
        <w:rPr>
          <w:spacing w:val="-6"/>
        </w:rPr>
        <w:t xml:space="preserve"> </w:t>
      </w:r>
      <w:r w:rsidRPr="00AC29B2">
        <w:t>Social</w:t>
      </w:r>
      <w:r w:rsidRPr="00AC29B2">
        <w:rPr>
          <w:spacing w:val="-2"/>
        </w:rPr>
        <w:t xml:space="preserve"> </w:t>
      </w:r>
      <w:r w:rsidRPr="00AC29B2">
        <w:t>security</w:t>
      </w:r>
      <w:r w:rsidRPr="00AC29B2">
        <w:rPr>
          <w:spacing w:val="-17"/>
        </w:rPr>
        <w:t xml:space="preserve"> </w:t>
      </w:r>
      <w:r w:rsidRPr="00AC29B2">
        <w:t>Act,</w:t>
      </w:r>
      <w:r w:rsidRPr="00AC29B2">
        <w:rPr>
          <w:spacing w:val="-2"/>
        </w:rPr>
        <w:t xml:space="preserve"> </w:t>
      </w:r>
      <w:r w:rsidRPr="00AC29B2">
        <w:t>as</w:t>
      </w:r>
      <w:r w:rsidRPr="00AC29B2">
        <w:rPr>
          <w:spacing w:val="-2"/>
        </w:rPr>
        <w:t xml:space="preserve"> </w:t>
      </w:r>
      <w:r w:rsidRPr="00AC29B2">
        <w:t>established</w:t>
      </w:r>
      <w:r w:rsidRPr="00AC29B2">
        <w:rPr>
          <w:spacing w:val="-2"/>
        </w:rPr>
        <w:t xml:space="preserve"> </w:t>
      </w:r>
      <w:r w:rsidRPr="00AC29B2">
        <w:t>by</w:t>
      </w:r>
      <w:r w:rsidRPr="00AC29B2">
        <w:rPr>
          <w:spacing w:val="-17"/>
        </w:rPr>
        <w:t xml:space="preserve"> </w:t>
      </w:r>
      <w:r w:rsidRPr="00AC29B2">
        <w:t>the</w:t>
      </w:r>
      <w:r w:rsidRPr="00AC29B2">
        <w:rPr>
          <w:spacing w:val="-3"/>
        </w:rPr>
        <w:t xml:space="preserve"> </w:t>
      </w:r>
      <w:r w:rsidRPr="00AC29B2">
        <w:t>Medicare</w:t>
      </w:r>
      <w:r w:rsidRPr="00AC29B2">
        <w:rPr>
          <w:spacing w:val="-3"/>
        </w:rPr>
        <w:t xml:space="preserve"> </w:t>
      </w:r>
      <w:r w:rsidRPr="00AC29B2">
        <w:t>Prescription</w:t>
      </w:r>
      <w:r w:rsidRPr="00AC29B2">
        <w:rPr>
          <w:spacing w:val="-2"/>
        </w:rPr>
        <w:t xml:space="preserve"> </w:t>
      </w:r>
      <w:r w:rsidRPr="00AC29B2">
        <w:t xml:space="preserve">Drug, Improvement, and Modernization Act of 2003 (MMA) and implementing regulations at 42 CFR 423.56 requires that entities that offer prescription drug benefits under any of the types of coverage described in 42 CFR 423.56(b) provide a disclosure of creditable coverage to CMS’ informing us whether such coverage meets the actuarial requirements specified in guidelines provided by CMS in May 2005. </w:t>
      </w:r>
      <w:r w:rsidRPr="00AC29B2">
        <w:rPr>
          <w:spacing w:val="-6"/>
        </w:rPr>
        <w:t xml:space="preserve">In </w:t>
      </w:r>
      <w:r w:rsidRPr="00AC29B2">
        <w:t xml:space="preserve">general, this actuarial determination measures whether the expected amount of paid claims under the </w:t>
      </w:r>
      <w:r w:rsidRPr="00AC29B2">
        <w:rPr>
          <w:spacing w:val="-3"/>
        </w:rPr>
        <w:t xml:space="preserve">entity’s </w:t>
      </w:r>
      <w:r w:rsidRPr="00AC29B2">
        <w:t>prescription drug coverage is at least as much as the expected amount of paid claims under the standard Medicare prescription drug benefit. See 70 FR 4225 (January 28, 2005) for more</w:t>
      </w:r>
      <w:r w:rsidRPr="00AC29B2">
        <w:rPr>
          <w:spacing w:val="-31"/>
        </w:rPr>
        <w:t xml:space="preserve"> </w:t>
      </w:r>
      <w:r w:rsidRPr="00AC29B2">
        <w:t>information.</w:t>
      </w:r>
    </w:p>
    <w:p w14:paraId="4E5F0C44" w14:textId="77777777" w:rsidR="004A4867" w:rsidRPr="00AC29B2" w:rsidRDefault="004A4867" w:rsidP="00AC29B2">
      <w:pPr>
        <w:pStyle w:val="BodyText"/>
      </w:pPr>
    </w:p>
    <w:p w14:paraId="2F6671B5" w14:textId="02EB8761" w:rsidR="004A4867" w:rsidRPr="00AC29B2" w:rsidRDefault="00877558" w:rsidP="00AC29B2">
      <w:pPr>
        <w:pStyle w:val="BodyText"/>
      </w:pPr>
      <w:r w:rsidRPr="00AC29B2">
        <w:t xml:space="preserve">As outlined in the Disclosure to CMS Guidance paper, the initial disclosure to CMS was due no later than March 31, 2006 for any plan </w:t>
      </w:r>
      <w:r w:rsidRPr="00AC29B2">
        <w:rPr>
          <w:spacing w:val="-4"/>
        </w:rPr>
        <w:t xml:space="preserve">year </w:t>
      </w:r>
      <w:r w:rsidRPr="00AC29B2">
        <w:t xml:space="preserve">that ends in 2006.   For all subsequent plan </w:t>
      </w:r>
      <w:r w:rsidRPr="00AC29B2">
        <w:rPr>
          <w:spacing w:val="-3"/>
        </w:rPr>
        <w:t xml:space="preserve">years, </w:t>
      </w:r>
      <w:r w:rsidRPr="00AC29B2">
        <w:t xml:space="preserve">the entity must disclose to CMS the creditable coverage status of the prescription drug benefit options being provided to Medicare Part D eligible individuals no later than sixty (60 </w:t>
      </w:r>
      <w:r w:rsidRPr="00AC29B2">
        <w:rPr>
          <w:spacing w:val="-3"/>
        </w:rPr>
        <w:t xml:space="preserve">days) </w:t>
      </w:r>
      <w:r w:rsidRPr="00AC29B2">
        <w:t xml:space="preserve">following the beginning date of the entities plan </w:t>
      </w:r>
      <w:r w:rsidRPr="00AC29B2">
        <w:rPr>
          <w:spacing w:val="-3"/>
        </w:rPr>
        <w:t xml:space="preserve">year. </w:t>
      </w:r>
      <w:r w:rsidRPr="00AC29B2">
        <w:t xml:space="preserve">As outlined under 42 CFR 423.56(f)(2), the entity must also provide a disclosure to CMS upon any change that affects whether the coverage is creditable prescription drug coverage. </w:t>
      </w:r>
      <w:r w:rsidRPr="00AC29B2">
        <w:rPr>
          <w:spacing w:val="-6"/>
        </w:rPr>
        <w:t xml:space="preserve">In </w:t>
      </w:r>
      <w:r w:rsidRPr="00AC29B2">
        <w:t>an effort to reduce the paperwork burden associated with providing the annual disclosure to CMS, the Disclosure to CMS guidance paper outlines that entities are required to provide the disclosure to CMS via</w:t>
      </w:r>
      <w:r w:rsidR="00497131">
        <w:t xml:space="preserve"> </w:t>
      </w:r>
      <w:r w:rsidRPr="00AC29B2">
        <w:rPr>
          <w:spacing w:val="-40"/>
        </w:rPr>
        <w:t xml:space="preserve"> </w:t>
      </w:r>
      <w:r w:rsidRPr="00AC29B2">
        <w:t xml:space="preserve">the on-line Disclosure to CMS webpage found at </w:t>
      </w:r>
      <w:hyperlink r:id="rId8">
        <w:r w:rsidRPr="00AC29B2">
          <w:rPr>
            <w:color w:val="0000FF"/>
            <w:u w:val="single" w:color="0000FF"/>
          </w:rPr>
          <w:t>https://www.cms.hhs.gov/CreditableCoverage/45_CCDisclosureForm.asp</w:t>
        </w:r>
        <w:r w:rsidRPr="00AC29B2">
          <w:t>.</w:t>
        </w:r>
      </w:hyperlink>
    </w:p>
    <w:p w14:paraId="082500E7" w14:textId="77777777" w:rsidR="004A4867" w:rsidRPr="00AC29B2" w:rsidRDefault="004A4867" w:rsidP="00AC29B2">
      <w:pPr>
        <w:pStyle w:val="BodyText"/>
      </w:pPr>
    </w:p>
    <w:p w14:paraId="0EA050B9" w14:textId="77777777" w:rsidR="004A4867" w:rsidRPr="00AC29B2" w:rsidRDefault="00877558" w:rsidP="00AC29B2">
      <w:pPr>
        <w:pStyle w:val="ListParagraph"/>
        <w:numPr>
          <w:ilvl w:val="0"/>
          <w:numId w:val="1"/>
        </w:numPr>
        <w:tabs>
          <w:tab w:val="left" w:pos="519"/>
          <w:tab w:val="left" w:pos="520"/>
        </w:tabs>
        <w:ind w:left="0" w:firstLine="0"/>
        <w:rPr>
          <w:sz w:val="24"/>
          <w:szCs w:val="24"/>
        </w:rPr>
      </w:pPr>
      <w:r w:rsidRPr="00AC29B2">
        <w:rPr>
          <w:sz w:val="24"/>
          <w:szCs w:val="24"/>
          <w:u w:val="single"/>
        </w:rPr>
        <w:t>Information</w:t>
      </w:r>
      <w:r w:rsidRPr="00AC29B2">
        <w:rPr>
          <w:spacing w:val="-16"/>
          <w:sz w:val="24"/>
          <w:szCs w:val="24"/>
          <w:u w:val="single"/>
        </w:rPr>
        <w:t xml:space="preserve"> </w:t>
      </w:r>
      <w:r w:rsidRPr="00AC29B2">
        <w:rPr>
          <w:sz w:val="24"/>
          <w:szCs w:val="24"/>
          <w:u w:val="single"/>
        </w:rPr>
        <w:t>Users</w:t>
      </w:r>
    </w:p>
    <w:p w14:paraId="37458287" w14:textId="77777777" w:rsidR="0098036C" w:rsidRDefault="0098036C" w:rsidP="00AC29B2">
      <w:pPr>
        <w:pStyle w:val="BodyText"/>
      </w:pPr>
    </w:p>
    <w:p w14:paraId="551E295E" w14:textId="3388D3B1" w:rsidR="008B7168" w:rsidRPr="00634F78" w:rsidRDefault="00877558" w:rsidP="008B7168">
      <w:pPr>
        <w:pStyle w:val="CommentText"/>
        <w:rPr>
          <w:sz w:val="24"/>
          <w:szCs w:val="24"/>
        </w:rPr>
      </w:pPr>
      <w:r w:rsidRPr="00634F78">
        <w:rPr>
          <w:sz w:val="24"/>
          <w:szCs w:val="24"/>
        </w:rPr>
        <w:t>Disclosure of whether prescription drug coverage is creditable provides Medicare with important information relating to whether prescription drug benefits offered by an entity to Medicare Part D eligible individuals is expected to pay at least as much as the standard benefits under Medicare Part D.</w:t>
      </w:r>
      <w:r w:rsidR="008B7168" w:rsidRPr="00634F78">
        <w:rPr>
          <w:sz w:val="24"/>
          <w:szCs w:val="24"/>
        </w:rPr>
        <w:t xml:space="preserve"> The form is used as a comparison tool, to ensure that entities are offering prescription drug coverage </w:t>
      </w:r>
      <w:r w:rsidR="00E05A0D" w:rsidRPr="00634F78">
        <w:rPr>
          <w:sz w:val="24"/>
          <w:szCs w:val="24"/>
        </w:rPr>
        <w:lastRenderedPageBreak/>
        <w:t xml:space="preserve">equal to or greater than the benefit offered under </w:t>
      </w:r>
      <w:r w:rsidR="008B7168" w:rsidRPr="00634F78">
        <w:rPr>
          <w:sz w:val="24"/>
          <w:szCs w:val="24"/>
        </w:rPr>
        <w:t xml:space="preserve">Medicare Part D. benefit for those who are eligible for the Medicare benefit.   The benefit described by the submitter is compared to what is available under Medicare Part D. to determine if it is creditable.       </w:t>
      </w:r>
    </w:p>
    <w:p w14:paraId="00AD4D2A" w14:textId="7CD0B13B" w:rsidR="004A4867" w:rsidRPr="00E306B1" w:rsidRDefault="004A4867" w:rsidP="00AC29B2">
      <w:pPr>
        <w:pStyle w:val="BodyText"/>
      </w:pPr>
    </w:p>
    <w:p w14:paraId="2D6ED2D6" w14:textId="77777777" w:rsidR="004A4867" w:rsidRPr="00AC29B2" w:rsidRDefault="00877558" w:rsidP="00AC29B2">
      <w:pPr>
        <w:pStyle w:val="BodyText"/>
      </w:pPr>
      <w:r w:rsidRPr="00AC29B2">
        <w:t>The regulation at 42 CFR 423.46 outlines a late enrollment penalty (LEP) for Part D eligible individuals who go without creditable prescription drug coverage for any continuous period of sixty-three (63) days or longer after the end of their initial enrollment period for Part D coverage, and then subsequently enroll in Medicare prescription drug coverage.</w:t>
      </w:r>
    </w:p>
    <w:p w14:paraId="0F9B2CDB" w14:textId="77777777" w:rsidR="004A4867" w:rsidRPr="00AC29B2" w:rsidRDefault="004A4867" w:rsidP="00AC29B2">
      <w:pPr>
        <w:pStyle w:val="BodyText"/>
      </w:pPr>
    </w:p>
    <w:p w14:paraId="4F1485DE" w14:textId="77777777" w:rsidR="004A4867" w:rsidRPr="00AC29B2" w:rsidRDefault="00877558" w:rsidP="00AC29B2">
      <w:pPr>
        <w:pStyle w:val="BodyText"/>
      </w:pPr>
      <w:r w:rsidRPr="00AC29B2">
        <w:t>Medicare eligible individuals who delay enrolling in Part D coverage may be required to provide copies of any disclosure notices provided to them by the entity that sponsors the prescription drug coverage in which they were enrolled as proof that they have maintained creditable prescription drug coverage since the end of their Medicare initial enrollment period. Otherwise, the beneficiary may be subject to the late enrollment penalty (LEP) outlined under 42 CFR 423.46 and 423.286(c)(3) and in 70 Federal Register 13397, 13399 (March 21, 2005).</w:t>
      </w:r>
    </w:p>
    <w:p w14:paraId="61606F99" w14:textId="77777777" w:rsidR="004A4867" w:rsidRPr="00AC29B2" w:rsidRDefault="004A4867" w:rsidP="00AC29B2">
      <w:pPr>
        <w:pStyle w:val="BodyText"/>
      </w:pPr>
    </w:p>
    <w:p w14:paraId="4BA62FED" w14:textId="77777777" w:rsidR="004A4867" w:rsidRPr="00AC29B2" w:rsidRDefault="00877558" w:rsidP="00AC29B2">
      <w:pPr>
        <w:pStyle w:val="BodyText"/>
      </w:pPr>
      <w:r w:rsidRPr="00AC29B2">
        <w:t xml:space="preserve">Upon notifying a beneficiary of any LEP determination, plans will advise the beneficiary of the right to ask for a review of CMS’ LEP decision. Plans must assist beneficiaries, for example, by making relevant documentation available to support the individual’s case, such as notices or other materials related to the initial decision. If an enrollee disagrees with a LEP decision made by CMS (including the determination of the number of months the individual was eligible to enroll in a Part D plan and did not have creditable prescription drug coverage) and the amount of the penalty based on an adverse creditable coverage determination, the enrollee may request reconsideration of that decision under a process described in Medicare Prescription Drug Benefit Manual, Chapter 18 – Part D Enrollee Grievances, Coverage Determinations, and Appeals, </w:t>
      </w:r>
      <w:hyperlink r:id="rId9" w:anchor="TopOfPage">
        <w:r w:rsidRPr="00AC29B2">
          <w:rPr>
            <w:color w:val="0000FF"/>
            <w:u w:val="single" w:color="0000FF"/>
          </w:rPr>
          <w:t>http://www.cms.hhs.gov/MedPrescriptDrugApplGriev/11_Guidance.asp#TopOfPage</w:t>
        </w:r>
        <w:r w:rsidRPr="00AC29B2">
          <w:t>.</w:t>
        </w:r>
      </w:hyperlink>
    </w:p>
    <w:p w14:paraId="41896DCA" w14:textId="77777777" w:rsidR="004A4867" w:rsidRPr="00AC29B2" w:rsidRDefault="004A4867" w:rsidP="00AC29B2">
      <w:pPr>
        <w:pStyle w:val="BodyText"/>
      </w:pPr>
    </w:p>
    <w:p w14:paraId="5045BE4A" w14:textId="77777777" w:rsidR="004A4867" w:rsidRPr="00AC29B2" w:rsidRDefault="00877558" w:rsidP="00AC29B2">
      <w:pPr>
        <w:pStyle w:val="BodyText"/>
      </w:pPr>
      <w:r w:rsidRPr="00AC29B2">
        <w:t>Additionally, as set forth under §423.56(g), CMS, upon review, may treat non-creditable coverage as creditable coverage for purposes of applying the late enrollment penalty if:</w:t>
      </w:r>
    </w:p>
    <w:p w14:paraId="1EA209E8" w14:textId="77777777" w:rsidR="004A4867" w:rsidRPr="00AC29B2" w:rsidRDefault="00877558" w:rsidP="00540933">
      <w:pPr>
        <w:pStyle w:val="ListParagraph"/>
        <w:numPr>
          <w:ilvl w:val="2"/>
          <w:numId w:val="1"/>
        </w:numPr>
        <w:tabs>
          <w:tab w:val="left" w:pos="1539"/>
          <w:tab w:val="left" w:pos="1540"/>
        </w:tabs>
        <w:rPr>
          <w:sz w:val="24"/>
          <w:szCs w:val="24"/>
        </w:rPr>
      </w:pPr>
      <w:r w:rsidRPr="00AC29B2">
        <w:rPr>
          <w:sz w:val="24"/>
          <w:szCs w:val="24"/>
        </w:rPr>
        <w:t>an individual establishes that he/ she was not adequately informed that his/</w:t>
      </w:r>
      <w:r w:rsidRPr="00AC29B2">
        <w:rPr>
          <w:spacing w:val="-40"/>
          <w:sz w:val="24"/>
          <w:szCs w:val="24"/>
        </w:rPr>
        <w:t xml:space="preserve"> </w:t>
      </w:r>
      <w:r w:rsidRPr="00AC29B2">
        <w:rPr>
          <w:sz w:val="24"/>
          <w:szCs w:val="24"/>
        </w:rPr>
        <w:t>her prescription</w:t>
      </w:r>
      <w:r w:rsidRPr="00AC29B2">
        <w:rPr>
          <w:spacing w:val="-5"/>
          <w:sz w:val="24"/>
          <w:szCs w:val="24"/>
        </w:rPr>
        <w:t xml:space="preserve"> </w:t>
      </w:r>
      <w:r w:rsidRPr="00AC29B2">
        <w:rPr>
          <w:sz w:val="24"/>
          <w:szCs w:val="24"/>
        </w:rPr>
        <w:t>drug</w:t>
      </w:r>
      <w:r w:rsidRPr="00AC29B2">
        <w:rPr>
          <w:spacing w:val="-10"/>
          <w:sz w:val="24"/>
          <w:szCs w:val="24"/>
        </w:rPr>
        <w:t xml:space="preserve"> </w:t>
      </w:r>
      <w:r w:rsidRPr="00AC29B2">
        <w:rPr>
          <w:sz w:val="24"/>
          <w:szCs w:val="24"/>
        </w:rPr>
        <w:t>coverage</w:t>
      </w:r>
      <w:r w:rsidRPr="00AC29B2">
        <w:rPr>
          <w:spacing w:val="-6"/>
          <w:sz w:val="24"/>
          <w:szCs w:val="24"/>
        </w:rPr>
        <w:t xml:space="preserve"> </w:t>
      </w:r>
      <w:r w:rsidRPr="00AC29B2">
        <w:rPr>
          <w:sz w:val="24"/>
          <w:szCs w:val="24"/>
        </w:rPr>
        <w:t>was</w:t>
      </w:r>
      <w:r w:rsidRPr="00AC29B2">
        <w:rPr>
          <w:spacing w:val="-5"/>
          <w:sz w:val="24"/>
          <w:szCs w:val="24"/>
        </w:rPr>
        <w:t xml:space="preserve"> </w:t>
      </w:r>
      <w:r w:rsidRPr="00AC29B2">
        <w:rPr>
          <w:sz w:val="24"/>
          <w:szCs w:val="24"/>
        </w:rPr>
        <w:t>not</w:t>
      </w:r>
      <w:r w:rsidRPr="00AC29B2">
        <w:rPr>
          <w:spacing w:val="-5"/>
          <w:sz w:val="24"/>
          <w:szCs w:val="24"/>
        </w:rPr>
        <w:t xml:space="preserve"> </w:t>
      </w:r>
      <w:r w:rsidRPr="00AC29B2">
        <w:rPr>
          <w:sz w:val="24"/>
          <w:szCs w:val="24"/>
        </w:rPr>
        <w:t>creditable</w:t>
      </w:r>
      <w:r w:rsidRPr="00AC29B2">
        <w:rPr>
          <w:spacing w:val="-6"/>
          <w:sz w:val="24"/>
          <w:szCs w:val="24"/>
        </w:rPr>
        <w:t xml:space="preserve"> </w:t>
      </w:r>
      <w:r w:rsidRPr="00AC29B2">
        <w:rPr>
          <w:sz w:val="24"/>
          <w:szCs w:val="24"/>
        </w:rPr>
        <w:t>prescription</w:t>
      </w:r>
      <w:r w:rsidRPr="00AC29B2">
        <w:rPr>
          <w:spacing w:val="-5"/>
          <w:sz w:val="24"/>
          <w:szCs w:val="24"/>
        </w:rPr>
        <w:t xml:space="preserve"> </w:t>
      </w:r>
      <w:r w:rsidRPr="00AC29B2">
        <w:rPr>
          <w:sz w:val="24"/>
          <w:szCs w:val="24"/>
        </w:rPr>
        <w:t>drug</w:t>
      </w:r>
      <w:r w:rsidRPr="00AC29B2">
        <w:rPr>
          <w:spacing w:val="-10"/>
          <w:sz w:val="24"/>
          <w:szCs w:val="24"/>
        </w:rPr>
        <w:t xml:space="preserve"> </w:t>
      </w:r>
      <w:r w:rsidRPr="00AC29B2">
        <w:rPr>
          <w:sz w:val="24"/>
          <w:szCs w:val="24"/>
        </w:rPr>
        <w:t>coverage,</w:t>
      </w:r>
    </w:p>
    <w:p w14:paraId="4962C7C5" w14:textId="0778394E" w:rsidR="004A4867" w:rsidRDefault="00877558" w:rsidP="00540933">
      <w:pPr>
        <w:pStyle w:val="ListParagraph"/>
        <w:numPr>
          <w:ilvl w:val="2"/>
          <w:numId w:val="1"/>
        </w:numPr>
        <w:tabs>
          <w:tab w:val="left" w:pos="1539"/>
          <w:tab w:val="left" w:pos="1540"/>
        </w:tabs>
        <w:rPr>
          <w:sz w:val="24"/>
          <w:szCs w:val="24"/>
        </w:rPr>
      </w:pPr>
      <w:r w:rsidRPr="00AC29B2">
        <w:rPr>
          <w:sz w:val="24"/>
          <w:szCs w:val="24"/>
        </w:rPr>
        <w:t>the individual has made a request in writing to obtain a copy of the</w:t>
      </w:r>
      <w:r w:rsidRPr="00AC29B2">
        <w:rPr>
          <w:spacing w:val="-40"/>
          <w:sz w:val="24"/>
          <w:szCs w:val="24"/>
        </w:rPr>
        <w:t xml:space="preserve"> </w:t>
      </w:r>
      <w:r w:rsidRPr="00AC29B2">
        <w:rPr>
          <w:sz w:val="24"/>
          <w:szCs w:val="24"/>
        </w:rPr>
        <w:t>creditable coverage disclosure from the entity sponsoring their prior plan,</w:t>
      </w:r>
      <w:r w:rsidRPr="00AC29B2">
        <w:rPr>
          <w:spacing w:val="-39"/>
          <w:sz w:val="24"/>
          <w:szCs w:val="24"/>
        </w:rPr>
        <w:t xml:space="preserve"> </w:t>
      </w:r>
      <w:r w:rsidRPr="00AC29B2">
        <w:rPr>
          <w:sz w:val="24"/>
          <w:szCs w:val="24"/>
        </w:rPr>
        <w:t>and</w:t>
      </w:r>
      <w:r w:rsidR="002B16B8">
        <w:rPr>
          <w:sz w:val="24"/>
          <w:szCs w:val="24"/>
        </w:rPr>
        <w:t xml:space="preserve"> </w:t>
      </w:r>
    </w:p>
    <w:p w14:paraId="6D96BD23" w14:textId="77777777" w:rsidR="004A4867" w:rsidRPr="00836191" w:rsidRDefault="00877558" w:rsidP="00540933">
      <w:pPr>
        <w:pStyle w:val="ListParagraph"/>
        <w:numPr>
          <w:ilvl w:val="2"/>
          <w:numId w:val="1"/>
        </w:numPr>
        <w:tabs>
          <w:tab w:val="left" w:pos="1539"/>
          <w:tab w:val="left" w:pos="1540"/>
        </w:tabs>
        <w:rPr>
          <w:sz w:val="24"/>
          <w:szCs w:val="24"/>
        </w:rPr>
      </w:pPr>
      <w:r w:rsidRPr="00836191">
        <w:rPr>
          <w:sz w:val="24"/>
          <w:szCs w:val="24"/>
        </w:rPr>
        <w:t>the</w:t>
      </w:r>
      <w:r w:rsidRPr="00836191">
        <w:rPr>
          <w:spacing w:val="-3"/>
          <w:sz w:val="24"/>
          <w:szCs w:val="24"/>
        </w:rPr>
        <w:t xml:space="preserve"> </w:t>
      </w:r>
      <w:r w:rsidRPr="00836191">
        <w:rPr>
          <w:sz w:val="24"/>
          <w:szCs w:val="24"/>
        </w:rPr>
        <w:t>individual</w:t>
      </w:r>
      <w:r w:rsidRPr="00836191">
        <w:rPr>
          <w:spacing w:val="-2"/>
          <w:sz w:val="24"/>
          <w:szCs w:val="24"/>
        </w:rPr>
        <w:t xml:space="preserve"> </w:t>
      </w:r>
      <w:r w:rsidRPr="00836191">
        <w:rPr>
          <w:sz w:val="24"/>
          <w:szCs w:val="24"/>
        </w:rPr>
        <w:t>has</w:t>
      </w:r>
      <w:r w:rsidRPr="00836191">
        <w:rPr>
          <w:spacing w:val="-2"/>
          <w:sz w:val="24"/>
          <w:szCs w:val="24"/>
        </w:rPr>
        <w:t xml:space="preserve"> </w:t>
      </w:r>
      <w:r w:rsidRPr="00836191">
        <w:rPr>
          <w:sz w:val="24"/>
          <w:szCs w:val="24"/>
        </w:rPr>
        <w:t>not</w:t>
      </w:r>
      <w:r w:rsidRPr="00836191">
        <w:rPr>
          <w:spacing w:val="-4"/>
          <w:sz w:val="24"/>
          <w:szCs w:val="24"/>
        </w:rPr>
        <w:t xml:space="preserve"> </w:t>
      </w:r>
      <w:r w:rsidRPr="00836191">
        <w:rPr>
          <w:sz w:val="24"/>
          <w:szCs w:val="24"/>
        </w:rPr>
        <w:t>received</w:t>
      </w:r>
      <w:r w:rsidRPr="00836191">
        <w:rPr>
          <w:spacing w:val="-2"/>
          <w:sz w:val="24"/>
          <w:szCs w:val="24"/>
        </w:rPr>
        <w:t xml:space="preserve"> </w:t>
      </w:r>
      <w:r w:rsidRPr="00836191">
        <w:rPr>
          <w:sz w:val="24"/>
          <w:szCs w:val="24"/>
        </w:rPr>
        <w:t>a</w:t>
      </w:r>
      <w:r w:rsidRPr="00836191">
        <w:rPr>
          <w:spacing w:val="-3"/>
          <w:sz w:val="24"/>
          <w:szCs w:val="24"/>
        </w:rPr>
        <w:t xml:space="preserve"> </w:t>
      </w:r>
      <w:r w:rsidRPr="00836191">
        <w:rPr>
          <w:sz w:val="24"/>
          <w:szCs w:val="24"/>
        </w:rPr>
        <w:t>reply</w:t>
      </w:r>
      <w:r w:rsidRPr="00836191">
        <w:rPr>
          <w:spacing w:val="-16"/>
          <w:sz w:val="24"/>
          <w:szCs w:val="24"/>
        </w:rPr>
        <w:t xml:space="preserve"> </w:t>
      </w:r>
      <w:r w:rsidRPr="00836191">
        <w:rPr>
          <w:sz w:val="24"/>
          <w:szCs w:val="24"/>
        </w:rPr>
        <w:t>from</w:t>
      </w:r>
      <w:r w:rsidRPr="00F02ED8">
        <w:rPr>
          <w:spacing w:val="-2"/>
          <w:sz w:val="24"/>
          <w:szCs w:val="24"/>
        </w:rPr>
        <w:t xml:space="preserve"> </w:t>
      </w:r>
      <w:r w:rsidRPr="00F02ED8">
        <w:rPr>
          <w:sz w:val="24"/>
          <w:szCs w:val="24"/>
        </w:rPr>
        <w:t>the</w:t>
      </w:r>
      <w:r w:rsidRPr="00F02ED8">
        <w:rPr>
          <w:spacing w:val="-3"/>
          <w:sz w:val="24"/>
          <w:szCs w:val="24"/>
        </w:rPr>
        <w:t xml:space="preserve"> </w:t>
      </w:r>
      <w:r w:rsidRPr="00F02ED8">
        <w:rPr>
          <w:sz w:val="24"/>
          <w:szCs w:val="24"/>
        </w:rPr>
        <w:t>entity</w:t>
      </w:r>
      <w:r w:rsidRPr="00836191">
        <w:rPr>
          <w:spacing w:val="-13"/>
          <w:sz w:val="24"/>
          <w:szCs w:val="24"/>
        </w:rPr>
        <w:t xml:space="preserve"> </w:t>
      </w:r>
      <w:r w:rsidRPr="00836191">
        <w:rPr>
          <w:sz w:val="24"/>
          <w:szCs w:val="24"/>
        </w:rPr>
        <w:t>within</w:t>
      </w:r>
      <w:r w:rsidRPr="00836191">
        <w:rPr>
          <w:spacing w:val="-2"/>
          <w:sz w:val="24"/>
          <w:szCs w:val="24"/>
        </w:rPr>
        <w:t xml:space="preserve"> </w:t>
      </w:r>
      <w:r w:rsidRPr="00836191">
        <w:rPr>
          <w:sz w:val="24"/>
          <w:szCs w:val="24"/>
        </w:rPr>
        <w:t>a</w:t>
      </w:r>
      <w:r w:rsidRPr="00836191">
        <w:rPr>
          <w:spacing w:val="-3"/>
          <w:sz w:val="24"/>
          <w:szCs w:val="24"/>
        </w:rPr>
        <w:t xml:space="preserve"> </w:t>
      </w:r>
      <w:r w:rsidRPr="00836191">
        <w:rPr>
          <w:sz w:val="24"/>
          <w:szCs w:val="24"/>
        </w:rPr>
        <w:t>reasonable</w:t>
      </w:r>
      <w:r w:rsidRPr="00836191">
        <w:rPr>
          <w:spacing w:val="-3"/>
          <w:sz w:val="24"/>
          <w:szCs w:val="24"/>
        </w:rPr>
        <w:t xml:space="preserve"> </w:t>
      </w:r>
      <w:r w:rsidRPr="00836191">
        <w:rPr>
          <w:sz w:val="24"/>
          <w:szCs w:val="24"/>
        </w:rPr>
        <w:t>time.</w:t>
      </w:r>
      <w:r w:rsidRPr="00836191">
        <w:rPr>
          <w:spacing w:val="-2"/>
          <w:sz w:val="24"/>
          <w:szCs w:val="24"/>
        </w:rPr>
        <w:t xml:space="preserve"> </w:t>
      </w:r>
      <w:r w:rsidRPr="00836191">
        <w:rPr>
          <w:sz w:val="24"/>
          <w:szCs w:val="24"/>
        </w:rPr>
        <w:t>CMS uses the database information collected in the disclosure to assist beneficiaries during the appeals phase by providing the insuring entity’s contact information so that the individual may request</w:t>
      </w:r>
      <w:r w:rsidRPr="00836191">
        <w:rPr>
          <w:spacing w:val="-1"/>
          <w:sz w:val="24"/>
          <w:szCs w:val="24"/>
        </w:rPr>
        <w:t xml:space="preserve"> </w:t>
      </w:r>
      <w:r w:rsidRPr="00836191">
        <w:rPr>
          <w:sz w:val="24"/>
          <w:szCs w:val="24"/>
        </w:rPr>
        <w:t>a</w:t>
      </w:r>
      <w:r w:rsidRPr="00836191">
        <w:rPr>
          <w:spacing w:val="-2"/>
          <w:sz w:val="24"/>
          <w:szCs w:val="24"/>
        </w:rPr>
        <w:t xml:space="preserve"> </w:t>
      </w:r>
      <w:r w:rsidRPr="00836191">
        <w:rPr>
          <w:sz w:val="24"/>
          <w:szCs w:val="24"/>
        </w:rPr>
        <w:t>copy</w:t>
      </w:r>
      <w:r w:rsidRPr="00836191">
        <w:rPr>
          <w:spacing w:val="-13"/>
          <w:sz w:val="24"/>
          <w:szCs w:val="24"/>
        </w:rPr>
        <w:t xml:space="preserve"> </w:t>
      </w:r>
      <w:r w:rsidRPr="00836191">
        <w:rPr>
          <w:sz w:val="24"/>
          <w:szCs w:val="24"/>
        </w:rPr>
        <w:t>of</w:t>
      </w:r>
      <w:r w:rsidRPr="00836191">
        <w:rPr>
          <w:spacing w:val="-2"/>
          <w:sz w:val="24"/>
          <w:szCs w:val="24"/>
        </w:rPr>
        <w:t xml:space="preserve"> </w:t>
      </w:r>
      <w:r w:rsidRPr="00836191">
        <w:rPr>
          <w:sz w:val="24"/>
          <w:szCs w:val="24"/>
        </w:rPr>
        <w:t>the</w:t>
      </w:r>
      <w:r w:rsidRPr="00836191">
        <w:rPr>
          <w:spacing w:val="-2"/>
          <w:sz w:val="24"/>
          <w:szCs w:val="24"/>
        </w:rPr>
        <w:t xml:space="preserve"> </w:t>
      </w:r>
      <w:r w:rsidRPr="00836191">
        <w:rPr>
          <w:sz w:val="24"/>
          <w:szCs w:val="24"/>
        </w:rPr>
        <w:t>previously</w:t>
      </w:r>
      <w:r w:rsidRPr="00836191">
        <w:rPr>
          <w:spacing w:val="-13"/>
          <w:sz w:val="24"/>
          <w:szCs w:val="24"/>
        </w:rPr>
        <w:t xml:space="preserve"> </w:t>
      </w:r>
      <w:r w:rsidRPr="00836191">
        <w:rPr>
          <w:sz w:val="24"/>
          <w:szCs w:val="24"/>
        </w:rPr>
        <w:t>issued</w:t>
      </w:r>
      <w:r w:rsidRPr="00836191">
        <w:rPr>
          <w:spacing w:val="-1"/>
          <w:sz w:val="24"/>
          <w:szCs w:val="24"/>
        </w:rPr>
        <w:t xml:space="preserve"> </w:t>
      </w:r>
      <w:r w:rsidRPr="00836191">
        <w:rPr>
          <w:sz w:val="24"/>
          <w:szCs w:val="24"/>
        </w:rPr>
        <w:t>disclosure</w:t>
      </w:r>
      <w:r w:rsidRPr="00836191">
        <w:rPr>
          <w:spacing w:val="-5"/>
          <w:sz w:val="24"/>
          <w:szCs w:val="24"/>
        </w:rPr>
        <w:t xml:space="preserve"> </w:t>
      </w:r>
      <w:r w:rsidRPr="00836191">
        <w:rPr>
          <w:sz w:val="24"/>
          <w:szCs w:val="24"/>
        </w:rPr>
        <w:t>notices</w:t>
      </w:r>
      <w:r w:rsidRPr="00836191">
        <w:rPr>
          <w:spacing w:val="-1"/>
          <w:sz w:val="24"/>
          <w:szCs w:val="24"/>
        </w:rPr>
        <w:t xml:space="preserve"> </w:t>
      </w:r>
      <w:r w:rsidRPr="00836191">
        <w:rPr>
          <w:sz w:val="24"/>
          <w:szCs w:val="24"/>
        </w:rPr>
        <w:t>that</w:t>
      </w:r>
      <w:r w:rsidRPr="00836191">
        <w:rPr>
          <w:spacing w:val="-1"/>
          <w:sz w:val="24"/>
          <w:szCs w:val="24"/>
        </w:rPr>
        <w:t xml:space="preserve"> </w:t>
      </w:r>
      <w:r w:rsidRPr="00836191">
        <w:rPr>
          <w:sz w:val="24"/>
          <w:szCs w:val="24"/>
        </w:rPr>
        <w:t>entity</w:t>
      </w:r>
      <w:r w:rsidRPr="00836191">
        <w:rPr>
          <w:spacing w:val="-16"/>
          <w:sz w:val="24"/>
          <w:szCs w:val="24"/>
        </w:rPr>
        <w:t xml:space="preserve"> </w:t>
      </w:r>
      <w:r w:rsidRPr="00836191">
        <w:rPr>
          <w:sz w:val="24"/>
          <w:szCs w:val="24"/>
        </w:rPr>
        <w:t>provided</w:t>
      </w:r>
      <w:r w:rsidRPr="00836191">
        <w:rPr>
          <w:spacing w:val="-1"/>
          <w:sz w:val="24"/>
          <w:szCs w:val="24"/>
        </w:rPr>
        <w:t xml:space="preserve"> </w:t>
      </w:r>
      <w:r w:rsidRPr="00836191">
        <w:rPr>
          <w:sz w:val="24"/>
          <w:szCs w:val="24"/>
        </w:rPr>
        <w:t>its</w:t>
      </w:r>
      <w:r w:rsidRPr="00836191">
        <w:rPr>
          <w:spacing w:val="-1"/>
          <w:sz w:val="24"/>
          <w:szCs w:val="24"/>
        </w:rPr>
        <w:t xml:space="preserve"> </w:t>
      </w:r>
      <w:r w:rsidRPr="00836191">
        <w:rPr>
          <w:sz w:val="24"/>
          <w:szCs w:val="24"/>
        </w:rPr>
        <w:t>members.</w:t>
      </w:r>
    </w:p>
    <w:p w14:paraId="4AE2C91F" w14:textId="77777777" w:rsidR="004A4867" w:rsidRPr="00AC29B2" w:rsidRDefault="004A4867" w:rsidP="00AC29B2">
      <w:pPr>
        <w:pStyle w:val="BodyText"/>
      </w:pPr>
    </w:p>
    <w:p w14:paraId="794A8931" w14:textId="77777777" w:rsidR="004A4867" w:rsidRPr="00AC29B2" w:rsidRDefault="00877558" w:rsidP="00AC29B2">
      <w:pPr>
        <w:pStyle w:val="ListParagraph"/>
        <w:numPr>
          <w:ilvl w:val="0"/>
          <w:numId w:val="1"/>
        </w:numPr>
        <w:tabs>
          <w:tab w:val="left" w:pos="519"/>
          <w:tab w:val="left" w:pos="520"/>
        </w:tabs>
        <w:ind w:left="0" w:firstLine="0"/>
        <w:rPr>
          <w:sz w:val="24"/>
          <w:szCs w:val="24"/>
        </w:rPr>
      </w:pPr>
      <w:r w:rsidRPr="00AC29B2">
        <w:rPr>
          <w:sz w:val="24"/>
          <w:szCs w:val="24"/>
          <w:u w:val="single"/>
        </w:rPr>
        <w:t>Use of Information</w:t>
      </w:r>
      <w:r w:rsidRPr="00AC29B2">
        <w:rPr>
          <w:spacing w:val="-19"/>
          <w:sz w:val="24"/>
          <w:szCs w:val="24"/>
          <w:u w:val="single"/>
        </w:rPr>
        <w:t xml:space="preserve"> </w:t>
      </w:r>
      <w:r w:rsidRPr="00AC29B2">
        <w:rPr>
          <w:sz w:val="24"/>
          <w:szCs w:val="24"/>
          <w:u w:val="single"/>
        </w:rPr>
        <w:t>Technology</w:t>
      </w:r>
    </w:p>
    <w:p w14:paraId="3B7E2253" w14:textId="77777777" w:rsidR="004A4867" w:rsidRPr="00AC29B2" w:rsidRDefault="004A4867" w:rsidP="00AC29B2">
      <w:pPr>
        <w:pStyle w:val="BodyText"/>
      </w:pPr>
    </w:p>
    <w:p w14:paraId="70F79800" w14:textId="7A293A08" w:rsidR="004A4867" w:rsidRPr="00AC29B2" w:rsidRDefault="00877558" w:rsidP="00AC29B2">
      <w:pPr>
        <w:pStyle w:val="BodyText"/>
      </w:pPr>
      <w:r w:rsidRPr="00AC29B2">
        <w:t>CMS issued and posted the on-line Disclosure to CMS form in January 2006 on the CMS website for all entities to complete. The initial disclosure to CMS for plan years ending in 2006 was required to be completed no later than March 31, 2006.</w:t>
      </w:r>
    </w:p>
    <w:p w14:paraId="658F2DA3" w14:textId="77777777" w:rsidR="004A4867" w:rsidRPr="00AC29B2" w:rsidRDefault="004A4867" w:rsidP="00AC29B2">
      <w:pPr>
        <w:pStyle w:val="BodyText"/>
      </w:pPr>
    </w:p>
    <w:p w14:paraId="40D6A6F3" w14:textId="77777777" w:rsidR="004A4867" w:rsidRPr="00AC29B2" w:rsidRDefault="00877558" w:rsidP="00AC29B2">
      <w:pPr>
        <w:pStyle w:val="BodyText"/>
      </w:pPr>
      <w:r w:rsidRPr="00AC29B2">
        <w:lastRenderedPageBreak/>
        <w:t>For all subsequent plan years that end in 2007 and beyond, entities must provide their disclosure to CMS via the on-line disclosure to CMS form no later than sixty (60) days following the beginning date of the entity’s plan year.</w:t>
      </w:r>
    </w:p>
    <w:p w14:paraId="05CF7EDD" w14:textId="77777777" w:rsidR="004A4867" w:rsidRDefault="004A4867" w:rsidP="00AC29B2">
      <w:pPr>
        <w:rPr>
          <w:sz w:val="24"/>
          <w:szCs w:val="24"/>
        </w:rPr>
      </w:pPr>
    </w:p>
    <w:p w14:paraId="04429BD0" w14:textId="77777777" w:rsidR="004A4867" w:rsidRPr="00AC29B2" w:rsidRDefault="00877558" w:rsidP="00AC29B2">
      <w:pPr>
        <w:pStyle w:val="ListParagraph"/>
        <w:numPr>
          <w:ilvl w:val="0"/>
          <w:numId w:val="1"/>
        </w:numPr>
        <w:tabs>
          <w:tab w:val="left" w:pos="519"/>
          <w:tab w:val="left" w:pos="520"/>
        </w:tabs>
        <w:ind w:left="0" w:firstLine="0"/>
        <w:rPr>
          <w:sz w:val="24"/>
          <w:szCs w:val="24"/>
        </w:rPr>
      </w:pPr>
      <w:r w:rsidRPr="00AC29B2">
        <w:rPr>
          <w:sz w:val="24"/>
          <w:szCs w:val="24"/>
          <w:u w:val="single"/>
        </w:rPr>
        <w:t>Duplication of</w:t>
      </w:r>
      <w:r w:rsidRPr="00AC29B2">
        <w:rPr>
          <w:spacing w:val="-9"/>
          <w:sz w:val="24"/>
          <w:szCs w:val="24"/>
          <w:u w:val="single"/>
        </w:rPr>
        <w:t xml:space="preserve"> </w:t>
      </w:r>
      <w:r w:rsidRPr="00AC29B2">
        <w:rPr>
          <w:sz w:val="24"/>
          <w:szCs w:val="24"/>
          <w:u w:val="single"/>
        </w:rPr>
        <w:t>Efforts</w:t>
      </w:r>
    </w:p>
    <w:p w14:paraId="0A601E88" w14:textId="77777777" w:rsidR="004A4867" w:rsidRPr="00AC29B2" w:rsidRDefault="004A4867" w:rsidP="00AC29B2">
      <w:pPr>
        <w:pStyle w:val="BodyText"/>
      </w:pPr>
    </w:p>
    <w:p w14:paraId="24800214" w14:textId="77777777" w:rsidR="004A4867" w:rsidRPr="00AC29B2" w:rsidRDefault="00877558" w:rsidP="00AC29B2">
      <w:pPr>
        <w:pStyle w:val="BodyText"/>
      </w:pPr>
      <w:r w:rsidRPr="00AC29B2">
        <w:t>The information collection requirements (ICRs) contained in the regulations are not duplicated through any other effort.</w:t>
      </w:r>
    </w:p>
    <w:p w14:paraId="5DDC755B" w14:textId="77777777" w:rsidR="004A4867" w:rsidRPr="00AC29B2" w:rsidRDefault="004A4867" w:rsidP="00AC29B2">
      <w:pPr>
        <w:pStyle w:val="BodyText"/>
      </w:pPr>
    </w:p>
    <w:p w14:paraId="6D8F17D2" w14:textId="77777777" w:rsidR="004A4867" w:rsidRPr="00AC29B2" w:rsidRDefault="00877558" w:rsidP="00AC29B2">
      <w:pPr>
        <w:pStyle w:val="ListParagraph"/>
        <w:numPr>
          <w:ilvl w:val="0"/>
          <w:numId w:val="1"/>
        </w:numPr>
        <w:tabs>
          <w:tab w:val="left" w:pos="519"/>
          <w:tab w:val="left" w:pos="520"/>
        </w:tabs>
        <w:ind w:left="0" w:firstLine="0"/>
        <w:rPr>
          <w:sz w:val="24"/>
          <w:szCs w:val="24"/>
        </w:rPr>
      </w:pPr>
      <w:r w:rsidRPr="00AC29B2">
        <w:rPr>
          <w:sz w:val="24"/>
          <w:szCs w:val="24"/>
          <w:u w:val="single"/>
        </w:rPr>
        <w:t>Small</w:t>
      </w:r>
      <w:r w:rsidRPr="00AC29B2">
        <w:rPr>
          <w:spacing w:val="-9"/>
          <w:sz w:val="24"/>
          <w:szCs w:val="24"/>
          <w:u w:val="single"/>
        </w:rPr>
        <w:t xml:space="preserve"> </w:t>
      </w:r>
      <w:r w:rsidRPr="00AC29B2">
        <w:rPr>
          <w:sz w:val="24"/>
          <w:szCs w:val="24"/>
          <w:u w:val="single"/>
        </w:rPr>
        <w:t>Businesses</w:t>
      </w:r>
    </w:p>
    <w:p w14:paraId="2591C57B" w14:textId="77777777" w:rsidR="004A4867" w:rsidRPr="00AC29B2" w:rsidRDefault="004A4867" w:rsidP="00AC29B2">
      <w:pPr>
        <w:pStyle w:val="BodyText"/>
      </w:pPr>
    </w:p>
    <w:p w14:paraId="6451D2A1" w14:textId="77777777" w:rsidR="004A4867" w:rsidRPr="00AC29B2" w:rsidRDefault="00877558" w:rsidP="00AC29B2">
      <w:pPr>
        <w:pStyle w:val="BodyText"/>
      </w:pPr>
      <w:r w:rsidRPr="00AC29B2">
        <w:t>There is no significant impact on small businesses who comply with these ICRs. Some entities are small businesses and will have to comply with all the information requirements described in this supporting statement.</w:t>
      </w:r>
    </w:p>
    <w:p w14:paraId="320A4740" w14:textId="77777777" w:rsidR="004A4867" w:rsidRPr="00AC29B2" w:rsidRDefault="004A4867" w:rsidP="00AC29B2">
      <w:pPr>
        <w:pStyle w:val="BodyText"/>
      </w:pPr>
    </w:p>
    <w:p w14:paraId="4F5C3725" w14:textId="77777777" w:rsidR="004A4867" w:rsidRPr="00AC29B2" w:rsidRDefault="00877558" w:rsidP="00AC29B2">
      <w:pPr>
        <w:pStyle w:val="ListParagraph"/>
        <w:numPr>
          <w:ilvl w:val="0"/>
          <w:numId w:val="1"/>
        </w:numPr>
        <w:tabs>
          <w:tab w:val="left" w:pos="519"/>
          <w:tab w:val="left" w:pos="520"/>
        </w:tabs>
        <w:ind w:left="0" w:firstLine="0"/>
        <w:rPr>
          <w:sz w:val="24"/>
          <w:szCs w:val="24"/>
        </w:rPr>
      </w:pPr>
      <w:r w:rsidRPr="00AC29B2">
        <w:rPr>
          <w:spacing w:val="-3"/>
          <w:sz w:val="24"/>
          <w:szCs w:val="24"/>
          <w:u w:val="single"/>
        </w:rPr>
        <w:t xml:space="preserve">Less </w:t>
      </w:r>
      <w:r w:rsidRPr="00AC29B2">
        <w:rPr>
          <w:sz w:val="24"/>
          <w:szCs w:val="24"/>
          <w:u w:val="single"/>
        </w:rPr>
        <w:t>Frequent</w:t>
      </w:r>
      <w:r w:rsidRPr="00AC29B2">
        <w:rPr>
          <w:spacing w:val="-2"/>
          <w:sz w:val="24"/>
          <w:szCs w:val="24"/>
          <w:u w:val="single"/>
        </w:rPr>
        <w:t xml:space="preserve"> </w:t>
      </w:r>
      <w:r w:rsidRPr="00AC29B2">
        <w:rPr>
          <w:sz w:val="24"/>
          <w:szCs w:val="24"/>
          <w:u w:val="single"/>
        </w:rPr>
        <w:t>Collection</w:t>
      </w:r>
    </w:p>
    <w:p w14:paraId="1FBC5891" w14:textId="77777777" w:rsidR="004A4867" w:rsidRPr="00AC29B2" w:rsidRDefault="004A4867" w:rsidP="00AC29B2">
      <w:pPr>
        <w:pStyle w:val="BodyText"/>
      </w:pPr>
    </w:p>
    <w:p w14:paraId="179E6927" w14:textId="77777777" w:rsidR="004A4867" w:rsidRPr="00AC29B2" w:rsidRDefault="00877558" w:rsidP="00AC29B2">
      <w:pPr>
        <w:pStyle w:val="BodyText"/>
      </w:pPr>
      <w:r w:rsidRPr="00AC29B2">
        <w:t>Less frequent collection is not applicable. This information is collected as required by statute and regulation as outlined in 42 CFR 423.56(f). By regulation, entities must provide disclosure to CMS in accordance with the ICRs.</w:t>
      </w:r>
    </w:p>
    <w:p w14:paraId="3334B2AB" w14:textId="77777777" w:rsidR="004A4867" w:rsidRPr="00AC29B2" w:rsidRDefault="004A4867" w:rsidP="00AC29B2">
      <w:pPr>
        <w:pStyle w:val="BodyText"/>
      </w:pPr>
    </w:p>
    <w:p w14:paraId="07B71820" w14:textId="77777777" w:rsidR="004A4867" w:rsidRPr="00AC29B2" w:rsidRDefault="00877558" w:rsidP="00AC29B2">
      <w:pPr>
        <w:pStyle w:val="ListParagraph"/>
        <w:numPr>
          <w:ilvl w:val="0"/>
          <w:numId w:val="1"/>
        </w:numPr>
        <w:tabs>
          <w:tab w:val="left" w:pos="519"/>
          <w:tab w:val="left" w:pos="520"/>
        </w:tabs>
        <w:ind w:left="0" w:firstLine="0"/>
        <w:rPr>
          <w:sz w:val="24"/>
          <w:szCs w:val="24"/>
        </w:rPr>
      </w:pPr>
      <w:r w:rsidRPr="00AC29B2">
        <w:rPr>
          <w:sz w:val="24"/>
          <w:szCs w:val="24"/>
          <w:u w:val="single"/>
        </w:rPr>
        <w:t>Special</w:t>
      </w:r>
      <w:r w:rsidRPr="00AC29B2">
        <w:rPr>
          <w:spacing w:val="-16"/>
          <w:sz w:val="24"/>
          <w:szCs w:val="24"/>
          <w:u w:val="single"/>
        </w:rPr>
        <w:t xml:space="preserve"> </w:t>
      </w:r>
      <w:r w:rsidRPr="00AC29B2">
        <w:rPr>
          <w:sz w:val="24"/>
          <w:szCs w:val="24"/>
          <w:u w:val="single"/>
        </w:rPr>
        <w:t>Circumstances</w:t>
      </w:r>
    </w:p>
    <w:p w14:paraId="16253A7A" w14:textId="77777777" w:rsidR="004A4867" w:rsidRPr="00AC29B2" w:rsidRDefault="004A4867" w:rsidP="00AC29B2">
      <w:pPr>
        <w:pStyle w:val="BodyText"/>
      </w:pPr>
    </w:p>
    <w:p w14:paraId="2D410C4D" w14:textId="77777777" w:rsidR="004A4867" w:rsidRPr="00AC29B2" w:rsidRDefault="00877558" w:rsidP="00AC29B2">
      <w:pPr>
        <w:pStyle w:val="BodyText"/>
      </w:pPr>
      <w:r w:rsidRPr="00AC29B2">
        <w:t>The creditable coverage disclosure information will occur annually from entities as they renew their prescription drug programs. Entities who make mid-year changes to their prescription drug programs are also required under 42 CFR 423.56(f)(2) to provide a disclosure to CMS of any change in the creditable coverage status.</w:t>
      </w:r>
    </w:p>
    <w:p w14:paraId="33819F5E" w14:textId="77777777" w:rsidR="004A4867" w:rsidRPr="00AC29B2" w:rsidRDefault="004A4867" w:rsidP="00AC29B2">
      <w:pPr>
        <w:pStyle w:val="BodyText"/>
      </w:pPr>
    </w:p>
    <w:p w14:paraId="0ECBB83C" w14:textId="77777777" w:rsidR="004A4867" w:rsidRPr="00AC29B2" w:rsidRDefault="00877558" w:rsidP="00AC29B2">
      <w:pPr>
        <w:pStyle w:val="ListParagraph"/>
        <w:numPr>
          <w:ilvl w:val="0"/>
          <w:numId w:val="1"/>
        </w:numPr>
        <w:tabs>
          <w:tab w:val="left" w:pos="519"/>
          <w:tab w:val="left" w:pos="520"/>
        </w:tabs>
        <w:ind w:left="0" w:firstLine="0"/>
        <w:rPr>
          <w:sz w:val="24"/>
          <w:szCs w:val="24"/>
        </w:rPr>
      </w:pPr>
      <w:r w:rsidRPr="00AC29B2">
        <w:rPr>
          <w:sz w:val="24"/>
          <w:szCs w:val="24"/>
          <w:u w:val="single"/>
        </w:rPr>
        <w:t>Federal Register/Outside</w:t>
      </w:r>
      <w:r w:rsidRPr="00AC29B2">
        <w:rPr>
          <w:spacing w:val="-18"/>
          <w:sz w:val="24"/>
          <w:szCs w:val="24"/>
          <w:u w:val="single"/>
        </w:rPr>
        <w:t xml:space="preserve"> </w:t>
      </w:r>
      <w:r w:rsidRPr="00AC29B2">
        <w:rPr>
          <w:sz w:val="24"/>
          <w:szCs w:val="24"/>
          <w:u w:val="single"/>
        </w:rPr>
        <w:t>Consultation</w:t>
      </w:r>
    </w:p>
    <w:p w14:paraId="38679C88" w14:textId="77777777" w:rsidR="004A4867" w:rsidRDefault="004A4867" w:rsidP="00AC29B2">
      <w:pPr>
        <w:pStyle w:val="BodyText"/>
      </w:pPr>
    </w:p>
    <w:p w14:paraId="0C0C237A" w14:textId="72427BAA" w:rsidR="00AE4C46" w:rsidRPr="006075A4" w:rsidRDefault="00AE4C46" w:rsidP="00AC29B2">
      <w:pPr>
        <w:pStyle w:val="BodyText"/>
        <w:rPr>
          <w:i/>
        </w:rPr>
      </w:pPr>
      <w:r w:rsidRPr="006075A4">
        <w:rPr>
          <w:i/>
        </w:rPr>
        <w:t>Federal Register Notice</w:t>
      </w:r>
    </w:p>
    <w:p w14:paraId="48B9C54E" w14:textId="77777777" w:rsidR="00AE4C46" w:rsidRPr="00AC29B2" w:rsidRDefault="00AE4C46" w:rsidP="00AC29B2">
      <w:pPr>
        <w:pStyle w:val="BodyText"/>
      </w:pPr>
    </w:p>
    <w:p w14:paraId="79ECD2DD" w14:textId="77777777" w:rsidR="004A4867" w:rsidRPr="00AC29B2" w:rsidRDefault="00877558" w:rsidP="00AC29B2">
      <w:pPr>
        <w:pStyle w:val="BodyText"/>
      </w:pPr>
      <w:r w:rsidRPr="00AC29B2">
        <w:t xml:space="preserve">The 60-day notice published </w:t>
      </w:r>
      <w:r w:rsidR="005A4D78">
        <w:t xml:space="preserve">in the </w:t>
      </w:r>
      <w:r w:rsidR="005A4D78" w:rsidRPr="00AC29B2">
        <w:t xml:space="preserve">Federal Register </w:t>
      </w:r>
      <w:r w:rsidRPr="00AC29B2">
        <w:t xml:space="preserve">on </w:t>
      </w:r>
      <w:r w:rsidR="005A4D78">
        <w:t>December 16</w:t>
      </w:r>
      <w:r w:rsidRPr="00AC29B2">
        <w:t>, 201</w:t>
      </w:r>
      <w:r w:rsidR="005A4D78">
        <w:t>6 (</w:t>
      </w:r>
      <w:r w:rsidRPr="00AC29B2">
        <w:t>8</w:t>
      </w:r>
      <w:r w:rsidR="005A4D78">
        <w:t>1</w:t>
      </w:r>
      <w:r w:rsidRPr="00AC29B2">
        <w:t xml:space="preserve"> FR </w:t>
      </w:r>
      <w:r w:rsidR="005A4D78">
        <w:t>91175</w:t>
      </w:r>
      <w:r w:rsidRPr="00AC29B2">
        <w:t>). No comments were received.</w:t>
      </w:r>
    </w:p>
    <w:p w14:paraId="0D6250BD" w14:textId="77777777" w:rsidR="004A4867" w:rsidRDefault="004A4867" w:rsidP="00AC29B2">
      <w:pPr>
        <w:pStyle w:val="BodyText"/>
      </w:pPr>
    </w:p>
    <w:p w14:paraId="5CA06214" w14:textId="4C83B92A" w:rsidR="00AE4C46" w:rsidRPr="00AC29B2" w:rsidRDefault="00AE4C46" w:rsidP="00AE4C46">
      <w:pPr>
        <w:pStyle w:val="BodyText"/>
      </w:pPr>
      <w:r w:rsidRPr="00AC29B2">
        <w:t xml:space="preserve">The </w:t>
      </w:r>
      <w:r>
        <w:t>3</w:t>
      </w:r>
      <w:r w:rsidRPr="00AC29B2">
        <w:t xml:space="preserve">0-day notice published </w:t>
      </w:r>
      <w:r>
        <w:t xml:space="preserve">in the </w:t>
      </w:r>
      <w:r w:rsidRPr="00AC29B2">
        <w:t xml:space="preserve">Federal Register on </w:t>
      </w:r>
      <w:r w:rsidR="006075A4">
        <w:t>February 17</w:t>
      </w:r>
      <w:r w:rsidRPr="00AC29B2">
        <w:t>, 201</w:t>
      </w:r>
      <w:r w:rsidR="006075A4">
        <w:t>7</w:t>
      </w:r>
      <w:r>
        <w:t xml:space="preserve"> (</w:t>
      </w:r>
      <w:r w:rsidRPr="00AC29B2">
        <w:t>8</w:t>
      </w:r>
      <w:r w:rsidR="006075A4">
        <w:t>2</w:t>
      </w:r>
      <w:r w:rsidRPr="00AC29B2">
        <w:t xml:space="preserve"> FR </w:t>
      </w:r>
      <w:r w:rsidR="006075A4">
        <w:t>11037</w:t>
      </w:r>
      <w:r w:rsidRPr="00AC29B2">
        <w:t>). No comments were received.</w:t>
      </w:r>
    </w:p>
    <w:p w14:paraId="5C426422" w14:textId="77777777" w:rsidR="00AE4C46" w:rsidRDefault="00AE4C46" w:rsidP="00AC29B2">
      <w:pPr>
        <w:pStyle w:val="BodyText"/>
      </w:pPr>
    </w:p>
    <w:p w14:paraId="19D30DD7" w14:textId="7B8F2762" w:rsidR="00AE4C46" w:rsidRPr="006075A4" w:rsidRDefault="00AE4C46" w:rsidP="00AC29B2">
      <w:pPr>
        <w:pStyle w:val="BodyText"/>
        <w:rPr>
          <w:i/>
        </w:rPr>
      </w:pPr>
      <w:r w:rsidRPr="006075A4">
        <w:rPr>
          <w:i/>
        </w:rPr>
        <w:t>Outside Consultations</w:t>
      </w:r>
    </w:p>
    <w:p w14:paraId="50C6B60A" w14:textId="77777777" w:rsidR="00AE4C46" w:rsidRPr="00AC29B2" w:rsidRDefault="00AE4C46" w:rsidP="00AC29B2">
      <w:pPr>
        <w:pStyle w:val="BodyText"/>
      </w:pPr>
    </w:p>
    <w:p w14:paraId="0FC01E3B" w14:textId="77777777" w:rsidR="004A4867" w:rsidRPr="00AC29B2" w:rsidRDefault="00877558" w:rsidP="00AC29B2">
      <w:pPr>
        <w:pStyle w:val="BodyText"/>
      </w:pPr>
      <w:r w:rsidRPr="00AC29B2">
        <w:t>In the course of developing the Final Regulations for the Medicare Prescription Drug Benefit Program (CMS-4068-F), the required Federal Register notice was published on August 3, 2004 (69 FR 46632). The Office of Management and Budget (OMB) waived the requirement for a second Federal Register notice. The final rule went on display on January 21, 2005 to announce the new or revised ICRs. The public meetings were held in February at CMS and written comments were received which were in turn utilized by CMS during the regulations drafting stage. Also, as necessary, CMS consulted with technical experts and industry and beneficiary advocates to obtain their opinions on the creditable coverage disclosure provisions of the statute. These consultations continued as CMS implemented the final rule. Additionally in 2009, CMS consulted with our contractor, to revise the estimated burden hours to more accurately reflect the number of possible respondents.</w:t>
      </w:r>
    </w:p>
    <w:p w14:paraId="3CCF718C" w14:textId="6C10991C" w:rsidR="004A4867" w:rsidRPr="00AC29B2" w:rsidRDefault="00AC2169" w:rsidP="00AC29B2">
      <w:pPr>
        <w:pStyle w:val="ListParagraph"/>
        <w:numPr>
          <w:ilvl w:val="0"/>
          <w:numId w:val="1"/>
        </w:numPr>
        <w:tabs>
          <w:tab w:val="left" w:pos="519"/>
          <w:tab w:val="left" w:pos="520"/>
        </w:tabs>
        <w:ind w:left="0" w:firstLine="0"/>
        <w:rPr>
          <w:sz w:val="24"/>
          <w:szCs w:val="24"/>
        </w:rPr>
      </w:pPr>
      <w:r>
        <w:rPr>
          <w:sz w:val="24"/>
          <w:szCs w:val="24"/>
          <w:u w:val="single"/>
        </w:rPr>
        <w:t>P</w:t>
      </w:r>
      <w:r w:rsidR="00877558" w:rsidRPr="00AC29B2">
        <w:rPr>
          <w:sz w:val="24"/>
          <w:szCs w:val="24"/>
          <w:u w:val="single"/>
        </w:rPr>
        <w:t>ayments/Gifts to</w:t>
      </w:r>
      <w:r w:rsidR="00877558" w:rsidRPr="00AC29B2">
        <w:rPr>
          <w:spacing w:val="-2"/>
          <w:sz w:val="24"/>
          <w:szCs w:val="24"/>
          <w:u w:val="single"/>
        </w:rPr>
        <w:t xml:space="preserve"> </w:t>
      </w:r>
      <w:r w:rsidR="00877558" w:rsidRPr="00AC29B2">
        <w:rPr>
          <w:sz w:val="24"/>
          <w:szCs w:val="24"/>
          <w:u w:val="single"/>
        </w:rPr>
        <w:t>Respondents</w:t>
      </w:r>
    </w:p>
    <w:p w14:paraId="7D43D82E" w14:textId="77777777" w:rsidR="004A4867" w:rsidRPr="00AC29B2" w:rsidRDefault="004A4867" w:rsidP="00AC29B2">
      <w:pPr>
        <w:pStyle w:val="BodyText"/>
      </w:pPr>
    </w:p>
    <w:p w14:paraId="2EC95220" w14:textId="77777777" w:rsidR="004A4867" w:rsidRPr="00AC29B2" w:rsidRDefault="00877558" w:rsidP="00AC29B2">
      <w:pPr>
        <w:pStyle w:val="BodyText"/>
      </w:pPr>
      <w:r w:rsidRPr="00AC29B2">
        <w:t>There are no payments/gifts to respondents.</w:t>
      </w:r>
    </w:p>
    <w:p w14:paraId="7C606160" w14:textId="77777777" w:rsidR="004A4867" w:rsidRPr="00AC29B2" w:rsidRDefault="004A4867" w:rsidP="00AC29B2">
      <w:pPr>
        <w:pStyle w:val="BodyText"/>
      </w:pPr>
    </w:p>
    <w:p w14:paraId="18849238" w14:textId="77777777" w:rsidR="004A4867" w:rsidRPr="00AC29B2" w:rsidRDefault="00877558" w:rsidP="00AC29B2">
      <w:pPr>
        <w:pStyle w:val="ListParagraph"/>
        <w:numPr>
          <w:ilvl w:val="0"/>
          <w:numId w:val="1"/>
        </w:numPr>
        <w:tabs>
          <w:tab w:val="left" w:pos="520"/>
        </w:tabs>
        <w:ind w:left="0" w:firstLine="0"/>
        <w:rPr>
          <w:sz w:val="24"/>
          <w:szCs w:val="24"/>
        </w:rPr>
      </w:pPr>
      <w:r w:rsidRPr="00AC29B2">
        <w:rPr>
          <w:sz w:val="24"/>
          <w:szCs w:val="24"/>
          <w:u w:val="single"/>
        </w:rPr>
        <w:t>Confidentiality</w:t>
      </w:r>
    </w:p>
    <w:p w14:paraId="30EA2904" w14:textId="77777777" w:rsidR="004A4867" w:rsidRPr="00AC29B2" w:rsidRDefault="004A4867" w:rsidP="00AC29B2">
      <w:pPr>
        <w:pStyle w:val="BodyText"/>
      </w:pPr>
    </w:p>
    <w:p w14:paraId="22343A8C" w14:textId="77777777" w:rsidR="004A4867" w:rsidRPr="00AC29B2" w:rsidRDefault="00877558" w:rsidP="00AC29B2">
      <w:pPr>
        <w:pStyle w:val="BodyText"/>
      </w:pPr>
      <w:r w:rsidRPr="00AC29B2">
        <w:t>The information collected regarding Medicare eligible individuals and contained in enrollment information must conform to all requirements at 42 CFR 423.56, and in all Federal and State laws regarding confidentiality and disclosure.</w:t>
      </w:r>
    </w:p>
    <w:p w14:paraId="48B6DA43" w14:textId="77777777" w:rsidR="004A4867" w:rsidRPr="00AC29B2" w:rsidRDefault="004A4867" w:rsidP="00AC29B2">
      <w:pPr>
        <w:pStyle w:val="BodyText"/>
      </w:pPr>
    </w:p>
    <w:p w14:paraId="29E0082B" w14:textId="77777777" w:rsidR="004A4867" w:rsidRPr="00AC29B2" w:rsidRDefault="00877558" w:rsidP="00AC29B2">
      <w:pPr>
        <w:pStyle w:val="ListParagraph"/>
        <w:numPr>
          <w:ilvl w:val="0"/>
          <w:numId w:val="1"/>
        </w:numPr>
        <w:tabs>
          <w:tab w:val="left" w:pos="520"/>
        </w:tabs>
        <w:ind w:left="0" w:firstLine="0"/>
        <w:rPr>
          <w:sz w:val="24"/>
          <w:szCs w:val="24"/>
        </w:rPr>
      </w:pPr>
      <w:r w:rsidRPr="00AC29B2">
        <w:rPr>
          <w:sz w:val="24"/>
          <w:szCs w:val="24"/>
          <w:u w:val="single"/>
        </w:rPr>
        <w:t>Sensitive</w:t>
      </w:r>
      <w:r w:rsidRPr="00AC29B2">
        <w:rPr>
          <w:spacing w:val="-5"/>
          <w:sz w:val="24"/>
          <w:szCs w:val="24"/>
          <w:u w:val="single"/>
        </w:rPr>
        <w:t xml:space="preserve"> </w:t>
      </w:r>
      <w:r w:rsidRPr="00AC29B2">
        <w:rPr>
          <w:sz w:val="24"/>
          <w:szCs w:val="24"/>
          <w:u w:val="single"/>
        </w:rPr>
        <w:t>Questions</w:t>
      </w:r>
    </w:p>
    <w:p w14:paraId="12A62C92" w14:textId="77777777" w:rsidR="004A4867" w:rsidRPr="00AC29B2" w:rsidRDefault="004A4867" w:rsidP="00AC29B2">
      <w:pPr>
        <w:pStyle w:val="BodyText"/>
      </w:pPr>
    </w:p>
    <w:p w14:paraId="0C089371" w14:textId="77777777" w:rsidR="004A4867" w:rsidRPr="00AC29B2" w:rsidRDefault="00877558" w:rsidP="00AC29B2">
      <w:pPr>
        <w:pStyle w:val="BodyText"/>
      </w:pPr>
      <w:r w:rsidRPr="00AC29B2">
        <w:t>There are no sensitive questions included in this collection effort.</w:t>
      </w:r>
    </w:p>
    <w:p w14:paraId="400D0495" w14:textId="77777777" w:rsidR="004A4867" w:rsidRPr="00AC29B2" w:rsidRDefault="004A4867" w:rsidP="00AC29B2">
      <w:pPr>
        <w:pStyle w:val="BodyText"/>
      </w:pPr>
    </w:p>
    <w:p w14:paraId="4E759A40" w14:textId="77777777" w:rsidR="004A4867" w:rsidRPr="00AC29B2" w:rsidRDefault="00877558" w:rsidP="00AC29B2">
      <w:pPr>
        <w:pStyle w:val="ListParagraph"/>
        <w:numPr>
          <w:ilvl w:val="0"/>
          <w:numId w:val="1"/>
        </w:numPr>
        <w:tabs>
          <w:tab w:val="left" w:pos="520"/>
        </w:tabs>
        <w:ind w:left="0" w:firstLine="0"/>
        <w:rPr>
          <w:sz w:val="24"/>
          <w:szCs w:val="24"/>
        </w:rPr>
      </w:pPr>
      <w:r w:rsidRPr="00AC29B2">
        <w:rPr>
          <w:sz w:val="24"/>
          <w:szCs w:val="24"/>
          <w:u w:val="single"/>
        </w:rPr>
        <w:t>Burden Estimates (Hours &amp;</w:t>
      </w:r>
      <w:r w:rsidRPr="00AC29B2">
        <w:rPr>
          <w:spacing w:val="-12"/>
          <w:sz w:val="24"/>
          <w:szCs w:val="24"/>
          <w:u w:val="single"/>
        </w:rPr>
        <w:t xml:space="preserve"> </w:t>
      </w:r>
      <w:r w:rsidRPr="00AC29B2">
        <w:rPr>
          <w:sz w:val="24"/>
          <w:szCs w:val="24"/>
          <w:u w:val="single"/>
        </w:rPr>
        <w:t>Wages)</w:t>
      </w:r>
    </w:p>
    <w:p w14:paraId="64FEF131" w14:textId="77777777" w:rsidR="008D27B8" w:rsidRDefault="008D27B8" w:rsidP="008D27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77DEF0" w14:textId="77777777" w:rsidR="008D27B8" w:rsidRPr="00C047B3" w:rsidRDefault="008D27B8" w:rsidP="008D27B8">
      <w:pPr>
        <w:pStyle w:val="Body2"/>
        <w:rPr>
          <w:rFonts w:ascii="Times New Roman" w:hAnsi="Times New Roman" w:cs="Times New Roman"/>
          <w:i/>
        </w:rPr>
      </w:pPr>
      <w:r w:rsidRPr="00C047B3">
        <w:rPr>
          <w:rFonts w:ascii="Times New Roman" w:hAnsi="Times New Roman" w:cs="Times New Roman"/>
          <w:i/>
        </w:rPr>
        <w:t>Wages</w:t>
      </w:r>
    </w:p>
    <w:p w14:paraId="48B05383" w14:textId="77777777" w:rsidR="008D27B8" w:rsidRDefault="008D27B8" w:rsidP="008D27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F809684" w14:textId="77777777" w:rsidR="008D27B8" w:rsidRDefault="008D27B8" w:rsidP="008D27B8">
      <w:pPr>
        <w:rPr>
          <w:sz w:val="24"/>
        </w:rPr>
      </w:pPr>
      <w:r w:rsidRPr="00F24ED4">
        <w:rPr>
          <w:sz w:val="24"/>
        </w:rPr>
        <w:t>To derive average costs, we used data from the U.S. Bureau of Labor Statistics’ May 201</w:t>
      </w:r>
      <w:r>
        <w:rPr>
          <w:sz w:val="24"/>
        </w:rPr>
        <w:t>6</w:t>
      </w:r>
      <w:r w:rsidRPr="00F24ED4">
        <w:rPr>
          <w:sz w:val="24"/>
        </w:rPr>
        <w:t xml:space="preserve"> National Occupational Employment and Wage Estimates for all salary estimates (</w:t>
      </w:r>
      <w:hyperlink r:id="rId10" w:tooltip="http://www.bls.gov/oes/current/oes_nat.htm" w:history="1">
        <w:r w:rsidRPr="000E068B">
          <w:rPr>
            <w:rStyle w:val="Hyperlink"/>
            <w:sz w:val="24"/>
          </w:rPr>
          <w:t>http://www.bls.gov/oes/current/oes_nat.htm</w:t>
        </w:r>
      </w:hyperlink>
      <w:r w:rsidRPr="00F24ED4">
        <w:rPr>
          <w:sz w:val="24"/>
        </w:rPr>
        <w:t xml:space="preserve">). In this regard, the following table presents the mean hourly wage, the cost of </w:t>
      </w:r>
      <w:r>
        <w:rPr>
          <w:sz w:val="24"/>
        </w:rPr>
        <w:t xml:space="preserve">overhead and </w:t>
      </w:r>
      <w:r w:rsidRPr="00F24ED4">
        <w:rPr>
          <w:sz w:val="24"/>
        </w:rPr>
        <w:t>fringe benefits (calculated at 100 percent of salary), and the adjusted hourly wage.</w:t>
      </w:r>
    </w:p>
    <w:p w14:paraId="731B1C31" w14:textId="77777777" w:rsidR="008D27B8" w:rsidRDefault="008D27B8" w:rsidP="008D27B8">
      <w:pPr>
        <w:rPr>
          <w:sz w:val="24"/>
        </w:rPr>
      </w:pPr>
    </w:p>
    <w:tbl>
      <w:tblPr>
        <w:tblStyle w:val="TableGrid"/>
        <w:tblW w:w="0" w:type="auto"/>
        <w:tblLook w:val="04A0" w:firstRow="1" w:lastRow="0" w:firstColumn="1" w:lastColumn="0" w:noHBand="0" w:noVBand="1"/>
        <w:tblCaption w:val="Wages Chart"/>
        <w:tblDescription w:val="Wages Chart"/>
      </w:tblPr>
      <w:tblGrid>
        <w:gridCol w:w="1795"/>
        <w:gridCol w:w="1800"/>
        <w:gridCol w:w="1710"/>
        <w:gridCol w:w="1800"/>
        <w:gridCol w:w="1710"/>
      </w:tblGrid>
      <w:tr w:rsidR="008D27B8" w:rsidRPr="00936DDA" w14:paraId="386F0A99" w14:textId="77777777" w:rsidTr="0084467E">
        <w:trPr>
          <w:tblHeader/>
        </w:trPr>
        <w:tc>
          <w:tcPr>
            <w:tcW w:w="1795" w:type="dxa"/>
          </w:tcPr>
          <w:p w14:paraId="7215869F" w14:textId="77777777" w:rsidR="008D27B8" w:rsidRPr="00936DDA" w:rsidRDefault="008D27B8" w:rsidP="0084467E">
            <w:r w:rsidRPr="00936DDA">
              <w:t>Occupation Title</w:t>
            </w:r>
          </w:p>
        </w:tc>
        <w:tc>
          <w:tcPr>
            <w:tcW w:w="1800" w:type="dxa"/>
          </w:tcPr>
          <w:p w14:paraId="3EDA87A9" w14:textId="77777777" w:rsidR="008D27B8" w:rsidRPr="00936DDA" w:rsidRDefault="008D27B8" w:rsidP="0084467E">
            <w:r w:rsidRPr="00936DDA">
              <w:t>Occupation Code</w:t>
            </w:r>
          </w:p>
        </w:tc>
        <w:tc>
          <w:tcPr>
            <w:tcW w:w="1710" w:type="dxa"/>
          </w:tcPr>
          <w:p w14:paraId="609328A6" w14:textId="77777777" w:rsidR="008D27B8" w:rsidRPr="00936DDA" w:rsidRDefault="008D27B8" w:rsidP="0084467E">
            <w:r w:rsidRPr="00936DDA">
              <w:t>Mean Hourly Wage ($/hr)</w:t>
            </w:r>
          </w:p>
        </w:tc>
        <w:tc>
          <w:tcPr>
            <w:tcW w:w="1800" w:type="dxa"/>
          </w:tcPr>
          <w:p w14:paraId="088B425F" w14:textId="77777777" w:rsidR="008D27B8" w:rsidRPr="00936DDA" w:rsidRDefault="008D27B8" w:rsidP="0084467E">
            <w:r>
              <w:t xml:space="preserve">Overhead and </w:t>
            </w:r>
            <w:r w:rsidRPr="00936DDA">
              <w:t>Fringe Benefit</w:t>
            </w:r>
            <w:r>
              <w:t>s</w:t>
            </w:r>
            <w:r w:rsidRPr="00936DDA">
              <w:t xml:space="preserve"> ($/hr)</w:t>
            </w:r>
          </w:p>
        </w:tc>
        <w:tc>
          <w:tcPr>
            <w:tcW w:w="1710" w:type="dxa"/>
          </w:tcPr>
          <w:p w14:paraId="617DF6B9" w14:textId="77777777" w:rsidR="008D27B8" w:rsidRPr="00936DDA" w:rsidRDefault="008D27B8" w:rsidP="0084467E">
            <w:r w:rsidRPr="00936DDA">
              <w:t>Adjusted Hourly Wage ($/hr)</w:t>
            </w:r>
          </w:p>
        </w:tc>
      </w:tr>
      <w:tr w:rsidR="008D27B8" w:rsidRPr="00C72E1F" w14:paraId="1062472A" w14:textId="77777777" w:rsidTr="0084467E">
        <w:trPr>
          <w:tblHeader/>
        </w:trPr>
        <w:tc>
          <w:tcPr>
            <w:tcW w:w="1795" w:type="dxa"/>
          </w:tcPr>
          <w:p w14:paraId="16F65EEF" w14:textId="531CDB61" w:rsidR="008D27B8" w:rsidRPr="00C72E1F" w:rsidRDefault="00C72E1F" w:rsidP="0084467E">
            <w:r w:rsidRPr="00C72E1F">
              <w:t>Computer and Information Systems Manager</w:t>
            </w:r>
          </w:p>
        </w:tc>
        <w:tc>
          <w:tcPr>
            <w:tcW w:w="1800" w:type="dxa"/>
          </w:tcPr>
          <w:p w14:paraId="04A4B804" w14:textId="53F53864" w:rsidR="008D27B8" w:rsidRPr="00C72E1F" w:rsidRDefault="00C72E1F" w:rsidP="0084467E">
            <w:r w:rsidRPr="00C72E1F">
              <w:t>11-3021</w:t>
            </w:r>
          </w:p>
        </w:tc>
        <w:tc>
          <w:tcPr>
            <w:tcW w:w="1710" w:type="dxa"/>
          </w:tcPr>
          <w:p w14:paraId="3E3425FA" w14:textId="33821C72" w:rsidR="008D27B8" w:rsidRPr="00C72E1F" w:rsidRDefault="00C72E1F" w:rsidP="0084467E">
            <w:r>
              <w:t>70.07</w:t>
            </w:r>
          </w:p>
        </w:tc>
        <w:tc>
          <w:tcPr>
            <w:tcW w:w="1800" w:type="dxa"/>
          </w:tcPr>
          <w:p w14:paraId="71A1CE52" w14:textId="74B5750B" w:rsidR="008D27B8" w:rsidRPr="00C72E1F" w:rsidRDefault="00C72E1F" w:rsidP="0084467E">
            <w:r>
              <w:t>70.07</w:t>
            </w:r>
          </w:p>
        </w:tc>
        <w:tc>
          <w:tcPr>
            <w:tcW w:w="1710" w:type="dxa"/>
          </w:tcPr>
          <w:p w14:paraId="67750C35" w14:textId="664AF04B" w:rsidR="008D27B8" w:rsidRPr="00C72E1F" w:rsidRDefault="00D0358D" w:rsidP="0084467E">
            <w:r>
              <w:t>140.14</w:t>
            </w:r>
          </w:p>
        </w:tc>
      </w:tr>
      <w:tr w:rsidR="008D27B8" w:rsidRPr="00C72E1F" w14:paraId="3FB14DED" w14:textId="77777777" w:rsidTr="0084467E">
        <w:trPr>
          <w:tblHeader/>
        </w:trPr>
        <w:tc>
          <w:tcPr>
            <w:tcW w:w="1795" w:type="dxa"/>
          </w:tcPr>
          <w:p w14:paraId="053EB59D" w14:textId="4CC8B698" w:rsidR="008D27B8" w:rsidRPr="00C72E1F" w:rsidRDefault="00C72E1F" w:rsidP="0084467E">
            <w:r w:rsidRPr="00C72E1F">
              <w:t>Software Developer</w:t>
            </w:r>
          </w:p>
        </w:tc>
        <w:tc>
          <w:tcPr>
            <w:tcW w:w="1800" w:type="dxa"/>
          </w:tcPr>
          <w:p w14:paraId="51CA0480" w14:textId="3683F701" w:rsidR="008D27B8" w:rsidRPr="00C72E1F" w:rsidRDefault="00C72E1F" w:rsidP="0084467E">
            <w:r w:rsidRPr="00C72E1F">
              <w:t>15-1130</w:t>
            </w:r>
          </w:p>
        </w:tc>
        <w:tc>
          <w:tcPr>
            <w:tcW w:w="1710" w:type="dxa"/>
          </w:tcPr>
          <w:p w14:paraId="4E1B92BE" w14:textId="24FBB2A2" w:rsidR="008D27B8" w:rsidRPr="00C72E1F" w:rsidRDefault="00C72E1F" w:rsidP="0084467E">
            <w:r>
              <w:t>48.11</w:t>
            </w:r>
          </w:p>
        </w:tc>
        <w:tc>
          <w:tcPr>
            <w:tcW w:w="1800" w:type="dxa"/>
          </w:tcPr>
          <w:p w14:paraId="12D9609D" w14:textId="3826D480" w:rsidR="008D27B8" w:rsidRPr="00C72E1F" w:rsidRDefault="00C72E1F" w:rsidP="0084467E">
            <w:r>
              <w:t>48.11</w:t>
            </w:r>
          </w:p>
        </w:tc>
        <w:tc>
          <w:tcPr>
            <w:tcW w:w="1710" w:type="dxa"/>
          </w:tcPr>
          <w:p w14:paraId="385C157E" w14:textId="4D172464" w:rsidR="008D27B8" w:rsidRPr="00C72E1F" w:rsidRDefault="00C72E1F" w:rsidP="0084467E">
            <w:r w:rsidRPr="00C72E1F">
              <w:t>96.22</w:t>
            </w:r>
          </w:p>
        </w:tc>
      </w:tr>
    </w:tbl>
    <w:p w14:paraId="2550DE0B" w14:textId="77777777" w:rsidR="008D27B8" w:rsidRPr="00F24ED4" w:rsidRDefault="008D27B8" w:rsidP="008D27B8">
      <w:pPr>
        <w:rPr>
          <w:sz w:val="24"/>
        </w:rPr>
      </w:pPr>
    </w:p>
    <w:p w14:paraId="2A62FFEC" w14:textId="77777777" w:rsidR="008D27B8" w:rsidRPr="00F24ED4" w:rsidRDefault="008D27B8" w:rsidP="008D27B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F24ED4">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3300D5DB" w14:textId="77777777" w:rsidR="008D27B8" w:rsidRPr="00F24ED4" w:rsidRDefault="008D27B8" w:rsidP="008D27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218F339" w14:textId="77777777" w:rsidR="008D27B8" w:rsidRPr="00C047B3" w:rsidRDefault="008D27B8" w:rsidP="008D27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C047B3">
        <w:rPr>
          <w:i/>
          <w:sz w:val="24"/>
        </w:rPr>
        <w:t>Burden Estimates</w:t>
      </w:r>
    </w:p>
    <w:p w14:paraId="236B433B" w14:textId="77777777" w:rsidR="008D27B8" w:rsidRPr="00AC29B2" w:rsidRDefault="008D27B8" w:rsidP="00AC29B2">
      <w:pPr>
        <w:pStyle w:val="BodyText"/>
      </w:pPr>
    </w:p>
    <w:p w14:paraId="1A7835DB" w14:textId="77777777" w:rsidR="004A4867" w:rsidRPr="00AC29B2" w:rsidRDefault="00877558" w:rsidP="00AC29B2">
      <w:pPr>
        <w:pStyle w:val="BodyText"/>
      </w:pPr>
      <w:r w:rsidRPr="00AC29B2">
        <w:t>Procedures to document creditable status of prescription drug coverage.</w:t>
      </w:r>
    </w:p>
    <w:p w14:paraId="10B6E090" w14:textId="77777777" w:rsidR="004A4867" w:rsidRPr="00AC29B2" w:rsidRDefault="004A4867" w:rsidP="00AC29B2">
      <w:pPr>
        <w:pStyle w:val="BodyText"/>
      </w:pPr>
    </w:p>
    <w:p w14:paraId="52D1AB29" w14:textId="77777777" w:rsidR="004A4867" w:rsidRPr="00AC29B2" w:rsidRDefault="00877558" w:rsidP="00AC29B2">
      <w:pPr>
        <w:pStyle w:val="BodyText"/>
      </w:pPr>
      <w:r w:rsidRPr="00AC29B2">
        <w:t xml:space="preserve">Each entity that offers prescription drug coverage under any of the types described in 42 CFR 423.56(b) must disclose to CMS whether such coverage meets the actuarial requirements specified in guidelines provided by CMS. These notices must be provided at minimum, at the following times: (1) annually as described under 42 CFR 423.56(e) and in guidance issued in January 2006, no later than sixty (60) days after the beginning date of the entity’s plan year; and (2) upon any change in creditable status. In an effort to reduce the burden associated with providing the disclosure to CMS, CMS developed an on-line disclosure web page for an entity to provide the required disclosure information to CMS annually, </w:t>
      </w:r>
      <w:hyperlink r:id="rId11">
        <w:r w:rsidRPr="00AC29B2">
          <w:rPr>
            <w:color w:val="0000FF"/>
            <w:u w:val="single" w:color="0000FF"/>
          </w:rPr>
          <w:t xml:space="preserve">https://www.cms.hhs.gov/CreditableCoverage/45_CCDisclosureForm.asp </w:t>
        </w:r>
      </w:hyperlink>
      <w:r w:rsidRPr="00AC29B2">
        <w:t>.</w:t>
      </w:r>
    </w:p>
    <w:p w14:paraId="50A01C3C" w14:textId="77777777" w:rsidR="004A4867" w:rsidRPr="00AC29B2" w:rsidRDefault="004A4867" w:rsidP="00AC29B2">
      <w:pPr>
        <w:pStyle w:val="BodyText"/>
      </w:pPr>
    </w:p>
    <w:p w14:paraId="2968098F" w14:textId="77777777" w:rsidR="004A4867" w:rsidRPr="00AC29B2" w:rsidRDefault="00877558" w:rsidP="00AC29B2">
      <w:pPr>
        <w:pStyle w:val="BodyText"/>
      </w:pPr>
      <w:r w:rsidRPr="00AC29B2">
        <w:t>The burden associated with this requirement is the time and effort necessary for each of these entities to provide a disclosure to CMS (including annual notices and notices of changes in creditable coverage status) regarding the creditable coverage status of the prescription drug coverage being offered by the entity to Medicare Part D eligible individuals. We estimate that a total of 85,636 entities will be required to provide their disclosure to CMS via the Disclosure to CMS webpage using the on-line form.</w:t>
      </w:r>
    </w:p>
    <w:p w14:paraId="17436BAC" w14:textId="77777777" w:rsidR="004A4867" w:rsidRPr="00AC29B2" w:rsidRDefault="004A4867" w:rsidP="00AC29B2">
      <w:pPr>
        <w:pStyle w:val="BodyText"/>
      </w:pPr>
    </w:p>
    <w:p w14:paraId="10866C38" w14:textId="77777777" w:rsidR="004A4867" w:rsidRPr="00AC29B2" w:rsidRDefault="00877558" w:rsidP="00AC29B2">
      <w:pPr>
        <w:pStyle w:val="BodyText"/>
      </w:pPr>
      <w:r w:rsidRPr="00AC29B2">
        <w:t>Given that each entity will have made their annual determination of the creditable coverage status of their prescription drug plan for disclosure to Medicare Part D eligible individuals, the burden</w:t>
      </w:r>
      <w:r w:rsidRPr="00AC29B2">
        <w:rPr>
          <w:spacing w:val="-26"/>
        </w:rPr>
        <w:t xml:space="preserve"> </w:t>
      </w:r>
      <w:r w:rsidRPr="00AC29B2">
        <w:t>to provide the disclosure to CMS on-line via the Disclosure to CMS web page will be</w:t>
      </w:r>
      <w:r w:rsidRPr="00AC29B2">
        <w:rPr>
          <w:spacing w:val="-18"/>
        </w:rPr>
        <w:t xml:space="preserve"> </w:t>
      </w:r>
      <w:r w:rsidRPr="00AC29B2">
        <w:t>negligible.</w:t>
      </w:r>
    </w:p>
    <w:p w14:paraId="0FF265CE" w14:textId="77777777" w:rsidR="00AC29B2" w:rsidRDefault="00AC29B2" w:rsidP="00AC29B2">
      <w:pPr>
        <w:pStyle w:val="BodyText"/>
      </w:pPr>
    </w:p>
    <w:p w14:paraId="613851EC" w14:textId="77777777" w:rsidR="004A4867" w:rsidRPr="00AC29B2" w:rsidRDefault="00877558" w:rsidP="00AC29B2">
      <w:pPr>
        <w:pStyle w:val="BodyText"/>
      </w:pPr>
      <w:r w:rsidRPr="00AC29B2">
        <w:t>CMS estimates that it will take each entity approximately 5 minutes to complete their disclosure to CMS via the on-line Disclosure to CMS web page form for the annual disclosure to CMS notice</w:t>
      </w:r>
      <w:r w:rsidRPr="00AC29B2">
        <w:rPr>
          <w:spacing w:val="-18"/>
        </w:rPr>
        <w:t xml:space="preserve"> </w:t>
      </w:r>
      <w:r w:rsidRPr="00AC29B2">
        <w:t>of creditable coverage and notices of changes in creditable coverage status to</w:t>
      </w:r>
      <w:r w:rsidRPr="00AC29B2">
        <w:rPr>
          <w:spacing w:val="-24"/>
        </w:rPr>
        <w:t xml:space="preserve"> </w:t>
      </w:r>
      <w:r w:rsidRPr="00AC29B2">
        <w:t>CMS.</w:t>
      </w:r>
    </w:p>
    <w:p w14:paraId="48ABAC84" w14:textId="77777777" w:rsidR="004A4867" w:rsidRDefault="004A4867" w:rsidP="00AC29B2">
      <w:pPr>
        <w:rPr>
          <w:sz w:val="24"/>
          <w:szCs w:val="24"/>
        </w:rPr>
      </w:pPr>
    </w:p>
    <w:p w14:paraId="7D061F5D" w14:textId="77777777" w:rsidR="004A4867" w:rsidRPr="00AC29B2" w:rsidRDefault="00877558" w:rsidP="00AC29B2">
      <w:pPr>
        <w:pStyle w:val="BodyText"/>
      </w:pPr>
      <w:r w:rsidRPr="00AC29B2">
        <w:t>It is estimated that the burden per entity will be as follows:</w:t>
      </w:r>
    </w:p>
    <w:p w14:paraId="778F4FA7" w14:textId="056977EE" w:rsidR="00D0358D" w:rsidRDefault="00877558" w:rsidP="00D0358D">
      <w:pPr>
        <w:pStyle w:val="ListParagraph"/>
        <w:numPr>
          <w:ilvl w:val="1"/>
          <w:numId w:val="1"/>
        </w:numPr>
        <w:tabs>
          <w:tab w:val="left" w:pos="1179"/>
          <w:tab w:val="left" w:pos="1180"/>
        </w:tabs>
        <w:spacing w:before="199" w:line="244" w:lineRule="auto"/>
        <w:ind w:right="165"/>
        <w:rPr>
          <w:sz w:val="24"/>
        </w:rPr>
      </w:pPr>
      <w:r>
        <w:rPr>
          <w:sz w:val="24"/>
        </w:rPr>
        <w:t>The estimated annual burden on each of the 75,860 health plans</w:t>
      </w:r>
      <w:r w:rsidR="00D0358D">
        <w:rPr>
          <w:sz w:val="24"/>
        </w:rPr>
        <w:t>’</w:t>
      </w:r>
      <w:r>
        <w:rPr>
          <w:sz w:val="24"/>
        </w:rPr>
        <w:t xml:space="preserve"> </w:t>
      </w:r>
      <w:r w:rsidR="00D0358D">
        <w:rPr>
          <w:sz w:val="24"/>
        </w:rPr>
        <w:t xml:space="preserve">Software Developers </w:t>
      </w:r>
      <w:r>
        <w:rPr>
          <w:sz w:val="24"/>
        </w:rPr>
        <w:t xml:space="preserve">to complete the on-line Disclosure to CMS web page form will be 5 minutes  </w:t>
      </w:r>
      <w:r w:rsidR="00D0358D">
        <w:rPr>
          <w:sz w:val="24"/>
        </w:rPr>
        <w:t xml:space="preserve">at $96.22/hr </w:t>
      </w:r>
      <w:r>
        <w:rPr>
          <w:sz w:val="24"/>
        </w:rPr>
        <w:t>for a total burden of 6</w:t>
      </w:r>
      <w:r w:rsidR="00D0358D">
        <w:rPr>
          <w:sz w:val="24"/>
        </w:rPr>
        <w:t>,</w:t>
      </w:r>
      <w:r>
        <w:rPr>
          <w:sz w:val="24"/>
        </w:rPr>
        <w:t>321.7 hours</w:t>
      </w:r>
      <w:r w:rsidR="00D0358D">
        <w:rPr>
          <w:sz w:val="24"/>
        </w:rPr>
        <w:t xml:space="preserve"> at a cost of $</w:t>
      </w:r>
      <w:r w:rsidR="00D0358D" w:rsidRPr="00D0358D">
        <w:rPr>
          <w:sz w:val="24"/>
        </w:rPr>
        <w:t>608,273.97</w:t>
      </w:r>
      <w:r>
        <w:rPr>
          <w:sz w:val="24"/>
        </w:rPr>
        <w:t xml:space="preserve">. </w:t>
      </w:r>
    </w:p>
    <w:p w14:paraId="362823FD" w14:textId="3A2A99E9" w:rsidR="00D0358D" w:rsidRDefault="00877558" w:rsidP="00D0358D">
      <w:pPr>
        <w:pStyle w:val="ListParagraph"/>
        <w:tabs>
          <w:tab w:val="left" w:pos="1179"/>
          <w:tab w:val="left" w:pos="1180"/>
        </w:tabs>
        <w:spacing w:before="199" w:line="244" w:lineRule="auto"/>
        <w:ind w:left="820" w:right="165" w:firstLine="0"/>
        <w:rPr>
          <w:sz w:val="24"/>
        </w:rPr>
      </w:pPr>
      <w:r w:rsidRPr="00D0358D">
        <w:rPr>
          <w:sz w:val="24"/>
        </w:rPr>
        <w:t xml:space="preserve">We also estimate that, on average, 1,500 of these health plans will experience changes in creditable coverage status during the </w:t>
      </w:r>
      <w:r w:rsidRPr="00D0358D">
        <w:rPr>
          <w:spacing w:val="-3"/>
          <w:sz w:val="24"/>
        </w:rPr>
        <w:t xml:space="preserve">year.  </w:t>
      </w:r>
      <w:r w:rsidRPr="00D0358D">
        <w:rPr>
          <w:sz w:val="24"/>
        </w:rPr>
        <w:t>They will be required to provide an additional notice regarding their new creditable coverage status to CMS</w:t>
      </w:r>
      <w:r w:rsidRPr="00D0358D">
        <w:rPr>
          <w:spacing w:val="-41"/>
          <w:sz w:val="24"/>
        </w:rPr>
        <w:t xml:space="preserve"> </w:t>
      </w:r>
      <w:r w:rsidRPr="00D0358D">
        <w:rPr>
          <w:sz w:val="24"/>
        </w:rPr>
        <w:t xml:space="preserve">via the on-line Disclosure to CMS web page, which will take </w:t>
      </w:r>
      <w:r w:rsidR="00A36AFE">
        <w:rPr>
          <w:sz w:val="24"/>
        </w:rPr>
        <w:t xml:space="preserve">a Software Developer </w:t>
      </w:r>
      <w:r w:rsidRPr="00D0358D">
        <w:rPr>
          <w:sz w:val="24"/>
        </w:rPr>
        <w:t xml:space="preserve">5 minutes </w:t>
      </w:r>
      <w:r w:rsidR="00D0358D">
        <w:rPr>
          <w:sz w:val="24"/>
        </w:rPr>
        <w:t>at $96.22/hr</w:t>
      </w:r>
      <w:r w:rsidR="00D0358D" w:rsidRPr="00D0358D">
        <w:rPr>
          <w:sz w:val="24"/>
        </w:rPr>
        <w:t xml:space="preserve"> </w:t>
      </w:r>
      <w:r w:rsidRPr="00D0358D">
        <w:rPr>
          <w:sz w:val="24"/>
        </w:rPr>
        <w:t xml:space="preserve"> for an annual burden of 125.0 hours</w:t>
      </w:r>
      <w:r w:rsidR="00D0358D">
        <w:rPr>
          <w:sz w:val="24"/>
        </w:rPr>
        <w:t xml:space="preserve"> and $</w:t>
      </w:r>
      <w:r w:rsidR="00D0358D" w:rsidRPr="00D0358D">
        <w:rPr>
          <w:sz w:val="24"/>
        </w:rPr>
        <w:t>12,027.5</w:t>
      </w:r>
      <w:r w:rsidR="00D0358D">
        <w:rPr>
          <w:sz w:val="24"/>
        </w:rPr>
        <w:t>0</w:t>
      </w:r>
      <w:r w:rsidRPr="00D0358D">
        <w:rPr>
          <w:sz w:val="24"/>
        </w:rPr>
        <w:t xml:space="preserve">. </w:t>
      </w:r>
    </w:p>
    <w:p w14:paraId="6EEE23B3" w14:textId="392DCAED" w:rsidR="004A4867" w:rsidRPr="00D0358D" w:rsidRDefault="00D0358D" w:rsidP="00D0358D">
      <w:pPr>
        <w:pStyle w:val="ListParagraph"/>
        <w:tabs>
          <w:tab w:val="left" w:pos="1179"/>
          <w:tab w:val="left" w:pos="1180"/>
        </w:tabs>
        <w:spacing w:before="199" w:line="244" w:lineRule="auto"/>
        <w:ind w:left="820" w:right="165" w:firstLine="0"/>
        <w:rPr>
          <w:sz w:val="24"/>
        </w:rPr>
      </w:pPr>
      <w:r>
        <w:rPr>
          <w:sz w:val="24"/>
        </w:rPr>
        <w:t xml:space="preserve">We estimate a </w:t>
      </w:r>
      <w:r w:rsidR="00194036">
        <w:rPr>
          <w:sz w:val="24"/>
        </w:rPr>
        <w:t>sub</w:t>
      </w:r>
      <w:r>
        <w:rPr>
          <w:sz w:val="24"/>
        </w:rPr>
        <w:t xml:space="preserve">total of </w:t>
      </w:r>
      <w:r w:rsidRPr="00D0358D">
        <w:rPr>
          <w:sz w:val="24"/>
        </w:rPr>
        <w:t>6,446.7</w:t>
      </w:r>
      <w:r>
        <w:rPr>
          <w:sz w:val="24"/>
        </w:rPr>
        <w:t>0 hours at a cost of $</w:t>
      </w:r>
      <w:r w:rsidRPr="00D0358D">
        <w:rPr>
          <w:sz w:val="24"/>
        </w:rPr>
        <w:t>620,301.47</w:t>
      </w:r>
      <w:r>
        <w:rPr>
          <w:sz w:val="24"/>
        </w:rPr>
        <w:t>.</w:t>
      </w:r>
    </w:p>
    <w:p w14:paraId="40DC800A" w14:textId="77777777" w:rsidR="004A4867" w:rsidRDefault="004A4867">
      <w:pPr>
        <w:pStyle w:val="BodyText"/>
        <w:rPr>
          <w:sz w:val="26"/>
        </w:rPr>
      </w:pPr>
    </w:p>
    <w:p w14:paraId="5FDBD3D1" w14:textId="06834E71" w:rsidR="00D0358D" w:rsidRPr="00D0358D" w:rsidRDefault="00877558" w:rsidP="00A36AFE">
      <w:pPr>
        <w:pStyle w:val="ListParagraph"/>
        <w:numPr>
          <w:ilvl w:val="1"/>
          <w:numId w:val="1"/>
        </w:numPr>
        <w:tabs>
          <w:tab w:val="left" w:pos="1179"/>
          <w:tab w:val="left" w:pos="1180"/>
        </w:tabs>
        <w:spacing w:before="1" w:line="247" w:lineRule="auto"/>
        <w:ind w:right="363"/>
        <w:rPr>
          <w:sz w:val="24"/>
          <w:szCs w:val="24"/>
        </w:rPr>
      </w:pPr>
      <w:r>
        <w:rPr>
          <w:sz w:val="24"/>
        </w:rPr>
        <w:t xml:space="preserve">On average, for the sponsors of retiree drug coverage (with the exception of benefit options offered by sponsors that have applied and been accepted for the Retiree Drug Subsidy), we estimate that it will take 9,521 entities approximately 5 minutes </w:t>
      </w:r>
      <w:r w:rsidR="00A36AFE">
        <w:rPr>
          <w:sz w:val="24"/>
        </w:rPr>
        <w:t>(</w:t>
      </w:r>
      <w:r>
        <w:rPr>
          <w:sz w:val="24"/>
        </w:rPr>
        <w:t>each</w:t>
      </w:r>
      <w:r w:rsidR="00A36AFE">
        <w:rPr>
          <w:sz w:val="24"/>
        </w:rPr>
        <w:t>) at $96.22/hr</w:t>
      </w:r>
      <w:r>
        <w:rPr>
          <w:sz w:val="24"/>
        </w:rPr>
        <w:t xml:space="preserve"> </w:t>
      </w:r>
      <w:r w:rsidR="00A36AFE">
        <w:rPr>
          <w:sz w:val="24"/>
        </w:rPr>
        <w:t xml:space="preserve">for a Software Developer </w:t>
      </w:r>
      <w:r>
        <w:rPr>
          <w:sz w:val="24"/>
        </w:rPr>
        <w:t>to complete the on-line Disclosure to CMS web page form for a total burden of 793.4 hours</w:t>
      </w:r>
      <w:r w:rsidR="00D0358D">
        <w:rPr>
          <w:sz w:val="24"/>
        </w:rPr>
        <w:t xml:space="preserve"> a</w:t>
      </w:r>
      <w:r w:rsidR="00A36AFE">
        <w:rPr>
          <w:sz w:val="24"/>
        </w:rPr>
        <w:t>nd $76,340.95</w:t>
      </w:r>
      <w:r>
        <w:rPr>
          <w:sz w:val="24"/>
        </w:rPr>
        <w:t xml:space="preserve">. </w:t>
      </w:r>
    </w:p>
    <w:p w14:paraId="043F57A5" w14:textId="77777777" w:rsidR="00D0358D" w:rsidRPr="00D0358D" w:rsidRDefault="00D0358D" w:rsidP="00DA5914">
      <w:pPr>
        <w:pStyle w:val="ListParagraph"/>
        <w:numPr>
          <w:ilvl w:val="1"/>
          <w:numId w:val="1"/>
        </w:numPr>
        <w:tabs>
          <w:tab w:val="left" w:pos="1179"/>
          <w:tab w:val="left" w:pos="1180"/>
        </w:tabs>
        <w:spacing w:before="1" w:line="247" w:lineRule="auto"/>
        <w:ind w:left="1179" w:right="363" w:hanging="360"/>
        <w:rPr>
          <w:sz w:val="24"/>
          <w:szCs w:val="24"/>
        </w:rPr>
      </w:pPr>
    </w:p>
    <w:p w14:paraId="0D121409" w14:textId="4C59ACED" w:rsidR="00D0358D" w:rsidRDefault="00877558" w:rsidP="00080BA5">
      <w:pPr>
        <w:pStyle w:val="ListParagraph"/>
        <w:tabs>
          <w:tab w:val="left" w:pos="1179"/>
          <w:tab w:val="left" w:pos="1180"/>
        </w:tabs>
        <w:spacing w:before="1" w:line="247" w:lineRule="auto"/>
        <w:ind w:left="819" w:right="363" w:firstLine="0"/>
        <w:rPr>
          <w:sz w:val="24"/>
          <w:szCs w:val="24"/>
        </w:rPr>
      </w:pPr>
      <w:r>
        <w:rPr>
          <w:sz w:val="24"/>
        </w:rPr>
        <w:t xml:space="preserve">We also estimate that 130 of these sponsors of retiree coverage will experience changes in creditable coverage status during the </w:t>
      </w:r>
      <w:r w:rsidRPr="00DA5914">
        <w:rPr>
          <w:spacing w:val="-3"/>
          <w:sz w:val="24"/>
        </w:rPr>
        <w:t xml:space="preserve">year. </w:t>
      </w:r>
      <w:r>
        <w:rPr>
          <w:sz w:val="24"/>
        </w:rPr>
        <w:t xml:space="preserve">They will be required to provide an additional notice regarding their new creditable coverage </w:t>
      </w:r>
      <w:r w:rsidRPr="00DA5914">
        <w:rPr>
          <w:sz w:val="24"/>
          <w:szCs w:val="24"/>
        </w:rPr>
        <w:t xml:space="preserve">status to CMS via the on- line Disclosure to CMS web page, which will take </w:t>
      </w:r>
      <w:r w:rsidR="00A36AFE">
        <w:rPr>
          <w:sz w:val="24"/>
          <w:szCs w:val="24"/>
        </w:rPr>
        <w:t xml:space="preserve">a </w:t>
      </w:r>
      <w:r w:rsidR="00A36AFE">
        <w:rPr>
          <w:sz w:val="24"/>
        </w:rPr>
        <w:t xml:space="preserve">Software Developer </w:t>
      </w:r>
      <w:r w:rsidRPr="00DA5914">
        <w:rPr>
          <w:sz w:val="24"/>
          <w:szCs w:val="24"/>
        </w:rPr>
        <w:t xml:space="preserve">5 minutes </w:t>
      </w:r>
      <w:r w:rsidR="00A36AFE">
        <w:rPr>
          <w:sz w:val="24"/>
          <w:szCs w:val="24"/>
        </w:rPr>
        <w:t>(</w:t>
      </w:r>
      <w:r w:rsidRPr="00DA5914">
        <w:rPr>
          <w:sz w:val="24"/>
          <w:szCs w:val="24"/>
        </w:rPr>
        <w:t>per plan</w:t>
      </w:r>
      <w:r w:rsidR="00A36AFE">
        <w:rPr>
          <w:sz w:val="24"/>
          <w:szCs w:val="24"/>
        </w:rPr>
        <w:t xml:space="preserve">) at </w:t>
      </w:r>
      <w:r w:rsidR="00A36AFE">
        <w:rPr>
          <w:sz w:val="24"/>
        </w:rPr>
        <w:t>$96.22/hr</w:t>
      </w:r>
      <w:r w:rsidRPr="00DA5914">
        <w:rPr>
          <w:sz w:val="24"/>
          <w:szCs w:val="24"/>
        </w:rPr>
        <w:t>, for an annual burden</w:t>
      </w:r>
      <w:r w:rsidRPr="00DA5914">
        <w:rPr>
          <w:spacing w:val="-33"/>
          <w:sz w:val="24"/>
          <w:szCs w:val="24"/>
        </w:rPr>
        <w:t xml:space="preserve"> </w:t>
      </w:r>
      <w:r w:rsidR="00DA5914" w:rsidRPr="00DA5914">
        <w:rPr>
          <w:spacing w:val="-33"/>
          <w:sz w:val="24"/>
          <w:szCs w:val="24"/>
        </w:rPr>
        <w:t xml:space="preserve"> </w:t>
      </w:r>
      <w:r w:rsidRPr="00DA5914">
        <w:rPr>
          <w:sz w:val="24"/>
          <w:szCs w:val="24"/>
        </w:rPr>
        <w:t>of</w:t>
      </w:r>
      <w:r w:rsidR="00DA5914" w:rsidRPr="00DA5914">
        <w:rPr>
          <w:sz w:val="24"/>
          <w:szCs w:val="24"/>
        </w:rPr>
        <w:t xml:space="preserve"> </w:t>
      </w:r>
      <w:r w:rsidRPr="00DA5914">
        <w:rPr>
          <w:sz w:val="24"/>
          <w:szCs w:val="24"/>
        </w:rPr>
        <w:t>10.8 hours</w:t>
      </w:r>
      <w:r w:rsidR="00080BA5">
        <w:rPr>
          <w:sz w:val="24"/>
          <w:szCs w:val="24"/>
        </w:rPr>
        <w:t xml:space="preserve"> and $1,039.18</w:t>
      </w:r>
      <w:r w:rsidRPr="00DA5914">
        <w:rPr>
          <w:sz w:val="24"/>
          <w:szCs w:val="24"/>
        </w:rPr>
        <w:t xml:space="preserve">. </w:t>
      </w:r>
    </w:p>
    <w:p w14:paraId="0CAB44F1" w14:textId="77777777" w:rsidR="00D0358D" w:rsidRDefault="00D0358D" w:rsidP="00080BA5">
      <w:pPr>
        <w:pStyle w:val="ListParagraph"/>
        <w:tabs>
          <w:tab w:val="left" w:pos="1179"/>
          <w:tab w:val="left" w:pos="1180"/>
        </w:tabs>
        <w:spacing w:before="1" w:line="247" w:lineRule="auto"/>
        <w:ind w:left="819" w:right="363" w:firstLine="0"/>
        <w:rPr>
          <w:sz w:val="24"/>
          <w:szCs w:val="24"/>
        </w:rPr>
      </w:pPr>
    </w:p>
    <w:p w14:paraId="6628DCC4" w14:textId="2CCEAA6F" w:rsidR="004A4867" w:rsidRPr="00DA5914" w:rsidRDefault="00A56CB2" w:rsidP="00080BA5">
      <w:pPr>
        <w:pStyle w:val="ListParagraph"/>
        <w:tabs>
          <w:tab w:val="left" w:pos="1179"/>
          <w:tab w:val="left" w:pos="1180"/>
        </w:tabs>
        <w:spacing w:before="1" w:line="247" w:lineRule="auto"/>
        <w:ind w:left="819" w:right="363" w:firstLine="0"/>
        <w:rPr>
          <w:sz w:val="24"/>
          <w:szCs w:val="24"/>
        </w:rPr>
      </w:pPr>
      <w:r>
        <w:rPr>
          <w:sz w:val="24"/>
        </w:rPr>
        <w:t>In aggregate, w</w:t>
      </w:r>
      <w:r w:rsidR="00080BA5">
        <w:rPr>
          <w:sz w:val="24"/>
        </w:rPr>
        <w:t>e estimate a</w:t>
      </w:r>
      <w:r w:rsidR="00DC2102">
        <w:rPr>
          <w:sz w:val="24"/>
        </w:rPr>
        <w:t>n</w:t>
      </w:r>
      <w:r w:rsidR="00080BA5">
        <w:rPr>
          <w:sz w:val="24"/>
        </w:rPr>
        <w:t xml:space="preserve"> </w:t>
      </w:r>
      <w:r w:rsidR="00DC2102">
        <w:rPr>
          <w:sz w:val="24"/>
        </w:rPr>
        <w:t xml:space="preserve">annual </w:t>
      </w:r>
      <w:r>
        <w:rPr>
          <w:sz w:val="24"/>
        </w:rPr>
        <w:t xml:space="preserve">burden </w:t>
      </w:r>
      <w:r w:rsidR="00080BA5">
        <w:rPr>
          <w:sz w:val="24"/>
        </w:rPr>
        <w:t>of 804.2 hours at a cost of $</w:t>
      </w:r>
      <w:r w:rsidR="00080BA5" w:rsidRPr="00080BA5">
        <w:rPr>
          <w:sz w:val="24"/>
        </w:rPr>
        <w:t>77,380.13</w:t>
      </w:r>
      <w:r w:rsidR="00080BA5">
        <w:rPr>
          <w:sz w:val="24"/>
        </w:rPr>
        <w:t>.</w:t>
      </w:r>
    </w:p>
    <w:p w14:paraId="48AA42F0" w14:textId="71ACA430" w:rsidR="004A4867" w:rsidRDefault="00877558" w:rsidP="004B4F57">
      <w:pPr>
        <w:pStyle w:val="ListParagraph"/>
        <w:numPr>
          <w:ilvl w:val="1"/>
          <w:numId w:val="1"/>
        </w:numPr>
        <w:tabs>
          <w:tab w:val="left" w:pos="1179"/>
          <w:tab w:val="left" w:pos="1180"/>
        </w:tabs>
        <w:spacing w:before="197" w:line="247" w:lineRule="auto"/>
        <w:ind w:right="295"/>
        <w:rPr>
          <w:sz w:val="24"/>
        </w:rPr>
      </w:pPr>
      <w:r>
        <w:rPr>
          <w:sz w:val="24"/>
        </w:rPr>
        <w:t xml:space="preserve">On average, an estimated 204 Medigap issuers will provide a disclosure to CMS annually for a burden of 5 minute per notice </w:t>
      </w:r>
      <w:r w:rsidR="0075040C">
        <w:rPr>
          <w:sz w:val="24"/>
        </w:rPr>
        <w:t xml:space="preserve"> at $96.22/hr for a Software Developer</w:t>
      </w:r>
      <w:r>
        <w:rPr>
          <w:sz w:val="24"/>
        </w:rPr>
        <w:t>. Since Medigap policies</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changed</w:t>
      </w:r>
      <w:r>
        <w:rPr>
          <w:spacing w:val="-3"/>
          <w:sz w:val="24"/>
        </w:rPr>
        <w:t xml:space="preserve"> </w:t>
      </w:r>
      <w:r>
        <w:rPr>
          <w:sz w:val="24"/>
        </w:rPr>
        <w:t>mid-year,</w:t>
      </w:r>
      <w:r>
        <w:rPr>
          <w:spacing w:val="-3"/>
          <w:sz w:val="24"/>
        </w:rPr>
        <w:t xml:space="preserve"> </w:t>
      </w:r>
      <w:r>
        <w:rPr>
          <w:sz w:val="24"/>
        </w:rPr>
        <w:t>we</w:t>
      </w:r>
      <w:r>
        <w:rPr>
          <w:spacing w:val="-4"/>
          <w:sz w:val="24"/>
        </w:rPr>
        <w:t xml:space="preserve"> </w:t>
      </w:r>
      <w:r>
        <w:rPr>
          <w:sz w:val="24"/>
        </w:rPr>
        <w:t>do</w:t>
      </w:r>
      <w:r>
        <w:rPr>
          <w:spacing w:val="-3"/>
          <w:sz w:val="24"/>
        </w:rPr>
        <w:t xml:space="preserve"> </w:t>
      </w:r>
      <w:r>
        <w:rPr>
          <w:sz w:val="24"/>
        </w:rPr>
        <w:t>not</w:t>
      </w:r>
      <w:r>
        <w:rPr>
          <w:spacing w:val="-1"/>
          <w:sz w:val="24"/>
        </w:rPr>
        <w:t xml:space="preserve"> </w:t>
      </w:r>
      <w:r>
        <w:rPr>
          <w:sz w:val="24"/>
        </w:rPr>
        <w:t>estimate</w:t>
      </w:r>
      <w:r>
        <w:rPr>
          <w:spacing w:val="-4"/>
          <w:sz w:val="24"/>
        </w:rPr>
        <w:t xml:space="preserve"> </w:t>
      </w:r>
      <w:r>
        <w:rPr>
          <w:sz w:val="24"/>
        </w:rPr>
        <w:t>that</w:t>
      </w:r>
      <w:r>
        <w:rPr>
          <w:spacing w:val="-5"/>
          <w:sz w:val="24"/>
        </w:rPr>
        <w:t xml:space="preserve"> </w:t>
      </w:r>
      <w:r>
        <w:rPr>
          <w:sz w:val="24"/>
        </w:rPr>
        <w:t>there</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a</w:t>
      </w:r>
      <w:r>
        <w:rPr>
          <w:spacing w:val="-4"/>
          <w:sz w:val="24"/>
        </w:rPr>
        <w:t xml:space="preserve"> </w:t>
      </w:r>
      <w:r>
        <w:rPr>
          <w:sz w:val="24"/>
        </w:rPr>
        <w:t>need</w:t>
      </w:r>
      <w:r>
        <w:rPr>
          <w:spacing w:val="-3"/>
          <w:sz w:val="24"/>
        </w:rPr>
        <w:t xml:space="preserve"> </w:t>
      </w:r>
      <w:r>
        <w:rPr>
          <w:sz w:val="24"/>
        </w:rPr>
        <w:t>to</w:t>
      </w:r>
      <w:r>
        <w:rPr>
          <w:spacing w:val="-3"/>
          <w:sz w:val="24"/>
        </w:rPr>
        <w:t xml:space="preserve"> </w:t>
      </w:r>
      <w:r>
        <w:rPr>
          <w:sz w:val="24"/>
        </w:rPr>
        <w:t xml:space="preserve">do any additional disclosures to CMS for any mid </w:t>
      </w:r>
      <w:r>
        <w:rPr>
          <w:spacing w:val="-3"/>
          <w:sz w:val="24"/>
        </w:rPr>
        <w:t xml:space="preserve">year </w:t>
      </w:r>
      <w:r>
        <w:rPr>
          <w:sz w:val="24"/>
        </w:rPr>
        <w:t xml:space="preserve">changes in creditable coverage status.  </w:t>
      </w:r>
      <w:r w:rsidR="00DC2102">
        <w:rPr>
          <w:sz w:val="24"/>
        </w:rPr>
        <w:t xml:space="preserve">We </w:t>
      </w:r>
      <w:r>
        <w:rPr>
          <w:sz w:val="24"/>
        </w:rPr>
        <w:t xml:space="preserve">estimate </w:t>
      </w:r>
      <w:r w:rsidR="00DC2102">
        <w:rPr>
          <w:sz w:val="24"/>
        </w:rPr>
        <w:t xml:space="preserve">an annual </w:t>
      </w:r>
      <w:r w:rsidR="0075040C">
        <w:rPr>
          <w:sz w:val="24"/>
        </w:rPr>
        <w:t xml:space="preserve">burden </w:t>
      </w:r>
      <w:r w:rsidR="00DC2102">
        <w:rPr>
          <w:sz w:val="24"/>
        </w:rPr>
        <w:t xml:space="preserve">of </w:t>
      </w:r>
      <w:r w:rsidR="0075040C">
        <w:rPr>
          <w:sz w:val="24"/>
        </w:rPr>
        <w:t xml:space="preserve">17 hours at a cost of </w:t>
      </w:r>
      <w:r w:rsidR="004B4F57">
        <w:rPr>
          <w:sz w:val="24"/>
        </w:rPr>
        <w:t>$</w:t>
      </w:r>
      <w:r w:rsidR="004B4F57" w:rsidRPr="004B4F57">
        <w:rPr>
          <w:sz w:val="24"/>
        </w:rPr>
        <w:t xml:space="preserve">1,635.74 </w:t>
      </w:r>
      <w:r>
        <w:rPr>
          <w:sz w:val="24"/>
        </w:rPr>
        <w:t>(17</w:t>
      </w:r>
      <w:r>
        <w:rPr>
          <w:spacing w:val="-35"/>
          <w:sz w:val="24"/>
        </w:rPr>
        <w:t xml:space="preserve"> </w:t>
      </w:r>
      <w:r>
        <w:rPr>
          <w:sz w:val="24"/>
        </w:rPr>
        <w:t>h</w:t>
      </w:r>
      <w:r w:rsidR="0075040C">
        <w:rPr>
          <w:sz w:val="24"/>
        </w:rPr>
        <w:t>r x $96.22/hr</w:t>
      </w:r>
      <w:r>
        <w:rPr>
          <w:sz w:val="24"/>
        </w:rPr>
        <w:t>).</w:t>
      </w:r>
    </w:p>
    <w:p w14:paraId="46D6D511" w14:textId="77777777" w:rsidR="004A4867" w:rsidRDefault="004A4867">
      <w:pPr>
        <w:pStyle w:val="BodyText"/>
        <w:spacing w:before="8"/>
        <w:rPr>
          <w:sz w:val="25"/>
        </w:rPr>
      </w:pPr>
    </w:p>
    <w:p w14:paraId="3AB8CBE3" w14:textId="7F19F491" w:rsidR="004A4867" w:rsidRDefault="00877558" w:rsidP="00DC2102">
      <w:pPr>
        <w:pStyle w:val="ListParagraph"/>
        <w:numPr>
          <w:ilvl w:val="1"/>
          <w:numId w:val="1"/>
        </w:numPr>
        <w:tabs>
          <w:tab w:val="left" w:pos="1179"/>
          <w:tab w:val="left" w:pos="1180"/>
        </w:tabs>
        <w:spacing w:line="244" w:lineRule="auto"/>
        <w:ind w:right="603"/>
        <w:rPr>
          <w:sz w:val="24"/>
        </w:rPr>
      </w:pPr>
      <w:r>
        <w:rPr>
          <w:sz w:val="24"/>
        </w:rPr>
        <w:t xml:space="preserve">On average, CMS estimates that 10 State Pharmacy Plus programs will provide a disclosure notice to CMS for an annual burden of 5 minutes per program </w:t>
      </w:r>
      <w:r w:rsidR="00DC2102">
        <w:rPr>
          <w:sz w:val="24"/>
        </w:rPr>
        <w:t xml:space="preserve"> at a cost of $140.14/hr for a </w:t>
      </w:r>
      <w:r w:rsidR="00DC2102" w:rsidRPr="00DC2102">
        <w:rPr>
          <w:sz w:val="24"/>
        </w:rPr>
        <w:t>Computer and Information Systems Manager</w:t>
      </w:r>
      <w:r>
        <w:rPr>
          <w:sz w:val="24"/>
        </w:rPr>
        <w:t xml:space="preserve">. The disclosure to CMS notice is required even these States may decide to lower their costs by reforming these programs. </w:t>
      </w:r>
      <w:r w:rsidR="00DC2102">
        <w:rPr>
          <w:sz w:val="24"/>
        </w:rPr>
        <w:t>We estimate an annual burden of 0.83 hours at a cost of (0.83 hr x $140.14/hr)</w:t>
      </w:r>
      <w:r>
        <w:rPr>
          <w:sz w:val="24"/>
        </w:rPr>
        <w:t>.</w:t>
      </w:r>
    </w:p>
    <w:p w14:paraId="5E728DB8" w14:textId="77777777" w:rsidR="004A4867" w:rsidRDefault="004A4867">
      <w:pPr>
        <w:pStyle w:val="BodyText"/>
        <w:spacing w:before="11"/>
        <w:rPr>
          <w:sz w:val="25"/>
        </w:rPr>
      </w:pPr>
    </w:p>
    <w:p w14:paraId="6BB3A5E8" w14:textId="3E3EB0DF" w:rsidR="004A4867" w:rsidRDefault="00877558" w:rsidP="00A56CB2">
      <w:pPr>
        <w:pStyle w:val="ListParagraph"/>
        <w:numPr>
          <w:ilvl w:val="1"/>
          <w:numId w:val="1"/>
        </w:numPr>
        <w:tabs>
          <w:tab w:val="left" w:pos="1179"/>
          <w:tab w:val="left" w:pos="1180"/>
        </w:tabs>
        <w:spacing w:line="247" w:lineRule="auto"/>
        <w:ind w:right="343"/>
        <w:rPr>
          <w:sz w:val="24"/>
        </w:rPr>
      </w:pPr>
      <w:r>
        <w:rPr>
          <w:sz w:val="24"/>
        </w:rPr>
        <w:t>We estimate that each of</w:t>
      </w:r>
      <w:r>
        <w:rPr>
          <w:spacing w:val="-42"/>
          <w:sz w:val="24"/>
        </w:rPr>
        <w:t xml:space="preserve"> </w:t>
      </w:r>
      <w:r>
        <w:rPr>
          <w:sz w:val="24"/>
        </w:rPr>
        <w:t xml:space="preserve">the 11 State Pharmaceutical Assistance Programs will provide the disclosure to CMS notice for an annual burden of 5 minutes </w:t>
      </w:r>
      <w:r w:rsidR="00DC2102">
        <w:rPr>
          <w:sz w:val="24"/>
        </w:rPr>
        <w:t xml:space="preserve">at $140.14/hr for a </w:t>
      </w:r>
      <w:r w:rsidR="00DC2102" w:rsidRPr="00DC2102">
        <w:rPr>
          <w:sz w:val="24"/>
        </w:rPr>
        <w:t>Computer and Information Systems Manager</w:t>
      </w:r>
      <w:r w:rsidR="00DC2102">
        <w:rPr>
          <w:sz w:val="24"/>
        </w:rPr>
        <w:t>.</w:t>
      </w:r>
      <w:r>
        <w:rPr>
          <w:sz w:val="24"/>
        </w:rPr>
        <w:t xml:space="preserve"> </w:t>
      </w:r>
      <w:r w:rsidR="00A56CB2">
        <w:rPr>
          <w:sz w:val="24"/>
        </w:rPr>
        <w:t>We estimate an annual burden of 9.2 hours at a cost of $</w:t>
      </w:r>
      <w:r w:rsidR="00A56CB2" w:rsidRPr="00A56CB2">
        <w:rPr>
          <w:sz w:val="24"/>
        </w:rPr>
        <w:t>1,289.2</w:t>
      </w:r>
      <w:r w:rsidR="00A56CB2">
        <w:rPr>
          <w:sz w:val="24"/>
        </w:rPr>
        <w:t>9</w:t>
      </w:r>
      <w:r w:rsidR="00A56CB2" w:rsidRPr="00A56CB2">
        <w:rPr>
          <w:sz w:val="24"/>
        </w:rPr>
        <w:t xml:space="preserve"> </w:t>
      </w:r>
      <w:r w:rsidR="00A56CB2">
        <w:rPr>
          <w:sz w:val="24"/>
        </w:rPr>
        <w:t xml:space="preserve">(9.2 hr x </w:t>
      </w:r>
      <w:r w:rsidR="00A56CB2" w:rsidRPr="00A56CB2">
        <w:rPr>
          <w:sz w:val="24"/>
        </w:rPr>
        <w:t>$140.14/hr</w:t>
      </w:r>
      <w:r w:rsidR="00A56CB2">
        <w:rPr>
          <w:sz w:val="24"/>
        </w:rPr>
        <w:t>)</w:t>
      </w:r>
      <w:r>
        <w:rPr>
          <w:sz w:val="24"/>
        </w:rPr>
        <w:t>.</w:t>
      </w:r>
    </w:p>
    <w:p w14:paraId="65F09BDB" w14:textId="3641D7F3" w:rsidR="004A4867" w:rsidRDefault="00877558" w:rsidP="00A56CB2">
      <w:pPr>
        <w:pStyle w:val="ListParagraph"/>
        <w:numPr>
          <w:ilvl w:val="1"/>
          <w:numId w:val="1"/>
        </w:numPr>
        <w:tabs>
          <w:tab w:val="left" w:pos="1179"/>
          <w:tab w:val="left" w:pos="1180"/>
        </w:tabs>
        <w:spacing w:before="198" w:line="275" w:lineRule="exact"/>
        <w:ind w:right="375"/>
      </w:pPr>
      <w:r>
        <w:rPr>
          <w:sz w:val="24"/>
        </w:rPr>
        <w:t xml:space="preserve">On average, we estimate that 29 </w:t>
      </w:r>
      <w:r w:rsidRPr="00DA5914">
        <w:rPr>
          <w:spacing w:val="-3"/>
          <w:sz w:val="24"/>
        </w:rPr>
        <w:t xml:space="preserve">Indian </w:t>
      </w:r>
      <w:r>
        <w:rPr>
          <w:sz w:val="24"/>
        </w:rPr>
        <w:t xml:space="preserve">Health Service entities will provide the annual disclosure to CMS notice for an annual burden of 5 minutes </w:t>
      </w:r>
      <w:r w:rsidR="00A56CB2">
        <w:rPr>
          <w:sz w:val="24"/>
        </w:rPr>
        <w:t xml:space="preserve">at $140.14/hr for a </w:t>
      </w:r>
      <w:r w:rsidR="00A56CB2" w:rsidRPr="00DC2102">
        <w:rPr>
          <w:sz w:val="24"/>
        </w:rPr>
        <w:t>Computer and Information Systems Manager</w:t>
      </w:r>
      <w:r w:rsidR="00A56CB2">
        <w:rPr>
          <w:sz w:val="24"/>
        </w:rPr>
        <w:t>.</w:t>
      </w:r>
      <w:r>
        <w:rPr>
          <w:sz w:val="24"/>
        </w:rPr>
        <w:t xml:space="preserve">. </w:t>
      </w:r>
      <w:r w:rsidRPr="00DA5914">
        <w:rPr>
          <w:spacing w:val="-6"/>
          <w:sz w:val="24"/>
        </w:rPr>
        <w:t xml:space="preserve">It </w:t>
      </w:r>
      <w:r>
        <w:rPr>
          <w:sz w:val="24"/>
        </w:rPr>
        <w:t>is not expected that there will be a need to do any additional disclosures</w:t>
      </w:r>
      <w:r w:rsidRPr="00DA5914">
        <w:rPr>
          <w:spacing w:val="-35"/>
          <w:sz w:val="24"/>
        </w:rPr>
        <w:t xml:space="preserve"> </w:t>
      </w:r>
      <w:r>
        <w:rPr>
          <w:sz w:val="24"/>
        </w:rPr>
        <w:t xml:space="preserve">to CMS for any mid-year changes in creditable coverage status. </w:t>
      </w:r>
      <w:r w:rsidR="00A56CB2" w:rsidRPr="00A56CB2">
        <w:rPr>
          <w:sz w:val="24"/>
        </w:rPr>
        <w:t>We estimate an annual burden of 2</w:t>
      </w:r>
      <w:r w:rsidR="00A56CB2">
        <w:rPr>
          <w:sz w:val="24"/>
        </w:rPr>
        <w:t>.4</w:t>
      </w:r>
      <w:r w:rsidR="00A56CB2" w:rsidRPr="00A56CB2">
        <w:rPr>
          <w:sz w:val="24"/>
        </w:rPr>
        <w:t xml:space="preserve"> hours at a cost of $</w:t>
      </w:r>
      <w:r w:rsidR="00A56CB2">
        <w:rPr>
          <w:sz w:val="24"/>
        </w:rPr>
        <w:t>336.34</w:t>
      </w:r>
      <w:r w:rsidR="00A56CB2" w:rsidRPr="00A56CB2">
        <w:rPr>
          <w:sz w:val="24"/>
        </w:rPr>
        <w:t xml:space="preserve"> (2</w:t>
      </w:r>
      <w:r w:rsidR="00A56CB2">
        <w:rPr>
          <w:sz w:val="24"/>
        </w:rPr>
        <w:t>.4</w:t>
      </w:r>
      <w:r w:rsidR="00A56CB2" w:rsidRPr="00A56CB2">
        <w:rPr>
          <w:sz w:val="24"/>
        </w:rPr>
        <w:t xml:space="preserve"> hr x $140.14/hr)</w:t>
      </w:r>
    </w:p>
    <w:p w14:paraId="17450080" w14:textId="77777777" w:rsidR="004A4867" w:rsidRDefault="00877558">
      <w:pPr>
        <w:pStyle w:val="Heading1"/>
        <w:spacing w:before="79" w:after="6"/>
        <w:ind w:left="119" w:firstLine="0"/>
      </w:pPr>
      <w:r>
        <w:t>Table: Summary of Type of Respondent and Calculated Burden</w:t>
      </w:r>
    </w:p>
    <w:p w14:paraId="4AD424C3" w14:textId="3E6F345C" w:rsidR="008E408C" w:rsidRDefault="008E408C">
      <w:pPr>
        <w:pStyle w:val="Heading1"/>
        <w:spacing w:before="79" w:after="6"/>
        <w:ind w:left="119" w:firstLine="0"/>
      </w:pPr>
    </w:p>
    <w:tbl>
      <w:tblPr>
        <w:tblW w:w="9660" w:type="dxa"/>
        <w:tblLook w:val="04A0" w:firstRow="1" w:lastRow="0" w:firstColumn="1" w:lastColumn="0" w:noHBand="0" w:noVBand="1"/>
      </w:tblPr>
      <w:tblGrid>
        <w:gridCol w:w="1527"/>
        <w:gridCol w:w="1510"/>
        <w:gridCol w:w="1197"/>
        <w:gridCol w:w="1071"/>
        <w:gridCol w:w="1095"/>
        <w:gridCol w:w="1089"/>
        <w:gridCol w:w="1084"/>
        <w:gridCol w:w="1087"/>
      </w:tblGrid>
      <w:tr w:rsidR="00185C9E" w:rsidRPr="00185C9E" w14:paraId="328DDFE3" w14:textId="77777777" w:rsidTr="00185C9E">
        <w:trPr>
          <w:trHeight w:val="1035"/>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AF11B" w14:textId="77777777" w:rsidR="00185C9E" w:rsidRPr="00185C9E" w:rsidRDefault="00185C9E" w:rsidP="00185C9E">
            <w:pPr>
              <w:widowControl/>
              <w:autoSpaceDE/>
              <w:autoSpaceDN/>
              <w:jc w:val="center"/>
              <w:rPr>
                <w:b/>
                <w:bCs/>
                <w:color w:val="000000"/>
                <w:sz w:val="18"/>
                <w:szCs w:val="18"/>
              </w:rPr>
            </w:pPr>
            <w:r w:rsidRPr="00185C9E">
              <w:rPr>
                <w:b/>
                <w:bCs/>
                <w:color w:val="000000"/>
                <w:sz w:val="18"/>
                <w:szCs w:val="18"/>
              </w:rPr>
              <w:t>Type of Plan/Respondent</w:t>
            </w:r>
          </w:p>
        </w:tc>
        <w:tc>
          <w:tcPr>
            <w:tcW w:w="1751" w:type="dxa"/>
            <w:tcBorders>
              <w:top w:val="single" w:sz="4" w:space="0" w:color="auto"/>
              <w:left w:val="nil"/>
              <w:bottom w:val="single" w:sz="4" w:space="0" w:color="auto"/>
              <w:right w:val="single" w:sz="4" w:space="0" w:color="auto"/>
            </w:tcBorders>
            <w:shd w:val="clear" w:color="auto" w:fill="auto"/>
            <w:vAlign w:val="center"/>
            <w:hideMark/>
          </w:tcPr>
          <w:p w14:paraId="7A0053C6" w14:textId="77777777" w:rsidR="00185C9E" w:rsidRPr="00185C9E" w:rsidRDefault="00185C9E" w:rsidP="00185C9E">
            <w:pPr>
              <w:widowControl/>
              <w:autoSpaceDE/>
              <w:autoSpaceDN/>
              <w:jc w:val="center"/>
              <w:rPr>
                <w:b/>
                <w:bCs/>
                <w:color w:val="000000"/>
                <w:sz w:val="18"/>
                <w:szCs w:val="18"/>
              </w:rPr>
            </w:pPr>
            <w:r w:rsidRPr="00185C9E">
              <w:rPr>
                <w:b/>
                <w:bCs/>
                <w:color w:val="000000"/>
                <w:sz w:val="18"/>
                <w:szCs w:val="18"/>
              </w:rPr>
              <w:t>Type of Notice</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799AD141" w14:textId="77777777" w:rsidR="00185C9E" w:rsidRPr="00185C9E" w:rsidRDefault="00185C9E" w:rsidP="00185C9E">
            <w:pPr>
              <w:widowControl/>
              <w:autoSpaceDE/>
              <w:autoSpaceDN/>
              <w:jc w:val="center"/>
              <w:rPr>
                <w:b/>
                <w:bCs/>
                <w:color w:val="000000"/>
                <w:sz w:val="18"/>
                <w:szCs w:val="18"/>
              </w:rPr>
            </w:pPr>
            <w:r w:rsidRPr="00185C9E">
              <w:rPr>
                <w:b/>
                <w:bCs/>
                <w:color w:val="000000"/>
                <w:sz w:val="18"/>
                <w:szCs w:val="18"/>
              </w:rPr>
              <w:t>No. of Plans/ Respondents</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435AB468" w14:textId="77777777" w:rsidR="00185C9E" w:rsidRPr="00185C9E" w:rsidRDefault="00185C9E" w:rsidP="00185C9E">
            <w:pPr>
              <w:widowControl/>
              <w:autoSpaceDE/>
              <w:autoSpaceDN/>
              <w:jc w:val="center"/>
              <w:rPr>
                <w:b/>
                <w:bCs/>
                <w:color w:val="000000"/>
                <w:sz w:val="18"/>
                <w:szCs w:val="18"/>
              </w:rPr>
            </w:pPr>
            <w:r w:rsidRPr="00185C9E">
              <w:rPr>
                <w:b/>
                <w:bCs/>
                <w:color w:val="000000"/>
                <w:sz w:val="18"/>
                <w:szCs w:val="18"/>
              </w:rPr>
              <w:t>Annual No. of Notices / Responses</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09C7D51F" w14:textId="77777777" w:rsidR="00185C9E" w:rsidRPr="00185C9E" w:rsidRDefault="00185C9E" w:rsidP="00185C9E">
            <w:pPr>
              <w:widowControl/>
              <w:autoSpaceDE/>
              <w:autoSpaceDN/>
              <w:jc w:val="center"/>
              <w:rPr>
                <w:b/>
                <w:bCs/>
                <w:color w:val="000000"/>
                <w:sz w:val="18"/>
                <w:szCs w:val="18"/>
              </w:rPr>
            </w:pPr>
            <w:r w:rsidRPr="00185C9E">
              <w:rPr>
                <w:b/>
                <w:bCs/>
                <w:color w:val="000000"/>
                <w:sz w:val="18"/>
                <w:szCs w:val="18"/>
              </w:rPr>
              <w:t>Minutes per Response</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5247C9D9" w14:textId="77777777" w:rsidR="00185C9E" w:rsidRPr="00185C9E" w:rsidRDefault="00185C9E" w:rsidP="00185C9E">
            <w:pPr>
              <w:widowControl/>
              <w:autoSpaceDE/>
              <w:autoSpaceDN/>
              <w:jc w:val="center"/>
              <w:rPr>
                <w:b/>
                <w:bCs/>
                <w:color w:val="000000"/>
                <w:sz w:val="18"/>
                <w:szCs w:val="18"/>
              </w:rPr>
            </w:pPr>
            <w:r w:rsidRPr="00185C9E">
              <w:rPr>
                <w:b/>
                <w:bCs/>
                <w:color w:val="000000"/>
                <w:sz w:val="18"/>
                <w:szCs w:val="18"/>
              </w:rPr>
              <w:t>Annual Time</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27175D87" w14:textId="77777777" w:rsidR="00185C9E" w:rsidRPr="00185C9E" w:rsidRDefault="00185C9E" w:rsidP="00185C9E">
            <w:pPr>
              <w:widowControl/>
              <w:autoSpaceDE/>
              <w:autoSpaceDN/>
              <w:jc w:val="center"/>
              <w:rPr>
                <w:b/>
                <w:bCs/>
                <w:color w:val="000000"/>
                <w:sz w:val="18"/>
                <w:szCs w:val="18"/>
              </w:rPr>
            </w:pPr>
            <w:r w:rsidRPr="00185C9E">
              <w:rPr>
                <w:b/>
                <w:bCs/>
                <w:color w:val="000000"/>
                <w:sz w:val="18"/>
                <w:szCs w:val="18"/>
              </w:rPr>
              <w:t>Hourly Wage ($/hr)</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466BD9C3" w14:textId="77777777" w:rsidR="00185C9E" w:rsidRPr="00185C9E" w:rsidRDefault="00185C9E" w:rsidP="00185C9E">
            <w:pPr>
              <w:widowControl/>
              <w:autoSpaceDE/>
              <w:autoSpaceDN/>
              <w:jc w:val="center"/>
              <w:rPr>
                <w:b/>
                <w:bCs/>
                <w:color w:val="000000"/>
                <w:sz w:val="18"/>
                <w:szCs w:val="18"/>
              </w:rPr>
            </w:pPr>
            <w:r w:rsidRPr="00185C9E">
              <w:rPr>
                <w:b/>
                <w:bCs/>
                <w:color w:val="000000"/>
                <w:sz w:val="18"/>
                <w:szCs w:val="18"/>
              </w:rPr>
              <w:t>Total Cost ($)</w:t>
            </w:r>
          </w:p>
        </w:tc>
      </w:tr>
      <w:tr w:rsidR="00185C9E" w:rsidRPr="00185C9E" w14:paraId="094A6A83" w14:textId="77777777" w:rsidTr="00185C9E">
        <w:trPr>
          <w:trHeight w:val="499"/>
        </w:trPr>
        <w:tc>
          <w:tcPr>
            <w:tcW w:w="1341" w:type="dxa"/>
            <w:vMerge w:val="restart"/>
            <w:tcBorders>
              <w:top w:val="nil"/>
              <w:left w:val="single" w:sz="4" w:space="0" w:color="auto"/>
              <w:bottom w:val="single" w:sz="4" w:space="0" w:color="000000"/>
              <w:right w:val="single" w:sz="4" w:space="0" w:color="auto"/>
            </w:tcBorders>
            <w:shd w:val="clear" w:color="auto" w:fill="auto"/>
            <w:vAlign w:val="center"/>
            <w:hideMark/>
          </w:tcPr>
          <w:p w14:paraId="07D2DD56" w14:textId="77777777" w:rsidR="00185C9E" w:rsidRPr="00185C9E" w:rsidRDefault="00185C9E" w:rsidP="00185C9E">
            <w:pPr>
              <w:widowControl/>
              <w:autoSpaceDE/>
              <w:autoSpaceDN/>
              <w:rPr>
                <w:b/>
                <w:bCs/>
                <w:color w:val="000000"/>
                <w:sz w:val="18"/>
                <w:szCs w:val="18"/>
              </w:rPr>
            </w:pPr>
            <w:r w:rsidRPr="00185C9E">
              <w:rPr>
                <w:b/>
                <w:bCs/>
                <w:color w:val="000000"/>
                <w:sz w:val="18"/>
                <w:szCs w:val="18"/>
              </w:rPr>
              <w:t>Health Plans</w:t>
            </w:r>
          </w:p>
        </w:tc>
        <w:tc>
          <w:tcPr>
            <w:tcW w:w="1751" w:type="dxa"/>
            <w:tcBorders>
              <w:top w:val="nil"/>
              <w:left w:val="nil"/>
              <w:bottom w:val="single" w:sz="4" w:space="0" w:color="auto"/>
              <w:right w:val="single" w:sz="4" w:space="0" w:color="auto"/>
            </w:tcBorders>
            <w:shd w:val="clear" w:color="auto" w:fill="auto"/>
            <w:vAlign w:val="center"/>
            <w:hideMark/>
          </w:tcPr>
          <w:p w14:paraId="3F81E5DD" w14:textId="77777777" w:rsidR="00185C9E" w:rsidRPr="00185C9E" w:rsidRDefault="00185C9E" w:rsidP="00185C9E">
            <w:pPr>
              <w:widowControl/>
              <w:autoSpaceDE/>
              <w:autoSpaceDN/>
              <w:rPr>
                <w:color w:val="000000"/>
                <w:sz w:val="18"/>
                <w:szCs w:val="18"/>
              </w:rPr>
            </w:pPr>
            <w:r w:rsidRPr="00185C9E">
              <w:rPr>
                <w:color w:val="000000"/>
                <w:sz w:val="18"/>
                <w:szCs w:val="18"/>
              </w:rPr>
              <w:t>Annual and Initial Disclosure</w:t>
            </w:r>
          </w:p>
        </w:tc>
        <w:tc>
          <w:tcPr>
            <w:tcW w:w="1113" w:type="dxa"/>
            <w:tcBorders>
              <w:top w:val="nil"/>
              <w:left w:val="nil"/>
              <w:bottom w:val="single" w:sz="4" w:space="0" w:color="auto"/>
              <w:right w:val="single" w:sz="4" w:space="0" w:color="auto"/>
            </w:tcBorders>
            <w:shd w:val="clear" w:color="auto" w:fill="auto"/>
            <w:vAlign w:val="center"/>
            <w:hideMark/>
          </w:tcPr>
          <w:p w14:paraId="755C1CE8" w14:textId="77777777" w:rsidR="00185C9E" w:rsidRPr="00185C9E" w:rsidRDefault="00185C9E" w:rsidP="00185C9E">
            <w:pPr>
              <w:widowControl/>
              <w:autoSpaceDE/>
              <w:autoSpaceDN/>
              <w:jc w:val="center"/>
              <w:rPr>
                <w:color w:val="000000"/>
                <w:sz w:val="18"/>
                <w:szCs w:val="18"/>
              </w:rPr>
            </w:pPr>
            <w:r w:rsidRPr="00185C9E">
              <w:rPr>
                <w:color w:val="000000"/>
                <w:sz w:val="18"/>
                <w:szCs w:val="18"/>
              </w:rPr>
              <w:t>87,265</w:t>
            </w:r>
          </w:p>
        </w:tc>
        <w:tc>
          <w:tcPr>
            <w:tcW w:w="1100" w:type="dxa"/>
            <w:tcBorders>
              <w:top w:val="nil"/>
              <w:left w:val="nil"/>
              <w:bottom w:val="single" w:sz="4" w:space="0" w:color="auto"/>
              <w:right w:val="single" w:sz="4" w:space="0" w:color="auto"/>
            </w:tcBorders>
            <w:shd w:val="clear" w:color="auto" w:fill="auto"/>
            <w:vAlign w:val="center"/>
            <w:hideMark/>
          </w:tcPr>
          <w:p w14:paraId="69CDF760" w14:textId="77777777" w:rsidR="00185C9E" w:rsidRPr="00185C9E" w:rsidRDefault="00185C9E" w:rsidP="00185C9E">
            <w:pPr>
              <w:widowControl/>
              <w:autoSpaceDE/>
              <w:autoSpaceDN/>
              <w:jc w:val="center"/>
              <w:rPr>
                <w:color w:val="000000"/>
                <w:sz w:val="18"/>
                <w:szCs w:val="18"/>
              </w:rPr>
            </w:pPr>
            <w:r w:rsidRPr="00185C9E">
              <w:rPr>
                <w:color w:val="000000"/>
                <w:sz w:val="18"/>
                <w:szCs w:val="18"/>
              </w:rPr>
              <w:t>75,860</w:t>
            </w:r>
          </w:p>
        </w:tc>
        <w:tc>
          <w:tcPr>
            <w:tcW w:w="1095" w:type="dxa"/>
            <w:tcBorders>
              <w:top w:val="nil"/>
              <w:left w:val="nil"/>
              <w:bottom w:val="single" w:sz="4" w:space="0" w:color="auto"/>
              <w:right w:val="single" w:sz="4" w:space="0" w:color="auto"/>
            </w:tcBorders>
            <w:shd w:val="clear" w:color="auto" w:fill="auto"/>
            <w:vAlign w:val="center"/>
            <w:hideMark/>
          </w:tcPr>
          <w:p w14:paraId="1D980AE6" w14:textId="77777777" w:rsidR="00185C9E" w:rsidRPr="00185C9E" w:rsidRDefault="00185C9E" w:rsidP="00185C9E">
            <w:pPr>
              <w:widowControl/>
              <w:autoSpaceDE/>
              <w:autoSpaceDN/>
              <w:jc w:val="center"/>
              <w:rPr>
                <w:color w:val="000000"/>
                <w:sz w:val="18"/>
                <w:szCs w:val="18"/>
              </w:rPr>
            </w:pPr>
            <w:r w:rsidRPr="00185C9E">
              <w:rPr>
                <w:color w:val="000000"/>
                <w:sz w:val="18"/>
                <w:szCs w:val="18"/>
              </w:rPr>
              <w:t>5</w:t>
            </w:r>
          </w:p>
        </w:tc>
        <w:tc>
          <w:tcPr>
            <w:tcW w:w="1089" w:type="dxa"/>
            <w:tcBorders>
              <w:top w:val="nil"/>
              <w:left w:val="nil"/>
              <w:bottom w:val="single" w:sz="4" w:space="0" w:color="auto"/>
              <w:right w:val="single" w:sz="4" w:space="0" w:color="auto"/>
            </w:tcBorders>
            <w:shd w:val="clear" w:color="auto" w:fill="auto"/>
            <w:vAlign w:val="center"/>
            <w:hideMark/>
          </w:tcPr>
          <w:p w14:paraId="6CE6D80B" w14:textId="77777777" w:rsidR="00185C9E" w:rsidRPr="00185C9E" w:rsidRDefault="00185C9E" w:rsidP="00185C9E">
            <w:pPr>
              <w:widowControl/>
              <w:autoSpaceDE/>
              <w:autoSpaceDN/>
              <w:jc w:val="center"/>
              <w:rPr>
                <w:color w:val="000000"/>
                <w:sz w:val="18"/>
                <w:szCs w:val="18"/>
              </w:rPr>
            </w:pPr>
            <w:r w:rsidRPr="00185C9E">
              <w:rPr>
                <w:color w:val="000000"/>
                <w:sz w:val="18"/>
                <w:szCs w:val="18"/>
              </w:rPr>
              <w:t>6,321.70</w:t>
            </w:r>
          </w:p>
        </w:tc>
        <w:tc>
          <w:tcPr>
            <w:tcW w:w="1084" w:type="dxa"/>
            <w:tcBorders>
              <w:top w:val="nil"/>
              <w:left w:val="nil"/>
              <w:bottom w:val="single" w:sz="4" w:space="0" w:color="auto"/>
              <w:right w:val="single" w:sz="4" w:space="0" w:color="auto"/>
            </w:tcBorders>
            <w:shd w:val="clear" w:color="auto" w:fill="auto"/>
            <w:noWrap/>
            <w:vAlign w:val="center"/>
            <w:hideMark/>
          </w:tcPr>
          <w:p w14:paraId="6EFB0A91" w14:textId="77777777" w:rsidR="00185C9E" w:rsidRPr="00185C9E" w:rsidRDefault="00185C9E" w:rsidP="00185C9E">
            <w:pPr>
              <w:widowControl/>
              <w:autoSpaceDE/>
              <w:autoSpaceDN/>
              <w:jc w:val="center"/>
              <w:rPr>
                <w:rFonts w:ascii="Calibri" w:hAnsi="Calibri"/>
                <w:color w:val="000000"/>
                <w:sz w:val="18"/>
                <w:szCs w:val="18"/>
              </w:rPr>
            </w:pPr>
            <w:r w:rsidRPr="00185C9E">
              <w:rPr>
                <w:rFonts w:ascii="Calibri" w:hAnsi="Calibri"/>
                <w:color w:val="000000"/>
                <w:sz w:val="18"/>
                <w:szCs w:val="18"/>
              </w:rPr>
              <w:t>96.22</w:t>
            </w:r>
          </w:p>
        </w:tc>
        <w:tc>
          <w:tcPr>
            <w:tcW w:w="108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D13E29" w14:textId="77777777" w:rsidR="00185C9E" w:rsidRPr="00185C9E" w:rsidRDefault="00185C9E" w:rsidP="00185C9E">
            <w:pPr>
              <w:widowControl/>
              <w:autoSpaceDE/>
              <w:autoSpaceDN/>
              <w:jc w:val="center"/>
              <w:rPr>
                <w:rFonts w:ascii="Calibri" w:hAnsi="Calibri"/>
                <w:color w:val="000000"/>
                <w:sz w:val="18"/>
                <w:szCs w:val="18"/>
              </w:rPr>
            </w:pPr>
            <w:r w:rsidRPr="00185C9E">
              <w:rPr>
                <w:rFonts w:ascii="Calibri" w:hAnsi="Calibri"/>
                <w:color w:val="000000"/>
                <w:sz w:val="18"/>
                <w:szCs w:val="18"/>
              </w:rPr>
              <w:t>620,302</w:t>
            </w:r>
          </w:p>
        </w:tc>
      </w:tr>
      <w:tr w:rsidR="00185C9E" w:rsidRPr="00185C9E" w14:paraId="13840D73" w14:textId="77777777" w:rsidTr="00185C9E">
        <w:trPr>
          <w:trHeight w:val="702"/>
        </w:trPr>
        <w:tc>
          <w:tcPr>
            <w:tcW w:w="1341" w:type="dxa"/>
            <w:vMerge/>
            <w:tcBorders>
              <w:top w:val="nil"/>
              <w:left w:val="single" w:sz="4" w:space="0" w:color="auto"/>
              <w:bottom w:val="single" w:sz="4" w:space="0" w:color="000000"/>
              <w:right w:val="single" w:sz="4" w:space="0" w:color="auto"/>
            </w:tcBorders>
            <w:vAlign w:val="center"/>
            <w:hideMark/>
          </w:tcPr>
          <w:p w14:paraId="06E4DF3D" w14:textId="77777777" w:rsidR="00185C9E" w:rsidRPr="00185C9E" w:rsidRDefault="00185C9E" w:rsidP="00185C9E">
            <w:pPr>
              <w:widowControl/>
              <w:autoSpaceDE/>
              <w:autoSpaceDN/>
              <w:rPr>
                <w:b/>
                <w:bCs/>
                <w:color w:val="000000"/>
                <w:sz w:val="18"/>
                <w:szCs w:val="18"/>
              </w:rPr>
            </w:pPr>
          </w:p>
        </w:tc>
        <w:tc>
          <w:tcPr>
            <w:tcW w:w="1751" w:type="dxa"/>
            <w:tcBorders>
              <w:top w:val="nil"/>
              <w:left w:val="nil"/>
              <w:bottom w:val="single" w:sz="4" w:space="0" w:color="auto"/>
              <w:right w:val="single" w:sz="4" w:space="0" w:color="auto"/>
            </w:tcBorders>
            <w:shd w:val="clear" w:color="auto" w:fill="auto"/>
            <w:vAlign w:val="center"/>
            <w:hideMark/>
          </w:tcPr>
          <w:p w14:paraId="1554CAC1" w14:textId="77777777" w:rsidR="00185C9E" w:rsidRPr="00185C9E" w:rsidRDefault="00185C9E" w:rsidP="00185C9E">
            <w:pPr>
              <w:widowControl/>
              <w:autoSpaceDE/>
              <w:autoSpaceDN/>
              <w:rPr>
                <w:color w:val="000000"/>
                <w:sz w:val="18"/>
                <w:szCs w:val="18"/>
              </w:rPr>
            </w:pPr>
            <w:r w:rsidRPr="00185C9E">
              <w:rPr>
                <w:color w:val="000000"/>
                <w:sz w:val="18"/>
                <w:szCs w:val="18"/>
              </w:rPr>
              <w:t>An Additional Change in Creditable Coverage Status</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70F30C4D" w14:textId="77777777" w:rsidR="00185C9E" w:rsidRPr="00185C9E" w:rsidRDefault="00185C9E" w:rsidP="00185C9E">
            <w:pPr>
              <w:widowControl/>
              <w:autoSpaceDE/>
              <w:autoSpaceDN/>
              <w:jc w:val="center"/>
              <w:rPr>
                <w:color w:val="000000"/>
                <w:sz w:val="18"/>
                <w:szCs w:val="18"/>
              </w:rPr>
            </w:pPr>
            <w:r w:rsidRPr="00185C9E">
              <w:rPr>
                <w:color w:val="000000"/>
                <w:sz w:val="18"/>
                <w:szCs w:val="18"/>
              </w:rPr>
              <w:t>87,265</w:t>
            </w:r>
          </w:p>
        </w:tc>
        <w:tc>
          <w:tcPr>
            <w:tcW w:w="1100" w:type="dxa"/>
            <w:tcBorders>
              <w:top w:val="nil"/>
              <w:left w:val="nil"/>
              <w:bottom w:val="single" w:sz="4" w:space="0" w:color="auto"/>
              <w:right w:val="single" w:sz="4" w:space="0" w:color="auto"/>
            </w:tcBorders>
            <w:shd w:val="clear" w:color="auto" w:fill="auto"/>
            <w:vAlign w:val="center"/>
            <w:hideMark/>
          </w:tcPr>
          <w:p w14:paraId="372BDD09" w14:textId="77777777" w:rsidR="00185C9E" w:rsidRPr="00185C9E" w:rsidRDefault="00185C9E" w:rsidP="00185C9E">
            <w:pPr>
              <w:widowControl/>
              <w:autoSpaceDE/>
              <w:autoSpaceDN/>
              <w:jc w:val="center"/>
              <w:rPr>
                <w:color w:val="000000"/>
                <w:sz w:val="18"/>
                <w:szCs w:val="18"/>
              </w:rPr>
            </w:pPr>
            <w:r w:rsidRPr="00185C9E">
              <w:rPr>
                <w:color w:val="000000"/>
                <w:sz w:val="18"/>
                <w:szCs w:val="18"/>
              </w:rPr>
              <w:t>1,500</w:t>
            </w:r>
          </w:p>
        </w:tc>
        <w:tc>
          <w:tcPr>
            <w:tcW w:w="1095" w:type="dxa"/>
            <w:tcBorders>
              <w:top w:val="nil"/>
              <w:left w:val="nil"/>
              <w:bottom w:val="single" w:sz="4" w:space="0" w:color="auto"/>
              <w:right w:val="single" w:sz="4" w:space="0" w:color="auto"/>
            </w:tcBorders>
            <w:shd w:val="clear" w:color="auto" w:fill="auto"/>
            <w:vAlign w:val="center"/>
            <w:hideMark/>
          </w:tcPr>
          <w:p w14:paraId="28CB6DE0" w14:textId="77777777" w:rsidR="00185C9E" w:rsidRPr="00185C9E" w:rsidRDefault="00185C9E" w:rsidP="00185C9E">
            <w:pPr>
              <w:widowControl/>
              <w:autoSpaceDE/>
              <w:autoSpaceDN/>
              <w:jc w:val="center"/>
              <w:rPr>
                <w:color w:val="000000"/>
                <w:sz w:val="18"/>
                <w:szCs w:val="18"/>
              </w:rPr>
            </w:pPr>
            <w:r w:rsidRPr="00185C9E">
              <w:rPr>
                <w:color w:val="000000"/>
                <w:sz w:val="18"/>
                <w:szCs w:val="18"/>
              </w:rPr>
              <w:t>5</w:t>
            </w:r>
          </w:p>
        </w:tc>
        <w:tc>
          <w:tcPr>
            <w:tcW w:w="1089" w:type="dxa"/>
            <w:tcBorders>
              <w:top w:val="nil"/>
              <w:left w:val="nil"/>
              <w:bottom w:val="single" w:sz="4" w:space="0" w:color="auto"/>
              <w:right w:val="single" w:sz="4" w:space="0" w:color="auto"/>
            </w:tcBorders>
            <w:shd w:val="clear" w:color="auto" w:fill="auto"/>
            <w:vAlign w:val="center"/>
            <w:hideMark/>
          </w:tcPr>
          <w:p w14:paraId="1F42E86B" w14:textId="77777777" w:rsidR="00185C9E" w:rsidRPr="00185C9E" w:rsidRDefault="00185C9E" w:rsidP="00185C9E">
            <w:pPr>
              <w:widowControl/>
              <w:autoSpaceDE/>
              <w:autoSpaceDN/>
              <w:jc w:val="center"/>
              <w:rPr>
                <w:color w:val="000000"/>
                <w:sz w:val="18"/>
                <w:szCs w:val="18"/>
              </w:rPr>
            </w:pPr>
            <w:r w:rsidRPr="00185C9E">
              <w:rPr>
                <w:color w:val="000000"/>
                <w:sz w:val="18"/>
                <w:szCs w:val="18"/>
              </w:rPr>
              <w:t>125</w:t>
            </w:r>
          </w:p>
        </w:tc>
        <w:tc>
          <w:tcPr>
            <w:tcW w:w="1084" w:type="dxa"/>
            <w:tcBorders>
              <w:top w:val="nil"/>
              <w:left w:val="nil"/>
              <w:bottom w:val="single" w:sz="4" w:space="0" w:color="auto"/>
              <w:right w:val="single" w:sz="4" w:space="0" w:color="auto"/>
            </w:tcBorders>
            <w:shd w:val="clear" w:color="auto" w:fill="auto"/>
            <w:noWrap/>
            <w:vAlign w:val="center"/>
            <w:hideMark/>
          </w:tcPr>
          <w:p w14:paraId="64DB13A1" w14:textId="77777777" w:rsidR="00185C9E" w:rsidRPr="00185C9E" w:rsidRDefault="00185C9E" w:rsidP="00185C9E">
            <w:pPr>
              <w:widowControl/>
              <w:autoSpaceDE/>
              <w:autoSpaceDN/>
              <w:jc w:val="center"/>
              <w:rPr>
                <w:rFonts w:ascii="Calibri" w:hAnsi="Calibri"/>
                <w:color w:val="000000"/>
                <w:sz w:val="18"/>
                <w:szCs w:val="18"/>
              </w:rPr>
            </w:pPr>
            <w:r w:rsidRPr="00185C9E">
              <w:rPr>
                <w:rFonts w:ascii="Calibri" w:hAnsi="Calibri"/>
                <w:color w:val="000000"/>
                <w:sz w:val="18"/>
                <w:szCs w:val="18"/>
              </w:rPr>
              <w:t>96.22</w:t>
            </w:r>
          </w:p>
        </w:tc>
        <w:tc>
          <w:tcPr>
            <w:tcW w:w="1087" w:type="dxa"/>
            <w:vMerge/>
            <w:tcBorders>
              <w:top w:val="nil"/>
              <w:left w:val="single" w:sz="4" w:space="0" w:color="auto"/>
              <w:bottom w:val="single" w:sz="4" w:space="0" w:color="000000"/>
              <w:right w:val="single" w:sz="4" w:space="0" w:color="auto"/>
            </w:tcBorders>
            <w:vAlign w:val="center"/>
            <w:hideMark/>
          </w:tcPr>
          <w:p w14:paraId="438D019F" w14:textId="77777777" w:rsidR="00185C9E" w:rsidRPr="00185C9E" w:rsidRDefault="00185C9E" w:rsidP="00185C9E">
            <w:pPr>
              <w:widowControl/>
              <w:autoSpaceDE/>
              <w:autoSpaceDN/>
              <w:rPr>
                <w:rFonts w:ascii="Calibri" w:hAnsi="Calibri"/>
                <w:color w:val="000000"/>
                <w:sz w:val="18"/>
                <w:szCs w:val="18"/>
              </w:rPr>
            </w:pPr>
          </w:p>
        </w:tc>
      </w:tr>
      <w:tr w:rsidR="00185C9E" w:rsidRPr="00185C9E" w14:paraId="1FB43BA4" w14:textId="77777777" w:rsidTr="00185C9E">
        <w:trPr>
          <w:trHeight w:val="499"/>
        </w:trPr>
        <w:tc>
          <w:tcPr>
            <w:tcW w:w="1341" w:type="dxa"/>
            <w:vMerge w:val="restart"/>
            <w:tcBorders>
              <w:top w:val="nil"/>
              <w:left w:val="single" w:sz="4" w:space="0" w:color="auto"/>
              <w:bottom w:val="single" w:sz="4" w:space="0" w:color="000000"/>
              <w:right w:val="single" w:sz="4" w:space="0" w:color="auto"/>
            </w:tcBorders>
            <w:shd w:val="clear" w:color="auto" w:fill="auto"/>
            <w:vAlign w:val="center"/>
            <w:hideMark/>
          </w:tcPr>
          <w:p w14:paraId="4C04C2B4" w14:textId="77777777" w:rsidR="00185C9E" w:rsidRPr="00185C9E" w:rsidRDefault="00185C9E" w:rsidP="00185C9E">
            <w:pPr>
              <w:widowControl/>
              <w:autoSpaceDE/>
              <w:autoSpaceDN/>
              <w:rPr>
                <w:b/>
                <w:bCs/>
                <w:color w:val="000000"/>
                <w:sz w:val="18"/>
                <w:szCs w:val="18"/>
              </w:rPr>
            </w:pPr>
            <w:r w:rsidRPr="00185C9E">
              <w:rPr>
                <w:b/>
                <w:bCs/>
                <w:color w:val="000000"/>
                <w:sz w:val="18"/>
                <w:szCs w:val="18"/>
              </w:rPr>
              <w:t>Retiree Drug Plan Sponsors</w:t>
            </w:r>
          </w:p>
        </w:tc>
        <w:tc>
          <w:tcPr>
            <w:tcW w:w="1751" w:type="dxa"/>
            <w:tcBorders>
              <w:top w:val="nil"/>
              <w:left w:val="nil"/>
              <w:bottom w:val="single" w:sz="4" w:space="0" w:color="auto"/>
              <w:right w:val="single" w:sz="4" w:space="0" w:color="auto"/>
            </w:tcBorders>
            <w:shd w:val="clear" w:color="auto" w:fill="auto"/>
            <w:vAlign w:val="center"/>
            <w:hideMark/>
          </w:tcPr>
          <w:p w14:paraId="6DAE49A1" w14:textId="77777777" w:rsidR="00185C9E" w:rsidRPr="00185C9E" w:rsidRDefault="00185C9E" w:rsidP="00185C9E">
            <w:pPr>
              <w:widowControl/>
              <w:autoSpaceDE/>
              <w:autoSpaceDN/>
              <w:rPr>
                <w:color w:val="000000"/>
                <w:sz w:val="18"/>
                <w:szCs w:val="18"/>
              </w:rPr>
            </w:pPr>
            <w:r w:rsidRPr="00185C9E">
              <w:rPr>
                <w:color w:val="000000"/>
                <w:sz w:val="18"/>
                <w:szCs w:val="18"/>
              </w:rPr>
              <w:t>Annual and Initial Notices</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524BA850" w14:textId="77777777" w:rsidR="00185C9E" w:rsidRPr="00185C9E" w:rsidRDefault="00185C9E" w:rsidP="00185C9E">
            <w:pPr>
              <w:widowControl/>
              <w:autoSpaceDE/>
              <w:autoSpaceDN/>
              <w:jc w:val="center"/>
              <w:rPr>
                <w:color w:val="000000"/>
                <w:sz w:val="18"/>
                <w:szCs w:val="18"/>
              </w:rPr>
            </w:pPr>
            <w:r w:rsidRPr="00185C9E">
              <w:rPr>
                <w:color w:val="000000"/>
                <w:sz w:val="18"/>
                <w:szCs w:val="18"/>
              </w:rPr>
              <w:t>9,521</w:t>
            </w:r>
          </w:p>
        </w:tc>
        <w:tc>
          <w:tcPr>
            <w:tcW w:w="1100" w:type="dxa"/>
            <w:tcBorders>
              <w:top w:val="nil"/>
              <w:left w:val="nil"/>
              <w:bottom w:val="single" w:sz="4" w:space="0" w:color="auto"/>
              <w:right w:val="single" w:sz="4" w:space="0" w:color="auto"/>
            </w:tcBorders>
            <w:shd w:val="clear" w:color="auto" w:fill="auto"/>
            <w:vAlign w:val="center"/>
            <w:hideMark/>
          </w:tcPr>
          <w:p w14:paraId="3B84E499" w14:textId="77777777" w:rsidR="00185C9E" w:rsidRPr="00185C9E" w:rsidRDefault="00185C9E" w:rsidP="00185C9E">
            <w:pPr>
              <w:widowControl/>
              <w:autoSpaceDE/>
              <w:autoSpaceDN/>
              <w:jc w:val="center"/>
              <w:rPr>
                <w:color w:val="000000"/>
                <w:sz w:val="18"/>
                <w:szCs w:val="18"/>
              </w:rPr>
            </w:pPr>
            <w:r w:rsidRPr="00185C9E">
              <w:rPr>
                <w:color w:val="000000"/>
                <w:sz w:val="18"/>
                <w:szCs w:val="18"/>
              </w:rPr>
              <w:t>9,521</w:t>
            </w:r>
          </w:p>
        </w:tc>
        <w:tc>
          <w:tcPr>
            <w:tcW w:w="1095" w:type="dxa"/>
            <w:tcBorders>
              <w:top w:val="nil"/>
              <w:left w:val="nil"/>
              <w:bottom w:val="single" w:sz="4" w:space="0" w:color="auto"/>
              <w:right w:val="single" w:sz="4" w:space="0" w:color="auto"/>
            </w:tcBorders>
            <w:shd w:val="clear" w:color="auto" w:fill="auto"/>
            <w:vAlign w:val="center"/>
            <w:hideMark/>
          </w:tcPr>
          <w:p w14:paraId="74428BC2" w14:textId="77777777" w:rsidR="00185C9E" w:rsidRPr="00185C9E" w:rsidRDefault="00185C9E" w:rsidP="00185C9E">
            <w:pPr>
              <w:widowControl/>
              <w:autoSpaceDE/>
              <w:autoSpaceDN/>
              <w:jc w:val="center"/>
              <w:rPr>
                <w:color w:val="000000"/>
                <w:sz w:val="18"/>
                <w:szCs w:val="18"/>
              </w:rPr>
            </w:pPr>
            <w:r w:rsidRPr="00185C9E">
              <w:rPr>
                <w:color w:val="000000"/>
                <w:sz w:val="18"/>
                <w:szCs w:val="18"/>
              </w:rPr>
              <w:t>5</w:t>
            </w:r>
          </w:p>
        </w:tc>
        <w:tc>
          <w:tcPr>
            <w:tcW w:w="1089" w:type="dxa"/>
            <w:tcBorders>
              <w:top w:val="nil"/>
              <w:left w:val="nil"/>
              <w:bottom w:val="single" w:sz="4" w:space="0" w:color="auto"/>
              <w:right w:val="single" w:sz="4" w:space="0" w:color="auto"/>
            </w:tcBorders>
            <w:shd w:val="clear" w:color="auto" w:fill="auto"/>
            <w:vAlign w:val="center"/>
            <w:hideMark/>
          </w:tcPr>
          <w:p w14:paraId="37F88AF0" w14:textId="77777777" w:rsidR="00185C9E" w:rsidRPr="00185C9E" w:rsidRDefault="00185C9E" w:rsidP="00185C9E">
            <w:pPr>
              <w:widowControl/>
              <w:autoSpaceDE/>
              <w:autoSpaceDN/>
              <w:jc w:val="center"/>
              <w:rPr>
                <w:color w:val="000000"/>
                <w:sz w:val="18"/>
                <w:szCs w:val="18"/>
              </w:rPr>
            </w:pPr>
            <w:r w:rsidRPr="00185C9E">
              <w:rPr>
                <w:color w:val="000000"/>
                <w:sz w:val="18"/>
                <w:szCs w:val="18"/>
              </w:rPr>
              <w:t>793.4</w:t>
            </w:r>
          </w:p>
        </w:tc>
        <w:tc>
          <w:tcPr>
            <w:tcW w:w="1084" w:type="dxa"/>
            <w:tcBorders>
              <w:top w:val="nil"/>
              <w:left w:val="nil"/>
              <w:bottom w:val="single" w:sz="4" w:space="0" w:color="auto"/>
              <w:right w:val="single" w:sz="4" w:space="0" w:color="auto"/>
            </w:tcBorders>
            <w:shd w:val="clear" w:color="auto" w:fill="auto"/>
            <w:noWrap/>
            <w:vAlign w:val="center"/>
            <w:hideMark/>
          </w:tcPr>
          <w:p w14:paraId="54F6DD99" w14:textId="77777777" w:rsidR="00185C9E" w:rsidRPr="00185C9E" w:rsidRDefault="00185C9E" w:rsidP="00185C9E">
            <w:pPr>
              <w:widowControl/>
              <w:autoSpaceDE/>
              <w:autoSpaceDN/>
              <w:jc w:val="center"/>
              <w:rPr>
                <w:rFonts w:ascii="Calibri" w:hAnsi="Calibri"/>
                <w:color w:val="000000"/>
                <w:sz w:val="18"/>
                <w:szCs w:val="18"/>
              </w:rPr>
            </w:pPr>
            <w:r w:rsidRPr="00185C9E">
              <w:rPr>
                <w:rFonts w:ascii="Calibri" w:hAnsi="Calibri"/>
                <w:color w:val="000000"/>
                <w:sz w:val="18"/>
                <w:szCs w:val="18"/>
              </w:rPr>
              <w:t>96.22</w:t>
            </w:r>
          </w:p>
        </w:tc>
        <w:tc>
          <w:tcPr>
            <w:tcW w:w="108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A00A34" w14:textId="77777777" w:rsidR="00185C9E" w:rsidRPr="00185C9E" w:rsidRDefault="00185C9E" w:rsidP="00185C9E">
            <w:pPr>
              <w:widowControl/>
              <w:autoSpaceDE/>
              <w:autoSpaceDN/>
              <w:jc w:val="center"/>
              <w:rPr>
                <w:rFonts w:ascii="Calibri" w:hAnsi="Calibri"/>
                <w:color w:val="000000"/>
                <w:sz w:val="18"/>
                <w:szCs w:val="18"/>
              </w:rPr>
            </w:pPr>
            <w:r w:rsidRPr="00185C9E">
              <w:rPr>
                <w:rFonts w:ascii="Calibri" w:hAnsi="Calibri"/>
                <w:color w:val="000000"/>
                <w:sz w:val="18"/>
                <w:szCs w:val="18"/>
              </w:rPr>
              <w:t>77,342</w:t>
            </w:r>
          </w:p>
        </w:tc>
      </w:tr>
      <w:tr w:rsidR="00185C9E" w:rsidRPr="00185C9E" w14:paraId="3B47D745" w14:textId="77777777" w:rsidTr="00185C9E">
        <w:trPr>
          <w:trHeight w:val="702"/>
        </w:trPr>
        <w:tc>
          <w:tcPr>
            <w:tcW w:w="1341" w:type="dxa"/>
            <w:vMerge/>
            <w:tcBorders>
              <w:top w:val="nil"/>
              <w:left w:val="single" w:sz="4" w:space="0" w:color="auto"/>
              <w:bottom w:val="single" w:sz="4" w:space="0" w:color="000000"/>
              <w:right w:val="single" w:sz="4" w:space="0" w:color="auto"/>
            </w:tcBorders>
            <w:vAlign w:val="center"/>
            <w:hideMark/>
          </w:tcPr>
          <w:p w14:paraId="6060D8BE" w14:textId="77777777" w:rsidR="00185C9E" w:rsidRPr="00185C9E" w:rsidRDefault="00185C9E" w:rsidP="00185C9E">
            <w:pPr>
              <w:widowControl/>
              <w:autoSpaceDE/>
              <w:autoSpaceDN/>
              <w:rPr>
                <w:b/>
                <w:bCs/>
                <w:color w:val="000000"/>
                <w:sz w:val="18"/>
                <w:szCs w:val="18"/>
              </w:rPr>
            </w:pPr>
          </w:p>
        </w:tc>
        <w:tc>
          <w:tcPr>
            <w:tcW w:w="1751" w:type="dxa"/>
            <w:tcBorders>
              <w:top w:val="nil"/>
              <w:left w:val="nil"/>
              <w:bottom w:val="single" w:sz="4" w:space="0" w:color="auto"/>
              <w:right w:val="single" w:sz="4" w:space="0" w:color="auto"/>
            </w:tcBorders>
            <w:shd w:val="clear" w:color="auto" w:fill="auto"/>
            <w:vAlign w:val="center"/>
            <w:hideMark/>
          </w:tcPr>
          <w:p w14:paraId="7E67ECE0" w14:textId="77777777" w:rsidR="00185C9E" w:rsidRPr="00185C9E" w:rsidRDefault="00185C9E" w:rsidP="00185C9E">
            <w:pPr>
              <w:widowControl/>
              <w:autoSpaceDE/>
              <w:autoSpaceDN/>
              <w:rPr>
                <w:color w:val="000000"/>
                <w:sz w:val="18"/>
                <w:szCs w:val="18"/>
              </w:rPr>
            </w:pPr>
            <w:r w:rsidRPr="00185C9E">
              <w:rPr>
                <w:color w:val="000000"/>
                <w:sz w:val="18"/>
                <w:szCs w:val="18"/>
              </w:rPr>
              <w:t>An Additional Change in Creditable Coverage Status</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73F7573D" w14:textId="77777777" w:rsidR="00185C9E" w:rsidRPr="00185C9E" w:rsidRDefault="00185C9E" w:rsidP="00185C9E">
            <w:pPr>
              <w:widowControl/>
              <w:autoSpaceDE/>
              <w:autoSpaceDN/>
              <w:jc w:val="center"/>
              <w:rPr>
                <w:color w:val="000000"/>
                <w:sz w:val="18"/>
                <w:szCs w:val="18"/>
              </w:rPr>
            </w:pPr>
            <w:r w:rsidRPr="00185C9E">
              <w:rPr>
                <w:color w:val="000000"/>
                <w:sz w:val="18"/>
                <w:szCs w:val="18"/>
              </w:rPr>
              <w:t>9,521</w:t>
            </w:r>
          </w:p>
        </w:tc>
        <w:tc>
          <w:tcPr>
            <w:tcW w:w="1100" w:type="dxa"/>
            <w:tcBorders>
              <w:top w:val="nil"/>
              <w:left w:val="nil"/>
              <w:bottom w:val="single" w:sz="4" w:space="0" w:color="auto"/>
              <w:right w:val="single" w:sz="4" w:space="0" w:color="auto"/>
            </w:tcBorders>
            <w:shd w:val="clear" w:color="auto" w:fill="auto"/>
            <w:vAlign w:val="center"/>
            <w:hideMark/>
          </w:tcPr>
          <w:p w14:paraId="72DAC7C0" w14:textId="77777777" w:rsidR="00185C9E" w:rsidRPr="00185C9E" w:rsidRDefault="00185C9E" w:rsidP="00185C9E">
            <w:pPr>
              <w:widowControl/>
              <w:autoSpaceDE/>
              <w:autoSpaceDN/>
              <w:jc w:val="center"/>
              <w:rPr>
                <w:color w:val="000000"/>
                <w:sz w:val="18"/>
                <w:szCs w:val="18"/>
              </w:rPr>
            </w:pPr>
            <w:r w:rsidRPr="00185C9E">
              <w:rPr>
                <w:color w:val="000000"/>
                <w:sz w:val="18"/>
                <w:szCs w:val="18"/>
              </w:rPr>
              <w:t>130</w:t>
            </w:r>
          </w:p>
        </w:tc>
        <w:tc>
          <w:tcPr>
            <w:tcW w:w="1095" w:type="dxa"/>
            <w:tcBorders>
              <w:top w:val="nil"/>
              <w:left w:val="nil"/>
              <w:bottom w:val="single" w:sz="4" w:space="0" w:color="auto"/>
              <w:right w:val="single" w:sz="4" w:space="0" w:color="auto"/>
            </w:tcBorders>
            <w:shd w:val="clear" w:color="auto" w:fill="auto"/>
            <w:vAlign w:val="center"/>
            <w:hideMark/>
          </w:tcPr>
          <w:p w14:paraId="4E2E160C" w14:textId="77777777" w:rsidR="00185C9E" w:rsidRPr="00185C9E" w:rsidRDefault="00185C9E" w:rsidP="00185C9E">
            <w:pPr>
              <w:widowControl/>
              <w:autoSpaceDE/>
              <w:autoSpaceDN/>
              <w:jc w:val="center"/>
              <w:rPr>
                <w:color w:val="000000"/>
                <w:sz w:val="18"/>
                <w:szCs w:val="18"/>
              </w:rPr>
            </w:pPr>
            <w:r w:rsidRPr="00185C9E">
              <w:rPr>
                <w:color w:val="000000"/>
                <w:sz w:val="18"/>
                <w:szCs w:val="18"/>
              </w:rPr>
              <w:t>5</w:t>
            </w:r>
          </w:p>
        </w:tc>
        <w:tc>
          <w:tcPr>
            <w:tcW w:w="1089" w:type="dxa"/>
            <w:tcBorders>
              <w:top w:val="nil"/>
              <w:left w:val="nil"/>
              <w:bottom w:val="single" w:sz="4" w:space="0" w:color="auto"/>
              <w:right w:val="single" w:sz="4" w:space="0" w:color="auto"/>
            </w:tcBorders>
            <w:shd w:val="clear" w:color="auto" w:fill="auto"/>
            <w:vAlign w:val="center"/>
            <w:hideMark/>
          </w:tcPr>
          <w:p w14:paraId="5910A998" w14:textId="77777777" w:rsidR="00185C9E" w:rsidRPr="00185C9E" w:rsidRDefault="00185C9E" w:rsidP="00185C9E">
            <w:pPr>
              <w:widowControl/>
              <w:autoSpaceDE/>
              <w:autoSpaceDN/>
              <w:jc w:val="center"/>
              <w:rPr>
                <w:color w:val="000000"/>
                <w:sz w:val="18"/>
                <w:szCs w:val="18"/>
              </w:rPr>
            </w:pPr>
            <w:r w:rsidRPr="00185C9E">
              <w:rPr>
                <w:color w:val="000000"/>
                <w:sz w:val="18"/>
                <w:szCs w:val="18"/>
              </w:rPr>
              <w:t>10.8</w:t>
            </w:r>
          </w:p>
        </w:tc>
        <w:tc>
          <w:tcPr>
            <w:tcW w:w="1084" w:type="dxa"/>
            <w:tcBorders>
              <w:top w:val="nil"/>
              <w:left w:val="nil"/>
              <w:bottom w:val="single" w:sz="4" w:space="0" w:color="auto"/>
              <w:right w:val="single" w:sz="4" w:space="0" w:color="auto"/>
            </w:tcBorders>
            <w:shd w:val="clear" w:color="auto" w:fill="auto"/>
            <w:noWrap/>
            <w:vAlign w:val="center"/>
            <w:hideMark/>
          </w:tcPr>
          <w:p w14:paraId="6F4700E3" w14:textId="77777777" w:rsidR="00185C9E" w:rsidRPr="00185C9E" w:rsidRDefault="00185C9E" w:rsidP="00185C9E">
            <w:pPr>
              <w:widowControl/>
              <w:autoSpaceDE/>
              <w:autoSpaceDN/>
              <w:jc w:val="center"/>
              <w:rPr>
                <w:rFonts w:ascii="Calibri" w:hAnsi="Calibri"/>
                <w:color w:val="000000"/>
                <w:sz w:val="18"/>
                <w:szCs w:val="18"/>
              </w:rPr>
            </w:pPr>
            <w:r w:rsidRPr="00185C9E">
              <w:rPr>
                <w:rFonts w:ascii="Calibri" w:hAnsi="Calibri"/>
                <w:color w:val="000000"/>
                <w:sz w:val="18"/>
                <w:szCs w:val="18"/>
              </w:rPr>
              <w:t>96.22</w:t>
            </w:r>
          </w:p>
        </w:tc>
        <w:tc>
          <w:tcPr>
            <w:tcW w:w="1087" w:type="dxa"/>
            <w:vMerge/>
            <w:tcBorders>
              <w:top w:val="nil"/>
              <w:left w:val="single" w:sz="4" w:space="0" w:color="auto"/>
              <w:bottom w:val="single" w:sz="4" w:space="0" w:color="000000"/>
              <w:right w:val="single" w:sz="4" w:space="0" w:color="auto"/>
            </w:tcBorders>
            <w:vAlign w:val="center"/>
            <w:hideMark/>
          </w:tcPr>
          <w:p w14:paraId="11F9E80C" w14:textId="77777777" w:rsidR="00185C9E" w:rsidRPr="00185C9E" w:rsidRDefault="00185C9E" w:rsidP="00185C9E">
            <w:pPr>
              <w:widowControl/>
              <w:autoSpaceDE/>
              <w:autoSpaceDN/>
              <w:rPr>
                <w:rFonts w:ascii="Calibri" w:hAnsi="Calibri"/>
                <w:color w:val="000000"/>
                <w:sz w:val="18"/>
                <w:szCs w:val="18"/>
              </w:rPr>
            </w:pPr>
          </w:p>
        </w:tc>
      </w:tr>
      <w:tr w:rsidR="00185C9E" w:rsidRPr="00185C9E" w14:paraId="3D035979" w14:textId="77777777" w:rsidTr="00185C9E">
        <w:trPr>
          <w:trHeight w:val="499"/>
        </w:trPr>
        <w:tc>
          <w:tcPr>
            <w:tcW w:w="1341" w:type="dxa"/>
            <w:vMerge w:val="restart"/>
            <w:tcBorders>
              <w:top w:val="nil"/>
              <w:left w:val="single" w:sz="4" w:space="0" w:color="auto"/>
              <w:bottom w:val="single" w:sz="4" w:space="0" w:color="000000"/>
              <w:right w:val="single" w:sz="4" w:space="0" w:color="auto"/>
            </w:tcBorders>
            <w:shd w:val="clear" w:color="auto" w:fill="auto"/>
            <w:vAlign w:val="center"/>
            <w:hideMark/>
          </w:tcPr>
          <w:p w14:paraId="4E1A53C6" w14:textId="77777777" w:rsidR="00185C9E" w:rsidRPr="00185C9E" w:rsidRDefault="00185C9E" w:rsidP="00185C9E">
            <w:pPr>
              <w:widowControl/>
              <w:autoSpaceDE/>
              <w:autoSpaceDN/>
              <w:rPr>
                <w:b/>
                <w:bCs/>
                <w:color w:val="000000"/>
                <w:sz w:val="18"/>
                <w:szCs w:val="18"/>
              </w:rPr>
            </w:pPr>
            <w:r w:rsidRPr="00185C9E">
              <w:rPr>
                <w:b/>
                <w:bCs/>
                <w:color w:val="000000"/>
                <w:sz w:val="18"/>
                <w:szCs w:val="18"/>
              </w:rPr>
              <w:t>Medigap Issuers</w:t>
            </w:r>
          </w:p>
        </w:tc>
        <w:tc>
          <w:tcPr>
            <w:tcW w:w="1751" w:type="dxa"/>
            <w:tcBorders>
              <w:top w:val="nil"/>
              <w:left w:val="nil"/>
              <w:bottom w:val="single" w:sz="4" w:space="0" w:color="auto"/>
              <w:right w:val="single" w:sz="4" w:space="0" w:color="auto"/>
            </w:tcBorders>
            <w:shd w:val="clear" w:color="auto" w:fill="auto"/>
            <w:vAlign w:val="center"/>
            <w:hideMark/>
          </w:tcPr>
          <w:p w14:paraId="630CA75F" w14:textId="77777777" w:rsidR="00185C9E" w:rsidRPr="00185C9E" w:rsidRDefault="00185C9E" w:rsidP="00185C9E">
            <w:pPr>
              <w:widowControl/>
              <w:autoSpaceDE/>
              <w:autoSpaceDN/>
              <w:rPr>
                <w:color w:val="000000"/>
                <w:sz w:val="18"/>
                <w:szCs w:val="18"/>
              </w:rPr>
            </w:pPr>
            <w:r w:rsidRPr="00185C9E">
              <w:rPr>
                <w:color w:val="000000"/>
                <w:sz w:val="18"/>
                <w:szCs w:val="18"/>
              </w:rPr>
              <w:t>Annual and Initial Notices</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777DDC8C" w14:textId="77777777" w:rsidR="00185C9E" w:rsidRPr="00185C9E" w:rsidRDefault="00185C9E" w:rsidP="00185C9E">
            <w:pPr>
              <w:widowControl/>
              <w:autoSpaceDE/>
              <w:autoSpaceDN/>
              <w:jc w:val="center"/>
              <w:rPr>
                <w:color w:val="000000"/>
                <w:sz w:val="18"/>
                <w:szCs w:val="18"/>
              </w:rPr>
            </w:pPr>
            <w:r w:rsidRPr="00185C9E">
              <w:rPr>
                <w:color w:val="000000"/>
                <w:sz w:val="18"/>
                <w:szCs w:val="18"/>
              </w:rPr>
              <w:t>204</w:t>
            </w:r>
          </w:p>
        </w:tc>
        <w:tc>
          <w:tcPr>
            <w:tcW w:w="1100" w:type="dxa"/>
            <w:tcBorders>
              <w:top w:val="nil"/>
              <w:left w:val="nil"/>
              <w:bottom w:val="single" w:sz="4" w:space="0" w:color="auto"/>
              <w:right w:val="single" w:sz="4" w:space="0" w:color="auto"/>
            </w:tcBorders>
            <w:shd w:val="clear" w:color="auto" w:fill="auto"/>
            <w:vAlign w:val="center"/>
            <w:hideMark/>
          </w:tcPr>
          <w:p w14:paraId="3282DC6C" w14:textId="77777777" w:rsidR="00185C9E" w:rsidRPr="00185C9E" w:rsidRDefault="00185C9E" w:rsidP="00185C9E">
            <w:pPr>
              <w:widowControl/>
              <w:autoSpaceDE/>
              <w:autoSpaceDN/>
              <w:jc w:val="center"/>
              <w:rPr>
                <w:color w:val="000000"/>
                <w:sz w:val="18"/>
                <w:szCs w:val="18"/>
              </w:rPr>
            </w:pPr>
            <w:r w:rsidRPr="00185C9E">
              <w:rPr>
                <w:color w:val="000000"/>
                <w:sz w:val="18"/>
                <w:szCs w:val="18"/>
              </w:rPr>
              <w:t>204</w:t>
            </w:r>
          </w:p>
        </w:tc>
        <w:tc>
          <w:tcPr>
            <w:tcW w:w="1095" w:type="dxa"/>
            <w:tcBorders>
              <w:top w:val="nil"/>
              <w:left w:val="nil"/>
              <w:bottom w:val="single" w:sz="4" w:space="0" w:color="auto"/>
              <w:right w:val="single" w:sz="4" w:space="0" w:color="auto"/>
            </w:tcBorders>
            <w:shd w:val="clear" w:color="auto" w:fill="auto"/>
            <w:vAlign w:val="center"/>
            <w:hideMark/>
          </w:tcPr>
          <w:p w14:paraId="614EF4EC" w14:textId="77777777" w:rsidR="00185C9E" w:rsidRPr="00185C9E" w:rsidRDefault="00185C9E" w:rsidP="00185C9E">
            <w:pPr>
              <w:widowControl/>
              <w:autoSpaceDE/>
              <w:autoSpaceDN/>
              <w:jc w:val="center"/>
              <w:rPr>
                <w:color w:val="000000"/>
                <w:sz w:val="18"/>
                <w:szCs w:val="18"/>
              </w:rPr>
            </w:pPr>
            <w:r w:rsidRPr="00185C9E">
              <w:rPr>
                <w:color w:val="000000"/>
                <w:sz w:val="18"/>
                <w:szCs w:val="18"/>
              </w:rPr>
              <w:t>5</w:t>
            </w:r>
          </w:p>
        </w:tc>
        <w:tc>
          <w:tcPr>
            <w:tcW w:w="1089" w:type="dxa"/>
            <w:tcBorders>
              <w:top w:val="nil"/>
              <w:left w:val="nil"/>
              <w:bottom w:val="single" w:sz="4" w:space="0" w:color="auto"/>
              <w:right w:val="single" w:sz="4" w:space="0" w:color="auto"/>
            </w:tcBorders>
            <w:shd w:val="clear" w:color="auto" w:fill="auto"/>
            <w:vAlign w:val="center"/>
            <w:hideMark/>
          </w:tcPr>
          <w:p w14:paraId="2D16EBD6" w14:textId="77777777" w:rsidR="00185C9E" w:rsidRPr="00185C9E" w:rsidRDefault="00185C9E" w:rsidP="00185C9E">
            <w:pPr>
              <w:widowControl/>
              <w:autoSpaceDE/>
              <w:autoSpaceDN/>
              <w:jc w:val="center"/>
              <w:rPr>
                <w:color w:val="000000"/>
                <w:sz w:val="18"/>
                <w:szCs w:val="18"/>
              </w:rPr>
            </w:pPr>
            <w:r w:rsidRPr="00185C9E">
              <w:rPr>
                <w:color w:val="000000"/>
                <w:sz w:val="18"/>
                <w:szCs w:val="18"/>
              </w:rPr>
              <w:t>17</w:t>
            </w:r>
          </w:p>
        </w:tc>
        <w:tc>
          <w:tcPr>
            <w:tcW w:w="1084" w:type="dxa"/>
            <w:tcBorders>
              <w:top w:val="nil"/>
              <w:left w:val="nil"/>
              <w:bottom w:val="single" w:sz="4" w:space="0" w:color="auto"/>
              <w:right w:val="single" w:sz="4" w:space="0" w:color="auto"/>
            </w:tcBorders>
            <w:shd w:val="clear" w:color="auto" w:fill="auto"/>
            <w:noWrap/>
            <w:vAlign w:val="center"/>
            <w:hideMark/>
          </w:tcPr>
          <w:p w14:paraId="63622C02" w14:textId="77777777" w:rsidR="00185C9E" w:rsidRPr="00185C9E" w:rsidRDefault="00185C9E" w:rsidP="00185C9E">
            <w:pPr>
              <w:widowControl/>
              <w:autoSpaceDE/>
              <w:autoSpaceDN/>
              <w:jc w:val="center"/>
              <w:rPr>
                <w:rFonts w:ascii="Calibri" w:hAnsi="Calibri"/>
                <w:color w:val="000000"/>
                <w:sz w:val="18"/>
                <w:szCs w:val="18"/>
              </w:rPr>
            </w:pPr>
            <w:r w:rsidRPr="00185C9E">
              <w:rPr>
                <w:rFonts w:ascii="Calibri" w:hAnsi="Calibri"/>
                <w:color w:val="000000"/>
                <w:sz w:val="18"/>
                <w:szCs w:val="18"/>
              </w:rPr>
              <w:t>96.22</w:t>
            </w:r>
          </w:p>
        </w:tc>
        <w:tc>
          <w:tcPr>
            <w:tcW w:w="108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3F3C91" w14:textId="77777777" w:rsidR="00185C9E" w:rsidRPr="00185C9E" w:rsidRDefault="00185C9E" w:rsidP="00185C9E">
            <w:pPr>
              <w:widowControl/>
              <w:autoSpaceDE/>
              <w:autoSpaceDN/>
              <w:jc w:val="center"/>
              <w:rPr>
                <w:rFonts w:ascii="Calibri" w:hAnsi="Calibri"/>
                <w:color w:val="000000"/>
                <w:sz w:val="18"/>
                <w:szCs w:val="18"/>
              </w:rPr>
            </w:pPr>
            <w:r w:rsidRPr="00185C9E">
              <w:rPr>
                <w:rFonts w:ascii="Calibri" w:hAnsi="Calibri"/>
                <w:color w:val="000000"/>
                <w:sz w:val="18"/>
                <w:szCs w:val="18"/>
              </w:rPr>
              <w:t>1,636</w:t>
            </w:r>
          </w:p>
        </w:tc>
      </w:tr>
      <w:tr w:rsidR="00185C9E" w:rsidRPr="00185C9E" w14:paraId="3C09D772" w14:textId="77777777" w:rsidTr="00185C9E">
        <w:trPr>
          <w:trHeight w:val="702"/>
        </w:trPr>
        <w:tc>
          <w:tcPr>
            <w:tcW w:w="1341" w:type="dxa"/>
            <w:vMerge/>
            <w:tcBorders>
              <w:top w:val="nil"/>
              <w:left w:val="single" w:sz="4" w:space="0" w:color="auto"/>
              <w:bottom w:val="single" w:sz="4" w:space="0" w:color="000000"/>
              <w:right w:val="single" w:sz="4" w:space="0" w:color="auto"/>
            </w:tcBorders>
            <w:vAlign w:val="center"/>
            <w:hideMark/>
          </w:tcPr>
          <w:p w14:paraId="448C45C8" w14:textId="77777777" w:rsidR="00185C9E" w:rsidRPr="00185C9E" w:rsidRDefault="00185C9E" w:rsidP="00185C9E">
            <w:pPr>
              <w:widowControl/>
              <w:autoSpaceDE/>
              <w:autoSpaceDN/>
              <w:rPr>
                <w:b/>
                <w:bCs/>
                <w:color w:val="000000"/>
                <w:sz w:val="18"/>
                <w:szCs w:val="18"/>
              </w:rPr>
            </w:pPr>
          </w:p>
        </w:tc>
        <w:tc>
          <w:tcPr>
            <w:tcW w:w="1751" w:type="dxa"/>
            <w:tcBorders>
              <w:top w:val="nil"/>
              <w:left w:val="nil"/>
              <w:bottom w:val="single" w:sz="4" w:space="0" w:color="auto"/>
              <w:right w:val="single" w:sz="4" w:space="0" w:color="auto"/>
            </w:tcBorders>
            <w:shd w:val="clear" w:color="auto" w:fill="auto"/>
            <w:vAlign w:val="center"/>
            <w:hideMark/>
          </w:tcPr>
          <w:p w14:paraId="545DE6CB" w14:textId="77777777" w:rsidR="00185C9E" w:rsidRPr="00185C9E" w:rsidRDefault="00185C9E" w:rsidP="00185C9E">
            <w:pPr>
              <w:widowControl/>
              <w:autoSpaceDE/>
              <w:autoSpaceDN/>
              <w:rPr>
                <w:color w:val="000000"/>
                <w:sz w:val="18"/>
                <w:szCs w:val="18"/>
              </w:rPr>
            </w:pPr>
            <w:r w:rsidRPr="00185C9E">
              <w:rPr>
                <w:color w:val="000000"/>
                <w:sz w:val="18"/>
                <w:szCs w:val="18"/>
              </w:rPr>
              <w:t>An Additional Change in Creditable Coverage Status</w:t>
            </w:r>
          </w:p>
        </w:tc>
        <w:tc>
          <w:tcPr>
            <w:tcW w:w="1113" w:type="dxa"/>
            <w:tcBorders>
              <w:top w:val="nil"/>
              <w:left w:val="nil"/>
              <w:bottom w:val="single" w:sz="4" w:space="0" w:color="auto"/>
              <w:right w:val="single" w:sz="4" w:space="0" w:color="auto"/>
            </w:tcBorders>
            <w:shd w:val="clear" w:color="auto" w:fill="auto"/>
            <w:vAlign w:val="center"/>
            <w:hideMark/>
          </w:tcPr>
          <w:p w14:paraId="316BCB1F" w14:textId="77777777" w:rsidR="00185C9E" w:rsidRPr="00185C9E" w:rsidRDefault="00185C9E" w:rsidP="00185C9E">
            <w:pPr>
              <w:widowControl/>
              <w:autoSpaceDE/>
              <w:autoSpaceDN/>
              <w:jc w:val="center"/>
              <w:rPr>
                <w:color w:val="000000"/>
                <w:sz w:val="18"/>
                <w:szCs w:val="18"/>
              </w:rPr>
            </w:pPr>
            <w:r w:rsidRPr="00185C9E">
              <w:rPr>
                <w:color w:val="000000"/>
                <w:sz w:val="18"/>
                <w:szCs w:val="18"/>
              </w:rPr>
              <w:t>0</w:t>
            </w:r>
          </w:p>
        </w:tc>
        <w:tc>
          <w:tcPr>
            <w:tcW w:w="1100" w:type="dxa"/>
            <w:tcBorders>
              <w:top w:val="nil"/>
              <w:left w:val="nil"/>
              <w:bottom w:val="single" w:sz="4" w:space="0" w:color="auto"/>
              <w:right w:val="single" w:sz="4" w:space="0" w:color="auto"/>
            </w:tcBorders>
            <w:shd w:val="clear" w:color="auto" w:fill="auto"/>
            <w:vAlign w:val="center"/>
            <w:hideMark/>
          </w:tcPr>
          <w:p w14:paraId="0F5C21C8" w14:textId="77777777" w:rsidR="00185C9E" w:rsidRPr="00185C9E" w:rsidRDefault="00185C9E" w:rsidP="00185C9E">
            <w:pPr>
              <w:widowControl/>
              <w:autoSpaceDE/>
              <w:autoSpaceDN/>
              <w:jc w:val="center"/>
              <w:rPr>
                <w:color w:val="000000"/>
                <w:sz w:val="18"/>
                <w:szCs w:val="18"/>
              </w:rPr>
            </w:pPr>
            <w:r w:rsidRPr="00185C9E">
              <w:rPr>
                <w:color w:val="000000"/>
                <w:sz w:val="18"/>
                <w:szCs w:val="18"/>
              </w:rPr>
              <w:t>0</w:t>
            </w:r>
          </w:p>
        </w:tc>
        <w:tc>
          <w:tcPr>
            <w:tcW w:w="1095" w:type="dxa"/>
            <w:tcBorders>
              <w:top w:val="nil"/>
              <w:left w:val="nil"/>
              <w:bottom w:val="single" w:sz="4" w:space="0" w:color="auto"/>
              <w:right w:val="single" w:sz="4" w:space="0" w:color="auto"/>
            </w:tcBorders>
            <w:shd w:val="clear" w:color="auto" w:fill="auto"/>
            <w:vAlign w:val="center"/>
            <w:hideMark/>
          </w:tcPr>
          <w:p w14:paraId="5C88AE00" w14:textId="77777777" w:rsidR="00185C9E" w:rsidRPr="00185C9E" w:rsidRDefault="00185C9E" w:rsidP="00185C9E">
            <w:pPr>
              <w:widowControl/>
              <w:autoSpaceDE/>
              <w:autoSpaceDN/>
              <w:jc w:val="center"/>
              <w:rPr>
                <w:color w:val="000000"/>
                <w:sz w:val="18"/>
                <w:szCs w:val="18"/>
              </w:rPr>
            </w:pPr>
            <w:r w:rsidRPr="00185C9E">
              <w:rPr>
                <w:color w:val="000000"/>
                <w:sz w:val="18"/>
                <w:szCs w:val="18"/>
              </w:rPr>
              <w:t>0</w:t>
            </w:r>
          </w:p>
        </w:tc>
        <w:tc>
          <w:tcPr>
            <w:tcW w:w="1089" w:type="dxa"/>
            <w:tcBorders>
              <w:top w:val="nil"/>
              <w:left w:val="nil"/>
              <w:bottom w:val="single" w:sz="4" w:space="0" w:color="auto"/>
              <w:right w:val="single" w:sz="4" w:space="0" w:color="auto"/>
            </w:tcBorders>
            <w:shd w:val="clear" w:color="auto" w:fill="auto"/>
            <w:vAlign w:val="center"/>
            <w:hideMark/>
          </w:tcPr>
          <w:p w14:paraId="0288269F" w14:textId="77777777" w:rsidR="00185C9E" w:rsidRPr="00185C9E" w:rsidRDefault="00185C9E" w:rsidP="00185C9E">
            <w:pPr>
              <w:widowControl/>
              <w:autoSpaceDE/>
              <w:autoSpaceDN/>
              <w:jc w:val="center"/>
              <w:rPr>
                <w:color w:val="000000"/>
                <w:sz w:val="18"/>
                <w:szCs w:val="18"/>
              </w:rPr>
            </w:pPr>
            <w:r w:rsidRPr="00185C9E">
              <w:rPr>
                <w:color w:val="000000"/>
                <w:sz w:val="18"/>
                <w:szCs w:val="18"/>
              </w:rPr>
              <w:t>0</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14:paraId="3C3E5576" w14:textId="77777777" w:rsidR="00185C9E" w:rsidRPr="00185C9E" w:rsidRDefault="00185C9E" w:rsidP="00185C9E">
            <w:pPr>
              <w:widowControl/>
              <w:autoSpaceDE/>
              <w:autoSpaceDN/>
              <w:jc w:val="center"/>
              <w:rPr>
                <w:rFonts w:ascii="Calibri" w:hAnsi="Calibri"/>
                <w:color w:val="000000"/>
                <w:sz w:val="18"/>
                <w:szCs w:val="18"/>
              </w:rPr>
            </w:pPr>
            <w:r w:rsidRPr="00185C9E">
              <w:rPr>
                <w:rFonts w:ascii="Calibri" w:hAnsi="Calibri"/>
                <w:color w:val="000000"/>
                <w:sz w:val="18"/>
                <w:szCs w:val="18"/>
              </w:rPr>
              <w:t>96.22</w:t>
            </w:r>
          </w:p>
        </w:tc>
        <w:tc>
          <w:tcPr>
            <w:tcW w:w="1087" w:type="dxa"/>
            <w:vMerge/>
            <w:tcBorders>
              <w:top w:val="nil"/>
              <w:left w:val="single" w:sz="4" w:space="0" w:color="auto"/>
              <w:bottom w:val="single" w:sz="4" w:space="0" w:color="000000"/>
              <w:right w:val="single" w:sz="4" w:space="0" w:color="auto"/>
            </w:tcBorders>
            <w:vAlign w:val="center"/>
            <w:hideMark/>
          </w:tcPr>
          <w:p w14:paraId="3E617672" w14:textId="77777777" w:rsidR="00185C9E" w:rsidRPr="00185C9E" w:rsidRDefault="00185C9E" w:rsidP="00185C9E">
            <w:pPr>
              <w:widowControl/>
              <w:autoSpaceDE/>
              <w:autoSpaceDN/>
              <w:rPr>
                <w:rFonts w:ascii="Calibri" w:hAnsi="Calibri"/>
                <w:color w:val="000000"/>
                <w:sz w:val="18"/>
                <w:szCs w:val="18"/>
              </w:rPr>
            </w:pPr>
          </w:p>
        </w:tc>
      </w:tr>
      <w:tr w:rsidR="00185C9E" w:rsidRPr="00185C9E" w14:paraId="1FAE667A" w14:textId="77777777" w:rsidTr="00185C9E">
        <w:trPr>
          <w:trHeight w:val="499"/>
        </w:trPr>
        <w:tc>
          <w:tcPr>
            <w:tcW w:w="1341" w:type="dxa"/>
            <w:vMerge w:val="restart"/>
            <w:tcBorders>
              <w:top w:val="nil"/>
              <w:left w:val="single" w:sz="4" w:space="0" w:color="auto"/>
              <w:bottom w:val="single" w:sz="4" w:space="0" w:color="000000"/>
              <w:right w:val="single" w:sz="4" w:space="0" w:color="auto"/>
            </w:tcBorders>
            <w:shd w:val="clear" w:color="auto" w:fill="auto"/>
            <w:vAlign w:val="center"/>
            <w:hideMark/>
          </w:tcPr>
          <w:p w14:paraId="609AF6B2" w14:textId="77777777" w:rsidR="00185C9E" w:rsidRPr="00185C9E" w:rsidRDefault="00185C9E" w:rsidP="00185C9E">
            <w:pPr>
              <w:widowControl/>
              <w:autoSpaceDE/>
              <w:autoSpaceDN/>
              <w:rPr>
                <w:b/>
                <w:bCs/>
                <w:color w:val="000000"/>
                <w:sz w:val="18"/>
                <w:szCs w:val="18"/>
              </w:rPr>
            </w:pPr>
            <w:r w:rsidRPr="00185C9E">
              <w:rPr>
                <w:b/>
                <w:bCs/>
                <w:color w:val="000000"/>
                <w:sz w:val="18"/>
                <w:szCs w:val="18"/>
              </w:rPr>
              <w:t>State Pharmacy Plus Programs</w:t>
            </w:r>
          </w:p>
        </w:tc>
        <w:tc>
          <w:tcPr>
            <w:tcW w:w="1751" w:type="dxa"/>
            <w:tcBorders>
              <w:top w:val="nil"/>
              <w:left w:val="nil"/>
              <w:bottom w:val="single" w:sz="4" w:space="0" w:color="auto"/>
              <w:right w:val="single" w:sz="4" w:space="0" w:color="auto"/>
            </w:tcBorders>
            <w:shd w:val="clear" w:color="auto" w:fill="auto"/>
            <w:vAlign w:val="center"/>
            <w:hideMark/>
          </w:tcPr>
          <w:p w14:paraId="33F6F30A" w14:textId="77777777" w:rsidR="00185C9E" w:rsidRPr="00185C9E" w:rsidRDefault="00185C9E" w:rsidP="00185C9E">
            <w:pPr>
              <w:widowControl/>
              <w:autoSpaceDE/>
              <w:autoSpaceDN/>
              <w:rPr>
                <w:color w:val="000000"/>
                <w:sz w:val="18"/>
                <w:szCs w:val="18"/>
              </w:rPr>
            </w:pPr>
            <w:r w:rsidRPr="00185C9E">
              <w:rPr>
                <w:color w:val="000000"/>
                <w:sz w:val="18"/>
                <w:szCs w:val="18"/>
              </w:rPr>
              <w:t>Annual and Initial Notices</w:t>
            </w:r>
          </w:p>
        </w:tc>
        <w:tc>
          <w:tcPr>
            <w:tcW w:w="1113" w:type="dxa"/>
            <w:tcBorders>
              <w:top w:val="nil"/>
              <w:left w:val="nil"/>
              <w:bottom w:val="single" w:sz="4" w:space="0" w:color="auto"/>
              <w:right w:val="single" w:sz="4" w:space="0" w:color="auto"/>
            </w:tcBorders>
            <w:shd w:val="clear" w:color="auto" w:fill="auto"/>
            <w:vAlign w:val="center"/>
            <w:hideMark/>
          </w:tcPr>
          <w:p w14:paraId="23D6A173" w14:textId="77777777" w:rsidR="00185C9E" w:rsidRPr="00185C9E" w:rsidRDefault="00185C9E" w:rsidP="00185C9E">
            <w:pPr>
              <w:widowControl/>
              <w:autoSpaceDE/>
              <w:autoSpaceDN/>
              <w:jc w:val="center"/>
              <w:rPr>
                <w:color w:val="000000"/>
                <w:sz w:val="18"/>
                <w:szCs w:val="18"/>
              </w:rPr>
            </w:pPr>
            <w:r w:rsidRPr="00185C9E">
              <w:rPr>
                <w:color w:val="000000"/>
                <w:sz w:val="18"/>
                <w:szCs w:val="18"/>
              </w:rPr>
              <w:t>10</w:t>
            </w:r>
          </w:p>
        </w:tc>
        <w:tc>
          <w:tcPr>
            <w:tcW w:w="1100" w:type="dxa"/>
            <w:tcBorders>
              <w:top w:val="nil"/>
              <w:left w:val="nil"/>
              <w:bottom w:val="single" w:sz="4" w:space="0" w:color="auto"/>
              <w:right w:val="single" w:sz="4" w:space="0" w:color="auto"/>
            </w:tcBorders>
            <w:shd w:val="clear" w:color="auto" w:fill="auto"/>
            <w:vAlign w:val="center"/>
            <w:hideMark/>
          </w:tcPr>
          <w:p w14:paraId="7BFC71F2" w14:textId="77777777" w:rsidR="00185C9E" w:rsidRPr="00185C9E" w:rsidRDefault="00185C9E" w:rsidP="00185C9E">
            <w:pPr>
              <w:widowControl/>
              <w:autoSpaceDE/>
              <w:autoSpaceDN/>
              <w:jc w:val="center"/>
              <w:rPr>
                <w:color w:val="000000"/>
                <w:sz w:val="18"/>
                <w:szCs w:val="18"/>
              </w:rPr>
            </w:pPr>
            <w:r w:rsidRPr="00185C9E">
              <w:rPr>
                <w:color w:val="000000"/>
                <w:sz w:val="18"/>
                <w:szCs w:val="18"/>
              </w:rPr>
              <w:t>10</w:t>
            </w:r>
          </w:p>
        </w:tc>
        <w:tc>
          <w:tcPr>
            <w:tcW w:w="1095" w:type="dxa"/>
            <w:tcBorders>
              <w:top w:val="nil"/>
              <w:left w:val="nil"/>
              <w:bottom w:val="single" w:sz="4" w:space="0" w:color="auto"/>
              <w:right w:val="single" w:sz="4" w:space="0" w:color="auto"/>
            </w:tcBorders>
            <w:shd w:val="clear" w:color="auto" w:fill="auto"/>
            <w:vAlign w:val="center"/>
            <w:hideMark/>
          </w:tcPr>
          <w:p w14:paraId="1EAC4175" w14:textId="77777777" w:rsidR="00185C9E" w:rsidRPr="00185C9E" w:rsidRDefault="00185C9E" w:rsidP="00185C9E">
            <w:pPr>
              <w:widowControl/>
              <w:autoSpaceDE/>
              <w:autoSpaceDN/>
              <w:jc w:val="center"/>
              <w:rPr>
                <w:color w:val="000000"/>
                <w:sz w:val="18"/>
                <w:szCs w:val="18"/>
              </w:rPr>
            </w:pPr>
            <w:r w:rsidRPr="00185C9E">
              <w:rPr>
                <w:color w:val="000000"/>
                <w:sz w:val="18"/>
                <w:szCs w:val="18"/>
              </w:rPr>
              <w:t>5</w:t>
            </w:r>
          </w:p>
        </w:tc>
        <w:tc>
          <w:tcPr>
            <w:tcW w:w="1089" w:type="dxa"/>
            <w:tcBorders>
              <w:top w:val="nil"/>
              <w:left w:val="nil"/>
              <w:bottom w:val="single" w:sz="4" w:space="0" w:color="auto"/>
              <w:right w:val="single" w:sz="4" w:space="0" w:color="auto"/>
            </w:tcBorders>
            <w:shd w:val="clear" w:color="auto" w:fill="auto"/>
            <w:vAlign w:val="center"/>
            <w:hideMark/>
          </w:tcPr>
          <w:p w14:paraId="5157F8C0" w14:textId="77777777" w:rsidR="00185C9E" w:rsidRPr="00185C9E" w:rsidRDefault="00185C9E" w:rsidP="00185C9E">
            <w:pPr>
              <w:widowControl/>
              <w:autoSpaceDE/>
              <w:autoSpaceDN/>
              <w:jc w:val="center"/>
              <w:rPr>
                <w:color w:val="000000"/>
                <w:sz w:val="18"/>
                <w:szCs w:val="18"/>
              </w:rPr>
            </w:pPr>
            <w:r w:rsidRPr="00185C9E">
              <w:rPr>
                <w:color w:val="000000"/>
                <w:sz w:val="18"/>
                <w:szCs w:val="18"/>
              </w:rPr>
              <w:t>0.83</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14:paraId="36EEB006" w14:textId="77777777" w:rsidR="00185C9E" w:rsidRPr="00185C9E" w:rsidRDefault="00185C9E" w:rsidP="00185C9E">
            <w:pPr>
              <w:widowControl/>
              <w:autoSpaceDE/>
              <w:autoSpaceDN/>
              <w:jc w:val="center"/>
              <w:rPr>
                <w:rFonts w:ascii="Calibri" w:hAnsi="Calibri"/>
                <w:color w:val="000000"/>
                <w:sz w:val="18"/>
                <w:szCs w:val="18"/>
              </w:rPr>
            </w:pPr>
            <w:r w:rsidRPr="00185C9E">
              <w:rPr>
                <w:rFonts w:ascii="Calibri" w:hAnsi="Calibri"/>
                <w:color w:val="000000"/>
                <w:sz w:val="18"/>
                <w:szCs w:val="18"/>
              </w:rPr>
              <w:t>140.14</w:t>
            </w:r>
          </w:p>
        </w:tc>
        <w:tc>
          <w:tcPr>
            <w:tcW w:w="108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E39A96" w14:textId="77777777" w:rsidR="00185C9E" w:rsidRPr="00185C9E" w:rsidRDefault="00185C9E" w:rsidP="00185C9E">
            <w:pPr>
              <w:widowControl/>
              <w:autoSpaceDE/>
              <w:autoSpaceDN/>
              <w:jc w:val="center"/>
              <w:rPr>
                <w:rFonts w:ascii="Calibri" w:hAnsi="Calibri"/>
                <w:color w:val="000000"/>
                <w:sz w:val="18"/>
                <w:szCs w:val="18"/>
              </w:rPr>
            </w:pPr>
            <w:r w:rsidRPr="00185C9E">
              <w:rPr>
                <w:rFonts w:ascii="Calibri" w:hAnsi="Calibri"/>
                <w:color w:val="000000"/>
                <w:sz w:val="18"/>
                <w:szCs w:val="18"/>
              </w:rPr>
              <w:t>116</w:t>
            </w:r>
          </w:p>
        </w:tc>
      </w:tr>
      <w:tr w:rsidR="00185C9E" w:rsidRPr="00185C9E" w14:paraId="2ED3C8D1" w14:textId="77777777" w:rsidTr="00185C9E">
        <w:trPr>
          <w:trHeight w:val="702"/>
        </w:trPr>
        <w:tc>
          <w:tcPr>
            <w:tcW w:w="1341" w:type="dxa"/>
            <w:vMerge/>
            <w:tcBorders>
              <w:top w:val="nil"/>
              <w:left w:val="single" w:sz="4" w:space="0" w:color="auto"/>
              <w:bottom w:val="single" w:sz="4" w:space="0" w:color="000000"/>
              <w:right w:val="single" w:sz="4" w:space="0" w:color="auto"/>
            </w:tcBorders>
            <w:vAlign w:val="center"/>
            <w:hideMark/>
          </w:tcPr>
          <w:p w14:paraId="009E2513" w14:textId="77777777" w:rsidR="00185C9E" w:rsidRPr="00185C9E" w:rsidRDefault="00185C9E" w:rsidP="00185C9E">
            <w:pPr>
              <w:widowControl/>
              <w:autoSpaceDE/>
              <w:autoSpaceDN/>
              <w:rPr>
                <w:b/>
                <w:bCs/>
                <w:color w:val="000000"/>
                <w:sz w:val="18"/>
                <w:szCs w:val="18"/>
              </w:rPr>
            </w:pPr>
          </w:p>
        </w:tc>
        <w:tc>
          <w:tcPr>
            <w:tcW w:w="1751" w:type="dxa"/>
            <w:tcBorders>
              <w:top w:val="nil"/>
              <w:left w:val="nil"/>
              <w:bottom w:val="single" w:sz="4" w:space="0" w:color="auto"/>
              <w:right w:val="single" w:sz="4" w:space="0" w:color="auto"/>
            </w:tcBorders>
            <w:shd w:val="clear" w:color="auto" w:fill="auto"/>
            <w:vAlign w:val="center"/>
            <w:hideMark/>
          </w:tcPr>
          <w:p w14:paraId="4E00F9B5" w14:textId="77777777" w:rsidR="00185C9E" w:rsidRPr="00185C9E" w:rsidRDefault="00185C9E" w:rsidP="00185C9E">
            <w:pPr>
              <w:widowControl/>
              <w:autoSpaceDE/>
              <w:autoSpaceDN/>
              <w:rPr>
                <w:color w:val="000000"/>
                <w:sz w:val="18"/>
                <w:szCs w:val="18"/>
              </w:rPr>
            </w:pPr>
            <w:r w:rsidRPr="00185C9E">
              <w:rPr>
                <w:color w:val="000000"/>
                <w:sz w:val="18"/>
                <w:szCs w:val="18"/>
              </w:rPr>
              <w:t>An Additional Change in Creditable Coverage Status</w:t>
            </w:r>
          </w:p>
        </w:tc>
        <w:tc>
          <w:tcPr>
            <w:tcW w:w="1113" w:type="dxa"/>
            <w:tcBorders>
              <w:top w:val="nil"/>
              <w:left w:val="nil"/>
              <w:bottom w:val="single" w:sz="4" w:space="0" w:color="auto"/>
              <w:right w:val="single" w:sz="4" w:space="0" w:color="auto"/>
            </w:tcBorders>
            <w:shd w:val="clear" w:color="auto" w:fill="auto"/>
            <w:noWrap/>
            <w:vAlign w:val="bottom"/>
            <w:hideMark/>
          </w:tcPr>
          <w:p w14:paraId="16786A40" w14:textId="77777777" w:rsidR="00185C9E" w:rsidRPr="00185C9E" w:rsidRDefault="00185C9E" w:rsidP="00185C9E">
            <w:pPr>
              <w:widowControl/>
              <w:autoSpaceDE/>
              <w:autoSpaceDN/>
              <w:jc w:val="center"/>
              <w:rPr>
                <w:rFonts w:ascii="Calibri" w:hAnsi="Calibri"/>
                <w:color w:val="000000"/>
                <w:sz w:val="18"/>
                <w:szCs w:val="18"/>
              </w:rPr>
            </w:pPr>
            <w:r w:rsidRPr="00185C9E">
              <w:rPr>
                <w:rFonts w:ascii="Calibri" w:hAnsi="Calibri"/>
                <w:color w:val="000000"/>
                <w:sz w:val="18"/>
                <w:szCs w:val="18"/>
              </w:rPr>
              <w:t>0</w:t>
            </w:r>
          </w:p>
        </w:tc>
        <w:tc>
          <w:tcPr>
            <w:tcW w:w="1100" w:type="dxa"/>
            <w:tcBorders>
              <w:top w:val="nil"/>
              <w:left w:val="nil"/>
              <w:bottom w:val="single" w:sz="4" w:space="0" w:color="auto"/>
              <w:right w:val="single" w:sz="4" w:space="0" w:color="auto"/>
            </w:tcBorders>
            <w:shd w:val="clear" w:color="auto" w:fill="auto"/>
            <w:vAlign w:val="center"/>
            <w:hideMark/>
          </w:tcPr>
          <w:p w14:paraId="2490E1DC" w14:textId="77777777" w:rsidR="00185C9E" w:rsidRPr="00185C9E" w:rsidRDefault="00185C9E" w:rsidP="00185C9E">
            <w:pPr>
              <w:widowControl/>
              <w:autoSpaceDE/>
              <w:autoSpaceDN/>
              <w:jc w:val="center"/>
              <w:rPr>
                <w:color w:val="000000"/>
                <w:sz w:val="18"/>
                <w:szCs w:val="18"/>
              </w:rPr>
            </w:pPr>
            <w:r w:rsidRPr="00185C9E">
              <w:rPr>
                <w:color w:val="000000"/>
                <w:sz w:val="18"/>
                <w:szCs w:val="18"/>
              </w:rPr>
              <w:t>0</w:t>
            </w:r>
          </w:p>
        </w:tc>
        <w:tc>
          <w:tcPr>
            <w:tcW w:w="1095" w:type="dxa"/>
            <w:tcBorders>
              <w:top w:val="nil"/>
              <w:left w:val="nil"/>
              <w:bottom w:val="single" w:sz="4" w:space="0" w:color="auto"/>
              <w:right w:val="single" w:sz="4" w:space="0" w:color="auto"/>
            </w:tcBorders>
            <w:shd w:val="clear" w:color="auto" w:fill="auto"/>
            <w:noWrap/>
            <w:vAlign w:val="bottom"/>
            <w:hideMark/>
          </w:tcPr>
          <w:p w14:paraId="653568C5" w14:textId="77777777" w:rsidR="00185C9E" w:rsidRPr="00185C9E" w:rsidRDefault="00185C9E" w:rsidP="00185C9E">
            <w:pPr>
              <w:widowControl/>
              <w:autoSpaceDE/>
              <w:autoSpaceDN/>
              <w:jc w:val="center"/>
              <w:rPr>
                <w:rFonts w:ascii="Calibri" w:hAnsi="Calibri"/>
                <w:color w:val="000000"/>
                <w:sz w:val="18"/>
                <w:szCs w:val="18"/>
              </w:rPr>
            </w:pPr>
            <w:r w:rsidRPr="00185C9E">
              <w:rPr>
                <w:rFonts w:ascii="Calibri" w:hAnsi="Calibri"/>
                <w:color w:val="000000"/>
                <w:sz w:val="18"/>
                <w:szCs w:val="18"/>
              </w:rPr>
              <w:t>0</w:t>
            </w:r>
          </w:p>
        </w:tc>
        <w:tc>
          <w:tcPr>
            <w:tcW w:w="1089" w:type="dxa"/>
            <w:tcBorders>
              <w:top w:val="nil"/>
              <w:left w:val="nil"/>
              <w:bottom w:val="single" w:sz="4" w:space="0" w:color="auto"/>
              <w:right w:val="single" w:sz="4" w:space="0" w:color="auto"/>
            </w:tcBorders>
            <w:shd w:val="clear" w:color="auto" w:fill="auto"/>
            <w:noWrap/>
            <w:vAlign w:val="bottom"/>
            <w:hideMark/>
          </w:tcPr>
          <w:p w14:paraId="4D014214" w14:textId="77777777" w:rsidR="00185C9E" w:rsidRPr="00185C9E" w:rsidRDefault="00185C9E" w:rsidP="00185C9E">
            <w:pPr>
              <w:widowControl/>
              <w:autoSpaceDE/>
              <w:autoSpaceDN/>
              <w:jc w:val="center"/>
              <w:rPr>
                <w:rFonts w:ascii="Calibri" w:hAnsi="Calibri"/>
                <w:color w:val="000000"/>
                <w:sz w:val="18"/>
                <w:szCs w:val="18"/>
              </w:rPr>
            </w:pPr>
            <w:r w:rsidRPr="00185C9E">
              <w:rPr>
                <w:rFonts w:ascii="Calibri" w:hAnsi="Calibri"/>
                <w:color w:val="000000"/>
                <w:sz w:val="18"/>
                <w:szCs w:val="18"/>
              </w:rPr>
              <w:t>0</w:t>
            </w:r>
          </w:p>
        </w:tc>
        <w:tc>
          <w:tcPr>
            <w:tcW w:w="1084" w:type="dxa"/>
            <w:tcBorders>
              <w:top w:val="nil"/>
              <w:left w:val="nil"/>
              <w:bottom w:val="single" w:sz="4" w:space="0" w:color="auto"/>
              <w:right w:val="single" w:sz="4" w:space="0" w:color="auto"/>
            </w:tcBorders>
            <w:shd w:val="clear" w:color="auto" w:fill="auto"/>
            <w:noWrap/>
            <w:vAlign w:val="center"/>
            <w:hideMark/>
          </w:tcPr>
          <w:p w14:paraId="4450E46A" w14:textId="77777777" w:rsidR="00185C9E" w:rsidRPr="00185C9E" w:rsidRDefault="00185C9E" w:rsidP="00185C9E">
            <w:pPr>
              <w:widowControl/>
              <w:autoSpaceDE/>
              <w:autoSpaceDN/>
              <w:jc w:val="center"/>
              <w:rPr>
                <w:rFonts w:ascii="Calibri" w:hAnsi="Calibri"/>
                <w:color w:val="000000"/>
                <w:sz w:val="18"/>
                <w:szCs w:val="18"/>
              </w:rPr>
            </w:pPr>
            <w:r w:rsidRPr="00185C9E">
              <w:rPr>
                <w:rFonts w:ascii="Calibri" w:hAnsi="Calibri"/>
                <w:color w:val="000000"/>
                <w:sz w:val="18"/>
                <w:szCs w:val="18"/>
              </w:rPr>
              <w:t>140.14</w:t>
            </w:r>
          </w:p>
        </w:tc>
        <w:tc>
          <w:tcPr>
            <w:tcW w:w="1087" w:type="dxa"/>
            <w:vMerge/>
            <w:tcBorders>
              <w:top w:val="nil"/>
              <w:left w:val="single" w:sz="4" w:space="0" w:color="auto"/>
              <w:bottom w:val="single" w:sz="4" w:space="0" w:color="000000"/>
              <w:right w:val="single" w:sz="4" w:space="0" w:color="auto"/>
            </w:tcBorders>
            <w:vAlign w:val="center"/>
            <w:hideMark/>
          </w:tcPr>
          <w:p w14:paraId="6E57869B" w14:textId="77777777" w:rsidR="00185C9E" w:rsidRPr="00185C9E" w:rsidRDefault="00185C9E" w:rsidP="00185C9E">
            <w:pPr>
              <w:widowControl/>
              <w:autoSpaceDE/>
              <w:autoSpaceDN/>
              <w:rPr>
                <w:rFonts w:ascii="Calibri" w:hAnsi="Calibri"/>
                <w:color w:val="000000"/>
                <w:sz w:val="18"/>
                <w:szCs w:val="18"/>
              </w:rPr>
            </w:pPr>
          </w:p>
        </w:tc>
      </w:tr>
      <w:tr w:rsidR="00185C9E" w:rsidRPr="00185C9E" w14:paraId="2A0E93C2" w14:textId="77777777" w:rsidTr="00185C9E">
        <w:trPr>
          <w:trHeight w:val="499"/>
        </w:trPr>
        <w:tc>
          <w:tcPr>
            <w:tcW w:w="1341" w:type="dxa"/>
            <w:vMerge w:val="restart"/>
            <w:tcBorders>
              <w:top w:val="nil"/>
              <w:left w:val="single" w:sz="4" w:space="0" w:color="auto"/>
              <w:bottom w:val="single" w:sz="4" w:space="0" w:color="000000"/>
              <w:right w:val="single" w:sz="4" w:space="0" w:color="auto"/>
            </w:tcBorders>
            <w:shd w:val="clear" w:color="auto" w:fill="auto"/>
            <w:vAlign w:val="center"/>
            <w:hideMark/>
          </w:tcPr>
          <w:p w14:paraId="0DCBD1F8" w14:textId="77777777" w:rsidR="00185C9E" w:rsidRPr="00185C9E" w:rsidRDefault="00185C9E" w:rsidP="00185C9E">
            <w:pPr>
              <w:widowControl/>
              <w:autoSpaceDE/>
              <w:autoSpaceDN/>
              <w:rPr>
                <w:b/>
                <w:bCs/>
                <w:color w:val="000000"/>
                <w:sz w:val="18"/>
                <w:szCs w:val="18"/>
              </w:rPr>
            </w:pPr>
            <w:r w:rsidRPr="00185C9E">
              <w:rPr>
                <w:b/>
                <w:bCs/>
                <w:color w:val="000000"/>
                <w:sz w:val="18"/>
                <w:szCs w:val="18"/>
              </w:rPr>
              <w:t>State Pharmaceutical Assistance Programs</w:t>
            </w:r>
          </w:p>
        </w:tc>
        <w:tc>
          <w:tcPr>
            <w:tcW w:w="1751" w:type="dxa"/>
            <w:tcBorders>
              <w:top w:val="nil"/>
              <w:left w:val="nil"/>
              <w:bottom w:val="single" w:sz="4" w:space="0" w:color="auto"/>
              <w:right w:val="single" w:sz="4" w:space="0" w:color="auto"/>
            </w:tcBorders>
            <w:shd w:val="clear" w:color="auto" w:fill="auto"/>
            <w:vAlign w:val="center"/>
            <w:hideMark/>
          </w:tcPr>
          <w:p w14:paraId="5F42DAFA" w14:textId="77777777" w:rsidR="00185C9E" w:rsidRPr="00185C9E" w:rsidRDefault="00185C9E" w:rsidP="00185C9E">
            <w:pPr>
              <w:widowControl/>
              <w:autoSpaceDE/>
              <w:autoSpaceDN/>
              <w:rPr>
                <w:color w:val="000000"/>
                <w:sz w:val="18"/>
                <w:szCs w:val="18"/>
              </w:rPr>
            </w:pPr>
            <w:r w:rsidRPr="00185C9E">
              <w:rPr>
                <w:color w:val="000000"/>
                <w:sz w:val="18"/>
                <w:szCs w:val="18"/>
              </w:rPr>
              <w:t>Annual and Initial Notices</w:t>
            </w:r>
          </w:p>
        </w:tc>
        <w:tc>
          <w:tcPr>
            <w:tcW w:w="1113" w:type="dxa"/>
            <w:tcBorders>
              <w:top w:val="nil"/>
              <w:left w:val="nil"/>
              <w:bottom w:val="single" w:sz="4" w:space="0" w:color="auto"/>
              <w:right w:val="single" w:sz="4" w:space="0" w:color="auto"/>
            </w:tcBorders>
            <w:shd w:val="clear" w:color="auto" w:fill="auto"/>
            <w:vAlign w:val="center"/>
            <w:hideMark/>
          </w:tcPr>
          <w:p w14:paraId="22D79864" w14:textId="77777777" w:rsidR="00185C9E" w:rsidRPr="00185C9E" w:rsidRDefault="00185C9E" w:rsidP="00185C9E">
            <w:pPr>
              <w:widowControl/>
              <w:autoSpaceDE/>
              <w:autoSpaceDN/>
              <w:jc w:val="center"/>
              <w:rPr>
                <w:color w:val="000000"/>
                <w:sz w:val="18"/>
                <w:szCs w:val="18"/>
              </w:rPr>
            </w:pPr>
            <w:r w:rsidRPr="00185C9E">
              <w:rPr>
                <w:color w:val="000000"/>
                <w:sz w:val="18"/>
                <w:szCs w:val="18"/>
              </w:rPr>
              <w:t>11</w:t>
            </w:r>
          </w:p>
        </w:tc>
        <w:tc>
          <w:tcPr>
            <w:tcW w:w="1100" w:type="dxa"/>
            <w:tcBorders>
              <w:top w:val="nil"/>
              <w:left w:val="nil"/>
              <w:bottom w:val="single" w:sz="4" w:space="0" w:color="auto"/>
              <w:right w:val="single" w:sz="4" w:space="0" w:color="auto"/>
            </w:tcBorders>
            <w:shd w:val="clear" w:color="auto" w:fill="auto"/>
            <w:vAlign w:val="center"/>
            <w:hideMark/>
          </w:tcPr>
          <w:p w14:paraId="43FDF990" w14:textId="77777777" w:rsidR="00185C9E" w:rsidRPr="00185C9E" w:rsidRDefault="00185C9E" w:rsidP="00185C9E">
            <w:pPr>
              <w:widowControl/>
              <w:autoSpaceDE/>
              <w:autoSpaceDN/>
              <w:jc w:val="center"/>
              <w:rPr>
                <w:color w:val="000000"/>
                <w:sz w:val="18"/>
                <w:szCs w:val="18"/>
              </w:rPr>
            </w:pPr>
            <w:r w:rsidRPr="00185C9E">
              <w:rPr>
                <w:color w:val="000000"/>
                <w:sz w:val="18"/>
                <w:szCs w:val="18"/>
              </w:rPr>
              <w:t>11</w:t>
            </w:r>
          </w:p>
        </w:tc>
        <w:tc>
          <w:tcPr>
            <w:tcW w:w="1095" w:type="dxa"/>
            <w:tcBorders>
              <w:top w:val="nil"/>
              <w:left w:val="nil"/>
              <w:bottom w:val="single" w:sz="4" w:space="0" w:color="auto"/>
              <w:right w:val="single" w:sz="4" w:space="0" w:color="auto"/>
            </w:tcBorders>
            <w:shd w:val="clear" w:color="auto" w:fill="auto"/>
            <w:vAlign w:val="center"/>
            <w:hideMark/>
          </w:tcPr>
          <w:p w14:paraId="015BDCDD" w14:textId="77777777" w:rsidR="00185C9E" w:rsidRPr="00185C9E" w:rsidRDefault="00185C9E" w:rsidP="00185C9E">
            <w:pPr>
              <w:widowControl/>
              <w:autoSpaceDE/>
              <w:autoSpaceDN/>
              <w:jc w:val="center"/>
              <w:rPr>
                <w:color w:val="000000"/>
                <w:sz w:val="18"/>
                <w:szCs w:val="18"/>
              </w:rPr>
            </w:pPr>
            <w:r w:rsidRPr="00185C9E">
              <w:rPr>
                <w:color w:val="000000"/>
                <w:sz w:val="18"/>
                <w:szCs w:val="18"/>
              </w:rPr>
              <w:t>5</w:t>
            </w:r>
          </w:p>
        </w:tc>
        <w:tc>
          <w:tcPr>
            <w:tcW w:w="1089" w:type="dxa"/>
            <w:tcBorders>
              <w:top w:val="nil"/>
              <w:left w:val="nil"/>
              <w:bottom w:val="single" w:sz="4" w:space="0" w:color="auto"/>
              <w:right w:val="single" w:sz="4" w:space="0" w:color="auto"/>
            </w:tcBorders>
            <w:shd w:val="clear" w:color="auto" w:fill="auto"/>
            <w:vAlign w:val="center"/>
            <w:hideMark/>
          </w:tcPr>
          <w:p w14:paraId="3C34ABB4" w14:textId="77777777" w:rsidR="00185C9E" w:rsidRPr="00185C9E" w:rsidRDefault="00185C9E" w:rsidP="00185C9E">
            <w:pPr>
              <w:widowControl/>
              <w:autoSpaceDE/>
              <w:autoSpaceDN/>
              <w:jc w:val="center"/>
              <w:rPr>
                <w:color w:val="000000"/>
                <w:sz w:val="18"/>
                <w:szCs w:val="18"/>
              </w:rPr>
            </w:pPr>
            <w:r w:rsidRPr="00185C9E">
              <w:rPr>
                <w:color w:val="000000"/>
                <w:sz w:val="18"/>
                <w:szCs w:val="18"/>
              </w:rPr>
              <w:t>0.92</w:t>
            </w:r>
          </w:p>
        </w:tc>
        <w:tc>
          <w:tcPr>
            <w:tcW w:w="1084" w:type="dxa"/>
            <w:tcBorders>
              <w:top w:val="nil"/>
              <w:left w:val="nil"/>
              <w:bottom w:val="single" w:sz="4" w:space="0" w:color="auto"/>
              <w:right w:val="single" w:sz="4" w:space="0" w:color="auto"/>
            </w:tcBorders>
            <w:shd w:val="clear" w:color="auto" w:fill="auto"/>
            <w:noWrap/>
            <w:vAlign w:val="center"/>
            <w:hideMark/>
          </w:tcPr>
          <w:p w14:paraId="4BABF2AE" w14:textId="77777777" w:rsidR="00185C9E" w:rsidRPr="00185C9E" w:rsidRDefault="00185C9E" w:rsidP="00185C9E">
            <w:pPr>
              <w:widowControl/>
              <w:autoSpaceDE/>
              <w:autoSpaceDN/>
              <w:jc w:val="center"/>
              <w:rPr>
                <w:rFonts w:ascii="Calibri" w:hAnsi="Calibri"/>
                <w:color w:val="000000"/>
                <w:sz w:val="18"/>
                <w:szCs w:val="18"/>
              </w:rPr>
            </w:pPr>
            <w:r w:rsidRPr="00185C9E">
              <w:rPr>
                <w:rFonts w:ascii="Calibri" w:hAnsi="Calibri"/>
                <w:color w:val="000000"/>
                <w:sz w:val="18"/>
                <w:szCs w:val="18"/>
              </w:rPr>
              <w:t>140.14</w:t>
            </w:r>
          </w:p>
        </w:tc>
        <w:tc>
          <w:tcPr>
            <w:tcW w:w="108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89DDCC" w14:textId="77777777" w:rsidR="00185C9E" w:rsidRPr="00185C9E" w:rsidRDefault="00185C9E" w:rsidP="00185C9E">
            <w:pPr>
              <w:widowControl/>
              <w:autoSpaceDE/>
              <w:autoSpaceDN/>
              <w:jc w:val="center"/>
              <w:rPr>
                <w:rFonts w:ascii="Calibri" w:hAnsi="Calibri"/>
                <w:color w:val="000000"/>
                <w:sz w:val="18"/>
                <w:szCs w:val="18"/>
              </w:rPr>
            </w:pPr>
            <w:r w:rsidRPr="00185C9E">
              <w:rPr>
                <w:rFonts w:ascii="Calibri" w:hAnsi="Calibri"/>
                <w:color w:val="000000"/>
                <w:sz w:val="18"/>
                <w:szCs w:val="18"/>
              </w:rPr>
              <w:t>129</w:t>
            </w:r>
          </w:p>
        </w:tc>
      </w:tr>
      <w:tr w:rsidR="00185C9E" w:rsidRPr="00185C9E" w14:paraId="7ECAECEE" w14:textId="77777777" w:rsidTr="00185C9E">
        <w:trPr>
          <w:trHeight w:val="702"/>
        </w:trPr>
        <w:tc>
          <w:tcPr>
            <w:tcW w:w="1341" w:type="dxa"/>
            <w:vMerge/>
            <w:tcBorders>
              <w:top w:val="nil"/>
              <w:left w:val="single" w:sz="4" w:space="0" w:color="auto"/>
              <w:bottom w:val="single" w:sz="4" w:space="0" w:color="000000"/>
              <w:right w:val="single" w:sz="4" w:space="0" w:color="auto"/>
            </w:tcBorders>
            <w:vAlign w:val="center"/>
            <w:hideMark/>
          </w:tcPr>
          <w:p w14:paraId="0C47393E" w14:textId="77777777" w:rsidR="00185C9E" w:rsidRPr="00185C9E" w:rsidRDefault="00185C9E" w:rsidP="00185C9E">
            <w:pPr>
              <w:widowControl/>
              <w:autoSpaceDE/>
              <w:autoSpaceDN/>
              <w:rPr>
                <w:b/>
                <w:bCs/>
                <w:color w:val="000000"/>
                <w:sz w:val="18"/>
                <w:szCs w:val="18"/>
              </w:rPr>
            </w:pPr>
          </w:p>
        </w:tc>
        <w:tc>
          <w:tcPr>
            <w:tcW w:w="1751" w:type="dxa"/>
            <w:tcBorders>
              <w:top w:val="nil"/>
              <w:left w:val="nil"/>
              <w:bottom w:val="single" w:sz="4" w:space="0" w:color="auto"/>
              <w:right w:val="single" w:sz="4" w:space="0" w:color="auto"/>
            </w:tcBorders>
            <w:shd w:val="clear" w:color="auto" w:fill="auto"/>
            <w:vAlign w:val="center"/>
            <w:hideMark/>
          </w:tcPr>
          <w:p w14:paraId="236BC91B" w14:textId="77777777" w:rsidR="00185C9E" w:rsidRPr="00185C9E" w:rsidRDefault="00185C9E" w:rsidP="00185C9E">
            <w:pPr>
              <w:widowControl/>
              <w:autoSpaceDE/>
              <w:autoSpaceDN/>
              <w:rPr>
                <w:color w:val="000000"/>
                <w:sz w:val="18"/>
                <w:szCs w:val="18"/>
              </w:rPr>
            </w:pPr>
            <w:r w:rsidRPr="00185C9E">
              <w:rPr>
                <w:color w:val="000000"/>
                <w:sz w:val="18"/>
                <w:szCs w:val="18"/>
              </w:rPr>
              <w:t>An Additional Change in Creditable Coverage Status</w:t>
            </w:r>
          </w:p>
        </w:tc>
        <w:tc>
          <w:tcPr>
            <w:tcW w:w="1113" w:type="dxa"/>
            <w:tcBorders>
              <w:top w:val="nil"/>
              <w:left w:val="nil"/>
              <w:bottom w:val="single" w:sz="4" w:space="0" w:color="auto"/>
              <w:right w:val="single" w:sz="4" w:space="0" w:color="auto"/>
            </w:tcBorders>
            <w:shd w:val="clear" w:color="auto" w:fill="auto"/>
            <w:vAlign w:val="center"/>
            <w:hideMark/>
          </w:tcPr>
          <w:p w14:paraId="790ED284" w14:textId="77777777" w:rsidR="00185C9E" w:rsidRPr="00185C9E" w:rsidRDefault="00185C9E" w:rsidP="00185C9E">
            <w:pPr>
              <w:widowControl/>
              <w:autoSpaceDE/>
              <w:autoSpaceDN/>
              <w:jc w:val="center"/>
              <w:rPr>
                <w:color w:val="000000"/>
                <w:sz w:val="18"/>
                <w:szCs w:val="18"/>
              </w:rPr>
            </w:pPr>
            <w:r w:rsidRPr="00185C9E">
              <w:rPr>
                <w:color w:val="000000"/>
                <w:sz w:val="18"/>
                <w:szCs w:val="18"/>
              </w:rPr>
              <w:t>0</w:t>
            </w:r>
          </w:p>
        </w:tc>
        <w:tc>
          <w:tcPr>
            <w:tcW w:w="1100" w:type="dxa"/>
            <w:tcBorders>
              <w:top w:val="nil"/>
              <w:left w:val="nil"/>
              <w:bottom w:val="single" w:sz="4" w:space="0" w:color="auto"/>
              <w:right w:val="single" w:sz="4" w:space="0" w:color="auto"/>
            </w:tcBorders>
            <w:shd w:val="clear" w:color="auto" w:fill="auto"/>
            <w:vAlign w:val="center"/>
            <w:hideMark/>
          </w:tcPr>
          <w:p w14:paraId="48AF1D9F" w14:textId="77777777" w:rsidR="00185C9E" w:rsidRPr="00185C9E" w:rsidRDefault="00185C9E" w:rsidP="00185C9E">
            <w:pPr>
              <w:widowControl/>
              <w:autoSpaceDE/>
              <w:autoSpaceDN/>
              <w:jc w:val="center"/>
              <w:rPr>
                <w:color w:val="000000"/>
                <w:sz w:val="18"/>
                <w:szCs w:val="18"/>
              </w:rPr>
            </w:pPr>
            <w:r w:rsidRPr="00185C9E">
              <w:rPr>
                <w:color w:val="000000"/>
                <w:sz w:val="18"/>
                <w:szCs w:val="18"/>
              </w:rPr>
              <w:t>0</w:t>
            </w:r>
          </w:p>
        </w:tc>
        <w:tc>
          <w:tcPr>
            <w:tcW w:w="1095" w:type="dxa"/>
            <w:tcBorders>
              <w:top w:val="nil"/>
              <w:left w:val="nil"/>
              <w:bottom w:val="single" w:sz="4" w:space="0" w:color="auto"/>
              <w:right w:val="single" w:sz="4" w:space="0" w:color="auto"/>
            </w:tcBorders>
            <w:shd w:val="clear" w:color="auto" w:fill="auto"/>
            <w:vAlign w:val="center"/>
            <w:hideMark/>
          </w:tcPr>
          <w:p w14:paraId="0110266C" w14:textId="77777777" w:rsidR="00185C9E" w:rsidRPr="00185C9E" w:rsidRDefault="00185C9E" w:rsidP="00185C9E">
            <w:pPr>
              <w:widowControl/>
              <w:autoSpaceDE/>
              <w:autoSpaceDN/>
              <w:jc w:val="center"/>
              <w:rPr>
                <w:color w:val="000000"/>
                <w:sz w:val="18"/>
                <w:szCs w:val="18"/>
              </w:rPr>
            </w:pPr>
            <w:r w:rsidRPr="00185C9E">
              <w:rPr>
                <w:color w:val="000000"/>
                <w:sz w:val="18"/>
                <w:szCs w:val="18"/>
              </w:rPr>
              <w:t>0</w:t>
            </w:r>
          </w:p>
        </w:tc>
        <w:tc>
          <w:tcPr>
            <w:tcW w:w="1089" w:type="dxa"/>
            <w:tcBorders>
              <w:top w:val="nil"/>
              <w:left w:val="nil"/>
              <w:bottom w:val="single" w:sz="4" w:space="0" w:color="auto"/>
              <w:right w:val="single" w:sz="4" w:space="0" w:color="auto"/>
            </w:tcBorders>
            <w:shd w:val="clear" w:color="auto" w:fill="auto"/>
            <w:vAlign w:val="center"/>
            <w:hideMark/>
          </w:tcPr>
          <w:p w14:paraId="639E9F8D" w14:textId="77777777" w:rsidR="00185C9E" w:rsidRPr="00185C9E" w:rsidRDefault="00185C9E" w:rsidP="00185C9E">
            <w:pPr>
              <w:widowControl/>
              <w:autoSpaceDE/>
              <w:autoSpaceDN/>
              <w:jc w:val="center"/>
              <w:rPr>
                <w:color w:val="000000"/>
                <w:sz w:val="18"/>
                <w:szCs w:val="18"/>
              </w:rPr>
            </w:pPr>
            <w:r w:rsidRPr="00185C9E">
              <w:rPr>
                <w:color w:val="000000"/>
                <w:sz w:val="18"/>
                <w:szCs w:val="18"/>
              </w:rPr>
              <w:t>0</w:t>
            </w:r>
          </w:p>
        </w:tc>
        <w:tc>
          <w:tcPr>
            <w:tcW w:w="1084" w:type="dxa"/>
            <w:tcBorders>
              <w:top w:val="nil"/>
              <w:left w:val="nil"/>
              <w:bottom w:val="single" w:sz="4" w:space="0" w:color="auto"/>
              <w:right w:val="single" w:sz="4" w:space="0" w:color="auto"/>
            </w:tcBorders>
            <w:shd w:val="clear" w:color="auto" w:fill="auto"/>
            <w:noWrap/>
            <w:vAlign w:val="center"/>
            <w:hideMark/>
          </w:tcPr>
          <w:p w14:paraId="575BC568" w14:textId="77777777" w:rsidR="00185C9E" w:rsidRPr="00185C9E" w:rsidRDefault="00185C9E" w:rsidP="00185C9E">
            <w:pPr>
              <w:widowControl/>
              <w:autoSpaceDE/>
              <w:autoSpaceDN/>
              <w:jc w:val="center"/>
              <w:rPr>
                <w:rFonts w:ascii="Calibri" w:hAnsi="Calibri"/>
                <w:color w:val="000000"/>
                <w:sz w:val="18"/>
                <w:szCs w:val="18"/>
              </w:rPr>
            </w:pPr>
            <w:r w:rsidRPr="00185C9E">
              <w:rPr>
                <w:rFonts w:ascii="Calibri" w:hAnsi="Calibri"/>
                <w:color w:val="000000"/>
                <w:sz w:val="18"/>
                <w:szCs w:val="18"/>
              </w:rPr>
              <w:t>140.14</w:t>
            </w:r>
          </w:p>
        </w:tc>
        <w:tc>
          <w:tcPr>
            <w:tcW w:w="1087" w:type="dxa"/>
            <w:vMerge/>
            <w:tcBorders>
              <w:top w:val="nil"/>
              <w:left w:val="single" w:sz="4" w:space="0" w:color="auto"/>
              <w:bottom w:val="single" w:sz="4" w:space="0" w:color="000000"/>
              <w:right w:val="single" w:sz="4" w:space="0" w:color="auto"/>
            </w:tcBorders>
            <w:vAlign w:val="center"/>
            <w:hideMark/>
          </w:tcPr>
          <w:p w14:paraId="76B0FC45" w14:textId="77777777" w:rsidR="00185C9E" w:rsidRPr="00185C9E" w:rsidRDefault="00185C9E" w:rsidP="00185C9E">
            <w:pPr>
              <w:widowControl/>
              <w:autoSpaceDE/>
              <w:autoSpaceDN/>
              <w:rPr>
                <w:rFonts w:ascii="Calibri" w:hAnsi="Calibri"/>
                <w:color w:val="000000"/>
                <w:sz w:val="18"/>
                <w:szCs w:val="18"/>
              </w:rPr>
            </w:pPr>
          </w:p>
        </w:tc>
      </w:tr>
      <w:tr w:rsidR="00185C9E" w:rsidRPr="00185C9E" w14:paraId="7FA9071E" w14:textId="77777777" w:rsidTr="00185C9E">
        <w:trPr>
          <w:trHeight w:val="499"/>
        </w:trPr>
        <w:tc>
          <w:tcPr>
            <w:tcW w:w="1341" w:type="dxa"/>
            <w:vMerge w:val="restart"/>
            <w:tcBorders>
              <w:top w:val="nil"/>
              <w:left w:val="single" w:sz="4" w:space="0" w:color="auto"/>
              <w:bottom w:val="single" w:sz="4" w:space="0" w:color="000000"/>
              <w:right w:val="single" w:sz="4" w:space="0" w:color="auto"/>
            </w:tcBorders>
            <w:shd w:val="clear" w:color="auto" w:fill="auto"/>
            <w:vAlign w:val="center"/>
            <w:hideMark/>
          </w:tcPr>
          <w:p w14:paraId="49F06F0E" w14:textId="77777777" w:rsidR="00185C9E" w:rsidRPr="00185C9E" w:rsidRDefault="00185C9E" w:rsidP="00185C9E">
            <w:pPr>
              <w:widowControl/>
              <w:autoSpaceDE/>
              <w:autoSpaceDN/>
              <w:rPr>
                <w:b/>
                <w:bCs/>
                <w:color w:val="000000"/>
                <w:sz w:val="18"/>
                <w:szCs w:val="18"/>
              </w:rPr>
            </w:pPr>
            <w:r w:rsidRPr="00185C9E">
              <w:rPr>
                <w:b/>
                <w:bCs/>
                <w:color w:val="000000"/>
                <w:sz w:val="18"/>
                <w:szCs w:val="18"/>
              </w:rPr>
              <w:t>Indian Health Service</w:t>
            </w:r>
          </w:p>
        </w:tc>
        <w:tc>
          <w:tcPr>
            <w:tcW w:w="1751" w:type="dxa"/>
            <w:tcBorders>
              <w:top w:val="nil"/>
              <w:left w:val="nil"/>
              <w:bottom w:val="single" w:sz="4" w:space="0" w:color="auto"/>
              <w:right w:val="single" w:sz="4" w:space="0" w:color="auto"/>
            </w:tcBorders>
            <w:shd w:val="clear" w:color="auto" w:fill="auto"/>
            <w:vAlign w:val="center"/>
            <w:hideMark/>
          </w:tcPr>
          <w:p w14:paraId="27E14B06" w14:textId="77777777" w:rsidR="00185C9E" w:rsidRPr="00185C9E" w:rsidRDefault="00185C9E" w:rsidP="00185C9E">
            <w:pPr>
              <w:widowControl/>
              <w:autoSpaceDE/>
              <w:autoSpaceDN/>
              <w:rPr>
                <w:color w:val="000000"/>
                <w:sz w:val="18"/>
                <w:szCs w:val="18"/>
              </w:rPr>
            </w:pPr>
            <w:r w:rsidRPr="00185C9E">
              <w:rPr>
                <w:color w:val="000000"/>
                <w:sz w:val="18"/>
                <w:szCs w:val="18"/>
              </w:rPr>
              <w:t>Annual and Initial Notices</w:t>
            </w:r>
          </w:p>
        </w:tc>
        <w:tc>
          <w:tcPr>
            <w:tcW w:w="1113" w:type="dxa"/>
            <w:tcBorders>
              <w:top w:val="nil"/>
              <w:left w:val="nil"/>
              <w:bottom w:val="single" w:sz="4" w:space="0" w:color="auto"/>
              <w:right w:val="single" w:sz="4" w:space="0" w:color="auto"/>
            </w:tcBorders>
            <w:shd w:val="clear" w:color="auto" w:fill="auto"/>
            <w:vAlign w:val="center"/>
            <w:hideMark/>
          </w:tcPr>
          <w:p w14:paraId="0907DDFB" w14:textId="77777777" w:rsidR="00185C9E" w:rsidRPr="00185C9E" w:rsidRDefault="00185C9E" w:rsidP="00185C9E">
            <w:pPr>
              <w:widowControl/>
              <w:autoSpaceDE/>
              <w:autoSpaceDN/>
              <w:jc w:val="center"/>
              <w:rPr>
                <w:color w:val="000000"/>
                <w:sz w:val="18"/>
                <w:szCs w:val="18"/>
              </w:rPr>
            </w:pPr>
            <w:r w:rsidRPr="00185C9E">
              <w:rPr>
                <w:color w:val="000000"/>
                <w:sz w:val="18"/>
                <w:szCs w:val="18"/>
              </w:rPr>
              <w:t>29</w:t>
            </w:r>
          </w:p>
        </w:tc>
        <w:tc>
          <w:tcPr>
            <w:tcW w:w="1100" w:type="dxa"/>
            <w:tcBorders>
              <w:top w:val="nil"/>
              <w:left w:val="nil"/>
              <w:bottom w:val="single" w:sz="4" w:space="0" w:color="auto"/>
              <w:right w:val="single" w:sz="4" w:space="0" w:color="auto"/>
            </w:tcBorders>
            <w:shd w:val="clear" w:color="auto" w:fill="auto"/>
            <w:vAlign w:val="center"/>
            <w:hideMark/>
          </w:tcPr>
          <w:p w14:paraId="0DDB8D86" w14:textId="77777777" w:rsidR="00185C9E" w:rsidRPr="00185C9E" w:rsidRDefault="00185C9E" w:rsidP="00185C9E">
            <w:pPr>
              <w:widowControl/>
              <w:autoSpaceDE/>
              <w:autoSpaceDN/>
              <w:jc w:val="center"/>
              <w:rPr>
                <w:color w:val="000000"/>
                <w:sz w:val="18"/>
                <w:szCs w:val="18"/>
              </w:rPr>
            </w:pPr>
            <w:r w:rsidRPr="00185C9E">
              <w:rPr>
                <w:color w:val="000000"/>
                <w:sz w:val="18"/>
                <w:szCs w:val="18"/>
              </w:rPr>
              <w:t>29</w:t>
            </w:r>
          </w:p>
        </w:tc>
        <w:tc>
          <w:tcPr>
            <w:tcW w:w="1095" w:type="dxa"/>
            <w:tcBorders>
              <w:top w:val="nil"/>
              <w:left w:val="nil"/>
              <w:bottom w:val="single" w:sz="4" w:space="0" w:color="auto"/>
              <w:right w:val="single" w:sz="4" w:space="0" w:color="auto"/>
            </w:tcBorders>
            <w:shd w:val="clear" w:color="auto" w:fill="auto"/>
            <w:vAlign w:val="center"/>
            <w:hideMark/>
          </w:tcPr>
          <w:p w14:paraId="3AD10F05" w14:textId="77777777" w:rsidR="00185C9E" w:rsidRPr="00185C9E" w:rsidRDefault="00185C9E" w:rsidP="00185C9E">
            <w:pPr>
              <w:widowControl/>
              <w:autoSpaceDE/>
              <w:autoSpaceDN/>
              <w:jc w:val="center"/>
              <w:rPr>
                <w:color w:val="000000"/>
                <w:sz w:val="18"/>
                <w:szCs w:val="18"/>
              </w:rPr>
            </w:pPr>
            <w:r w:rsidRPr="00185C9E">
              <w:rPr>
                <w:color w:val="000000"/>
                <w:sz w:val="18"/>
                <w:szCs w:val="18"/>
              </w:rPr>
              <w:t>5</w:t>
            </w:r>
          </w:p>
        </w:tc>
        <w:tc>
          <w:tcPr>
            <w:tcW w:w="1089" w:type="dxa"/>
            <w:tcBorders>
              <w:top w:val="nil"/>
              <w:left w:val="nil"/>
              <w:bottom w:val="single" w:sz="4" w:space="0" w:color="auto"/>
              <w:right w:val="single" w:sz="4" w:space="0" w:color="auto"/>
            </w:tcBorders>
            <w:shd w:val="clear" w:color="auto" w:fill="auto"/>
            <w:vAlign w:val="center"/>
            <w:hideMark/>
          </w:tcPr>
          <w:p w14:paraId="0139F548" w14:textId="77777777" w:rsidR="00185C9E" w:rsidRPr="00185C9E" w:rsidRDefault="00185C9E" w:rsidP="00185C9E">
            <w:pPr>
              <w:widowControl/>
              <w:autoSpaceDE/>
              <w:autoSpaceDN/>
              <w:jc w:val="center"/>
              <w:rPr>
                <w:color w:val="000000"/>
                <w:sz w:val="18"/>
                <w:szCs w:val="18"/>
              </w:rPr>
            </w:pPr>
            <w:r w:rsidRPr="00185C9E">
              <w:rPr>
                <w:color w:val="000000"/>
                <w:sz w:val="18"/>
                <w:szCs w:val="18"/>
              </w:rPr>
              <w:t>2.4</w:t>
            </w:r>
          </w:p>
        </w:tc>
        <w:tc>
          <w:tcPr>
            <w:tcW w:w="1084" w:type="dxa"/>
            <w:tcBorders>
              <w:top w:val="nil"/>
              <w:left w:val="nil"/>
              <w:bottom w:val="single" w:sz="4" w:space="0" w:color="auto"/>
              <w:right w:val="single" w:sz="4" w:space="0" w:color="auto"/>
            </w:tcBorders>
            <w:shd w:val="clear" w:color="auto" w:fill="auto"/>
            <w:noWrap/>
            <w:vAlign w:val="center"/>
            <w:hideMark/>
          </w:tcPr>
          <w:p w14:paraId="2783830E" w14:textId="77777777" w:rsidR="00185C9E" w:rsidRPr="00185C9E" w:rsidRDefault="00185C9E" w:rsidP="00185C9E">
            <w:pPr>
              <w:widowControl/>
              <w:autoSpaceDE/>
              <w:autoSpaceDN/>
              <w:jc w:val="center"/>
              <w:rPr>
                <w:rFonts w:ascii="Calibri" w:hAnsi="Calibri"/>
                <w:color w:val="000000"/>
                <w:sz w:val="18"/>
                <w:szCs w:val="18"/>
              </w:rPr>
            </w:pPr>
            <w:r w:rsidRPr="00185C9E">
              <w:rPr>
                <w:rFonts w:ascii="Calibri" w:hAnsi="Calibri"/>
                <w:color w:val="000000"/>
                <w:sz w:val="18"/>
                <w:szCs w:val="18"/>
              </w:rPr>
              <w:t>140.14</w:t>
            </w:r>
          </w:p>
        </w:tc>
        <w:tc>
          <w:tcPr>
            <w:tcW w:w="108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4776E4" w14:textId="77777777" w:rsidR="00185C9E" w:rsidRPr="00185C9E" w:rsidRDefault="00185C9E" w:rsidP="00185C9E">
            <w:pPr>
              <w:widowControl/>
              <w:autoSpaceDE/>
              <w:autoSpaceDN/>
              <w:jc w:val="center"/>
              <w:rPr>
                <w:rFonts w:ascii="Calibri" w:hAnsi="Calibri"/>
                <w:color w:val="000000"/>
                <w:sz w:val="18"/>
                <w:szCs w:val="18"/>
              </w:rPr>
            </w:pPr>
            <w:r w:rsidRPr="00185C9E">
              <w:rPr>
                <w:rFonts w:ascii="Calibri" w:hAnsi="Calibri"/>
                <w:color w:val="000000"/>
                <w:sz w:val="18"/>
                <w:szCs w:val="18"/>
              </w:rPr>
              <w:t>336</w:t>
            </w:r>
          </w:p>
        </w:tc>
      </w:tr>
      <w:tr w:rsidR="00185C9E" w:rsidRPr="00185C9E" w14:paraId="573B7F05" w14:textId="77777777" w:rsidTr="00185C9E">
        <w:trPr>
          <w:trHeight w:val="702"/>
        </w:trPr>
        <w:tc>
          <w:tcPr>
            <w:tcW w:w="1341" w:type="dxa"/>
            <w:vMerge/>
            <w:tcBorders>
              <w:top w:val="nil"/>
              <w:left w:val="single" w:sz="4" w:space="0" w:color="auto"/>
              <w:bottom w:val="single" w:sz="4" w:space="0" w:color="000000"/>
              <w:right w:val="single" w:sz="4" w:space="0" w:color="auto"/>
            </w:tcBorders>
            <w:vAlign w:val="center"/>
            <w:hideMark/>
          </w:tcPr>
          <w:p w14:paraId="1282FCEB" w14:textId="77777777" w:rsidR="00185C9E" w:rsidRPr="00185C9E" w:rsidRDefault="00185C9E" w:rsidP="00185C9E">
            <w:pPr>
              <w:widowControl/>
              <w:autoSpaceDE/>
              <w:autoSpaceDN/>
              <w:rPr>
                <w:b/>
                <w:bCs/>
                <w:color w:val="000000"/>
                <w:sz w:val="18"/>
                <w:szCs w:val="18"/>
              </w:rPr>
            </w:pPr>
          </w:p>
        </w:tc>
        <w:tc>
          <w:tcPr>
            <w:tcW w:w="1751" w:type="dxa"/>
            <w:tcBorders>
              <w:top w:val="nil"/>
              <w:left w:val="nil"/>
              <w:bottom w:val="single" w:sz="4" w:space="0" w:color="auto"/>
              <w:right w:val="single" w:sz="4" w:space="0" w:color="auto"/>
            </w:tcBorders>
            <w:shd w:val="clear" w:color="auto" w:fill="auto"/>
            <w:vAlign w:val="center"/>
            <w:hideMark/>
          </w:tcPr>
          <w:p w14:paraId="462D6FF4" w14:textId="77777777" w:rsidR="00185C9E" w:rsidRPr="00185C9E" w:rsidRDefault="00185C9E" w:rsidP="00185C9E">
            <w:pPr>
              <w:widowControl/>
              <w:autoSpaceDE/>
              <w:autoSpaceDN/>
              <w:rPr>
                <w:color w:val="000000"/>
                <w:sz w:val="18"/>
                <w:szCs w:val="18"/>
              </w:rPr>
            </w:pPr>
            <w:r w:rsidRPr="00185C9E">
              <w:rPr>
                <w:color w:val="000000"/>
                <w:sz w:val="18"/>
                <w:szCs w:val="18"/>
              </w:rPr>
              <w:t>An Additional Change in Creditable Coverage Status</w:t>
            </w:r>
          </w:p>
        </w:tc>
        <w:tc>
          <w:tcPr>
            <w:tcW w:w="1113" w:type="dxa"/>
            <w:tcBorders>
              <w:top w:val="nil"/>
              <w:left w:val="nil"/>
              <w:bottom w:val="single" w:sz="4" w:space="0" w:color="auto"/>
              <w:right w:val="single" w:sz="4" w:space="0" w:color="auto"/>
            </w:tcBorders>
            <w:shd w:val="clear" w:color="auto" w:fill="auto"/>
            <w:vAlign w:val="center"/>
            <w:hideMark/>
          </w:tcPr>
          <w:p w14:paraId="582CC067" w14:textId="77777777" w:rsidR="00185C9E" w:rsidRPr="00185C9E" w:rsidRDefault="00185C9E" w:rsidP="00185C9E">
            <w:pPr>
              <w:widowControl/>
              <w:autoSpaceDE/>
              <w:autoSpaceDN/>
              <w:jc w:val="center"/>
              <w:rPr>
                <w:color w:val="000000"/>
                <w:sz w:val="18"/>
                <w:szCs w:val="18"/>
              </w:rPr>
            </w:pPr>
            <w:r w:rsidRPr="00185C9E">
              <w:rPr>
                <w:color w:val="000000"/>
                <w:sz w:val="18"/>
                <w:szCs w:val="18"/>
              </w:rPr>
              <w:t>0</w:t>
            </w:r>
          </w:p>
        </w:tc>
        <w:tc>
          <w:tcPr>
            <w:tcW w:w="1100" w:type="dxa"/>
            <w:tcBorders>
              <w:top w:val="nil"/>
              <w:left w:val="nil"/>
              <w:bottom w:val="single" w:sz="4" w:space="0" w:color="auto"/>
              <w:right w:val="single" w:sz="4" w:space="0" w:color="auto"/>
            </w:tcBorders>
            <w:shd w:val="clear" w:color="auto" w:fill="auto"/>
            <w:vAlign w:val="center"/>
            <w:hideMark/>
          </w:tcPr>
          <w:p w14:paraId="47DE0450" w14:textId="77777777" w:rsidR="00185C9E" w:rsidRPr="00185C9E" w:rsidRDefault="00185C9E" w:rsidP="00185C9E">
            <w:pPr>
              <w:widowControl/>
              <w:autoSpaceDE/>
              <w:autoSpaceDN/>
              <w:jc w:val="center"/>
              <w:rPr>
                <w:color w:val="000000"/>
                <w:sz w:val="18"/>
                <w:szCs w:val="18"/>
              </w:rPr>
            </w:pPr>
            <w:r w:rsidRPr="00185C9E">
              <w:rPr>
                <w:color w:val="000000"/>
                <w:sz w:val="18"/>
                <w:szCs w:val="18"/>
              </w:rPr>
              <w:t>0</w:t>
            </w:r>
          </w:p>
        </w:tc>
        <w:tc>
          <w:tcPr>
            <w:tcW w:w="1095" w:type="dxa"/>
            <w:tcBorders>
              <w:top w:val="nil"/>
              <w:left w:val="nil"/>
              <w:bottom w:val="single" w:sz="4" w:space="0" w:color="auto"/>
              <w:right w:val="single" w:sz="4" w:space="0" w:color="auto"/>
            </w:tcBorders>
            <w:shd w:val="clear" w:color="auto" w:fill="auto"/>
            <w:vAlign w:val="center"/>
            <w:hideMark/>
          </w:tcPr>
          <w:p w14:paraId="2B58432F" w14:textId="77777777" w:rsidR="00185C9E" w:rsidRPr="00185C9E" w:rsidRDefault="00185C9E" w:rsidP="00185C9E">
            <w:pPr>
              <w:widowControl/>
              <w:autoSpaceDE/>
              <w:autoSpaceDN/>
              <w:jc w:val="center"/>
              <w:rPr>
                <w:color w:val="000000"/>
                <w:sz w:val="18"/>
                <w:szCs w:val="18"/>
              </w:rPr>
            </w:pPr>
            <w:r w:rsidRPr="00185C9E">
              <w:rPr>
                <w:color w:val="000000"/>
                <w:sz w:val="18"/>
                <w:szCs w:val="18"/>
              </w:rPr>
              <w:t>0</w:t>
            </w:r>
          </w:p>
        </w:tc>
        <w:tc>
          <w:tcPr>
            <w:tcW w:w="1089" w:type="dxa"/>
            <w:tcBorders>
              <w:top w:val="nil"/>
              <w:left w:val="nil"/>
              <w:bottom w:val="single" w:sz="4" w:space="0" w:color="auto"/>
              <w:right w:val="single" w:sz="4" w:space="0" w:color="auto"/>
            </w:tcBorders>
            <w:shd w:val="clear" w:color="auto" w:fill="auto"/>
            <w:vAlign w:val="center"/>
            <w:hideMark/>
          </w:tcPr>
          <w:p w14:paraId="74163EE8" w14:textId="77777777" w:rsidR="00185C9E" w:rsidRPr="00185C9E" w:rsidRDefault="00185C9E" w:rsidP="00185C9E">
            <w:pPr>
              <w:widowControl/>
              <w:autoSpaceDE/>
              <w:autoSpaceDN/>
              <w:jc w:val="center"/>
              <w:rPr>
                <w:color w:val="000000"/>
                <w:sz w:val="18"/>
                <w:szCs w:val="18"/>
              </w:rPr>
            </w:pPr>
            <w:r w:rsidRPr="00185C9E">
              <w:rPr>
                <w:color w:val="000000"/>
                <w:sz w:val="18"/>
                <w:szCs w:val="18"/>
              </w:rPr>
              <w:t>0</w:t>
            </w:r>
          </w:p>
        </w:tc>
        <w:tc>
          <w:tcPr>
            <w:tcW w:w="1084" w:type="dxa"/>
            <w:tcBorders>
              <w:top w:val="nil"/>
              <w:left w:val="nil"/>
              <w:bottom w:val="single" w:sz="4" w:space="0" w:color="auto"/>
              <w:right w:val="single" w:sz="4" w:space="0" w:color="auto"/>
            </w:tcBorders>
            <w:shd w:val="clear" w:color="auto" w:fill="auto"/>
            <w:noWrap/>
            <w:vAlign w:val="center"/>
            <w:hideMark/>
          </w:tcPr>
          <w:p w14:paraId="14784C82" w14:textId="77777777" w:rsidR="00185C9E" w:rsidRPr="00185C9E" w:rsidRDefault="00185C9E" w:rsidP="00185C9E">
            <w:pPr>
              <w:widowControl/>
              <w:autoSpaceDE/>
              <w:autoSpaceDN/>
              <w:jc w:val="center"/>
              <w:rPr>
                <w:rFonts w:ascii="Calibri" w:hAnsi="Calibri"/>
                <w:color w:val="000000"/>
                <w:sz w:val="18"/>
                <w:szCs w:val="18"/>
              </w:rPr>
            </w:pPr>
            <w:r w:rsidRPr="00185C9E">
              <w:rPr>
                <w:rFonts w:ascii="Calibri" w:hAnsi="Calibri"/>
                <w:color w:val="000000"/>
                <w:sz w:val="18"/>
                <w:szCs w:val="18"/>
              </w:rPr>
              <w:t>140.14</w:t>
            </w:r>
          </w:p>
        </w:tc>
        <w:tc>
          <w:tcPr>
            <w:tcW w:w="1087" w:type="dxa"/>
            <w:vMerge/>
            <w:tcBorders>
              <w:top w:val="nil"/>
              <w:left w:val="single" w:sz="4" w:space="0" w:color="auto"/>
              <w:bottom w:val="single" w:sz="4" w:space="0" w:color="000000"/>
              <w:right w:val="single" w:sz="4" w:space="0" w:color="auto"/>
            </w:tcBorders>
            <w:vAlign w:val="center"/>
            <w:hideMark/>
          </w:tcPr>
          <w:p w14:paraId="661BE560" w14:textId="77777777" w:rsidR="00185C9E" w:rsidRPr="00185C9E" w:rsidRDefault="00185C9E" w:rsidP="00185C9E">
            <w:pPr>
              <w:widowControl/>
              <w:autoSpaceDE/>
              <w:autoSpaceDN/>
              <w:rPr>
                <w:rFonts w:ascii="Calibri" w:hAnsi="Calibri"/>
                <w:color w:val="000000"/>
                <w:sz w:val="18"/>
                <w:szCs w:val="18"/>
              </w:rPr>
            </w:pPr>
          </w:p>
        </w:tc>
      </w:tr>
      <w:tr w:rsidR="00185C9E" w:rsidRPr="00185C9E" w14:paraId="2D4E921C" w14:textId="77777777" w:rsidTr="00185C9E">
        <w:trPr>
          <w:trHeight w:val="240"/>
        </w:trPr>
        <w:tc>
          <w:tcPr>
            <w:tcW w:w="30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84D948" w14:textId="77777777" w:rsidR="00185C9E" w:rsidRPr="00185C9E" w:rsidRDefault="00185C9E" w:rsidP="00185C9E">
            <w:pPr>
              <w:widowControl/>
              <w:autoSpaceDE/>
              <w:autoSpaceDN/>
              <w:jc w:val="right"/>
              <w:rPr>
                <w:b/>
                <w:bCs/>
                <w:color w:val="000000"/>
                <w:sz w:val="18"/>
                <w:szCs w:val="18"/>
              </w:rPr>
            </w:pPr>
            <w:r w:rsidRPr="00185C9E">
              <w:rPr>
                <w:b/>
                <w:bCs/>
                <w:color w:val="000000"/>
                <w:sz w:val="18"/>
                <w:szCs w:val="18"/>
              </w:rPr>
              <w:t>TOTAL</w:t>
            </w:r>
          </w:p>
        </w:tc>
        <w:tc>
          <w:tcPr>
            <w:tcW w:w="1113" w:type="dxa"/>
            <w:tcBorders>
              <w:top w:val="nil"/>
              <w:left w:val="nil"/>
              <w:bottom w:val="single" w:sz="4" w:space="0" w:color="auto"/>
              <w:right w:val="single" w:sz="4" w:space="0" w:color="auto"/>
            </w:tcBorders>
            <w:shd w:val="clear" w:color="auto" w:fill="auto"/>
            <w:vAlign w:val="center"/>
            <w:hideMark/>
          </w:tcPr>
          <w:p w14:paraId="2390594D" w14:textId="77777777" w:rsidR="00185C9E" w:rsidRPr="00185C9E" w:rsidRDefault="00185C9E" w:rsidP="00185C9E">
            <w:pPr>
              <w:widowControl/>
              <w:autoSpaceDE/>
              <w:autoSpaceDN/>
              <w:jc w:val="center"/>
              <w:rPr>
                <w:b/>
                <w:bCs/>
                <w:color w:val="000000"/>
                <w:sz w:val="18"/>
                <w:szCs w:val="18"/>
              </w:rPr>
            </w:pPr>
            <w:r w:rsidRPr="00185C9E">
              <w:rPr>
                <w:b/>
                <w:bCs/>
                <w:color w:val="000000"/>
                <w:sz w:val="18"/>
                <w:szCs w:val="18"/>
              </w:rPr>
              <w:t>97,040</w:t>
            </w:r>
          </w:p>
        </w:tc>
        <w:tc>
          <w:tcPr>
            <w:tcW w:w="1100" w:type="dxa"/>
            <w:tcBorders>
              <w:top w:val="nil"/>
              <w:left w:val="nil"/>
              <w:bottom w:val="single" w:sz="4" w:space="0" w:color="auto"/>
              <w:right w:val="single" w:sz="4" w:space="0" w:color="auto"/>
            </w:tcBorders>
            <w:shd w:val="clear" w:color="auto" w:fill="auto"/>
            <w:vAlign w:val="center"/>
            <w:hideMark/>
          </w:tcPr>
          <w:p w14:paraId="73BEB703" w14:textId="77777777" w:rsidR="00185C9E" w:rsidRPr="00185C9E" w:rsidRDefault="00185C9E" w:rsidP="00185C9E">
            <w:pPr>
              <w:widowControl/>
              <w:autoSpaceDE/>
              <w:autoSpaceDN/>
              <w:jc w:val="center"/>
              <w:rPr>
                <w:b/>
                <w:bCs/>
                <w:color w:val="000000"/>
                <w:sz w:val="18"/>
                <w:szCs w:val="18"/>
              </w:rPr>
            </w:pPr>
            <w:r w:rsidRPr="00185C9E">
              <w:rPr>
                <w:b/>
                <w:bCs/>
                <w:color w:val="000000"/>
                <w:sz w:val="18"/>
                <w:szCs w:val="18"/>
              </w:rPr>
              <w:t>87,265</w:t>
            </w:r>
          </w:p>
        </w:tc>
        <w:tc>
          <w:tcPr>
            <w:tcW w:w="1095" w:type="dxa"/>
            <w:tcBorders>
              <w:top w:val="nil"/>
              <w:left w:val="nil"/>
              <w:bottom w:val="single" w:sz="4" w:space="0" w:color="auto"/>
              <w:right w:val="single" w:sz="4" w:space="0" w:color="auto"/>
            </w:tcBorders>
            <w:shd w:val="clear" w:color="auto" w:fill="auto"/>
            <w:vAlign w:val="center"/>
            <w:hideMark/>
          </w:tcPr>
          <w:p w14:paraId="767FD856" w14:textId="77777777" w:rsidR="00185C9E" w:rsidRPr="00185C9E" w:rsidRDefault="00185C9E" w:rsidP="00185C9E">
            <w:pPr>
              <w:widowControl/>
              <w:autoSpaceDE/>
              <w:autoSpaceDN/>
              <w:jc w:val="center"/>
              <w:rPr>
                <w:b/>
                <w:bCs/>
                <w:color w:val="000000"/>
                <w:sz w:val="18"/>
                <w:szCs w:val="18"/>
              </w:rPr>
            </w:pPr>
            <w:r w:rsidRPr="00185C9E">
              <w:rPr>
                <w:b/>
                <w:bCs/>
                <w:color w:val="000000"/>
                <w:sz w:val="18"/>
                <w:szCs w:val="18"/>
              </w:rPr>
              <w:t>40</w:t>
            </w:r>
          </w:p>
        </w:tc>
        <w:tc>
          <w:tcPr>
            <w:tcW w:w="1089" w:type="dxa"/>
            <w:tcBorders>
              <w:top w:val="nil"/>
              <w:left w:val="nil"/>
              <w:bottom w:val="single" w:sz="4" w:space="0" w:color="auto"/>
              <w:right w:val="single" w:sz="4" w:space="0" w:color="auto"/>
            </w:tcBorders>
            <w:shd w:val="clear" w:color="auto" w:fill="auto"/>
            <w:vAlign w:val="center"/>
            <w:hideMark/>
          </w:tcPr>
          <w:p w14:paraId="219B4AF6" w14:textId="77777777" w:rsidR="00185C9E" w:rsidRPr="00185C9E" w:rsidRDefault="00185C9E" w:rsidP="00185C9E">
            <w:pPr>
              <w:widowControl/>
              <w:autoSpaceDE/>
              <w:autoSpaceDN/>
              <w:jc w:val="center"/>
              <w:rPr>
                <w:b/>
                <w:bCs/>
                <w:color w:val="000000"/>
                <w:sz w:val="18"/>
                <w:szCs w:val="18"/>
              </w:rPr>
            </w:pPr>
            <w:r w:rsidRPr="00185C9E">
              <w:rPr>
                <w:b/>
                <w:bCs/>
                <w:color w:val="000000"/>
                <w:sz w:val="18"/>
                <w:szCs w:val="18"/>
              </w:rPr>
              <w:t>7,272.10</w:t>
            </w:r>
          </w:p>
        </w:tc>
        <w:tc>
          <w:tcPr>
            <w:tcW w:w="1084" w:type="dxa"/>
            <w:tcBorders>
              <w:top w:val="nil"/>
              <w:left w:val="nil"/>
              <w:bottom w:val="single" w:sz="4" w:space="0" w:color="auto"/>
              <w:right w:val="single" w:sz="4" w:space="0" w:color="auto"/>
            </w:tcBorders>
            <w:shd w:val="clear" w:color="auto" w:fill="auto"/>
            <w:noWrap/>
            <w:vAlign w:val="bottom"/>
            <w:hideMark/>
          </w:tcPr>
          <w:p w14:paraId="5D97929C" w14:textId="77777777" w:rsidR="00185C9E" w:rsidRPr="00185C9E" w:rsidRDefault="00185C9E" w:rsidP="00185C9E">
            <w:pPr>
              <w:widowControl/>
              <w:autoSpaceDE/>
              <w:autoSpaceDN/>
              <w:jc w:val="center"/>
              <w:rPr>
                <w:rFonts w:ascii="Calibri" w:hAnsi="Calibri"/>
                <w:b/>
                <w:bCs/>
                <w:color w:val="000000"/>
                <w:sz w:val="18"/>
                <w:szCs w:val="18"/>
              </w:rPr>
            </w:pPr>
            <w:r w:rsidRPr="00185C9E">
              <w:rPr>
                <w:rFonts w:ascii="Calibri" w:hAnsi="Calibri"/>
                <w:b/>
                <w:bCs/>
                <w:color w:val="000000"/>
                <w:sz w:val="18"/>
                <w:szCs w:val="18"/>
              </w:rPr>
              <w:t>varies</w:t>
            </w:r>
          </w:p>
        </w:tc>
        <w:tc>
          <w:tcPr>
            <w:tcW w:w="1087" w:type="dxa"/>
            <w:tcBorders>
              <w:top w:val="nil"/>
              <w:left w:val="nil"/>
              <w:bottom w:val="single" w:sz="4" w:space="0" w:color="auto"/>
              <w:right w:val="single" w:sz="4" w:space="0" w:color="auto"/>
            </w:tcBorders>
            <w:shd w:val="clear" w:color="auto" w:fill="auto"/>
            <w:noWrap/>
            <w:vAlign w:val="bottom"/>
            <w:hideMark/>
          </w:tcPr>
          <w:p w14:paraId="1AE0634F" w14:textId="77777777" w:rsidR="00185C9E" w:rsidRPr="00185C9E" w:rsidRDefault="00185C9E" w:rsidP="00185C9E">
            <w:pPr>
              <w:widowControl/>
              <w:autoSpaceDE/>
              <w:autoSpaceDN/>
              <w:jc w:val="center"/>
              <w:rPr>
                <w:rFonts w:ascii="Calibri" w:hAnsi="Calibri"/>
                <w:b/>
                <w:bCs/>
                <w:color w:val="000000"/>
                <w:sz w:val="18"/>
                <w:szCs w:val="18"/>
              </w:rPr>
            </w:pPr>
            <w:r w:rsidRPr="00185C9E">
              <w:rPr>
                <w:rFonts w:ascii="Calibri" w:hAnsi="Calibri"/>
                <w:b/>
                <w:bCs/>
                <w:color w:val="000000"/>
                <w:sz w:val="18"/>
                <w:szCs w:val="18"/>
              </w:rPr>
              <w:t>699,861</w:t>
            </w:r>
          </w:p>
        </w:tc>
      </w:tr>
    </w:tbl>
    <w:p w14:paraId="4E858B80" w14:textId="77777777" w:rsidR="00185C9E" w:rsidRDefault="00185C9E">
      <w:pPr>
        <w:pStyle w:val="Heading1"/>
        <w:spacing w:before="79" w:after="6"/>
        <w:ind w:left="119" w:firstLine="0"/>
      </w:pPr>
    </w:p>
    <w:p w14:paraId="604B8294" w14:textId="77777777" w:rsidR="004A4867" w:rsidRDefault="004A4867">
      <w:pPr>
        <w:pStyle w:val="BodyText"/>
        <w:spacing w:before="3"/>
        <w:rPr>
          <w:b/>
          <w:sz w:val="23"/>
        </w:rPr>
      </w:pPr>
    </w:p>
    <w:p w14:paraId="4BDD6352" w14:textId="77777777" w:rsidR="004A4867" w:rsidRDefault="004A4867" w:rsidP="00FD6EDC">
      <w:pPr>
        <w:sectPr w:rsidR="004A4867">
          <w:footerReference w:type="default" r:id="rId12"/>
          <w:pgSz w:w="12240" w:h="15840"/>
          <w:pgMar w:top="1300" w:right="1000" w:bottom="1940" w:left="1220" w:header="0" w:footer="1749" w:gutter="0"/>
          <w:cols w:space="720"/>
        </w:sectPr>
      </w:pPr>
    </w:p>
    <w:p w14:paraId="07382ECA" w14:textId="77777777" w:rsidR="004A4867" w:rsidRDefault="004A4867" w:rsidP="00FD6EDC">
      <w:pPr>
        <w:pStyle w:val="BodyText"/>
        <w:rPr>
          <w:sz w:val="11"/>
        </w:rPr>
      </w:pPr>
    </w:p>
    <w:p w14:paraId="1167A160" w14:textId="77777777" w:rsidR="004A4867" w:rsidRDefault="00877558" w:rsidP="00FD6EDC">
      <w:pPr>
        <w:pStyle w:val="ListParagraph"/>
        <w:numPr>
          <w:ilvl w:val="0"/>
          <w:numId w:val="1"/>
        </w:numPr>
        <w:tabs>
          <w:tab w:val="left" w:pos="552"/>
        </w:tabs>
        <w:ind w:left="0" w:firstLine="0"/>
        <w:rPr>
          <w:sz w:val="24"/>
        </w:rPr>
      </w:pPr>
      <w:r>
        <w:rPr>
          <w:sz w:val="24"/>
          <w:u w:val="single"/>
        </w:rPr>
        <w:t>Capital</w:t>
      </w:r>
      <w:r>
        <w:rPr>
          <w:spacing w:val="-1"/>
          <w:sz w:val="24"/>
          <w:u w:val="single"/>
        </w:rPr>
        <w:t xml:space="preserve"> </w:t>
      </w:r>
      <w:r>
        <w:rPr>
          <w:sz w:val="24"/>
          <w:u w:val="single"/>
        </w:rPr>
        <w:t>Costs</w:t>
      </w:r>
    </w:p>
    <w:p w14:paraId="4FA696DF" w14:textId="77777777" w:rsidR="004A4867" w:rsidRDefault="004A4867" w:rsidP="00FD6EDC">
      <w:pPr>
        <w:pStyle w:val="BodyText"/>
        <w:rPr>
          <w:sz w:val="25"/>
        </w:rPr>
      </w:pPr>
    </w:p>
    <w:p w14:paraId="44F6CF4A" w14:textId="77777777" w:rsidR="004A4867" w:rsidRDefault="00877558" w:rsidP="00FD6EDC">
      <w:pPr>
        <w:pStyle w:val="BodyText"/>
      </w:pPr>
      <w:r>
        <w:t>There is no additional capital costs associated with these ICRs.</w:t>
      </w:r>
    </w:p>
    <w:p w14:paraId="4B7B2166" w14:textId="77777777" w:rsidR="004A4867" w:rsidRDefault="004A4867" w:rsidP="00FD6EDC">
      <w:pPr>
        <w:pStyle w:val="BodyText"/>
        <w:rPr>
          <w:sz w:val="25"/>
        </w:rPr>
      </w:pPr>
    </w:p>
    <w:p w14:paraId="4DBD25E3" w14:textId="77777777" w:rsidR="004A4867" w:rsidRDefault="00877558" w:rsidP="00FD6EDC">
      <w:pPr>
        <w:pStyle w:val="ListParagraph"/>
        <w:numPr>
          <w:ilvl w:val="0"/>
          <w:numId w:val="1"/>
        </w:numPr>
        <w:tabs>
          <w:tab w:val="left" w:pos="552"/>
        </w:tabs>
        <w:ind w:left="0" w:firstLine="0"/>
        <w:rPr>
          <w:sz w:val="24"/>
        </w:rPr>
      </w:pPr>
      <w:r>
        <w:rPr>
          <w:sz w:val="24"/>
          <w:u w:val="single"/>
        </w:rPr>
        <w:t>Cost to Federal</w:t>
      </w:r>
      <w:r>
        <w:rPr>
          <w:spacing w:val="-12"/>
          <w:sz w:val="24"/>
          <w:u w:val="single"/>
        </w:rPr>
        <w:t xml:space="preserve"> </w:t>
      </w:r>
      <w:r>
        <w:rPr>
          <w:sz w:val="24"/>
          <w:u w:val="single"/>
        </w:rPr>
        <w:t>Government</w:t>
      </w:r>
    </w:p>
    <w:p w14:paraId="6C635B84" w14:textId="77777777" w:rsidR="004A4867" w:rsidRDefault="004A4867" w:rsidP="00FD6EDC">
      <w:pPr>
        <w:pStyle w:val="BodyText"/>
      </w:pPr>
    </w:p>
    <w:p w14:paraId="75941609" w14:textId="3FB4F85C" w:rsidR="005E5BDB" w:rsidRDefault="00877558" w:rsidP="00FD6EDC">
      <w:pPr>
        <w:pStyle w:val="BodyText"/>
      </w:pPr>
      <w:r>
        <w:t xml:space="preserve">The cost to the Federal Government is </w:t>
      </w:r>
      <w:r w:rsidR="005E5BDB">
        <w:t>$</w:t>
      </w:r>
      <w:r w:rsidR="008B7168">
        <w:t>4,530.49</w:t>
      </w:r>
      <w:r w:rsidR="005E5BDB">
        <w:t xml:space="preserve">.  The cost/FTE’s were obtained from </w:t>
      </w:r>
      <w:hyperlink r:id="rId13" w:history="1">
        <w:r w:rsidR="00A00277" w:rsidRPr="004E345B">
          <w:rPr>
            <w:rStyle w:val="Hyperlink"/>
          </w:rPr>
          <w:t>https://www.opm.gov/policy-data-oversight/pay-leave/salaries-wages/salary-tables/pdf/2017/DCB_h.pdf</w:t>
        </w:r>
      </w:hyperlink>
      <w:r w:rsidR="008B7168">
        <w:t>.  The locality is Baltimore, MD, Washington D. C. and Arlington VA area.</w:t>
      </w:r>
      <w:r>
        <w:t xml:space="preserve">. </w:t>
      </w:r>
      <w:r w:rsidR="00A00277">
        <w:t>Th</w:t>
      </w:r>
      <w:r w:rsidR="008B7168">
        <w:t>e two</w:t>
      </w:r>
      <w:r w:rsidR="00A00277">
        <w:t xml:space="preserve"> FTE’s are GS-12 Step 4 </w:t>
      </w:r>
      <w:r w:rsidR="007D662E">
        <w:t xml:space="preserve">(at </w:t>
      </w:r>
      <w:r w:rsidR="007D662E" w:rsidRPr="007D662E">
        <w:t>$42.02</w:t>
      </w:r>
      <w:r w:rsidR="007D662E">
        <w:t xml:space="preserve">/hr) </w:t>
      </w:r>
      <w:r w:rsidR="00A00277">
        <w:t>and GS-5 Step 2</w:t>
      </w:r>
      <w:r w:rsidR="005E5BDB">
        <w:t xml:space="preserve"> </w:t>
      </w:r>
      <w:r w:rsidR="007D662E">
        <w:t xml:space="preserve">(at </w:t>
      </w:r>
      <w:r w:rsidR="007D662E" w:rsidRPr="007D662E">
        <w:t>$17.96</w:t>
      </w:r>
      <w:r w:rsidR="007D662E">
        <w:t xml:space="preserve">/hr) </w:t>
      </w:r>
      <w:r w:rsidR="005E5BDB">
        <w:t>and two contractor</w:t>
      </w:r>
      <w:r w:rsidR="008B7168">
        <w:t xml:space="preserve"> positions </w:t>
      </w:r>
      <w:r w:rsidR="007D662E">
        <w:t xml:space="preserve">(a program manager at </w:t>
      </w:r>
      <w:r w:rsidR="007D662E" w:rsidRPr="007D662E">
        <w:t>$65.29</w:t>
      </w:r>
      <w:r w:rsidR="007D662E">
        <w:t xml:space="preserve">/hr and a software developer at </w:t>
      </w:r>
      <w:r w:rsidR="007D662E">
        <w:rPr>
          <w:rFonts w:ascii="Calibri" w:hAnsi="Calibri"/>
          <w:color w:val="000000"/>
        </w:rPr>
        <w:t>$49.17/hr)</w:t>
      </w:r>
      <w:r w:rsidR="00A00277">
        <w:t xml:space="preserve">.  </w:t>
      </w:r>
      <w:r>
        <w:t xml:space="preserve">CMS switched to a contractor already employed by the government, who will provide a system so entities could report whether their prescription drug coverage </w:t>
      </w:r>
      <w:r w:rsidR="005E5BDB">
        <w:t>is</w:t>
      </w:r>
      <w:r>
        <w:t xml:space="preserve"> creditable</w:t>
      </w:r>
      <w:r w:rsidR="005E5BDB">
        <w:t xml:space="preserve"> or not</w:t>
      </w:r>
      <w:r>
        <w:t>. The contractor is responsible for the following: continued support of an online system in accordance with CMS specifications; developing, testing and implementing release/enhancement packages on servers; trouble shooting; as well as maintain and update support services.</w:t>
      </w:r>
    </w:p>
    <w:p w14:paraId="04DA672D" w14:textId="77777777" w:rsidR="00F01CB3" w:rsidRDefault="00F01CB3" w:rsidP="00FD6EDC">
      <w:pPr>
        <w:pStyle w:val="BodyText"/>
      </w:pPr>
    </w:p>
    <w:p w14:paraId="49B4D375" w14:textId="77777777" w:rsidR="00F01CB3" w:rsidRDefault="00F01CB3" w:rsidP="00FD6EDC">
      <w:pPr>
        <w:pStyle w:val="BodyText"/>
      </w:pPr>
    </w:p>
    <w:tbl>
      <w:tblPr>
        <w:tblW w:w="8927" w:type="dxa"/>
        <w:tblLook w:val="04A0" w:firstRow="1" w:lastRow="0" w:firstColumn="1" w:lastColumn="0" w:noHBand="0" w:noVBand="1"/>
      </w:tblPr>
      <w:tblGrid>
        <w:gridCol w:w="3216"/>
        <w:gridCol w:w="2046"/>
        <w:gridCol w:w="1889"/>
        <w:gridCol w:w="1776"/>
      </w:tblGrid>
      <w:tr w:rsidR="00F01CB3" w14:paraId="64ABC050" w14:textId="77777777" w:rsidTr="00C65BC9">
        <w:trPr>
          <w:trHeight w:val="315"/>
        </w:trPr>
        <w:tc>
          <w:tcPr>
            <w:tcW w:w="2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B6749" w14:textId="77777777" w:rsidR="00F01CB3" w:rsidRDefault="00F01CB3">
            <w:pPr>
              <w:jc w:val="center"/>
              <w:rPr>
                <w:rFonts w:ascii="Calibri" w:hAnsi="Calibri"/>
                <w:b/>
                <w:bCs/>
                <w:color w:val="000000"/>
              </w:rPr>
            </w:pPr>
            <w:r>
              <w:rPr>
                <w:rFonts w:ascii="Calibri" w:hAnsi="Calibri"/>
                <w:b/>
                <w:bCs/>
                <w:color w:val="000000"/>
              </w:rPr>
              <w:t>Role</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14:paraId="13061B70" w14:textId="03FA6836" w:rsidR="00F01CB3" w:rsidRDefault="00F01CB3">
            <w:pPr>
              <w:jc w:val="center"/>
              <w:rPr>
                <w:rFonts w:ascii="Calibri" w:hAnsi="Calibri"/>
                <w:b/>
                <w:bCs/>
                <w:color w:val="000000"/>
              </w:rPr>
            </w:pPr>
            <w:r>
              <w:rPr>
                <w:rFonts w:ascii="Calibri" w:hAnsi="Calibri"/>
                <w:b/>
                <w:bCs/>
                <w:color w:val="000000"/>
              </w:rPr>
              <w:t>Hourly Salary</w:t>
            </w:r>
            <w:r w:rsidR="00F9782E">
              <w:rPr>
                <w:rFonts w:ascii="Calibri" w:hAnsi="Calibri"/>
                <w:b/>
                <w:bCs/>
                <w:color w:val="000000"/>
              </w:rPr>
              <w:t xml:space="preserve"> ($/hr)</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14:paraId="6C5748D7" w14:textId="77777777" w:rsidR="00F01CB3" w:rsidRDefault="00F01CB3">
            <w:pPr>
              <w:jc w:val="center"/>
              <w:rPr>
                <w:rFonts w:ascii="Calibri" w:hAnsi="Calibri"/>
                <w:b/>
                <w:bCs/>
                <w:color w:val="000000"/>
              </w:rPr>
            </w:pPr>
            <w:r>
              <w:rPr>
                <w:rFonts w:ascii="Calibri" w:hAnsi="Calibri"/>
                <w:b/>
                <w:bCs/>
                <w:color w:val="000000"/>
              </w:rPr>
              <w:t>Hours</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6B923FF0" w14:textId="77777777" w:rsidR="00F01CB3" w:rsidRDefault="00F01CB3">
            <w:pPr>
              <w:jc w:val="center"/>
              <w:rPr>
                <w:rFonts w:ascii="Calibri" w:hAnsi="Calibri"/>
                <w:b/>
                <w:bCs/>
                <w:color w:val="000000"/>
              </w:rPr>
            </w:pPr>
            <w:r>
              <w:rPr>
                <w:rFonts w:ascii="Calibri" w:hAnsi="Calibri"/>
                <w:b/>
                <w:bCs/>
                <w:color w:val="000000"/>
              </w:rPr>
              <w:t>Total Cost</w:t>
            </w:r>
          </w:p>
        </w:tc>
      </w:tr>
      <w:tr w:rsidR="00F01CB3" w14:paraId="346C7783" w14:textId="77777777" w:rsidTr="00C65BC9">
        <w:trPr>
          <w:trHeight w:val="30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14:paraId="2BFDAD15" w14:textId="77777777" w:rsidR="00F01CB3" w:rsidRDefault="00F01CB3">
            <w:pPr>
              <w:rPr>
                <w:rFonts w:ascii="Calibri" w:hAnsi="Calibri"/>
                <w:color w:val="000000"/>
              </w:rPr>
            </w:pPr>
            <w:r>
              <w:rPr>
                <w:rFonts w:ascii="Calibri" w:hAnsi="Calibri"/>
                <w:color w:val="000000"/>
              </w:rPr>
              <w:t>Program Manager-Contractor</w:t>
            </w:r>
          </w:p>
        </w:tc>
        <w:tc>
          <w:tcPr>
            <w:tcW w:w="1820" w:type="dxa"/>
            <w:tcBorders>
              <w:top w:val="nil"/>
              <w:left w:val="nil"/>
              <w:bottom w:val="single" w:sz="4" w:space="0" w:color="auto"/>
              <w:right w:val="single" w:sz="4" w:space="0" w:color="auto"/>
            </w:tcBorders>
            <w:shd w:val="clear" w:color="auto" w:fill="auto"/>
            <w:noWrap/>
            <w:vAlign w:val="bottom"/>
            <w:hideMark/>
          </w:tcPr>
          <w:p w14:paraId="3DE5C74F" w14:textId="5A299E54" w:rsidR="00F01CB3" w:rsidRDefault="00F01CB3">
            <w:pPr>
              <w:jc w:val="center"/>
              <w:rPr>
                <w:rFonts w:ascii="Calibri" w:hAnsi="Calibri"/>
                <w:color w:val="000000"/>
              </w:rPr>
            </w:pPr>
            <w:r>
              <w:rPr>
                <w:rFonts w:ascii="Calibri" w:hAnsi="Calibri"/>
                <w:color w:val="000000"/>
              </w:rPr>
              <w:t>65.29</w:t>
            </w:r>
          </w:p>
        </w:tc>
        <w:tc>
          <w:tcPr>
            <w:tcW w:w="1680" w:type="dxa"/>
            <w:tcBorders>
              <w:top w:val="nil"/>
              <w:left w:val="nil"/>
              <w:bottom w:val="single" w:sz="4" w:space="0" w:color="auto"/>
              <w:right w:val="single" w:sz="4" w:space="0" w:color="auto"/>
            </w:tcBorders>
            <w:shd w:val="clear" w:color="auto" w:fill="auto"/>
            <w:noWrap/>
            <w:vAlign w:val="bottom"/>
            <w:hideMark/>
          </w:tcPr>
          <w:p w14:paraId="331C02E2" w14:textId="77777777" w:rsidR="00F01CB3" w:rsidRDefault="00F01CB3">
            <w:pPr>
              <w:jc w:val="center"/>
              <w:rPr>
                <w:rFonts w:ascii="Calibri" w:hAnsi="Calibri"/>
                <w:color w:val="000000"/>
              </w:rPr>
            </w:pPr>
            <w:r>
              <w:rPr>
                <w:rFonts w:ascii="Calibri" w:hAnsi="Calibri"/>
                <w:color w:val="000000"/>
              </w:rPr>
              <w:t>6.5</w:t>
            </w:r>
          </w:p>
        </w:tc>
        <w:tc>
          <w:tcPr>
            <w:tcW w:w="1580" w:type="dxa"/>
            <w:tcBorders>
              <w:top w:val="nil"/>
              <w:left w:val="nil"/>
              <w:bottom w:val="single" w:sz="4" w:space="0" w:color="auto"/>
              <w:right w:val="single" w:sz="4" w:space="0" w:color="auto"/>
            </w:tcBorders>
            <w:shd w:val="clear" w:color="auto" w:fill="auto"/>
            <w:noWrap/>
            <w:vAlign w:val="bottom"/>
            <w:hideMark/>
          </w:tcPr>
          <w:p w14:paraId="54A76221" w14:textId="77777777" w:rsidR="00F01CB3" w:rsidRDefault="00F01CB3">
            <w:pPr>
              <w:jc w:val="center"/>
              <w:rPr>
                <w:rFonts w:ascii="Calibri" w:hAnsi="Calibri"/>
                <w:color w:val="000000"/>
              </w:rPr>
            </w:pPr>
            <w:r>
              <w:rPr>
                <w:rFonts w:ascii="Calibri" w:hAnsi="Calibri"/>
                <w:color w:val="000000"/>
              </w:rPr>
              <w:t>$424.39</w:t>
            </w:r>
          </w:p>
        </w:tc>
      </w:tr>
      <w:tr w:rsidR="00F01CB3" w14:paraId="48DB9844" w14:textId="77777777" w:rsidTr="00C65BC9">
        <w:trPr>
          <w:trHeight w:val="30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14:paraId="4031A92B" w14:textId="77777777" w:rsidR="00F01CB3" w:rsidRDefault="00F01CB3">
            <w:pPr>
              <w:rPr>
                <w:rFonts w:ascii="Calibri" w:hAnsi="Calibri"/>
                <w:color w:val="000000"/>
              </w:rPr>
            </w:pPr>
            <w:r>
              <w:rPr>
                <w:rFonts w:ascii="Calibri" w:hAnsi="Calibri"/>
                <w:color w:val="000000"/>
              </w:rPr>
              <w:t>Developer-Contractor</w:t>
            </w:r>
          </w:p>
        </w:tc>
        <w:tc>
          <w:tcPr>
            <w:tcW w:w="1820" w:type="dxa"/>
            <w:tcBorders>
              <w:top w:val="nil"/>
              <w:left w:val="nil"/>
              <w:bottom w:val="single" w:sz="4" w:space="0" w:color="auto"/>
              <w:right w:val="single" w:sz="4" w:space="0" w:color="auto"/>
            </w:tcBorders>
            <w:shd w:val="clear" w:color="auto" w:fill="auto"/>
            <w:noWrap/>
            <w:vAlign w:val="bottom"/>
            <w:hideMark/>
          </w:tcPr>
          <w:p w14:paraId="4C33A286" w14:textId="09ABE724" w:rsidR="00F01CB3" w:rsidRDefault="00F01CB3">
            <w:pPr>
              <w:jc w:val="center"/>
              <w:rPr>
                <w:rFonts w:ascii="Calibri" w:hAnsi="Calibri"/>
                <w:color w:val="000000"/>
              </w:rPr>
            </w:pPr>
            <w:r>
              <w:rPr>
                <w:rFonts w:ascii="Calibri" w:hAnsi="Calibri"/>
                <w:color w:val="000000"/>
              </w:rPr>
              <w:t>49.17</w:t>
            </w:r>
          </w:p>
        </w:tc>
        <w:tc>
          <w:tcPr>
            <w:tcW w:w="1680" w:type="dxa"/>
            <w:tcBorders>
              <w:top w:val="nil"/>
              <w:left w:val="nil"/>
              <w:bottom w:val="single" w:sz="4" w:space="0" w:color="auto"/>
              <w:right w:val="single" w:sz="4" w:space="0" w:color="auto"/>
            </w:tcBorders>
            <w:shd w:val="clear" w:color="auto" w:fill="auto"/>
            <w:noWrap/>
            <w:vAlign w:val="bottom"/>
            <w:hideMark/>
          </w:tcPr>
          <w:p w14:paraId="73EEC897" w14:textId="77777777" w:rsidR="00F01CB3" w:rsidRDefault="00F01CB3">
            <w:pPr>
              <w:jc w:val="center"/>
              <w:rPr>
                <w:rFonts w:ascii="Calibri" w:hAnsi="Calibri"/>
                <w:color w:val="000000"/>
              </w:rPr>
            </w:pPr>
            <w:r>
              <w:rPr>
                <w:rFonts w:ascii="Calibri" w:hAnsi="Calibri"/>
                <w:color w:val="000000"/>
              </w:rPr>
              <w:t>12.75</w:t>
            </w:r>
          </w:p>
        </w:tc>
        <w:tc>
          <w:tcPr>
            <w:tcW w:w="1580" w:type="dxa"/>
            <w:tcBorders>
              <w:top w:val="nil"/>
              <w:left w:val="nil"/>
              <w:bottom w:val="single" w:sz="4" w:space="0" w:color="auto"/>
              <w:right w:val="single" w:sz="4" w:space="0" w:color="auto"/>
            </w:tcBorders>
            <w:shd w:val="clear" w:color="auto" w:fill="auto"/>
            <w:noWrap/>
            <w:vAlign w:val="bottom"/>
            <w:hideMark/>
          </w:tcPr>
          <w:p w14:paraId="2A9247DC" w14:textId="77777777" w:rsidR="00F01CB3" w:rsidRDefault="00F01CB3">
            <w:pPr>
              <w:jc w:val="center"/>
              <w:rPr>
                <w:rFonts w:ascii="Calibri" w:hAnsi="Calibri"/>
                <w:color w:val="000000"/>
              </w:rPr>
            </w:pPr>
            <w:r>
              <w:rPr>
                <w:rFonts w:ascii="Calibri" w:hAnsi="Calibri"/>
                <w:color w:val="000000"/>
              </w:rPr>
              <w:t>$626.92</w:t>
            </w:r>
          </w:p>
        </w:tc>
      </w:tr>
      <w:tr w:rsidR="00F01CB3" w14:paraId="2F5D9B26" w14:textId="77777777" w:rsidTr="00C65BC9">
        <w:trPr>
          <w:trHeight w:val="30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14:paraId="2B6D3E46" w14:textId="77777777" w:rsidR="00F01CB3" w:rsidRDefault="00F01CB3">
            <w:pPr>
              <w:rPr>
                <w:rFonts w:ascii="Calibri" w:hAnsi="Calibri"/>
                <w:color w:val="000000"/>
              </w:rPr>
            </w:pPr>
            <w:r>
              <w:rPr>
                <w:rFonts w:ascii="Calibri" w:hAnsi="Calibri"/>
                <w:color w:val="000000"/>
              </w:rPr>
              <w:t>GS 12 Step 4</w:t>
            </w:r>
          </w:p>
        </w:tc>
        <w:tc>
          <w:tcPr>
            <w:tcW w:w="1820" w:type="dxa"/>
            <w:tcBorders>
              <w:top w:val="nil"/>
              <w:left w:val="nil"/>
              <w:bottom w:val="single" w:sz="4" w:space="0" w:color="auto"/>
              <w:right w:val="single" w:sz="4" w:space="0" w:color="auto"/>
            </w:tcBorders>
            <w:shd w:val="clear" w:color="auto" w:fill="auto"/>
            <w:noWrap/>
            <w:vAlign w:val="bottom"/>
            <w:hideMark/>
          </w:tcPr>
          <w:p w14:paraId="18FAC78B" w14:textId="22CF15C3" w:rsidR="00F01CB3" w:rsidRDefault="00F01CB3">
            <w:pPr>
              <w:jc w:val="center"/>
              <w:rPr>
                <w:rFonts w:ascii="Calibri" w:hAnsi="Calibri"/>
                <w:color w:val="000000"/>
              </w:rPr>
            </w:pPr>
            <w:r>
              <w:rPr>
                <w:rFonts w:ascii="Calibri" w:hAnsi="Calibri"/>
                <w:color w:val="000000"/>
              </w:rPr>
              <w:t>42.02</w:t>
            </w:r>
          </w:p>
        </w:tc>
        <w:tc>
          <w:tcPr>
            <w:tcW w:w="1680" w:type="dxa"/>
            <w:tcBorders>
              <w:top w:val="nil"/>
              <w:left w:val="nil"/>
              <w:bottom w:val="single" w:sz="4" w:space="0" w:color="auto"/>
              <w:right w:val="single" w:sz="4" w:space="0" w:color="auto"/>
            </w:tcBorders>
            <w:shd w:val="clear" w:color="auto" w:fill="auto"/>
            <w:noWrap/>
            <w:vAlign w:val="bottom"/>
            <w:hideMark/>
          </w:tcPr>
          <w:p w14:paraId="67C5D73E" w14:textId="77777777" w:rsidR="00F01CB3" w:rsidRDefault="00F01CB3">
            <w:pPr>
              <w:jc w:val="center"/>
              <w:rPr>
                <w:rFonts w:ascii="Calibri" w:hAnsi="Calibri"/>
                <w:color w:val="000000"/>
              </w:rPr>
            </w:pPr>
            <w:r>
              <w:rPr>
                <w:rFonts w:ascii="Calibri" w:hAnsi="Calibri"/>
                <w:color w:val="000000"/>
              </w:rPr>
              <w:t>61</w:t>
            </w:r>
          </w:p>
        </w:tc>
        <w:tc>
          <w:tcPr>
            <w:tcW w:w="1580" w:type="dxa"/>
            <w:tcBorders>
              <w:top w:val="nil"/>
              <w:left w:val="nil"/>
              <w:bottom w:val="single" w:sz="4" w:space="0" w:color="auto"/>
              <w:right w:val="single" w:sz="4" w:space="0" w:color="auto"/>
            </w:tcBorders>
            <w:shd w:val="clear" w:color="auto" w:fill="auto"/>
            <w:noWrap/>
            <w:vAlign w:val="bottom"/>
            <w:hideMark/>
          </w:tcPr>
          <w:p w14:paraId="2BDF44C2" w14:textId="77777777" w:rsidR="00F01CB3" w:rsidRDefault="00F01CB3">
            <w:pPr>
              <w:jc w:val="center"/>
              <w:rPr>
                <w:rFonts w:ascii="Calibri" w:hAnsi="Calibri"/>
                <w:color w:val="000000"/>
              </w:rPr>
            </w:pPr>
            <w:r>
              <w:rPr>
                <w:rFonts w:ascii="Calibri" w:hAnsi="Calibri"/>
                <w:color w:val="000000"/>
              </w:rPr>
              <w:t>$2,563.22</w:t>
            </w:r>
          </w:p>
        </w:tc>
      </w:tr>
      <w:tr w:rsidR="00F01CB3" w14:paraId="7D42D398" w14:textId="77777777" w:rsidTr="00C65BC9">
        <w:trPr>
          <w:trHeight w:val="30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14:paraId="3515BE06" w14:textId="77777777" w:rsidR="00F01CB3" w:rsidRDefault="00F01CB3">
            <w:pPr>
              <w:rPr>
                <w:rFonts w:ascii="Calibri" w:hAnsi="Calibri"/>
                <w:color w:val="000000"/>
              </w:rPr>
            </w:pPr>
            <w:r>
              <w:rPr>
                <w:rFonts w:ascii="Calibri" w:hAnsi="Calibri"/>
                <w:color w:val="000000"/>
              </w:rPr>
              <w:t>GS 5 Step 2</w:t>
            </w:r>
          </w:p>
        </w:tc>
        <w:tc>
          <w:tcPr>
            <w:tcW w:w="1820" w:type="dxa"/>
            <w:tcBorders>
              <w:top w:val="nil"/>
              <w:left w:val="nil"/>
              <w:bottom w:val="single" w:sz="4" w:space="0" w:color="auto"/>
              <w:right w:val="single" w:sz="4" w:space="0" w:color="auto"/>
            </w:tcBorders>
            <w:shd w:val="clear" w:color="auto" w:fill="auto"/>
            <w:noWrap/>
            <w:vAlign w:val="bottom"/>
            <w:hideMark/>
          </w:tcPr>
          <w:p w14:paraId="1E27AF05" w14:textId="7D82B0D4" w:rsidR="00F01CB3" w:rsidRDefault="00F01CB3">
            <w:pPr>
              <w:jc w:val="center"/>
              <w:rPr>
                <w:rFonts w:ascii="Calibri" w:hAnsi="Calibri"/>
                <w:color w:val="000000"/>
              </w:rPr>
            </w:pPr>
            <w:r>
              <w:rPr>
                <w:rFonts w:ascii="Calibri" w:hAnsi="Calibri"/>
                <w:color w:val="000000"/>
              </w:rPr>
              <w:t>17.96</w:t>
            </w:r>
          </w:p>
        </w:tc>
        <w:tc>
          <w:tcPr>
            <w:tcW w:w="1680" w:type="dxa"/>
            <w:tcBorders>
              <w:top w:val="nil"/>
              <w:left w:val="nil"/>
              <w:bottom w:val="single" w:sz="4" w:space="0" w:color="auto"/>
              <w:right w:val="single" w:sz="4" w:space="0" w:color="auto"/>
            </w:tcBorders>
            <w:shd w:val="clear" w:color="auto" w:fill="auto"/>
            <w:noWrap/>
            <w:vAlign w:val="bottom"/>
            <w:hideMark/>
          </w:tcPr>
          <w:p w14:paraId="73720730" w14:textId="77777777" w:rsidR="00F01CB3" w:rsidRDefault="00F01CB3">
            <w:pPr>
              <w:jc w:val="center"/>
              <w:rPr>
                <w:rFonts w:ascii="Calibri" w:hAnsi="Calibri"/>
                <w:color w:val="000000"/>
              </w:rPr>
            </w:pPr>
            <w:r>
              <w:rPr>
                <w:rFonts w:ascii="Calibri" w:hAnsi="Calibri"/>
                <w:color w:val="000000"/>
              </w:rPr>
              <w:t>51</w:t>
            </w:r>
          </w:p>
        </w:tc>
        <w:tc>
          <w:tcPr>
            <w:tcW w:w="1580" w:type="dxa"/>
            <w:tcBorders>
              <w:top w:val="nil"/>
              <w:left w:val="nil"/>
              <w:bottom w:val="single" w:sz="4" w:space="0" w:color="auto"/>
              <w:right w:val="single" w:sz="4" w:space="0" w:color="auto"/>
            </w:tcBorders>
            <w:shd w:val="clear" w:color="auto" w:fill="auto"/>
            <w:noWrap/>
            <w:vAlign w:val="bottom"/>
            <w:hideMark/>
          </w:tcPr>
          <w:p w14:paraId="788ABB5D" w14:textId="77777777" w:rsidR="00F01CB3" w:rsidRDefault="00F01CB3">
            <w:pPr>
              <w:jc w:val="center"/>
              <w:rPr>
                <w:rFonts w:ascii="Calibri" w:hAnsi="Calibri"/>
                <w:color w:val="000000"/>
              </w:rPr>
            </w:pPr>
            <w:r>
              <w:rPr>
                <w:rFonts w:ascii="Calibri" w:hAnsi="Calibri"/>
                <w:color w:val="000000"/>
              </w:rPr>
              <w:t>$915.96</w:t>
            </w:r>
          </w:p>
        </w:tc>
      </w:tr>
      <w:tr w:rsidR="00F01CB3" w14:paraId="4A3E7499" w14:textId="77777777" w:rsidTr="00C65BC9">
        <w:trPr>
          <w:trHeight w:val="315"/>
        </w:trPr>
        <w:tc>
          <w:tcPr>
            <w:tcW w:w="2860" w:type="dxa"/>
            <w:tcBorders>
              <w:top w:val="nil"/>
              <w:left w:val="nil"/>
              <w:bottom w:val="nil"/>
              <w:right w:val="nil"/>
            </w:tcBorders>
            <w:shd w:val="clear" w:color="auto" w:fill="auto"/>
            <w:noWrap/>
            <w:vAlign w:val="bottom"/>
            <w:hideMark/>
          </w:tcPr>
          <w:p w14:paraId="6CAE61C0" w14:textId="77777777" w:rsidR="00F01CB3" w:rsidRDefault="00F01CB3">
            <w:pPr>
              <w:rPr>
                <w:rFonts w:ascii="Calibri" w:hAnsi="Calibri"/>
                <w:b/>
                <w:bCs/>
                <w:color w:val="000000"/>
                <w:sz w:val="24"/>
                <w:szCs w:val="24"/>
              </w:rPr>
            </w:pPr>
            <w:r>
              <w:rPr>
                <w:rFonts w:ascii="Calibri" w:hAnsi="Calibri"/>
                <w:b/>
                <w:bCs/>
                <w:color w:val="000000"/>
              </w:rPr>
              <w:t xml:space="preserve">Totals: </w:t>
            </w:r>
          </w:p>
        </w:tc>
        <w:tc>
          <w:tcPr>
            <w:tcW w:w="1820" w:type="dxa"/>
            <w:tcBorders>
              <w:top w:val="nil"/>
              <w:left w:val="nil"/>
              <w:bottom w:val="nil"/>
              <w:right w:val="nil"/>
            </w:tcBorders>
            <w:shd w:val="clear" w:color="auto" w:fill="auto"/>
            <w:noWrap/>
            <w:vAlign w:val="bottom"/>
            <w:hideMark/>
          </w:tcPr>
          <w:p w14:paraId="78E8E1E8" w14:textId="19C6B0CD" w:rsidR="00F01CB3" w:rsidRDefault="00F01CB3">
            <w:pPr>
              <w:jc w:val="center"/>
              <w:rPr>
                <w:rFonts w:ascii="Calibri" w:hAnsi="Calibri"/>
                <w:b/>
                <w:bCs/>
                <w:color w:val="000000"/>
              </w:rPr>
            </w:pPr>
            <w:r>
              <w:rPr>
                <w:rFonts w:ascii="Calibri" w:hAnsi="Calibri"/>
                <w:b/>
                <w:bCs/>
                <w:color w:val="000000"/>
              </w:rPr>
              <w:t>174.44</w:t>
            </w:r>
          </w:p>
        </w:tc>
        <w:tc>
          <w:tcPr>
            <w:tcW w:w="1680" w:type="dxa"/>
            <w:tcBorders>
              <w:top w:val="nil"/>
              <w:left w:val="nil"/>
              <w:bottom w:val="nil"/>
              <w:right w:val="nil"/>
            </w:tcBorders>
            <w:shd w:val="clear" w:color="auto" w:fill="auto"/>
            <w:noWrap/>
            <w:vAlign w:val="bottom"/>
            <w:hideMark/>
          </w:tcPr>
          <w:p w14:paraId="192F757F" w14:textId="77777777" w:rsidR="00F01CB3" w:rsidRDefault="00F01CB3">
            <w:pPr>
              <w:jc w:val="center"/>
              <w:rPr>
                <w:rFonts w:ascii="Calibri" w:hAnsi="Calibri"/>
                <w:b/>
                <w:bCs/>
                <w:color w:val="000000"/>
              </w:rPr>
            </w:pPr>
            <w:r>
              <w:rPr>
                <w:rFonts w:ascii="Calibri" w:hAnsi="Calibri"/>
                <w:b/>
                <w:bCs/>
                <w:color w:val="000000"/>
              </w:rPr>
              <w:t>131.25</w:t>
            </w:r>
          </w:p>
        </w:tc>
        <w:tc>
          <w:tcPr>
            <w:tcW w:w="1580" w:type="dxa"/>
            <w:tcBorders>
              <w:top w:val="nil"/>
              <w:left w:val="nil"/>
              <w:bottom w:val="nil"/>
              <w:right w:val="nil"/>
            </w:tcBorders>
            <w:shd w:val="clear" w:color="auto" w:fill="auto"/>
            <w:noWrap/>
            <w:vAlign w:val="bottom"/>
            <w:hideMark/>
          </w:tcPr>
          <w:p w14:paraId="4CBB587C" w14:textId="77777777" w:rsidR="00F01CB3" w:rsidRDefault="00F01CB3">
            <w:pPr>
              <w:jc w:val="center"/>
              <w:rPr>
                <w:rFonts w:ascii="Calibri" w:hAnsi="Calibri"/>
                <w:b/>
                <w:bCs/>
                <w:color w:val="000000"/>
              </w:rPr>
            </w:pPr>
            <w:r>
              <w:rPr>
                <w:rFonts w:ascii="Calibri" w:hAnsi="Calibri"/>
                <w:b/>
                <w:bCs/>
                <w:color w:val="000000"/>
              </w:rPr>
              <w:t>$4,530.49</w:t>
            </w:r>
          </w:p>
        </w:tc>
      </w:tr>
    </w:tbl>
    <w:p w14:paraId="2961D35F" w14:textId="77777777" w:rsidR="004A4867" w:rsidRPr="00877558" w:rsidRDefault="004A4867" w:rsidP="00FD6EDC">
      <w:pPr>
        <w:pStyle w:val="BodyText"/>
      </w:pPr>
    </w:p>
    <w:p w14:paraId="28F6A90C" w14:textId="77777777" w:rsidR="004A4867" w:rsidRPr="00877558" w:rsidRDefault="00877558" w:rsidP="00FD6EDC">
      <w:pPr>
        <w:pStyle w:val="ListParagraph"/>
        <w:numPr>
          <w:ilvl w:val="0"/>
          <w:numId w:val="1"/>
        </w:numPr>
        <w:tabs>
          <w:tab w:val="left" w:pos="552"/>
        </w:tabs>
        <w:ind w:left="0" w:firstLine="0"/>
        <w:rPr>
          <w:sz w:val="24"/>
          <w:szCs w:val="24"/>
        </w:rPr>
      </w:pPr>
      <w:r w:rsidRPr="00877558">
        <w:rPr>
          <w:sz w:val="24"/>
          <w:szCs w:val="24"/>
          <w:u w:val="single"/>
        </w:rPr>
        <w:t>Changes to</w:t>
      </w:r>
      <w:r w:rsidRPr="00877558">
        <w:rPr>
          <w:spacing w:val="3"/>
          <w:sz w:val="24"/>
          <w:szCs w:val="24"/>
          <w:u w:val="single"/>
        </w:rPr>
        <w:t xml:space="preserve"> </w:t>
      </w:r>
      <w:r w:rsidRPr="00877558">
        <w:rPr>
          <w:sz w:val="24"/>
          <w:szCs w:val="24"/>
          <w:u w:val="single"/>
        </w:rPr>
        <w:t>Burden</w:t>
      </w:r>
    </w:p>
    <w:p w14:paraId="19BFFA6B" w14:textId="77777777" w:rsidR="004A4867" w:rsidRPr="00877558" w:rsidRDefault="004A4867" w:rsidP="00FD6EDC">
      <w:pPr>
        <w:pStyle w:val="BodyText"/>
      </w:pPr>
    </w:p>
    <w:p w14:paraId="74F6922A" w14:textId="77777777" w:rsidR="004A4867" w:rsidRPr="00877558" w:rsidRDefault="00CA11CD" w:rsidP="00FD6EDC">
      <w:pPr>
        <w:pStyle w:val="BodyText"/>
      </w:pPr>
      <w:r w:rsidRPr="00877558">
        <w:t xml:space="preserve">There are no program changes or any </w:t>
      </w:r>
      <w:r w:rsidR="00877558" w:rsidRPr="00877558">
        <w:t xml:space="preserve">revisions to the </w:t>
      </w:r>
      <w:r w:rsidRPr="00877558">
        <w:t xml:space="preserve">instructions and </w:t>
      </w:r>
      <w:r w:rsidR="00877558" w:rsidRPr="00877558">
        <w:t>screenshots.</w:t>
      </w:r>
    </w:p>
    <w:p w14:paraId="32525769" w14:textId="77777777" w:rsidR="004A4867" w:rsidRPr="00877558" w:rsidRDefault="004A4867" w:rsidP="00FD6EDC">
      <w:pPr>
        <w:pStyle w:val="BodyText"/>
      </w:pPr>
    </w:p>
    <w:p w14:paraId="1BF01E41" w14:textId="77777777" w:rsidR="00670B1E" w:rsidRPr="00877558" w:rsidRDefault="00670B1E" w:rsidP="00FD6EDC">
      <w:pPr>
        <w:pStyle w:val="BodyText"/>
      </w:pPr>
      <w:r w:rsidRPr="00877558">
        <w:t>Our 5 min/response estimate is unchanged.</w:t>
      </w:r>
    </w:p>
    <w:p w14:paraId="65C5658C" w14:textId="77777777" w:rsidR="00670B1E" w:rsidRPr="00877558" w:rsidRDefault="00670B1E" w:rsidP="00FD6EDC">
      <w:pPr>
        <w:pStyle w:val="BodyText"/>
      </w:pPr>
    </w:p>
    <w:p w14:paraId="60D5A611" w14:textId="77777777" w:rsidR="00CA11CD" w:rsidRPr="00877558" w:rsidRDefault="0069060D" w:rsidP="00CA11CD">
      <w:pPr>
        <w:rPr>
          <w:sz w:val="24"/>
          <w:szCs w:val="24"/>
        </w:rPr>
      </w:pPr>
      <w:r w:rsidRPr="00877558">
        <w:rPr>
          <w:sz w:val="24"/>
          <w:szCs w:val="24"/>
        </w:rPr>
        <w:t>However, w</w:t>
      </w:r>
      <w:r w:rsidR="00CA11CD" w:rsidRPr="00877558">
        <w:rPr>
          <w:sz w:val="24"/>
          <w:szCs w:val="24"/>
        </w:rPr>
        <w:t>e are correcting and adjusting our burden estimates as follows:</w:t>
      </w:r>
    </w:p>
    <w:p w14:paraId="7F50BDD4" w14:textId="77777777" w:rsidR="00CA11CD" w:rsidRPr="00877558" w:rsidRDefault="00CA11CD" w:rsidP="00CA11CD">
      <w:pPr>
        <w:rPr>
          <w:sz w:val="24"/>
          <w:szCs w:val="24"/>
        </w:rPr>
      </w:pPr>
    </w:p>
    <w:p w14:paraId="578F5E2F" w14:textId="77777777" w:rsidR="00CA11CD" w:rsidRPr="00877558" w:rsidRDefault="00CA11CD" w:rsidP="00CA11CD">
      <w:pPr>
        <w:rPr>
          <w:sz w:val="24"/>
          <w:szCs w:val="24"/>
        </w:rPr>
      </w:pPr>
      <w:r w:rsidRPr="00877558">
        <w:rPr>
          <w:sz w:val="24"/>
          <w:szCs w:val="24"/>
        </w:rPr>
        <w:t xml:space="preserve">The currently approved information collection request inadvertently set out 2,793 states in the ROCIS burden table. This should have been 29 states. </w:t>
      </w:r>
    </w:p>
    <w:p w14:paraId="321D07C4" w14:textId="77777777" w:rsidR="00CA11CD" w:rsidRPr="00877558" w:rsidRDefault="00CA11CD" w:rsidP="00CA11CD">
      <w:pPr>
        <w:rPr>
          <w:sz w:val="24"/>
          <w:szCs w:val="24"/>
        </w:rPr>
      </w:pPr>
    </w:p>
    <w:p w14:paraId="1EBFCA1D" w14:textId="77777777" w:rsidR="00CA11CD" w:rsidRPr="00877558" w:rsidRDefault="00CA11CD" w:rsidP="00CA11CD">
      <w:pPr>
        <w:rPr>
          <w:sz w:val="24"/>
          <w:szCs w:val="24"/>
        </w:rPr>
      </w:pPr>
      <w:r w:rsidRPr="00877558">
        <w:rPr>
          <w:sz w:val="24"/>
          <w:szCs w:val="24"/>
        </w:rPr>
        <w:t xml:space="preserve">We are adjusting our </w:t>
      </w:r>
      <w:r w:rsidR="00670B1E" w:rsidRPr="00877558">
        <w:rPr>
          <w:sz w:val="24"/>
          <w:szCs w:val="24"/>
        </w:rPr>
        <w:t>private sector respondent estimate +3</w:t>
      </w:r>
      <w:r w:rsidRPr="00877558">
        <w:rPr>
          <w:sz w:val="24"/>
          <w:szCs w:val="24"/>
        </w:rPr>
        <w:t>,</w:t>
      </w:r>
      <w:r w:rsidR="00670B1E" w:rsidRPr="00877558">
        <w:rPr>
          <w:sz w:val="24"/>
          <w:szCs w:val="24"/>
        </w:rPr>
        <w:t>285</w:t>
      </w:r>
      <w:r w:rsidRPr="00877558">
        <w:rPr>
          <w:sz w:val="24"/>
          <w:szCs w:val="24"/>
        </w:rPr>
        <w:t>.</w:t>
      </w:r>
    </w:p>
    <w:p w14:paraId="3EB98131" w14:textId="77777777" w:rsidR="00CA11CD" w:rsidRPr="00877558" w:rsidRDefault="00CA11CD" w:rsidP="00FD6EDC">
      <w:pPr>
        <w:pStyle w:val="BodyText"/>
      </w:pPr>
    </w:p>
    <w:p w14:paraId="6D9E19A7" w14:textId="77777777" w:rsidR="00670B1E" w:rsidRDefault="00670B1E" w:rsidP="00FD6EDC">
      <w:pPr>
        <w:pStyle w:val="BodyText"/>
      </w:pPr>
      <w:r w:rsidRPr="00877558">
        <w:t xml:space="preserve">The net change is </w:t>
      </w:r>
      <w:r w:rsidR="007A635F" w:rsidRPr="00877558">
        <w:t>+521 responses and -93 hours</w:t>
      </w:r>
    </w:p>
    <w:p w14:paraId="1DA77148" w14:textId="77777777" w:rsidR="00CD08C5" w:rsidRDefault="00CD08C5" w:rsidP="00FD6EDC">
      <w:pPr>
        <w:pStyle w:val="BodyText"/>
      </w:pPr>
    </w:p>
    <w:p w14:paraId="144C8C6B" w14:textId="1F83C488" w:rsidR="00494B3E" w:rsidRDefault="00494B3E" w:rsidP="00FD6EDC">
      <w:pPr>
        <w:pStyle w:val="BodyText"/>
      </w:pPr>
      <w:r>
        <w:t>We are also correcting our cost estimates by aligning respondents with BLS occupations and by doubling their wage to account for fringe benefits and overhead.</w:t>
      </w:r>
    </w:p>
    <w:p w14:paraId="654B083D" w14:textId="77777777" w:rsidR="00670B1E" w:rsidRPr="00877558" w:rsidRDefault="00670B1E" w:rsidP="00FD6EDC">
      <w:pPr>
        <w:pStyle w:val="BodyText"/>
      </w:pPr>
    </w:p>
    <w:p w14:paraId="0A87EDA5" w14:textId="77777777" w:rsidR="004A4867" w:rsidRDefault="00877558" w:rsidP="00FD6EDC">
      <w:pPr>
        <w:pStyle w:val="ListParagraph"/>
        <w:numPr>
          <w:ilvl w:val="0"/>
          <w:numId w:val="1"/>
        </w:numPr>
        <w:tabs>
          <w:tab w:val="left" w:pos="552"/>
        </w:tabs>
        <w:ind w:left="0" w:firstLine="0"/>
        <w:rPr>
          <w:sz w:val="24"/>
        </w:rPr>
      </w:pPr>
      <w:r w:rsidRPr="00877558">
        <w:rPr>
          <w:sz w:val="24"/>
          <w:szCs w:val="24"/>
          <w:u w:val="single"/>
        </w:rPr>
        <w:t>Publication/Tabulation</w:t>
      </w:r>
      <w:r w:rsidRPr="00877558">
        <w:rPr>
          <w:spacing w:val="-11"/>
          <w:sz w:val="24"/>
          <w:szCs w:val="24"/>
          <w:u w:val="single"/>
        </w:rPr>
        <w:t xml:space="preserve"> </w:t>
      </w:r>
      <w:r w:rsidRPr="00877558">
        <w:rPr>
          <w:sz w:val="24"/>
          <w:szCs w:val="24"/>
          <w:u w:val="single"/>
        </w:rPr>
        <w:t>Date</w:t>
      </w:r>
      <w:r>
        <w:rPr>
          <w:sz w:val="24"/>
          <w:u w:val="single"/>
        </w:rPr>
        <w:t>s</w:t>
      </w:r>
    </w:p>
    <w:p w14:paraId="1BB4927C" w14:textId="77777777" w:rsidR="004A4867" w:rsidRDefault="004A4867" w:rsidP="00FD6EDC">
      <w:pPr>
        <w:pStyle w:val="BodyText"/>
      </w:pPr>
    </w:p>
    <w:p w14:paraId="796453B8" w14:textId="77777777" w:rsidR="004A4867" w:rsidRDefault="00877558" w:rsidP="00FD6EDC">
      <w:pPr>
        <w:pStyle w:val="BodyText"/>
      </w:pPr>
      <w:r>
        <w:t>There are no publication or tabulation dates.</w:t>
      </w:r>
    </w:p>
    <w:p w14:paraId="18ECAE49" w14:textId="77777777" w:rsidR="004A4867" w:rsidRDefault="004A4867" w:rsidP="00FD6EDC">
      <w:pPr>
        <w:pStyle w:val="BodyText"/>
        <w:rPr>
          <w:sz w:val="25"/>
        </w:rPr>
      </w:pPr>
    </w:p>
    <w:p w14:paraId="4AE6E47C" w14:textId="77777777" w:rsidR="004A4867" w:rsidRDefault="00877558" w:rsidP="00FD6EDC">
      <w:pPr>
        <w:pStyle w:val="ListParagraph"/>
        <w:numPr>
          <w:ilvl w:val="0"/>
          <w:numId w:val="1"/>
        </w:numPr>
        <w:tabs>
          <w:tab w:val="left" w:pos="552"/>
        </w:tabs>
        <w:ind w:left="0" w:firstLine="0"/>
        <w:rPr>
          <w:sz w:val="24"/>
        </w:rPr>
      </w:pPr>
      <w:r>
        <w:rPr>
          <w:sz w:val="24"/>
          <w:u w:val="single"/>
        </w:rPr>
        <w:t>Expiration</w:t>
      </w:r>
      <w:r>
        <w:rPr>
          <w:spacing w:val="-4"/>
          <w:sz w:val="24"/>
          <w:u w:val="single"/>
        </w:rPr>
        <w:t xml:space="preserve"> </w:t>
      </w:r>
      <w:r>
        <w:rPr>
          <w:sz w:val="24"/>
          <w:u w:val="single"/>
        </w:rPr>
        <w:t>Date</w:t>
      </w:r>
    </w:p>
    <w:p w14:paraId="16D84B35" w14:textId="77777777" w:rsidR="004A4867" w:rsidRDefault="004A4867" w:rsidP="00FD6EDC">
      <w:pPr>
        <w:pStyle w:val="BodyText"/>
        <w:rPr>
          <w:sz w:val="25"/>
        </w:rPr>
      </w:pPr>
    </w:p>
    <w:p w14:paraId="02C9E1C9" w14:textId="77777777" w:rsidR="004A4867" w:rsidRDefault="00877558" w:rsidP="00FD6EDC">
      <w:pPr>
        <w:pStyle w:val="BodyText"/>
      </w:pPr>
      <w:r>
        <w:t>CMS would like to display the expiration date.</w:t>
      </w:r>
    </w:p>
    <w:p w14:paraId="15E791F9" w14:textId="77777777" w:rsidR="004A4867" w:rsidRDefault="004A4867" w:rsidP="00FD6EDC">
      <w:pPr>
        <w:pStyle w:val="BodyText"/>
        <w:rPr>
          <w:sz w:val="25"/>
        </w:rPr>
      </w:pPr>
    </w:p>
    <w:p w14:paraId="6FD7A88A" w14:textId="77777777" w:rsidR="004A4867" w:rsidRDefault="00877558" w:rsidP="00FD6EDC">
      <w:pPr>
        <w:pStyle w:val="ListParagraph"/>
        <w:numPr>
          <w:ilvl w:val="0"/>
          <w:numId w:val="1"/>
        </w:numPr>
        <w:tabs>
          <w:tab w:val="left" w:pos="552"/>
        </w:tabs>
        <w:ind w:left="0" w:firstLine="0"/>
        <w:rPr>
          <w:sz w:val="24"/>
        </w:rPr>
      </w:pPr>
      <w:r>
        <w:rPr>
          <w:sz w:val="24"/>
          <w:u w:val="single"/>
        </w:rPr>
        <w:t>Certification</w:t>
      </w:r>
      <w:r>
        <w:rPr>
          <w:spacing w:val="-6"/>
          <w:sz w:val="24"/>
          <w:u w:val="single"/>
        </w:rPr>
        <w:t xml:space="preserve"> </w:t>
      </w:r>
      <w:r>
        <w:rPr>
          <w:sz w:val="24"/>
          <w:u w:val="single"/>
        </w:rPr>
        <w:t>Statement</w:t>
      </w:r>
    </w:p>
    <w:p w14:paraId="3F69B7FC" w14:textId="77777777" w:rsidR="004A4867" w:rsidRDefault="004A4867" w:rsidP="00FD6EDC">
      <w:pPr>
        <w:pStyle w:val="BodyText"/>
      </w:pPr>
    </w:p>
    <w:p w14:paraId="55C41025" w14:textId="77777777" w:rsidR="004A4867" w:rsidRDefault="00877558" w:rsidP="00FD6EDC">
      <w:pPr>
        <w:pStyle w:val="BodyText"/>
      </w:pPr>
      <w:r>
        <w:t>There are no exceptions to the certification statement.</w:t>
      </w:r>
    </w:p>
    <w:p w14:paraId="5DAC2DDC" w14:textId="77777777" w:rsidR="004A4867" w:rsidRDefault="004A4867" w:rsidP="00FD6EDC">
      <w:pPr>
        <w:pStyle w:val="BodyText"/>
        <w:rPr>
          <w:sz w:val="22"/>
        </w:rPr>
      </w:pPr>
    </w:p>
    <w:p w14:paraId="316849A2" w14:textId="77777777" w:rsidR="004A4867" w:rsidRDefault="00877558" w:rsidP="00FD6EDC">
      <w:pPr>
        <w:pStyle w:val="Heading1"/>
        <w:numPr>
          <w:ilvl w:val="0"/>
          <w:numId w:val="2"/>
        </w:numPr>
        <w:tabs>
          <w:tab w:val="left" w:pos="540"/>
        </w:tabs>
        <w:ind w:left="0" w:firstLine="0"/>
      </w:pPr>
      <w:r>
        <w:t>Collections of Information Employing Statistical</w:t>
      </w:r>
      <w:r>
        <w:rPr>
          <w:spacing w:val="-21"/>
        </w:rPr>
        <w:t xml:space="preserve"> </w:t>
      </w:r>
      <w:r>
        <w:t>Methods</w:t>
      </w:r>
    </w:p>
    <w:p w14:paraId="08DD973C" w14:textId="77777777" w:rsidR="004A4867" w:rsidRDefault="004A4867" w:rsidP="00FD6EDC">
      <w:pPr>
        <w:pStyle w:val="BodyText"/>
        <w:rPr>
          <w:b/>
        </w:rPr>
      </w:pPr>
    </w:p>
    <w:p w14:paraId="37FF81EF" w14:textId="77777777" w:rsidR="004A4867" w:rsidRDefault="00877558" w:rsidP="00FD6EDC">
      <w:pPr>
        <w:pStyle w:val="BodyText"/>
      </w:pPr>
      <w:r>
        <w:t>Not applicable.</w:t>
      </w:r>
    </w:p>
    <w:p w14:paraId="60287CF2" w14:textId="77777777" w:rsidR="00FD6EDC" w:rsidRDefault="00FD6EDC" w:rsidP="00FD6EDC">
      <w:pPr>
        <w:pStyle w:val="BodyText"/>
      </w:pPr>
    </w:p>
    <w:sectPr w:rsidR="00FD6EDC">
      <w:pgSz w:w="12240" w:h="15840"/>
      <w:pgMar w:top="1500" w:right="1220" w:bottom="1940" w:left="1320" w:header="0" w:footer="17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8CEC8" w14:textId="77777777" w:rsidR="009F7C8C" w:rsidRDefault="009F7C8C">
      <w:r>
        <w:separator/>
      </w:r>
    </w:p>
  </w:endnote>
  <w:endnote w:type="continuationSeparator" w:id="0">
    <w:p w14:paraId="66CF8CBE" w14:textId="77777777" w:rsidR="009F7C8C" w:rsidRDefault="009F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48C1A" w14:textId="66F206AB" w:rsidR="004A4867" w:rsidRDefault="00F046E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8D1F32F" wp14:editId="48D322FC">
              <wp:simplePos x="0" y="0"/>
              <wp:positionH relativeFrom="page">
                <wp:posOffset>901700</wp:posOffset>
              </wp:positionH>
              <wp:positionV relativeFrom="page">
                <wp:posOffset>8808085</wp:posOffset>
              </wp:positionV>
              <wp:extent cx="43370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B2519" w14:textId="6D85B763" w:rsidR="004A4867" w:rsidRDefault="00877558">
                          <w:pPr>
                            <w:spacing w:before="10"/>
                            <w:ind w:left="20"/>
                            <w:rPr>
                              <w:sz w:val="20"/>
                            </w:rPr>
                          </w:pPr>
                          <w:r>
                            <w:rPr>
                              <w:sz w:val="20"/>
                            </w:rPr>
                            <w:t xml:space="preserve">Page | </w:t>
                          </w:r>
                          <w:r>
                            <w:fldChar w:fldCharType="begin"/>
                          </w:r>
                          <w:r>
                            <w:rPr>
                              <w:sz w:val="20"/>
                            </w:rPr>
                            <w:instrText xml:space="preserve"> PAGE </w:instrText>
                          </w:r>
                          <w:r>
                            <w:fldChar w:fldCharType="separate"/>
                          </w:r>
                          <w:r w:rsidR="00B009EE">
                            <w:rPr>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1pt;margin-top:693.55pt;width:34.1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" filled="f" stroked="f">
              <v:textbox inset="0,0,0,0">
                <w:txbxContent>
                  <w:p w14:paraId="196B2519" w14:textId="6D85B763" w:rsidR="004A4867" w:rsidRDefault="00877558">
                    <w:pPr>
                      <w:spacing w:before="10"/>
                      <w:ind w:left="20"/>
                      <w:rPr>
                        <w:sz w:val="20"/>
                      </w:rPr>
                    </w:pPr>
                    <w:r>
                      <w:rPr>
                        <w:sz w:val="20"/>
                      </w:rPr>
                      <w:t xml:space="preserve">Page | </w:t>
                    </w:r>
                    <w:r>
                      <w:fldChar w:fldCharType="begin"/>
                    </w:r>
                    <w:r>
                      <w:rPr>
                        <w:sz w:val="20"/>
                      </w:rPr>
                      <w:instrText xml:space="preserve"> PAGE </w:instrText>
                    </w:r>
                    <w:r>
                      <w:fldChar w:fldCharType="separate"/>
                    </w:r>
                    <w:r w:rsidR="00B009EE">
                      <w:rPr>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7B535" w14:textId="77777777" w:rsidR="009F7C8C" w:rsidRDefault="009F7C8C">
      <w:r>
        <w:separator/>
      </w:r>
    </w:p>
  </w:footnote>
  <w:footnote w:type="continuationSeparator" w:id="0">
    <w:p w14:paraId="39E037E8" w14:textId="77777777" w:rsidR="009F7C8C" w:rsidRDefault="009F7C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941"/>
    <w:multiLevelType w:val="hybridMultilevel"/>
    <w:tmpl w:val="29261E42"/>
    <w:lvl w:ilvl="0" w:tplc="11FA0D66">
      <w:start w:val="1"/>
      <w:numFmt w:val="upperLetter"/>
      <w:lvlText w:val="%1."/>
      <w:lvlJc w:val="left"/>
      <w:pPr>
        <w:ind w:left="520" w:hanging="420"/>
      </w:pPr>
      <w:rPr>
        <w:rFonts w:ascii="Times New Roman" w:eastAsia="Times New Roman" w:hAnsi="Times New Roman" w:cs="Times New Roman" w:hint="default"/>
        <w:b/>
        <w:bCs/>
        <w:spacing w:val="-3"/>
        <w:w w:val="99"/>
        <w:sz w:val="24"/>
        <w:szCs w:val="24"/>
      </w:rPr>
    </w:lvl>
    <w:lvl w:ilvl="1" w:tplc="3DE0359A">
      <w:numFmt w:val="bullet"/>
      <w:lvlText w:val="•"/>
      <w:lvlJc w:val="left"/>
      <w:pPr>
        <w:ind w:left="1462" w:hanging="420"/>
      </w:pPr>
      <w:rPr>
        <w:rFonts w:hint="default"/>
      </w:rPr>
    </w:lvl>
    <w:lvl w:ilvl="2" w:tplc="9E8CFC08">
      <w:numFmt w:val="bullet"/>
      <w:lvlText w:val="•"/>
      <w:lvlJc w:val="left"/>
      <w:pPr>
        <w:ind w:left="2404" w:hanging="420"/>
      </w:pPr>
      <w:rPr>
        <w:rFonts w:hint="default"/>
      </w:rPr>
    </w:lvl>
    <w:lvl w:ilvl="3" w:tplc="720A7406">
      <w:numFmt w:val="bullet"/>
      <w:lvlText w:val="•"/>
      <w:lvlJc w:val="left"/>
      <w:pPr>
        <w:ind w:left="3346" w:hanging="420"/>
      </w:pPr>
      <w:rPr>
        <w:rFonts w:hint="default"/>
      </w:rPr>
    </w:lvl>
    <w:lvl w:ilvl="4" w:tplc="8E026D46">
      <w:numFmt w:val="bullet"/>
      <w:lvlText w:val="•"/>
      <w:lvlJc w:val="left"/>
      <w:pPr>
        <w:ind w:left="4288" w:hanging="420"/>
      </w:pPr>
      <w:rPr>
        <w:rFonts w:hint="default"/>
      </w:rPr>
    </w:lvl>
    <w:lvl w:ilvl="5" w:tplc="B8C0520C">
      <w:numFmt w:val="bullet"/>
      <w:lvlText w:val="•"/>
      <w:lvlJc w:val="left"/>
      <w:pPr>
        <w:ind w:left="5230" w:hanging="420"/>
      </w:pPr>
      <w:rPr>
        <w:rFonts w:hint="default"/>
      </w:rPr>
    </w:lvl>
    <w:lvl w:ilvl="6" w:tplc="FF3A212E">
      <w:numFmt w:val="bullet"/>
      <w:lvlText w:val="•"/>
      <w:lvlJc w:val="left"/>
      <w:pPr>
        <w:ind w:left="6172" w:hanging="420"/>
      </w:pPr>
      <w:rPr>
        <w:rFonts w:hint="default"/>
      </w:rPr>
    </w:lvl>
    <w:lvl w:ilvl="7" w:tplc="56F8D246">
      <w:numFmt w:val="bullet"/>
      <w:lvlText w:val="•"/>
      <w:lvlJc w:val="left"/>
      <w:pPr>
        <w:ind w:left="7114" w:hanging="420"/>
      </w:pPr>
      <w:rPr>
        <w:rFonts w:hint="default"/>
      </w:rPr>
    </w:lvl>
    <w:lvl w:ilvl="8" w:tplc="5D0C335C">
      <w:numFmt w:val="bullet"/>
      <w:lvlText w:val="•"/>
      <w:lvlJc w:val="left"/>
      <w:pPr>
        <w:ind w:left="8056" w:hanging="420"/>
      </w:pPr>
      <w:rPr>
        <w:rFonts w:hint="default"/>
      </w:rPr>
    </w:lvl>
  </w:abstractNum>
  <w:abstractNum w:abstractNumId="1">
    <w:nsid w:val="7B0B365F"/>
    <w:multiLevelType w:val="hybridMultilevel"/>
    <w:tmpl w:val="18B8CD2E"/>
    <w:lvl w:ilvl="0" w:tplc="DFB24714">
      <w:start w:val="2"/>
      <w:numFmt w:val="decimal"/>
      <w:lvlText w:val="%1."/>
      <w:lvlJc w:val="left"/>
      <w:pPr>
        <w:ind w:left="520" w:hanging="420"/>
      </w:pPr>
      <w:rPr>
        <w:rFonts w:ascii="Times New Roman" w:eastAsia="Times New Roman" w:hAnsi="Times New Roman" w:cs="Times New Roman" w:hint="default"/>
        <w:spacing w:val="-11"/>
        <w:w w:val="99"/>
        <w:sz w:val="24"/>
        <w:szCs w:val="24"/>
      </w:rPr>
    </w:lvl>
    <w:lvl w:ilvl="1" w:tplc="2CF40E7A">
      <w:numFmt w:val="bullet"/>
      <w:lvlText w:val="•"/>
      <w:lvlJc w:val="left"/>
      <w:pPr>
        <w:ind w:left="1252" w:hanging="648"/>
      </w:pPr>
      <w:rPr>
        <w:rFonts w:ascii="Times New Roman" w:eastAsia="Times New Roman" w:hAnsi="Times New Roman" w:cs="Times New Roman" w:hint="default"/>
        <w:w w:val="129"/>
        <w:sz w:val="24"/>
        <w:szCs w:val="24"/>
      </w:rPr>
    </w:lvl>
    <w:lvl w:ilvl="2" w:tplc="A03A3ADA">
      <w:numFmt w:val="bullet"/>
      <w:lvlText w:val="•"/>
      <w:lvlJc w:val="left"/>
      <w:pPr>
        <w:ind w:left="1260" w:hanging="648"/>
      </w:pPr>
      <w:rPr>
        <w:rFonts w:hint="default"/>
      </w:rPr>
    </w:lvl>
    <w:lvl w:ilvl="3" w:tplc="2AA2FB18">
      <w:numFmt w:val="bullet"/>
      <w:lvlText w:val="•"/>
      <w:lvlJc w:val="left"/>
      <w:pPr>
        <w:ind w:left="2340" w:hanging="648"/>
      </w:pPr>
      <w:rPr>
        <w:rFonts w:hint="default"/>
      </w:rPr>
    </w:lvl>
    <w:lvl w:ilvl="4" w:tplc="4D3A18E8">
      <w:numFmt w:val="bullet"/>
      <w:lvlText w:val="•"/>
      <w:lvlJc w:val="left"/>
      <w:pPr>
        <w:ind w:left="3420" w:hanging="648"/>
      </w:pPr>
      <w:rPr>
        <w:rFonts w:hint="default"/>
      </w:rPr>
    </w:lvl>
    <w:lvl w:ilvl="5" w:tplc="048018DC">
      <w:numFmt w:val="bullet"/>
      <w:lvlText w:val="•"/>
      <w:lvlJc w:val="left"/>
      <w:pPr>
        <w:ind w:left="4500" w:hanging="648"/>
      </w:pPr>
      <w:rPr>
        <w:rFonts w:hint="default"/>
      </w:rPr>
    </w:lvl>
    <w:lvl w:ilvl="6" w:tplc="EE1E80DC">
      <w:numFmt w:val="bullet"/>
      <w:lvlText w:val="•"/>
      <w:lvlJc w:val="left"/>
      <w:pPr>
        <w:ind w:left="5580" w:hanging="648"/>
      </w:pPr>
      <w:rPr>
        <w:rFonts w:hint="default"/>
      </w:rPr>
    </w:lvl>
    <w:lvl w:ilvl="7" w:tplc="0F1295BC">
      <w:numFmt w:val="bullet"/>
      <w:lvlText w:val="•"/>
      <w:lvlJc w:val="left"/>
      <w:pPr>
        <w:ind w:left="6660" w:hanging="648"/>
      </w:pPr>
      <w:rPr>
        <w:rFonts w:hint="default"/>
      </w:rPr>
    </w:lvl>
    <w:lvl w:ilvl="8" w:tplc="BC547522">
      <w:numFmt w:val="bullet"/>
      <w:lvlText w:val="•"/>
      <w:lvlJc w:val="left"/>
      <w:pPr>
        <w:ind w:left="7740" w:hanging="64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867"/>
    <w:rsid w:val="00052C1C"/>
    <w:rsid w:val="00080BA5"/>
    <w:rsid w:val="00082E3E"/>
    <w:rsid w:val="000C7199"/>
    <w:rsid w:val="001746C8"/>
    <w:rsid w:val="00185C9E"/>
    <w:rsid w:val="00194036"/>
    <w:rsid w:val="001A0E53"/>
    <w:rsid w:val="001A2578"/>
    <w:rsid w:val="001C0F28"/>
    <w:rsid w:val="001F075B"/>
    <w:rsid w:val="00212C22"/>
    <w:rsid w:val="002B16B8"/>
    <w:rsid w:val="00306659"/>
    <w:rsid w:val="00316925"/>
    <w:rsid w:val="003205EB"/>
    <w:rsid w:val="003B6126"/>
    <w:rsid w:val="003F4A25"/>
    <w:rsid w:val="00407EB5"/>
    <w:rsid w:val="004101BF"/>
    <w:rsid w:val="00494B3E"/>
    <w:rsid w:val="00497131"/>
    <w:rsid w:val="004A4867"/>
    <w:rsid w:val="004B1FDE"/>
    <w:rsid w:val="004B4F57"/>
    <w:rsid w:val="004E6026"/>
    <w:rsid w:val="0050497A"/>
    <w:rsid w:val="00540933"/>
    <w:rsid w:val="005561D3"/>
    <w:rsid w:val="005A3A35"/>
    <w:rsid w:val="005A4D78"/>
    <w:rsid w:val="005E30FF"/>
    <w:rsid w:val="005E5BDB"/>
    <w:rsid w:val="006075A4"/>
    <w:rsid w:val="00634F78"/>
    <w:rsid w:val="00660DB9"/>
    <w:rsid w:val="00663AF0"/>
    <w:rsid w:val="00670B1E"/>
    <w:rsid w:val="0069060D"/>
    <w:rsid w:val="006E4DD4"/>
    <w:rsid w:val="0075040C"/>
    <w:rsid w:val="00765634"/>
    <w:rsid w:val="007A635F"/>
    <w:rsid w:val="007C1575"/>
    <w:rsid w:val="007D662E"/>
    <w:rsid w:val="007F76DA"/>
    <w:rsid w:val="00836191"/>
    <w:rsid w:val="008606CE"/>
    <w:rsid w:val="00874557"/>
    <w:rsid w:val="00877558"/>
    <w:rsid w:val="008B7168"/>
    <w:rsid w:val="008C1A7A"/>
    <w:rsid w:val="008D27B8"/>
    <w:rsid w:val="008E408C"/>
    <w:rsid w:val="0098036C"/>
    <w:rsid w:val="00987849"/>
    <w:rsid w:val="0099382D"/>
    <w:rsid w:val="009F7C8C"/>
    <w:rsid w:val="00A00277"/>
    <w:rsid w:val="00A36AFE"/>
    <w:rsid w:val="00A538EC"/>
    <w:rsid w:val="00A56CB2"/>
    <w:rsid w:val="00AA1FD3"/>
    <w:rsid w:val="00AA3DB6"/>
    <w:rsid w:val="00AC2169"/>
    <w:rsid w:val="00AC29B2"/>
    <w:rsid w:val="00AE4C46"/>
    <w:rsid w:val="00B009EE"/>
    <w:rsid w:val="00B13626"/>
    <w:rsid w:val="00B63C5E"/>
    <w:rsid w:val="00B90CBC"/>
    <w:rsid w:val="00B91C86"/>
    <w:rsid w:val="00C65BC9"/>
    <w:rsid w:val="00C72E1F"/>
    <w:rsid w:val="00C80025"/>
    <w:rsid w:val="00CA11CD"/>
    <w:rsid w:val="00CD08C5"/>
    <w:rsid w:val="00D0358D"/>
    <w:rsid w:val="00D674A4"/>
    <w:rsid w:val="00DA5914"/>
    <w:rsid w:val="00DC2102"/>
    <w:rsid w:val="00E05A0D"/>
    <w:rsid w:val="00E306B1"/>
    <w:rsid w:val="00F01CB3"/>
    <w:rsid w:val="00F02ED8"/>
    <w:rsid w:val="00F046E7"/>
    <w:rsid w:val="00F2186A"/>
    <w:rsid w:val="00F60C0C"/>
    <w:rsid w:val="00F9782E"/>
    <w:rsid w:val="00FC1932"/>
    <w:rsid w:val="00FD6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91C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hanging="4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4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A2578"/>
    <w:rPr>
      <w:sz w:val="16"/>
      <w:szCs w:val="16"/>
    </w:rPr>
  </w:style>
  <w:style w:type="paragraph" w:styleId="CommentText">
    <w:name w:val="annotation text"/>
    <w:basedOn w:val="Normal"/>
    <w:link w:val="CommentTextChar"/>
    <w:uiPriority w:val="99"/>
    <w:semiHidden/>
    <w:unhideWhenUsed/>
    <w:rsid w:val="001A2578"/>
    <w:rPr>
      <w:sz w:val="20"/>
      <w:szCs w:val="20"/>
    </w:rPr>
  </w:style>
  <w:style w:type="character" w:customStyle="1" w:styleId="CommentTextChar">
    <w:name w:val="Comment Text Char"/>
    <w:basedOn w:val="DefaultParagraphFont"/>
    <w:link w:val="CommentText"/>
    <w:uiPriority w:val="99"/>
    <w:semiHidden/>
    <w:rsid w:val="001A25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2578"/>
    <w:rPr>
      <w:b/>
      <w:bCs/>
    </w:rPr>
  </w:style>
  <w:style w:type="character" w:customStyle="1" w:styleId="CommentSubjectChar">
    <w:name w:val="Comment Subject Char"/>
    <w:basedOn w:val="CommentTextChar"/>
    <w:link w:val="CommentSubject"/>
    <w:uiPriority w:val="99"/>
    <w:semiHidden/>
    <w:rsid w:val="001A257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A25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578"/>
    <w:rPr>
      <w:rFonts w:ascii="Segoe UI" w:eastAsia="Times New Roman" w:hAnsi="Segoe UI" w:cs="Segoe UI"/>
      <w:sz w:val="18"/>
      <w:szCs w:val="18"/>
    </w:rPr>
  </w:style>
  <w:style w:type="character" w:styleId="Hyperlink">
    <w:name w:val="Hyperlink"/>
    <w:basedOn w:val="DefaultParagraphFont"/>
    <w:unhideWhenUsed/>
    <w:rsid w:val="00497131"/>
    <w:rPr>
      <w:color w:val="0000FF" w:themeColor="hyperlink"/>
      <w:u w:val="single"/>
    </w:rPr>
  </w:style>
  <w:style w:type="character" w:styleId="FollowedHyperlink">
    <w:name w:val="FollowedHyperlink"/>
    <w:basedOn w:val="DefaultParagraphFont"/>
    <w:uiPriority w:val="99"/>
    <w:semiHidden/>
    <w:unhideWhenUsed/>
    <w:rsid w:val="00E05A0D"/>
    <w:rPr>
      <w:color w:val="800080" w:themeColor="followedHyperlink"/>
      <w:u w:val="single"/>
    </w:rPr>
  </w:style>
  <w:style w:type="paragraph" w:customStyle="1" w:styleId="Body2">
    <w:name w:val="Body2"/>
    <w:basedOn w:val="Normal"/>
    <w:qFormat/>
    <w:rsid w:val="008D27B8"/>
    <w:pPr>
      <w:widowControl/>
      <w:autoSpaceDE/>
      <w:autoSpaceDN/>
    </w:pPr>
    <w:rPr>
      <w:rFonts w:ascii="Century Gothic" w:hAnsi="Century Gothic" w:cs="Shruti"/>
      <w:sz w:val="24"/>
      <w:szCs w:val="24"/>
    </w:rPr>
  </w:style>
  <w:style w:type="table" w:styleId="TableGrid">
    <w:name w:val="Table Grid"/>
    <w:basedOn w:val="TableNormal"/>
    <w:rsid w:val="008D27B8"/>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hanging="4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4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A2578"/>
    <w:rPr>
      <w:sz w:val="16"/>
      <w:szCs w:val="16"/>
    </w:rPr>
  </w:style>
  <w:style w:type="paragraph" w:styleId="CommentText">
    <w:name w:val="annotation text"/>
    <w:basedOn w:val="Normal"/>
    <w:link w:val="CommentTextChar"/>
    <w:uiPriority w:val="99"/>
    <w:semiHidden/>
    <w:unhideWhenUsed/>
    <w:rsid w:val="001A2578"/>
    <w:rPr>
      <w:sz w:val="20"/>
      <w:szCs w:val="20"/>
    </w:rPr>
  </w:style>
  <w:style w:type="character" w:customStyle="1" w:styleId="CommentTextChar">
    <w:name w:val="Comment Text Char"/>
    <w:basedOn w:val="DefaultParagraphFont"/>
    <w:link w:val="CommentText"/>
    <w:uiPriority w:val="99"/>
    <w:semiHidden/>
    <w:rsid w:val="001A25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2578"/>
    <w:rPr>
      <w:b/>
      <w:bCs/>
    </w:rPr>
  </w:style>
  <w:style w:type="character" w:customStyle="1" w:styleId="CommentSubjectChar">
    <w:name w:val="Comment Subject Char"/>
    <w:basedOn w:val="CommentTextChar"/>
    <w:link w:val="CommentSubject"/>
    <w:uiPriority w:val="99"/>
    <w:semiHidden/>
    <w:rsid w:val="001A257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A25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578"/>
    <w:rPr>
      <w:rFonts w:ascii="Segoe UI" w:eastAsia="Times New Roman" w:hAnsi="Segoe UI" w:cs="Segoe UI"/>
      <w:sz w:val="18"/>
      <w:szCs w:val="18"/>
    </w:rPr>
  </w:style>
  <w:style w:type="character" w:styleId="Hyperlink">
    <w:name w:val="Hyperlink"/>
    <w:basedOn w:val="DefaultParagraphFont"/>
    <w:unhideWhenUsed/>
    <w:rsid w:val="00497131"/>
    <w:rPr>
      <w:color w:val="0000FF" w:themeColor="hyperlink"/>
      <w:u w:val="single"/>
    </w:rPr>
  </w:style>
  <w:style w:type="character" w:styleId="FollowedHyperlink">
    <w:name w:val="FollowedHyperlink"/>
    <w:basedOn w:val="DefaultParagraphFont"/>
    <w:uiPriority w:val="99"/>
    <w:semiHidden/>
    <w:unhideWhenUsed/>
    <w:rsid w:val="00E05A0D"/>
    <w:rPr>
      <w:color w:val="800080" w:themeColor="followedHyperlink"/>
      <w:u w:val="single"/>
    </w:rPr>
  </w:style>
  <w:style w:type="paragraph" w:customStyle="1" w:styleId="Body2">
    <w:name w:val="Body2"/>
    <w:basedOn w:val="Normal"/>
    <w:qFormat/>
    <w:rsid w:val="008D27B8"/>
    <w:pPr>
      <w:widowControl/>
      <w:autoSpaceDE/>
      <w:autoSpaceDN/>
    </w:pPr>
    <w:rPr>
      <w:rFonts w:ascii="Century Gothic" w:hAnsi="Century Gothic" w:cs="Shruti"/>
      <w:sz w:val="24"/>
      <w:szCs w:val="24"/>
    </w:rPr>
  </w:style>
  <w:style w:type="table" w:styleId="TableGrid">
    <w:name w:val="Table Grid"/>
    <w:basedOn w:val="TableNormal"/>
    <w:rsid w:val="008D27B8"/>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914275">
      <w:bodyDiv w:val="1"/>
      <w:marLeft w:val="0"/>
      <w:marRight w:val="0"/>
      <w:marTop w:val="0"/>
      <w:marBottom w:val="0"/>
      <w:divBdr>
        <w:top w:val="none" w:sz="0" w:space="0" w:color="auto"/>
        <w:left w:val="none" w:sz="0" w:space="0" w:color="auto"/>
        <w:bottom w:val="none" w:sz="0" w:space="0" w:color="auto"/>
        <w:right w:val="none" w:sz="0" w:space="0" w:color="auto"/>
      </w:divBdr>
    </w:div>
    <w:div w:id="1118184250">
      <w:bodyDiv w:val="1"/>
      <w:marLeft w:val="0"/>
      <w:marRight w:val="0"/>
      <w:marTop w:val="0"/>
      <w:marBottom w:val="0"/>
      <w:divBdr>
        <w:top w:val="none" w:sz="0" w:space="0" w:color="auto"/>
        <w:left w:val="none" w:sz="0" w:space="0" w:color="auto"/>
        <w:bottom w:val="none" w:sz="0" w:space="0" w:color="auto"/>
        <w:right w:val="none" w:sz="0" w:space="0" w:color="auto"/>
      </w:divBdr>
    </w:div>
    <w:div w:id="1324312569">
      <w:bodyDiv w:val="1"/>
      <w:marLeft w:val="0"/>
      <w:marRight w:val="0"/>
      <w:marTop w:val="0"/>
      <w:marBottom w:val="0"/>
      <w:divBdr>
        <w:top w:val="none" w:sz="0" w:space="0" w:color="auto"/>
        <w:left w:val="none" w:sz="0" w:space="0" w:color="auto"/>
        <w:bottom w:val="none" w:sz="0" w:space="0" w:color="auto"/>
        <w:right w:val="none" w:sz="0" w:space="0" w:color="auto"/>
      </w:divBdr>
    </w:div>
    <w:div w:id="1779793284">
      <w:bodyDiv w:val="1"/>
      <w:marLeft w:val="0"/>
      <w:marRight w:val="0"/>
      <w:marTop w:val="0"/>
      <w:marBottom w:val="0"/>
      <w:divBdr>
        <w:top w:val="none" w:sz="0" w:space="0" w:color="auto"/>
        <w:left w:val="none" w:sz="0" w:space="0" w:color="auto"/>
        <w:bottom w:val="none" w:sz="0" w:space="0" w:color="auto"/>
        <w:right w:val="none" w:sz="0" w:space="0" w:color="auto"/>
      </w:divBdr>
    </w:div>
    <w:div w:id="2084915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hhs.gov/CreditableCoverage/45_CCDisclosureForm.asp" TargetMode="External"/><Relationship Id="rId13" Type="http://schemas.openxmlformats.org/officeDocument/2006/relationships/hyperlink" Target="https://www.opm.gov/policy-data-oversight/pay-leave/salaries-wages/salary-tables/pdf/2017/DCB_h.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ms.hhs.gov/CreditableCoverage/45_CCDisclosureForm.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hyperlink" Target="http://www.cms.hhs.gov/MedPrescriptDrugApplGriev/11_Guidance.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2898</Words>
  <Characters>16519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For Collection Requirements pertaining to the Medicare Prescription Drug Benefit Program (CMS-4068-F)</vt:lpstr>
    </vt:vector>
  </TitlesOfParts>
  <Company>CMS</Company>
  <LinksUpToDate>false</LinksUpToDate>
  <CharactersWithSpaces>19379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Collection Requirements pertaining to the Medicare Prescription Drug Benefit Program (CMS-4068-F)</dc:title>
  <dc:creator>CMS</dc:creator>
  <cp:lastModifiedBy>SYSTEM</cp:lastModifiedBy>
  <cp:revision>2</cp:revision>
  <cp:lastPrinted>2017-09-18T17:18:00Z</cp:lastPrinted>
  <dcterms:created xsi:type="dcterms:W3CDTF">2017-12-28T14:20:00Z</dcterms:created>
  <dcterms:modified xsi:type="dcterms:W3CDTF">2017-12-28T14:20:00Z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2016-11-30T00:00:00Z</vt:filetime>
  </property>
  <property fmtid="{D5CDD505-2E9C-101B-9397-08002B2CF9AE}" pid="3" name="Creator">
    <vt:lpwstr>Acrobat PDFMaker 15 for Word</vt:lpwstr>
  </property>
  <property fmtid="{D5CDD505-2E9C-101B-9397-08002B2CF9AE}" pid="4" name="LastSaved">
    <vt:filetime>2017-02-27T00:00:00Z</vt:filetime>
  </property>
  <property fmtid="{D5CDD505-2E9C-101B-9397-08002B2CF9AE}" pid="5" name="_AdHocReviewCycleID">
    <vt:i4>-1394037926</vt:i4>
  </property>
  <property fmtid="{D5CDD505-2E9C-101B-9397-08002B2CF9AE}" pid="6" name="_NewReviewCycle">
    <vt:lpwstr/>
  </property>
  <property fmtid="{D5CDD505-2E9C-101B-9397-08002B2CF9AE}" pid="7" name="_EmailSubject">
    <vt:lpwstr>OMB Passback &gt; RE: PRA package status (CMS-10198)</vt:lpwstr>
  </property>
  <property fmtid="{D5CDD505-2E9C-101B-9397-08002B2CF9AE}" pid="8" name="_AuthorEmail">
    <vt:lpwstr>Mitch.Bryman@cms.hhs.gov</vt:lpwstr>
  </property>
  <property fmtid="{D5CDD505-2E9C-101B-9397-08002B2CF9AE}" pid="9" name="_AuthorEmailDisplayName">
    <vt:lpwstr>Bryman, Mitch (CMS/OSORA)</vt:lpwstr>
  </property>
  <property fmtid="{D5CDD505-2E9C-101B-9397-08002B2CF9AE}" pid="10" name="_PreviousAdHocReviewCycleID">
    <vt:i4>1821714133</vt:i4>
  </property>
  <property fmtid="{D5CDD505-2E9C-101B-9397-08002B2CF9AE}" pid="11" name="_ReviewingToolsShownOnce">
    <vt:lpwstr/>
  </property>
</Properties>
</file>