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09C7A" w14:textId="77777777" w:rsidR="00F97054" w:rsidRPr="00D71072" w:rsidRDefault="00090B53" w:rsidP="00090B53">
      <w:pPr>
        <w:pStyle w:val="MarkforAttachment"/>
        <w:widowControl w:val="0"/>
        <w:tabs>
          <w:tab w:val="clear" w:pos="432"/>
        </w:tabs>
        <w:rPr>
          <w:caps w:val="0"/>
        </w:rPr>
      </w:pPr>
      <w:bookmarkStart w:id="0" w:name="_GoBack"/>
      <w:bookmarkEnd w:id="0"/>
      <w:r>
        <w:rPr>
          <w:caps w:val="0"/>
        </w:rPr>
        <w:t>SUPPORTING STATEMENT</w:t>
      </w:r>
    </w:p>
    <w:p w14:paraId="28EFBAD4" w14:textId="77777777" w:rsidR="00F97054" w:rsidRDefault="003D1DDC">
      <w:pPr>
        <w:pStyle w:val="MarkforAttachment"/>
        <w:widowControl w:val="0"/>
        <w:tabs>
          <w:tab w:val="clear" w:pos="432"/>
        </w:tabs>
        <w:rPr>
          <w:caps w:val="0"/>
        </w:rPr>
      </w:pPr>
      <w:r>
        <w:rPr>
          <w:caps w:val="0"/>
        </w:rPr>
        <w:t xml:space="preserve">Workforce Innovation Fund </w:t>
      </w:r>
      <w:r w:rsidR="001C22F9" w:rsidRPr="00D71072">
        <w:rPr>
          <w:caps w:val="0"/>
        </w:rPr>
        <w:t>Grants Reporting and Recordkeeping Requirements</w:t>
      </w:r>
    </w:p>
    <w:p w14:paraId="0FDF2DF0" w14:textId="77777777" w:rsidR="00811CAA" w:rsidRPr="003D1DDC" w:rsidRDefault="003D1DDC" w:rsidP="00811CAA">
      <w:pPr>
        <w:pStyle w:val="Body"/>
        <w:jc w:val="center"/>
        <w:rPr>
          <w:b/>
        </w:rPr>
      </w:pPr>
      <w:r w:rsidRPr="003D1DDC">
        <w:rPr>
          <w:b/>
        </w:rPr>
        <w:t xml:space="preserve">OMB Control No. </w:t>
      </w:r>
      <w:r w:rsidR="00811CAA" w:rsidRPr="003D1DDC">
        <w:rPr>
          <w:b/>
        </w:rPr>
        <w:t>1205-0515</w:t>
      </w:r>
    </w:p>
    <w:p w14:paraId="7FF1F845" w14:textId="77777777" w:rsidR="00811CAA" w:rsidRDefault="00811CAA" w:rsidP="00811CAA">
      <w:pPr>
        <w:pStyle w:val="Body"/>
      </w:pPr>
    </w:p>
    <w:p w14:paraId="00CE7617" w14:textId="77777777" w:rsidR="00090B53" w:rsidRDefault="003D1DDC" w:rsidP="00090B53">
      <w:pPr>
        <w:pStyle w:val="Body"/>
      </w:pPr>
      <w:r w:rsidRPr="00CE3C52">
        <w:rPr>
          <w:b/>
        </w:rPr>
        <w:t xml:space="preserve">A. </w:t>
      </w:r>
      <w:r>
        <w:rPr>
          <w:b/>
        </w:rPr>
        <w:tab/>
      </w:r>
      <w:r w:rsidRPr="003D1DDC">
        <w:rPr>
          <w:b/>
          <w:u w:val="single"/>
        </w:rPr>
        <w:t>Justification</w:t>
      </w:r>
      <w:r>
        <w:rPr>
          <w:b/>
          <w:u w:val="single"/>
        </w:rPr>
        <w:t>.</w:t>
      </w:r>
    </w:p>
    <w:p w14:paraId="0B95101F" w14:textId="77777777" w:rsidR="00090B53" w:rsidRPr="00090B53" w:rsidRDefault="00090B53" w:rsidP="00090B53">
      <w:pPr>
        <w:pStyle w:val="Body"/>
      </w:pPr>
    </w:p>
    <w:p w14:paraId="70983ED7" w14:textId="063C81D8" w:rsidR="00F97054" w:rsidRDefault="002536FE">
      <w:pPr>
        <w:pStyle w:val="Body"/>
        <w:tabs>
          <w:tab w:val="left" w:pos="720"/>
        </w:tabs>
      </w:pPr>
      <w:r>
        <w:t xml:space="preserve">The </w:t>
      </w:r>
      <w:r w:rsidR="001C22F9" w:rsidRPr="00D71072">
        <w:t>Department of Labor</w:t>
      </w:r>
      <w:r>
        <w:t xml:space="preserve"> (DOL)</w:t>
      </w:r>
      <w:r w:rsidR="001C22F9" w:rsidRPr="00D71072">
        <w:t>, Employment and Training Administration</w:t>
      </w:r>
      <w:r w:rsidR="00334A9D">
        <w:t xml:space="preserve"> (ETA) request to</w:t>
      </w:r>
      <w:r w:rsidR="00A4678F">
        <w:t xml:space="preserve"> extend </w:t>
      </w:r>
      <w:r w:rsidR="00A4678F" w:rsidRPr="00D71072">
        <w:t xml:space="preserve">reporting and recordkeeping </w:t>
      </w:r>
      <w:r w:rsidR="00390A12">
        <w:t xml:space="preserve">requirements, </w:t>
      </w:r>
      <w:r w:rsidR="00A4678F">
        <w:t>with no changes</w:t>
      </w:r>
      <w:r w:rsidR="00390A12">
        <w:t>,</w:t>
      </w:r>
      <w:r w:rsidR="001C22F9" w:rsidRPr="00D71072">
        <w:t xml:space="preserve"> for the Workfo</w:t>
      </w:r>
      <w:r w:rsidR="003D1DDC">
        <w:t>rce Innovation Fund (WIF) Grants</w:t>
      </w:r>
      <w:r w:rsidR="001C22F9" w:rsidRPr="00D71072">
        <w:t xml:space="preserve"> [SGA/DFA PY-11-05]</w:t>
      </w:r>
      <w:r w:rsidR="000A0A3E" w:rsidRPr="000A0A3E">
        <w:rPr>
          <w:color w:val="auto"/>
          <w:bdr w:val="none" w:sz="0" w:space="0" w:color="auto"/>
        </w:rPr>
        <w:t>, the Consolidated and Further Continuing Appropriations Act, 2013 (P.L. 113-6), and the Consolidated Funding Act, 2014 (P.L. 113-76)</w:t>
      </w:r>
      <w:r w:rsidR="001C22F9" w:rsidRPr="00D71072">
        <w:t>.  Th</w:t>
      </w:r>
      <w:r w:rsidR="00390A12">
        <w:t>e</w:t>
      </w:r>
      <w:r w:rsidR="001C22F9" w:rsidRPr="00D71072">
        <w:t xml:space="preserve"> reporting structure features quarterly per</w:t>
      </w:r>
      <w:r w:rsidR="00342798">
        <w:t xml:space="preserve">formance narrative reports </w:t>
      </w:r>
      <w:proofErr w:type="gramStart"/>
      <w:r w:rsidR="00342798">
        <w:t xml:space="preserve">that </w:t>
      </w:r>
      <w:r w:rsidR="001C22F9" w:rsidRPr="00D71072">
        <w:t>document</w:t>
      </w:r>
      <w:proofErr w:type="gramEnd"/>
      <w:r w:rsidR="001C22F9" w:rsidRPr="00D71072">
        <w:t xml:space="preserve"> the innovative strategies and collect information about effective practices and “</w:t>
      </w:r>
      <w:proofErr w:type="spellStart"/>
      <w:r w:rsidR="002874C2">
        <w:rPr>
          <w:lang w:val="fr-FR"/>
        </w:rPr>
        <w:t>lessons</w:t>
      </w:r>
      <w:proofErr w:type="spellEnd"/>
      <w:r w:rsidR="002874C2">
        <w:rPr>
          <w:lang w:val="fr-FR"/>
        </w:rPr>
        <w:t xml:space="preserve"> </w:t>
      </w:r>
      <w:proofErr w:type="spellStart"/>
      <w:r w:rsidR="001C22F9" w:rsidRPr="00D71072">
        <w:rPr>
          <w:lang w:val="fr-FR"/>
        </w:rPr>
        <w:t>learned</w:t>
      </w:r>
      <w:proofErr w:type="spellEnd"/>
      <w:r w:rsidR="001C22F9" w:rsidRPr="00D71072">
        <w:t xml:space="preserve">” from the diverse projects funded by the WIF.  All data collection and reporting is done by grantee organizations (state </w:t>
      </w:r>
      <w:r w:rsidR="00390A12">
        <w:t>and</w:t>
      </w:r>
      <w:r w:rsidR="001C22F9" w:rsidRPr="00D71072">
        <w:t xml:space="preserve"> local government</w:t>
      </w:r>
      <w:r w:rsidR="00390A12">
        <w:t>s</w:t>
      </w:r>
      <w:r w:rsidR="001C22F9" w:rsidRPr="00D71072">
        <w:t>).</w:t>
      </w:r>
    </w:p>
    <w:p w14:paraId="1BAFB1AF" w14:textId="77777777" w:rsidR="00A06CB7" w:rsidRDefault="00A06CB7">
      <w:pPr>
        <w:pStyle w:val="Body"/>
        <w:tabs>
          <w:tab w:val="left" w:pos="720"/>
        </w:tabs>
      </w:pPr>
    </w:p>
    <w:p w14:paraId="3E405446" w14:textId="77777777" w:rsidR="00A06CB7" w:rsidRPr="00D71072" w:rsidRDefault="00090B53">
      <w:pPr>
        <w:pStyle w:val="Body"/>
        <w:tabs>
          <w:tab w:val="left" w:pos="720"/>
        </w:tabs>
      </w:pPr>
      <w:r>
        <w:t xml:space="preserve">The current </w:t>
      </w:r>
      <w:r w:rsidR="00CD512C" w:rsidRPr="00560A2F">
        <w:t xml:space="preserve">ICR </w:t>
      </w:r>
      <w:r w:rsidR="00390A12">
        <w:t xml:space="preserve">authorization </w:t>
      </w:r>
      <w:r w:rsidR="00CD512C" w:rsidRPr="00560A2F">
        <w:t>expires June 30, 2017</w:t>
      </w:r>
      <w:r w:rsidR="00390A12">
        <w:t>,</w:t>
      </w:r>
      <w:r w:rsidR="004B000B">
        <w:t xml:space="preserve"> and all 26 Round 1 grantees will have completed their grants.  G</w:t>
      </w:r>
      <w:r w:rsidR="00CD512C" w:rsidRPr="00560A2F">
        <w:t xml:space="preserve">rantee reporting </w:t>
      </w:r>
      <w:r w:rsidR="00046E23">
        <w:t xml:space="preserve">for Rounds 2 and 3 </w:t>
      </w:r>
      <w:r w:rsidR="00CD512C">
        <w:t>may continue until</w:t>
      </w:r>
      <w:r w:rsidR="00CD512C" w:rsidRPr="00560A2F">
        <w:t xml:space="preserve"> </w:t>
      </w:r>
      <w:r w:rsidR="008F6457">
        <w:t xml:space="preserve">as late as </w:t>
      </w:r>
      <w:r w:rsidR="00CD512C" w:rsidRPr="00560A2F">
        <w:t xml:space="preserve">March 31, 2020.  </w:t>
      </w:r>
      <w:proofErr w:type="gramStart"/>
      <w:r w:rsidR="00CD512C" w:rsidRPr="00560A2F">
        <w:t>Th</w:t>
      </w:r>
      <w:r w:rsidR="00B65403">
        <w:t xml:space="preserve">e </w:t>
      </w:r>
      <w:r w:rsidR="00CD512C">
        <w:t xml:space="preserve">Department </w:t>
      </w:r>
      <w:r w:rsidR="00CD512C" w:rsidRPr="00560A2F">
        <w:t>requests approval to continue</w:t>
      </w:r>
      <w:r>
        <w:t xml:space="preserve"> information collection to meet </w:t>
      </w:r>
      <w:r w:rsidR="00CD512C" w:rsidRPr="00560A2F">
        <w:t>the reporting and recordkeeping requirements of the WIF grant</w:t>
      </w:r>
      <w:r>
        <w:t xml:space="preserve"> program through the end of all </w:t>
      </w:r>
      <w:r w:rsidR="00390A12">
        <w:t>grantee reporting cycles.</w:t>
      </w:r>
      <w:proofErr w:type="gramEnd"/>
    </w:p>
    <w:p w14:paraId="44EDE921" w14:textId="77777777" w:rsidR="00F97054" w:rsidRPr="00D71072" w:rsidRDefault="00F97054">
      <w:pPr>
        <w:pStyle w:val="Body"/>
        <w:tabs>
          <w:tab w:val="left" w:pos="720"/>
        </w:tabs>
      </w:pPr>
    </w:p>
    <w:p w14:paraId="76157FCF" w14:textId="7C85B2D4" w:rsidR="00F97054" w:rsidRPr="00D71072" w:rsidRDefault="001C22F9">
      <w:pPr>
        <w:pStyle w:val="Body"/>
        <w:tabs>
          <w:tab w:val="left" w:pos="720"/>
        </w:tabs>
      </w:pPr>
      <w:r w:rsidRPr="00D71072">
        <w:t xml:space="preserve">These performance reporting requirements align with outcome categories identified in the SGA used to award the WIF grants, as noted above. </w:t>
      </w:r>
      <w:r w:rsidR="002874C2">
        <w:t xml:space="preserve"> </w:t>
      </w:r>
      <w:r w:rsidRPr="00D71072">
        <w:t>The quarterly performance narrative reports provide a detailed account of program activities, accomplishments, and progress toward performance outcomes during the quarter.  Specifically, these reports include aggregate information on participants</w:t>
      </w:r>
      <w:r w:rsidRPr="00D71072">
        <w:rPr>
          <w:lang w:val="fr-FR"/>
        </w:rPr>
        <w:t xml:space="preserve">’ </w:t>
      </w:r>
      <w:r w:rsidRPr="00D71072">
        <w:t>grant progress and accomplishments, grant challenges, grant technical assistance needs and success stories and lessons learned.  The performance outcomes are defined by each grantee; each grant has a unique set of performance goals and outcome measures according to the specific innovation and project being pursued in the grant.  The performance narrative reports, to be completed quarterly, include a narrative of grant activities and the unique grant performance and evaluation measures and key project milestones identified by the grantees.</w:t>
      </w:r>
      <w:r w:rsidR="003D1DDC">
        <w:t xml:space="preserve"> </w:t>
      </w:r>
      <w:r w:rsidRPr="00D71072">
        <w:t xml:space="preserve"> As a result, the performance measures for each grant will be different.</w:t>
      </w:r>
    </w:p>
    <w:p w14:paraId="31D52CD3" w14:textId="77777777" w:rsidR="00F97054" w:rsidRPr="00D71072" w:rsidRDefault="00F97054">
      <w:pPr>
        <w:pStyle w:val="Body"/>
        <w:tabs>
          <w:tab w:val="left" w:pos="720"/>
        </w:tabs>
        <w:rPr>
          <w:rFonts w:ascii="Book Antiqua" w:eastAsia="Book Antiqua" w:hAnsi="Book Antiqua" w:cs="Book Antiqua"/>
          <w:sz w:val="22"/>
          <w:szCs w:val="22"/>
        </w:rPr>
      </w:pPr>
    </w:p>
    <w:p w14:paraId="5A25619C" w14:textId="302A5FC9" w:rsidR="00F97054" w:rsidRPr="00D71072" w:rsidRDefault="001C22F9">
      <w:pPr>
        <w:pStyle w:val="Body"/>
        <w:tabs>
          <w:tab w:val="left" w:pos="720"/>
        </w:tabs>
      </w:pPr>
      <w:r w:rsidRPr="00D71072">
        <w:t>The collection of this data helps ETA report the impact of the WIF funds and provide ETA with comprehensive information on the status of each individual grant.</w:t>
      </w:r>
      <w:r w:rsidR="002874C2">
        <w:t xml:space="preserve"> </w:t>
      </w:r>
      <w:r w:rsidRPr="00D71072">
        <w:t xml:space="preserve"> This data will assist ETA to provide targeted technical assistance to the grantee based on individual needs in an effort to support and improve grant outcomes.  The information provided in the quarterly performance narrative reports, including the lessons learned through innovative projects, are necessary for increasing the body of knowledge about what works in workforce development.  The individual performance metrics for each grant allows each grantee to report on the unique processes and outcomes for their project.</w:t>
      </w:r>
    </w:p>
    <w:p w14:paraId="08A5FEF8" w14:textId="77777777" w:rsidR="00F97054" w:rsidRPr="00D71072" w:rsidRDefault="00F97054">
      <w:pPr>
        <w:pStyle w:val="Body"/>
      </w:pPr>
    </w:p>
    <w:p w14:paraId="3A8F793B" w14:textId="64A963BB" w:rsidR="003D1DDC" w:rsidRDefault="003D1DDC">
      <w:pPr>
        <w:pStyle w:val="Body"/>
        <w:rPr>
          <w:color w:val="auto"/>
        </w:rPr>
      </w:pP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14:paraId="5787651E" w14:textId="16D054AD" w:rsidR="000B7FD0" w:rsidRPr="002874C2" w:rsidRDefault="001C22F9" w:rsidP="002874C2">
      <w:pPr>
        <w:pStyle w:val="Body"/>
        <w:rPr>
          <w:color w:val="auto"/>
        </w:rPr>
      </w:pPr>
      <w:r w:rsidRPr="00DE37A3">
        <w:rPr>
          <w:color w:val="auto"/>
        </w:rPr>
        <w:lastRenderedPageBreak/>
        <w:t>The WIF was created as a grant program by the Full-Year Continuing Appropriations Act, 2011 (in Sec. 1801, Title VIII, Div. B of PL 112-10)</w:t>
      </w:r>
      <w:r w:rsidR="000528B6" w:rsidRPr="00DE37A3">
        <w:rPr>
          <w:color w:val="auto"/>
        </w:rPr>
        <w:t xml:space="preserve">;  the Consolidated and Further Continuing Appropriations Act, 2013 (P.L. 113-6), and the Consolidated </w:t>
      </w:r>
      <w:r w:rsidR="00B65403">
        <w:rPr>
          <w:color w:val="auto"/>
        </w:rPr>
        <w:t>Funding Act, 2014 (P.L. 113-76)</w:t>
      </w:r>
      <w:r w:rsidR="0026547C" w:rsidRPr="00DE37A3">
        <w:rPr>
          <w:color w:val="auto"/>
        </w:rPr>
        <w:t>.  According to these</w:t>
      </w:r>
      <w:r w:rsidRPr="00DE37A3">
        <w:rPr>
          <w:color w:val="auto"/>
        </w:rPr>
        <w:t xml:space="preserve"> Act</w:t>
      </w:r>
      <w:r w:rsidR="0026547C" w:rsidRPr="00DE37A3">
        <w:rPr>
          <w:color w:val="auto"/>
        </w:rPr>
        <w:t>s</w:t>
      </w:r>
      <w:r w:rsidRPr="00DE37A3">
        <w:rPr>
          <w:color w:val="auto"/>
        </w:rPr>
        <w:t>, the WIF was established to “carry out projects that demonstrate innovative strategies or replicate effective evidence-based strategies that align and strengthen the workforce investment system in order to improve program delivery and education and employment outcomes for program beneficiaries.”</w:t>
      </w:r>
      <w:r w:rsidRPr="00DE37A3">
        <w:rPr>
          <w:rFonts w:ascii="Arial" w:eastAsia="Arial" w:hAnsi="Arial" w:cs="Arial"/>
          <w:color w:val="auto"/>
          <w:sz w:val="20"/>
          <w:szCs w:val="20"/>
          <w:u w:color="000080"/>
        </w:rPr>
        <w:t xml:space="preserve"> </w:t>
      </w:r>
      <w:r w:rsidRPr="00DE37A3">
        <w:rPr>
          <w:color w:val="auto"/>
        </w:rPr>
        <w:t xml:space="preserve"> One of the purposes of the WIF grants is to contribute to the documentation of evidence-based practice within the field of workforce development.  In applying for WIF grants, grantees agreed to meet ETA</w:t>
      </w:r>
      <w:r w:rsidRPr="00DE37A3">
        <w:rPr>
          <w:color w:val="auto"/>
          <w:lang w:val="fr-FR"/>
        </w:rPr>
        <w:t>’</w:t>
      </w:r>
      <w:r w:rsidRPr="00DE37A3">
        <w:rPr>
          <w:color w:val="auto"/>
        </w:rPr>
        <w:t>s reporting requirements as indicated in the Solicitation</w:t>
      </w:r>
      <w:r w:rsidR="0026547C" w:rsidRPr="00DE37A3">
        <w:rPr>
          <w:color w:val="auto"/>
        </w:rPr>
        <w:t>s</w:t>
      </w:r>
      <w:r w:rsidRPr="00DE37A3">
        <w:rPr>
          <w:color w:val="auto"/>
        </w:rPr>
        <w:t xml:space="preserve"> for Grant Applications (SGA/DFA PY-11-05)</w:t>
      </w:r>
      <w:r w:rsidR="000E0A20" w:rsidRPr="00DE37A3">
        <w:rPr>
          <w:color w:val="auto"/>
        </w:rPr>
        <w:t xml:space="preserve"> and (SGA/DFA PY-13-06), and </w:t>
      </w:r>
      <w:r w:rsidR="00995F50" w:rsidRPr="00DE37A3">
        <w:rPr>
          <w:color w:val="auto"/>
        </w:rPr>
        <w:t>Funding Opportunity Announcement (FOA)</w:t>
      </w:r>
      <w:r w:rsidR="00DE37A3">
        <w:rPr>
          <w:color w:val="auto"/>
        </w:rPr>
        <w:t xml:space="preserve"> </w:t>
      </w:r>
      <w:r w:rsidR="002874C2">
        <w:rPr>
          <w:rFonts w:eastAsia="Arial Unicode MS"/>
          <w:color w:val="auto"/>
        </w:rPr>
        <w:t xml:space="preserve">(FOA-ETA-15-10) </w:t>
      </w:r>
      <w:r w:rsidRPr="00DE37A3">
        <w:rPr>
          <w:color w:val="auto"/>
        </w:rPr>
        <w:t xml:space="preserve">which </w:t>
      </w:r>
      <w:r w:rsidRPr="00DE37A3">
        <w:t>require the submission of quarterly reports within 45 day</w:t>
      </w:r>
      <w:r w:rsidR="00090B53">
        <w:t>s</w:t>
      </w:r>
      <w:r w:rsidR="002874C2">
        <w:t xml:space="preserve"> after the end of the quarter.  </w:t>
      </w:r>
      <w:r w:rsidR="000B7FD0" w:rsidRPr="00DE37A3">
        <w:t>Currently, the WIF grantees submit a quarterly narrative in whatever format they choose, though ETA provides a suggested format.</w:t>
      </w:r>
    </w:p>
    <w:p w14:paraId="003F229E" w14:textId="77777777" w:rsidR="00E7076E" w:rsidRDefault="00E7076E">
      <w:pPr>
        <w:pStyle w:val="Body"/>
      </w:pPr>
    </w:p>
    <w:p w14:paraId="111FBE66" w14:textId="77777777" w:rsidR="00E7076E" w:rsidRDefault="00DB1BA9">
      <w:pPr>
        <w:pStyle w:val="Body"/>
      </w:pPr>
      <w:r>
        <w:t>D</w:t>
      </w:r>
      <w:r w:rsidR="00E7076E">
        <w:t xml:space="preserve">ata collection for the </w:t>
      </w:r>
      <w:r w:rsidR="005E6D13">
        <w:t xml:space="preserve">26 </w:t>
      </w:r>
      <w:r w:rsidR="00E81747">
        <w:t>Round 1</w:t>
      </w:r>
      <w:r w:rsidR="005E6D13">
        <w:t xml:space="preserve"> </w:t>
      </w:r>
      <w:r w:rsidR="00E7076E">
        <w:t>grants will have e</w:t>
      </w:r>
      <w:r w:rsidR="004B556B">
        <w:t>nded before this collection extension begins.</w:t>
      </w:r>
      <w:r w:rsidR="00E7076E">
        <w:t xml:space="preserve">  Only 11 grants from Round 2 and 6 from Round 3 </w:t>
      </w:r>
      <w:r w:rsidR="00E81747">
        <w:t xml:space="preserve">remain active and </w:t>
      </w:r>
      <w:r w:rsidR="00E7076E">
        <w:t>will continue to report</w:t>
      </w:r>
      <w:r w:rsidR="005E6D13">
        <w:t xml:space="preserve"> their performance</w:t>
      </w:r>
      <w:r w:rsidR="00E7076E">
        <w:t>.</w:t>
      </w:r>
    </w:p>
    <w:p w14:paraId="09D80EF9" w14:textId="77777777" w:rsidR="00F97054" w:rsidRPr="00253722" w:rsidRDefault="000B7FD0">
      <w:pPr>
        <w:pStyle w:val="Body"/>
      </w:pPr>
      <w:r w:rsidRPr="00253722">
        <w:t xml:space="preserve"> </w:t>
      </w:r>
    </w:p>
    <w:p w14:paraId="40C325FA" w14:textId="77777777" w:rsidR="00F97054" w:rsidRDefault="001C22F9">
      <w:pPr>
        <w:pStyle w:val="Body"/>
      </w:pPr>
      <w:r w:rsidRPr="00253722">
        <w:t xml:space="preserve">Each grantee created a performance accountability framework that identified performance and evaluation measures in the grant.  </w:t>
      </w:r>
      <w:r w:rsidR="000B7FD0" w:rsidRPr="000B7FD0">
        <w:t xml:space="preserve">After </w:t>
      </w:r>
      <w:r w:rsidR="003925C0">
        <w:t xml:space="preserve">the </w:t>
      </w:r>
      <w:r w:rsidR="000B7FD0" w:rsidRPr="000B7FD0">
        <w:t xml:space="preserve">grant </w:t>
      </w:r>
      <w:r w:rsidR="00B70AC4">
        <w:t>was</w:t>
      </w:r>
      <w:r w:rsidR="003925C0">
        <w:t xml:space="preserve"> </w:t>
      </w:r>
      <w:r w:rsidR="000B7FD0" w:rsidRPr="000B7FD0">
        <w:t>award</w:t>
      </w:r>
      <w:r w:rsidR="003925C0">
        <w:t>ed</w:t>
      </w:r>
      <w:r w:rsidR="000B7FD0" w:rsidRPr="000B7FD0">
        <w:t>, each grantee submit</w:t>
      </w:r>
      <w:r w:rsidR="00B70AC4">
        <w:t>ted</w:t>
      </w:r>
      <w:r w:rsidR="000B7FD0" w:rsidRPr="000B7FD0">
        <w:t xml:space="preserve"> a performance</w:t>
      </w:r>
      <w:r w:rsidR="00B70AC4">
        <w:t xml:space="preserve"> tracking template that included</w:t>
      </w:r>
      <w:r w:rsidR="000B7FD0" w:rsidRPr="000B7FD0">
        <w:t xml:space="preserve"> the performance and evaluation measures for the project as well as the key project milestones.</w:t>
      </w:r>
      <w:r w:rsidR="00E82728">
        <w:t xml:space="preserve"> </w:t>
      </w:r>
      <w:r w:rsidR="004C159B">
        <w:t xml:space="preserve"> </w:t>
      </w:r>
      <w:r w:rsidR="004C159B" w:rsidRPr="00253722">
        <w:t xml:space="preserve">The suggested quarterly performance narrative report format that </w:t>
      </w:r>
      <w:r w:rsidR="00046A86">
        <w:t>ETA provides</w:t>
      </w:r>
      <w:r w:rsidR="004C159B" w:rsidRPr="00253722">
        <w:t xml:space="preserve"> to the grantees is </w:t>
      </w:r>
      <w:r w:rsidR="004C159B" w:rsidRPr="00253722">
        <w:rPr>
          <w:u w:val="single"/>
        </w:rPr>
        <w:t>Attachment A</w:t>
      </w:r>
      <w:r w:rsidR="004C159B" w:rsidRPr="00253722">
        <w:t xml:space="preserve">. </w:t>
      </w:r>
      <w:r w:rsidR="004C159B">
        <w:t xml:space="preserve"> </w:t>
      </w:r>
    </w:p>
    <w:p w14:paraId="1994CAB6" w14:textId="77777777" w:rsidR="00B30DB2" w:rsidRPr="00D71072" w:rsidRDefault="00B30DB2">
      <w:pPr>
        <w:pStyle w:val="Body"/>
      </w:pPr>
    </w:p>
    <w:p w14:paraId="7C315A77" w14:textId="633D7950" w:rsidR="00F97054" w:rsidRPr="00D71072" w:rsidRDefault="001C22F9">
      <w:pPr>
        <w:pStyle w:val="Body"/>
      </w:pPr>
      <w:r w:rsidRPr="00D71072">
        <w:t xml:space="preserve">Traditionally, ETA tracks the success of its workforce investment programs in terms of common measures (e.g., job placement, retention, earnings, etc.).  While many WIF grants may continue to use these measures, ETA encourages WIF projects to identify and capture new sets of data that align with the innovative activities, outputs and outcomes described in the grant, thereby allowing grantees and ETA to document a new set of achievements.  </w:t>
      </w:r>
      <w:r w:rsidR="00F835A2">
        <w:t>For example, t</w:t>
      </w:r>
      <w:r w:rsidRPr="00D71072">
        <w:t xml:space="preserve">here are seven </w:t>
      </w:r>
      <w:r w:rsidR="00391D25">
        <w:t xml:space="preserve">main </w:t>
      </w:r>
      <w:r w:rsidRPr="00D71072">
        <w:t>types of grants (interventions) funded under WIF</w:t>
      </w:r>
      <w:r w:rsidR="00391D25">
        <w:t xml:space="preserve"> 1</w:t>
      </w:r>
      <w:r w:rsidRPr="00D71072">
        <w:t>, including Industry Career Pathways MIS New Population Service Providers/New Service Change Management and Online Delivery</w:t>
      </w:r>
      <w:r w:rsidR="000E688E">
        <w:t>.</w:t>
      </w:r>
      <w:r w:rsidRPr="00D71072">
        <w:t xml:space="preserve"> Some training grants will collect outcome measures similar to ETA</w:t>
      </w:r>
      <w:r w:rsidRPr="00D71072">
        <w:rPr>
          <w:lang w:val="fr-FR"/>
        </w:rPr>
        <w:t>’</w:t>
      </w:r>
      <w:r w:rsidRPr="00D71072">
        <w:t>s Common Measures, but grantees have identified performance measures that are unique to their project such as percentage of participants that become self-employed, number of apprentices in program, attainment of permanent housing and number of employers accessing online registry.</w:t>
      </w:r>
    </w:p>
    <w:p w14:paraId="0C6889D5" w14:textId="77777777" w:rsidR="00F97054" w:rsidRPr="00D71072" w:rsidRDefault="001C22F9">
      <w:pPr>
        <w:pStyle w:val="Body"/>
      </w:pPr>
      <w:r w:rsidRPr="00D71072">
        <w:t xml:space="preserve"> </w:t>
      </w:r>
    </w:p>
    <w:p w14:paraId="217C7AEF" w14:textId="77777777" w:rsidR="00F97054" w:rsidRDefault="001C22F9">
      <w:pPr>
        <w:pStyle w:val="Body"/>
      </w:pPr>
      <w:r w:rsidRPr="00D71072">
        <w:t>The performance narrative report is submitted on a quarterly basis by all WIF grantees.  The</w:t>
      </w:r>
      <w:r w:rsidR="0033412B">
        <w:t>se</w:t>
      </w:r>
      <w:r w:rsidRPr="00D71072">
        <w:t xml:space="preserve"> quarterly performance narrative reports</w:t>
      </w:r>
      <w:r w:rsidR="0033412B">
        <w:t xml:space="preserve"> </w:t>
      </w:r>
      <w:r w:rsidRPr="00D71072">
        <w:t>are the primary mechanism through which ETA will understand the significant innovations and successes, the challenges encountered and strategies for resolution, and technical assistance needs to ensure the successful implementation of projects.</w:t>
      </w:r>
    </w:p>
    <w:p w14:paraId="4863D917" w14:textId="77777777" w:rsidR="002874C2" w:rsidRPr="00D71072" w:rsidRDefault="002874C2">
      <w:pPr>
        <w:pStyle w:val="Body"/>
      </w:pPr>
    </w:p>
    <w:p w14:paraId="3F84F266" w14:textId="77777777" w:rsidR="003D1DDC" w:rsidRDefault="003D1DDC">
      <w:pPr>
        <w:pStyle w:val="Body"/>
      </w:pPr>
      <w:r w:rsidRPr="00B10FD7">
        <w:rPr>
          <w:i/>
        </w:rPr>
        <w:t xml:space="preserve">2. </w:t>
      </w:r>
      <w:r w:rsidRPr="00B10FD7">
        <w:rPr>
          <w:i/>
        </w:rPr>
        <w:tab/>
        <w:t>Indicate how, by whom, and for what purpose the information is to be used.  Except for a new collection, indicate the actual use the agency has made of the information received from the current collection.</w:t>
      </w:r>
    </w:p>
    <w:p w14:paraId="6A540925" w14:textId="77777777" w:rsidR="003D1DDC" w:rsidRDefault="003D1DDC">
      <w:pPr>
        <w:pStyle w:val="Body"/>
      </w:pPr>
    </w:p>
    <w:p w14:paraId="34EFC555" w14:textId="77777777" w:rsidR="00F97054" w:rsidRPr="00D71072" w:rsidRDefault="001C22F9">
      <w:pPr>
        <w:pStyle w:val="Body"/>
      </w:pPr>
      <w:r w:rsidRPr="00D71072">
        <w:lastRenderedPageBreak/>
        <w:t>Grantees are expected to submit a quarterly progress report, called a performance narrative report, within 45 days after the end of each calendar year quarter.  The report must include quarterly information regarding grant activities.  The last quarterly progress report that grantees submit will serve as the grant</w:t>
      </w:r>
      <w:r w:rsidRPr="00D71072">
        <w:rPr>
          <w:lang w:val="fr-FR"/>
        </w:rPr>
        <w:t>’</w:t>
      </w:r>
      <w:r w:rsidRPr="00D71072">
        <w:t>s Final Performance Report.</w:t>
      </w:r>
    </w:p>
    <w:p w14:paraId="6D720F24" w14:textId="77777777" w:rsidR="00F97054" w:rsidRPr="00D71072" w:rsidRDefault="00F97054">
      <w:pPr>
        <w:pStyle w:val="Body"/>
        <w:rPr>
          <w:sz w:val="22"/>
          <w:szCs w:val="22"/>
        </w:rPr>
      </w:pPr>
    </w:p>
    <w:p w14:paraId="4BBBB9EF" w14:textId="4E7AFD00" w:rsidR="00F97054" w:rsidRPr="00D71072" w:rsidRDefault="001C22F9">
      <w:pPr>
        <w:pStyle w:val="Body"/>
      </w:pPr>
      <w:r w:rsidRPr="00D71072">
        <w:t xml:space="preserve">The information from these reports will be used by the DOL and ETA to evaluate performance of the WIF projects and collect lessons that were learned in terms of processes, strategies and performance from the projects.  ETA uses the data to help inform policy about the workforce and possible changes in structures and policies that enable a closer alignment and integration of workforce development, education, human services, social insurance, and </w:t>
      </w:r>
      <w:r w:rsidR="002874C2">
        <w:t xml:space="preserve">economic development programs. </w:t>
      </w:r>
      <w:r w:rsidRPr="00D71072">
        <w:t>ETA also uses the data to provide technical assistance to support improvement of individual grantee outcomes.</w:t>
      </w:r>
    </w:p>
    <w:p w14:paraId="7BD8E85A" w14:textId="77777777" w:rsidR="00F97054" w:rsidRPr="00D71072" w:rsidRDefault="001C22F9">
      <w:pPr>
        <w:pStyle w:val="Body"/>
        <w:rPr>
          <w:sz w:val="22"/>
          <w:szCs w:val="22"/>
        </w:rPr>
      </w:pPr>
      <w:r w:rsidRPr="00D71072">
        <w:rPr>
          <w:sz w:val="22"/>
          <w:szCs w:val="22"/>
        </w:rPr>
        <w:t xml:space="preserve"> </w:t>
      </w:r>
    </w:p>
    <w:p w14:paraId="4B56BF6D" w14:textId="77777777" w:rsidR="00F97054" w:rsidRPr="00D71072" w:rsidRDefault="001C22F9">
      <w:pPr>
        <w:pStyle w:val="Body"/>
      </w:pPr>
      <w:r w:rsidRPr="00D71072">
        <w:t>Within ETA, the data is used by the Offices of Workforce Investment, Policy Development and Research, Financial and Administrative Management, Information Systems and Technology, and Regional Management (including the regional offices).  Other DOL users include the Offices of the Assistant Secretary for ETA and Assistant Secretary for Policy.</w:t>
      </w:r>
    </w:p>
    <w:p w14:paraId="59FAA6D1" w14:textId="77777777" w:rsidR="00F97054" w:rsidRDefault="00F97054">
      <w:pPr>
        <w:pStyle w:val="Body"/>
      </w:pPr>
    </w:p>
    <w:p w14:paraId="7FDE812E" w14:textId="77777777" w:rsidR="003D1DDC" w:rsidRDefault="003D1DDC">
      <w:pPr>
        <w:pStyle w:val="Body"/>
      </w:pPr>
      <w:r w:rsidRPr="002221A7">
        <w:rPr>
          <w:i/>
        </w:rPr>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14:paraId="160EB913" w14:textId="77777777" w:rsidR="003D1DDC" w:rsidRPr="00D71072" w:rsidRDefault="003D1DDC">
      <w:pPr>
        <w:pStyle w:val="Body"/>
      </w:pPr>
    </w:p>
    <w:p w14:paraId="4DDECF04" w14:textId="0B90C547" w:rsidR="00227906" w:rsidRPr="00FB35B1" w:rsidRDefault="001C22F9">
      <w:pPr>
        <w:pStyle w:val="Body"/>
        <w:rPr>
          <w:color w:val="auto"/>
        </w:rPr>
      </w:pPr>
      <w:r w:rsidRPr="00FB35B1">
        <w:rPr>
          <w:color w:val="auto"/>
        </w:rPr>
        <w:t>In compliance with the Government Paperwork Elimination Act (GPEA), ETA streamlin</w:t>
      </w:r>
      <w:r w:rsidR="00C90CE3">
        <w:rPr>
          <w:color w:val="auto"/>
        </w:rPr>
        <w:t>e</w:t>
      </w:r>
      <w:r w:rsidR="00082B7D">
        <w:rPr>
          <w:color w:val="auto"/>
        </w:rPr>
        <w:t>d</w:t>
      </w:r>
      <w:r w:rsidRPr="00FB35B1">
        <w:rPr>
          <w:color w:val="auto"/>
        </w:rPr>
        <w:t xml:space="preserve"> the collection of data by leveraging </w:t>
      </w:r>
      <w:r w:rsidR="00082B7D">
        <w:rPr>
          <w:color w:val="auto"/>
        </w:rPr>
        <w:t xml:space="preserve">each </w:t>
      </w:r>
      <w:r w:rsidR="002E1C7F">
        <w:rPr>
          <w:color w:val="auto"/>
        </w:rPr>
        <w:t xml:space="preserve">grantee’s </w:t>
      </w:r>
      <w:r w:rsidRPr="00FB35B1">
        <w:rPr>
          <w:color w:val="auto"/>
        </w:rPr>
        <w:t>existing technology</w:t>
      </w:r>
      <w:r w:rsidR="00A77BB0">
        <w:rPr>
          <w:color w:val="auto"/>
        </w:rPr>
        <w:t xml:space="preserve"> rather than developing a unique </w:t>
      </w:r>
      <w:r w:rsidR="00A11EBD" w:rsidRPr="00FB35B1">
        <w:rPr>
          <w:color w:val="auto"/>
        </w:rPr>
        <w:t>reporting system</w:t>
      </w:r>
      <w:r w:rsidR="00A77BB0">
        <w:rPr>
          <w:color w:val="auto"/>
        </w:rPr>
        <w:t xml:space="preserve"> with attendant</w:t>
      </w:r>
      <w:r w:rsidR="00A11EBD" w:rsidRPr="00FB35B1">
        <w:rPr>
          <w:color w:val="auto"/>
        </w:rPr>
        <w:t xml:space="preserve"> portal, software, etc.  </w:t>
      </w:r>
      <w:r w:rsidR="00A77BB0">
        <w:rPr>
          <w:color w:val="auto"/>
        </w:rPr>
        <w:t xml:space="preserve">Grantees </w:t>
      </w:r>
      <w:r w:rsidR="00C90CE3">
        <w:rPr>
          <w:color w:val="auto"/>
        </w:rPr>
        <w:t>may</w:t>
      </w:r>
      <w:r w:rsidR="00A11EBD" w:rsidRPr="00FB35B1">
        <w:rPr>
          <w:color w:val="auto"/>
        </w:rPr>
        <w:t xml:space="preserve"> report on the suggested quarterly reporting template</w:t>
      </w:r>
      <w:r w:rsidR="00A77BB0">
        <w:rPr>
          <w:color w:val="auto"/>
        </w:rPr>
        <w:t xml:space="preserve"> or a similar one, using</w:t>
      </w:r>
      <w:r w:rsidR="00A11EBD" w:rsidRPr="00FB35B1">
        <w:rPr>
          <w:color w:val="auto"/>
        </w:rPr>
        <w:t xml:space="preserve"> whatever existing technology they have to collect the data, i.e. word processing and </w:t>
      </w:r>
      <w:r w:rsidR="00A77BB0">
        <w:rPr>
          <w:color w:val="auto"/>
        </w:rPr>
        <w:t xml:space="preserve">any </w:t>
      </w:r>
      <w:r w:rsidR="00A11EBD" w:rsidRPr="00FB35B1">
        <w:rPr>
          <w:color w:val="auto"/>
        </w:rPr>
        <w:t xml:space="preserve">spreadsheets they </w:t>
      </w:r>
      <w:r w:rsidR="00A77BB0">
        <w:rPr>
          <w:color w:val="auto"/>
        </w:rPr>
        <w:t xml:space="preserve">choose to </w:t>
      </w:r>
      <w:r w:rsidR="00A11EBD" w:rsidRPr="00FB35B1">
        <w:rPr>
          <w:color w:val="auto"/>
        </w:rPr>
        <w:t xml:space="preserve">develop for their own tracking purposes.  </w:t>
      </w:r>
      <w:r w:rsidR="00A77BB0">
        <w:rPr>
          <w:color w:val="auto"/>
        </w:rPr>
        <w:t>Grantees will email their q</w:t>
      </w:r>
      <w:r w:rsidR="00A11EBD" w:rsidRPr="00FB35B1">
        <w:rPr>
          <w:color w:val="auto"/>
        </w:rPr>
        <w:t>uarterly reports to ETA.</w:t>
      </w:r>
      <w:r w:rsidR="00A11EBD">
        <w:rPr>
          <w:color w:val="auto"/>
        </w:rPr>
        <w:t xml:space="preserve">  </w:t>
      </w:r>
    </w:p>
    <w:p w14:paraId="77B8A05F" w14:textId="77777777" w:rsidR="00F97054" w:rsidRDefault="00F97054">
      <w:pPr>
        <w:pStyle w:val="Body"/>
        <w:tabs>
          <w:tab w:val="left" w:pos="720"/>
        </w:tabs>
      </w:pPr>
    </w:p>
    <w:p w14:paraId="00ED4724" w14:textId="77777777" w:rsidR="003D1DDC" w:rsidRDefault="003D1DDC">
      <w:pPr>
        <w:pStyle w:val="Body"/>
        <w:tabs>
          <w:tab w:val="left" w:pos="720"/>
        </w:tabs>
      </w:pPr>
      <w:r w:rsidRPr="002221A7">
        <w:rPr>
          <w:i/>
        </w:rPr>
        <w:t>4.</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14:paraId="29CECF7A" w14:textId="77777777" w:rsidR="003D1DDC" w:rsidRPr="00D71072" w:rsidRDefault="003D1DDC">
      <w:pPr>
        <w:pStyle w:val="Body"/>
        <w:tabs>
          <w:tab w:val="left" w:pos="720"/>
        </w:tabs>
      </w:pPr>
    </w:p>
    <w:p w14:paraId="7DFA32EA" w14:textId="77777777" w:rsidR="00F97054" w:rsidRPr="00D71072" w:rsidRDefault="001C22F9">
      <w:pPr>
        <w:pStyle w:val="Body"/>
      </w:pPr>
      <w:r w:rsidRPr="00D71072">
        <w:t>Because each of the WIF grantees is attempting to implement an innovative approach, this data collection effort does not represent duplication of existing/available data.  There is no other source for the information that will be collected in the quarterly performance narrative reports. Data items collected by the performance narrative reports are needed to:  (1) account for the specific services and activities implemented by each grantee; (2) build a body of knowledge about effective practices and “</w:t>
      </w:r>
      <w:proofErr w:type="spellStart"/>
      <w:r w:rsidRPr="00D71072">
        <w:rPr>
          <w:lang w:val="fr-FR"/>
        </w:rPr>
        <w:t>lessons</w:t>
      </w:r>
      <w:proofErr w:type="spellEnd"/>
      <w:r w:rsidR="00DE55AD">
        <w:rPr>
          <w:lang w:val="fr-FR"/>
        </w:rPr>
        <w:t xml:space="preserve"> </w:t>
      </w:r>
      <w:proofErr w:type="spellStart"/>
      <w:r w:rsidRPr="00D71072">
        <w:rPr>
          <w:lang w:val="fr-FR"/>
        </w:rPr>
        <w:t>learned</w:t>
      </w:r>
      <w:proofErr w:type="spellEnd"/>
      <w:r w:rsidRPr="00D71072">
        <w:t>” about innovative strategies in the workforce system; and (3) enable ETA to provide targeted technical assistance so that grantees can achieve the best outcomes possible.  Information collected on the WIF grants is not available through any other data collection or report system.</w:t>
      </w:r>
    </w:p>
    <w:p w14:paraId="02803E2D" w14:textId="77777777" w:rsidR="00F97054" w:rsidRDefault="00F97054">
      <w:pPr>
        <w:pStyle w:val="Body"/>
        <w:tabs>
          <w:tab w:val="left" w:pos="720"/>
        </w:tabs>
      </w:pPr>
    </w:p>
    <w:p w14:paraId="37658EC3" w14:textId="5F48D2CC" w:rsidR="00EB77B1" w:rsidRPr="00D71072" w:rsidRDefault="00EB77B1">
      <w:pPr>
        <w:pStyle w:val="Body"/>
        <w:tabs>
          <w:tab w:val="left" w:pos="720"/>
        </w:tabs>
      </w:pPr>
      <w:r w:rsidRPr="002221A7">
        <w:rPr>
          <w:i/>
        </w:rPr>
        <w:t>5.</w:t>
      </w:r>
      <w:r w:rsidRPr="002221A7">
        <w:rPr>
          <w:i/>
        </w:rPr>
        <w:tab/>
        <w:t>If the collection of information impacts small businesses or other small entities, describe any methods used to minimize burden.</w:t>
      </w:r>
    </w:p>
    <w:p w14:paraId="4E22A97E" w14:textId="77777777" w:rsidR="00F97054" w:rsidRPr="00D71072" w:rsidRDefault="001C22F9">
      <w:pPr>
        <w:pStyle w:val="Body"/>
      </w:pPr>
      <w:r w:rsidRPr="00D71072">
        <w:lastRenderedPageBreak/>
        <w:t>This collection does not impact small businesses.</w:t>
      </w:r>
    </w:p>
    <w:p w14:paraId="22CD2F73" w14:textId="77777777" w:rsidR="00F97054" w:rsidRDefault="00F97054">
      <w:pPr>
        <w:pStyle w:val="Body"/>
        <w:tabs>
          <w:tab w:val="left" w:pos="720"/>
        </w:tabs>
      </w:pPr>
    </w:p>
    <w:p w14:paraId="34A21F1A" w14:textId="77777777" w:rsidR="00EB77B1" w:rsidRDefault="00EB77B1">
      <w:pPr>
        <w:pStyle w:val="Body"/>
        <w:tabs>
          <w:tab w:val="left" w:pos="720"/>
        </w:tabs>
      </w:pPr>
      <w:r w:rsidRPr="002221A7">
        <w:rPr>
          <w:i/>
        </w:rPr>
        <w:t>6.</w:t>
      </w:r>
      <w:r w:rsidRPr="002221A7">
        <w:rPr>
          <w:i/>
        </w:rPr>
        <w:tab/>
        <w:t>Describe the consequence to Federal program or policy activities if the collection is not conducted or is conducted less frequently, as well as any technical or legal obstacles to reducing burden.</w:t>
      </w:r>
    </w:p>
    <w:p w14:paraId="4A8FF77F" w14:textId="77777777" w:rsidR="00EB77B1" w:rsidRPr="00D71072" w:rsidRDefault="00EB77B1">
      <w:pPr>
        <w:pStyle w:val="Body"/>
        <w:tabs>
          <w:tab w:val="left" w:pos="720"/>
        </w:tabs>
      </w:pPr>
    </w:p>
    <w:p w14:paraId="10168ED1" w14:textId="77777777" w:rsidR="00F97054" w:rsidRPr="00D71072" w:rsidRDefault="001C22F9" w:rsidP="003C686D">
      <w:pPr>
        <w:pStyle w:val="Body"/>
      </w:pPr>
      <w:r w:rsidRPr="00D71072">
        <w:t>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Although these requirements do not directly apply because the WIF grantees include only State Agencies, Local Workforce Investment Boards and consortia of those entities, this regulation sets a standard for frequency of reporting and data collection.  In applying for WIF grants, grantees agreed to meet ETA</w:t>
      </w:r>
      <w:r w:rsidRPr="00D71072">
        <w:rPr>
          <w:lang w:val="fr-FR"/>
        </w:rPr>
        <w:t>’</w:t>
      </w:r>
      <w:r w:rsidRPr="00D71072">
        <w:t>s reporting requirements as indicated in the Solicitation</w:t>
      </w:r>
      <w:r w:rsidR="002226B2">
        <w:t>s</w:t>
      </w:r>
      <w:r w:rsidRPr="00D71072">
        <w:t xml:space="preserve"> for Grant Applications (SGA/DFA PY-11-05)</w:t>
      </w:r>
      <w:r w:rsidR="00FB1BF6" w:rsidRPr="00FB1BF6">
        <w:rPr>
          <w:color w:val="FF0000"/>
        </w:rPr>
        <w:t xml:space="preserve"> </w:t>
      </w:r>
      <w:r w:rsidR="00FB1BF6" w:rsidRPr="00464A66">
        <w:rPr>
          <w:color w:val="auto"/>
        </w:rPr>
        <w:t>and</w:t>
      </w:r>
      <w:r w:rsidR="00945FD8" w:rsidRPr="00464A66">
        <w:rPr>
          <w:color w:val="auto"/>
        </w:rPr>
        <w:t xml:space="preserve"> </w:t>
      </w:r>
      <w:r w:rsidR="00FB1BF6" w:rsidRPr="00464A66">
        <w:rPr>
          <w:color w:val="auto"/>
        </w:rPr>
        <w:t>(SGA/DFA PY-13-06),</w:t>
      </w:r>
      <w:r w:rsidR="00945FD8" w:rsidRPr="00464A66">
        <w:rPr>
          <w:color w:val="auto"/>
        </w:rPr>
        <w:t xml:space="preserve"> </w:t>
      </w:r>
      <w:r w:rsidR="00FB1BF6" w:rsidRPr="00464A66">
        <w:rPr>
          <w:color w:val="auto"/>
        </w:rPr>
        <w:t xml:space="preserve">and Funding Opportunity Announcement (FOA) </w:t>
      </w:r>
      <w:r w:rsidR="00FB1BF6" w:rsidRPr="00464A66">
        <w:rPr>
          <w:rFonts w:eastAsia="Arial Unicode MS"/>
          <w:color w:val="auto"/>
        </w:rPr>
        <w:t>(FOA-ETA-15-10)</w:t>
      </w:r>
      <w:r w:rsidRPr="00464A66">
        <w:rPr>
          <w:color w:val="auto"/>
        </w:rPr>
        <w:t xml:space="preserve">, </w:t>
      </w:r>
      <w:r w:rsidRPr="00D71072">
        <w:t>which require the submission of quarterly reports within 45 days after the end of the quarter.</w:t>
      </w:r>
      <w:r w:rsidR="00945FD8">
        <w:t xml:space="preserve"> </w:t>
      </w:r>
      <w:r w:rsidR="00EB77B1">
        <w:t xml:space="preserve"> </w:t>
      </w:r>
      <w:r w:rsidRPr="00D71072">
        <w:t>Additionally, collecting reports less frequently would severely compromise ETA</w:t>
      </w:r>
      <w:r w:rsidRPr="00D71072">
        <w:rPr>
          <w:lang w:val="fr-FR"/>
        </w:rPr>
        <w:t>’</w:t>
      </w:r>
      <w:r w:rsidRPr="00D71072">
        <w:t>s ability to monitor the progress of the grants, build a body of knowledge regarding these innovative projects and provide effective technical assistance to the grantees.</w:t>
      </w:r>
    </w:p>
    <w:p w14:paraId="4C71ACEF" w14:textId="77777777" w:rsidR="00F97054" w:rsidRDefault="00F97054">
      <w:pPr>
        <w:pStyle w:val="Body"/>
      </w:pPr>
    </w:p>
    <w:p w14:paraId="400431D4" w14:textId="77777777" w:rsidR="00EB77B1" w:rsidRDefault="00EB77B1">
      <w:pPr>
        <w:pStyle w:val="Body"/>
      </w:pPr>
      <w:r w:rsidRPr="002221A7">
        <w:rPr>
          <w:i/>
        </w:rPr>
        <w:t>7.</w:t>
      </w:r>
      <w:r w:rsidRPr="002221A7">
        <w:rPr>
          <w:i/>
        </w:rPr>
        <w:tab/>
        <w:t>Explain any special circumstances that would cause an information collection to be conducted in a manner</w:t>
      </w:r>
      <w:r>
        <w:rPr>
          <w:i/>
        </w:rPr>
        <w:t xml:space="preserve"> </w:t>
      </w:r>
      <w:r w:rsidRPr="00184FE6">
        <w:rPr>
          <w:i/>
        </w:rPr>
        <w:t>that requires further explanation pursuant to regulations 5 CFR 1320.5:</w:t>
      </w:r>
    </w:p>
    <w:p w14:paraId="7BF86628" w14:textId="77777777" w:rsidR="00EB77B1" w:rsidRPr="00D71072" w:rsidRDefault="00EB77B1">
      <w:pPr>
        <w:pStyle w:val="Body"/>
      </w:pPr>
    </w:p>
    <w:p w14:paraId="03740C10" w14:textId="77777777" w:rsidR="00F97054" w:rsidRPr="00D71072" w:rsidRDefault="001C22F9">
      <w:pPr>
        <w:pStyle w:val="Body"/>
        <w:outlineLvl w:val="0"/>
      </w:pPr>
      <w:r w:rsidRPr="00D71072">
        <w:t>None of the data collection efforts involve any special circumstances.</w:t>
      </w:r>
    </w:p>
    <w:p w14:paraId="15FF7B49" w14:textId="77777777" w:rsidR="00EB77B1" w:rsidRPr="00EB77B1" w:rsidRDefault="00EB77B1" w:rsidP="00EB77B1">
      <w:pPr>
        <w:pStyle w:val="Body"/>
        <w:jc w:val="left"/>
        <w:outlineLvl w:val="0"/>
        <w:rPr>
          <w:b/>
          <w:bCs/>
        </w:rPr>
      </w:pPr>
    </w:p>
    <w:p w14:paraId="05295F36" w14:textId="77777777" w:rsidR="00EB77B1" w:rsidRDefault="00EB77B1" w:rsidP="00EB77B1">
      <w:pPr>
        <w:pStyle w:val="NormalSS"/>
        <w:rPr>
          <w:i/>
        </w:rPr>
      </w:pPr>
      <w:r w:rsidRPr="00EB77B1">
        <w:rPr>
          <w:i/>
        </w:rPr>
        <w:t>8.</w:t>
      </w:r>
      <w:r w:rsidRPr="00EB77B1">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F365D3B" w14:textId="77777777" w:rsidR="00EB77B1" w:rsidRPr="00EB77B1" w:rsidRDefault="00EB77B1" w:rsidP="00EB77B1">
      <w:pPr>
        <w:pStyle w:val="NormalSS"/>
        <w:rPr>
          <w:i/>
        </w:rPr>
      </w:pPr>
    </w:p>
    <w:p w14:paraId="03A36645" w14:textId="77777777" w:rsidR="00EB77B1" w:rsidRPr="00EB77B1" w:rsidRDefault="00EB77B1" w:rsidP="00EB77B1">
      <w:pPr>
        <w:pStyle w:val="NormalSS"/>
        <w:rPr>
          <w:i/>
        </w:rPr>
      </w:pPr>
      <w:r w:rsidRPr="00EB77B1">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FFA8D4" w14:textId="77777777" w:rsidR="00EB77B1" w:rsidRPr="00EB77B1" w:rsidRDefault="00EB77B1" w:rsidP="00EB77B1">
      <w:pPr>
        <w:pStyle w:val="NormalSS"/>
        <w:rPr>
          <w:i/>
        </w:rPr>
      </w:pPr>
    </w:p>
    <w:p w14:paraId="70FCAC66" w14:textId="77777777" w:rsidR="00EB77B1" w:rsidRDefault="00EB77B1" w:rsidP="00EB77B1">
      <w:pPr>
        <w:pStyle w:val="NormalSS"/>
        <w:jc w:val="left"/>
      </w:pPr>
      <w:r w:rsidRPr="00EB77B1">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286EA7A9" w14:textId="77777777" w:rsidR="00EB77B1" w:rsidRDefault="00EB77B1">
      <w:pPr>
        <w:pStyle w:val="NormalSS"/>
        <w:jc w:val="left"/>
      </w:pPr>
    </w:p>
    <w:p w14:paraId="3822D9BC" w14:textId="77777777" w:rsidR="00F97054" w:rsidRPr="00D71072" w:rsidRDefault="00EB77B1">
      <w:pPr>
        <w:pStyle w:val="NormalSS"/>
        <w:jc w:val="left"/>
      </w:pPr>
      <w:r w:rsidRPr="00EB77B1">
        <w:t>In accordance with the Paperwork Reduction Act of 1995, the public was allowed 60 days to comment through the Federal Register Notice posted on</w:t>
      </w:r>
      <w:r>
        <w:t xml:space="preserve"> </w:t>
      </w:r>
      <w:r w:rsidR="00A116AB" w:rsidRPr="002C1F56">
        <w:t>December</w:t>
      </w:r>
      <w:r w:rsidR="005B6672" w:rsidRPr="002C1F56">
        <w:t xml:space="preserve"> </w:t>
      </w:r>
      <w:r w:rsidR="002C1F56" w:rsidRPr="002C1F56">
        <w:t>23</w:t>
      </w:r>
      <w:r w:rsidR="001C22F9" w:rsidRPr="002C1F56">
        <w:t>, 201</w:t>
      </w:r>
      <w:r w:rsidR="00A116AB" w:rsidRPr="002C1F56">
        <w:t>6</w:t>
      </w:r>
      <w:r>
        <w:t xml:space="preserve"> (81 FR 94422</w:t>
      </w:r>
      <w:r w:rsidR="001C22F9" w:rsidRPr="002C1F56">
        <w:t xml:space="preserve">).  </w:t>
      </w:r>
      <w:r w:rsidR="009646D2" w:rsidRPr="002C1F56">
        <w:t xml:space="preserve">No </w:t>
      </w:r>
      <w:r>
        <w:t xml:space="preserve">public </w:t>
      </w:r>
      <w:r w:rsidR="009646D2" w:rsidRPr="002C1F56">
        <w:t>comments were received.</w:t>
      </w:r>
    </w:p>
    <w:p w14:paraId="2C07C4E2" w14:textId="77777777" w:rsidR="00F97054" w:rsidRPr="00D71072" w:rsidRDefault="00F97054">
      <w:pPr>
        <w:pStyle w:val="NormalSS"/>
        <w:jc w:val="left"/>
      </w:pPr>
    </w:p>
    <w:p w14:paraId="4118E5CC" w14:textId="77777777" w:rsidR="00F97054" w:rsidRPr="00D71072" w:rsidRDefault="001C22F9">
      <w:pPr>
        <w:pStyle w:val="Body"/>
        <w:jc w:val="left"/>
      </w:pPr>
      <w:r w:rsidRPr="00D71072">
        <w:lastRenderedPageBreak/>
        <w:t xml:space="preserve">As part of the development of the Solicitation for Grant Application for the WIF grants, </w:t>
      </w:r>
      <w:r w:rsidR="009646D2">
        <w:t xml:space="preserve">ETA consulted with </w:t>
      </w:r>
      <w:r w:rsidRPr="00D71072">
        <w:t xml:space="preserve">various Federal agency partners, including the Department of Education, Health and Human Services and Office of Management and Budget staff, </w:t>
      </w:r>
      <w:r w:rsidR="009646D2">
        <w:t xml:space="preserve">for </w:t>
      </w:r>
      <w:r w:rsidRPr="00D71072">
        <w:t xml:space="preserve">feedback on data collection instruments, types of data collection, and the availability of data, as well as the overall program design </w:t>
      </w:r>
      <w:r w:rsidR="009646D2">
        <w:t xml:space="preserve">and reporting requirements </w:t>
      </w:r>
      <w:r w:rsidRPr="00D71072">
        <w:t>for the WIF grants</w:t>
      </w:r>
      <w:r w:rsidR="009646D2">
        <w:t>.</w:t>
      </w:r>
      <w:r w:rsidRPr="00D71072">
        <w:t xml:space="preserve">  </w:t>
      </w:r>
    </w:p>
    <w:p w14:paraId="733498D3" w14:textId="77777777" w:rsidR="00F97054" w:rsidRDefault="00F97054">
      <w:pPr>
        <w:pStyle w:val="Body"/>
        <w:jc w:val="left"/>
      </w:pPr>
    </w:p>
    <w:p w14:paraId="43D7CF10" w14:textId="77777777" w:rsidR="00EB77B1" w:rsidRDefault="00EB77B1">
      <w:pPr>
        <w:pStyle w:val="Body"/>
        <w:jc w:val="left"/>
      </w:pPr>
      <w:r w:rsidRPr="008F4D44">
        <w:rPr>
          <w:i/>
        </w:rPr>
        <w:t>9.</w:t>
      </w:r>
      <w:r w:rsidRPr="008F4D44">
        <w:rPr>
          <w:i/>
        </w:rPr>
        <w:tab/>
        <w:t>Explain any decision to provide any payment or gift to respondents, other than remuneration of contractors or grantees.</w:t>
      </w:r>
    </w:p>
    <w:p w14:paraId="492F6EC1" w14:textId="77777777" w:rsidR="00EB77B1" w:rsidRPr="00D71072" w:rsidRDefault="00EB77B1">
      <w:pPr>
        <w:pStyle w:val="Body"/>
        <w:jc w:val="left"/>
      </w:pPr>
    </w:p>
    <w:p w14:paraId="3BB8C911" w14:textId="77777777" w:rsidR="00F97054" w:rsidRPr="00D71072" w:rsidRDefault="001C22F9">
      <w:pPr>
        <w:pStyle w:val="NormalSS"/>
        <w:jc w:val="left"/>
      </w:pPr>
      <w:r w:rsidRPr="00D71072">
        <w:t>There are no payments to respondents other than the funds provided under the grant agreement.</w:t>
      </w:r>
    </w:p>
    <w:p w14:paraId="3B065AAE" w14:textId="77777777" w:rsidR="00F97054" w:rsidRDefault="00F97054">
      <w:pPr>
        <w:pStyle w:val="Body"/>
        <w:jc w:val="left"/>
        <w:outlineLvl w:val="0"/>
        <w:rPr>
          <w:b/>
          <w:bCs/>
        </w:rPr>
      </w:pPr>
    </w:p>
    <w:p w14:paraId="7DD1A651" w14:textId="77777777" w:rsidR="00EB77B1" w:rsidRDefault="00EB77B1">
      <w:pPr>
        <w:pStyle w:val="Body"/>
        <w:jc w:val="left"/>
        <w:outlineLvl w:val="0"/>
        <w:rPr>
          <w:b/>
          <w:bCs/>
        </w:rPr>
      </w:pPr>
      <w:r w:rsidRPr="008F4D44">
        <w:rPr>
          <w:i/>
        </w:rPr>
        <w:t>10.</w:t>
      </w:r>
      <w:r w:rsidRPr="008F4D44">
        <w:rPr>
          <w:i/>
        </w:rPr>
        <w:tab/>
        <w:t>Describe any assurance of confidentiality provided to respondents and the basis for the assurance in statute, regulation, or agency policy.</w:t>
      </w:r>
    </w:p>
    <w:p w14:paraId="6EE65AD9" w14:textId="77777777" w:rsidR="00EB77B1" w:rsidRPr="00D71072" w:rsidRDefault="00EB77B1">
      <w:pPr>
        <w:pStyle w:val="Body"/>
        <w:jc w:val="left"/>
        <w:outlineLvl w:val="0"/>
        <w:rPr>
          <w:b/>
          <w:bCs/>
        </w:rPr>
      </w:pPr>
    </w:p>
    <w:p w14:paraId="1638268E" w14:textId="77777777" w:rsidR="00F97054" w:rsidRPr="00D71072" w:rsidRDefault="001C22F9">
      <w:pPr>
        <w:pStyle w:val="Body"/>
        <w:jc w:val="left"/>
        <w:outlineLvl w:val="0"/>
      </w:pPr>
      <w:r w:rsidRPr="00D71072">
        <w:t>ETA is responsible for protecting the privacy of the WIF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et seq.).  The quarterly performance narrative reports do not require the submission of individually identifying data.  Nevertheless, DOL is working diligently to ensure the highest level of security whenever personally identifiable information is stored or</w:t>
      </w:r>
      <w:r w:rsidR="009A12DC">
        <w:t xml:space="preserve"> transmitted.  All contractors with </w:t>
      </w:r>
      <w:r w:rsidRPr="00D71072">
        <w:t>access to individually identifying information are required to provide assurances that they will respect and protect the privacy of the data.</w:t>
      </w:r>
    </w:p>
    <w:p w14:paraId="032BC279" w14:textId="77777777" w:rsidR="00F97054" w:rsidRDefault="00F97054">
      <w:pPr>
        <w:pStyle w:val="Body"/>
        <w:jc w:val="left"/>
        <w:outlineLvl w:val="0"/>
      </w:pPr>
    </w:p>
    <w:p w14:paraId="40D047DE" w14:textId="77777777" w:rsidR="00A953D7" w:rsidRDefault="00A953D7">
      <w:pPr>
        <w:pStyle w:val="Body"/>
        <w:jc w:val="left"/>
        <w:outlineLvl w:val="0"/>
      </w:pPr>
      <w:r w:rsidRPr="008F4D44">
        <w:rPr>
          <w:i/>
        </w:rPr>
        <w:t>11.</w:t>
      </w:r>
      <w:r w:rsidRPr="008F4D44">
        <w:rPr>
          <w:i/>
        </w:rPr>
        <w:tab/>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161D410" w14:textId="77777777" w:rsidR="00A953D7" w:rsidRPr="00D71072" w:rsidRDefault="00A953D7">
      <w:pPr>
        <w:pStyle w:val="Body"/>
        <w:jc w:val="left"/>
        <w:outlineLvl w:val="0"/>
      </w:pPr>
    </w:p>
    <w:p w14:paraId="71112E12" w14:textId="77777777" w:rsidR="00F97054" w:rsidRPr="00D71072" w:rsidRDefault="001D3A55">
      <w:pPr>
        <w:pStyle w:val="Body"/>
        <w:jc w:val="left"/>
        <w:outlineLvl w:val="0"/>
      </w:pPr>
      <w:r>
        <w:t xml:space="preserve">The </w:t>
      </w:r>
      <w:r w:rsidR="001C22F9" w:rsidRPr="00D71072">
        <w:t>quarterly performance narrative reports do not require the submission of sensitive data</w:t>
      </w:r>
      <w:r>
        <w:t>.</w:t>
      </w:r>
    </w:p>
    <w:p w14:paraId="3B215496" w14:textId="77777777" w:rsidR="00BD26BC" w:rsidRDefault="00BD26BC">
      <w:pPr>
        <w:pStyle w:val="Body"/>
        <w:jc w:val="left"/>
        <w:outlineLvl w:val="0"/>
      </w:pPr>
    </w:p>
    <w:p w14:paraId="08B6D5A3" w14:textId="77777777" w:rsidR="00A953D7" w:rsidRDefault="00A953D7">
      <w:pPr>
        <w:pStyle w:val="Body"/>
        <w:jc w:val="left"/>
        <w:outlineLvl w:val="0"/>
      </w:pPr>
      <w:r w:rsidRPr="008F4D44">
        <w:rPr>
          <w:i/>
        </w:rPr>
        <w:t>12.</w:t>
      </w:r>
      <w:r w:rsidRPr="008F4D44">
        <w:rPr>
          <w:i/>
        </w:rPr>
        <w:tab/>
        <w:t>Provide estimates of the hour burden of the collection of information</w:t>
      </w:r>
      <w:r w:rsidR="00B65403">
        <w:rPr>
          <w:i/>
        </w:rPr>
        <w:t>.</w:t>
      </w:r>
    </w:p>
    <w:p w14:paraId="692E8B34" w14:textId="77777777" w:rsidR="00A953D7" w:rsidRDefault="00A953D7">
      <w:pPr>
        <w:pStyle w:val="Body"/>
        <w:jc w:val="left"/>
        <w:outlineLvl w:val="0"/>
      </w:pPr>
    </w:p>
    <w:p w14:paraId="399F448D" w14:textId="77777777" w:rsidR="00F97054" w:rsidRDefault="00BD26BC" w:rsidP="00A953D7">
      <w:pPr>
        <w:pStyle w:val="Body"/>
        <w:jc w:val="left"/>
        <w:outlineLvl w:val="0"/>
      </w:pPr>
      <w:r w:rsidRPr="00BD26BC">
        <w:t xml:space="preserve">The annual national burden for WIF data collection has two components: (1) the respondent data collection burden; and (2) the data collection cost burden. </w:t>
      </w:r>
      <w:r w:rsidR="00A953D7">
        <w:t xml:space="preserve"> </w:t>
      </w:r>
      <w:r w:rsidRPr="00BD26BC">
        <w:t xml:space="preserve">This response provides </w:t>
      </w:r>
      <w:r w:rsidR="009F5D04">
        <w:t>the</w:t>
      </w:r>
      <w:r w:rsidRPr="00BD26BC">
        <w:t xml:space="preserve"> </w:t>
      </w:r>
      <w:r w:rsidR="00346A2C">
        <w:t xml:space="preserve">total </w:t>
      </w:r>
      <w:r w:rsidRPr="00BD26BC">
        <w:t>burden</w:t>
      </w:r>
      <w:r>
        <w:t>.</w:t>
      </w:r>
    </w:p>
    <w:p w14:paraId="391B7143" w14:textId="77777777" w:rsidR="009A05E1" w:rsidRPr="00A953D7" w:rsidRDefault="009A05E1" w:rsidP="00A953D7">
      <w:pPr>
        <w:pStyle w:val="Body"/>
        <w:jc w:val="left"/>
        <w:outlineLvl w:val="0"/>
      </w:pPr>
    </w:p>
    <w:p w14:paraId="2E1595F6" w14:textId="77777777" w:rsidR="00F97054" w:rsidRPr="00D71072" w:rsidRDefault="001C22F9">
      <w:pPr>
        <w:pStyle w:val="Body"/>
        <w:numPr>
          <w:ilvl w:val="0"/>
          <w:numId w:val="3"/>
        </w:numPr>
        <w:tabs>
          <w:tab w:val="num" w:pos="753"/>
        </w:tabs>
        <w:ind w:left="753" w:hanging="393"/>
        <w:rPr>
          <w:b/>
          <w:bCs/>
          <w:sz w:val="22"/>
          <w:szCs w:val="22"/>
        </w:rPr>
      </w:pPr>
      <w:r w:rsidRPr="00D71072">
        <w:rPr>
          <w:b/>
          <w:bCs/>
          <w:sz w:val="22"/>
          <w:szCs w:val="22"/>
          <w:lang w:val="de-DE"/>
        </w:rPr>
        <w:t>Respondent Data Collection Burden</w:t>
      </w:r>
    </w:p>
    <w:p w14:paraId="0D26D5D0" w14:textId="77777777" w:rsidR="00F97054" w:rsidRPr="00D71072" w:rsidRDefault="00F97054">
      <w:pPr>
        <w:pStyle w:val="Body"/>
      </w:pPr>
    </w:p>
    <w:p w14:paraId="25E53F11" w14:textId="77777777" w:rsidR="00F25014" w:rsidRPr="00FB35B1" w:rsidRDefault="001C22F9" w:rsidP="00F25014">
      <w:pPr>
        <w:pStyle w:val="Body"/>
        <w:rPr>
          <w:color w:val="auto"/>
        </w:rPr>
      </w:pPr>
      <w:r w:rsidRPr="00D71072">
        <w:t xml:space="preserve">The WIF data collection burden considers the amount of participant and performance-related information collected that would not have to be collected by the grantees as part of their customary and usual burden to run the program.  Thus, the burden reflects the information collected solely to comply with Federal reporting requirements.  The collection burden will vary by participant based on the range and intensity of services provided by the grantee.  For example, data collection may involve acquiring information from various partners regarding employment </w:t>
      </w:r>
      <w:r w:rsidRPr="00D71072">
        <w:lastRenderedPageBreak/>
        <w:t>training and placement, and the outcomes reported in the performance reports are different for each grant.</w:t>
      </w:r>
      <w:r w:rsidR="00F25014">
        <w:t xml:space="preserve">  </w:t>
      </w:r>
      <w:r w:rsidR="00F25014" w:rsidRPr="00FB35B1">
        <w:rPr>
          <w:color w:val="auto"/>
        </w:rPr>
        <w:t>To reduce grantee burden, each grantee will report on</w:t>
      </w:r>
      <w:r w:rsidR="00F25014">
        <w:rPr>
          <w:color w:val="auto"/>
        </w:rPr>
        <w:t>ly on performance measures previously identified as specifically applicable to that</w:t>
      </w:r>
      <w:r w:rsidR="00F25014" w:rsidRPr="00FB35B1">
        <w:rPr>
          <w:color w:val="auto"/>
        </w:rPr>
        <w:t xml:space="preserve"> grant</w:t>
      </w:r>
      <w:r w:rsidR="00F25014">
        <w:rPr>
          <w:color w:val="auto"/>
        </w:rPr>
        <w:t>.</w:t>
      </w:r>
      <w:r w:rsidR="00F25014" w:rsidRPr="00FB35B1">
        <w:rPr>
          <w:color w:val="auto"/>
        </w:rPr>
        <w:t xml:space="preserve"> </w:t>
      </w:r>
    </w:p>
    <w:p w14:paraId="66B132FC" w14:textId="77777777" w:rsidR="00F97054" w:rsidRPr="00D71072" w:rsidRDefault="00F97054">
      <w:pPr>
        <w:pStyle w:val="Body"/>
      </w:pPr>
    </w:p>
    <w:p w14:paraId="36FDD626" w14:textId="77777777" w:rsidR="00F97054" w:rsidRPr="00D71072" w:rsidRDefault="001C22F9">
      <w:pPr>
        <w:pStyle w:val="Body"/>
        <w:widowControl w:val="0"/>
        <w:tabs>
          <w:tab w:val="clear" w:pos="432"/>
        </w:tabs>
        <w:jc w:val="left"/>
        <w:rPr>
          <w:b/>
          <w:bCs/>
          <w:sz w:val="22"/>
          <w:szCs w:val="22"/>
        </w:rPr>
      </w:pPr>
      <w:r w:rsidRPr="00D71072">
        <w:rPr>
          <w:b/>
          <w:bCs/>
          <w:sz w:val="22"/>
          <w:szCs w:val="22"/>
        </w:rPr>
        <w:t>Quarterly Performance Narrative Report Burden</w:t>
      </w:r>
    </w:p>
    <w:p w14:paraId="430D3929" w14:textId="77777777" w:rsidR="00F97054" w:rsidRPr="00D71072" w:rsidRDefault="00F97054">
      <w:pPr>
        <w:pStyle w:val="Body"/>
        <w:jc w:val="left"/>
        <w:outlineLvl w:val="0"/>
      </w:pPr>
    </w:p>
    <w:p w14:paraId="6D56AD10" w14:textId="6CD4F7C5" w:rsidR="00F97054" w:rsidRPr="00D71072" w:rsidRDefault="001C22F9">
      <w:pPr>
        <w:pStyle w:val="Body"/>
      </w:pPr>
      <w:r w:rsidRPr="00D71072">
        <w:t>The WIF quarterly performance narrative report burden involves providing a detailed account of all activities undertaken during the quarter including in-depth information on accomplishments, promising approaches, progress toward performance outcomes, and upcoming grant activities.  Key issues, technical assistance needs, best practices, and lessons learned should also be included in the quarterly narrative report.  ETA assumes each grantee will spend approximately twenty hours per quarter preparing the report.  This estimate is based on the calculations made for the H</w:t>
      </w:r>
      <w:r w:rsidR="009A05E1">
        <w:t>-</w:t>
      </w:r>
      <w:r w:rsidRPr="00D71072">
        <w:t>1B Technical Skills Training Grants (OMB Control Number 1205-0507)</w:t>
      </w:r>
      <w:r w:rsidR="00920631">
        <w:t>, which</w:t>
      </w:r>
      <w:r w:rsidRPr="00D71072">
        <w:t xml:space="preserve"> have similar quarterly performance narrative report</w:t>
      </w:r>
      <w:r w:rsidR="00FF1C59">
        <w:t xml:space="preserve"> format</w:t>
      </w:r>
      <w:r w:rsidRPr="00D71072">
        <w:t xml:space="preserve">s.  The </w:t>
      </w:r>
      <w:r w:rsidR="005551B3">
        <w:t xml:space="preserve">hour </w:t>
      </w:r>
      <w:r w:rsidRPr="00D71072">
        <w:t xml:space="preserve">burden </w:t>
      </w:r>
      <w:r w:rsidR="005551B3">
        <w:t xml:space="preserve">estimate </w:t>
      </w:r>
      <w:r w:rsidRPr="00D71072">
        <w:t>assumes that grantees will define the performance outcomes appropriate for their unique grant</w:t>
      </w:r>
      <w:r w:rsidR="0073438C">
        <w:t>s</w:t>
      </w:r>
      <w:r w:rsidRPr="00D71072">
        <w:t xml:space="preserve">.  As a result, the outcome performance measures are different for each grant.  The </w:t>
      </w:r>
      <w:r w:rsidR="005551B3">
        <w:t xml:space="preserve">hour </w:t>
      </w:r>
      <w:r w:rsidRPr="00D71072">
        <w:t xml:space="preserve">burden </w:t>
      </w:r>
      <w:r w:rsidR="005551B3">
        <w:t xml:space="preserve">estimate </w:t>
      </w:r>
      <w:r w:rsidRPr="00D71072">
        <w:t>includes compiling and reviewin</w:t>
      </w:r>
      <w:r w:rsidR="00FB7B80">
        <w:t>g the</w:t>
      </w:r>
      <w:r w:rsidR="00202C1C">
        <w:t xml:space="preserve"> information</w:t>
      </w:r>
      <w:r w:rsidRPr="00D71072">
        <w:t xml:space="preserve"> quarter</w:t>
      </w:r>
      <w:r w:rsidR="00202C1C">
        <w:t>ly</w:t>
      </w:r>
      <w:r w:rsidRPr="00D71072">
        <w:t>.</w:t>
      </w:r>
    </w:p>
    <w:p w14:paraId="313A307B" w14:textId="77777777" w:rsidR="00A95917" w:rsidRPr="00D71072" w:rsidRDefault="00A95917" w:rsidP="00A95917">
      <w:pPr>
        <w:pStyle w:val="Body"/>
      </w:pPr>
    </w:p>
    <w:p w14:paraId="2062A74B" w14:textId="77777777" w:rsidR="00A95917" w:rsidRDefault="00A95917" w:rsidP="00A95917">
      <w:pPr>
        <w:pStyle w:val="Body"/>
        <w:jc w:val="left"/>
        <w:outlineLvl w:val="0"/>
      </w:pPr>
      <w:r>
        <w:t>The estimate for the data collection burden hours is</w:t>
      </w:r>
      <w:r w:rsidRPr="00D71072">
        <w:t xml:space="preserve"> based on consultation with similar programs.</w:t>
      </w:r>
    </w:p>
    <w:p w14:paraId="03B89C1A" w14:textId="77777777" w:rsidR="003006AA" w:rsidRDefault="003006AA" w:rsidP="00A95917">
      <w:pPr>
        <w:pStyle w:val="Body"/>
        <w:jc w:val="left"/>
        <w:outlineLvl w:val="0"/>
      </w:pPr>
    </w:p>
    <w:p w14:paraId="5C49393B" w14:textId="77777777" w:rsidR="00A953D7" w:rsidRDefault="00A953D7" w:rsidP="00A95917">
      <w:pPr>
        <w:pStyle w:val="Body"/>
        <w:jc w:val="left"/>
        <w:outlineLvl w:val="0"/>
      </w:pPr>
      <w:r w:rsidRPr="00A953D7">
        <w:rPr>
          <w:i/>
        </w:rPr>
        <w:t>The following table can be used as a guide to calculate the total burden of an information collection.</w:t>
      </w:r>
      <w:r>
        <w:rPr>
          <w:i/>
        </w:rPr>
        <w:t xml:space="preserve"> </w:t>
      </w:r>
    </w:p>
    <w:p w14:paraId="00257796" w14:textId="77777777" w:rsidR="00A953D7" w:rsidRPr="00D71072" w:rsidRDefault="00A953D7" w:rsidP="00A95917">
      <w:pPr>
        <w:pStyle w:val="Body"/>
        <w:jc w:val="lef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101"/>
        <w:gridCol w:w="960"/>
        <w:gridCol w:w="931"/>
        <w:gridCol w:w="1329"/>
      </w:tblGrid>
      <w:tr w:rsidR="0057593D" w:rsidRPr="0057593D" w14:paraId="4F82747B" w14:textId="77777777" w:rsidTr="007124D9">
        <w:tc>
          <w:tcPr>
            <w:tcW w:w="1439" w:type="dxa"/>
            <w:tcBorders>
              <w:top w:val="single" w:sz="4" w:space="0" w:color="auto"/>
              <w:left w:val="single" w:sz="4" w:space="0" w:color="auto"/>
              <w:bottom w:val="single" w:sz="4" w:space="0" w:color="auto"/>
              <w:right w:val="single" w:sz="4" w:space="0" w:color="auto"/>
            </w:tcBorders>
            <w:shd w:val="clear" w:color="auto" w:fill="8DB3E2"/>
            <w:hideMark/>
          </w:tcPr>
          <w:p w14:paraId="38695F3A"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3D771494"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14:paraId="1C5D5832"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Frequency</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14:paraId="440D3541"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14:paraId="49C0D634"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14:paraId="05E66FB2"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14:paraId="7457BB3B"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14:paraId="64B6AFC8" w14:textId="77777777" w:rsidR="0057593D" w:rsidRPr="0057593D" w:rsidRDefault="0057593D" w:rsidP="00AD43D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sz w:val="22"/>
                <w:szCs w:val="22"/>
                <w:bdr w:val="none" w:sz="0" w:space="0" w:color="auto"/>
              </w:rPr>
            </w:pPr>
            <w:r w:rsidRPr="0057593D">
              <w:rPr>
                <w:rFonts w:eastAsia="Times New Roman"/>
                <w:b/>
                <w:sz w:val="22"/>
                <w:szCs w:val="22"/>
                <w:bdr w:val="none" w:sz="0" w:space="0" w:color="auto"/>
              </w:rPr>
              <w:t>Monetized Value of Respondent Time</w:t>
            </w:r>
          </w:p>
        </w:tc>
      </w:tr>
      <w:tr w:rsidR="0057593D" w:rsidRPr="0057593D" w14:paraId="3A1DC203" w14:textId="77777777" w:rsidTr="007124D9">
        <w:tc>
          <w:tcPr>
            <w:tcW w:w="1439" w:type="dxa"/>
            <w:tcBorders>
              <w:top w:val="single" w:sz="4" w:space="0" w:color="auto"/>
              <w:left w:val="single" w:sz="4" w:space="0" w:color="auto"/>
              <w:bottom w:val="single" w:sz="4" w:space="0" w:color="auto"/>
              <w:right w:val="single" w:sz="4" w:space="0" w:color="auto"/>
            </w:tcBorders>
            <w:vAlign w:val="bottom"/>
          </w:tcPr>
          <w:p w14:paraId="5ABB70F1" w14:textId="77777777" w:rsidR="0057593D" w:rsidRPr="0057593D" w:rsidRDefault="009A7E03"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Quarterly Perfo</w:t>
            </w:r>
            <w:r w:rsidR="00A953D7">
              <w:rPr>
                <w:rFonts w:eastAsia="Times New Roman"/>
                <w:sz w:val="22"/>
                <w:szCs w:val="22"/>
                <w:bdr w:val="none" w:sz="0" w:space="0" w:color="auto"/>
              </w:rPr>
              <w:t>r</w:t>
            </w:r>
            <w:r>
              <w:rPr>
                <w:rFonts w:eastAsia="Times New Roman"/>
                <w:sz w:val="22"/>
                <w:szCs w:val="22"/>
                <w:bdr w:val="none" w:sz="0" w:space="0" w:color="auto"/>
              </w:rPr>
              <w:t>mance Narrative Report</w:t>
            </w:r>
          </w:p>
        </w:tc>
        <w:tc>
          <w:tcPr>
            <w:tcW w:w="1415" w:type="dxa"/>
            <w:tcBorders>
              <w:top w:val="single" w:sz="4" w:space="0" w:color="auto"/>
              <w:left w:val="single" w:sz="4" w:space="0" w:color="auto"/>
              <w:bottom w:val="single" w:sz="4" w:space="0" w:color="auto"/>
              <w:right w:val="single" w:sz="4" w:space="0" w:color="auto"/>
            </w:tcBorders>
            <w:vAlign w:val="bottom"/>
          </w:tcPr>
          <w:p w14:paraId="63E8BAB8" w14:textId="77777777" w:rsidR="0057593D" w:rsidRPr="0057593D" w:rsidRDefault="0048343B"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17</w:t>
            </w:r>
          </w:p>
        </w:tc>
        <w:tc>
          <w:tcPr>
            <w:tcW w:w="1219" w:type="dxa"/>
            <w:tcBorders>
              <w:top w:val="single" w:sz="4" w:space="0" w:color="auto"/>
              <w:left w:val="single" w:sz="4" w:space="0" w:color="auto"/>
              <w:bottom w:val="single" w:sz="4" w:space="0" w:color="auto"/>
              <w:right w:val="single" w:sz="4" w:space="0" w:color="auto"/>
            </w:tcBorders>
            <w:vAlign w:val="bottom"/>
          </w:tcPr>
          <w:p w14:paraId="725017A2" w14:textId="77777777" w:rsidR="0057593D" w:rsidRPr="0057593D" w:rsidRDefault="00A953D7"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Quarterly</w:t>
            </w:r>
          </w:p>
        </w:tc>
        <w:tc>
          <w:tcPr>
            <w:tcW w:w="1183" w:type="dxa"/>
            <w:tcBorders>
              <w:top w:val="single" w:sz="4" w:space="0" w:color="auto"/>
              <w:left w:val="single" w:sz="4" w:space="0" w:color="auto"/>
              <w:bottom w:val="single" w:sz="4" w:space="0" w:color="auto"/>
              <w:right w:val="single" w:sz="4" w:space="0" w:color="auto"/>
            </w:tcBorders>
            <w:vAlign w:val="bottom"/>
          </w:tcPr>
          <w:p w14:paraId="05A7862F" w14:textId="77777777" w:rsidR="0057593D" w:rsidRPr="0057593D" w:rsidRDefault="00DE6704"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68</w:t>
            </w:r>
          </w:p>
        </w:tc>
        <w:tc>
          <w:tcPr>
            <w:tcW w:w="1105" w:type="dxa"/>
            <w:tcBorders>
              <w:top w:val="single" w:sz="4" w:space="0" w:color="auto"/>
              <w:left w:val="single" w:sz="4" w:space="0" w:color="auto"/>
              <w:bottom w:val="single" w:sz="4" w:space="0" w:color="auto"/>
              <w:right w:val="single" w:sz="4" w:space="0" w:color="auto"/>
            </w:tcBorders>
            <w:vAlign w:val="bottom"/>
          </w:tcPr>
          <w:p w14:paraId="06D374F2" w14:textId="77777777" w:rsidR="0057593D" w:rsidRPr="0057593D" w:rsidRDefault="00DE6704"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20 hours</w:t>
            </w:r>
          </w:p>
        </w:tc>
        <w:tc>
          <w:tcPr>
            <w:tcW w:w="971" w:type="dxa"/>
            <w:tcBorders>
              <w:top w:val="single" w:sz="4" w:space="0" w:color="auto"/>
              <w:left w:val="single" w:sz="4" w:space="0" w:color="auto"/>
              <w:bottom w:val="single" w:sz="4" w:space="0" w:color="auto"/>
              <w:right w:val="single" w:sz="4" w:space="0" w:color="auto"/>
            </w:tcBorders>
            <w:vAlign w:val="bottom"/>
          </w:tcPr>
          <w:p w14:paraId="793A2068" w14:textId="77777777" w:rsidR="0057593D" w:rsidRPr="0057593D" w:rsidRDefault="00A806B3"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1</w:t>
            </w:r>
            <w:r w:rsidR="00A953D7">
              <w:rPr>
                <w:rFonts w:eastAsia="Times New Roman"/>
                <w:sz w:val="22"/>
                <w:szCs w:val="22"/>
                <w:bdr w:val="none" w:sz="0" w:space="0" w:color="auto"/>
              </w:rPr>
              <w:t>,</w:t>
            </w:r>
            <w:r>
              <w:rPr>
                <w:rFonts w:eastAsia="Times New Roman"/>
                <w:sz w:val="22"/>
                <w:szCs w:val="22"/>
                <w:bdr w:val="none" w:sz="0" w:space="0" w:color="auto"/>
              </w:rPr>
              <w:t>360</w:t>
            </w:r>
          </w:p>
        </w:tc>
        <w:tc>
          <w:tcPr>
            <w:tcW w:w="915" w:type="dxa"/>
            <w:tcBorders>
              <w:top w:val="single" w:sz="4" w:space="0" w:color="auto"/>
              <w:left w:val="single" w:sz="4" w:space="0" w:color="auto"/>
              <w:bottom w:val="single" w:sz="4" w:space="0" w:color="auto"/>
              <w:right w:val="single" w:sz="4" w:space="0" w:color="auto"/>
            </w:tcBorders>
            <w:vAlign w:val="bottom"/>
          </w:tcPr>
          <w:p w14:paraId="45FA3456" w14:textId="77777777" w:rsidR="0057593D" w:rsidRPr="0057593D" w:rsidRDefault="00A953D7" w:rsidP="00E14A5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w:t>
            </w:r>
            <w:r w:rsidR="0040341C">
              <w:rPr>
                <w:rFonts w:eastAsia="Times New Roman"/>
                <w:sz w:val="22"/>
                <w:szCs w:val="22"/>
                <w:bdr w:val="none" w:sz="0" w:space="0" w:color="auto"/>
              </w:rPr>
              <w:t>1</w:t>
            </w:r>
            <w:r w:rsidR="00E14A54">
              <w:rPr>
                <w:rFonts w:eastAsia="Times New Roman"/>
                <w:sz w:val="22"/>
                <w:szCs w:val="22"/>
                <w:bdr w:val="none" w:sz="0" w:space="0" w:color="auto"/>
              </w:rPr>
              <w:t>6.3</w:t>
            </w:r>
            <w:r w:rsidR="0040341C">
              <w:rPr>
                <w:rFonts w:eastAsia="Times New Roman"/>
                <w:sz w:val="22"/>
                <w:szCs w:val="22"/>
                <w:bdr w:val="none" w:sz="0" w:space="0" w:color="auto"/>
              </w:rPr>
              <w:t>7*</w:t>
            </w:r>
          </w:p>
        </w:tc>
        <w:tc>
          <w:tcPr>
            <w:tcW w:w="1329" w:type="dxa"/>
            <w:tcBorders>
              <w:top w:val="single" w:sz="4" w:space="0" w:color="auto"/>
              <w:left w:val="single" w:sz="4" w:space="0" w:color="auto"/>
              <w:bottom w:val="single" w:sz="4" w:space="0" w:color="auto"/>
              <w:right w:val="single" w:sz="4" w:space="0" w:color="auto"/>
            </w:tcBorders>
            <w:vAlign w:val="bottom"/>
          </w:tcPr>
          <w:p w14:paraId="2AB69924" w14:textId="77777777" w:rsidR="0057593D" w:rsidRPr="0057593D" w:rsidRDefault="00A953D7" w:rsidP="00E14A5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bdr w:val="none" w:sz="0" w:space="0" w:color="auto"/>
              </w:rPr>
            </w:pPr>
            <w:r>
              <w:rPr>
                <w:rFonts w:eastAsia="Times New Roman"/>
                <w:sz w:val="22"/>
                <w:szCs w:val="22"/>
                <w:bdr w:val="none" w:sz="0" w:space="0" w:color="auto"/>
              </w:rPr>
              <w:t>$</w:t>
            </w:r>
            <w:r w:rsidR="005C1E28">
              <w:rPr>
                <w:rFonts w:eastAsia="Times New Roman"/>
                <w:sz w:val="22"/>
                <w:szCs w:val="22"/>
                <w:bdr w:val="none" w:sz="0" w:space="0" w:color="auto"/>
              </w:rPr>
              <w:t>2</w:t>
            </w:r>
            <w:r w:rsidR="00E14A54">
              <w:rPr>
                <w:rFonts w:eastAsia="Times New Roman"/>
                <w:sz w:val="22"/>
                <w:szCs w:val="22"/>
                <w:bdr w:val="none" w:sz="0" w:space="0" w:color="auto"/>
              </w:rPr>
              <w:t>2,26</w:t>
            </w:r>
            <w:r w:rsidR="005C1E28">
              <w:rPr>
                <w:rFonts w:eastAsia="Times New Roman"/>
                <w:sz w:val="22"/>
                <w:szCs w:val="22"/>
                <w:bdr w:val="none" w:sz="0" w:space="0" w:color="auto"/>
              </w:rPr>
              <w:t>3.20</w:t>
            </w:r>
          </w:p>
        </w:tc>
      </w:tr>
      <w:tr w:rsidR="0057593D" w:rsidRPr="0057593D" w14:paraId="28A770CD" w14:textId="77777777" w:rsidTr="007124D9">
        <w:tc>
          <w:tcPr>
            <w:tcW w:w="1439" w:type="dxa"/>
            <w:tcBorders>
              <w:top w:val="single" w:sz="4" w:space="0" w:color="auto"/>
              <w:left w:val="single" w:sz="4" w:space="0" w:color="auto"/>
              <w:bottom w:val="single" w:sz="4" w:space="0" w:color="auto"/>
              <w:right w:val="single" w:sz="4" w:space="0" w:color="auto"/>
            </w:tcBorders>
            <w:hideMark/>
          </w:tcPr>
          <w:p w14:paraId="22A8AEF4" w14:textId="77777777" w:rsidR="0057593D" w:rsidRPr="0057593D" w:rsidRDefault="0057593D" w:rsidP="0057593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i/>
                <w:sz w:val="22"/>
                <w:szCs w:val="22"/>
                <w:bdr w:val="none" w:sz="0" w:space="0" w:color="auto"/>
              </w:rPr>
            </w:pPr>
            <w:r w:rsidRPr="0057593D">
              <w:rPr>
                <w:rFonts w:eastAsia="Times New Roman"/>
                <w:b/>
                <w:i/>
                <w:sz w:val="22"/>
                <w:szCs w:val="22"/>
                <w:bdr w:val="none" w:sz="0" w:space="0" w:color="auto"/>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14:paraId="3C4C9385" w14:textId="77777777" w:rsidR="0057593D" w:rsidRPr="0057593D" w:rsidRDefault="00A10797"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r>
              <w:rPr>
                <w:rFonts w:eastAsia="Times New Roman"/>
                <w:b/>
                <w:i/>
                <w:sz w:val="22"/>
                <w:szCs w:val="22"/>
                <w:bdr w:val="none" w:sz="0" w:space="0" w:color="auto"/>
              </w:rPr>
              <w:t>17</w:t>
            </w:r>
          </w:p>
        </w:tc>
        <w:tc>
          <w:tcPr>
            <w:tcW w:w="1219" w:type="dxa"/>
            <w:tcBorders>
              <w:top w:val="single" w:sz="4" w:space="0" w:color="auto"/>
              <w:left w:val="single" w:sz="4" w:space="0" w:color="auto"/>
              <w:bottom w:val="single" w:sz="4" w:space="0" w:color="auto"/>
              <w:right w:val="single" w:sz="4" w:space="0" w:color="auto"/>
            </w:tcBorders>
            <w:vAlign w:val="bottom"/>
          </w:tcPr>
          <w:p w14:paraId="60C416BA" w14:textId="77777777" w:rsidR="0057593D" w:rsidRPr="0057593D" w:rsidRDefault="0057593D"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p>
        </w:tc>
        <w:tc>
          <w:tcPr>
            <w:tcW w:w="1183" w:type="dxa"/>
            <w:tcBorders>
              <w:top w:val="single" w:sz="4" w:space="0" w:color="auto"/>
              <w:left w:val="single" w:sz="4" w:space="0" w:color="auto"/>
              <w:bottom w:val="single" w:sz="4" w:space="0" w:color="auto"/>
              <w:right w:val="single" w:sz="4" w:space="0" w:color="auto"/>
            </w:tcBorders>
            <w:vAlign w:val="bottom"/>
          </w:tcPr>
          <w:p w14:paraId="5DA8CD5D" w14:textId="77777777" w:rsidR="0057593D" w:rsidRPr="0057593D" w:rsidRDefault="00A10797"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r>
              <w:rPr>
                <w:rFonts w:eastAsia="Times New Roman"/>
                <w:b/>
                <w:i/>
                <w:sz w:val="22"/>
                <w:szCs w:val="22"/>
                <w:bdr w:val="none" w:sz="0" w:space="0" w:color="auto"/>
              </w:rPr>
              <w:t>68</w:t>
            </w:r>
          </w:p>
        </w:tc>
        <w:tc>
          <w:tcPr>
            <w:tcW w:w="1105" w:type="dxa"/>
            <w:tcBorders>
              <w:top w:val="single" w:sz="4" w:space="0" w:color="auto"/>
              <w:left w:val="single" w:sz="4" w:space="0" w:color="auto"/>
              <w:bottom w:val="single" w:sz="4" w:space="0" w:color="auto"/>
              <w:right w:val="single" w:sz="4" w:space="0" w:color="auto"/>
            </w:tcBorders>
            <w:vAlign w:val="bottom"/>
          </w:tcPr>
          <w:p w14:paraId="2FDB42ED" w14:textId="77777777" w:rsidR="0057593D" w:rsidRPr="0057593D" w:rsidRDefault="0057593D"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p>
        </w:tc>
        <w:tc>
          <w:tcPr>
            <w:tcW w:w="971" w:type="dxa"/>
            <w:tcBorders>
              <w:top w:val="single" w:sz="4" w:space="0" w:color="auto"/>
              <w:left w:val="single" w:sz="4" w:space="0" w:color="auto"/>
              <w:bottom w:val="single" w:sz="4" w:space="0" w:color="auto"/>
              <w:right w:val="single" w:sz="4" w:space="0" w:color="auto"/>
            </w:tcBorders>
            <w:vAlign w:val="bottom"/>
          </w:tcPr>
          <w:p w14:paraId="09A34548" w14:textId="77777777" w:rsidR="0057593D" w:rsidRPr="0057593D" w:rsidRDefault="00A10797"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r>
              <w:rPr>
                <w:rFonts w:eastAsia="Times New Roman"/>
                <w:b/>
                <w:i/>
                <w:sz w:val="22"/>
                <w:szCs w:val="22"/>
                <w:bdr w:val="none" w:sz="0" w:space="0" w:color="auto"/>
              </w:rPr>
              <w:t>1</w:t>
            </w:r>
            <w:r w:rsidR="00A953D7">
              <w:rPr>
                <w:rFonts w:eastAsia="Times New Roman"/>
                <w:b/>
                <w:i/>
                <w:sz w:val="22"/>
                <w:szCs w:val="22"/>
                <w:bdr w:val="none" w:sz="0" w:space="0" w:color="auto"/>
              </w:rPr>
              <w:t>,</w:t>
            </w:r>
            <w:r>
              <w:rPr>
                <w:rFonts w:eastAsia="Times New Roman"/>
                <w:b/>
                <w:i/>
                <w:sz w:val="22"/>
                <w:szCs w:val="22"/>
                <w:bdr w:val="none" w:sz="0" w:space="0" w:color="auto"/>
              </w:rPr>
              <w:t>360</w:t>
            </w:r>
          </w:p>
        </w:tc>
        <w:tc>
          <w:tcPr>
            <w:tcW w:w="915" w:type="dxa"/>
            <w:tcBorders>
              <w:top w:val="single" w:sz="4" w:space="0" w:color="auto"/>
              <w:left w:val="single" w:sz="4" w:space="0" w:color="auto"/>
              <w:bottom w:val="single" w:sz="4" w:space="0" w:color="auto"/>
              <w:right w:val="single" w:sz="4" w:space="0" w:color="auto"/>
            </w:tcBorders>
            <w:vAlign w:val="bottom"/>
          </w:tcPr>
          <w:p w14:paraId="57A5A40F" w14:textId="77777777" w:rsidR="0057593D" w:rsidRPr="0057593D" w:rsidRDefault="0057593D" w:rsidP="00A953D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p>
        </w:tc>
        <w:tc>
          <w:tcPr>
            <w:tcW w:w="1329" w:type="dxa"/>
            <w:tcBorders>
              <w:top w:val="single" w:sz="4" w:space="0" w:color="auto"/>
              <w:left w:val="single" w:sz="4" w:space="0" w:color="auto"/>
              <w:bottom w:val="single" w:sz="4" w:space="0" w:color="auto"/>
              <w:right w:val="single" w:sz="4" w:space="0" w:color="auto"/>
            </w:tcBorders>
            <w:vAlign w:val="bottom"/>
          </w:tcPr>
          <w:p w14:paraId="0893C98A" w14:textId="77777777" w:rsidR="0057593D" w:rsidRPr="0057593D" w:rsidRDefault="00A953D7" w:rsidP="00E14A5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i/>
                <w:sz w:val="22"/>
                <w:szCs w:val="22"/>
                <w:bdr w:val="none" w:sz="0" w:space="0" w:color="auto"/>
              </w:rPr>
            </w:pPr>
            <w:r>
              <w:rPr>
                <w:rFonts w:eastAsia="Times New Roman"/>
                <w:b/>
                <w:i/>
                <w:sz w:val="22"/>
                <w:szCs w:val="22"/>
                <w:bdr w:val="none" w:sz="0" w:space="0" w:color="auto"/>
              </w:rPr>
              <w:t>$</w:t>
            </w:r>
            <w:r w:rsidR="00A10797">
              <w:rPr>
                <w:rFonts w:eastAsia="Times New Roman"/>
                <w:b/>
                <w:i/>
                <w:sz w:val="22"/>
                <w:szCs w:val="22"/>
                <w:bdr w:val="none" w:sz="0" w:space="0" w:color="auto"/>
              </w:rPr>
              <w:t>2</w:t>
            </w:r>
            <w:r w:rsidR="00E14A54">
              <w:rPr>
                <w:rFonts w:eastAsia="Times New Roman"/>
                <w:b/>
                <w:i/>
                <w:sz w:val="22"/>
                <w:szCs w:val="22"/>
                <w:bdr w:val="none" w:sz="0" w:space="0" w:color="auto"/>
              </w:rPr>
              <w:t>2,26</w:t>
            </w:r>
            <w:r w:rsidR="00A10797">
              <w:rPr>
                <w:rFonts w:eastAsia="Times New Roman"/>
                <w:b/>
                <w:i/>
                <w:sz w:val="22"/>
                <w:szCs w:val="22"/>
                <w:bdr w:val="none" w:sz="0" w:space="0" w:color="auto"/>
              </w:rPr>
              <w:t>3.20</w:t>
            </w:r>
          </w:p>
        </w:tc>
      </w:tr>
    </w:tbl>
    <w:p w14:paraId="3A9F2EC2" w14:textId="4D242537" w:rsidR="00A953D7" w:rsidRPr="00A953D7" w:rsidRDefault="005C1E28">
      <w:pPr>
        <w:pStyle w:val="Body"/>
        <w:jc w:val="left"/>
        <w:outlineLvl w:val="0"/>
        <w:rPr>
          <w:sz w:val="20"/>
          <w:szCs w:val="20"/>
          <w:u w:val="single"/>
        </w:rPr>
      </w:pPr>
      <w:r w:rsidRPr="00D71072">
        <w:rPr>
          <w:i/>
          <w:iCs/>
          <w:sz w:val="20"/>
          <w:szCs w:val="20"/>
        </w:rPr>
        <w:t xml:space="preserve">*Hourly rates used to calculate costs depend upon the type of organization administering the program.  </w:t>
      </w:r>
      <w:r>
        <w:rPr>
          <w:i/>
          <w:iCs/>
          <w:sz w:val="20"/>
          <w:szCs w:val="20"/>
        </w:rPr>
        <w:t>Costs above are based on the most current BLS data for Office Administrative Services personnel, mean national wage rate.</w:t>
      </w:r>
      <w:r w:rsidR="00F124B1">
        <w:rPr>
          <w:i/>
          <w:iCs/>
          <w:sz w:val="20"/>
          <w:szCs w:val="20"/>
        </w:rPr>
        <w:t xml:space="preserve">  </w:t>
      </w:r>
      <w:hyperlink r:id="rId9" w:history="1">
        <w:r w:rsidR="0040341C" w:rsidRPr="00764BE8">
          <w:rPr>
            <w:rStyle w:val="Hyperlink"/>
            <w:sz w:val="20"/>
            <w:szCs w:val="20"/>
          </w:rPr>
          <w:t>http://www.bls.gov/oes/current/oes430000.htm</w:t>
        </w:r>
      </w:hyperlink>
      <w:r w:rsidR="00342798">
        <w:rPr>
          <w:rStyle w:val="Hyperlink"/>
          <w:sz w:val="20"/>
          <w:szCs w:val="20"/>
        </w:rPr>
        <w:t xml:space="preserve"> </w:t>
      </w:r>
    </w:p>
    <w:p w14:paraId="0CBAB83A" w14:textId="77777777" w:rsidR="00F97054" w:rsidRDefault="00F97054">
      <w:pPr>
        <w:pStyle w:val="Body"/>
        <w:outlineLvl w:val="0"/>
      </w:pPr>
    </w:p>
    <w:p w14:paraId="723A423D" w14:textId="77777777" w:rsidR="00A953D7" w:rsidRDefault="00A953D7">
      <w:pPr>
        <w:pStyle w:val="Body"/>
        <w:outlineLvl w:val="0"/>
      </w:pPr>
      <w:r w:rsidRPr="008F4D44">
        <w:rPr>
          <w:i/>
        </w:rPr>
        <w:t>13.</w:t>
      </w:r>
      <w:r w:rsidRPr="008F4D44">
        <w:rPr>
          <w:i/>
        </w:rPr>
        <w:tab/>
        <w:t>Provide an estimate for the total annual cost burden to respondents or record keepers resulting from the collection of information.  (Do not include the cost of any hour burden already reflected on the burden worksheet).</w:t>
      </w:r>
    </w:p>
    <w:p w14:paraId="400C0EB4" w14:textId="77777777" w:rsidR="00A953D7" w:rsidRPr="00D71072" w:rsidRDefault="00A953D7">
      <w:pPr>
        <w:pStyle w:val="Body"/>
        <w:outlineLvl w:val="0"/>
      </w:pPr>
    </w:p>
    <w:p w14:paraId="299CE2A3" w14:textId="77777777" w:rsidR="00F97054" w:rsidRPr="00D71072" w:rsidRDefault="001C22F9">
      <w:pPr>
        <w:pStyle w:val="Body"/>
        <w:ind w:left="720" w:hanging="270"/>
      </w:pPr>
      <w:r w:rsidRPr="00D71072">
        <w:rPr>
          <w:b/>
          <w:bCs/>
          <w:sz w:val="22"/>
          <w:szCs w:val="22"/>
        </w:rPr>
        <w:t>a)</w:t>
      </w:r>
      <w:r w:rsidRPr="00D71072">
        <w:rPr>
          <w:b/>
          <w:bCs/>
          <w:sz w:val="22"/>
          <w:szCs w:val="22"/>
        </w:rPr>
        <w:tab/>
      </w:r>
      <w:r w:rsidRPr="00D71072">
        <w:rPr>
          <w:b/>
          <w:bCs/>
          <w:lang w:val="it-IT"/>
        </w:rPr>
        <w:t>Start-Up/Capital Costs:</w:t>
      </w:r>
      <w:r w:rsidRPr="00D71072">
        <w:t xml:space="preserve">  There are no start-up costs because no additional processes or systems are required beyond those needed to manage the project.</w:t>
      </w:r>
    </w:p>
    <w:p w14:paraId="02AF597D" w14:textId="77777777" w:rsidR="00F97054" w:rsidRPr="00D71072" w:rsidRDefault="00F97054">
      <w:pPr>
        <w:pStyle w:val="Body"/>
        <w:ind w:left="720" w:hanging="720"/>
      </w:pPr>
    </w:p>
    <w:p w14:paraId="1C08D4D2" w14:textId="77777777" w:rsidR="00F97054" w:rsidRPr="00D71072" w:rsidRDefault="001C22F9">
      <w:pPr>
        <w:pStyle w:val="Body"/>
        <w:ind w:left="720" w:hanging="270"/>
      </w:pPr>
      <w:r w:rsidRPr="00D71072">
        <w:rPr>
          <w:b/>
          <w:bCs/>
        </w:rPr>
        <w:lastRenderedPageBreak/>
        <w:t>b)</w:t>
      </w:r>
      <w:r w:rsidRPr="00D71072">
        <w:rPr>
          <w:b/>
          <w:bCs/>
        </w:rPr>
        <w:tab/>
        <w:t xml:space="preserve">Annual Costs: </w:t>
      </w:r>
      <w:r w:rsidRPr="00D71072">
        <w:t xml:space="preserve"> There are no annual costs because no additional processes or systems are required beyond those needed to manage the project.</w:t>
      </w:r>
    </w:p>
    <w:p w14:paraId="19D94FEA" w14:textId="77777777" w:rsidR="00F97054" w:rsidRDefault="00F97054">
      <w:pPr>
        <w:pStyle w:val="Body"/>
        <w:outlineLvl w:val="0"/>
        <w:rPr>
          <w:b/>
          <w:bCs/>
        </w:rPr>
      </w:pPr>
    </w:p>
    <w:p w14:paraId="40DB8366" w14:textId="77777777" w:rsidR="00A953D7" w:rsidRDefault="00A953D7">
      <w:pPr>
        <w:pStyle w:val="Body"/>
        <w:outlineLvl w:val="0"/>
        <w:rPr>
          <w:b/>
          <w:bCs/>
        </w:rPr>
      </w:pPr>
      <w:r w:rsidRPr="008F4D44">
        <w:rPr>
          <w:i/>
        </w:rPr>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04CAD28" w14:textId="77777777" w:rsidR="00A953D7" w:rsidRPr="00D71072" w:rsidRDefault="00A953D7">
      <w:pPr>
        <w:pStyle w:val="Body"/>
        <w:outlineLvl w:val="0"/>
        <w:rPr>
          <w:b/>
          <w:bCs/>
        </w:rPr>
      </w:pPr>
    </w:p>
    <w:p w14:paraId="589BADD9" w14:textId="46AF63D1" w:rsidR="00F97054" w:rsidRDefault="00407A36">
      <w:pPr>
        <w:pStyle w:val="Body"/>
      </w:pPr>
      <w:r>
        <w:t>N</w:t>
      </w:r>
      <w:r w:rsidR="001C22F9" w:rsidRPr="00D71072">
        <w:t>o additional processes or systems are required beyond those needed to manage the project</w:t>
      </w:r>
      <w:r>
        <w:t xml:space="preserve">.  However, collecting, organizing, analyzing and reporting on grantee performance will </w:t>
      </w:r>
      <w:r w:rsidR="006A734E">
        <w:t>require</w:t>
      </w:r>
      <w:r>
        <w:t xml:space="preserve"> a minimum of </w:t>
      </w:r>
      <w:r w:rsidR="0028550F">
        <w:t>40 hours</w:t>
      </w:r>
      <w:r>
        <w:t xml:space="preserve"> per quarter for a workforce analyst</w:t>
      </w:r>
      <w:r w:rsidR="00092C31">
        <w:t xml:space="preserve">.  </w:t>
      </w:r>
      <w:r w:rsidR="00632BFC">
        <w:t>For a GS-11, Step 1 staff member, t</w:t>
      </w:r>
      <w:r w:rsidR="00092C31">
        <w:t>his cost is</w:t>
      </w:r>
      <w:r w:rsidR="006A734E">
        <w:t xml:space="preserve"> </w:t>
      </w:r>
      <w:r w:rsidR="00092C31">
        <w:t xml:space="preserve">estimated at </w:t>
      </w:r>
      <w:r w:rsidR="00632BFC">
        <w:t>$31.98</w:t>
      </w:r>
      <w:r w:rsidR="00092C31" w:rsidRPr="000F2C92">
        <w:t>/hour</w:t>
      </w:r>
      <w:r w:rsidR="00342798">
        <w:t xml:space="preserve">: </w:t>
      </w:r>
      <w:r w:rsidR="00FE6A7E">
        <w:t>$</w:t>
      </w:r>
      <w:r w:rsidR="00632BFC">
        <w:t>1,279</w:t>
      </w:r>
      <w:r w:rsidR="00631DEF">
        <w:t xml:space="preserve"> per quarter for an approximate total of</w:t>
      </w:r>
      <w:r w:rsidR="00FE6A7E">
        <w:t xml:space="preserve"> $</w:t>
      </w:r>
      <w:r w:rsidR="00632BFC">
        <w:t>5</w:t>
      </w:r>
      <w:r w:rsidR="0004660D">
        <w:t>,</w:t>
      </w:r>
      <w:r w:rsidR="00632BFC">
        <w:t>11</w:t>
      </w:r>
      <w:r w:rsidR="0004660D">
        <w:t>6</w:t>
      </w:r>
      <w:r w:rsidR="00632BFC">
        <w:t xml:space="preserve"> </w:t>
      </w:r>
      <w:r w:rsidR="006A734E">
        <w:t>per year.</w:t>
      </w:r>
      <w:r w:rsidR="00632BFC" w:rsidRPr="00632BFC">
        <w:t xml:space="preserve"> </w:t>
      </w:r>
      <w:hyperlink r:id="rId10" w:history="1">
        <w:r w:rsidR="00342798" w:rsidRPr="0007044D">
          <w:rPr>
            <w:rStyle w:val="Hyperlink"/>
          </w:rPr>
          <w:t>https://www.federalpay.org/gs/locality/washington-dc</w:t>
        </w:r>
      </w:hyperlink>
      <w:r w:rsidR="00342798">
        <w:t>.</w:t>
      </w:r>
    </w:p>
    <w:p w14:paraId="67694143" w14:textId="77777777" w:rsidR="00F97054" w:rsidRDefault="00F97054">
      <w:pPr>
        <w:pStyle w:val="Body"/>
        <w:rPr>
          <w:rFonts w:ascii="Book Antiqua" w:eastAsia="Book Antiqua" w:hAnsi="Book Antiqua" w:cs="Book Antiqua"/>
          <w:b/>
          <w:bCs/>
          <w:sz w:val="22"/>
          <w:szCs w:val="22"/>
          <w:u w:val="single"/>
        </w:rPr>
      </w:pPr>
    </w:p>
    <w:p w14:paraId="4BF9829A" w14:textId="77777777" w:rsidR="00C75531" w:rsidRDefault="00C75531">
      <w:pPr>
        <w:pStyle w:val="Body"/>
        <w:rPr>
          <w:rFonts w:ascii="Book Antiqua" w:eastAsia="Book Antiqua" w:hAnsi="Book Antiqua" w:cs="Book Antiqua"/>
          <w:b/>
          <w:bCs/>
          <w:sz w:val="22"/>
          <w:szCs w:val="22"/>
          <w:u w:val="single"/>
        </w:rPr>
      </w:pPr>
      <w:r w:rsidRPr="008F4D44">
        <w:rPr>
          <w:i/>
        </w:rPr>
        <w:t>15.</w:t>
      </w:r>
      <w:r w:rsidRPr="008F4D44">
        <w:rPr>
          <w:i/>
        </w:rPr>
        <w:tab/>
        <w:t>Explain the reasons for any program changes or adjustments reported on the burden worksheet.</w:t>
      </w:r>
    </w:p>
    <w:p w14:paraId="3E1430ED" w14:textId="77777777" w:rsidR="00C75531" w:rsidRPr="00D71072" w:rsidRDefault="00C75531">
      <w:pPr>
        <w:pStyle w:val="Body"/>
        <w:rPr>
          <w:rFonts w:ascii="Book Antiqua" w:eastAsia="Book Antiqua" w:hAnsi="Book Antiqua" w:cs="Book Antiqua"/>
          <w:b/>
          <w:bCs/>
          <w:sz w:val="22"/>
          <w:szCs w:val="22"/>
          <w:u w:val="single"/>
        </w:rPr>
      </w:pPr>
    </w:p>
    <w:p w14:paraId="27A5CBEA" w14:textId="77777777" w:rsidR="00F97054" w:rsidRPr="00D71072" w:rsidRDefault="00C75531">
      <w:pPr>
        <w:pStyle w:val="Body"/>
      </w:pPr>
      <w:r>
        <w:t xml:space="preserve">There is </w:t>
      </w:r>
      <w:r w:rsidR="00F34506">
        <w:t xml:space="preserve">a decrease in </w:t>
      </w:r>
      <w:r w:rsidR="00E37747">
        <w:t xml:space="preserve">total </w:t>
      </w:r>
      <w:r w:rsidR="00F34506">
        <w:t xml:space="preserve">burden </w:t>
      </w:r>
      <w:r w:rsidR="005B5FD1">
        <w:t xml:space="preserve">because </w:t>
      </w:r>
      <w:r w:rsidR="00F34506">
        <w:t xml:space="preserve">the 26 </w:t>
      </w:r>
      <w:r w:rsidR="004E67F6">
        <w:t xml:space="preserve">Round 1 </w:t>
      </w:r>
      <w:r w:rsidR="00F34506">
        <w:t>grants will have ended</w:t>
      </w:r>
      <w:r w:rsidR="00E37747">
        <w:t xml:space="preserve"> when this extension begins</w:t>
      </w:r>
      <w:r w:rsidR="00F34506">
        <w:t xml:space="preserve">.  Only </w:t>
      </w:r>
      <w:r w:rsidR="00935970">
        <w:t>11</w:t>
      </w:r>
      <w:r w:rsidR="004E67F6">
        <w:t xml:space="preserve"> </w:t>
      </w:r>
      <w:r w:rsidR="00F34506">
        <w:t xml:space="preserve">Round 2 and </w:t>
      </w:r>
      <w:r w:rsidR="00935970">
        <w:t>6</w:t>
      </w:r>
      <w:r w:rsidR="005B5FD1">
        <w:t xml:space="preserve"> Round </w:t>
      </w:r>
      <w:r w:rsidR="00F34506">
        <w:t>3 grantees will continue to report</w:t>
      </w:r>
      <w:r w:rsidR="00E37747">
        <w:t xml:space="preserve"> performance</w:t>
      </w:r>
      <w:r w:rsidR="004E67F6">
        <w:t>.  There is no change in the per grantee burden</w:t>
      </w:r>
      <w:r w:rsidR="001C22F9" w:rsidRPr="00D71072">
        <w:t>.</w:t>
      </w:r>
    </w:p>
    <w:p w14:paraId="1E8CA55A" w14:textId="77777777" w:rsidR="00F97054" w:rsidRDefault="00F97054">
      <w:pPr>
        <w:pStyle w:val="Body"/>
      </w:pPr>
    </w:p>
    <w:p w14:paraId="14B04344" w14:textId="77777777" w:rsidR="00C75531" w:rsidRDefault="00C75531">
      <w:pPr>
        <w:pStyle w:val="Body"/>
      </w:pP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14:paraId="49114BD0" w14:textId="77777777" w:rsidR="00C75531" w:rsidRPr="00D71072" w:rsidRDefault="00C75531">
      <w:pPr>
        <w:pStyle w:val="Body"/>
      </w:pPr>
    </w:p>
    <w:p w14:paraId="379648AC" w14:textId="77777777" w:rsidR="00F97054" w:rsidRPr="00D71072" w:rsidRDefault="001C22F9">
      <w:pPr>
        <w:pStyle w:val="Body"/>
      </w:pPr>
      <w:r w:rsidRPr="00D71072">
        <w:t>Grantees will submit performance narrative reports on a quarterly basis to ETA within 45 days of the end of each quarter.  Quarterly report data will be analyzed by ETA staff and used to evaluate performance outcomes and program effectiveness.</w:t>
      </w:r>
    </w:p>
    <w:p w14:paraId="1B6ECDB9" w14:textId="77777777" w:rsidR="00F97054" w:rsidRPr="00D71072" w:rsidRDefault="00F97054">
      <w:pPr>
        <w:pStyle w:val="Body"/>
      </w:pPr>
    </w:p>
    <w:p w14:paraId="04D6E084" w14:textId="00D799E4" w:rsidR="00F97054" w:rsidRPr="00D71072" w:rsidRDefault="001C22F9">
      <w:pPr>
        <w:pStyle w:val="Body"/>
      </w:pPr>
      <w:r w:rsidRPr="00D71072">
        <w:t>Each year, ETA issues a report summarizing program performance based on the Secretary</w:t>
      </w:r>
      <w:r w:rsidRPr="00D71072">
        <w:rPr>
          <w:lang w:val="fr-FR"/>
        </w:rPr>
        <w:t>’</w:t>
      </w:r>
      <w:r w:rsidRPr="00D71072">
        <w:t>s goals.  Data contained in the quarterly reports may be included in these reports.  The data will also be used to prepare Government Performance and Results Act (GPRA) reports, management and budget repo</w:t>
      </w:r>
      <w:r w:rsidR="00E15983">
        <w:t xml:space="preserve">rts, and other ad hoc reports. </w:t>
      </w:r>
      <w:r w:rsidRPr="00D71072">
        <w:t xml:space="preserve">All reports are available on the </w:t>
      </w:r>
      <w:r w:rsidR="00E14A54">
        <w:t>I</w:t>
      </w:r>
      <w:r w:rsidRPr="00D71072">
        <w:t xml:space="preserve">nternet and accessible to the public.  </w:t>
      </w:r>
    </w:p>
    <w:p w14:paraId="426FE52B" w14:textId="77777777" w:rsidR="00B65403" w:rsidRDefault="00B65403">
      <w:pPr>
        <w:pStyle w:val="Body"/>
      </w:pPr>
    </w:p>
    <w:p w14:paraId="59B78BD2" w14:textId="77777777" w:rsidR="00C75531" w:rsidRDefault="00C75531">
      <w:pPr>
        <w:pStyle w:val="Body"/>
      </w:pPr>
      <w:r w:rsidRPr="00030FA0">
        <w:rPr>
          <w:i/>
        </w:rPr>
        <w:t>17.</w:t>
      </w:r>
      <w:r w:rsidRPr="00030FA0">
        <w:rPr>
          <w:i/>
        </w:rPr>
        <w:tab/>
        <w:t xml:space="preserve">If seeking approval </w:t>
      </w:r>
      <w:r>
        <w:rPr>
          <w:i/>
        </w:rPr>
        <w:t xml:space="preserve">not </w:t>
      </w:r>
      <w:r w:rsidRPr="00030FA0">
        <w:rPr>
          <w:i/>
        </w:rPr>
        <w:t>to display the expiration date for OMB approval of the information collection, explain the reasons that display would be inappropriate.</w:t>
      </w:r>
    </w:p>
    <w:p w14:paraId="717BD206" w14:textId="77777777" w:rsidR="00C75531" w:rsidRPr="00D71072" w:rsidRDefault="00C75531">
      <w:pPr>
        <w:pStyle w:val="Body"/>
      </w:pPr>
    </w:p>
    <w:p w14:paraId="36352F1C" w14:textId="72149558" w:rsidR="00F97054" w:rsidRPr="00D71072" w:rsidRDefault="001C22F9">
      <w:pPr>
        <w:pStyle w:val="Body"/>
      </w:pPr>
      <w:r w:rsidRPr="00D71072">
        <w:t>The expiration da</w:t>
      </w:r>
      <w:r w:rsidR="002536FE">
        <w:t xml:space="preserve">te is </w:t>
      </w:r>
      <w:r w:rsidRPr="00D71072">
        <w:t xml:space="preserve">displayed.  </w:t>
      </w:r>
    </w:p>
    <w:p w14:paraId="315D139F" w14:textId="77777777" w:rsidR="00F97054" w:rsidRDefault="00F97054">
      <w:pPr>
        <w:pStyle w:val="Body"/>
        <w:outlineLvl w:val="0"/>
      </w:pPr>
    </w:p>
    <w:p w14:paraId="5AC69B6B" w14:textId="77777777" w:rsidR="00C75531" w:rsidRDefault="00C75531">
      <w:pPr>
        <w:pStyle w:val="Body"/>
        <w:outlineLvl w:val="0"/>
      </w:pPr>
      <w:r w:rsidRPr="00030FA0">
        <w:rPr>
          <w:i/>
        </w:rPr>
        <w:t>18.</w:t>
      </w:r>
      <w:r w:rsidRPr="00030FA0">
        <w:rPr>
          <w:i/>
        </w:rPr>
        <w:tab/>
        <w:t>Explain each exception to the topics of the certification statement identified in “Certification for Pape</w:t>
      </w:r>
      <w:r>
        <w:rPr>
          <w:i/>
        </w:rPr>
        <w:t>rwork Reduction Act Submissions.</w:t>
      </w:r>
      <w:r w:rsidRPr="00030FA0">
        <w:rPr>
          <w:i/>
        </w:rPr>
        <w:t>”</w:t>
      </w:r>
    </w:p>
    <w:p w14:paraId="10453DDA" w14:textId="77777777" w:rsidR="00C75531" w:rsidRPr="00D71072" w:rsidRDefault="00C75531">
      <w:pPr>
        <w:pStyle w:val="Body"/>
        <w:outlineLvl w:val="0"/>
      </w:pPr>
    </w:p>
    <w:p w14:paraId="4DAA2501" w14:textId="1AB237A0" w:rsidR="00C75531" w:rsidRDefault="00C75531">
      <w:pPr>
        <w:pStyle w:val="Body"/>
        <w:outlineLvl w:val="0"/>
      </w:pPr>
      <w:r>
        <w:t>There are no exceptions.</w:t>
      </w:r>
    </w:p>
    <w:p w14:paraId="135A6810" w14:textId="77777777" w:rsidR="00C75531" w:rsidRPr="00C75531" w:rsidRDefault="00C75531" w:rsidP="00C75531">
      <w:pPr>
        <w:pBdr>
          <w:top w:val="none" w:sz="0" w:space="0" w:color="auto"/>
          <w:left w:val="none" w:sz="0" w:space="0" w:color="auto"/>
          <w:bottom w:val="none" w:sz="0" w:space="0" w:color="auto"/>
          <w:right w:val="none" w:sz="0" w:space="0" w:color="auto"/>
          <w:between w:val="none" w:sz="0" w:space="0" w:color="auto"/>
          <w:bar w:val="none" w:sz="0" w:color="auto"/>
        </w:pBdr>
        <w:tabs>
          <w:tab w:val="right" w:pos="360"/>
        </w:tabs>
        <w:ind w:left="540" w:hanging="540"/>
        <w:rPr>
          <w:rFonts w:eastAsia="Times New Roman"/>
          <w:i/>
          <w:bdr w:val="none" w:sz="0" w:space="0" w:color="auto"/>
        </w:rPr>
      </w:pPr>
      <w:r w:rsidRPr="00C75531">
        <w:rPr>
          <w:rFonts w:eastAsia="Times New Roman"/>
          <w:b/>
          <w:bdr w:val="none" w:sz="0" w:space="0" w:color="auto"/>
        </w:rPr>
        <w:lastRenderedPageBreak/>
        <w:t xml:space="preserve">B. </w:t>
      </w:r>
      <w:r w:rsidRPr="00C75531">
        <w:rPr>
          <w:rFonts w:eastAsia="Times New Roman"/>
          <w:b/>
          <w:bdr w:val="none" w:sz="0" w:space="0" w:color="auto"/>
        </w:rPr>
        <w:tab/>
        <w:t>Collections of Information Employing Statistical Methods</w:t>
      </w:r>
    </w:p>
    <w:p w14:paraId="0E56F958" w14:textId="77777777" w:rsidR="00C75531" w:rsidRPr="00C75531" w:rsidRDefault="00C75531" w:rsidP="00C7553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9A85C0B" w14:textId="77777777" w:rsidR="00C75531" w:rsidRPr="00D71072" w:rsidRDefault="00C75531" w:rsidP="00C75531">
      <w:pPr>
        <w:pStyle w:val="Body"/>
        <w:outlineLvl w:val="0"/>
      </w:pPr>
      <w:r w:rsidRPr="00C75531">
        <w:rPr>
          <w:color w:val="auto"/>
          <w:bdr w:val="none" w:sz="0" w:space="0" w:color="auto"/>
        </w:rPr>
        <w:t>This information collection does not employ statistical methods.</w:t>
      </w:r>
    </w:p>
    <w:p w14:paraId="0ADFD8E2" w14:textId="77777777" w:rsidR="00F97054" w:rsidRPr="00D71072" w:rsidRDefault="00F97054">
      <w:pPr>
        <w:pStyle w:val="Body"/>
        <w:jc w:val="left"/>
      </w:pPr>
    </w:p>
    <w:p w14:paraId="48900322" w14:textId="77777777" w:rsidR="00F97054" w:rsidRDefault="00F97054">
      <w:pPr>
        <w:pStyle w:val="Body"/>
      </w:pPr>
    </w:p>
    <w:p w14:paraId="57D50F8F" w14:textId="77777777" w:rsidR="00F97054" w:rsidRDefault="00F97054">
      <w:pPr>
        <w:pStyle w:val="Body"/>
      </w:pPr>
    </w:p>
    <w:sectPr w:rsidR="00F97054">
      <w:headerReference w:type="default" r:id="rId11"/>
      <w:footerReference w:type="default" r:id="rId12"/>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8944F7" w15:done="0"/>
  <w15:commentEx w15:paraId="1F2778EC" w15:done="0"/>
  <w15:commentEx w15:paraId="4856AA42" w15:done="0"/>
  <w15:commentEx w15:paraId="3FCE8C7B" w15:done="0"/>
  <w15:commentEx w15:paraId="3BB4F5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9E9A1" w14:textId="77777777" w:rsidR="002E75FE" w:rsidRDefault="002E75FE">
      <w:r>
        <w:separator/>
      </w:r>
    </w:p>
  </w:endnote>
  <w:endnote w:type="continuationSeparator" w:id="0">
    <w:p w14:paraId="66FF1450" w14:textId="77777777" w:rsidR="002E75FE" w:rsidRDefault="002E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BF27A" w14:textId="6D971992" w:rsidR="00F97054" w:rsidRDefault="001C22F9">
    <w:pPr>
      <w:pStyle w:val="Footer"/>
      <w:tabs>
        <w:tab w:val="clear" w:pos="9360"/>
        <w:tab w:val="right" w:pos="9340"/>
      </w:tabs>
      <w:jc w:val="center"/>
    </w:pPr>
    <w:r>
      <w:fldChar w:fldCharType="begin"/>
    </w:r>
    <w:r>
      <w:instrText xml:space="preserve"> PAGE </w:instrText>
    </w:r>
    <w:r>
      <w:fldChar w:fldCharType="separate"/>
    </w:r>
    <w:r w:rsidR="002536F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E98F6" w14:textId="77777777" w:rsidR="002E75FE" w:rsidRDefault="002E75FE">
      <w:r>
        <w:separator/>
      </w:r>
    </w:p>
  </w:footnote>
  <w:footnote w:type="continuationSeparator" w:id="0">
    <w:p w14:paraId="1C11B0F1" w14:textId="77777777" w:rsidR="002E75FE" w:rsidRDefault="002E7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2E656" w14:textId="77777777" w:rsidR="00467415" w:rsidRPr="00090B53" w:rsidRDefault="00467415" w:rsidP="00467415">
    <w:pPr>
      <w:pBdr>
        <w:top w:val="none" w:sz="0" w:space="0" w:color="auto"/>
        <w:left w:val="none" w:sz="0" w:space="0" w:color="auto"/>
        <w:bottom w:val="none" w:sz="0" w:space="0" w:color="auto"/>
        <w:right w:val="none" w:sz="0" w:space="0" w:color="auto"/>
        <w:between w:val="none" w:sz="0" w:space="0" w:color="auto"/>
        <w:bar w:val="none" w:sz="0" w:color="auto"/>
      </w:pBdr>
      <w:tabs>
        <w:tab w:val="right" w:pos="9360"/>
      </w:tabs>
      <w:jc w:val="both"/>
      <w:rPr>
        <w:rFonts w:eastAsia="Times New Roman"/>
        <w:sz w:val="20"/>
        <w:szCs w:val="20"/>
        <w:bdr w:val="none" w:sz="0" w:space="0" w:color="auto"/>
      </w:rPr>
    </w:pPr>
    <w:r w:rsidRPr="00090B53">
      <w:rPr>
        <w:sz w:val="20"/>
        <w:szCs w:val="20"/>
      </w:rPr>
      <w:t>Workforce Innovation Fund Grants Reporting and Recordkeeping Requirements</w:t>
    </w:r>
  </w:p>
  <w:p w14:paraId="244B5127" w14:textId="77777777" w:rsidR="00467415" w:rsidRPr="00090B53" w:rsidRDefault="00467415" w:rsidP="00467415">
    <w:pPr>
      <w:pBdr>
        <w:top w:val="none" w:sz="0" w:space="0" w:color="auto"/>
        <w:left w:val="none" w:sz="0" w:space="0" w:color="auto"/>
        <w:bottom w:val="none" w:sz="0" w:space="0" w:color="auto"/>
        <w:right w:val="none" w:sz="0" w:space="0" w:color="auto"/>
        <w:between w:val="none" w:sz="0" w:space="0" w:color="auto"/>
        <w:bar w:val="none" w:sz="0" w:color="auto"/>
      </w:pBdr>
      <w:tabs>
        <w:tab w:val="right" w:pos="9360"/>
      </w:tabs>
      <w:jc w:val="both"/>
      <w:rPr>
        <w:rFonts w:eastAsia="Times New Roman"/>
        <w:sz w:val="20"/>
        <w:szCs w:val="20"/>
        <w:bdr w:val="none" w:sz="0" w:space="0" w:color="auto"/>
      </w:rPr>
    </w:pPr>
    <w:r w:rsidRPr="00090B53">
      <w:rPr>
        <w:rFonts w:eastAsia="Times New Roman"/>
        <w:sz w:val="20"/>
        <w:szCs w:val="20"/>
        <w:bdr w:val="none" w:sz="0" w:space="0" w:color="auto"/>
      </w:rPr>
      <w:t xml:space="preserve">OMB </w:t>
    </w:r>
    <w:r w:rsidR="00090B53" w:rsidRPr="00090B53">
      <w:rPr>
        <w:rFonts w:eastAsia="Times New Roman"/>
        <w:sz w:val="20"/>
        <w:szCs w:val="20"/>
        <w:bdr w:val="none" w:sz="0" w:space="0" w:color="auto"/>
      </w:rPr>
      <w:t xml:space="preserve">Control No. </w:t>
    </w:r>
    <w:r w:rsidRPr="00090B53">
      <w:rPr>
        <w:rFonts w:eastAsia="Times New Roman"/>
        <w:sz w:val="20"/>
        <w:szCs w:val="20"/>
        <w:bdr w:val="none" w:sz="0" w:space="0" w:color="auto"/>
      </w:rPr>
      <w:t>1205-0515</w:t>
    </w:r>
  </w:p>
  <w:p w14:paraId="78750BD2" w14:textId="79F5DD8D" w:rsidR="00467415" w:rsidRPr="00467415" w:rsidRDefault="009F50EC" w:rsidP="00467415">
    <w:pPr>
      <w:pBdr>
        <w:top w:val="none" w:sz="0" w:space="0" w:color="auto"/>
        <w:left w:val="none" w:sz="0" w:space="0" w:color="auto"/>
        <w:bottom w:val="none" w:sz="0" w:space="0" w:color="auto"/>
        <w:right w:val="none" w:sz="0" w:space="0" w:color="auto"/>
        <w:between w:val="none" w:sz="0" w:space="0" w:color="auto"/>
        <w:bar w:val="none" w:sz="0" w:color="auto"/>
      </w:pBdr>
      <w:tabs>
        <w:tab w:val="right" w:pos="9360"/>
      </w:tabs>
      <w:jc w:val="both"/>
      <w:rPr>
        <w:rFonts w:eastAsia="Times New Roman"/>
        <w:sz w:val="20"/>
        <w:szCs w:val="20"/>
        <w:bdr w:val="none" w:sz="0" w:space="0" w:color="auto"/>
      </w:rPr>
    </w:pPr>
    <w:r>
      <w:rPr>
        <w:rFonts w:eastAsia="Times New Roman"/>
        <w:sz w:val="20"/>
        <w:szCs w:val="20"/>
        <w:bdr w:val="none" w:sz="0" w:space="0" w:color="auto"/>
      </w:rPr>
      <w:t>May</w:t>
    </w:r>
    <w:r w:rsidR="00E14A54" w:rsidRPr="00090B53">
      <w:rPr>
        <w:rFonts w:eastAsia="Times New Roman"/>
        <w:sz w:val="20"/>
        <w:szCs w:val="20"/>
        <w:bdr w:val="none" w:sz="0" w:space="0" w:color="auto"/>
      </w:rPr>
      <w:t xml:space="preserve"> </w:t>
    </w:r>
    <w:r w:rsidR="00467415" w:rsidRPr="00090B53">
      <w:rPr>
        <w:rFonts w:eastAsia="Times New Roman"/>
        <w:sz w:val="20"/>
        <w:szCs w:val="20"/>
        <w:bdr w:val="none" w:sz="0" w:space="0" w:color="auto"/>
      </w:rPr>
      <w:t>201</w:t>
    </w:r>
    <w:r w:rsidR="00FB366B" w:rsidRPr="00090B53">
      <w:rPr>
        <w:rFonts w:eastAsia="Times New Roman"/>
        <w:sz w:val="20"/>
        <w:szCs w:val="20"/>
        <w:bdr w:val="none" w:sz="0" w:space="0" w:color="auto"/>
      </w:rPr>
      <w:t>7</w:t>
    </w:r>
  </w:p>
  <w:p w14:paraId="3D538282" w14:textId="77777777" w:rsidR="00F97054" w:rsidRDefault="00F9705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168A"/>
    <w:multiLevelType w:val="multilevel"/>
    <w:tmpl w:val="A62C52D6"/>
    <w:styleLink w:val="List1"/>
    <w:lvl w:ilvl="0">
      <w:start w:val="2"/>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1">
    <w:nsid w:val="15144E88"/>
    <w:multiLevelType w:val="multilevel"/>
    <w:tmpl w:val="0FA825F8"/>
    <w:lvl w:ilvl="0">
      <w:start w:val="1"/>
      <w:numFmt w:val="upperLetter"/>
      <w:lvlText w:val="%1."/>
      <w:lvlJc w:val="left"/>
      <w:rPr>
        <w:b/>
        <w:bCs/>
        <w:color w:val="000000"/>
        <w:position w:val="0"/>
        <w:u w:color="000000"/>
      </w:rPr>
    </w:lvl>
    <w:lvl w:ilvl="1">
      <w:start w:val="1"/>
      <w:numFmt w:val="lowerLetter"/>
      <w:lvlText w:val="%2."/>
      <w:lvlJc w:val="left"/>
      <w:rPr>
        <w:b/>
        <w:bCs/>
        <w:color w:val="000000"/>
        <w:position w:val="0"/>
        <w:u w:color="000000"/>
      </w:rPr>
    </w:lvl>
    <w:lvl w:ilvl="2">
      <w:start w:val="1"/>
      <w:numFmt w:val="lowerRoman"/>
      <w:lvlText w:val="%3."/>
      <w:lvlJc w:val="left"/>
      <w:rPr>
        <w:b/>
        <w:bCs/>
        <w:color w:val="000000"/>
        <w:position w:val="0"/>
        <w:u w:color="000000"/>
      </w:rPr>
    </w:lvl>
    <w:lvl w:ilvl="3">
      <w:start w:val="1"/>
      <w:numFmt w:val="decimal"/>
      <w:lvlText w:val="%4."/>
      <w:lvlJc w:val="left"/>
      <w:rPr>
        <w:b/>
        <w:bCs/>
        <w:color w:val="000000"/>
        <w:position w:val="0"/>
        <w:u w:color="000000"/>
      </w:rPr>
    </w:lvl>
    <w:lvl w:ilvl="4">
      <w:start w:val="1"/>
      <w:numFmt w:val="lowerLetter"/>
      <w:lvlText w:val="%5."/>
      <w:lvlJc w:val="left"/>
      <w:rPr>
        <w:b/>
        <w:bCs/>
        <w:color w:val="000000"/>
        <w:position w:val="0"/>
        <w:u w:color="000000"/>
      </w:rPr>
    </w:lvl>
    <w:lvl w:ilvl="5">
      <w:start w:val="1"/>
      <w:numFmt w:val="lowerRoman"/>
      <w:lvlText w:val="%6."/>
      <w:lvlJc w:val="left"/>
      <w:rPr>
        <w:b/>
        <w:bCs/>
        <w:color w:val="000000"/>
        <w:position w:val="0"/>
        <w:u w:color="000000"/>
      </w:rPr>
    </w:lvl>
    <w:lvl w:ilvl="6">
      <w:start w:val="1"/>
      <w:numFmt w:val="decimal"/>
      <w:lvlText w:val="%7."/>
      <w:lvlJc w:val="left"/>
      <w:rPr>
        <w:b/>
        <w:bCs/>
        <w:color w:val="000000"/>
        <w:position w:val="0"/>
        <w:u w:color="000000"/>
      </w:rPr>
    </w:lvl>
    <w:lvl w:ilvl="7">
      <w:start w:val="1"/>
      <w:numFmt w:val="lowerLetter"/>
      <w:lvlText w:val="%8."/>
      <w:lvlJc w:val="left"/>
      <w:rPr>
        <w:b/>
        <w:bCs/>
        <w:color w:val="000000"/>
        <w:position w:val="0"/>
        <w:u w:color="000000"/>
      </w:rPr>
    </w:lvl>
    <w:lvl w:ilvl="8">
      <w:start w:val="1"/>
      <w:numFmt w:val="lowerRoman"/>
      <w:lvlText w:val="%9."/>
      <w:lvlJc w:val="left"/>
      <w:rPr>
        <w:b/>
        <w:bCs/>
        <w:color w:val="000000"/>
        <w:position w:val="0"/>
        <w:u w:color="000000"/>
      </w:rPr>
    </w:lvl>
  </w:abstractNum>
  <w:abstractNum w:abstractNumId="2">
    <w:nsid w:val="2D1B26E5"/>
    <w:multiLevelType w:val="multilevel"/>
    <w:tmpl w:val="AFF8720A"/>
    <w:lvl w:ilvl="0">
      <w:start w:val="1"/>
      <w:numFmt w:val="decimal"/>
      <w:lvlText w:val="(%1)"/>
      <w:lvlJc w:val="left"/>
      <w:pPr>
        <w:tabs>
          <w:tab w:val="num" w:pos="720"/>
        </w:tabs>
        <w:ind w:left="720" w:hanging="360"/>
      </w:pPr>
      <w:rPr>
        <w:b/>
        <w:bCs/>
        <w:color w:val="000000"/>
        <w:position w:val="0"/>
        <w:sz w:val="22"/>
        <w:szCs w:val="22"/>
        <w:u w:color="000000"/>
      </w:rPr>
    </w:lvl>
    <w:lvl w:ilvl="1">
      <w:start w:val="1"/>
      <w:numFmt w:val="lowerLetter"/>
      <w:lvlText w:val="%2."/>
      <w:lvlJc w:val="left"/>
      <w:pPr>
        <w:tabs>
          <w:tab w:val="num" w:pos="1410"/>
        </w:tabs>
        <w:ind w:left="1410" w:hanging="330"/>
      </w:pPr>
      <w:rPr>
        <w:b/>
        <w:bCs/>
        <w:color w:val="000000"/>
        <w:position w:val="0"/>
        <w:sz w:val="22"/>
        <w:szCs w:val="22"/>
        <w:u w:color="000000"/>
      </w:rPr>
    </w:lvl>
    <w:lvl w:ilvl="2">
      <w:start w:val="1"/>
      <w:numFmt w:val="lowerRoman"/>
      <w:lvlText w:val="%3."/>
      <w:lvlJc w:val="left"/>
      <w:pPr>
        <w:tabs>
          <w:tab w:val="num" w:pos="2135"/>
        </w:tabs>
        <w:ind w:left="2135" w:hanging="271"/>
      </w:pPr>
      <w:rPr>
        <w:b/>
        <w:bCs/>
        <w:color w:val="000000"/>
        <w:position w:val="0"/>
        <w:sz w:val="22"/>
        <w:szCs w:val="22"/>
        <w:u w:color="000000"/>
      </w:rPr>
    </w:lvl>
    <w:lvl w:ilvl="3">
      <w:start w:val="1"/>
      <w:numFmt w:val="decimal"/>
      <w:lvlText w:val="%4."/>
      <w:lvlJc w:val="left"/>
      <w:pPr>
        <w:tabs>
          <w:tab w:val="num" w:pos="2850"/>
        </w:tabs>
        <w:ind w:left="2850" w:hanging="330"/>
      </w:pPr>
      <w:rPr>
        <w:b/>
        <w:bCs/>
        <w:color w:val="000000"/>
        <w:position w:val="0"/>
        <w:sz w:val="22"/>
        <w:szCs w:val="22"/>
        <w:u w:color="000000"/>
      </w:rPr>
    </w:lvl>
    <w:lvl w:ilvl="4">
      <w:start w:val="1"/>
      <w:numFmt w:val="lowerLetter"/>
      <w:lvlText w:val="%5."/>
      <w:lvlJc w:val="left"/>
      <w:pPr>
        <w:tabs>
          <w:tab w:val="num" w:pos="3570"/>
        </w:tabs>
        <w:ind w:left="3570" w:hanging="330"/>
      </w:pPr>
      <w:rPr>
        <w:b/>
        <w:bCs/>
        <w:color w:val="000000"/>
        <w:position w:val="0"/>
        <w:sz w:val="22"/>
        <w:szCs w:val="22"/>
        <w:u w:color="000000"/>
      </w:rPr>
    </w:lvl>
    <w:lvl w:ilvl="5">
      <w:start w:val="1"/>
      <w:numFmt w:val="lowerRoman"/>
      <w:lvlText w:val="%6."/>
      <w:lvlJc w:val="left"/>
      <w:pPr>
        <w:tabs>
          <w:tab w:val="num" w:pos="4295"/>
        </w:tabs>
        <w:ind w:left="4295" w:hanging="271"/>
      </w:pPr>
      <w:rPr>
        <w:b/>
        <w:bCs/>
        <w:color w:val="000000"/>
        <w:position w:val="0"/>
        <w:sz w:val="22"/>
        <w:szCs w:val="22"/>
        <w:u w:color="000000"/>
      </w:rPr>
    </w:lvl>
    <w:lvl w:ilvl="6">
      <w:start w:val="1"/>
      <w:numFmt w:val="decimal"/>
      <w:lvlText w:val="%7."/>
      <w:lvlJc w:val="left"/>
      <w:pPr>
        <w:tabs>
          <w:tab w:val="num" w:pos="5010"/>
        </w:tabs>
        <w:ind w:left="5010" w:hanging="330"/>
      </w:pPr>
      <w:rPr>
        <w:b/>
        <w:bCs/>
        <w:color w:val="000000"/>
        <w:position w:val="0"/>
        <w:sz w:val="22"/>
        <w:szCs w:val="22"/>
        <w:u w:color="000000"/>
      </w:rPr>
    </w:lvl>
    <w:lvl w:ilvl="7">
      <w:start w:val="1"/>
      <w:numFmt w:val="lowerLetter"/>
      <w:lvlText w:val="%8."/>
      <w:lvlJc w:val="left"/>
      <w:pPr>
        <w:tabs>
          <w:tab w:val="num" w:pos="5730"/>
        </w:tabs>
        <w:ind w:left="5730" w:hanging="330"/>
      </w:pPr>
      <w:rPr>
        <w:b/>
        <w:bCs/>
        <w:color w:val="000000"/>
        <w:position w:val="0"/>
        <w:sz w:val="22"/>
        <w:szCs w:val="22"/>
        <w:u w:color="000000"/>
      </w:rPr>
    </w:lvl>
    <w:lvl w:ilvl="8">
      <w:start w:val="1"/>
      <w:numFmt w:val="lowerRoman"/>
      <w:lvlText w:val="%9."/>
      <w:lvlJc w:val="left"/>
      <w:pPr>
        <w:tabs>
          <w:tab w:val="num" w:pos="6455"/>
        </w:tabs>
        <w:ind w:left="6455" w:hanging="271"/>
      </w:pPr>
      <w:rPr>
        <w:b/>
        <w:bCs/>
        <w:color w:val="000000"/>
        <w:position w:val="0"/>
        <w:sz w:val="22"/>
        <w:szCs w:val="22"/>
        <w:u w:color="000000"/>
      </w:rPr>
    </w:lvl>
  </w:abstractNum>
  <w:abstractNum w:abstractNumId="3">
    <w:nsid w:val="329F3716"/>
    <w:multiLevelType w:val="multilevel"/>
    <w:tmpl w:val="F96EA96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3D407FC8"/>
    <w:multiLevelType w:val="multilevel"/>
    <w:tmpl w:val="00868C9E"/>
    <w:styleLink w:val="List0"/>
    <w:lvl w:ilvl="0">
      <w:start w:val="1"/>
      <w:numFmt w:val="decimal"/>
      <w:lvlText w:val="(%1)"/>
      <w:lvlJc w:val="left"/>
      <w:pPr>
        <w:tabs>
          <w:tab w:val="num" w:pos="450"/>
        </w:tabs>
        <w:ind w:left="450" w:hanging="360"/>
      </w:pPr>
      <w:rPr>
        <w:b/>
        <w:bCs/>
        <w:color w:val="000000"/>
        <w:position w:val="0"/>
        <w:sz w:val="22"/>
        <w:szCs w:val="22"/>
        <w:u w:color="000000"/>
      </w:rPr>
    </w:lvl>
    <w:lvl w:ilvl="1">
      <w:start w:val="1"/>
      <w:numFmt w:val="lowerLetter"/>
      <w:lvlText w:val="%2."/>
      <w:lvlJc w:val="left"/>
      <w:pPr>
        <w:tabs>
          <w:tab w:val="num" w:pos="1140"/>
        </w:tabs>
        <w:ind w:left="1140" w:hanging="330"/>
      </w:pPr>
      <w:rPr>
        <w:b/>
        <w:bCs/>
        <w:color w:val="000000"/>
        <w:position w:val="0"/>
        <w:sz w:val="22"/>
        <w:szCs w:val="22"/>
        <w:u w:color="000000"/>
      </w:rPr>
    </w:lvl>
    <w:lvl w:ilvl="2">
      <w:start w:val="1"/>
      <w:numFmt w:val="lowerRoman"/>
      <w:lvlText w:val="%3."/>
      <w:lvlJc w:val="left"/>
      <w:pPr>
        <w:tabs>
          <w:tab w:val="num" w:pos="1865"/>
        </w:tabs>
        <w:ind w:left="1865" w:hanging="271"/>
      </w:pPr>
      <w:rPr>
        <w:b/>
        <w:bCs/>
        <w:color w:val="000000"/>
        <w:position w:val="0"/>
        <w:sz w:val="22"/>
        <w:szCs w:val="22"/>
        <w:u w:color="000000"/>
      </w:rPr>
    </w:lvl>
    <w:lvl w:ilvl="3">
      <w:start w:val="1"/>
      <w:numFmt w:val="decimal"/>
      <w:lvlText w:val="%4."/>
      <w:lvlJc w:val="left"/>
      <w:pPr>
        <w:tabs>
          <w:tab w:val="num" w:pos="2580"/>
        </w:tabs>
        <w:ind w:left="2580" w:hanging="330"/>
      </w:pPr>
      <w:rPr>
        <w:b/>
        <w:bCs/>
        <w:color w:val="000000"/>
        <w:position w:val="0"/>
        <w:sz w:val="22"/>
        <w:szCs w:val="22"/>
        <w:u w:color="000000"/>
      </w:rPr>
    </w:lvl>
    <w:lvl w:ilvl="4">
      <w:start w:val="1"/>
      <w:numFmt w:val="lowerLetter"/>
      <w:lvlText w:val="%5."/>
      <w:lvlJc w:val="left"/>
      <w:pPr>
        <w:tabs>
          <w:tab w:val="num" w:pos="3300"/>
        </w:tabs>
        <w:ind w:left="3300" w:hanging="330"/>
      </w:pPr>
      <w:rPr>
        <w:b/>
        <w:bCs/>
        <w:color w:val="000000"/>
        <w:position w:val="0"/>
        <w:sz w:val="22"/>
        <w:szCs w:val="22"/>
        <w:u w:color="000000"/>
      </w:rPr>
    </w:lvl>
    <w:lvl w:ilvl="5">
      <w:start w:val="1"/>
      <w:numFmt w:val="lowerRoman"/>
      <w:lvlText w:val="%6."/>
      <w:lvlJc w:val="left"/>
      <w:pPr>
        <w:tabs>
          <w:tab w:val="num" w:pos="4025"/>
        </w:tabs>
        <w:ind w:left="4025" w:hanging="271"/>
      </w:pPr>
      <w:rPr>
        <w:b/>
        <w:bCs/>
        <w:color w:val="000000"/>
        <w:position w:val="0"/>
        <w:sz w:val="22"/>
        <w:szCs w:val="22"/>
        <w:u w:color="000000"/>
      </w:rPr>
    </w:lvl>
    <w:lvl w:ilvl="6">
      <w:start w:val="1"/>
      <w:numFmt w:val="decimal"/>
      <w:lvlText w:val="%7."/>
      <w:lvlJc w:val="left"/>
      <w:pPr>
        <w:tabs>
          <w:tab w:val="num" w:pos="4740"/>
        </w:tabs>
        <w:ind w:left="4740" w:hanging="330"/>
      </w:pPr>
      <w:rPr>
        <w:b/>
        <w:bCs/>
        <w:color w:val="000000"/>
        <w:position w:val="0"/>
        <w:sz w:val="22"/>
        <w:szCs w:val="22"/>
        <w:u w:color="000000"/>
      </w:rPr>
    </w:lvl>
    <w:lvl w:ilvl="7">
      <w:start w:val="1"/>
      <w:numFmt w:val="lowerLetter"/>
      <w:lvlText w:val="%8."/>
      <w:lvlJc w:val="left"/>
      <w:pPr>
        <w:tabs>
          <w:tab w:val="num" w:pos="5460"/>
        </w:tabs>
        <w:ind w:left="5460" w:hanging="330"/>
      </w:pPr>
      <w:rPr>
        <w:b/>
        <w:bCs/>
        <w:color w:val="000000"/>
        <w:position w:val="0"/>
        <w:sz w:val="22"/>
        <w:szCs w:val="22"/>
        <w:u w:color="000000"/>
      </w:rPr>
    </w:lvl>
    <w:lvl w:ilvl="8">
      <w:start w:val="1"/>
      <w:numFmt w:val="lowerRoman"/>
      <w:lvlText w:val="%9."/>
      <w:lvlJc w:val="left"/>
      <w:pPr>
        <w:tabs>
          <w:tab w:val="num" w:pos="6185"/>
        </w:tabs>
        <w:ind w:left="6185" w:hanging="271"/>
      </w:pPr>
      <w:rPr>
        <w:b/>
        <w:bCs/>
        <w:color w:val="000000"/>
        <w:position w:val="0"/>
        <w:sz w:val="22"/>
        <w:szCs w:val="22"/>
        <w:u w:color="000000"/>
      </w:rPr>
    </w:lvl>
  </w:abstractNum>
  <w:abstractNum w:abstractNumId="5">
    <w:nsid w:val="6F09728C"/>
    <w:multiLevelType w:val="multilevel"/>
    <w:tmpl w:val="7AC65916"/>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dy Kitmacher">
    <w15:presenceInfo w15:providerId="None" w15:userId="Wendy Kitma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54"/>
    <w:rsid w:val="00001ADA"/>
    <w:rsid w:val="000025A7"/>
    <w:rsid w:val="000345F1"/>
    <w:rsid w:val="0004660D"/>
    <w:rsid w:val="00046A86"/>
    <w:rsid w:val="00046E23"/>
    <w:rsid w:val="000528B6"/>
    <w:rsid w:val="000724BC"/>
    <w:rsid w:val="00072FBF"/>
    <w:rsid w:val="00082B7D"/>
    <w:rsid w:val="000873E2"/>
    <w:rsid w:val="00090B53"/>
    <w:rsid w:val="00092C31"/>
    <w:rsid w:val="000A0A3E"/>
    <w:rsid w:val="000B7FD0"/>
    <w:rsid w:val="000D19A8"/>
    <w:rsid w:val="000E0A20"/>
    <w:rsid w:val="000E688E"/>
    <w:rsid w:val="000F2C92"/>
    <w:rsid w:val="00114902"/>
    <w:rsid w:val="00154A71"/>
    <w:rsid w:val="0015652C"/>
    <w:rsid w:val="00167447"/>
    <w:rsid w:val="00181D85"/>
    <w:rsid w:val="001B7554"/>
    <w:rsid w:val="001C22F9"/>
    <w:rsid w:val="001D3A55"/>
    <w:rsid w:val="001F092C"/>
    <w:rsid w:val="001F0A78"/>
    <w:rsid w:val="00202C1C"/>
    <w:rsid w:val="002226B2"/>
    <w:rsid w:val="00227906"/>
    <w:rsid w:val="002536FE"/>
    <w:rsid w:val="00253722"/>
    <w:rsid w:val="0026547C"/>
    <w:rsid w:val="0026610B"/>
    <w:rsid w:val="0028550F"/>
    <w:rsid w:val="002874C2"/>
    <w:rsid w:val="002A0642"/>
    <w:rsid w:val="002A2503"/>
    <w:rsid w:val="002A60A0"/>
    <w:rsid w:val="002B4C8B"/>
    <w:rsid w:val="002C1F56"/>
    <w:rsid w:val="002E1C7F"/>
    <w:rsid w:val="002E5014"/>
    <w:rsid w:val="002E75FE"/>
    <w:rsid w:val="003006AA"/>
    <w:rsid w:val="003321A7"/>
    <w:rsid w:val="0033412B"/>
    <w:rsid w:val="00334A9D"/>
    <w:rsid w:val="003354C4"/>
    <w:rsid w:val="00342798"/>
    <w:rsid w:val="00342F44"/>
    <w:rsid w:val="00344843"/>
    <w:rsid w:val="00346A2C"/>
    <w:rsid w:val="00351942"/>
    <w:rsid w:val="00382E7C"/>
    <w:rsid w:val="00390A12"/>
    <w:rsid w:val="00391D25"/>
    <w:rsid w:val="003925C0"/>
    <w:rsid w:val="003B3811"/>
    <w:rsid w:val="003C5D82"/>
    <w:rsid w:val="003C686D"/>
    <w:rsid w:val="003D1DDC"/>
    <w:rsid w:val="003D2E8C"/>
    <w:rsid w:val="003D5AB4"/>
    <w:rsid w:val="003E1ED2"/>
    <w:rsid w:val="003E4034"/>
    <w:rsid w:val="003F7B62"/>
    <w:rsid w:val="0040341C"/>
    <w:rsid w:val="00407A36"/>
    <w:rsid w:val="00413DFC"/>
    <w:rsid w:val="00420D3F"/>
    <w:rsid w:val="00422960"/>
    <w:rsid w:val="00430FC1"/>
    <w:rsid w:val="004623CD"/>
    <w:rsid w:val="00464A66"/>
    <w:rsid w:val="00467415"/>
    <w:rsid w:val="0048343B"/>
    <w:rsid w:val="00485A0F"/>
    <w:rsid w:val="004B000B"/>
    <w:rsid w:val="004B556B"/>
    <w:rsid w:val="004C159B"/>
    <w:rsid w:val="004E6747"/>
    <w:rsid w:val="004E67F6"/>
    <w:rsid w:val="00504A2A"/>
    <w:rsid w:val="00527017"/>
    <w:rsid w:val="0054268C"/>
    <w:rsid w:val="005472A4"/>
    <w:rsid w:val="00554EC3"/>
    <w:rsid w:val="005551B3"/>
    <w:rsid w:val="00560E17"/>
    <w:rsid w:val="0057593D"/>
    <w:rsid w:val="00595274"/>
    <w:rsid w:val="005B20D8"/>
    <w:rsid w:val="005B5FD1"/>
    <w:rsid w:val="005B6672"/>
    <w:rsid w:val="005C1E28"/>
    <w:rsid w:val="005E6D13"/>
    <w:rsid w:val="00623496"/>
    <w:rsid w:val="00631DEF"/>
    <w:rsid w:val="00632BFC"/>
    <w:rsid w:val="006340F5"/>
    <w:rsid w:val="0065186C"/>
    <w:rsid w:val="006832DA"/>
    <w:rsid w:val="006A6C03"/>
    <w:rsid w:val="006A734E"/>
    <w:rsid w:val="006F3FC5"/>
    <w:rsid w:val="0073438C"/>
    <w:rsid w:val="00747B8E"/>
    <w:rsid w:val="00764BE8"/>
    <w:rsid w:val="00776DCE"/>
    <w:rsid w:val="0079651D"/>
    <w:rsid w:val="007A0220"/>
    <w:rsid w:val="007A167D"/>
    <w:rsid w:val="007A2F0C"/>
    <w:rsid w:val="007B15B8"/>
    <w:rsid w:val="007C2A08"/>
    <w:rsid w:val="007D3EF4"/>
    <w:rsid w:val="007F4508"/>
    <w:rsid w:val="00811CAA"/>
    <w:rsid w:val="00846438"/>
    <w:rsid w:val="0087662E"/>
    <w:rsid w:val="0088671F"/>
    <w:rsid w:val="008971C3"/>
    <w:rsid w:val="00897CC9"/>
    <w:rsid w:val="008C66AB"/>
    <w:rsid w:val="008D0F33"/>
    <w:rsid w:val="008F6457"/>
    <w:rsid w:val="00900535"/>
    <w:rsid w:val="00920631"/>
    <w:rsid w:val="00935970"/>
    <w:rsid w:val="00945FD8"/>
    <w:rsid w:val="009646D2"/>
    <w:rsid w:val="00995F50"/>
    <w:rsid w:val="009A05E1"/>
    <w:rsid w:val="009A12DC"/>
    <w:rsid w:val="009A7E03"/>
    <w:rsid w:val="009B4367"/>
    <w:rsid w:val="009F50EC"/>
    <w:rsid w:val="009F5D04"/>
    <w:rsid w:val="00A05ED3"/>
    <w:rsid w:val="00A06CB7"/>
    <w:rsid w:val="00A10797"/>
    <w:rsid w:val="00A116AB"/>
    <w:rsid w:val="00A11EBD"/>
    <w:rsid w:val="00A239B3"/>
    <w:rsid w:val="00A303B0"/>
    <w:rsid w:val="00A4678F"/>
    <w:rsid w:val="00A47754"/>
    <w:rsid w:val="00A77BB0"/>
    <w:rsid w:val="00A806B3"/>
    <w:rsid w:val="00A953D7"/>
    <w:rsid w:val="00A95917"/>
    <w:rsid w:val="00AB5B2F"/>
    <w:rsid w:val="00AD43DC"/>
    <w:rsid w:val="00AD5C2D"/>
    <w:rsid w:val="00AE0CAA"/>
    <w:rsid w:val="00AE5EB8"/>
    <w:rsid w:val="00B06B92"/>
    <w:rsid w:val="00B243FD"/>
    <w:rsid w:val="00B303D9"/>
    <w:rsid w:val="00B30DB2"/>
    <w:rsid w:val="00B317CB"/>
    <w:rsid w:val="00B65403"/>
    <w:rsid w:val="00B70AC4"/>
    <w:rsid w:val="00B77486"/>
    <w:rsid w:val="00B9166D"/>
    <w:rsid w:val="00BD26BC"/>
    <w:rsid w:val="00C75531"/>
    <w:rsid w:val="00C767FB"/>
    <w:rsid w:val="00C90CE3"/>
    <w:rsid w:val="00C9192B"/>
    <w:rsid w:val="00CA4E72"/>
    <w:rsid w:val="00CD512C"/>
    <w:rsid w:val="00CE7B63"/>
    <w:rsid w:val="00D33B04"/>
    <w:rsid w:val="00D71072"/>
    <w:rsid w:val="00D87AE3"/>
    <w:rsid w:val="00DA0B08"/>
    <w:rsid w:val="00DB1BA9"/>
    <w:rsid w:val="00DB20F1"/>
    <w:rsid w:val="00DE37A3"/>
    <w:rsid w:val="00DE55AD"/>
    <w:rsid w:val="00DE6704"/>
    <w:rsid w:val="00DF27C7"/>
    <w:rsid w:val="00E0441D"/>
    <w:rsid w:val="00E14A54"/>
    <w:rsid w:val="00E15983"/>
    <w:rsid w:val="00E25F98"/>
    <w:rsid w:val="00E36E49"/>
    <w:rsid w:val="00E37747"/>
    <w:rsid w:val="00E7076E"/>
    <w:rsid w:val="00E81747"/>
    <w:rsid w:val="00E82728"/>
    <w:rsid w:val="00E85F55"/>
    <w:rsid w:val="00EB6450"/>
    <w:rsid w:val="00EB77B1"/>
    <w:rsid w:val="00EC2338"/>
    <w:rsid w:val="00F02E49"/>
    <w:rsid w:val="00F124B1"/>
    <w:rsid w:val="00F23598"/>
    <w:rsid w:val="00F25014"/>
    <w:rsid w:val="00F34506"/>
    <w:rsid w:val="00F36298"/>
    <w:rsid w:val="00F835A2"/>
    <w:rsid w:val="00F97054"/>
    <w:rsid w:val="00FB1BF6"/>
    <w:rsid w:val="00FB35B1"/>
    <w:rsid w:val="00FB366B"/>
    <w:rsid w:val="00FB7B80"/>
    <w:rsid w:val="00FE0B62"/>
    <w:rsid w:val="00FE6A7E"/>
    <w:rsid w:val="00F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C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432"/>
      </w:tabs>
      <w:spacing w:after="240"/>
      <w:ind w:left="432" w:hanging="432"/>
      <w:jc w:val="both"/>
      <w:outlineLvl w:val="1"/>
    </w:pPr>
    <w:rPr>
      <w:rFonts w:eastAsia="Times New Roman"/>
      <w:b/>
      <w:bCs/>
      <w:cap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pPr>
      <w:tabs>
        <w:tab w:val="center" w:pos="4680"/>
        <w:tab w:val="right" w:pos="9360"/>
      </w:tabs>
      <w:jc w:val="both"/>
    </w:pPr>
    <w:rPr>
      <w:rFonts w:eastAsia="Times New Roman"/>
      <w:color w:val="000000"/>
      <w:sz w:val="24"/>
      <w:szCs w:val="24"/>
      <w:u w:color="000000"/>
    </w:rPr>
  </w:style>
  <w:style w:type="paragraph" w:customStyle="1" w:styleId="MarkforAttachment">
    <w:name w:val="Mark for Attachment"/>
    <w:next w:val="Body"/>
    <w:pPr>
      <w:tabs>
        <w:tab w:val="left" w:pos="432"/>
      </w:tabs>
      <w:jc w:val="center"/>
    </w:pPr>
    <w:rPr>
      <w:rFonts w:eastAsia="Times New Roman"/>
      <w:b/>
      <w:bCs/>
      <w:caps/>
      <w:color w:val="000000"/>
      <w:sz w:val="24"/>
      <w:szCs w:val="24"/>
      <w:u w:color="000000"/>
    </w:rPr>
  </w:style>
  <w:style w:type="paragraph" w:customStyle="1" w:styleId="Body">
    <w:name w:val="Body"/>
    <w:pPr>
      <w:tabs>
        <w:tab w:val="left" w:pos="432"/>
      </w:tabs>
      <w:jc w:val="both"/>
    </w:pPr>
    <w:rPr>
      <w:rFonts w:eastAsia="Times New Roman"/>
      <w:color w:val="000000"/>
      <w:sz w:val="24"/>
      <w:szCs w:val="24"/>
      <w:u w:color="000000"/>
    </w:rPr>
  </w:style>
  <w:style w:type="paragraph" w:styleId="BodyText2">
    <w:name w:val="Body Text 2"/>
    <w:pPr>
      <w:widowControl w:val="0"/>
      <w:jc w:val="both"/>
    </w:pPr>
    <w:rPr>
      <w:rFonts w:ascii="Times" w:eastAsia="Times" w:hAnsi="Times" w:cs="Time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NormalSS">
    <w:name w:val="NormalSS"/>
    <w:pPr>
      <w:tabs>
        <w:tab w:val="left" w:pos="432"/>
      </w:tabs>
      <w:jc w:val="both"/>
    </w:pPr>
    <w:rPr>
      <w:rFonts w:eastAsia="Times New Roman"/>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numbering" w:customStyle="1" w:styleId="List1">
    <w:name w:val="List 1"/>
    <w:basedOn w:val="ImportedStyle3"/>
    <w:pPr>
      <w:numPr>
        <w:numId w:val="6"/>
      </w:numPr>
    </w:pPr>
  </w:style>
  <w:style w:type="numbering" w:customStyle="1" w:styleId="ImportedStyle3">
    <w:name w:val="Imported Style 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0DB2"/>
    <w:rPr>
      <w:rFonts w:ascii="Tahoma" w:hAnsi="Tahoma" w:cs="Tahoma"/>
      <w:sz w:val="16"/>
      <w:szCs w:val="16"/>
    </w:rPr>
  </w:style>
  <w:style w:type="character" w:customStyle="1" w:styleId="BalloonTextChar">
    <w:name w:val="Balloon Text Char"/>
    <w:basedOn w:val="DefaultParagraphFont"/>
    <w:link w:val="BalloonText"/>
    <w:uiPriority w:val="99"/>
    <w:semiHidden/>
    <w:rsid w:val="00B30DB2"/>
    <w:rPr>
      <w:rFonts w:ascii="Tahoma" w:hAnsi="Tahoma" w:cs="Tahoma"/>
      <w:sz w:val="16"/>
      <w:szCs w:val="16"/>
    </w:rPr>
  </w:style>
  <w:style w:type="paragraph" w:styleId="Header">
    <w:name w:val="header"/>
    <w:basedOn w:val="Normal"/>
    <w:link w:val="HeaderChar"/>
    <w:uiPriority w:val="99"/>
    <w:unhideWhenUsed/>
    <w:rsid w:val="0054268C"/>
    <w:pPr>
      <w:tabs>
        <w:tab w:val="center" w:pos="4680"/>
        <w:tab w:val="right" w:pos="9360"/>
      </w:tabs>
    </w:pPr>
  </w:style>
  <w:style w:type="character" w:customStyle="1" w:styleId="HeaderChar">
    <w:name w:val="Header Char"/>
    <w:basedOn w:val="DefaultParagraphFont"/>
    <w:link w:val="Header"/>
    <w:uiPriority w:val="99"/>
    <w:rsid w:val="0054268C"/>
    <w:rPr>
      <w:sz w:val="24"/>
      <w:szCs w:val="24"/>
    </w:rPr>
  </w:style>
  <w:style w:type="paragraph" w:styleId="CommentSubject">
    <w:name w:val="annotation subject"/>
    <w:basedOn w:val="CommentText"/>
    <w:next w:val="CommentText"/>
    <w:link w:val="CommentSubjectChar"/>
    <w:uiPriority w:val="99"/>
    <w:semiHidden/>
    <w:unhideWhenUsed/>
    <w:rsid w:val="00C9192B"/>
    <w:rPr>
      <w:b/>
      <w:bCs/>
    </w:rPr>
  </w:style>
  <w:style w:type="character" w:customStyle="1" w:styleId="CommentSubjectChar">
    <w:name w:val="Comment Subject Char"/>
    <w:basedOn w:val="CommentTextChar"/>
    <w:link w:val="CommentSubject"/>
    <w:uiPriority w:val="99"/>
    <w:semiHidden/>
    <w:rsid w:val="00C9192B"/>
    <w:rPr>
      <w:b/>
      <w:bCs/>
    </w:rPr>
  </w:style>
  <w:style w:type="character" w:styleId="FollowedHyperlink">
    <w:name w:val="FollowedHyperlink"/>
    <w:basedOn w:val="DefaultParagraphFont"/>
    <w:uiPriority w:val="99"/>
    <w:semiHidden/>
    <w:unhideWhenUsed/>
    <w:rsid w:val="00A806B3"/>
    <w:rPr>
      <w:color w:val="800080" w:themeColor="followedHyperlink"/>
      <w:u w:val="single"/>
    </w:rPr>
  </w:style>
  <w:style w:type="character" w:customStyle="1" w:styleId="FooterChar">
    <w:name w:val="Footer Char"/>
    <w:basedOn w:val="DefaultParagraphFont"/>
    <w:link w:val="Footer"/>
    <w:rsid w:val="00C75531"/>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tabs>
        <w:tab w:val="left" w:pos="432"/>
      </w:tabs>
      <w:spacing w:after="240"/>
      <w:ind w:left="432" w:hanging="432"/>
      <w:jc w:val="both"/>
      <w:outlineLvl w:val="1"/>
    </w:pPr>
    <w:rPr>
      <w:rFonts w:eastAsia="Times New Roman"/>
      <w:b/>
      <w:bCs/>
      <w:cap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pPr>
      <w:tabs>
        <w:tab w:val="center" w:pos="4680"/>
        <w:tab w:val="right" w:pos="9360"/>
      </w:tabs>
      <w:jc w:val="both"/>
    </w:pPr>
    <w:rPr>
      <w:rFonts w:eastAsia="Times New Roman"/>
      <w:color w:val="000000"/>
      <w:sz w:val="24"/>
      <w:szCs w:val="24"/>
      <w:u w:color="000000"/>
    </w:rPr>
  </w:style>
  <w:style w:type="paragraph" w:customStyle="1" w:styleId="MarkforAttachment">
    <w:name w:val="Mark for Attachment"/>
    <w:next w:val="Body"/>
    <w:pPr>
      <w:tabs>
        <w:tab w:val="left" w:pos="432"/>
      </w:tabs>
      <w:jc w:val="center"/>
    </w:pPr>
    <w:rPr>
      <w:rFonts w:eastAsia="Times New Roman"/>
      <w:b/>
      <w:bCs/>
      <w:caps/>
      <w:color w:val="000000"/>
      <w:sz w:val="24"/>
      <w:szCs w:val="24"/>
      <w:u w:color="000000"/>
    </w:rPr>
  </w:style>
  <w:style w:type="paragraph" w:customStyle="1" w:styleId="Body">
    <w:name w:val="Body"/>
    <w:pPr>
      <w:tabs>
        <w:tab w:val="left" w:pos="432"/>
      </w:tabs>
      <w:jc w:val="both"/>
    </w:pPr>
    <w:rPr>
      <w:rFonts w:eastAsia="Times New Roman"/>
      <w:color w:val="000000"/>
      <w:sz w:val="24"/>
      <w:szCs w:val="24"/>
      <w:u w:color="000000"/>
    </w:rPr>
  </w:style>
  <w:style w:type="paragraph" w:styleId="BodyText2">
    <w:name w:val="Body Text 2"/>
    <w:pPr>
      <w:widowControl w:val="0"/>
      <w:jc w:val="both"/>
    </w:pPr>
    <w:rPr>
      <w:rFonts w:ascii="Times" w:eastAsia="Times" w:hAnsi="Times" w:cs="Time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NormalSS">
    <w:name w:val="NormalSS"/>
    <w:pPr>
      <w:tabs>
        <w:tab w:val="left" w:pos="432"/>
      </w:tabs>
      <w:jc w:val="both"/>
    </w:pPr>
    <w:rPr>
      <w:rFonts w:eastAsia="Times New Roman"/>
      <w:color w:val="000000"/>
      <w:sz w:val="24"/>
      <w:szCs w:val="24"/>
      <w:u w:color="000000"/>
    </w:rPr>
  </w:style>
  <w:style w:type="numbering" w:customStyle="1" w:styleId="List0">
    <w:name w:val="List 0"/>
    <w:basedOn w:val="ImportedStyle2"/>
    <w:pPr>
      <w:numPr>
        <w:numId w:val="3"/>
      </w:numPr>
    </w:pPr>
  </w:style>
  <w:style w:type="numbering" w:customStyle="1" w:styleId="ImportedStyle2">
    <w:name w:val="Imported Style 2"/>
  </w:style>
  <w:style w:type="numbering" w:customStyle="1" w:styleId="List1">
    <w:name w:val="List 1"/>
    <w:basedOn w:val="ImportedStyle3"/>
    <w:pPr>
      <w:numPr>
        <w:numId w:val="6"/>
      </w:numPr>
    </w:pPr>
  </w:style>
  <w:style w:type="numbering" w:customStyle="1" w:styleId="ImportedStyle3">
    <w:name w:val="Imported Style 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0DB2"/>
    <w:rPr>
      <w:rFonts w:ascii="Tahoma" w:hAnsi="Tahoma" w:cs="Tahoma"/>
      <w:sz w:val="16"/>
      <w:szCs w:val="16"/>
    </w:rPr>
  </w:style>
  <w:style w:type="character" w:customStyle="1" w:styleId="BalloonTextChar">
    <w:name w:val="Balloon Text Char"/>
    <w:basedOn w:val="DefaultParagraphFont"/>
    <w:link w:val="BalloonText"/>
    <w:uiPriority w:val="99"/>
    <w:semiHidden/>
    <w:rsid w:val="00B30DB2"/>
    <w:rPr>
      <w:rFonts w:ascii="Tahoma" w:hAnsi="Tahoma" w:cs="Tahoma"/>
      <w:sz w:val="16"/>
      <w:szCs w:val="16"/>
    </w:rPr>
  </w:style>
  <w:style w:type="paragraph" w:styleId="Header">
    <w:name w:val="header"/>
    <w:basedOn w:val="Normal"/>
    <w:link w:val="HeaderChar"/>
    <w:uiPriority w:val="99"/>
    <w:unhideWhenUsed/>
    <w:rsid w:val="0054268C"/>
    <w:pPr>
      <w:tabs>
        <w:tab w:val="center" w:pos="4680"/>
        <w:tab w:val="right" w:pos="9360"/>
      </w:tabs>
    </w:pPr>
  </w:style>
  <w:style w:type="character" w:customStyle="1" w:styleId="HeaderChar">
    <w:name w:val="Header Char"/>
    <w:basedOn w:val="DefaultParagraphFont"/>
    <w:link w:val="Header"/>
    <w:uiPriority w:val="99"/>
    <w:rsid w:val="0054268C"/>
    <w:rPr>
      <w:sz w:val="24"/>
      <w:szCs w:val="24"/>
    </w:rPr>
  </w:style>
  <w:style w:type="paragraph" w:styleId="CommentSubject">
    <w:name w:val="annotation subject"/>
    <w:basedOn w:val="CommentText"/>
    <w:next w:val="CommentText"/>
    <w:link w:val="CommentSubjectChar"/>
    <w:uiPriority w:val="99"/>
    <w:semiHidden/>
    <w:unhideWhenUsed/>
    <w:rsid w:val="00C9192B"/>
    <w:rPr>
      <w:b/>
      <w:bCs/>
    </w:rPr>
  </w:style>
  <w:style w:type="character" w:customStyle="1" w:styleId="CommentSubjectChar">
    <w:name w:val="Comment Subject Char"/>
    <w:basedOn w:val="CommentTextChar"/>
    <w:link w:val="CommentSubject"/>
    <w:uiPriority w:val="99"/>
    <w:semiHidden/>
    <w:rsid w:val="00C9192B"/>
    <w:rPr>
      <w:b/>
      <w:bCs/>
    </w:rPr>
  </w:style>
  <w:style w:type="character" w:styleId="FollowedHyperlink">
    <w:name w:val="FollowedHyperlink"/>
    <w:basedOn w:val="DefaultParagraphFont"/>
    <w:uiPriority w:val="99"/>
    <w:semiHidden/>
    <w:unhideWhenUsed/>
    <w:rsid w:val="00A806B3"/>
    <w:rPr>
      <w:color w:val="800080" w:themeColor="followedHyperlink"/>
      <w:u w:val="single"/>
    </w:rPr>
  </w:style>
  <w:style w:type="character" w:customStyle="1" w:styleId="FooterChar">
    <w:name w:val="Footer Char"/>
    <w:basedOn w:val="DefaultParagraphFont"/>
    <w:link w:val="Footer"/>
    <w:rsid w:val="00C7553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99276">
      <w:bodyDiv w:val="1"/>
      <w:marLeft w:val="0"/>
      <w:marRight w:val="0"/>
      <w:marTop w:val="0"/>
      <w:marBottom w:val="0"/>
      <w:divBdr>
        <w:top w:val="none" w:sz="0" w:space="0" w:color="auto"/>
        <w:left w:val="none" w:sz="0" w:space="0" w:color="auto"/>
        <w:bottom w:val="none" w:sz="0" w:space="0" w:color="auto"/>
        <w:right w:val="none" w:sz="0" w:space="0" w:color="auto"/>
      </w:divBdr>
    </w:div>
    <w:div w:id="142398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federalpay.org/gs/locality/washington-dc" TargetMode="External"/><Relationship Id="rId4" Type="http://schemas.microsoft.com/office/2007/relationships/stylesWithEffects" Target="stylesWithEffects.xml"/><Relationship Id="rId9" Type="http://schemas.openxmlformats.org/officeDocument/2006/relationships/hyperlink" Target="http://www.bls.gov/oes/current/oes43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8D90-A5F3-49A4-BE3E-93CA7E98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Havenstrite, Wendy - ETA</dc:creator>
  <cp:lastModifiedBy>Windows User</cp:lastModifiedBy>
  <cp:revision>2</cp:revision>
  <dcterms:created xsi:type="dcterms:W3CDTF">2017-05-02T20:42:00Z</dcterms:created>
  <dcterms:modified xsi:type="dcterms:W3CDTF">2017-05-02T20:42:00Z</dcterms:modified>
</cp:coreProperties>
</file>