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D603" w14:textId="251A6FED" w:rsidR="000E232D" w:rsidRPr="00C45328" w:rsidRDefault="00C45328" w:rsidP="00C824F7">
      <w:pPr>
        <w:jc w:val="center"/>
      </w:pPr>
      <w:bookmarkStart w:id="0" w:name="_GoBack"/>
      <w:bookmarkEnd w:id="0"/>
      <w:r>
        <w:t>156 FERC ¶ 61,207</w:t>
      </w:r>
    </w:p>
    <w:p w14:paraId="5C151D99" w14:textId="77777777" w:rsidR="00C824F7" w:rsidRPr="00755E06" w:rsidRDefault="00C824F7" w:rsidP="00C824F7">
      <w:pPr>
        <w:jc w:val="center"/>
      </w:pPr>
      <w:r w:rsidRPr="00755E06">
        <w:t>UNITED STATES OF AMERICA</w:t>
      </w:r>
    </w:p>
    <w:p w14:paraId="311D506C" w14:textId="77777777" w:rsidR="00C824F7" w:rsidRDefault="00C824F7" w:rsidP="00C824F7">
      <w:pPr>
        <w:jc w:val="center"/>
      </w:pPr>
      <w:r w:rsidRPr="00755E06">
        <w:t>FEDERAL ENERGY REGULATORY COMMISSION</w:t>
      </w:r>
    </w:p>
    <w:p w14:paraId="024495E4" w14:textId="77777777" w:rsidR="00C45328" w:rsidRDefault="00C45328" w:rsidP="00C824F7">
      <w:pPr>
        <w:jc w:val="center"/>
      </w:pPr>
    </w:p>
    <w:p w14:paraId="1C37078C" w14:textId="77777777" w:rsidR="00C45328" w:rsidRDefault="00C45328" w:rsidP="00C824F7">
      <w:pPr>
        <w:jc w:val="center"/>
      </w:pPr>
    </w:p>
    <w:p w14:paraId="062956CA" w14:textId="4240A67A" w:rsidR="00C45328" w:rsidRPr="00C45328" w:rsidRDefault="00C45328" w:rsidP="00C45328">
      <w:pPr>
        <w:widowControl/>
      </w:pPr>
      <w:r w:rsidRPr="00C45328">
        <w:t>Before Commissioners:  Norman C. Bay, Chairman;</w:t>
      </w:r>
    </w:p>
    <w:p w14:paraId="453F660B" w14:textId="5EE70AD3" w:rsidR="00C45328" w:rsidRPr="00C45328" w:rsidRDefault="00C45328" w:rsidP="00C45328">
      <w:pPr>
        <w:widowControl/>
      </w:pPr>
      <w:r w:rsidRPr="00C45328">
        <w:t xml:space="preserve">                                        Cheryl A. </w:t>
      </w:r>
      <w:proofErr w:type="spellStart"/>
      <w:r w:rsidRPr="00C45328">
        <w:t>LaFleur</w:t>
      </w:r>
      <w:proofErr w:type="spellEnd"/>
      <w:r w:rsidRPr="00C45328">
        <w:t>, Tony Clark,</w:t>
      </w:r>
    </w:p>
    <w:p w14:paraId="60972907" w14:textId="220DCC5C" w:rsidR="00C45328" w:rsidRPr="00755E06" w:rsidRDefault="00C45328" w:rsidP="00C45328">
      <w:pPr>
        <w:widowControl/>
      </w:pPr>
      <w:r w:rsidRPr="00C45328">
        <w:t xml:space="preserve">                                        </w:t>
      </w:r>
      <w:proofErr w:type="gramStart"/>
      <w:r w:rsidRPr="00C45328">
        <w:t>and</w:t>
      </w:r>
      <w:proofErr w:type="gramEnd"/>
      <w:r w:rsidRPr="00C45328">
        <w:t xml:space="preserve"> Colette D. Honorable.</w:t>
      </w:r>
    </w:p>
    <w:p w14:paraId="4CA310E8" w14:textId="77777777" w:rsidR="00C824F7" w:rsidRPr="00755E06" w:rsidRDefault="00C824F7" w:rsidP="00C824F7">
      <w:pPr>
        <w:jc w:val="center"/>
      </w:pPr>
    </w:p>
    <w:p w14:paraId="681E6ADE" w14:textId="77777777" w:rsidR="00C824F7" w:rsidRPr="00755E06" w:rsidRDefault="00C824F7" w:rsidP="00C824F7"/>
    <w:tbl>
      <w:tblPr>
        <w:tblW w:w="0" w:type="auto"/>
        <w:tblCellMar>
          <w:left w:w="0" w:type="dxa"/>
          <w:right w:w="0" w:type="dxa"/>
        </w:tblCellMar>
        <w:tblLook w:val="01E0" w:firstRow="1" w:lastRow="1" w:firstColumn="1" w:lastColumn="1" w:noHBand="0" w:noVBand="0"/>
      </w:tblPr>
      <w:tblGrid>
        <w:gridCol w:w="5933"/>
        <w:gridCol w:w="1534"/>
        <w:gridCol w:w="1893"/>
      </w:tblGrid>
      <w:tr w:rsidR="00755E06" w:rsidRPr="00755E06" w14:paraId="16E45838" w14:textId="77777777">
        <w:tc>
          <w:tcPr>
            <w:tcW w:w="5933" w:type="dxa"/>
            <w:shd w:val="clear" w:color="auto" w:fill="auto"/>
          </w:tcPr>
          <w:p w14:paraId="71F6B8FC" w14:textId="77777777" w:rsidR="00C824F7" w:rsidRPr="00755E06" w:rsidRDefault="00C824F7" w:rsidP="00C824F7">
            <w:pPr>
              <w:spacing w:before="100" w:beforeAutospacing="1" w:after="100" w:afterAutospacing="1"/>
            </w:pPr>
            <w:r w:rsidRPr="00755E06">
              <w:t>North American Electric Reliability Corporation</w:t>
            </w:r>
          </w:p>
        </w:tc>
        <w:tc>
          <w:tcPr>
            <w:tcW w:w="1534" w:type="dxa"/>
            <w:shd w:val="clear" w:color="auto" w:fill="auto"/>
          </w:tcPr>
          <w:p w14:paraId="2123A2CB" w14:textId="77777777" w:rsidR="00C824F7" w:rsidRPr="00755E06" w:rsidRDefault="00C824F7" w:rsidP="00C824F7">
            <w:pPr>
              <w:tabs>
                <w:tab w:val="left" w:pos="720"/>
                <w:tab w:val="left" w:pos="1440"/>
                <w:tab w:val="left" w:pos="2880"/>
                <w:tab w:val="left" w:pos="4320"/>
                <w:tab w:val="left" w:pos="5040"/>
                <w:tab w:val="left" w:pos="5760"/>
                <w:tab w:val="left" w:pos="6480"/>
                <w:tab w:val="left" w:pos="7200"/>
              </w:tabs>
              <w:spacing w:before="100" w:beforeAutospacing="1" w:after="100" w:afterAutospacing="1"/>
              <w:jc w:val="right"/>
            </w:pPr>
            <w:r w:rsidRPr="00755E06">
              <w:t>Docket No.</w:t>
            </w:r>
          </w:p>
        </w:tc>
        <w:tc>
          <w:tcPr>
            <w:tcW w:w="1893" w:type="dxa"/>
            <w:shd w:val="clear" w:color="auto" w:fill="auto"/>
            <w:tcMar>
              <w:left w:w="144" w:type="dxa"/>
            </w:tcMar>
          </w:tcPr>
          <w:p w14:paraId="6F291A56" w14:textId="06659E99" w:rsidR="00C824F7" w:rsidRPr="00755E06" w:rsidRDefault="00C45328" w:rsidP="0093548A">
            <w:pPr>
              <w:tabs>
                <w:tab w:val="left" w:pos="720"/>
                <w:tab w:val="left" w:pos="1440"/>
                <w:tab w:val="left" w:pos="2880"/>
                <w:tab w:val="left" w:pos="4320"/>
                <w:tab w:val="left" w:pos="5040"/>
                <w:tab w:val="left" w:pos="5760"/>
                <w:tab w:val="left" w:pos="6480"/>
                <w:tab w:val="left" w:pos="7200"/>
              </w:tabs>
              <w:ind w:left="-141"/>
            </w:pPr>
            <w:r>
              <w:t xml:space="preserve"> </w:t>
            </w:r>
            <w:r w:rsidR="00C824F7" w:rsidRPr="00755E06">
              <w:t>RD1</w:t>
            </w:r>
            <w:r w:rsidR="00A47E84">
              <w:t>6</w:t>
            </w:r>
            <w:r w:rsidR="00C824F7" w:rsidRPr="00755E06">
              <w:t>-</w:t>
            </w:r>
            <w:r w:rsidR="00A47E84">
              <w:t>6</w:t>
            </w:r>
            <w:r w:rsidR="00C824F7" w:rsidRPr="00755E06">
              <w:t>-000</w:t>
            </w:r>
          </w:p>
        </w:tc>
      </w:tr>
    </w:tbl>
    <w:p w14:paraId="5119234D" w14:textId="4E17A42F" w:rsidR="00C824F7" w:rsidRDefault="00C824F7">
      <w:pPr>
        <w:spacing w:before="100" w:beforeAutospacing="1" w:after="100" w:afterAutospacing="1"/>
        <w:jc w:val="center"/>
        <w:rPr>
          <w:bCs/>
        </w:rPr>
      </w:pPr>
      <w:r w:rsidRPr="00755E06">
        <w:rPr>
          <w:bCs/>
        </w:rPr>
        <w:t>ORDER APPROVING RELIABILITY STANDARD</w:t>
      </w:r>
      <w:r w:rsidR="00F95C1F">
        <w:rPr>
          <w:bCs/>
        </w:rPr>
        <w:t>S</w:t>
      </w:r>
    </w:p>
    <w:p w14:paraId="2BFCD727" w14:textId="423FBFA4" w:rsidR="00C45328" w:rsidRDefault="00C45328" w:rsidP="00C45328">
      <w:pPr>
        <w:widowControl/>
        <w:jc w:val="center"/>
        <w:rPr>
          <w:bCs/>
        </w:rPr>
      </w:pPr>
      <w:r>
        <w:rPr>
          <w:bCs/>
        </w:rPr>
        <w:t>(Issued September 22</w:t>
      </w:r>
      <w:r w:rsidRPr="00C45328">
        <w:rPr>
          <w:bCs/>
        </w:rPr>
        <w:t>, 2016)</w:t>
      </w:r>
    </w:p>
    <w:p w14:paraId="2D99B140" w14:textId="76961B3B" w:rsidR="004A2564" w:rsidRDefault="00C824F7">
      <w:pPr>
        <w:pStyle w:val="FERCparanumber"/>
        <w:spacing w:before="100" w:beforeAutospacing="1"/>
      </w:pPr>
      <w:r w:rsidRPr="00755E06">
        <w:t xml:space="preserve">On </w:t>
      </w:r>
      <w:r w:rsidR="0008593D">
        <w:t>May</w:t>
      </w:r>
      <w:r w:rsidR="00A47E84">
        <w:t xml:space="preserve"> 26, 2016</w:t>
      </w:r>
      <w:r w:rsidRPr="00755E06">
        <w:t xml:space="preserve">, the North American Electric Reliability Corporation (NERC) submitted a petition seeking approval of </w:t>
      </w:r>
      <w:r w:rsidR="00872A6C">
        <w:t xml:space="preserve">proposed </w:t>
      </w:r>
      <w:r w:rsidRPr="00755E06">
        <w:t>Reliability Standard</w:t>
      </w:r>
      <w:r w:rsidR="00A47E84">
        <w:t>s IRO-018-1 (Reliability Coordinator Real-time Reliability Monitoring and Analysis Capabilities) and TOP-010-1 (Real-time Reliability Monitoring and Analysis Capabilities)</w:t>
      </w:r>
      <w:r w:rsidR="00713235">
        <w:t xml:space="preserve">.  </w:t>
      </w:r>
      <w:r w:rsidR="00C6479F">
        <w:t xml:space="preserve">As discussed </w:t>
      </w:r>
      <w:r w:rsidR="00872A6C">
        <w:t>in this order</w:t>
      </w:r>
      <w:r w:rsidR="00C6479F">
        <w:t xml:space="preserve">, the Commission </w:t>
      </w:r>
      <w:r w:rsidR="008C3488">
        <w:t>approves</w:t>
      </w:r>
      <w:r w:rsidR="00C6479F">
        <w:t xml:space="preserve"> </w:t>
      </w:r>
      <w:r w:rsidRPr="00755E06">
        <w:t>Reliability Standard</w:t>
      </w:r>
      <w:r w:rsidR="00A47E84">
        <w:t>s</w:t>
      </w:r>
      <w:r w:rsidR="00C6479F">
        <w:t xml:space="preserve"> </w:t>
      </w:r>
      <w:r w:rsidR="00872A6C">
        <w:t>IRO-018-1 and TOP-010-1</w:t>
      </w:r>
      <w:r w:rsidR="004A2564">
        <w:t xml:space="preserve"> and NERC’s</w:t>
      </w:r>
      <w:r w:rsidR="00C6479F">
        <w:t xml:space="preserve"> </w:t>
      </w:r>
      <w:r w:rsidR="004A2564">
        <w:t>proposed</w:t>
      </w:r>
      <w:r w:rsidR="00C6479F">
        <w:t xml:space="preserve"> </w:t>
      </w:r>
      <w:r w:rsidRPr="00755E06">
        <w:t>implementation plan</w:t>
      </w:r>
      <w:r w:rsidR="00C6479F">
        <w:t>,</w:t>
      </w:r>
      <w:r w:rsidR="00713235">
        <w:t xml:space="preserve"> violation severity levels</w:t>
      </w:r>
      <w:r w:rsidR="00C6479F">
        <w:t xml:space="preserve"> and, with the </w:t>
      </w:r>
      <w:proofErr w:type="gramStart"/>
      <w:r w:rsidR="00C6479F">
        <w:t>exceptions</w:t>
      </w:r>
      <w:proofErr w:type="gramEnd"/>
      <w:r w:rsidR="00C6479F">
        <w:t xml:space="preserve"> identified below, violation risk factors</w:t>
      </w:r>
      <w:r w:rsidR="000E3A9B" w:rsidRPr="00755E06">
        <w:t>.</w:t>
      </w:r>
      <w:r w:rsidR="00713235">
        <w:t xml:space="preserve">  </w:t>
      </w:r>
    </w:p>
    <w:p w14:paraId="3B9E0F6C" w14:textId="1757A54E" w:rsidR="00C824F7" w:rsidRPr="00755E06" w:rsidRDefault="000E3A9B">
      <w:pPr>
        <w:pStyle w:val="FERCparanumber"/>
        <w:spacing w:before="100" w:beforeAutospacing="1"/>
      </w:pPr>
      <w:r w:rsidRPr="00755E06">
        <w:t>The Commission</w:t>
      </w:r>
      <w:r w:rsidR="00872A6C">
        <w:t>, as discussed below,</w:t>
      </w:r>
      <w:r w:rsidR="00C6479F">
        <w:t xml:space="preserve"> </w:t>
      </w:r>
      <w:r w:rsidR="00C824F7" w:rsidRPr="00755E06">
        <w:t>direct</w:t>
      </w:r>
      <w:r w:rsidRPr="00755E06">
        <w:t>s</w:t>
      </w:r>
      <w:r w:rsidR="00C824F7" w:rsidRPr="00755E06">
        <w:t xml:space="preserve"> NERC to </w:t>
      </w:r>
      <w:r w:rsidR="00C824F7" w:rsidRPr="00C6479F">
        <w:rPr>
          <w:szCs w:val="26"/>
        </w:rPr>
        <w:t xml:space="preserve">submit a compliance filing within 60 days of </w:t>
      </w:r>
      <w:r w:rsidR="009A5FC1" w:rsidRPr="00C6479F">
        <w:rPr>
          <w:szCs w:val="26"/>
        </w:rPr>
        <w:t>the</w:t>
      </w:r>
      <w:r w:rsidR="003F3FE2">
        <w:rPr>
          <w:szCs w:val="26"/>
        </w:rPr>
        <w:t xml:space="preserve"> date</w:t>
      </w:r>
      <w:r w:rsidR="00C824F7" w:rsidRPr="00C6479F">
        <w:rPr>
          <w:szCs w:val="26"/>
        </w:rPr>
        <w:t xml:space="preserve"> of this order</w:t>
      </w:r>
      <w:r w:rsidR="00C95297">
        <w:rPr>
          <w:szCs w:val="26"/>
        </w:rPr>
        <w:t xml:space="preserve"> </w:t>
      </w:r>
      <w:r w:rsidR="00872A6C">
        <w:rPr>
          <w:szCs w:val="26"/>
        </w:rPr>
        <w:t>to modify</w:t>
      </w:r>
      <w:r w:rsidR="00C95297">
        <w:rPr>
          <w:szCs w:val="26"/>
        </w:rPr>
        <w:t xml:space="preserve"> the</w:t>
      </w:r>
      <w:r w:rsidR="00C824F7" w:rsidRPr="00C6479F">
        <w:rPr>
          <w:szCs w:val="26"/>
        </w:rPr>
        <w:t xml:space="preserve"> </w:t>
      </w:r>
      <w:r w:rsidR="00713235" w:rsidRPr="00C6479F">
        <w:rPr>
          <w:szCs w:val="26"/>
        </w:rPr>
        <w:t xml:space="preserve">violation risk factor </w:t>
      </w:r>
      <w:r w:rsidR="007A1B26" w:rsidRPr="00C6479F">
        <w:rPr>
          <w:szCs w:val="26"/>
        </w:rPr>
        <w:t xml:space="preserve">designations for Requirement R1 </w:t>
      </w:r>
      <w:r w:rsidR="008D761C" w:rsidRPr="00C6479F">
        <w:rPr>
          <w:szCs w:val="26"/>
        </w:rPr>
        <w:t>of</w:t>
      </w:r>
      <w:r w:rsidR="007A1B26" w:rsidRPr="00C6479F">
        <w:rPr>
          <w:szCs w:val="26"/>
        </w:rPr>
        <w:t xml:space="preserve"> Reliability Standard IRO-</w:t>
      </w:r>
      <w:r w:rsidR="00B1684A" w:rsidRPr="00C6479F">
        <w:rPr>
          <w:szCs w:val="26"/>
        </w:rPr>
        <w:t>018-1</w:t>
      </w:r>
      <w:r w:rsidR="007A1B26" w:rsidRPr="00C6479F">
        <w:rPr>
          <w:szCs w:val="26"/>
        </w:rPr>
        <w:t xml:space="preserve"> and Requirements R1 and R2 of Reliability Standard TOP-010-1</w:t>
      </w:r>
      <w:r w:rsidR="00C95297">
        <w:rPr>
          <w:szCs w:val="26"/>
        </w:rPr>
        <w:t xml:space="preserve"> to “high</w:t>
      </w:r>
      <w:r w:rsidR="00413969">
        <w:rPr>
          <w:szCs w:val="26"/>
        </w:rPr>
        <w:t>.”</w:t>
      </w:r>
      <w:r w:rsidR="00C824F7" w:rsidRPr="00755E06">
        <w:t xml:space="preserve"> </w:t>
      </w:r>
    </w:p>
    <w:p w14:paraId="39C27315" w14:textId="70BF2D38" w:rsidR="00C824F7" w:rsidRPr="00755E06" w:rsidRDefault="00C824F7">
      <w:pPr>
        <w:pStyle w:val="Heading1"/>
        <w:spacing w:before="100" w:beforeAutospacing="1" w:after="240"/>
      </w:pPr>
      <w:r w:rsidRPr="00755E06">
        <w:rPr>
          <w:u w:val="none"/>
        </w:rPr>
        <w:t>I.</w:t>
      </w:r>
      <w:r w:rsidRPr="00755E06">
        <w:rPr>
          <w:u w:val="none"/>
        </w:rPr>
        <w:tab/>
      </w:r>
      <w:r w:rsidRPr="00755E06">
        <w:t>Background</w:t>
      </w:r>
      <w:r w:rsidR="00503061">
        <w:t xml:space="preserve"> and NERC Petition</w:t>
      </w:r>
    </w:p>
    <w:p w14:paraId="5E87A215" w14:textId="06C99ADE" w:rsidR="00503061" w:rsidRDefault="00C824F7" w:rsidP="007A1B26">
      <w:pPr>
        <w:pStyle w:val="FERCparanumber"/>
        <w:spacing w:before="100" w:beforeAutospacing="1"/>
      </w:pPr>
      <w:r w:rsidRPr="00755E06">
        <w:t>The Commission certified NERC as the Electric Reliability Organization, as defined in section 215 of the</w:t>
      </w:r>
      <w:r w:rsidR="00DE1929">
        <w:t xml:space="preserve"> Federal Power Act</w:t>
      </w:r>
      <w:r w:rsidRPr="00755E06">
        <w:t xml:space="preserve"> </w:t>
      </w:r>
      <w:r w:rsidR="00DE1929">
        <w:t>(</w:t>
      </w:r>
      <w:r w:rsidRPr="00755E06">
        <w:t>FPA</w:t>
      </w:r>
      <w:r w:rsidR="00DE1929">
        <w:t>)</w:t>
      </w:r>
      <w:r w:rsidRPr="00755E06">
        <w:t>,</w:t>
      </w:r>
      <w:r w:rsidR="00DE1929">
        <w:rPr>
          <w:rStyle w:val="FootnoteReference"/>
        </w:rPr>
        <w:footnoteReference w:id="2"/>
      </w:r>
      <w:r w:rsidRPr="00755E06">
        <w:t xml:space="preserve"> in July 2006.</w:t>
      </w:r>
      <w:r w:rsidRPr="00755E06">
        <w:rPr>
          <w:rStyle w:val="FootnoteReference"/>
        </w:rPr>
        <w:footnoteReference w:id="3"/>
      </w:r>
      <w:r w:rsidRPr="00755E06">
        <w:t xml:space="preserve">  In Order No. 693, the Commission</w:t>
      </w:r>
      <w:r w:rsidR="00015938" w:rsidRPr="00755E06">
        <w:t xml:space="preserve"> </w:t>
      </w:r>
      <w:r w:rsidR="00695528" w:rsidRPr="00755E06">
        <w:t>approv</w:t>
      </w:r>
      <w:r w:rsidR="00015938" w:rsidRPr="00755E06">
        <w:t>ed</w:t>
      </w:r>
      <w:r w:rsidRPr="00755E06">
        <w:t xml:space="preserve"> 83 </w:t>
      </w:r>
      <w:r w:rsidR="006A27A1" w:rsidRPr="00755E06">
        <w:t xml:space="preserve">of 107 proposed </w:t>
      </w:r>
      <w:r w:rsidR="00435BCE" w:rsidRPr="00755E06">
        <w:t>Reliability S</w:t>
      </w:r>
      <w:r w:rsidRPr="00755E06">
        <w:t xml:space="preserve">tandards </w:t>
      </w:r>
      <w:r w:rsidR="00435BCE" w:rsidRPr="00755E06">
        <w:t>submitted by NERC</w:t>
      </w:r>
      <w:r w:rsidR="00015938" w:rsidRPr="00755E06">
        <w:t xml:space="preserve">, </w:t>
      </w:r>
      <w:r w:rsidR="00015938" w:rsidRPr="00755E06">
        <w:lastRenderedPageBreak/>
        <w:t xml:space="preserve">including </w:t>
      </w:r>
      <w:r w:rsidR="00BB2E89">
        <w:t xml:space="preserve">the original </w:t>
      </w:r>
      <w:r w:rsidR="00503061">
        <w:t>Transmission Operations (</w:t>
      </w:r>
      <w:r w:rsidR="00BB2E89">
        <w:t>TOP</w:t>
      </w:r>
      <w:r w:rsidR="00503061">
        <w:t>)</w:t>
      </w:r>
      <w:r w:rsidR="00BB2E89">
        <w:t xml:space="preserve"> and </w:t>
      </w:r>
      <w:r w:rsidR="00503061">
        <w:t xml:space="preserve">Interconnection </w:t>
      </w:r>
      <w:r w:rsidR="00B1684A">
        <w:t>Reliability</w:t>
      </w:r>
      <w:r w:rsidR="00503061">
        <w:t xml:space="preserve"> Operations and Coordination (</w:t>
      </w:r>
      <w:r w:rsidR="00BB2E89">
        <w:t>IRO</w:t>
      </w:r>
      <w:r w:rsidR="00503061">
        <w:t>)</w:t>
      </w:r>
      <w:r w:rsidR="00BB2E89">
        <w:t xml:space="preserve"> Reliability Standards. </w:t>
      </w:r>
      <w:r w:rsidR="006C5809">
        <w:t xml:space="preserve"> </w:t>
      </w:r>
      <w:r w:rsidR="00570986">
        <w:t xml:space="preserve">The Commission also </w:t>
      </w:r>
      <w:r w:rsidR="006C5809">
        <w:t xml:space="preserve">directed </w:t>
      </w:r>
      <w:r w:rsidR="00570986">
        <w:t xml:space="preserve">NERC to address </w:t>
      </w:r>
      <w:r w:rsidR="006C5809">
        <w:t xml:space="preserve">issues </w:t>
      </w:r>
      <w:r w:rsidR="00570986">
        <w:t>with respect to the TOP and IRO Reliability Standards</w:t>
      </w:r>
      <w:r w:rsidR="006C5809">
        <w:t xml:space="preserve"> regarding monitoring and analysis capabilities</w:t>
      </w:r>
      <w:r w:rsidR="00570986">
        <w:t xml:space="preserve">.  </w:t>
      </w:r>
    </w:p>
    <w:p w14:paraId="088C4492" w14:textId="24205394" w:rsidR="00872C27" w:rsidRDefault="00872C27" w:rsidP="00872C27">
      <w:pPr>
        <w:pStyle w:val="FERCparanumber"/>
        <w:spacing w:before="100" w:beforeAutospacing="1"/>
      </w:pPr>
      <w:r>
        <w:t xml:space="preserve">NERC </w:t>
      </w:r>
      <w:r w:rsidR="00351365">
        <w:t>contends</w:t>
      </w:r>
      <w:r w:rsidR="006C5809">
        <w:t xml:space="preserve"> </w:t>
      </w:r>
      <w:r>
        <w:t xml:space="preserve">that the </w:t>
      </w:r>
      <w:r w:rsidR="00393B15">
        <w:t xml:space="preserve">proposed </w:t>
      </w:r>
      <w:r>
        <w:t>Reliability Standards address</w:t>
      </w:r>
      <w:r w:rsidR="006C5809">
        <w:t xml:space="preserve">:  (1) the </w:t>
      </w:r>
      <w:r w:rsidR="0093548A">
        <w:br/>
      </w:r>
      <w:r w:rsidR="006C5809">
        <w:t>directives in</w:t>
      </w:r>
      <w:r>
        <w:t xml:space="preserve"> Order No. 693 requiring </w:t>
      </w:r>
      <w:r w:rsidR="00043922">
        <w:t xml:space="preserve">operators to </w:t>
      </w:r>
      <w:r w:rsidR="001B4DCF">
        <w:t>have</w:t>
      </w:r>
      <w:r w:rsidR="00043922">
        <w:t xml:space="preserve"> </w:t>
      </w:r>
      <w:r>
        <w:t>a minimum set of capabilities</w:t>
      </w:r>
      <w:r w:rsidR="006C5809">
        <w:t xml:space="preserve">; </w:t>
      </w:r>
      <w:r w:rsidR="0093548A">
        <w:br/>
      </w:r>
      <w:r w:rsidR="006C5809">
        <w:t>(2)</w:t>
      </w:r>
      <w:r>
        <w:t xml:space="preserve"> recommendations </w:t>
      </w:r>
      <w:r w:rsidR="006C5809">
        <w:t xml:space="preserve">contained in the </w:t>
      </w:r>
      <w:r>
        <w:t xml:space="preserve">NERC Operating Committee Real-time Tools Best Practices Task Force </w:t>
      </w:r>
      <w:r w:rsidR="0057317C">
        <w:t xml:space="preserve">Report </w:t>
      </w:r>
      <w:r w:rsidR="00043922">
        <w:t>published in 2008</w:t>
      </w:r>
      <w:r w:rsidR="006C5809">
        <w:t xml:space="preserve">; and </w:t>
      </w:r>
      <w:r w:rsidR="00413969">
        <w:t xml:space="preserve">(3) </w:t>
      </w:r>
      <w:r w:rsidR="006C5809">
        <w:t>a recommendation from the joint Commission</w:t>
      </w:r>
      <w:r w:rsidR="00413969">
        <w:t>-</w:t>
      </w:r>
      <w:r w:rsidR="006C5809">
        <w:t>NERC report on the 2011 Arizona-Southern California outage</w:t>
      </w:r>
      <w:r w:rsidR="00043922">
        <w:t>.</w:t>
      </w:r>
      <w:r>
        <w:t xml:space="preserve">  NERC explains </w:t>
      </w:r>
      <w:r w:rsidR="00351365">
        <w:t>that it developed the proposed Reliability Standards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operators may take appropriate steps to protect reliability</w:t>
      </w:r>
      <w:r w:rsidR="001B4DCF">
        <w:t xml:space="preserve">.  </w:t>
      </w:r>
      <w:r>
        <w:t xml:space="preserve">NERC </w:t>
      </w:r>
      <w:r w:rsidR="001B4DCF">
        <w:t xml:space="preserve">states that </w:t>
      </w:r>
      <w:r w:rsidR="00570986">
        <w:t>the 2003 Blackout Report identified inadequate situational awareness as one of t</w:t>
      </w:r>
      <w:r>
        <w:t>he key causes of th</w:t>
      </w:r>
      <w:r w:rsidR="00043922">
        <w:t>at</w:t>
      </w:r>
      <w:r>
        <w:t xml:space="preserve"> blackout</w:t>
      </w:r>
      <w:r w:rsidR="00043922">
        <w:t xml:space="preserve">, leading </w:t>
      </w:r>
      <w:r w:rsidR="00351365">
        <w:t xml:space="preserve">to </w:t>
      </w:r>
      <w:r w:rsidR="001B4DCF">
        <w:t>a r</w:t>
      </w:r>
      <w:r w:rsidR="00570986">
        <w:t xml:space="preserve">ecommendation </w:t>
      </w:r>
      <w:r w:rsidR="001B4DCF">
        <w:t xml:space="preserve">(Recommendation </w:t>
      </w:r>
      <w:r w:rsidR="00570986">
        <w:t>22</w:t>
      </w:r>
      <w:r w:rsidR="001B4DCF">
        <w:t xml:space="preserve">) </w:t>
      </w:r>
      <w:r w:rsidR="00043922">
        <w:t xml:space="preserve">for </w:t>
      </w:r>
      <w:r w:rsidR="00351365">
        <w:t>the</w:t>
      </w:r>
      <w:r w:rsidR="00043922">
        <w:t xml:space="preserve"> </w:t>
      </w:r>
      <w:r w:rsidR="00570986">
        <w:t>evaluat</w:t>
      </w:r>
      <w:r w:rsidR="00043922">
        <w:t xml:space="preserve">ion of existing </w:t>
      </w:r>
      <w:r w:rsidR="00570986">
        <w:t>and adopt</w:t>
      </w:r>
      <w:r w:rsidR="00043922">
        <w:t xml:space="preserve">ion of new </w:t>
      </w:r>
      <w:r w:rsidR="001D4D9E">
        <w:t xml:space="preserve">and </w:t>
      </w:r>
      <w:r w:rsidR="00570986">
        <w:t xml:space="preserve">better real-time tools for </w:t>
      </w:r>
      <w:r w:rsidR="000E232D">
        <w:t xml:space="preserve">transmission </w:t>
      </w:r>
      <w:r w:rsidR="00570986">
        <w:t xml:space="preserve">operators and reliability coordinators.  </w:t>
      </w:r>
      <w:r w:rsidR="005915CA">
        <w:t>NERC adds that a recommendation</w:t>
      </w:r>
      <w:r w:rsidR="00383C19">
        <w:t xml:space="preserve"> (Recommendation 12)</w:t>
      </w:r>
      <w:r w:rsidR="005915CA">
        <w:t xml:space="preserve"> from the joint report on the 2011 Arizona-Southern California outage </w:t>
      </w:r>
      <w:r w:rsidR="00383C19">
        <w:t>provided that entities “should take measures to ensure their real-time tools are adequate, operational, and run frequently enough to provide their operators the situational awareness necessary to identify and plan for contingencies and reliably operate their systems.”</w:t>
      </w:r>
    </w:p>
    <w:p w14:paraId="6B13A58A" w14:textId="07332013" w:rsidR="00351365" w:rsidRDefault="00C824F7" w:rsidP="007A1B26">
      <w:pPr>
        <w:pStyle w:val="FERCparanumber"/>
        <w:spacing w:before="100" w:beforeAutospacing="1"/>
      </w:pPr>
      <w:r w:rsidRPr="00755E06">
        <w:t xml:space="preserve">NERC </w:t>
      </w:r>
      <w:r w:rsidR="00872C27">
        <w:t xml:space="preserve">states that, while </w:t>
      </w:r>
      <w:r w:rsidR="00684F24">
        <w:t xml:space="preserve">existing Reliability Standards contain requirements to perform monitoring and </w:t>
      </w:r>
      <w:r w:rsidR="00872C27">
        <w:t>r</w:t>
      </w:r>
      <w:r w:rsidR="00684F24">
        <w:t xml:space="preserve">eal-time </w:t>
      </w:r>
      <w:r w:rsidR="00872C27">
        <w:t>a</w:t>
      </w:r>
      <w:r w:rsidR="00684F24">
        <w:t>ssessments</w:t>
      </w:r>
      <w:r w:rsidR="00872C27">
        <w:t xml:space="preserve">, </w:t>
      </w:r>
      <w:r w:rsidR="00351365">
        <w:t>proposed</w:t>
      </w:r>
      <w:r w:rsidR="00872C27">
        <w:t xml:space="preserve"> </w:t>
      </w:r>
      <w:r w:rsidR="00684F24">
        <w:t>Reliability Standards IRO-018-1</w:t>
      </w:r>
      <w:r w:rsidR="00351365">
        <w:t xml:space="preserve"> and</w:t>
      </w:r>
      <w:r w:rsidR="00684F24">
        <w:t xml:space="preserve"> TOP-010-</w:t>
      </w:r>
      <w:r w:rsidR="00351365">
        <w:t>1</w:t>
      </w:r>
      <w:r w:rsidR="00684F24">
        <w:t xml:space="preserve"> build</w:t>
      </w:r>
      <w:r w:rsidR="00351365">
        <w:t xml:space="preserve"> </w:t>
      </w:r>
      <w:r w:rsidR="00684F24">
        <w:t>on these requirements to support effective situational awareness</w:t>
      </w:r>
      <w:r w:rsidR="00130179">
        <w:t xml:space="preserve">.  </w:t>
      </w:r>
      <w:r w:rsidR="00351365">
        <w:t>NERC explains that the proposed Reliability Standards accomplish this by</w:t>
      </w:r>
      <w:r w:rsidR="00450F2C">
        <w:t xml:space="preserve"> requiring applicable entities</w:t>
      </w:r>
      <w:r w:rsidR="00383C19">
        <w:t xml:space="preserve"> to</w:t>
      </w:r>
      <w:r w:rsidR="00351365">
        <w:t>:  (1) provide notification to operators of real-time monitoring alarm failures; (2)</w:t>
      </w:r>
      <w:r w:rsidR="00450F2C">
        <w:t xml:space="preserve"> provide</w:t>
      </w:r>
      <w:r w:rsidR="00351365">
        <w:t xml:space="preserve"> operators with indications of the quality of information being provided by their monitoring and analysis capabilities; and (3)</w:t>
      </w:r>
      <w:r w:rsidR="00383C19">
        <w:t xml:space="preserve"> </w:t>
      </w:r>
      <w:r w:rsidR="00450F2C">
        <w:t>address</w:t>
      </w:r>
      <w:r w:rsidR="00351365">
        <w:t xml:space="preserve"> deficiencies in </w:t>
      </w:r>
      <w:r w:rsidR="0093548A">
        <w:br/>
      </w:r>
      <w:r w:rsidR="00351365">
        <w:t xml:space="preserve">the quality </w:t>
      </w:r>
      <w:r w:rsidR="00450F2C">
        <w:t>of information being provided by their monitoring and analysis capabilities.</w:t>
      </w:r>
    </w:p>
    <w:p w14:paraId="0BD96A29" w14:textId="5A1EF056" w:rsidR="00450F2C" w:rsidRDefault="00872C27" w:rsidP="00450F2C">
      <w:pPr>
        <w:pStyle w:val="FERCparanumber"/>
        <w:spacing w:before="100" w:beforeAutospacing="1"/>
      </w:pPr>
      <w:r>
        <w:t xml:space="preserve">Specifically, </w:t>
      </w:r>
      <w:r w:rsidR="00216963">
        <w:t xml:space="preserve">NERC states that </w:t>
      </w:r>
      <w:r w:rsidR="00450F2C">
        <w:t xml:space="preserve">proposed Reliability Standards IRO-018-1, Requirement R3 and TOP-010-1, Requirement R4 address situational awareness objectives by providing for operator awareness when key alarming tools are not performing as intended.  Proposed Reliability Standard IRO-018-1, Requirement R3 requires reliability coordinators to have an alarm process monitor that provides notification to system operators when the failure of a real-time monitoring alarm processor has occurred.  Proposed Reliability Standard TOP-010-1, Requirement R4 contains an identical requirement applicable to transmission operators and balancing authorities. </w:t>
      </w:r>
    </w:p>
    <w:p w14:paraId="2DE30A00" w14:textId="34C5FCC2" w:rsidR="00413969" w:rsidRDefault="00216963" w:rsidP="00413969">
      <w:pPr>
        <w:pStyle w:val="FERCparanumber"/>
        <w:spacing w:before="100" w:beforeAutospacing="1"/>
      </w:pPr>
      <w:r>
        <w:lastRenderedPageBreak/>
        <w:t>In addition, NERC states that p</w:t>
      </w:r>
      <w:r w:rsidR="00351365">
        <w:t xml:space="preserve">roposed </w:t>
      </w:r>
      <w:r w:rsidR="00872C27">
        <w:t xml:space="preserve">Reliability Standard </w:t>
      </w:r>
      <w:r w:rsidR="00684F24">
        <w:t>IRO-018-1</w:t>
      </w:r>
      <w:r w:rsidR="006575F3">
        <w:t>,</w:t>
      </w:r>
      <w:r w:rsidR="00684F24">
        <w:t xml:space="preserve"> Requirement </w:t>
      </w:r>
      <w:r w:rsidR="00136C75">
        <w:t>R1</w:t>
      </w:r>
      <w:r w:rsidR="00684F24">
        <w:t xml:space="preserve"> </w:t>
      </w:r>
      <w:r w:rsidR="00684F24" w:rsidRPr="00413969">
        <w:t xml:space="preserve">obligates </w:t>
      </w:r>
      <w:r w:rsidR="00047885" w:rsidRPr="00413969">
        <w:t xml:space="preserve">each </w:t>
      </w:r>
      <w:r w:rsidR="00684F24" w:rsidRPr="00413969">
        <w:t>reliability coordinator to implement an operating process or procedure</w:t>
      </w:r>
      <w:r w:rsidR="00684F24">
        <w:t xml:space="preserve"> to address the quality of the real-time data necessary to perform its real-time monitoring and real-time assessments. </w:t>
      </w:r>
      <w:r w:rsidR="00872C27">
        <w:t xml:space="preserve"> </w:t>
      </w:r>
      <w:r w:rsidR="00351365">
        <w:t xml:space="preserve">Proposed </w:t>
      </w:r>
      <w:r w:rsidR="00684F24">
        <w:t>Reliability Standard TOP-010-1</w:t>
      </w:r>
      <w:r w:rsidR="006575F3">
        <w:t>,</w:t>
      </w:r>
      <w:r w:rsidR="00684F24">
        <w:t xml:space="preserve"> Requirement R1 contains identical requirements applicable to transmission operators</w:t>
      </w:r>
      <w:r w:rsidR="00413969">
        <w:t xml:space="preserve">; </w:t>
      </w:r>
      <w:r w:rsidR="00684F24">
        <w:t xml:space="preserve">Requirement R2 requires the same of balancing authorities.  </w:t>
      </w:r>
    </w:p>
    <w:p w14:paraId="33C63992" w14:textId="2E3B9A5D" w:rsidR="00600425" w:rsidRPr="00413969" w:rsidRDefault="005A6FE0" w:rsidP="00413969">
      <w:pPr>
        <w:pStyle w:val="FERCparanumber"/>
        <w:spacing w:before="100" w:beforeAutospacing="1"/>
      </w:pPr>
      <w:r>
        <w:t xml:space="preserve">Further, </w:t>
      </w:r>
      <w:r w:rsidR="00216963">
        <w:t xml:space="preserve">NERC explains that </w:t>
      </w:r>
      <w:r w:rsidR="00684F24">
        <w:t>Reliability Standards IRO-018-1</w:t>
      </w:r>
      <w:r w:rsidR="006575F3">
        <w:t>,</w:t>
      </w:r>
      <w:r w:rsidR="00684F24">
        <w:t xml:space="preserve"> Requirement R2 and TOP-010-1</w:t>
      </w:r>
      <w:r w:rsidR="006575F3">
        <w:t>,</w:t>
      </w:r>
      <w:r w:rsidR="00684F24">
        <w:t xml:space="preserve"> Requirement R3 ensure that </w:t>
      </w:r>
      <w:r w:rsidR="00130179">
        <w:t>r</w:t>
      </w:r>
      <w:r w:rsidR="00684F24">
        <w:t xml:space="preserve">eliability </w:t>
      </w:r>
      <w:r w:rsidR="00130179">
        <w:t>c</w:t>
      </w:r>
      <w:r w:rsidR="00684F24">
        <w:t xml:space="preserve">oordinators and </w:t>
      </w:r>
      <w:r w:rsidR="00130179">
        <w:t>t</w:t>
      </w:r>
      <w:r w:rsidR="00684F24">
        <w:t xml:space="preserve">ransmission </w:t>
      </w:r>
      <w:r w:rsidR="00130179">
        <w:t>o</w:t>
      </w:r>
      <w:r w:rsidR="00684F24">
        <w:t>perators</w:t>
      </w:r>
      <w:r w:rsidR="00DC4061">
        <w:t>, respectively,</w:t>
      </w:r>
      <w:r w:rsidR="00684F24">
        <w:t xml:space="preserve"> implement </w:t>
      </w:r>
      <w:r w:rsidR="00130179">
        <w:t>o</w:t>
      </w:r>
      <w:r w:rsidR="00684F24">
        <w:t xml:space="preserve">perating </w:t>
      </w:r>
      <w:r w:rsidR="00130179">
        <w:t>p</w:t>
      </w:r>
      <w:r w:rsidR="00684F24">
        <w:t xml:space="preserve">rocesses or </w:t>
      </w:r>
      <w:r w:rsidR="00130179">
        <w:t>p</w:t>
      </w:r>
      <w:r w:rsidR="00684F24">
        <w:t>rocedures to address issues related to the q</w:t>
      </w:r>
      <w:r w:rsidR="00130179">
        <w:t>uality of the analysis used in r</w:t>
      </w:r>
      <w:r w:rsidR="00684F24">
        <w:t xml:space="preserve">eal-time </w:t>
      </w:r>
      <w:r w:rsidR="00130179">
        <w:t>assessments</w:t>
      </w:r>
      <w:r w:rsidR="00413969">
        <w:t>.</w:t>
      </w:r>
    </w:p>
    <w:p w14:paraId="41697FED" w14:textId="01B554CA" w:rsidR="00600425" w:rsidRPr="00413969" w:rsidRDefault="00600425" w:rsidP="00684F24">
      <w:pPr>
        <w:pStyle w:val="FERCparanumber"/>
        <w:spacing w:before="100" w:beforeAutospacing="1"/>
      </w:pPr>
      <w:r>
        <w:t>NERC submits that proposed Reliabili</w:t>
      </w:r>
      <w:r w:rsidR="006575F3">
        <w:t>ty Standards IRO-018-1 and TOP-</w:t>
      </w:r>
      <w:r>
        <w:t xml:space="preserve">010-1, together with other currently-effective and Commission-approved IRO and TOP Reliability Standards address the </w:t>
      </w:r>
      <w:r w:rsidR="005C7E51">
        <w:t xml:space="preserve">relevant </w:t>
      </w:r>
      <w:r>
        <w:t xml:space="preserve">reliability concerns underlying the Commission’s </w:t>
      </w:r>
      <w:r w:rsidR="007A1B26">
        <w:t xml:space="preserve">Order No. 693 </w:t>
      </w:r>
      <w:r w:rsidRPr="00413969">
        <w:t>directives</w:t>
      </w:r>
      <w:r w:rsidR="00C672A7" w:rsidRPr="00413969">
        <w:t xml:space="preserve"> requiring operators to have a minimum set </w:t>
      </w:r>
      <w:r w:rsidR="0093548A">
        <w:br/>
      </w:r>
      <w:r w:rsidR="00C672A7" w:rsidRPr="00413969">
        <w:t>of capabilities</w:t>
      </w:r>
      <w:r w:rsidRPr="00413969">
        <w:t>.</w:t>
      </w:r>
      <w:r w:rsidR="005A6FE0">
        <w:t xml:space="preserve">  NERC’s implementation plan provides that </w:t>
      </w:r>
      <w:r w:rsidR="005A6FE0" w:rsidRPr="0096444A">
        <w:t xml:space="preserve">the proposed Reliability Standards would become effective the first day of the first calendar quarter that is </w:t>
      </w:r>
      <w:r w:rsidR="0093548A">
        <w:br/>
      </w:r>
      <w:r w:rsidR="005A6FE0" w:rsidRPr="0096444A">
        <w:t xml:space="preserve">18 months following </w:t>
      </w:r>
      <w:r w:rsidR="005A6FE0">
        <w:t>Commission approval</w:t>
      </w:r>
      <w:r w:rsidR="005A6FE0" w:rsidRPr="0096444A">
        <w:t>.</w:t>
      </w:r>
    </w:p>
    <w:p w14:paraId="2F5BE096" w14:textId="3F5AE435" w:rsidR="00C824F7" w:rsidRPr="00755E06" w:rsidRDefault="00B2753C" w:rsidP="00684F24">
      <w:pPr>
        <w:pStyle w:val="FERCparanumber"/>
        <w:numPr>
          <w:ilvl w:val="0"/>
          <w:numId w:val="0"/>
        </w:numPr>
        <w:spacing w:before="100" w:beforeAutospacing="1"/>
      </w:pPr>
      <w:r>
        <w:rPr>
          <w:b/>
        </w:rPr>
        <w:t>I</w:t>
      </w:r>
      <w:r w:rsidR="00C824F7" w:rsidRPr="00755E06">
        <w:rPr>
          <w:b/>
        </w:rPr>
        <w:t>I.</w:t>
      </w:r>
      <w:r w:rsidR="00C824F7" w:rsidRPr="00755E06">
        <w:tab/>
      </w:r>
      <w:r w:rsidR="00C824F7" w:rsidRPr="00755E06">
        <w:rPr>
          <w:b/>
          <w:u w:val="single"/>
        </w:rPr>
        <w:t>Notice of Filing and Responsive Pleading</w:t>
      </w:r>
    </w:p>
    <w:p w14:paraId="72C39C5A" w14:textId="7150970C" w:rsidR="00C824F7" w:rsidRPr="00755E06" w:rsidRDefault="00C824F7" w:rsidP="00C824F7">
      <w:pPr>
        <w:pStyle w:val="FERCparanumber"/>
        <w:spacing w:before="100" w:beforeAutospacing="1"/>
      </w:pPr>
      <w:r w:rsidRPr="00755E06">
        <w:t xml:space="preserve">Notice of NERC’s Petition was published on </w:t>
      </w:r>
      <w:r w:rsidR="007A1B26">
        <w:t>June 8, 2016</w:t>
      </w:r>
      <w:r w:rsidRPr="00755E06">
        <w:t xml:space="preserve"> in the </w:t>
      </w:r>
      <w:r w:rsidRPr="00755E06">
        <w:rPr>
          <w:i/>
        </w:rPr>
        <w:t xml:space="preserve">Federal Register, </w:t>
      </w:r>
      <w:r w:rsidR="00713235" w:rsidRPr="00211B00">
        <w:t>8</w:t>
      </w:r>
      <w:r w:rsidR="00713235">
        <w:t>1</w:t>
      </w:r>
      <w:r w:rsidR="00713235" w:rsidRPr="00DA1077">
        <w:t xml:space="preserve"> Fed. Reg. </w:t>
      </w:r>
      <w:r w:rsidR="00713235">
        <w:t>36,910</w:t>
      </w:r>
      <w:r w:rsidR="00713235" w:rsidRPr="00DA1077">
        <w:t xml:space="preserve"> (201</w:t>
      </w:r>
      <w:r w:rsidR="00713235">
        <w:t>6</w:t>
      </w:r>
      <w:r w:rsidR="00713235" w:rsidRPr="00DA1077">
        <w:t>)</w:t>
      </w:r>
      <w:r w:rsidR="00713235">
        <w:t xml:space="preserve">, </w:t>
      </w:r>
      <w:r w:rsidRPr="00755E06">
        <w:t>with comments, protests and motions to intervene due on or before</w:t>
      </w:r>
      <w:r w:rsidR="00D9275E">
        <w:t xml:space="preserve"> June 22, 2016</w:t>
      </w:r>
      <w:r w:rsidRPr="00755E06">
        <w:rPr>
          <w:szCs w:val="26"/>
        </w:rPr>
        <w:t xml:space="preserve">.  Dominion Resources Services, Inc. (Dominion) filed a timely motion to intervene.  </w:t>
      </w:r>
    </w:p>
    <w:p w14:paraId="55521BEF" w14:textId="5806D773" w:rsidR="00C824F7" w:rsidRPr="00755E06" w:rsidRDefault="00B2753C">
      <w:pPr>
        <w:pStyle w:val="Heading1"/>
        <w:spacing w:before="100" w:beforeAutospacing="1" w:after="100" w:afterAutospacing="1"/>
      </w:pPr>
      <w:r>
        <w:rPr>
          <w:u w:val="none"/>
        </w:rPr>
        <w:t>III</w:t>
      </w:r>
      <w:r w:rsidR="00C824F7" w:rsidRPr="00755E06">
        <w:rPr>
          <w:u w:val="none"/>
        </w:rPr>
        <w:t>.</w:t>
      </w:r>
      <w:r w:rsidR="00C824F7" w:rsidRPr="00755E06">
        <w:rPr>
          <w:u w:val="none"/>
        </w:rPr>
        <w:tab/>
      </w:r>
      <w:r w:rsidR="00C824F7" w:rsidRPr="00755E06">
        <w:t xml:space="preserve">Discussion </w:t>
      </w:r>
    </w:p>
    <w:p w14:paraId="4A0687C0" w14:textId="3BBF8E16" w:rsidR="00C824F7" w:rsidRPr="00755E06" w:rsidRDefault="00C824F7">
      <w:pPr>
        <w:pStyle w:val="FERCparanumber"/>
        <w:spacing w:before="100" w:beforeAutospacing="1" w:after="100" w:afterAutospacing="1"/>
      </w:pPr>
      <w:r w:rsidRPr="00755E06">
        <w:rPr>
          <w:szCs w:val="26"/>
        </w:rPr>
        <w:t>Pursuant to Rule 214 of the Commission</w:t>
      </w:r>
      <w:r w:rsidR="006C5809">
        <w:rPr>
          <w:szCs w:val="26"/>
        </w:rPr>
        <w:t>’</w:t>
      </w:r>
      <w:r w:rsidRPr="00755E06">
        <w:rPr>
          <w:szCs w:val="26"/>
        </w:rPr>
        <w:t>s Rules of Practice and Procedure,         18 C.F.R. § 385.214 (201</w:t>
      </w:r>
      <w:r w:rsidR="007A1B26">
        <w:rPr>
          <w:szCs w:val="26"/>
        </w:rPr>
        <w:t>6</w:t>
      </w:r>
      <w:r w:rsidRPr="00755E06">
        <w:rPr>
          <w:szCs w:val="26"/>
        </w:rPr>
        <w:t xml:space="preserve">), the timely motion to intervene filed by Dominion serves to make it a party to this proceeding.  </w:t>
      </w:r>
    </w:p>
    <w:p w14:paraId="7792A81D" w14:textId="04C15A7D" w:rsidR="00C824F7" w:rsidRPr="00755E06" w:rsidRDefault="00C824F7">
      <w:pPr>
        <w:pStyle w:val="Heading2"/>
        <w:spacing w:before="100" w:beforeAutospacing="1" w:after="100" w:afterAutospacing="1"/>
        <w:ind w:left="1430" w:hanging="710"/>
      </w:pPr>
      <w:r w:rsidRPr="00755E06">
        <w:rPr>
          <w:u w:val="none"/>
        </w:rPr>
        <w:t>A.</w:t>
      </w:r>
      <w:r w:rsidRPr="00755E06">
        <w:rPr>
          <w:u w:val="none"/>
        </w:rPr>
        <w:tab/>
      </w:r>
      <w:r w:rsidRPr="00755E06">
        <w:t>Reliability Standard</w:t>
      </w:r>
      <w:r w:rsidR="00130179">
        <w:t>s IRO-018</w:t>
      </w:r>
      <w:r w:rsidR="00600425">
        <w:t>-1 and TOP-010-1</w:t>
      </w:r>
    </w:p>
    <w:p w14:paraId="2499BD8E" w14:textId="2482754B" w:rsidR="00C824F7" w:rsidRPr="00AE10D7" w:rsidRDefault="00636236" w:rsidP="00CE63A0">
      <w:pPr>
        <w:pStyle w:val="FERCparanumber"/>
        <w:spacing w:before="100" w:beforeAutospacing="1"/>
        <w:rPr>
          <w:szCs w:val="26"/>
        </w:rPr>
      </w:pPr>
      <w:r>
        <w:t>Pursuant to section 215(d</w:t>
      </w:r>
      <w:proofErr w:type="gramStart"/>
      <w:r>
        <w:t>)(</w:t>
      </w:r>
      <w:proofErr w:type="gramEnd"/>
      <w:r>
        <w:t>2) of the FPA, t</w:t>
      </w:r>
      <w:r w:rsidR="00FF1A40">
        <w:t xml:space="preserve">he Commission </w:t>
      </w:r>
      <w:r w:rsidR="00C824F7" w:rsidRPr="00755E06">
        <w:t>approve</w:t>
      </w:r>
      <w:r w:rsidR="00FF1A40">
        <w:t>s</w:t>
      </w:r>
      <w:r w:rsidR="00C824F7" w:rsidRPr="00755E06">
        <w:t xml:space="preserve"> Reliability Standard</w:t>
      </w:r>
      <w:r w:rsidR="00130179">
        <w:t>s IRO-018</w:t>
      </w:r>
      <w:r w:rsidR="00600425">
        <w:t>-1 and TOP-010-1</w:t>
      </w:r>
      <w:r w:rsidR="009A6349">
        <w:t xml:space="preserve"> as</w:t>
      </w:r>
      <w:r w:rsidR="00600425">
        <w:t xml:space="preserve"> </w:t>
      </w:r>
      <w:r w:rsidR="009A6349">
        <w:t>jus</w:t>
      </w:r>
      <w:r w:rsidR="00C824F7" w:rsidRPr="00755E06">
        <w:t>t, reasonable, not unduly discriminatory or preferential and in the public interest</w:t>
      </w:r>
      <w:r>
        <w:t xml:space="preserve">. </w:t>
      </w:r>
      <w:r w:rsidR="00FF1A40">
        <w:t xml:space="preserve"> </w:t>
      </w:r>
      <w:r w:rsidR="009A6349" w:rsidRPr="00755E06">
        <w:t>Reliability Standard</w:t>
      </w:r>
      <w:r w:rsidR="009A6349">
        <w:t>s IRO-018-1 and TOP-010-1</w:t>
      </w:r>
      <w:r w:rsidR="006F3045">
        <w:t xml:space="preserve"> </w:t>
      </w:r>
      <w:r w:rsidR="00AE10D7">
        <w:t xml:space="preserve">improve real-time situational awareness capabilities and enhance reliable operations by requiring reliability coordinators, transmission operators, and balancing authorities to provide operators with </w:t>
      </w:r>
      <w:r w:rsidR="00392486">
        <w:t>a</w:t>
      </w:r>
      <w:r w:rsidR="002843F8">
        <w:t>n</w:t>
      </w:r>
      <w:r w:rsidR="00392486">
        <w:t xml:space="preserve"> improved </w:t>
      </w:r>
      <w:r w:rsidR="00AE10D7">
        <w:t xml:space="preserve">awareness of </w:t>
      </w:r>
      <w:r w:rsidR="00392486">
        <w:t xml:space="preserve">system conditions </w:t>
      </w:r>
      <w:r w:rsidR="00AE10D7">
        <w:t xml:space="preserve">analysis capabilities, including alarm availability, so that operators may take appropriate steps to </w:t>
      </w:r>
      <w:r w:rsidR="005B3057">
        <w:t xml:space="preserve">ensure </w:t>
      </w:r>
      <w:r w:rsidR="00AE10D7">
        <w:t xml:space="preserve">reliability.  </w:t>
      </w:r>
      <w:r w:rsidR="009A6349">
        <w:t>The Reliability S</w:t>
      </w:r>
      <w:r w:rsidR="00AE10D7">
        <w:t xml:space="preserve">tandards accomplish this by requiring </w:t>
      </w:r>
      <w:r w:rsidR="00392486">
        <w:t xml:space="preserve">that </w:t>
      </w:r>
      <w:r w:rsidR="00AE10D7">
        <w:t xml:space="preserve">applicable entities provide notification to operators of real-time </w:t>
      </w:r>
      <w:r w:rsidR="002843F8">
        <w:t xml:space="preserve">system awareness </w:t>
      </w:r>
      <w:r w:rsidR="001B4DCF">
        <w:t xml:space="preserve">and </w:t>
      </w:r>
      <w:r w:rsidR="00AE10D7">
        <w:t xml:space="preserve">monitoring alarm </w:t>
      </w:r>
      <w:r w:rsidR="00AE10D7">
        <w:lastRenderedPageBreak/>
        <w:t xml:space="preserve">failures. </w:t>
      </w:r>
      <w:r>
        <w:t xml:space="preserve"> </w:t>
      </w:r>
      <w:r w:rsidR="00AE10D7">
        <w:t xml:space="preserve">We agree with NERC that requiring applicable entities to implement operating processes or operating procedures </w:t>
      </w:r>
      <w:r w:rsidR="00216275">
        <w:t>governing</w:t>
      </w:r>
      <w:r w:rsidR="001B4DCF">
        <w:t xml:space="preserve"> </w:t>
      </w:r>
      <w:r w:rsidR="00392486">
        <w:t xml:space="preserve">the quality of the information </w:t>
      </w:r>
      <w:r w:rsidR="002843F8">
        <w:t xml:space="preserve">they are providing on </w:t>
      </w:r>
      <w:r w:rsidR="00EF566C">
        <w:t>monitoring and analysis</w:t>
      </w:r>
      <w:r w:rsidR="00EF566C" w:rsidRPr="00AE10D7">
        <w:t xml:space="preserve"> </w:t>
      </w:r>
      <w:r w:rsidR="00EF566C">
        <w:t xml:space="preserve">capabilities </w:t>
      </w:r>
      <w:r w:rsidR="00AE10D7">
        <w:t xml:space="preserve">will enhance reliability. </w:t>
      </w:r>
      <w:r w:rsidR="0059423B">
        <w:t xml:space="preserve"> </w:t>
      </w:r>
      <w:r w:rsidR="00AE10D7">
        <w:t>Further, w</w:t>
      </w:r>
      <w:r w:rsidR="001F5B19" w:rsidRPr="00755E06">
        <w:t xml:space="preserve">e determine that </w:t>
      </w:r>
      <w:r w:rsidR="007A1B26">
        <w:t>Reliability Standards</w:t>
      </w:r>
      <w:r w:rsidR="00FF1A40">
        <w:t xml:space="preserve"> IRO-018-1 and TOP-010-1, together with existing Commission-approved Reliability Standards,</w:t>
      </w:r>
      <w:r w:rsidR="007A1B26">
        <w:t xml:space="preserve"> </w:t>
      </w:r>
      <w:r w:rsidR="001F5B19" w:rsidRPr="00755E06">
        <w:t xml:space="preserve">adequately address the </w:t>
      </w:r>
      <w:r w:rsidR="00320F2E" w:rsidRPr="00755E06">
        <w:t xml:space="preserve">relevant </w:t>
      </w:r>
      <w:r w:rsidR="001F5B19" w:rsidRPr="00755E06">
        <w:t xml:space="preserve">directives </w:t>
      </w:r>
      <w:r w:rsidR="0093548A">
        <w:br/>
      </w:r>
      <w:r w:rsidR="001F5B19" w:rsidRPr="00755E06">
        <w:t>in Order No. 693.</w:t>
      </w:r>
      <w:r w:rsidR="00AE10D7">
        <w:t xml:space="preserve">  </w:t>
      </w:r>
      <w:r w:rsidR="002843F8">
        <w:t>W</w:t>
      </w:r>
      <w:r w:rsidR="00C824F7" w:rsidRPr="00755E06">
        <w:t xml:space="preserve">e </w:t>
      </w:r>
      <w:r w:rsidR="00FF1A40">
        <w:t xml:space="preserve">also approve NERC’s proposed </w:t>
      </w:r>
      <w:r w:rsidR="00FF1A40" w:rsidRPr="00755E06">
        <w:t>implementation plan</w:t>
      </w:r>
      <w:r w:rsidR="00FF1A40">
        <w:t>, violation severity levels and, with the exceptions discussed below, violation risk factors</w:t>
      </w:r>
      <w:r w:rsidR="00600425">
        <w:t xml:space="preserve">.  </w:t>
      </w:r>
    </w:p>
    <w:p w14:paraId="3909C914" w14:textId="42421E2E" w:rsidR="00C824F7" w:rsidRPr="00755E06" w:rsidRDefault="00C824F7">
      <w:pPr>
        <w:pStyle w:val="Heading2"/>
        <w:rPr>
          <w:u w:val="none"/>
        </w:rPr>
      </w:pPr>
      <w:r w:rsidRPr="00755E06">
        <w:rPr>
          <w:u w:val="none"/>
        </w:rPr>
        <w:t>B.</w:t>
      </w:r>
      <w:r w:rsidRPr="00755E06">
        <w:rPr>
          <w:u w:val="none"/>
        </w:rPr>
        <w:tab/>
      </w:r>
      <w:r w:rsidRPr="00755E06">
        <w:t>Violation Risk Factors</w:t>
      </w:r>
    </w:p>
    <w:p w14:paraId="00D425EE" w14:textId="79939A5D" w:rsidR="00C75C8B" w:rsidRDefault="008C13B1" w:rsidP="00F808A6">
      <w:pPr>
        <w:pStyle w:val="FERCparanumber"/>
        <w:spacing w:before="100"/>
        <w:rPr>
          <w:szCs w:val="26"/>
        </w:rPr>
      </w:pPr>
      <w:r w:rsidRPr="00D70D45">
        <w:rPr>
          <w:szCs w:val="26"/>
        </w:rPr>
        <w:t>O</w:t>
      </w:r>
      <w:r w:rsidR="00F17E54" w:rsidRPr="00D70D45">
        <w:rPr>
          <w:szCs w:val="26"/>
        </w:rPr>
        <w:t xml:space="preserve">n </w:t>
      </w:r>
      <w:r w:rsidRPr="00D70D45">
        <w:rPr>
          <w:szCs w:val="26"/>
        </w:rPr>
        <w:t>May 18, 2007</w:t>
      </w:r>
      <w:r w:rsidR="00F17E54" w:rsidRPr="00D70D45">
        <w:rPr>
          <w:szCs w:val="26"/>
        </w:rPr>
        <w:t xml:space="preserve">, the Commission established guidelines for determining whether to approve </w:t>
      </w:r>
      <w:r w:rsidR="00C267BD">
        <w:rPr>
          <w:szCs w:val="26"/>
        </w:rPr>
        <w:t>violation risk factors</w:t>
      </w:r>
      <w:r w:rsidR="00F17E54" w:rsidRPr="00D70D45">
        <w:rPr>
          <w:szCs w:val="26"/>
        </w:rPr>
        <w:t xml:space="preserve"> proposed by NERC.</w:t>
      </w:r>
      <w:r w:rsidR="00DB6D7E" w:rsidRPr="00755E06">
        <w:rPr>
          <w:rStyle w:val="FootnoteReference"/>
        </w:rPr>
        <w:footnoteReference w:id="4"/>
      </w:r>
      <w:r w:rsidR="00F17E54" w:rsidRPr="00D70D45">
        <w:rPr>
          <w:szCs w:val="26"/>
        </w:rPr>
        <w:t xml:space="preserve">  </w:t>
      </w:r>
      <w:r w:rsidR="00C75C8B">
        <w:rPr>
          <w:szCs w:val="26"/>
        </w:rPr>
        <w:t xml:space="preserve">The Commission identified the following </w:t>
      </w:r>
      <w:r w:rsidR="001842ED">
        <w:rPr>
          <w:szCs w:val="26"/>
        </w:rPr>
        <w:t>five factors</w:t>
      </w:r>
      <w:r w:rsidR="00C75C8B">
        <w:rPr>
          <w:szCs w:val="26"/>
        </w:rPr>
        <w:t xml:space="preserve"> for evaluating violation risk factors:  </w:t>
      </w:r>
      <w:r w:rsidR="00C75C8B">
        <w:t>(1) consistency with the conclusions of the 2003 Blackout Report; (2) consistency within a Reliability Standard, (3) consistency among Reliability Standards with similar requirements; (4) consistency with NERC’s definition of the violation risk factor level; and (5) assignment of violation risk factor levels to those requirements in certain Reliability Standards that co-mingle a higher risk reliability objective and a lower risk reliability objective.</w:t>
      </w:r>
      <w:r w:rsidR="00C75C8B">
        <w:rPr>
          <w:rStyle w:val="FootnoteReference"/>
        </w:rPr>
        <w:footnoteReference w:id="5"/>
      </w:r>
    </w:p>
    <w:p w14:paraId="08902D48" w14:textId="50E30694" w:rsidR="00F463DE" w:rsidRPr="00211B00" w:rsidRDefault="00C824F7" w:rsidP="00F808A6">
      <w:pPr>
        <w:pStyle w:val="FERCparanumber"/>
        <w:spacing w:before="100"/>
        <w:rPr>
          <w:szCs w:val="26"/>
        </w:rPr>
      </w:pPr>
      <w:r w:rsidRPr="00F808A6">
        <w:rPr>
          <w:szCs w:val="26"/>
        </w:rPr>
        <w:t xml:space="preserve">NERC </w:t>
      </w:r>
      <w:r w:rsidR="00C267BD">
        <w:rPr>
          <w:szCs w:val="26"/>
        </w:rPr>
        <w:t>contends that it is appropriate</w:t>
      </w:r>
      <w:r w:rsidR="001842ED">
        <w:rPr>
          <w:szCs w:val="26"/>
        </w:rPr>
        <w:t>, under the Commission’s guidelines,</w:t>
      </w:r>
      <w:r w:rsidR="00C267BD">
        <w:rPr>
          <w:szCs w:val="26"/>
        </w:rPr>
        <w:t xml:space="preserve"> to assign</w:t>
      </w:r>
      <w:r w:rsidR="00F808A6">
        <w:t xml:space="preserve"> “medium” </w:t>
      </w:r>
      <w:r w:rsidR="00C267BD">
        <w:t xml:space="preserve">violation risk factors to </w:t>
      </w:r>
      <w:r w:rsidR="00C267BD">
        <w:rPr>
          <w:szCs w:val="26"/>
        </w:rPr>
        <w:t xml:space="preserve">Requirement </w:t>
      </w:r>
      <w:r w:rsidR="00C267BD">
        <w:t>R1 of Reliability Standard IRO-018-1 and Requirements R1 and R2 of Reliability Standard TOP-010-1</w:t>
      </w:r>
      <w:r w:rsidR="00F808A6">
        <w:t xml:space="preserve">.  </w:t>
      </w:r>
      <w:r w:rsidR="00F463DE">
        <w:t xml:space="preserve">Regarding the first </w:t>
      </w:r>
      <w:r w:rsidR="00CE40B1">
        <w:t>guideline</w:t>
      </w:r>
      <w:r w:rsidR="00413969">
        <w:t>,</w:t>
      </w:r>
      <w:r w:rsidR="00F463DE">
        <w:t xml:space="preserve"> </w:t>
      </w:r>
      <w:r w:rsidR="00D9275E">
        <w:t xml:space="preserve">NERC </w:t>
      </w:r>
      <w:r w:rsidR="00C267BD">
        <w:t xml:space="preserve">maintains </w:t>
      </w:r>
      <w:r w:rsidR="00D9275E">
        <w:t>that the r</w:t>
      </w:r>
      <w:r w:rsidR="00F808A6">
        <w:t>equirements are not directly connected to the conclusions or critical areas identified in the 2003 Blackout Report but</w:t>
      </w:r>
      <w:r w:rsidR="00C267BD">
        <w:t>,</w:t>
      </w:r>
      <w:r w:rsidR="00F808A6">
        <w:t xml:space="preserve"> rather</w:t>
      </w:r>
      <w:r w:rsidR="00C267BD">
        <w:t>,</w:t>
      </w:r>
      <w:r w:rsidR="00F808A6">
        <w:t xml:space="preserve"> address specific recommendations from a NERC technical committee. </w:t>
      </w:r>
      <w:r w:rsidR="00D9275E">
        <w:t xml:space="preserve"> </w:t>
      </w:r>
    </w:p>
    <w:p w14:paraId="06866985" w14:textId="0EEB9096" w:rsidR="001842ED" w:rsidRPr="00976FEB" w:rsidRDefault="00D9275E" w:rsidP="00F463DE">
      <w:pPr>
        <w:pStyle w:val="FERCparanumber"/>
        <w:spacing w:before="100"/>
        <w:rPr>
          <w:szCs w:val="26"/>
        </w:rPr>
      </w:pPr>
      <w:r>
        <w:t xml:space="preserve">NERC </w:t>
      </w:r>
      <w:r w:rsidR="00F463DE">
        <w:t xml:space="preserve">also contends that a “medium” </w:t>
      </w:r>
      <w:r w:rsidR="00F463DE" w:rsidRPr="00413969">
        <w:t xml:space="preserve">violation risk factor </w:t>
      </w:r>
      <w:r w:rsidR="003F210A" w:rsidRPr="00413969">
        <w:t xml:space="preserve">for these requirements </w:t>
      </w:r>
      <w:r w:rsidR="00F463DE" w:rsidRPr="00413969">
        <w:t>satisfies the second</w:t>
      </w:r>
      <w:r w:rsidR="00885A15" w:rsidRPr="00413969">
        <w:t xml:space="preserve"> and</w:t>
      </w:r>
      <w:r w:rsidR="00F463DE" w:rsidRPr="00413969">
        <w:t xml:space="preserve"> third </w:t>
      </w:r>
      <w:r w:rsidR="00CE40B1" w:rsidRPr="00413969">
        <w:t>guidelines</w:t>
      </w:r>
      <w:r w:rsidR="00F463DE" w:rsidRPr="00413969">
        <w:t xml:space="preserve"> because </w:t>
      </w:r>
      <w:r w:rsidR="003F210A" w:rsidRPr="00413969">
        <w:t>it is</w:t>
      </w:r>
      <w:r w:rsidR="00F463DE" w:rsidRPr="00413969">
        <w:t xml:space="preserve"> consistent within the Reliability Standards</w:t>
      </w:r>
      <w:r w:rsidR="001842ED" w:rsidRPr="00413969">
        <w:t xml:space="preserve"> and </w:t>
      </w:r>
      <w:r w:rsidR="00F463DE" w:rsidRPr="00413969">
        <w:t>among other Reliability Standards</w:t>
      </w:r>
      <w:r w:rsidR="00F463DE">
        <w:t xml:space="preserve"> with similar requirements.  Specifically, NERC states that a “medium” violation risk factor comports with the second </w:t>
      </w:r>
      <w:r w:rsidR="00CE40B1">
        <w:t xml:space="preserve">guideline </w:t>
      </w:r>
      <w:r w:rsidR="00F463DE">
        <w:t>because the Reliability Standards contain similar responsibilities for d</w:t>
      </w:r>
      <w:r w:rsidR="00C45328">
        <w:t xml:space="preserve">ifferent applicable entities.  </w:t>
      </w:r>
      <w:r w:rsidR="00F463DE">
        <w:t>NERC also explains that such a designation is consistent with</w:t>
      </w:r>
      <w:r w:rsidR="00885A15">
        <w:t xml:space="preserve"> </w:t>
      </w:r>
      <w:r w:rsidR="00F463DE">
        <w:t>other Reliability Standards</w:t>
      </w:r>
      <w:r w:rsidR="00885A15">
        <w:t xml:space="preserve"> </w:t>
      </w:r>
      <w:r w:rsidR="00F463DE">
        <w:t xml:space="preserve">that involve effective monitoring and control of the bulk electric system.  </w:t>
      </w:r>
      <w:r w:rsidR="00885A15">
        <w:t xml:space="preserve">As examples, </w:t>
      </w:r>
      <w:r w:rsidR="00F463DE">
        <w:t xml:space="preserve">NERC </w:t>
      </w:r>
      <w:r w:rsidR="00885A15">
        <w:t xml:space="preserve">points to “medium” violation risk factor designations for </w:t>
      </w:r>
      <w:r w:rsidR="00F463DE">
        <w:t xml:space="preserve">Reliability </w:t>
      </w:r>
      <w:r w:rsidR="00F463DE">
        <w:lastRenderedPageBreak/>
        <w:t>Standards TOP-003-3</w:t>
      </w:r>
      <w:r w:rsidR="00885A15">
        <w:t>,</w:t>
      </w:r>
      <w:r w:rsidR="00F463DE">
        <w:t xml:space="preserve"> Requirement R5 and IRO-010-2</w:t>
      </w:r>
      <w:r w:rsidR="00885A15">
        <w:t>,</w:t>
      </w:r>
      <w:r w:rsidR="00F463DE">
        <w:t xml:space="preserve"> Requirement R3, which provide that applicable entities shall provide the data necessary for transmission operators and reliability coordinators to perform real-time monitori</w:t>
      </w:r>
      <w:r w:rsidR="00C45328">
        <w:t xml:space="preserve">ng and real-time assessments.  </w:t>
      </w:r>
      <w:r w:rsidR="00F463DE">
        <w:t>In addition, NERC cites Reliability Standard TOP-001- 3</w:t>
      </w:r>
      <w:r w:rsidR="00885A15">
        <w:t>,</w:t>
      </w:r>
      <w:r w:rsidR="00F463DE">
        <w:t xml:space="preserve"> Requirement R9, which requires transmission operators and balancing authorities to notify reliability coordinators and others of planned and unplanned outages of monitoring and assessment capabilities</w:t>
      </w:r>
      <w:r w:rsidR="0041077B">
        <w:t>,</w:t>
      </w:r>
      <w:r w:rsidR="00F463DE">
        <w:t xml:space="preserve"> which has also been assigned a </w:t>
      </w:r>
      <w:r w:rsidR="0041077B">
        <w:t>“</w:t>
      </w:r>
      <w:r w:rsidR="00F463DE">
        <w:t>medium</w:t>
      </w:r>
      <w:r w:rsidR="0041077B">
        <w:t>”</w:t>
      </w:r>
      <w:r w:rsidR="00F463DE">
        <w:t xml:space="preserve"> </w:t>
      </w:r>
      <w:r w:rsidR="00885A15">
        <w:t>violation risk factor</w:t>
      </w:r>
      <w:r w:rsidR="00F463DE">
        <w:t>.</w:t>
      </w:r>
    </w:p>
    <w:p w14:paraId="783368C0" w14:textId="5C6CEBBF" w:rsidR="00D9275E" w:rsidRPr="00413969" w:rsidRDefault="001842ED">
      <w:pPr>
        <w:pStyle w:val="FERCparanumber"/>
        <w:spacing w:before="100"/>
        <w:rPr>
          <w:szCs w:val="26"/>
        </w:rPr>
      </w:pPr>
      <w:r>
        <w:t xml:space="preserve">NERC contends that the proposed designations are also consistent with NERC’s definition of “medium” violation risk factor, and thus consistent with the fourth </w:t>
      </w:r>
      <w:r w:rsidR="00CE40B1">
        <w:t>Commission guideline</w:t>
      </w:r>
      <w:r>
        <w:t xml:space="preserve">.  NERC </w:t>
      </w:r>
      <w:r w:rsidR="00D9275E">
        <w:t xml:space="preserve">explains </w:t>
      </w:r>
      <w:r w:rsidR="00D9275E" w:rsidRPr="00413969">
        <w:t>that t</w:t>
      </w:r>
      <w:r w:rsidR="00F808A6" w:rsidRPr="00413969">
        <w:t>he purpose of the</w:t>
      </w:r>
      <w:r w:rsidR="00832CBB" w:rsidRPr="00413969">
        <w:t>se</w:t>
      </w:r>
      <w:r w:rsidR="00F808A6" w:rsidRPr="00413969">
        <w:t xml:space="preserve"> Reliability Standards </w:t>
      </w:r>
      <w:r w:rsidR="00A65F09">
        <w:br/>
      </w:r>
      <w:r w:rsidR="00F808A6" w:rsidRPr="00413969">
        <w:t xml:space="preserve">is to address recommendations regarding </w:t>
      </w:r>
      <w:r w:rsidR="00D9275E" w:rsidRPr="00413969">
        <w:t>r</w:t>
      </w:r>
      <w:r w:rsidR="00F808A6" w:rsidRPr="00413969">
        <w:t>eal</w:t>
      </w:r>
      <w:r w:rsidR="00D9275E" w:rsidRPr="00413969">
        <w:t>-</w:t>
      </w:r>
      <w:r w:rsidR="00F808A6" w:rsidRPr="00413969">
        <w:t xml:space="preserve">time situational awareness and to require entities to take steps to address data or analysis quality concerns to the extent that it affects their ability to perform </w:t>
      </w:r>
      <w:r w:rsidR="005A1121" w:rsidRPr="00413969">
        <w:t>r</w:t>
      </w:r>
      <w:r w:rsidR="00F808A6" w:rsidRPr="00413969">
        <w:t xml:space="preserve">eal-time monitoring and analysis. </w:t>
      </w:r>
      <w:r w:rsidR="009547C4" w:rsidRPr="00413969">
        <w:t xml:space="preserve"> </w:t>
      </w:r>
      <w:r w:rsidR="00D9275E" w:rsidRPr="00413969">
        <w:t>NERC believes that v</w:t>
      </w:r>
      <w:r w:rsidR="00F808A6" w:rsidRPr="00413969">
        <w:t xml:space="preserve">iolation of any of these requirements could directly affect the ability to effectively monitor and control the </w:t>
      </w:r>
      <w:r w:rsidR="00D9275E" w:rsidRPr="00413969">
        <w:t>b</w:t>
      </w:r>
      <w:r w:rsidR="00F808A6" w:rsidRPr="00413969">
        <w:t xml:space="preserve">ulk </w:t>
      </w:r>
      <w:r w:rsidR="00D9275E" w:rsidRPr="00413969">
        <w:t>e</w:t>
      </w:r>
      <w:r w:rsidR="00F808A6" w:rsidRPr="00413969">
        <w:t xml:space="preserve">lectric </w:t>
      </w:r>
      <w:r w:rsidR="00D9275E" w:rsidRPr="00413969">
        <w:t>s</w:t>
      </w:r>
      <w:r w:rsidR="00F808A6" w:rsidRPr="00413969">
        <w:t>ystem</w:t>
      </w:r>
      <w:r w:rsidR="00D9275E" w:rsidRPr="00413969">
        <w:t>, but</w:t>
      </w:r>
      <w:r w:rsidR="005A1121" w:rsidRPr="00413969">
        <w:t xml:space="preserve"> i</w:t>
      </w:r>
      <w:r w:rsidR="00F808A6" w:rsidRPr="00413969">
        <w:t xml:space="preserve">s unlikely to lead to </w:t>
      </w:r>
      <w:r w:rsidR="00D9275E" w:rsidRPr="00413969">
        <w:t>b</w:t>
      </w:r>
      <w:r w:rsidR="00F808A6" w:rsidRPr="00413969">
        <w:t xml:space="preserve">ulk </w:t>
      </w:r>
      <w:r w:rsidR="00D9275E" w:rsidRPr="00413969">
        <w:t>e</w:t>
      </w:r>
      <w:r w:rsidR="00F808A6" w:rsidRPr="00413969">
        <w:t xml:space="preserve">lectric </w:t>
      </w:r>
      <w:r w:rsidR="00D9275E" w:rsidRPr="00413969">
        <w:t>s</w:t>
      </w:r>
      <w:r w:rsidR="00F808A6" w:rsidRPr="00413969">
        <w:t xml:space="preserve">ystem instability, separation, or cascading failures. </w:t>
      </w:r>
      <w:r w:rsidR="00D9275E" w:rsidRPr="00413969">
        <w:t xml:space="preserve"> </w:t>
      </w:r>
    </w:p>
    <w:p w14:paraId="7875D6B2" w14:textId="492C03E1" w:rsidR="001842ED" w:rsidRPr="00413969" w:rsidRDefault="001842ED">
      <w:pPr>
        <w:pStyle w:val="FERCparanumber"/>
        <w:spacing w:before="100"/>
        <w:rPr>
          <w:szCs w:val="26"/>
        </w:rPr>
      </w:pPr>
      <w:r w:rsidRPr="00413969">
        <w:t xml:space="preserve">With respect to the fifth </w:t>
      </w:r>
      <w:r w:rsidR="00CE40B1" w:rsidRPr="00413969">
        <w:t>guideline</w:t>
      </w:r>
      <w:r w:rsidRPr="00413969">
        <w:t xml:space="preserve">, NERC states that the proposed violation risk factor assignments do not reflect the lower of multiple reliability objectives as each </w:t>
      </w:r>
      <w:r w:rsidR="00832CBB" w:rsidRPr="00413969">
        <w:t xml:space="preserve">applicable </w:t>
      </w:r>
      <w:r w:rsidRPr="00413969">
        <w:t>requirement contains one reliability objective.</w:t>
      </w:r>
    </w:p>
    <w:p w14:paraId="69BECDD0" w14:textId="3BDA82A9" w:rsidR="00C75C8B" w:rsidRPr="00413969" w:rsidRDefault="00C75C8B">
      <w:pPr>
        <w:pStyle w:val="FERCparanumber"/>
        <w:spacing w:before="100"/>
        <w:rPr>
          <w:szCs w:val="26"/>
        </w:rPr>
      </w:pPr>
      <w:r w:rsidRPr="00413969">
        <w:rPr>
          <w:szCs w:val="26"/>
        </w:rPr>
        <w:t xml:space="preserve">We </w:t>
      </w:r>
      <w:r w:rsidR="001842ED" w:rsidRPr="00413969">
        <w:rPr>
          <w:szCs w:val="26"/>
        </w:rPr>
        <w:t>determine</w:t>
      </w:r>
      <w:r w:rsidRPr="00413969">
        <w:rPr>
          <w:szCs w:val="26"/>
        </w:rPr>
        <w:t xml:space="preserve"> that the “medium” violation risk factors </w:t>
      </w:r>
      <w:r w:rsidR="00832CBB" w:rsidRPr="00413969">
        <w:rPr>
          <w:szCs w:val="26"/>
        </w:rPr>
        <w:t xml:space="preserve">NERC proposes to </w:t>
      </w:r>
      <w:r w:rsidRPr="00413969">
        <w:rPr>
          <w:szCs w:val="26"/>
        </w:rPr>
        <w:t xml:space="preserve">assign to Requirement </w:t>
      </w:r>
      <w:r w:rsidRPr="00413969">
        <w:t xml:space="preserve">R1 of Reliability Standard IRO-018-1 and Requirements R1 and R2 of Reliability Standard TOP-010-1 </w:t>
      </w:r>
      <w:r w:rsidRPr="00413969">
        <w:rPr>
          <w:szCs w:val="26"/>
        </w:rPr>
        <w:t>are not consistent with the Commission’s guidelines</w:t>
      </w:r>
      <w:r w:rsidRPr="00413969">
        <w:t xml:space="preserve">.  </w:t>
      </w:r>
      <w:r w:rsidR="0093548A">
        <w:br/>
      </w:r>
      <w:r w:rsidR="00360EC8" w:rsidRPr="00413969">
        <w:t xml:space="preserve">As discussed below, </w:t>
      </w:r>
      <w:r w:rsidR="001842ED" w:rsidRPr="00413969">
        <w:t xml:space="preserve">NERC </w:t>
      </w:r>
      <w:r w:rsidRPr="00413969">
        <w:rPr>
          <w:szCs w:val="26"/>
        </w:rPr>
        <w:t>has not adequately justified the proposed “medium” violation risk factor designations</w:t>
      </w:r>
      <w:r w:rsidR="00CE40B1" w:rsidRPr="00413969">
        <w:rPr>
          <w:szCs w:val="26"/>
        </w:rPr>
        <w:t xml:space="preserve">.  Specifically, we find that the proposed designations are inconsistent with NERC’s definition of violation </w:t>
      </w:r>
      <w:r w:rsidR="0041077B" w:rsidRPr="00413969">
        <w:rPr>
          <w:szCs w:val="26"/>
        </w:rPr>
        <w:t>risk factor</w:t>
      </w:r>
      <w:r w:rsidR="00CE40B1" w:rsidRPr="00413969">
        <w:rPr>
          <w:szCs w:val="26"/>
        </w:rPr>
        <w:t xml:space="preserve">; the </w:t>
      </w:r>
      <w:r w:rsidR="0056607E" w:rsidRPr="00413969">
        <w:rPr>
          <w:szCs w:val="26"/>
        </w:rPr>
        <w:t>recommendations</w:t>
      </w:r>
      <w:r w:rsidR="00CE40B1" w:rsidRPr="00413969">
        <w:rPr>
          <w:szCs w:val="26"/>
        </w:rPr>
        <w:t xml:space="preserve"> contained in the 2003 Blackout Report; and other Reliability Standards with similar requirements.  </w:t>
      </w:r>
      <w:r w:rsidRPr="00413969">
        <w:rPr>
          <w:szCs w:val="26"/>
        </w:rPr>
        <w:t xml:space="preserve">Accordingly, we direct NERC to </w:t>
      </w:r>
      <w:r w:rsidR="00CE40B1" w:rsidRPr="00413969">
        <w:rPr>
          <w:szCs w:val="26"/>
        </w:rPr>
        <w:t>raise</w:t>
      </w:r>
      <w:r w:rsidRPr="00413969">
        <w:rPr>
          <w:szCs w:val="26"/>
        </w:rPr>
        <w:t xml:space="preserve"> these violation risk factor designations </w:t>
      </w:r>
      <w:r w:rsidR="001842ED" w:rsidRPr="00413969">
        <w:rPr>
          <w:szCs w:val="26"/>
        </w:rPr>
        <w:t>to “high</w:t>
      </w:r>
      <w:r w:rsidR="00832CBB" w:rsidRPr="00413969">
        <w:rPr>
          <w:szCs w:val="26"/>
        </w:rPr>
        <w:t>.</w:t>
      </w:r>
      <w:r w:rsidR="001842ED" w:rsidRPr="00413969">
        <w:rPr>
          <w:szCs w:val="26"/>
        </w:rPr>
        <w:t>”</w:t>
      </w:r>
    </w:p>
    <w:p w14:paraId="39AEF75A" w14:textId="49081981" w:rsidR="00A1172E" w:rsidRPr="00A1172E" w:rsidRDefault="00CE40B1" w:rsidP="00A1172E">
      <w:pPr>
        <w:pStyle w:val="FERCparanumber"/>
        <w:spacing w:before="100"/>
        <w:rPr>
          <w:bCs/>
          <w:szCs w:val="26"/>
        </w:rPr>
      </w:pPr>
      <w:r>
        <w:rPr>
          <w:shd w:val="clear" w:color="auto" w:fill="FFFFFF"/>
        </w:rPr>
        <w:t>The fourth Commission guideline</w:t>
      </w:r>
      <w:r w:rsidR="00F55289" w:rsidRPr="00755E06">
        <w:t xml:space="preserve"> calls for consistency with NERC’s definition of the </w:t>
      </w:r>
      <w:r w:rsidR="0041077B">
        <w:t xml:space="preserve">appropriate </w:t>
      </w:r>
      <w:r>
        <w:t xml:space="preserve">violation risk factor </w:t>
      </w:r>
      <w:r w:rsidR="00F55289" w:rsidRPr="00755E06">
        <w:t>level.</w:t>
      </w:r>
      <w:r w:rsidR="00F55289">
        <w:rPr>
          <w:rStyle w:val="FootnoteReference"/>
        </w:rPr>
        <w:footnoteReference w:id="6"/>
      </w:r>
      <w:r w:rsidR="00F55289" w:rsidRPr="00755E06">
        <w:t xml:space="preserve">  The Commission-approved NERC definition for “high” </w:t>
      </w:r>
      <w:r>
        <w:t>violation risk factor s</w:t>
      </w:r>
      <w:r w:rsidR="00F55289" w:rsidRPr="00755E06">
        <w:t>tates, in pertinent part, that a requirement should</w:t>
      </w:r>
      <w:r>
        <w:t xml:space="preserve"> be </w:t>
      </w:r>
      <w:r w:rsidR="00F55289" w:rsidRPr="00755E06">
        <w:t>“high” if a violation of the requirement “could place the bulk electric system at an unacceptable risk of instability, separation or cascading failures.”  In contrast, the Commission-approved NERC</w:t>
      </w:r>
      <w:r w:rsidR="00DE728A">
        <w:t xml:space="preserve"> </w:t>
      </w:r>
      <w:r w:rsidR="00F55289" w:rsidRPr="00755E06">
        <w:t xml:space="preserve">definition </w:t>
      </w:r>
      <w:r w:rsidR="00DE728A">
        <w:t>of</w:t>
      </w:r>
      <w:r w:rsidR="00DE728A" w:rsidRPr="00755E06">
        <w:t xml:space="preserve"> </w:t>
      </w:r>
      <w:r w:rsidR="00F55289" w:rsidRPr="00755E06">
        <w:t xml:space="preserve">“medium” </w:t>
      </w:r>
      <w:r w:rsidR="00832CBB" w:rsidRPr="00413969">
        <w:t xml:space="preserve">violation risk factor </w:t>
      </w:r>
      <w:r w:rsidR="00F55289" w:rsidRPr="00413969">
        <w:t>provides</w:t>
      </w:r>
      <w:r w:rsidR="00F55289" w:rsidRPr="00755E06">
        <w:t xml:space="preserve"> that the violation of the underlying r</w:t>
      </w:r>
      <w:r w:rsidR="009547C4">
        <w:t xml:space="preserve">equirement </w:t>
      </w:r>
      <w:r w:rsidR="00DE728A">
        <w:t xml:space="preserve">“could directly affect the electrical state or </w:t>
      </w:r>
      <w:r w:rsidR="00DE728A">
        <w:lastRenderedPageBreak/>
        <w:t>the capability of the Bulk Electric System, or the ability to effectively monitor and control the Bulk Electric System … [but] is unlikely to lead to Bulk Electric System instability, separation, or cascading failures</w:t>
      </w:r>
      <w:r w:rsidR="009547C4">
        <w:t>.</w:t>
      </w:r>
      <w:r w:rsidR="00DE728A">
        <w:t>”</w:t>
      </w:r>
      <w:r w:rsidR="009547C4">
        <w:t xml:space="preserve">  </w:t>
      </w:r>
      <w:r w:rsidR="00DE728A">
        <w:t xml:space="preserve">While </w:t>
      </w:r>
      <w:r w:rsidR="00D9275E">
        <w:t>NERC states that v</w:t>
      </w:r>
      <w:r w:rsidR="004070E8">
        <w:t xml:space="preserve">iolation of any </w:t>
      </w:r>
      <w:r w:rsidR="003D0535">
        <w:br/>
      </w:r>
      <w:r w:rsidR="004070E8">
        <w:t xml:space="preserve">of the requirements could directly affect the ability to effectively monitor and control </w:t>
      </w:r>
      <w:r w:rsidR="003D0535">
        <w:br/>
      </w:r>
      <w:r w:rsidR="004070E8">
        <w:t xml:space="preserve">the </w:t>
      </w:r>
      <w:r w:rsidR="00D9275E">
        <w:t>b</w:t>
      </w:r>
      <w:r w:rsidR="004070E8">
        <w:t xml:space="preserve">ulk </w:t>
      </w:r>
      <w:r w:rsidR="00D9275E">
        <w:t>e</w:t>
      </w:r>
      <w:r w:rsidR="004070E8">
        <w:t xml:space="preserve">lectric </w:t>
      </w:r>
      <w:r w:rsidR="00D9275E">
        <w:t>s</w:t>
      </w:r>
      <w:r w:rsidR="009547C4">
        <w:t>ystem</w:t>
      </w:r>
      <w:r>
        <w:t>,</w:t>
      </w:r>
      <w:r w:rsidR="009547C4">
        <w:t xml:space="preserve"> </w:t>
      </w:r>
      <w:r>
        <w:t>NERC contends</w:t>
      </w:r>
      <w:r w:rsidR="00A911A1">
        <w:t xml:space="preserve"> </w:t>
      </w:r>
      <w:r>
        <w:t xml:space="preserve">that </w:t>
      </w:r>
      <w:r w:rsidR="004070E8">
        <w:t xml:space="preserve">violation of these requirements is unlikely to lead to </w:t>
      </w:r>
      <w:r w:rsidR="007A2DF2">
        <w:t>b</w:t>
      </w:r>
      <w:r w:rsidR="004070E8">
        <w:t xml:space="preserve">ulk </w:t>
      </w:r>
      <w:r w:rsidR="007A2DF2">
        <w:t>e</w:t>
      </w:r>
      <w:r w:rsidR="004070E8">
        <w:t xml:space="preserve">lectric </w:t>
      </w:r>
      <w:r w:rsidR="007A2DF2">
        <w:t>s</w:t>
      </w:r>
      <w:r w:rsidR="004070E8">
        <w:t>ystem instability, separation, or cascading failures.</w:t>
      </w:r>
      <w:r w:rsidR="00D9275E">
        <w:t xml:space="preserve"> </w:t>
      </w:r>
      <w:r w:rsidR="00BA69B1">
        <w:t xml:space="preserve"> </w:t>
      </w:r>
    </w:p>
    <w:p w14:paraId="03B512A0" w14:textId="181F6E84" w:rsidR="008C3488" w:rsidRPr="00413969" w:rsidRDefault="00A911A1" w:rsidP="008C3488">
      <w:pPr>
        <w:pStyle w:val="FERCparanumber"/>
        <w:spacing w:before="100"/>
        <w:rPr>
          <w:bCs/>
          <w:szCs w:val="26"/>
        </w:rPr>
      </w:pPr>
      <w:r>
        <w:t xml:space="preserve">NERC’s assertion </w:t>
      </w:r>
      <w:r w:rsidR="00DE728A">
        <w:t xml:space="preserve">that a violation of </w:t>
      </w:r>
      <w:r w:rsidR="00DE728A">
        <w:rPr>
          <w:szCs w:val="26"/>
        </w:rPr>
        <w:t xml:space="preserve">Requirement </w:t>
      </w:r>
      <w:r w:rsidR="00DE728A">
        <w:t xml:space="preserve">R1 of Reliability Standard IRO-018-1 and Requirements R1 and R2 of Reliability Standard TOP-010-1 is unlikely to </w:t>
      </w:r>
      <w:r w:rsidR="00F75C72">
        <w:br/>
      </w:r>
      <w:r w:rsidR="00DE728A">
        <w:t>lead to bulk electric system instability, separation, or cascading failures</w:t>
      </w:r>
      <w:r w:rsidR="00216963">
        <w:t xml:space="preserve"> is unpersuasive</w:t>
      </w:r>
      <w:r w:rsidR="00DE728A">
        <w:t xml:space="preserve">.  </w:t>
      </w:r>
      <w:r w:rsidR="007A3EF8">
        <w:rPr>
          <w:shd w:val="clear" w:color="auto" w:fill="FFFFFF"/>
        </w:rPr>
        <w:t>T</w:t>
      </w:r>
      <w:r w:rsidR="00535934" w:rsidRPr="00D301E2">
        <w:rPr>
          <w:shd w:val="clear" w:color="auto" w:fill="FFFFFF"/>
        </w:rPr>
        <w:t xml:space="preserve">he 2003 Blackout Report identified four groups of causes of </w:t>
      </w:r>
      <w:r w:rsidR="00535934" w:rsidRPr="00D301E2">
        <w:rPr>
          <w:szCs w:val="26"/>
          <w:shd w:val="clear" w:color="auto" w:fill="FFFFFF"/>
        </w:rPr>
        <w:t>the</w:t>
      </w:r>
      <w:r w:rsidR="00D700C9" w:rsidRPr="00D301E2">
        <w:rPr>
          <w:szCs w:val="26"/>
          <w:shd w:val="clear" w:color="auto" w:fill="FFFFFF"/>
        </w:rPr>
        <w:t xml:space="preserve"> blackout</w:t>
      </w:r>
      <w:r w:rsidR="00155A8F">
        <w:rPr>
          <w:szCs w:val="26"/>
          <w:shd w:val="clear" w:color="auto" w:fill="FFFFFF"/>
        </w:rPr>
        <w:t>,</w:t>
      </w:r>
      <w:r w:rsidR="009547C4" w:rsidRPr="00D301E2">
        <w:rPr>
          <w:szCs w:val="26"/>
          <w:shd w:val="clear" w:color="auto" w:fill="FFFFFF"/>
        </w:rPr>
        <w:t xml:space="preserve"> one of which was</w:t>
      </w:r>
      <w:r w:rsidR="0056607E">
        <w:rPr>
          <w:szCs w:val="26"/>
          <w:shd w:val="clear" w:color="auto" w:fill="FFFFFF"/>
        </w:rPr>
        <w:t xml:space="preserve"> </w:t>
      </w:r>
      <w:r w:rsidR="00B211F7" w:rsidRPr="00D301E2">
        <w:rPr>
          <w:szCs w:val="26"/>
          <w:shd w:val="clear" w:color="auto" w:fill="FFFFFF"/>
        </w:rPr>
        <w:t>f</w:t>
      </w:r>
      <w:r w:rsidR="00535934" w:rsidRPr="00D301E2">
        <w:rPr>
          <w:szCs w:val="26"/>
          <w:shd w:val="clear" w:color="auto" w:fill="FFFFFF"/>
        </w:rPr>
        <w:t xml:space="preserve">ailure of the interconnected </w:t>
      </w:r>
      <w:r w:rsidR="00BA69B1">
        <w:rPr>
          <w:szCs w:val="26"/>
          <w:shd w:val="clear" w:color="auto" w:fill="FFFFFF"/>
        </w:rPr>
        <w:t>transmission network</w:t>
      </w:r>
      <w:r w:rsidR="00535934" w:rsidRPr="00D301E2">
        <w:rPr>
          <w:szCs w:val="26"/>
          <w:shd w:val="clear" w:color="auto" w:fill="FFFFFF"/>
        </w:rPr>
        <w:t>’s reliability organizations t</w:t>
      </w:r>
      <w:r w:rsidR="00742455" w:rsidRPr="00D301E2">
        <w:rPr>
          <w:szCs w:val="26"/>
          <w:shd w:val="clear" w:color="auto" w:fill="FFFFFF"/>
        </w:rPr>
        <w:t>o</w:t>
      </w:r>
      <w:r w:rsidR="00535934" w:rsidRPr="00D301E2">
        <w:rPr>
          <w:szCs w:val="26"/>
          <w:shd w:val="clear" w:color="auto" w:fill="FFFFFF"/>
        </w:rPr>
        <w:t xml:space="preserve"> provide effective real-time diagnostic support.</w:t>
      </w:r>
      <w:r w:rsidR="009547C4" w:rsidRPr="00B211F7">
        <w:rPr>
          <w:rStyle w:val="FootnoteReference"/>
          <w:shd w:val="clear" w:color="auto" w:fill="FFFFFF"/>
        </w:rPr>
        <w:footnoteReference w:id="7"/>
      </w:r>
      <w:r w:rsidR="00535934" w:rsidRPr="00D301E2">
        <w:rPr>
          <w:szCs w:val="26"/>
          <w:shd w:val="clear" w:color="auto" w:fill="FFFFFF"/>
        </w:rPr>
        <w:t xml:space="preserve">  </w:t>
      </w:r>
      <w:r>
        <w:rPr>
          <w:szCs w:val="26"/>
          <w:shd w:val="clear" w:color="auto" w:fill="FFFFFF"/>
        </w:rPr>
        <w:t xml:space="preserve">As NERC noted in its petition, </w:t>
      </w:r>
      <w:r w:rsidR="00981A60" w:rsidRPr="00D301E2">
        <w:rPr>
          <w:szCs w:val="26"/>
        </w:rPr>
        <w:t xml:space="preserve">Recommendation </w:t>
      </w:r>
      <w:r w:rsidR="00D700C9" w:rsidRPr="00D301E2">
        <w:rPr>
          <w:szCs w:val="26"/>
        </w:rPr>
        <w:t xml:space="preserve">22 </w:t>
      </w:r>
      <w:r>
        <w:rPr>
          <w:szCs w:val="26"/>
        </w:rPr>
        <w:t xml:space="preserve">of the 2003 Blackout Report </w:t>
      </w:r>
      <w:r w:rsidR="00D700C9" w:rsidRPr="00D301E2">
        <w:rPr>
          <w:szCs w:val="26"/>
        </w:rPr>
        <w:t xml:space="preserve">stated that NERC should </w:t>
      </w:r>
      <w:r w:rsidR="009547C4" w:rsidRPr="00D301E2">
        <w:rPr>
          <w:bCs/>
          <w:szCs w:val="26"/>
        </w:rPr>
        <w:t>“</w:t>
      </w:r>
      <w:r w:rsidR="00981A60" w:rsidRPr="00D301E2">
        <w:rPr>
          <w:bCs/>
          <w:szCs w:val="26"/>
        </w:rPr>
        <w:t xml:space="preserve">evaluate </w:t>
      </w:r>
      <w:r w:rsidR="00BF5A99">
        <w:rPr>
          <w:bCs/>
          <w:szCs w:val="26"/>
        </w:rPr>
        <w:t xml:space="preserve">… </w:t>
      </w:r>
      <w:r w:rsidR="00981A60" w:rsidRPr="00D301E2">
        <w:rPr>
          <w:bCs/>
          <w:szCs w:val="26"/>
        </w:rPr>
        <w:t>the real-time</w:t>
      </w:r>
      <w:r w:rsidR="00D700C9" w:rsidRPr="00D301E2">
        <w:rPr>
          <w:bCs/>
          <w:szCs w:val="26"/>
        </w:rPr>
        <w:t xml:space="preserve"> </w:t>
      </w:r>
      <w:r w:rsidR="00981A60" w:rsidRPr="00D301E2">
        <w:rPr>
          <w:bCs/>
          <w:szCs w:val="26"/>
        </w:rPr>
        <w:t>operating tools necessary for reliab</w:t>
      </w:r>
      <w:r w:rsidR="00BF5A99">
        <w:rPr>
          <w:bCs/>
          <w:szCs w:val="26"/>
        </w:rPr>
        <w:t>ility [sic]</w:t>
      </w:r>
      <w:r w:rsidR="00981A60" w:rsidRPr="00D301E2">
        <w:rPr>
          <w:bCs/>
          <w:szCs w:val="26"/>
        </w:rPr>
        <w:t xml:space="preserve"> operation and reliability coordination,</w:t>
      </w:r>
      <w:r w:rsidR="00D700C9" w:rsidRPr="00D301E2">
        <w:rPr>
          <w:bCs/>
          <w:szCs w:val="26"/>
        </w:rPr>
        <w:t xml:space="preserve"> </w:t>
      </w:r>
      <w:r w:rsidR="00981A60" w:rsidRPr="00D301E2">
        <w:rPr>
          <w:bCs/>
          <w:szCs w:val="26"/>
        </w:rPr>
        <w:t>including backup capabilities</w:t>
      </w:r>
      <w:r w:rsidR="009547C4" w:rsidRPr="00D301E2">
        <w:rPr>
          <w:bCs/>
          <w:szCs w:val="26"/>
        </w:rPr>
        <w:t>….”</w:t>
      </w:r>
      <w:r w:rsidR="00636236">
        <w:rPr>
          <w:rStyle w:val="FootnoteReference"/>
          <w:bCs/>
        </w:rPr>
        <w:footnoteReference w:id="8"/>
      </w:r>
      <w:r w:rsidR="009547C4" w:rsidRPr="00D301E2">
        <w:rPr>
          <w:bCs/>
          <w:szCs w:val="26"/>
        </w:rPr>
        <w:t xml:space="preserve">  </w:t>
      </w:r>
      <w:r>
        <w:rPr>
          <w:bCs/>
          <w:szCs w:val="26"/>
        </w:rPr>
        <w:t>The 2003 Blackout Report</w:t>
      </w:r>
      <w:r w:rsidR="009547C4" w:rsidRPr="00D301E2">
        <w:rPr>
          <w:bCs/>
          <w:szCs w:val="26"/>
        </w:rPr>
        <w:t xml:space="preserve"> also stated that NERC </w:t>
      </w:r>
      <w:r w:rsidR="00981A60" w:rsidRPr="00D301E2">
        <w:rPr>
          <w:bCs/>
          <w:szCs w:val="26"/>
        </w:rPr>
        <w:t xml:space="preserve">should require </w:t>
      </w:r>
      <w:r w:rsidR="00BF5A99">
        <w:rPr>
          <w:bCs/>
          <w:szCs w:val="26"/>
        </w:rPr>
        <w:t>its</w:t>
      </w:r>
      <w:r w:rsidR="00981A60" w:rsidRPr="00D301E2">
        <w:rPr>
          <w:bCs/>
          <w:szCs w:val="26"/>
        </w:rPr>
        <w:t xml:space="preserve"> Operating Committee</w:t>
      </w:r>
      <w:r w:rsidR="00D700C9" w:rsidRPr="00D301E2">
        <w:rPr>
          <w:bCs/>
          <w:szCs w:val="26"/>
        </w:rPr>
        <w:t xml:space="preserve"> </w:t>
      </w:r>
      <w:r w:rsidR="00981A60" w:rsidRPr="00D301E2">
        <w:rPr>
          <w:bCs/>
          <w:szCs w:val="26"/>
        </w:rPr>
        <w:t xml:space="preserve">to </w:t>
      </w:r>
      <w:r w:rsidR="00BF5A99">
        <w:rPr>
          <w:bCs/>
          <w:szCs w:val="26"/>
        </w:rPr>
        <w:t>“</w:t>
      </w:r>
      <w:r w:rsidR="00981A60" w:rsidRPr="00D301E2">
        <w:rPr>
          <w:bCs/>
          <w:szCs w:val="26"/>
        </w:rPr>
        <w:t>give particular attention in its report to</w:t>
      </w:r>
      <w:r w:rsidR="00FC77E3" w:rsidRPr="00D301E2">
        <w:rPr>
          <w:bCs/>
          <w:szCs w:val="26"/>
        </w:rPr>
        <w:t xml:space="preserve"> </w:t>
      </w:r>
      <w:r w:rsidR="00981A60" w:rsidRPr="00D301E2">
        <w:rPr>
          <w:bCs/>
          <w:szCs w:val="26"/>
        </w:rPr>
        <w:t>the development of guidance to control</w:t>
      </w:r>
      <w:r w:rsidR="00D700C9" w:rsidRPr="00D301E2">
        <w:rPr>
          <w:bCs/>
          <w:szCs w:val="26"/>
        </w:rPr>
        <w:t xml:space="preserve"> </w:t>
      </w:r>
      <w:r w:rsidR="00981A60" w:rsidRPr="00D301E2">
        <w:rPr>
          <w:bCs/>
          <w:szCs w:val="26"/>
        </w:rPr>
        <w:t xml:space="preserve">areas and reliability coordinators on </w:t>
      </w:r>
      <w:r w:rsidR="00F75C72">
        <w:rPr>
          <w:bCs/>
          <w:szCs w:val="26"/>
        </w:rPr>
        <w:br/>
      </w:r>
      <w:r w:rsidR="00981A60" w:rsidRPr="00D301E2">
        <w:rPr>
          <w:bCs/>
          <w:szCs w:val="26"/>
        </w:rPr>
        <w:t>the</w:t>
      </w:r>
      <w:r w:rsidR="00FC77E3" w:rsidRPr="00D301E2">
        <w:rPr>
          <w:bCs/>
          <w:szCs w:val="26"/>
        </w:rPr>
        <w:t xml:space="preserve"> </w:t>
      </w:r>
      <w:r w:rsidR="00981A60" w:rsidRPr="00D301E2">
        <w:rPr>
          <w:bCs/>
          <w:szCs w:val="26"/>
        </w:rPr>
        <w:t>use of wide-area situation display systems and the integrity of data</w:t>
      </w:r>
      <w:r w:rsidR="00FC77E3" w:rsidRPr="00D301E2">
        <w:rPr>
          <w:bCs/>
          <w:szCs w:val="26"/>
        </w:rPr>
        <w:t xml:space="preserve"> </w:t>
      </w:r>
      <w:r w:rsidR="00981A60" w:rsidRPr="00D301E2">
        <w:rPr>
          <w:bCs/>
          <w:szCs w:val="26"/>
        </w:rPr>
        <w:t>used in those systems</w:t>
      </w:r>
      <w:r w:rsidR="00B5624A" w:rsidRPr="00D301E2">
        <w:rPr>
          <w:bCs/>
          <w:szCs w:val="26"/>
        </w:rPr>
        <w:t>.</w:t>
      </w:r>
      <w:r w:rsidR="009547C4" w:rsidRPr="00D301E2">
        <w:rPr>
          <w:bCs/>
          <w:szCs w:val="26"/>
        </w:rPr>
        <w:t>”</w:t>
      </w:r>
      <w:r w:rsidR="00D700C9" w:rsidRPr="00D700C9">
        <w:rPr>
          <w:rStyle w:val="FootnoteReference"/>
          <w:bCs/>
        </w:rPr>
        <w:footnoteReference w:id="9"/>
      </w:r>
      <w:r w:rsidR="0056607E">
        <w:rPr>
          <w:bCs/>
          <w:szCs w:val="26"/>
        </w:rPr>
        <w:t xml:space="preserve">  </w:t>
      </w:r>
      <w:r w:rsidR="00915880">
        <w:rPr>
          <w:bCs/>
          <w:szCs w:val="26"/>
        </w:rPr>
        <w:t xml:space="preserve">Real-time data quality is essential to </w:t>
      </w:r>
      <w:r w:rsidR="00F21E47">
        <w:rPr>
          <w:bCs/>
          <w:szCs w:val="26"/>
        </w:rPr>
        <w:t>ensure reliab</w:t>
      </w:r>
      <w:r w:rsidR="00CA3B01">
        <w:rPr>
          <w:bCs/>
          <w:szCs w:val="26"/>
        </w:rPr>
        <w:t>le</w:t>
      </w:r>
      <w:r w:rsidR="00F21E47">
        <w:rPr>
          <w:bCs/>
          <w:szCs w:val="26"/>
        </w:rPr>
        <w:t xml:space="preserve"> operation of the interconnected transmission network.  </w:t>
      </w:r>
      <w:r>
        <w:rPr>
          <w:bCs/>
          <w:szCs w:val="26"/>
        </w:rPr>
        <w:t xml:space="preserve">Given the </w:t>
      </w:r>
      <w:r w:rsidR="005A6FE0">
        <w:rPr>
          <w:bCs/>
          <w:szCs w:val="26"/>
        </w:rPr>
        <w:t xml:space="preserve">importance of </w:t>
      </w:r>
      <w:r w:rsidR="005A6FE0" w:rsidRPr="00D301E2">
        <w:rPr>
          <w:szCs w:val="26"/>
          <w:shd w:val="clear" w:color="auto" w:fill="FFFFFF"/>
        </w:rPr>
        <w:t>effective real-time diagnostic support</w:t>
      </w:r>
      <w:r w:rsidR="005A6FE0">
        <w:rPr>
          <w:bCs/>
          <w:szCs w:val="26"/>
        </w:rPr>
        <w:t xml:space="preserve"> recognized by NERC’s Operating Committee </w:t>
      </w:r>
      <w:r w:rsidR="00C133A7">
        <w:rPr>
          <w:bCs/>
          <w:szCs w:val="26"/>
        </w:rPr>
        <w:t xml:space="preserve">and consistent with </w:t>
      </w:r>
      <w:r w:rsidRPr="00413969">
        <w:rPr>
          <w:bCs/>
          <w:szCs w:val="26"/>
        </w:rPr>
        <w:t>the</w:t>
      </w:r>
      <w:r w:rsidR="00BA69B1" w:rsidRPr="00413969">
        <w:rPr>
          <w:bCs/>
          <w:szCs w:val="26"/>
        </w:rPr>
        <w:t xml:space="preserve"> 2003 Blackout Report</w:t>
      </w:r>
      <w:r w:rsidR="0054675E">
        <w:rPr>
          <w:bCs/>
          <w:szCs w:val="26"/>
        </w:rPr>
        <w:t>,</w:t>
      </w:r>
      <w:r w:rsidR="00BA69B1" w:rsidRPr="00413969">
        <w:rPr>
          <w:bCs/>
          <w:szCs w:val="26"/>
        </w:rPr>
        <w:t xml:space="preserve"> </w:t>
      </w:r>
      <w:r w:rsidRPr="00413969">
        <w:rPr>
          <w:bCs/>
          <w:szCs w:val="26"/>
        </w:rPr>
        <w:t>we</w:t>
      </w:r>
      <w:r w:rsidR="0013637C">
        <w:rPr>
          <w:bCs/>
          <w:szCs w:val="26"/>
        </w:rPr>
        <w:t xml:space="preserve"> </w:t>
      </w:r>
      <w:r w:rsidRPr="00413969">
        <w:rPr>
          <w:bCs/>
          <w:szCs w:val="26"/>
        </w:rPr>
        <w:t xml:space="preserve">conclude that </w:t>
      </w:r>
      <w:r w:rsidR="0056607E" w:rsidRPr="00413969">
        <w:rPr>
          <w:bCs/>
          <w:szCs w:val="26"/>
        </w:rPr>
        <w:t xml:space="preserve">first and fourth </w:t>
      </w:r>
      <w:r w:rsidR="00832CBB" w:rsidRPr="00413969">
        <w:rPr>
          <w:bCs/>
          <w:szCs w:val="26"/>
        </w:rPr>
        <w:t xml:space="preserve">Commission </w:t>
      </w:r>
      <w:r w:rsidR="0056607E" w:rsidRPr="00413969">
        <w:rPr>
          <w:bCs/>
          <w:szCs w:val="26"/>
        </w:rPr>
        <w:t>guidelines support raising the</w:t>
      </w:r>
      <w:r w:rsidR="00BA69B1" w:rsidRPr="00413969">
        <w:rPr>
          <w:bCs/>
          <w:szCs w:val="26"/>
        </w:rPr>
        <w:t xml:space="preserve"> </w:t>
      </w:r>
      <w:r w:rsidRPr="00413969">
        <w:rPr>
          <w:bCs/>
          <w:szCs w:val="26"/>
        </w:rPr>
        <w:t>violation risk factor</w:t>
      </w:r>
      <w:r w:rsidR="00BA69B1" w:rsidRPr="00413969">
        <w:rPr>
          <w:bCs/>
          <w:szCs w:val="26"/>
        </w:rPr>
        <w:t xml:space="preserve"> designations for Requirement 1 of </w:t>
      </w:r>
      <w:r w:rsidR="0041077B" w:rsidRPr="00413969">
        <w:rPr>
          <w:bCs/>
          <w:szCs w:val="26"/>
        </w:rPr>
        <w:t xml:space="preserve">Reliability Standard </w:t>
      </w:r>
      <w:r w:rsidR="00BA69B1" w:rsidRPr="00413969">
        <w:rPr>
          <w:bCs/>
          <w:szCs w:val="26"/>
        </w:rPr>
        <w:t>IRO-018-1 and Requirement</w:t>
      </w:r>
      <w:r w:rsidRPr="00413969">
        <w:rPr>
          <w:bCs/>
          <w:szCs w:val="26"/>
        </w:rPr>
        <w:t>s</w:t>
      </w:r>
      <w:r w:rsidR="00BA69B1" w:rsidRPr="00413969">
        <w:rPr>
          <w:bCs/>
          <w:szCs w:val="26"/>
        </w:rPr>
        <w:t xml:space="preserve"> R1 and R2 of </w:t>
      </w:r>
      <w:r w:rsidR="0041077B" w:rsidRPr="00413969">
        <w:rPr>
          <w:bCs/>
          <w:szCs w:val="26"/>
        </w:rPr>
        <w:t xml:space="preserve">Reliability Standard </w:t>
      </w:r>
      <w:r w:rsidR="00BA69B1" w:rsidRPr="00413969">
        <w:rPr>
          <w:bCs/>
          <w:szCs w:val="26"/>
        </w:rPr>
        <w:t xml:space="preserve">TOP-010-1 </w:t>
      </w:r>
      <w:r w:rsidR="0056607E" w:rsidRPr="00413969">
        <w:rPr>
          <w:bCs/>
          <w:szCs w:val="26"/>
        </w:rPr>
        <w:t>to</w:t>
      </w:r>
      <w:r w:rsidR="00BA69B1" w:rsidRPr="00413969">
        <w:rPr>
          <w:bCs/>
          <w:szCs w:val="26"/>
        </w:rPr>
        <w:t xml:space="preserve"> “high.”  </w:t>
      </w:r>
      <w:r w:rsidR="00A1172E" w:rsidRPr="00413969">
        <w:rPr>
          <w:bCs/>
          <w:szCs w:val="26"/>
        </w:rPr>
        <w:t xml:space="preserve"> </w:t>
      </w:r>
    </w:p>
    <w:p w14:paraId="6FC21F6D" w14:textId="70FA9C6C" w:rsidR="0059423B" w:rsidRPr="008C3488" w:rsidRDefault="00C82525" w:rsidP="008C3488">
      <w:pPr>
        <w:pStyle w:val="FERCparanumber"/>
        <w:spacing w:before="100"/>
        <w:rPr>
          <w:bCs/>
          <w:szCs w:val="26"/>
        </w:rPr>
      </w:pPr>
      <w:r w:rsidRPr="00413969">
        <w:t>Regarding the third guideline,</w:t>
      </w:r>
      <w:r w:rsidR="00D301E2" w:rsidRPr="00413969">
        <w:t xml:space="preserve"> </w:t>
      </w:r>
      <w:r w:rsidR="008E72AC" w:rsidRPr="00413969">
        <w:t xml:space="preserve">existing </w:t>
      </w:r>
      <w:r w:rsidR="00D301E2" w:rsidRPr="00413969">
        <w:t>Reliability Standards</w:t>
      </w:r>
      <w:r w:rsidRPr="00413969">
        <w:t xml:space="preserve"> </w:t>
      </w:r>
      <w:r w:rsidR="008E72AC" w:rsidRPr="00413969">
        <w:t>require real-time monitoring and assessments by reliability coordinators (IRO-002-4 and IRO-008-2), transmission operators (TOP-001-3), and balancing authorities (TOP-001-3)</w:t>
      </w:r>
      <w:r w:rsidRPr="00413969">
        <w:t xml:space="preserve">.  Reliability Standards </w:t>
      </w:r>
      <w:r w:rsidR="008C3488" w:rsidRPr="00413969">
        <w:t>IRO-002-4, Requirements R3 and R4</w:t>
      </w:r>
      <w:r w:rsidRPr="00413969">
        <w:t xml:space="preserve">, </w:t>
      </w:r>
      <w:r w:rsidR="008C3488" w:rsidRPr="00413969">
        <w:t xml:space="preserve">IRO-008-2, Requirement R4, </w:t>
      </w:r>
      <w:r w:rsidRPr="00413969">
        <w:t xml:space="preserve">and </w:t>
      </w:r>
      <w:r w:rsidR="00A65F09">
        <w:br/>
      </w:r>
      <w:r w:rsidR="008C3488" w:rsidRPr="00413969">
        <w:t>TOP-001-3, Requirement R13</w:t>
      </w:r>
      <w:r w:rsidR="00D301E2" w:rsidRPr="00413969">
        <w:t xml:space="preserve"> </w:t>
      </w:r>
      <w:r w:rsidRPr="00413969">
        <w:t xml:space="preserve">require </w:t>
      </w:r>
      <w:r w:rsidR="00D301E2" w:rsidRPr="00413969">
        <w:t xml:space="preserve">monitoring and analysis of the bulk electric system </w:t>
      </w:r>
      <w:r w:rsidR="008E72AC" w:rsidRPr="00413969">
        <w:t>and</w:t>
      </w:r>
      <w:r w:rsidRPr="00413969">
        <w:t xml:space="preserve"> have </w:t>
      </w:r>
      <w:r w:rsidR="00D301E2" w:rsidRPr="00413969">
        <w:t>“high”</w:t>
      </w:r>
      <w:r w:rsidRPr="00413969">
        <w:t xml:space="preserve"> violation risk factor</w:t>
      </w:r>
      <w:r w:rsidR="003D2562" w:rsidRPr="00413969">
        <w:t>s</w:t>
      </w:r>
      <w:r w:rsidRPr="00413969">
        <w:t>.</w:t>
      </w:r>
      <w:r w:rsidR="00D301E2" w:rsidRPr="00413969">
        <w:t xml:space="preserve">  </w:t>
      </w:r>
      <w:r w:rsidR="00602972" w:rsidRPr="00413969">
        <w:t xml:space="preserve">The </w:t>
      </w:r>
      <w:r w:rsidR="00FA1A75" w:rsidRPr="00413969">
        <w:t xml:space="preserve">requirements of Reliability Standards </w:t>
      </w:r>
      <w:r w:rsidR="00A65F09">
        <w:br/>
      </w:r>
      <w:r w:rsidR="00FA1A75" w:rsidRPr="00413969">
        <w:rPr>
          <w:bCs/>
          <w:szCs w:val="26"/>
        </w:rPr>
        <w:t xml:space="preserve">IRO-018-1 and </w:t>
      </w:r>
      <w:r w:rsidR="003D2562" w:rsidRPr="00413969">
        <w:rPr>
          <w:bCs/>
          <w:szCs w:val="26"/>
        </w:rPr>
        <w:t xml:space="preserve">TOP-010-1 </w:t>
      </w:r>
      <w:r w:rsidR="00FA1A75" w:rsidRPr="00413969">
        <w:rPr>
          <w:bCs/>
          <w:szCs w:val="26"/>
        </w:rPr>
        <w:t xml:space="preserve">are designed to ensure </w:t>
      </w:r>
      <w:r w:rsidR="003D2562" w:rsidRPr="00413969">
        <w:rPr>
          <w:bCs/>
          <w:szCs w:val="26"/>
        </w:rPr>
        <w:t xml:space="preserve">the </w:t>
      </w:r>
      <w:r w:rsidR="00FA1A75" w:rsidRPr="00413969">
        <w:t xml:space="preserve">accuracy of the </w:t>
      </w:r>
      <w:r w:rsidR="00602972" w:rsidRPr="00413969">
        <w:t>data u</w:t>
      </w:r>
      <w:r w:rsidR="008C3488" w:rsidRPr="00413969">
        <w:t>sed in these</w:t>
      </w:r>
      <w:r w:rsidRPr="00413969">
        <w:t xml:space="preserve"> </w:t>
      </w:r>
      <w:r w:rsidR="00FA1A75" w:rsidRPr="00413969">
        <w:lastRenderedPageBreak/>
        <w:t xml:space="preserve">existing </w:t>
      </w:r>
      <w:r w:rsidRPr="00413969">
        <w:t>Reliability</w:t>
      </w:r>
      <w:r w:rsidR="008C3488" w:rsidRPr="00413969">
        <w:t xml:space="preserve"> </w:t>
      </w:r>
      <w:r w:rsidRPr="00413969">
        <w:t>S</w:t>
      </w:r>
      <w:r w:rsidR="008C3488" w:rsidRPr="00413969">
        <w:t>tandards to perform the</w:t>
      </w:r>
      <w:r w:rsidR="008C3488">
        <w:t xml:space="preserve"> </w:t>
      </w:r>
      <w:r w:rsidR="00602972">
        <w:t xml:space="preserve">required monitoring and analysis activities </w:t>
      </w:r>
      <w:r w:rsidR="007F662B">
        <w:t>of the bulk electric system.  The quality of the data is a</w:t>
      </w:r>
      <w:r w:rsidR="0077446D">
        <w:t>n</w:t>
      </w:r>
      <w:r w:rsidR="007F662B">
        <w:t xml:space="preserve"> essential </w:t>
      </w:r>
      <w:r w:rsidR="0077446D">
        <w:t>element of</w:t>
      </w:r>
      <w:r w:rsidR="007F662B">
        <w:t xml:space="preserve"> the </w:t>
      </w:r>
      <w:r w:rsidR="00A5672D">
        <w:t xml:space="preserve">monitoring and analysis </w:t>
      </w:r>
      <w:r w:rsidR="0077446D">
        <w:t>process.</w:t>
      </w:r>
      <w:r w:rsidR="003D2562">
        <w:rPr>
          <w:rStyle w:val="FootnoteReference"/>
        </w:rPr>
        <w:footnoteReference w:id="10"/>
      </w:r>
      <w:r w:rsidR="003D2562">
        <w:t xml:space="preserve">  Accordingly, it would be incongruous to designate requirements mandating monitoring and assessments as “high” while designating requirements </w:t>
      </w:r>
      <w:r w:rsidR="005830BA">
        <w:t>meant</w:t>
      </w:r>
      <w:r w:rsidR="003D2562">
        <w:t xml:space="preserve"> to ensure the accuracy of the data on which those assessments rely with a lower “medium” violation </w:t>
      </w:r>
      <w:r w:rsidR="0041077B">
        <w:t>risk factor</w:t>
      </w:r>
      <w:r w:rsidR="003D2562">
        <w:t xml:space="preserve">. </w:t>
      </w:r>
      <w:r w:rsidR="0077446D">
        <w:t xml:space="preserve"> </w:t>
      </w:r>
      <w:r w:rsidR="008C3488">
        <w:t xml:space="preserve"> </w:t>
      </w:r>
    </w:p>
    <w:p w14:paraId="0E892CDE" w14:textId="0E22303A" w:rsidR="00045BE8" w:rsidRPr="0096444A" w:rsidRDefault="0059423B" w:rsidP="0059423B">
      <w:pPr>
        <w:pStyle w:val="FERCparanumber"/>
        <w:spacing w:before="100"/>
        <w:rPr>
          <w:bCs/>
          <w:szCs w:val="26"/>
        </w:rPr>
      </w:pPr>
      <w:r>
        <w:rPr>
          <w:bCs/>
          <w:szCs w:val="26"/>
        </w:rPr>
        <w:t xml:space="preserve">We </w:t>
      </w:r>
      <w:r w:rsidR="00F55289">
        <w:t xml:space="preserve">are </w:t>
      </w:r>
      <w:r>
        <w:t xml:space="preserve">not </w:t>
      </w:r>
      <w:r w:rsidR="00F55289">
        <w:t xml:space="preserve">persuaded by </w:t>
      </w:r>
      <w:r w:rsidR="00D700C9">
        <w:t xml:space="preserve">NERC’s reliance on </w:t>
      </w:r>
      <w:r w:rsidR="0041077B">
        <w:t xml:space="preserve">the violation risk factors in existing </w:t>
      </w:r>
      <w:r w:rsidR="002E42B0">
        <w:t>Reliability Standards TOP-003-3 and IRO-</w:t>
      </w:r>
      <w:r w:rsidR="00C8788F">
        <w:t>0</w:t>
      </w:r>
      <w:r w:rsidR="002E42B0">
        <w:t>10-2</w:t>
      </w:r>
      <w:r w:rsidR="00F55289">
        <w:t xml:space="preserve"> </w:t>
      </w:r>
      <w:r w:rsidR="0041077B">
        <w:t xml:space="preserve">to support </w:t>
      </w:r>
      <w:r w:rsidR="00F55289">
        <w:t xml:space="preserve">assigning a “medium” </w:t>
      </w:r>
      <w:r w:rsidR="00C82525">
        <w:t>violation risk factor</w:t>
      </w:r>
      <w:r w:rsidR="0041077B">
        <w:t xml:space="preserve"> to </w:t>
      </w:r>
      <w:r w:rsidR="0041077B" w:rsidRPr="0059423B">
        <w:rPr>
          <w:bCs/>
          <w:szCs w:val="26"/>
        </w:rPr>
        <w:t xml:space="preserve">Requirement 1 of </w:t>
      </w:r>
      <w:r w:rsidR="0041077B">
        <w:rPr>
          <w:bCs/>
          <w:szCs w:val="26"/>
        </w:rPr>
        <w:t xml:space="preserve">Reliability Standard </w:t>
      </w:r>
      <w:r w:rsidR="0041077B" w:rsidRPr="0059423B">
        <w:rPr>
          <w:bCs/>
          <w:szCs w:val="26"/>
        </w:rPr>
        <w:t xml:space="preserve">IRO-018-1 and </w:t>
      </w:r>
      <w:r w:rsidR="0041077B" w:rsidRPr="00413969">
        <w:rPr>
          <w:bCs/>
          <w:szCs w:val="26"/>
        </w:rPr>
        <w:t>Requirements R1 and R2 of Reliability Standard TOP-010-1</w:t>
      </w:r>
      <w:r w:rsidR="00F55289" w:rsidRPr="00413969">
        <w:t xml:space="preserve">.  Reliability Standards TOP-003-3 and IRO-010-2 </w:t>
      </w:r>
      <w:r w:rsidRPr="00413969">
        <w:t xml:space="preserve">address documentation </w:t>
      </w:r>
      <w:r w:rsidR="00045BE8" w:rsidRPr="00413969">
        <w:t xml:space="preserve">and specification </w:t>
      </w:r>
      <w:r w:rsidRPr="00413969">
        <w:t>of data</w:t>
      </w:r>
      <w:r w:rsidR="002A4862" w:rsidRPr="00413969">
        <w:t>.</w:t>
      </w:r>
      <w:r w:rsidR="0087088D" w:rsidRPr="00413969">
        <w:rPr>
          <w:rStyle w:val="FootnoteReference"/>
        </w:rPr>
        <w:footnoteReference w:id="11"/>
      </w:r>
      <w:r w:rsidRPr="00413969">
        <w:t xml:space="preserve">  </w:t>
      </w:r>
      <w:r w:rsidR="002E42B0" w:rsidRPr="00413969">
        <w:t xml:space="preserve">In contrast, </w:t>
      </w:r>
      <w:r w:rsidR="00C82525" w:rsidRPr="00413969">
        <w:t xml:space="preserve">Reliability Standards </w:t>
      </w:r>
      <w:r w:rsidR="002A4862" w:rsidRPr="00413969">
        <w:t xml:space="preserve">IRO-018-1, Requirement </w:t>
      </w:r>
      <w:r w:rsidRPr="00413969">
        <w:t>R</w:t>
      </w:r>
      <w:r w:rsidR="002A4862" w:rsidRPr="00413969">
        <w:t>1 and TOP-010-1</w:t>
      </w:r>
      <w:r w:rsidR="00344715" w:rsidRPr="00413969">
        <w:t xml:space="preserve">, Requirements </w:t>
      </w:r>
      <w:r w:rsidRPr="00413969">
        <w:t>R</w:t>
      </w:r>
      <w:r w:rsidR="00344715" w:rsidRPr="00413969">
        <w:t xml:space="preserve">1 and </w:t>
      </w:r>
      <w:r w:rsidRPr="00413969">
        <w:t>R</w:t>
      </w:r>
      <w:r w:rsidR="00344715" w:rsidRPr="00413969">
        <w:t xml:space="preserve">2 </w:t>
      </w:r>
      <w:r w:rsidR="00D179AF" w:rsidRPr="00413969">
        <w:t xml:space="preserve">go beyond documentation and specification of data and </w:t>
      </w:r>
      <w:r w:rsidR="00344715" w:rsidRPr="00413969">
        <w:t xml:space="preserve">require the development of </w:t>
      </w:r>
      <w:r w:rsidR="002E42B0" w:rsidRPr="00413969">
        <w:t>an o</w:t>
      </w:r>
      <w:r w:rsidR="00344715" w:rsidRPr="00413969">
        <w:t>perating</w:t>
      </w:r>
      <w:r w:rsidR="00C8788F" w:rsidRPr="00413969">
        <w:t xml:space="preserve"> </w:t>
      </w:r>
      <w:r w:rsidR="00F55289" w:rsidRPr="00413969">
        <w:t>p</w:t>
      </w:r>
      <w:r w:rsidR="00344715" w:rsidRPr="00413969">
        <w:t xml:space="preserve">rocess or </w:t>
      </w:r>
      <w:r w:rsidR="00F55289" w:rsidRPr="00413969">
        <w:t>o</w:t>
      </w:r>
      <w:r w:rsidR="00C8788F" w:rsidRPr="00413969">
        <w:t xml:space="preserve">perating </w:t>
      </w:r>
      <w:r w:rsidR="00F55289" w:rsidRPr="00413969">
        <w:t>p</w:t>
      </w:r>
      <w:r w:rsidR="00344715" w:rsidRPr="00413969">
        <w:t xml:space="preserve">rocedure to evaluate </w:t>
      </w:r>
      <w:r w:rsidR="00D179AF" w:rsidRPr="00413969">
        <w:t>“the quality of the Real-time data necessary to perform [] Real-time data monitoring and Real-time Assessments or analysis functions</w:t>
      </w:r>
      <w:r w:rsidR="00344715" w:rsidRPr="00413969">
        <w:t>.</w:t>
      </w:r>
      <w:r w:rsidR="00D179AF" w:rsidRPr="00413969">
        <w:t>”</w:t>
      </w:r>
      <w:r w:rsidR="00D179AF" w:rsidRPr="00413969">
        <w:rPr>
          <w:rStyle w:val="FootnoteReference"/>
        </w:rPr>
        <w:footnoteReference w:id="12"/>
      </w:r>
      <w:r w:rsidR="00344715" w:rsidRPr="00413969">
        <w:t xml:space="preserve">  </w:t>
      </w:r>
      <w:r w:rsidR="005830BA" w:rsidRPr="00413969">
        <w:t xml:space="preserve">This distinction justifies assigning a higher violation </w:t>
      </w:r>
      <w:r w:rsidR="0041077B" w:rsidRPr="00413969">
        <w:t>risk factor</w:t>
      </w:r>
      <w:r w:rsidR="005830BA" w:rsidRPr="00413969">
        <w:t xml:space="preserve"> to Reliability Standards IRO-018-1, Requirement R1 and TOP-010-1, Requirements R1 and R2.</w:t>
      </w:r>
      <w:r w:rsidR="00906546" w:rsidRPr="00413969">
        <w:t xml:space="preserve"> </w:t>
      </w:r>
      <w:r w:rsidR="00C8788F" w:rsidRPr="00413969">
        <w:t xml:space="preserve"> </w:t>
      </w:r>
    </w:p>
    <w:p w14:paraId="3E9AC54D" w14:textId="43B95F88" w:rsidR="00216963" w:rsidRPr="00413969" w:rsidRDefault="00216963" w:rsidP="0059423B">
      <w:pPr>
        <w:pStyle w:val="FERCparanumber"/>
        <w:spacing w:before="100"/>
        <w:rPr>
          <w:bCs/>
          <w:szCs w:val="26"/>
        </w:rPr>
      </w:pPr>
      <w:r w:rsidRPr="00413969">
        <w:t xml:space="preserve">Nor are we persuaded by NERC’s citation of a “medium” violation risk factor for Reliability Standard TOP-001-3, Requirement R9.  This requirement mandates that each transmission operator and balancing authority notify its reliability coordinator and known impacted interconnected entities of, among other things, all planned outages, and unplanned outages of 30 minutes or more, for monitoring and assessment capabilities, and associated communication channels between the affected entities. </w:t>
      </w:r>
      <w:r>
        <w:t xml:space="preserve"> </w:t>
      </w:r>
      <w:r w:rsidRPr="00413969">
        <w:t xml:space="preserve">This is a </w:t>
      </w:r>
      <w:r w:rsidRPr="00413969">
        <w:lastRenderedPageBreak/>
        <w:t xml:space="preserve">notification requirement, not a </w:t>
      </w:r>
      <w:r w:rsidR="00571C8D">
        <w:t>r</w:t>
      </w:r>
      <w:r w:rsidRPr="00413969">
        <w:t xml:space="preserve">eal-time performance requirement.  The notified entity already is subject to performance requirements relating to its </w:t>
      </w:r>
      <w:r w:rsidR="00571C8D">
        <w:t>r</w:t>
      </w:r>
      <w:r w:rsidRPr="00413969">
        <w:t>eal-time monitoring and assessment capabilities.</w:t>
      </w:r>
    </w:p>
    <w:p w14:paraId="55F5F7EA" w14:textId="42355590" w:rsidR="00E1762E" w:rsidRDefault="00B2753C" w:rsidP="00E1762E">
      <w:pPr>
        <w:pStyle w:val="FERCparanumber"/>
        <w:numPr>
          <w:ilvl w:val="0"/>
          <w:numId w:val="0"/>
        </w:numPr>
        <w:spacing w:before="100"/>
        <w:rPr>
          <w:b/>
          <w:u w:val="single"/>
        </w:rPr>
      </w:pPr>
      <w:r>
        <w:rPr>
          <w:b/>
        </w:rPr>
        <w:t>IV</w:t>
      </w:r>
      <w:r w:rsidR="00E1762E" w:rsidRPr="00755E06">
        <w:rPr>
          <w:b/>
        </w:rPr>
        <w:t>.</w:t>
      </w:r>
      <w:r w:rsidR="00E1762E" w:rsidRPr="00755E06">
        <w:rPr>
          <w:b/>
        </w:rPr>
        <w:tab/>
      </w:r>
      <w:r w:rsidR="00E1762E" w:rsidRPr="00755E06">
        <w:rPr>
          <w:b/>
          <w:u w:val="single"/>
        </w:rPr>
        <w:t>Information Collection Statement</w:t>
      </w:r>
    </w:p>
    <w:p w14:paraId="51E898FB" w14:textId="3657C618" w:rsidR="00AF58F7" w:rsidRDefault="00AF58F7" w:rsidP="00AF58F7">
      <w:pPr>
        <w:pStyle w:val="FERCparanumber"/>
        <w:spacing w:before="100"/>
        <w:rPr>
          <w:szCs w:val="26"/>
        </w:rPr>
      </w:pPr>
      <w:r w:rsidRPr="00AF58F7">
        <w:rPr>
          <w:szCs w:val="26"/>
        </w:rPr>
        <w:t>The Paperwork Reduction Act (PRA) requires each federal agency to seek and obtain Office of Management and Budget (OMB) approval before undertaking a collection of information directed to ten or more persons or contained in a rule of general applicability.</w:t>
      </w:r>
      <w:r w:rsidRPr="00AF58F7">
        <w:rPr>
          <w:b/>
          <w:szCs w:val="26"/>
          <w:vertAlign w:val="superscript"/>
        </w:rPr>
        <w:footnoteReference w:id="13"/>
      </w:r>
      <w:r w:rsidRPr="00AF58F7">
        <w:rPr>
          <w:szCs w:val="26"/>
        </w:rPr>
        <w:t xml:space="preserve">  OMB regulations require approval of certain information collection requirements imposed by agency rules.</w:t>
      </w:r>
      <w:r w:rsidRPr="00AF58F7">
        <w:rPr>
          <w:b/>
          <w:szCs w:val="26"/>
          <w:vertAlign w:val="superscript"/>
        </w:rPr>
        <w:footnoteReference w:id="14"/>
      </w:r>
      <w:r w:rsidRPr="00AF58F7">
        <w:rPr>
          <w:szCs w:val="26"/>
        </w:rPr>
        <w:t xml:space="preserve">  Upon approval of a collection of information, OMB will assign an OMB control number and an expiration date.  Respondents subject to the filing requirements of an agency rule will not be penalized for failing to respond to the collection of information unless the collection of information displays a valid OMB control number.</w:t>
      </w:r>
    </w:p>
    <w:p w14:paraId="3D18C68B" w14:textId="77777777" w:rsidR="00AF58F7" w:rsidRPr="00AF58F7" w:rsidRDefault="00AF58F7" w:rsidP="00AF58F7">
      <w:pPr>
        <w:pStyle w:val="FERCparanumber"/>
        <w:spacing w:before="100"/>
        <w:rPr>
          <w:szCs w:val="26"/>
        </w:rPr>
      </w:pPr>
      <w:r w:rsidRPr="00AF58F7">
        <w:rPr>
          <w:szCs w:val="26"/>
        </w:rPr>
        <w:t xml:space="preserve">The Commission will submit the information collection requirements to OMB for its review and approval.  The Commission solicits public comments on its need for this information, whether the information will have practical utility, the accuracy of burden and cost estimates, ways to enhance the quality, utility, and clarity of the information to be collected or retained, and any suggested methods for minimizing respondents’ burden, including the use of automated information techniques.  </w:t>
      </w:r>
      <w:r w:rsidRPr="00AF58F7">
        <w:rPr>
          <w:bCs/>
          <w:szCs w:val="26"/>
        </w:rPr>
        <w:t>Comments are due</w:t>
      </w:r>
      <w:r w:rsidRPr="00AF58F7">
        <w:rPr>
          <w:b/>
          <w:bCs/>
          <w:szCs w:val="26"/>
        </w:rPr>
        <w:t xml:space="preserve"> [60 days after publication in the FEDERAL REGISTER].</w:t>
      </w:r>
    </w:p>
    <w:p w14:paraId="1B99DD49" w14:textId="71ADA93A" w:rsidR="00AF58F7" w:rsidRDefault="00AF58F7" w:rsidP="00AF58F7">
      <w:pPr>
        <w:pStyle w:val="FERCparanumber"/>
        <w:spacing w:before="100"/>
        <w:rPr>
          <w:szCs w:val="26"/>
        </w:rPr>
      </w:pPr>
      <w:r w:rsidRPr="00AF58F7">
        <w:rPr>
          <w:szCs w:val="26"/>
        </w:rPr>
        <w:t>The Commission is approving the proposed Reliability Standards IRO-018-01</w:t>
      </w:r>
      <w:r>
        <w:rPr>
          <w:szCs w:val="26"/>
        </w:rPr>
        <w:t xml:space="preserve"> </w:t>
      </w:r>
      <w:r w:rsidRPr="00AF58F7">
        <w:rPr>
          <w:szCs w:val="26"/>
        </w:rPr>
        <w:t xml:space="preserve">(Reliability Coordinator Real-time Reliability Monitoring and Analysis Capabilities, associated with FERC-725Z (Mandatory Reliability Standards: </w:t>
      </w:r>
      <w:r w:rsidR="0009726F">
        <w:rPr>
          <w:szCs w:val="26"/>
        </w:rPr>
        <w:t xml:space="preserve"> </w:t>
      </w:r>
      <w:r w:rsidRPr="00AF58F7">
        <w:rPr>
          <w:szCs w:val="26"/>
        </w:rPr>
        <w:t xml:space="preserve">IRO Reliability Standards)) and TOP-010-1 (Real-time Reliability Monitoring and Analysis Capabilities, associated with FERC-725A (Mandatory Reliability Standards for the Bulk Power System)).  </w:t>
      </w:r>
    </w:p>
    <w:p w14:paraId="66A4841F" w14:textId="77777777" w:rsidR="00AF58F7" w:rsidRDefault="00AF58F7" w:rsidP="00AF58F7">
      <w:pPr>
        <w:pStyle w:val="FERCparanumber"/>
        <w:spacing w:before="100"/>
        <w:rPr>
          <w:szCs w:val="26"/>
        </w:rPr>
      </w:pPr>
      <w:r w:rsidRPr="00AF58F7">
        <w:rPr>
          <w:szCs w:val="26"/>
        </w:rPr>
        <w:t xml:space="preserve">The Commission finds that the new TOP and IRO Reliability Standards improve reliability by providing rigorous functional requirements for </w:t>
      </w:r>
      <w:r>
        <w:rPr>
          <w:szCs w:val="26"/>
        </w:rPr>
        <w:t>r</w:t>
      </w:r>
      <w:r w:rsidRPr="00AF58F7">
        <w:rPr>
          <w:szCs w:val="26"/>
        </w:rPr>
        <w:t xml:space="preserve">eal-time monitoring and analysis.  Reliability Standards IRO-018-1 and TOP-010-1 were created to improve real-time situational awareness capabilities and enhance reliable operations by requiring reliability coordinators, transmission operators, and balancing authorities to provide </w:t>
      </w:r>
      <w:r w:rsidRPr="00AF58F7">
        <w:rPr>
          <w:szCs w:val="26"/>
        </w:rPr>
        <w:lastRenderedPageBreak/>
        <w:t xml:space="preserve">operators with awareness of monitoring and analysis capabilities, including alarm availability, so that </w:t>
      </w:r>
      <w:r>
        <w:rPr>
          <w:szCs w:val="26"/>
        </w:rPr>
        <w:t xml:space="preserve">entities </w:t>
      </w:r>
      <w:r w:rsidRPr="00AF58F7">
        <w:rPr>
          <w:szCs w:val="26"/>
        </w:rPr>
        <w:t xml:space="preserve">may take appropriate steps to </w:t>
      </w:r>
      <w:r>
        <w:rPr>
          <w:szCs w:val="26"/>
        </w:rPr>
        <w:t>ensure</w:t>
      </w:r>
      <w:r w:rsidRPr="00AF58F7">
        <w:rPr>
          <w:szCs w:val="26"/>
        </w:rPr>
        <w:t xml:space="preserve"> reliability. </w:t>
      </w:r>
    </w:p>
    <w:p w14:paraId="7D569EAA" w14:textId="48D351A7" w:rsidR="00AF58F7" w:rsidRPr="00AF58F7" w:rsidRDefault="00AF58F7" w:rsidP="00AF58F7">
      <w:pPr>
        <w:pStyle w:val="FERCparanumber"/>
        <w:spacing w:before="100"/>
        <w:rPr>
          <w:szCs w:val="26"/>
        </w:rPr>
      </w:pPr>
      <w:r w:rsidRPr="00AF58F7">
        <w:rPr>
          <w:szCs w:val="26"/>
        </w:rPr>
        <w:t>The Commission approves Reliability Standards IRO-018-1 and TOP-010-1</w:t>
      </w:r>
      <w:r w:rsidR="00462CB5">
        <w:rPr>
          <w:szCs w:val="26"/>
        </w:rPr>
        <w:t>,</w:t>
      </w:r>
      <w:r w:rsidRPr="00AF58F7">
        <w:rPr>
          <w:szCs w:val="26"/>
        </w:rPr>
        <w:t xml:space="preserve"> which enhance reliability by accomplishing Black</w:t>
      </w:r>
      <w:r w:rsidR="007103CB">
        <w:rPr>
          <w:szCs w:val="26"/>
        </w:rPr>
        <w:t>o</w:t>
      </w:r>
      <w:r w:rsidRPr="00AF58F7">
        <w:rPr>
          <w:szCs w:val="26"/>
        </w:rPr>
        <w:t>ut Report Recommendation 22 to evaluate and adopt better real-time tools for operators and reliability coordinators and establish</w:t>
      </w:r>
      <w:r>
        <w:rPr>
          <w:szCs w:val="26"/>
        </w:rPr>
        <w:t xml:space="preserve"> </w:t>
      </w:r>
      <w:r w:rsidRPr="00AF58F7">
        <w:rPr>
          <w:szCs w:val="26"/>
        </w:rPr>
        <w:t xml:space="preserve">requirements to perform real-time monitoring and analysis capabilities to support reliable </w:t>
      </w:r>
      <w:r w:rsidRPr="00413969">
        <w:rPr>
          <w:szCs w:val="26"/>
        </w:rPr>
        <w:t>system operations.  The new Reliability Standards build upon existing requirements to support effective real-time monitoring and analysis and improved situational awareness</w:t>
      </w:r>
      <w:r w:rsidR="0014132E" w:rsidRPr="00413969">
        <w:rPr>
          <w:szCs w:val="26"/>
        </w:rPr>
        <w:t>,</w:t>
      </w:r>
      <w:r w:rsidRPr="00413969">
        <w:rPr>
          <w:szCs w:val="26"/>
        </w:rPr>
        <w:t xml:space="preserve"> and thereby enhance reliable operations.  Reliability Standard </w:t>
      </w:r>
      <w:r w:rsidR="0093548A">
        <w:rPr>
          <w:szCs w:val="26"/>
        </w:rPr>
        <w:br/>
      </w:r>
      <w:r w:rsidRPr="00413969">
        <w:rPr>
          <w:szCs w:val="26"/>
        </w:rPr>
        <w:t>IRO-018-1 is applicable to reliability</w:t>
      </w:r>
      <w:r w:rsidRPr="00AF58F7">
        <w:rPr>
          <w:szCs w:val="26"/>
        </w:rPr>
        <w:t xml:space="preserve"> coordinators.  Reliability Standard TOP-010-1 applies to transmission operators and balancing authorities.</w:t>
      </w:r>
    </w:p>
    <w:p w14:paraId="595B2D77" w14:textId="3F0D9EAD" w:rsidR="00AF58F7" w:rsidRPr="00AF58F7" w:rsidRDefault="00AF58F7" w:rsidP="00AF58F7">
      <w:pPr>
        <w:rPr>
          <w:szCs w:val="26"/>
        </w:rPr>
      </w:pPr>
      <w:r w:rsidRPr="00AF58F7">
        <w:rPr>
          <w:szCs w:val="26"/>
          <w:u w:val="single"/>
        </w:rPr>
        <w:t>Public Reporting Burden</w:t>
      </w:r>
      <w:r w:rsidRPr="00AF58F7">
        <w:rPr>
          <w:szCs w:val="26"/>
        </w:rPr>
        <w:t xml:space="preserve">:  </w:t>
      </w:r>
      <w:r>
        <w:rPr>
          <w:szCs w:val="26"/>
        </w:rPr>
        <w:t xml:space="preserve">The new </w:t>
      </w:r>
      <w:r w:rsidRPr="00AF58F7">
        <w:rPr>
          <w:szCs w:val="26"/>
        </w:rPr>
        <w:t xml:space="preserve">TOP and IRO Reliability Standards require applicable entities to provide notification to operators of real-time monitoring </w:t>
      </w:r>
      <w:r>
        <w:rPr>
          <w:szCs w:val="26"/>
        </w:rPr>
        <w:t xml:space="preserve">of </w:t>
      </w:r>
      <w:r w:rsidRPr="00AF58F7">
        <w:rPr>
          <w:szCs w:val="26"/>
        </w:rPr>
        <w:t xml:space="preserve">alarm failures. </w:t>
      </w:r>
      <w:r>
        <w:rPr>
          <w:szCs w:val="26"/>
        </w:rPr>
        <w:t xml:space="preserve"> The new</w:t>
      </w:r>
      <w:r w:rsidRPr="00AF58F7">
        <w:rPr>
          <w:szCs w:val="26"/>
        </w:rPr>
        <w:t xml:space="preserve"> standards </w:t>
      </w:r>
      <w:r>
        <w:rPr>
          <w:szCs w:val="26"/>
        </w:rPr>
        <w:t xml:space="preserve">also </w:t>
      </w:r>
      <w:r w:rsidRPr="00AF58F7">
        <w:rPr>
          <w:szCs w:val="26"/>
        </w:rPr>
        <w:t xml:space="preserve">require applicable entities to implement </w:t>
      </w:r>
      <w:r>
        <w:rPr>
          <w:szCs w:val="26"/>
        </w:rPr>
        <w:t>o</w:t>
      </w:r>
      <w:r w:rsidRPr="00AF58F7">
        <w:rPr>
          <w:szCs w:val="26"/>
        </w:rPr>
        <w:t xml:space="preserve">perating </w:t>
      </w:r>
      <w:r>
        <w:rPr>
          <w:szCs w:val="26"/>
        </w:rPr>
        <w:t>p</w:t>
      </w:r>
      <w:r w:rsidRPr="00AF58F7">
        <w:rPr>
          <w:szCs w:val="26"/>
        </w:rPr>
        <w:t xml:space="preserve">rocesses or </w:t>
      </w:r>
      <w:r>
        <w:rPr>
          <w:szCs w:val="26"/>
        </w:rPr>
        <w:t>o</w:t>
      </w:r>
      <w:r w:rsidRPr="00AF58F7">
        <w:rPr>
          <w:szCs w:val="26"/>
        </w:rPr>
        <w:t xml:space="preserve">perating </w:t>
      </w:r>
      <w:r>
        <w:rPr>
          <w:szCs w:val="26"/>
        </w:rPr>
        <w:t>p</w:t>
      </w:r>
      <w:r w:rsidRPr="00AF58F7">
        <w:rPr>
          <w:szCs w:val="26"/>
        </w:rPr>
        <w:t>rocedures to:</w:t>
      </w:r>
      <w:r w:rsidR="0009726F">
        <w:rPr>
          <w:szCs w:val="26"/>
        </w:rPr>
        <w:t xml:space="preserve"> </w:t>
      </w:r>
      <w:r w:rsidRPr="00AF58F7">
        <w:rPr>
          <w:szCs w:val="26"/>
        </w:rPr>
        <w:t xml:space="preserve"> (</w:t>
      </w:r>
      <w:proofErr w:type="spellStart"/>
      <w:r w:rsidRPr="00AF58F7">
        <w:rPr>
          <w:szCs w:val="26"/>
        </w:rPr>
        <w:t>i</w:t>
      </w:r>
      <w:proofErr w:type="spellEnd"/>
      <w:r w:rsidRPr="00AF58F7">
        <w:rPr>
          <w:szCs w:val="26"/>
        </w:rPr>
        <w:t>) provide operators with indication(s) of the quality of information being provided by their monitoring and analysis capabilities; and (ii) address deficiencies in the quality of information being provided by their monito</w:t>
      </w:r>
      <w:r>
        <w:rPr>
          <w:szCs w:val="26"/>
        </w:rPr>
        <w:t xml:space="preserve">ring and analysis capabilities.  </w:t>
      </w:r>
      <w:r w:rsidRPr="00AF58F7">
        <w:rPr>
          <w:szCs w:val="26"/>
        </w:rPr>
        <w:t xml:space="preserve">Our estimates regarding the number of respondents </w:t>
      </w:r>
      <w:r w:rsidR="007103CB">
        <w:rPr>
          <w:szCs w:val="26"/>
        </w:rPr>
        <w:t>are</w:t>
      </w:r>
      <w:r w:rsidRPr="00AF58F7">
        <w:rPr>
          <w:szCs w:val="26"/>
        </w:rPr>
        <w:t xml:space="preserve"> based on the NERC Compliance Registry as of April 21, 2016.  According to the NERC Compliance Registry, there are 11 reliability coordinators, 100 balancing authorities and 171 transmission operators</w:t>
      </w:r>
      <w:r>
        <w:rPr>
          <w:szCs w:val="26"/>
        </w:rPr>
        <w:t xml:space="preserve"> </w:t>
      </w:r>
      <w:r w:rsidRPr="00AF58F7">
        <w:rPr>
          <w:szCs w:val="26"/>
        </w:rPr>
        <w:t xml:space="preserve">registered.  The additional estimated burden and cost related to the changes in Docket No. RD16-6 </w:t>
      </w:r>
      <w:r>
        <w:rPr>
          <w:szCs w:val="26"/>
        </w:rPr>
        <w:t>are as follows</w:t>
      </w:r>
      <w:r w:rsidRPr="00AF58F7">
        <w:rPr>
          <w:szCs w:val="26"/>
        </w:rPr>
        <w:t>:</w:t>
      </w:r>
    </w:p>
    <w:p w14:paraId="19EC01B4" w14:textId="77777777" w:rsidR="00AF58F7" w:rsidRPr="004B511E" w:rsidRDefault="00AF58F7" w:rsidP="00AF58F7">
      <w:pPr>
        <w:rPr>
          <w:sz w:val="22"/>
          <w:szCs w:val="22"/>
        </w:rPr>
      </w:pPr>
    </w:p>
    <w:tbl>
      <w:tblPr>
        <w:tblpPr w:leftFromText="180" w:rightFromText="180" w:vertAnchor="text" w:horzAnchor="margin" w:tblpY="180"/>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1"/>
        <w:gridCol w:w="1268"/>
        <w:gridCol w:w="996"/>
        <w:gridCol w:w="1254"/>
        <w:gridCol w:w="1183"/>
        <w:gridCol w:w="8"/>
        <w:gridCol w:w="1343"/>
        <w:gridCol w:w="1440"/>
        <w:gridCol w:w="15"/>
        <w:gridCol w:w="1223"/>
      </w:tblGrid>
      <w:tr w:rsidR="00AF58F7" w:rsidRPr="004B511E" w14:paraId="2496D2B8" w14:textId="77777777" w:rsidTr="00360EC8">
        <w:trPr>
          <w:cantSplit/>
        </w:trPr>
        <w:tc>
          <w:tcPr>
            <w:tcW w:w="5000" w:type="pct"/>
            <w:gridSpan w:val="11"/>
            <w:shd w:val="clear" w:color="auto" w:fill="auto"/>
            <w:vAlign w:val="center"/>
          </w:tcPr>
          <w:p w14:paraId="0E0A1735" w14:textId="44BCCC88" w:rsidR="00AF58F7" w:rsidRPr="004B511E" w:rsidRDefault="00AF58F7" w:rsidP="00AF58F7">
            <w:pPr>
              <w:keepNext/>
              <w:jc w:val="center"/>
              <w:rPr>
                <w:rFonts w:eastAsia="Calibri"/>
                <w:b/>
                <w:sz w:val="20"/>
                <w:szCs w:val="20"/>
              </w:rPr>
            </w:pPr>
            <w:r w:rsidRPr="004B511E">
              <w:rPr>
                <w:rFonts w:eastAsia="Calibri"/>
                <w:b/>
                <w:sz w:val="20"/>
                <w:szCs w:val="20"/>
              </w:rPr>
              <w:lastRenderedPageBreak/>
              <w:t xml:space="preserve">FERC-725Z, changes due to </w:t>
            </w:r>
            <w:r w:rsidR="004B511E" w:rsidRPr="004B511E">
              <w:rPr>
                <w:rFonts w:eastAsia="Calibri"/>
                <w:b/>
                <w:sz w:val="20"/>
                <w:szCs w:val="20"/>
              </w:rPr>
              <w:t xml:space="preserve">Reliability Standard </w:t>
            </w:r>
            <w:r w:rsidRPr="004B511E">
              <w:rPr>
                <w:rFonts w:eastAsia="Calibri"/>
                <w:b/>
                <w:sz w:val="20"/>
                <w:szCs w:val="20"/>
              </w:rPr>
              <w:t>IRO-018-1</w:t>
            </w:r>
          </w:p>
          <w:p w14:paraId="3429044D" w14:textId="77777777" w:rsidR="00AF58F7" w:rsidRPr="004B511E" w:rsidRDefault="00AF58F7" w:rsidP="00AF58F7">
            <w:pPr>
              <w:keepNext/>
              <w:jc w:val="center"/>
              <w:rPr>
                <w:rFonts w:eastAsia="Calibri"/>
                <w:b/>
                <w:sz w:val="20"/>
                <w:szCs w:val="20"/>
              </w:rPr>
            </w:pPr>
          </w:p>
        </w:tc>
      </w:tr>
      <w:tr w:rsidR="004B511E" w:rsidRPr="004B511E" w14:paraId="6F3BED00" w14:textId="77777777" w:rsidTr="004B511E">
        <w:trPr>
          <w:cantSplit/>
        </w:trPr>
        <w:tc>
          <w:tcPr>
            <w:tcW w:w="476" w:type="pct"/>
            <w:gridSpan w:val="2"/>
            <w:shd w:val="clear" w:color="auto" w:fill="D9D9D9"/>
            <w:vAlign w:val="center"/>
          </w:tcPr>
          <w:p w14:paraId="491EA107" w14:textId="77777777" w:rsidR="00AF58F7" w:rsidRPr="004B511E" w:rsidRDefault="00AF58F7" w:rsidP="00AF58F7">
            <w:pPr>
              <w:keepNext/>
              <w:jc w:val="center"/>
              <w:rPr>
                <w:b/>
                <w:sz w:val="20"/>
                <w:szCs w:val="20"/>
              </w:rPr>
            </w:pPr>
            <w:r w:rsidRPr="004B511E">
              <w:rPr>
                <w:b/>
                <w:sz w:val="20"/>
                <w:szCs w:val="20"/>
              </w:rPr>
              <w:t>Entity</w:t>
            </w:r>
          </w:p>
        </w:tc>
        <w:tc>
          <w:tcPr>
            <w:tcW w:w="657" w:type="pct"/>
            <w:shd w:val="clear" w:color="auto" w:fill="D9D9D9"/>
            <w:vAlign w:val="center"/>
          </w:tcPr>
          <w:p w14:paraId="37146E9F" w14:textId="77777777" w:rsidR="00AF58F7" w:rsidRPr="004B511E" w:rsidRDefault="00AF58F7" w:rsidP="00AF58F7">
            <w:pPr>
              <w:keepNext/>
              <w:jc w:val="center"/>
              <w:rPr>
                <w:rFonts w:eastAsia="Calibri"/>
                <w:b/>
                <w:sz w:val="20"/>
                <w:szCs w:val="20"/>
              </w:rPr>
            </w:pPr>
            <w:r w:rsidRPr="004B511E">
              <w:rPr>
                <w:b/>
                <w:sz w:val="20"/>
                <w:szCs w:val="20"/>
              </w:rPr>
              <w:t>Requirements &amp; Period</w:t>
            </w:r>
          </w:p>
        </w:tc>
        <w:tc>
          <w:tcPr>
            <w:tcW w:w="516" w:type="pct"/>
            <w:shd w:val="clear" w:color="auto" w:fill="D9D9D9"/>
            <w:vAlign w:val="bottom"/>
          </w:tcPr>
          <w:p w14:paraId="25E4A4E0" w14:textId="7126FAE2" w:rsidR="00AF58F7" w:rsidRPr="004B511E" w:rsidRDefault="00AF58F7" w:rsidP="004B511E">
            <w:pPr>
              <w:keepNext/>
              <w:jc w:val="center"/>
              <w:rPr>
                <w:rFonts w:eastAsia="Calibri"/>
                <w:b/>
                <w:sz w:val="20"/>
                <w:szCs w:val="20"/>
              </w:rPr>
            </w:pPr>
            <w:r w:rsidRPr="004B511E">
              <w:rPr>
                <w:rFonts w:eastAsia="Calibri"/>
                <w:b/>
                <w:sz w:val="20"/>
                <w:szCs w:val="20"/>
              </w:rPr>
              <w:t>N</w:t>
            </w:r>
            <w:r w:rsidR="004B511E" w:rsidRPr="004B511E">
              <w:rPr>
                <w:rFonts w:eastAsia="Calibri"/>
                <w:b/>
                <w:sz w:val="20"/>
                <w:szCs w:val="20"/>
              </w:rPr>
              <w:t>o.</w:t>
            </w:r>
            <w:r w:rsidRPr="004B511E">
              <w:rPr>
                <w:rFonts w:eastAsia="Calibri"/>
                <w:b/>
                <w:sz w:val="20"/>
                <w:szCs w:val="20"/>
              </w:rPr>
              <w:t xml:space="preserve"> of Respondents</w:t>
            </w:r>
            <w:r w:rsidR="004B511E">
              <w:rPr>
                <w:rStyle w:val="FootnoteReference"/>
                <w:rFonts w:eastAsia="Calibri"/>
                <w:b w:val="0"/>
              </w:rPr>
              <w:footnoteReference w:id="15"/>
            </w:r>
            <w:r w:rsidRPr="004B511E">
              <w:rPr>
                <w:rFonts w:eastAsia="Calibri"/>
                <w:b/>
                <w:sz w:val="20"/>
                <w:szCs w:val="20"/>
              </w:rPr>
              <w:br/>
              <w:t>(1)</w:t>
            </w:r>
          </w:p>
        </w:tc>
        <w:tc>
          <w:tcPr>
            <w:tcW w:w="650" w:type="pct"/>
            <w:shd w:val="clear" w:color="auto" w:fill="D9D9D9"/>
            <w:vAlign w:val="bottom"/>
          </w:tcPr>
          <w:p w14:paraId="4F95FA6B" w14:textId="3CB4FC06" w:rsidR="00AF58F7" w:rsidRPr="004B511E" w:rsidRDefault="00AF58F7" w:rsidP="00AF58F7">
            <w:pPr>
              <w:keepNext/>
              <w:jc w:val="center"/>
              <w:rPr>
                <w:rFonts w:eastAsia="Calibri"/>
                <w:b/>
                <w:sz w:val="20"/>
                <w:szCs w:val="20"/>
              </w:rPr>
            </w:pPr>
            <w:r w:rsidRPr="004B511E">
              <w:rPr>
                <w:rFonts w:eastAsia="Calibri"/>
                <w:b/>
                <w:sz w:val="20"/>
                <w:szCs w:val="20"/>
              </w:rPr>
              <w:t>Annual N</w:t>
            </w:r>
            <w:r w:rsidR="004B511E" w:rsidRPr="004B511E">
              <w:rPr>
                <w:rFonts w:eastAsia="Calibri"/>
                <w:b/>
                <w:sz w:val="20"/>
                <w:szCs w:val="20"/>
              </w:rPr>
              <w:t>o.</w:t>
            </w:r>
            <w:r w:rsidRPr="004B511E">
              <w:rPr>
                <w:rFonts w:eastAsia="Calibri"/>
                <w:b/>
                <w:sz w:val="20"/>
                <w:szCs w:val="20"/>
              </w:rPr>
              <w:t xml:space="preserve"> of Responses per Respondent</w:t>
            </w:r>
          </w:p>
          <w:p w14:paraId="47B4BAEE" w14:textId="77777777" w:rsidR="00AF58F7" w:rsidRPr="004B511E" w:rsidRDefault="00AF58F7" w:rsidP="00AF58F7">
            <w:pPr>
              <w:keepNext/>
              <w:jc w:val="center"/>
              <w:rPr>
                <w:rFonts w:eastAsia="Calibri"/>
                <w:b/>
                <w:sz w:val="20"/>
                <w:szCs w:val="20"/>
              </w:rPr>
            </w:pPr>
            <w:r w:rsidRPr="004B511E">
              <w:rPr>
                <w:rFonts w:eastAsia="Calibri"/>
                <w:b/>
                <w:sz w:val="20"/>
                <w:szCs w:val="20"/>
              </w:rPr>
              <w:t>(2)</w:t>
            </w:r>
          </w:p>
        </w:tc>
        <w:tc>
          <w:tcPr>
            <w:tcW w:w="617" w:type="pct"/>
            <w:gridSpan w:val="2"/>
            <w:shd w:val="clear" w:color="auto" w:fill="D9D9D9"/>
            <w:vAlign w:val="bottom"/>
          </w:tcPr>
          <w:p w14:paraId="7B74110D" w14:textId="47C5F590" w:rsidR="00AF58F7" w:rsidRPr="004B511E" w:rsidRDefault="00AF58F7" w:rsidP="004B511E">
            <w:pPr>
              <w:keepNext/>
              <w:jc w:val="center"/>
              <w:rPr>
                <w:rFonts w:eastAsia="Calibri"/>
                <w:b/>
                <w:sz w:val="20"/>
                <w:szCs w:val="20"/>
              </w:rPr>
            </w:pPr>
            <w:r w:rsidRPr="004B511E">
              <w:rPr>
                <w:rFonts w:eastAsia="Calibri"/>
                <w:b/>
                <w:sz w:val="20"/>
                <w:szCs w:val="20"/>
              </w:rPr>
              <w:t>Total N</w:t>
            </w:r>
            <w:r w:rsidR="004B511E" w:rsidRPr="004B511E">
              <w:rPr>
                <w:rFonts w:eastAsia="Calibri"/>
                <w:b/>
                <w:sz w:val="20"/>
                <w:szCs w:val="20"/>
              </w:rPr>
              <w:t>o.</w:t>
            </w:r>
            <w:r w:rsidRPr="004B511E">
              <w:rPr>
                <w:rFonts w:eastAsia="Calibri"/>
                <w:b/>
                <w:sz w:val="20"/>
                <w:szCs w:val="20"/>
              </w:rPr>
              <w:t xml:space="preserve"> of Responses (1)*(2)=(3)</w:t>
            </w:r>
          </w:p>
        </w:tc>
        <w:tc>
          <w:tcPr>
            <w:tcW w:w="696" w:type="pct"/>
            <w:shd w:val="clear" w:color="auto" w:fill="D9D9D9"/>
            <w:vAlign w:val="bottom"/>
          </w:tcPr>
          <w:p w14:paraId="2EBF22B3" w14:textId="76B532A0" w:rsidR="00AF58F7" w:rsidRPr="004B511E" w:rsidRDefault="00AF58F7" w:rsidP="00AF58F7">
            <w:pPr>
              <w:keepNext/>
              <w:jc w:val="center"/>
              <w:rPr>
                <w:rFonts w:eastAsia="Calibri"/>
                <w:b/>
                <w:sz w:val="20"/>
                <w:szCs w:val="20"/>
              </w:rPr>
            </w:pPr>
            <w:r w:rsidRPr="004B511E">
              <w:rPr>
                <w:rFonts w:eastAsia="Calibri"/>
                <w:b/>
                <w:sz w:val="20"/>
                <w:szCs w:val="20"/>
              </w:rPr>
              <w:t>Average Burden &amp; Cost Per Response</w:t>
            </w:r>
            <w:r w:rsidR="004B511E">
              <w:rPr>
                <w:rStyle w:val="FootnoteReference"/>
                <w:rFonts w:eastAsia="Calibri"/>
                <w:b w:val="0"/>
              </w:rPr>
              <w:footnoteReference w:id="16"/>
            </w:r>
          </w:p>
          <w:p w14:paraId="75A2F3FB" w14:textId="77777777" w:rsidR="00AF58F7" w:rsidRPr="004B511E" w:rsidRDefault="00AF58F7" w:rsidP="00AF58F7">
            <w:pPr>
              <w:keepNext/>
              <w:jc w:val="center"/>
              <w:rPr>
                <w:rFonts w:eastAsia="Calibri"/>
                <w:b/>
                <w:sz w:val="20"/>
                <w:szCs w:val="20"/>
              </w:rPr>
            </w:pPr>
            <w:r w:rsidRPr="004B511E">
              <w:rPr>
                <w:rFonts w:eastAsia="Calibri"/>
                <w:b/>
                <w:sz w:val="20"/>
                <w:szCs w:val="20"/>
              </w:rPr>
              <w:t>(4)</w:t>
            </w:r>
          </w:p>
        </w:tc>
        <w:tc>
          <w:tcPr>
            <w:tcW w:w="754" w:type="pct"/>
            <w:gridSpan w:val="2"/>
            <w:shd w:val="clear" w:color="auto" w:fill="D9D9D9"/>
            <w:vAlign w:val="bottom"/>
          </w:tcPr>
          <w:p w14:paraId="0776E4EA" w14:textId="77777777" w:rsidR="00AF58F7" w:rsidRPr="004B511E" w:rsidRDefault="00AF58F7" w:rsidP="00AF58F7">
            <w:pPr>
              <w:keepNext/>
              <w:jc w:val="center"/>
              <w:rPr>
                <w:rFonts w:eastAsia="Calibri"/>
                <w:b/>
                <w:sz w:val="20"/>
                <w:szCs w:val="20"/>
              </w:rPr>
            </w:pPr>
            <w:r w:rsidRPr="004B511E">
              <w:rPr>
                <w:rFonts w:eastAsia="Calibri"/>
                <w:b/>
                <w:sz w:val="20"/>
                <w:szCs w:val="20"/>
              </w:rPr>
              <w:t>Total Annual Burden Hours &amp; Total Annual Cost</w:t>
            </w:r>
          </w:p>
          <w:p w14:paraId="77389ABA" w14:textId="77777777" w:rsidR="00AF58F7" w:rsidRPr="004B511E" w:rsidRDefault="00AF58F7" w:rsidP="00AF58F7">
            <w:pPr>
              <w:keepNext/>
              <w:jc w:val="center"/>
              <w:rPr>
                <w:rFonts w:eastAsia="Calibri"/>
                <w:b/>
                <w:sz w:val="20"/>
                <w:szCs w:val="20"/>
              </w:rPr>
            </w:pPr>
            <w:r w:rsidRPr="004B511E">
              <w:rPr>
                <w:rFonts w:eastAsia="Calibri"/>
                <w:b/>
                <w:sz w:val="20"/>
                <w:szCs w:val="20"/>
              </w:rPr>
              <w:t>(3)*(4)=(5)</w:t>
            </w:r>
          </w:p>
        </w:tc>
        <w:tc>
          <w:tcPr>
            <w:tcW w:w="635" w:type="pct"/>
            <w:shd w:val="clear" w:color="auto" w:fill="D9D9D9"/>
            <w:vAlign w:val="bottom"/>
          </w:tcPr>
          <w:p w14:paraId="5194DAD7" w14:textId="77777777" w:rsidR="00AF58F7" w:rsidRPr="004B511E" w:rsidRDefault="00AF58F7" w:rsidP="00AF58F7">
            <w:pPr>
              <w:keepNext/>
              <w:jc w:val="center"/>
              <w:rPr>
                <w:rFonts w:eastAsia="Calibri"/>
                <w:b/>
                <w:sz w:val="20"/>
                <w:szCs w:val="20"/>
              </w:rPr>
            </w:pPr>
            <w:r w:rsidRPr="004B511E">
              <w:rPr>
                <w:rFonts w:eastAsia="Calibri"/>
                <w:b/>
                <w:sz w:val="20"/>
                <w:szCs w:val="20"/>
              </w:rPr>
              <w:t>Cost per Respondent</w:t>
            </w:r>
          </w:p>
          <w:p w14:paraId="569C3AF4" w14:textId="77777777" w:rsidR="00AF58F7" w:rsidRPr="004B511E" w:rsidRDefault="00AF58F7" w:rsidP="00AF58F7">
            <w:pPr>
              <w:keepNext/>
              <w:jc w:val="center"/>
              <w:rPr>
                <w:rFonts w:eastAsia="Calibri"/>
                <w:b/>
                <w:sz w:val="20"/>
                <w:szCs w:val="20"/>
              </w:rPr>
            </w:pPr>
            <w:r w:rsidRPr="004B511E">
              <w:rPr>
                <w:rFonts w:eastAsia="Calibri"/>
                <w:b/>
                <w:sz w:val="20"/>
                <w:szCs w:val="20"/>
              </w:rPr>
              <w:t xml:space="preserve"> ($)</w:t>
            </w:r>
          </w:p>
          <w:p w14:paraId="428E7C1B" w14:textId="77777777" w:rsidR="00AF58F7" w:rsidRPr="004B511E" w:rsidRDefault="00AF58F7" w:rsidP="00AF58F7">
            <w:pPr>
              <w:keepNext/>
              <w:jc w:val="center"/>
              <w:rPr>
                <w:rFonts w:eastAsia="Calibri"/>
                <w:b/>
                <w:sz w:val="20"/>
                <w:szCs w:val="20"/>
              </w:rPr>
            </w:pPr>
            <w:r w:rsidRPr="004B511E">
              <w:rPr>
                <w:rFonts w:eastAsia="Calibri"/>
                <w:b/>
                <w:sz w:val="20"/>
                <w:szCs w:val="20"/>
              </w:rPr>
              <w:t>(5)÷(1)</w:t>
            </w:r>
          </w:p>
        </w:tc>
      </w:tr>
      <w:tr w:rsidR="00AF58F7" w:rsidRPr="004B511E" w14:paraId="1D17E4CB" w14:textId="77777777" w:rsidTr="004B511E">
        <w:trPr>
          <w:trHeight w:val="374"/>
        </w:trPr>
        <w:tc>
          <w:tcPr>
            <w:tcW w:w="429" w:type="pct"/>
            <w:vMerge w:val="restart"/>
            <w:vAlign w:val="center"/>
          </w:tcPr>
          <w:p w14:paraId="690006FE" w14:textId="1263104D" w:rsidR="00AF58F7" w:rsidRPr="004B511E" w:rsidRDefault="00AF58F7" w:rsidP="004B511E">
            <w:pPr>
              <w:keepNext/>
              <w:jc w:val="center"/>
              <w:rPr>
                <w:b/>
                <w:sz w:val="20"/>
                <w:szCs w:val="20"/>
              </w:rPr>
            </w:pPr>
            <w:r w:rsidRPr="004B511E">
              <w:rPr>
                <w:b/>
                <w:sz w:val="20"/>
                <w:szCs w:val="20"/>
              </w:rPr>
              <w:t>RC</w:t>
            </w:r>
            <w:r w:rsidR="004B511E">
              <w:rPr>
                <w:rStyle w:val="FootnoteReference"/>
                <w:b w:val="0"/>
              </w:rPr>
              <w:footnoteReference w:id="17"/>
            </w:r>
          </w:p>
        </w:tc>
        <w:tc>
          <w:tcPr>
            <w:tcW w:w="703" w:type="pct"/>
            <w:gridSpan w:val="2"/>
            <w:vAlign w:val="center"/>
          </w:tcPr>
          <w:p w14:paraId="411930FD" w14:textId="77777777" w:rsidR="00AF58F7" w:rsidRPr="004B511E" w:rsidRDefault="00AF58F7" w:rsidP="00AF58F7">
            <w:pPr>
              <w:keepNext/>
              <w:rPr>
                <w:b/>
                <w:sz w:val="20"/>
                <w:szCs w:val="20"/>
              </w:rPr>
            </w:pPr>
            <w:r w:rsidRPr="004B511E">
              <w:rPr>
                <w:b/>
                <w:sz w:val="20"/>
                <w:szCs w:val="20"/>
              </w:rPr>
              <w:t>Year 1 Implementation (reporting)</w:t>
            </w:r>
          </w:p>
        </w:tc>
        <w:tc>
          <w:tcPr>
            <w:tcW w:w="516" w:type="pct"/>
            <w:vAlign w:val="center"/>
          </w:tcPr>
          <w:p w14:paraId="7E793744" w14:textId="77777777" w:rsidR="00AF58F7" w:rsidRPr="004B511E" w:rsidRDefault="00AF58F7" w:rsidP="00AF58F7">
            <w:pPr>
              <w:keepNext/>
              <w:jc w:val="right"/>
              <w:rPr>
                <w:sz w:val="20"/>
                <w:szCs w:val="20"/>
              </w:rPr>
            </w:pPr>
            <w:r w:rsidRPr="004B511E">
              <w:rPr>
                <w:sz w:val="20"/>
                <w:szCs w:val="20"/>
              </w:rPr>
              <w:t>11</w:t>
            </w:r>
          </w:p>
        </w:tc>
        <w:tc>
          <w:tcPr>
            <w:tcW w:w="650" w:type="pct"/>
            <w:vAlign w:val="center"/>
          </w:tcPr>
          <w:p w14:paraId="0B4A3859" w14:textId="77777777" w:rsidR="00AF58F7" w:rsidRPr="004B511E" w:rsidRDefault="00AF58F7" w:rsidP="00AF58F7">
            <w:pPr>
              <w:keepNext/>
              <w:jc w:val="right"/>
              <w:rPr>
                <w:sz w:val="20"/>
                <w:szCs w:val="20"/>
              </w:rPr>
            </w:pPr>
            <w:r w:rsidRPr="004B511E">
              <w:rPr>
                <w:sz w:val="20"/>
                <w:szCs w:val="20"/>
              </w:rPr>
              <w:t>1</w:t>
            </w:r>
          </w:p>
        </w:tc>
        <w:tc>
          <w:tcPr>
            <w:tcW w:w="613" w:type="pct"/>
            <w:vAlign w:val="center"/>
          </w:tcPr>
          <w:p w14:paraId="39605F90" w14:textId="77777777" w:rsidR="00AF58F7" w:rsidRPr="004B511E" w:rsidRDefault="00AF58F7" w:rsidP="00AF58F7">
            <w:pPr>
              <w:keepNext/>
              <w:jc w:val="right"/>
              <w:rPr>
                <w:sz w:val="20"/>
                <w:szCs w:val="20"/>
              </w:rPr>
            </w:pPr>
            <w:r w:rsidRPr="004B511E">
              <w:rPr>
                <w:sz w:val="20"/>
                <w:szCs w:val="20"/>
              </w:rPr>
              <w:t>11</w:t>
            </w:r>
          </w:p>
        </w:tc>
        <w:tc>
          <w:tcPr>
            <w:tcW w:w="700" w:type="pct"/>
            <w:gridSpan w:val="2"/>
          </w:tcPr>
          <w:p w14:paraId="413ED7C0" w14:textId="77777777" w:rsidR="00AF58F7" w:rsidRPr="004B511E" w:rsidRDefault="00AF58F7" w:rsidP="00AF58F7">
            <w:pPr>
              <w:keepNext/>
              <w:jc w:val="right"/>
              <w:rPr>
                <w:sz w:val="20"/>
                <w:szCs w:val="20"/>
              </w:rPr>
            </w:pPr>
            <w:r w:rsidRPr="004B511E">
              <w:rPr>
                <w:sz w:val="20"/>
                <w:szCs w:val="20"/>
              </w:rPr>
              <w:t>60 hrs</w:t>
            </w:r>
            <w:proofErr w:type="gramStart"/>
            <w:r w:rsidRPr="004B511E">
              <w:rPr>
                <w:sz w:val="20"/>
                <w:szCs w:val="20"/>
              </w:rPr>
              <w:t>.;</w:t>
            </w:r>
            <w:proofErr w:type="gramEnd"/>
            <w:r w:rsidRPr="004B511E">
              <w:rPr>
                <w:sz w:val="20"/>
                <w:szCs w:val="20"/>
              </w:rPr>
              <w:t xml:space="preserve"> </w:t>
            </w:r>
          </w:p>
          <w:p w14:paraId="22E7C2AF" w14:textId="77777777" w:rsidR="00AF58F7" w:rsidRPr="004B511E" w:rsidRDefault="00AF58F7" w:rsidP="00AF58F7">
            <w:pPr>
              <w:keepNext/>
              <w:jc w:val="right"/>
              <w:rPr>
                <w:sz w:val="20"/>
                <w:szCs w:val="20"/>
              </w:rPr>
            </w:pPr>
            <w:r w:rsidRPr="004B511E">
              <w:rPr>
                <w:sz w:val="20"/>
                <w:szCs w:val="20"/>
              </w:rPr>
              <w:t>$3,852.00</w:t>
            </w:r>
          </w:p>
        </w:tc>
        <w:tc>
          <w:tcPr>
            <w:tcW w:w="746" w:type="pct"/>
          </w:tcPr>
          <w:p w14:paraId="30247690" w14:textId="77777777" w:rsidR="00AF58F7" w:rsidRPr="004B511E" w:rsidRDefault="00AF58F7" w:rsidP="00AF58F7">
            <w:pPr>
              <w:keepNext/>
              <w:jc w:val="right"/>
              <w:rPr>
                <w:sz w:val="20"/>
                <w:szCs w:val="20"/>
              </w:rPr>
            </w:pPr>
            <w:r w:rsidRPr="004B511E">
              <w:rPr>
                <w:sz w:val="20"/>
                <w:szCs w:val="20"/>
              </w:rPr>
              <w:t>660 hrs</w:t>
            </w:r>
            <w:proofErr w:type="gramStart"/>
            <w:r w:rsidRPr="004B511E">
              <w:rPr>
                <w:sz w:val="20"/>
                <w:szCs w:val="20"/>
              </w:rPr>
              <w:t>.;</w:t>
            </w:r>
            <w:proofErr w:type="gramEnd"/>
          </w:p>
          <w:p w14:paraId="01E534A1" w14:textId="77777777" w:rsidR="00AF58F7" w:rsidRPr="004B511E" w:rsidRDefault="00AF58F7" w:rsidP="00AF58F7">
            <w:pPr>
              <w:keepNext/>
              <w:jc w:val="right"/>
              <w:rPr>
                <w:sz w:val="20"/>
                <w:szCs w:val="20"/>
              </w:rPr>
            </w:pPr>
          </w:p>
          <w:p w14:paraId="5120AE73" w14:textId="77777777" w:rsidR="00AF58F7" w:rsidRPr="004B511E" w:rsidRDefault="00AF58F7" w:rsidP="00AF58F7">
            <w:pPr>
              <w:keepNext/>
              <w:jc w:val="right"/>
              <w:rPr>
                <w:sz w:val="20"/>
                <w:szCs w:val="20"/>
              </w:rPr>
            </w:pPr>
            <w:r w:rsidRPr="004B511E">
              <w:rPr>
                <w:sz w:val="20"/>
                <w:szCs w:val="20"/>
              </w:rPr>
              <w:t>$42,372.00</w:t>
            </w:r>
          </w:p>
        </w:tc>
        <w:tc>
          <w:tcPr>
            <w:tcW w:w="643" w:type="pct"/>
            <w:gridSpan w:val="2"/>
          </w:tcPr>
          <w:p w14:paraId="0FB0E7B3" w14:textId="77777777" w:rsidR="00AF58F7" w:rsidRPr="004B511E" w:rsidRDefault="00AF58F7" w:rsidP="00AF58F7">
            <w:pPr>
              <w:keepNext/>
              <w:jc w:val="right"/>
              <w:rPr>
                <w:sz w:val="20"/>
                <w:szCs w:val="20"/>
              </w:rPr>
            </w:pPr>
          </w:p>
          <w:p w14:paraId="10B57A0C" w14:textId="77777777" w:rsidR="00AF58F7" w:rsidRPr="004B511E" w:rsidRDefault="00AF58F7" w:rsidP="00AF58F7">
            <w:pPr>
              <w:keepNext/>
              <w:jc w:val="right"/>
              <w:rPr>
                <w:sz w:val="20"/>
                <w:szCs w:val="20"/>
              </w:rPr>
            </w:pPr>
            <w:r w:rsidRPr="004B511E">
              <w:rPr>
                <w:sz w:val="20"/>
                <w:szCs w:val="20"/>
              </w:rPr>
              <w:t>$3,852.00</w:t>
            </w:r>
          </w:p>
        </w:tc>
      </w:tr>
      <w:tr w:rsidR="00AF58F7" w:rsidRPr="004B511E" w14:paraId="2234C209" w14:textId="77777777" w:rsidTr="004B511E">
        <w:trPr>
          <w:trHeight w:val="374"/>
        </w:trPr>
        <w:tc>
          <w:tcPr>
            <w:tcW w:w="429" w:type="pct"/>
            <w:vMerge/>
            <w:vAlign w:val="center"/>
          </w:tcPr>
          <w:p w14:paraId="38B10FB2" w14:textId="77777777" w:rsidR="00AF58F7" w:rsidRPr="004B511E" w:rsidRDefault="00AF58F7" w:rsidP="00AF58F7">
            <w:pPr>
              <w:keepNext/>
              <w:jc w:val="right"/>
              <w:rPr>
                <w:b/>
                <w:sz w:val="20"/>
                <w:szCs w:val="20"/>
              </w:rPr>
            </w:pPr>
          </w:p>
        </w:tc>
        <w:tc>
          <w:tcPr>
            <w:tcW w:w="703" w:type="pct"/>
            <w:gridSpan w:val="2"/>
            <w:vAlign w:val="center"/>
          </w:tcPr>
          <w:p w14:paraId="7BB3F23B" w14:textId="77777777" w:rsidR="00AF58F7" w:rsidRPr="004B511E" w:rsidRDefault="00AF58F7" w:rsidP="00AF58F7">
            <w:pPr>
              <w:keepNext/>
              <w:rPr>
                <w:b/>
                <w:sz w:val="20"/>
                <w:szCs w:val="20"/>
              </w:rPr>
            </w:pPr>
            <w:r w:rsidRPr="004B511E">
              <w:rPr>
                <w:b/>
                <w:sz w:val="20"/>
                <w:szCs w:val="20"/>
              </w:rPr>
              <w:t>Starting in Year 2 (annual reporting)</w:t>
            </w:r>
          </w:p>
        </w:tc>
        <w:tc>
          <w:tcPr>
            <w:tcW w:w="516" w:type="pct"/>
            <w:tcBorders>
              <w:bottom w:val="single" w:sz="4" w:space="0" w:color="auto"/>
            </w:tcBorders>
            <w:vAlign w:val="center"/>
          </w:tcPr>
          <w:p w14:paraId="4160C814" w14:textId="77777777" w:rsidR="00AF58F7" w:rsidRPr="004B511E" w:rsidRDefault="00AF58F7" w:rsidP="00AF58F7">
            <w:pPr>
              <w:keepNext/>
              <w:jc w:val="right"/>
              <w:rPr>
                <w:sz w:val="20"/>
                <w:szCs w:val="20"/>
              </w:rPr>
            </w:pPr>
            <w:r w:rsidRPr="004B511E">
              <w:rPr>
                <w:sz w:val="20"/>
                <w:szCs w:val="20"/>
              </w:rPr>
              <w:t>11</w:t>
            </w:r>
          </w:p>
        </w:tc>
        <w:tc>
          <w:tcPr>
            <w:tcW w:w="650" w:type="pct"/>
            <w:tcBorders>
              <w:bottom w:val="single" w:sz="4" w:space="0" w:color="auto"/>
            </w:tcBorders>
            <w:vAlign w:val="center"/>
          </w:tcPr>
          <w:p w14:paraId="38E890D7" w14:textId="77777777" w:rsidR="00AF58F7" w:rsidRPr="004B511E" w:rsidRDefault="00AF58F7" w:rsidP="00AF58F7">
            <w:pPr>
              <w:keepNext/>
              <w:jc w:val="right"/>
              <w:rPr>
                <w:sz w:val="20"/>
                <w:szCs w:val="20"/>
              </w:rPr>
            </w:pPr>
            <w:r w:rsidRPr="004B511E">
              <w:rPr>
                <w:sz w:val="20"/>
                <w:szCs w:val="20"/>
              </w:rPr>
              <w:t>1</w:t>
            </w:r>
          </w:p>
        </w:tc>
        <w:tc>
          <w:tcPr>
            <w:tcW w:w="613" w:type="pct"/>
            <w:tcBorders>
              <w:bottom w:val="single" w:sz="4" w:space="0" w:color="auto"/>
            </w:tcBorders>
            <w:vAlign w:val="center"/>
          </w:tcPr>
          <w:p w14:paraId="4D095F52" w14:textId="77777777" w:rsidR="00AF58F7" w:rsidRPr="004B511E" w:rsidRDefault="00AF58F7" w:rsidP="00AF58F7">
            <w:pPr>
              <w:keepNext/>
              <w:jc w:val="right"/>
              <w:rPr>
                <w:sz w:val="20"/>
                <w:szCs w:val="20"/>
              </w:rPr>
            </w:pPr>
            <w:r w:rsidRPr="004B511E">
              <w:rPr>
                <w:sz w:val="20"/>
                <w:szCs w:val="20"/>
              </w:rPr>
              <w:t>11</w:t>
            </w:r>
          </w:p>
        </w:tc>
        <w:tc>
          <w:tcPr>
            <w:tcW w:w="700" w:type="pct"/>
            <w:gridSpan w:val="2"/>
            <w:tcBorders>
              <w:bottom w:val="single" w:sz="4" w:space="0" w:color="auto"/>
            </w:tcBorders>
          </w:tcPr>
          <w:p w14:paraId="7B9AB71C" w14:textId="77777777" w:rsidR="00AF58F7" w:rsidRPr="004B511E" w:rsidRDefault="00AF58F7" w:rsidP="00AF58F7">
            <w:pPr>
              <w:keepNext/>
              <w:jc w:val="right"/>
              <w:rPr>
                <w:sz w:val="20"/>
                <w:szCs w:val="20"/>
              </w:rPr>
            </w:pPr>
            <w:r w:rsidRPr="004B511E">
              <w:rPr>
                <w:sz w:val="20"/>
                <w:szCs w:val="20"/>
              </w:rPr>
              <w:t>32 hrs</w:t>
            </w:r>
            <w:proofErr w:type="gramStart"/>
            <w:r w:rsidRPr="004B511E">
              <w:rPr>
                <w:sz w:val="20"/>
                <w:szCs w:val="20"/>
              </w:rPr>
              <w:t>.;</w:t>
            </w:r>
            <w:proofErr w:type="gramEnd"/>
            <w:r w:rsidRPr="004B511E">
              <w:rPr>
                <w:sz w:val="20"/>
                <w:szCs w:val="20"/>
              </w:rPr>
              <w:t xml:space="preserve"> </w:t>
            </w:r>
          </w:p>
          <w:p w14:paraId="796FA3B5" w14:textId="77777777" w:rsidR="00AF58F7" w:rsidRPr="004B511E" w:rsidRDefault="00AF58F7" w:rsidP="00AF58F7">
            <w:pPr>
              <w:keepNext/>
              <w:jc w:val="right"/>
              <w:rPr>
                <w:sz w:val="20"/>
                <w:szCs w:val="20"/>
              </w:rPr>
            </w:pPr>
          </w:p>
          <w:p w14:paraId="4AE83E3B" w14:textId="77777777" w:rsidR="00AF58F7" w:rsidRPr="004B511E" w:rsidRDefault="00AF58F7" w:rsidP="00AF58F7">
            <w:pPr>
              <w:keepNext/>
              <w:jc w:val="right"/>
              <w:rPr>
                <w:sz w:val="20"/>
                <w:szCs w:val="20"/>
              </w:rPr>
            </w:pPr>
            <w:r w:rsidRPr="004B511E">
              <w:rPr>
                <w:sz w:val="20"/>
                <w:szCs w:val="20"/>
              </w:rPr>
              <w:t>$2,054.40</w:t>
            </w:r>
          </w:p>
        </w:tc>
        <w:tc>
          <w:tcPr>
            <w:tcW w:w="746" w:type="pct"/>
            <w:tcBorders>
              <w:bottom w:val="single" w:sz="4" w:space="0" w:color="auto"/>
            </w:tcBorders>
          </w:tcPr>
          <w:p w14:paraId="4AA8316E" w14:textId="77777777" w:rsidR="00AF58F7" w:rsidRPr="004B511E" w:rsidRDefault="00AF58F7" w:rsidP="00AF58F7">
            <w:pPr>
              <w:keepNext/>
              <w:jc w:val="right"/>
              <w:rPr>
                <w:sz w:val="20"/>
                <w:szCs w:val="20"/>
              </w:rPr>
            </w:pPr>
            <w:r w:rsidRPr="004B511E">
              <w:rPr>
                <w:sz w:val="20"/>
                <w:szCs w:val="20"/>
              </w:rPr>
              <w:t>352 hrs</w:t>
            </w:r>
            <w:proofErr w:type="gramStart"/>
            <w:r w:rsidRPr="004B511E">
              <w:rPr>
                <w:sz w:val="20"/>
                <w:szCs w:val="20"/>
              </w:rPr>
              <w:t>.;</w:t>
            </w:r>
            <w:proofErr w:type="gramEnd"/>
          </w:p>
          <w:p w14:paraId="317D1431" w14:textId="77777777" w:rsidR="00AF58F7" w:rsidRPr="004B511E" w:rsidRDefault="00AF58F7" w:rsidP="00AF58F7">
            <w:pPr>
              <w:keepNext/>
              <w:jc w:val="right"/>
              <w:rPr>
                <w:sz w:val="20"/>
                <w:szCs w:val="20"/>
              </w:rPr>
            </w:pPr>
          </w:p>
          <w:p w14:paraId="267C5D5D" w14:textId="77777777" w:rsidR="00AF58F7" w:rsidRPr="004B511E" w:rsidRDefault="00AF58F7" w:rsidP="00AF58F7">
            <w:pPr>
              <w:keepNext/>
              <w:jc w:val="right"/>
              <w:rPr>
                <w:sz w:val="20"/>
                <w:szCs w:val="20"/>
              </w:rPr>
            </w:pPr>
            <w:r w:rsidRPr="004B511E">
              <w:rPr>
                <w:sz w:val="20"/>
                <w:szCs w:val="20"/>
              </w:rPr>
              <w:t>$22,598.40</w:t>
            </w:r>
          </w:p>
        </w:tc>
        <w:tc>
          <w:tcPr>
            <w:tcW w:w="643" w:type="pct"/>
            <w:gridSpan w:val="2"/>
            <w:tcBorders>
              <w:bottom w:val="single" w:sz="4" w:space="0" w:color="auto"/>
            </w:tcBorders>
          </w:tcPr>
          <w:p w14:paraId="58A4FA10" w14:textId="77777777" w:rsidR="00AF58F7" w:rsidRPr="004B511E" w:rsidRDefault="00AF58F7" w:rsidP="00AF58F7">
            <w:pPr>
              <w:keepNext/>
              <w:jc w:val="right"/>
              <w:rPr>
                <w:sz w:val="20"/>
                <w:szCs w:val="20"/>
              </w:rPr>
            </w:pPr>
          </w:p>
          <w:p w14:paraId="4C1A261B" w14:textId="77777777" w:rsidR="00AF58F7" w:rsidRPr="004B511E" w:rsidRDefault="00AF58F7" w:rsidP="00AF58F7">
            <w:pPr>
              <w:keepNext/>
              <w:jc w:val="right"/>
              <w:rPr>
                <w:sz w:val="20"/>
                <w:szCs w:val="20"/>
              </w:rPr>
            </w:pPr>
            <w:r w:rsidRPr="004B511E">
              <w:rPr>
                <w:sz w:val="20"/>
                <w:szCs w:val="20"/>
              </w:rPr>
              <w:t>$2,054.40</w:t>
            </w:r>
          </w:p>
        </w:tc>
      </w:tr>
      <w:tr w:rsidR="00AF58F7" w:rsidRPr="004B511E" w14:paraId="13B8E04C" w14:textId="77777777" w:rsidTr="004B511E">
        <w:trPr>
          <w:trHeight w:val="980"/>
        </w:trPr>
        <w:tc>
          <w:tcPr>
            <w:tcW w:w="429" w:type="pct"/>
            <w:vMerge/>
            <w:vAlign w:val="center"/>
          </w:tcPr>
          <w:p w14:paraId="5D04A025" w14:textId="77777777" w:rsidR="00AF58F7" w:rsidRPr="004B511E" w:rsidRDefault="00AF58F7" w:rsidP="00AF58F7">
            <w:pPr>
              <w:keepNext/>
              <w:jc w:val="right"/>
              <w:rPr>
                <w:b/>
                <w:sz w:val="20"/>
                <w:szCs w:val="20"/>
              </w:rPr>
            </w:pPr>
          </w:p>
        </w:tc>
        <w:tc>
          <w:tcPr>
            <w:tcW w:w="703" w:type="pct"/>
            <w:gridSpan w:val="2"/>
          </w:tcPr>
          <w:p w14:paraId="15809338" w14:textId="77777777" w:rsidR="00AF58F7" w:rsidRPr="004B511E" w:rsidRDefault="00AF58F7" w:rsidP="00AF58F7">
            <w:pPr>
              <w:keepNext/>
              <w:rPr>
                <w:b/>
                <w:sz w:val="20"/>
                <w:szCs w:val="20"/>
              </w:rPr>
            </w:pPr>
            <w:r w:rsidRPr="004B511E">
              <w:rPr>
                <w:b/>
                <w:sz w:val="20"/>
                <w:szCs w:val="20"/>
              </w:rPr>
              <w:t>Annual Record Retention</w:t>
            </w:r>
          </w:p>
        </w:tc>
        <w:tc>
          <w:tcPr>
            <w:tcW w:w="516" w:type="pct"/>
            <w:shd w:val="clear" w:color="auto" w:fill="auto"/>
          </w:tcPr>
          <w:p w14:paraId="009C94C7" w14:textId="77777777" w:rsidR="00AF58F7" w:rsidRPr="0096444A" w:rsidRDefault="00AF58F7" w:rsidP="00AF58F7">
            <w:pPr>
              <w:keepNext/>
              <w:jc w:val="right"/>
              <w:rPr>
                <w:sz w:val="20"/>
                <w:szCs w:val="20"/>
              </w:rPr>
            </w:pPr>
            <w:r w:rsidRPr="0096444A">
              <w:rPr>
                <w:sz w:val="20"/>
                <w:szCs w:val="20"/>
              </w:rPr>
              <w:t>11</w:t>
            </w:r>
          </w:p>
          <w:p w14:paraId="12044A12" w14:textId="77777777" w:rsidR="00AF58F7" w:rsidRPr="0096444A" w:rsidRDefault="00AF58F7" w:rsidP="00AF58F7">
            <w:pPr>
              <w:jc w:val="right"/>
              <w:rPr>
                <w:sz w:val="20"/>
                <w:szCs w:val="20"/>
              </w:rPr>
            </w:pPr>
          </w:p>
          <w:p w14:paraId="499A5BB9" w14:textId="77777777" w:rsidR="00AF58F7" w:rsidRPr="004B511E" w:rsidRDefault="00AF58F7" w:rsidP="00AF58F7">
            <w:pPr>
              <w:jc w:val="right"/>
              <w:rPr>
                <w:sz w:val="20"/>
                <w:szCs w:val="20"/>
                <w:highlight w:val="lightGray"/>
              </w:rPr>
            </w:pPr>
          </w:p>
        </w:tc>
        <w:tc>
          <w:tcPr>
            <w:tcW w:w="650" w:type="pct"/>
            <w:shd w:val="clear" w:color="auto" w:fill="auto"/>
          </w:tcPr>
          <w:p w14:paraId="41BD9C9D" w14:textId="77777777" w:rsidR="00AF58F7" w:rsidRPr="004B511E" w:rsidRDefault="00AF58F7" w:rsidP="00AF58F7">
            <w:pPr>
              <w:keepNext/>
              <w:jc w:val="right"/>
              <w:rPr>
                <w:sz w:val="20"/>
                <w:szCs w:val="20"/>
                <w:highlight w:val="lightGray"/>
              </w:rPr>
            </w:pPr>
            <w:r w:rsidRPr="0096444A">
              <w:rPr>
                <w:sz w:val="20"/>
                <w:szCs w:val="20"/>
              </w:rPr>
              <w:t>1</w:t>
            </w:r>
          </w:p>
        </w:tc>
        <w:tc>
          <w:tcPr>
            <w:tcW w:w="613" w:type="pct"/>
            <w:shd w:val="clear" w:color="auto" w:fill="auto"/>
          </w:tcPr>
          <w:p w14:paraId="222E1172" w14:textId="77777777" w:rsidR="00AF58F7" w:rsidRPr="0096444A" w:rsidRDefault="00AF58F7" w:rsidP="00AF58F7">
            <w:pPr>
              <w:keepNext/>
              <w:jc w:val="right"/>
              <w:rPr>
                <w:sz w:val="20"/>
                <w:szCs w:val="20"/>
              </w:rPr>
            </w:pPr>
            <w:r w:rsidRPr="0096444A">
              <w:rPr>
                <w:sz w:val="20"/>
                <w:szCs w:val="20"/>
              </w:rPr>
              <w:t>11</w:t>
            </w:r>
          </w:p>
        </w:tc>
        <w:tc>
          <w:tcPr>
            <w:tcW w:w="700" w:type="pct"/>
            <w:gridSpan w:val="2"/>
            <w:shd w:val="clear" w:color="auto" w:fill="auto"/>
          </w:tcPr>
          <w:p w14:paraId="5C601728" w14:textId="77777777" w:rsidR="00AF58F7" w:rsidRPr="004B511E" w:rsidRDefault="00AF58F7" w:rsidP="00AF58F7">
            <w:pPr>
              <w:keepNext/>
              <w:jc w:val="right"/>
              <w:rPr>
                <w:sz w:val="20"/>
                <w:szCs w:val="20"/>
              </w:rPr>
            </w:pPr>
            <w:r w:rsidRPr="004B511E">
              <w:rPr>
                <w:sz w:val="20"/>
                <w:szCs w:val="20"/>
              </w:rPr>
              <w:t>2 hrs</w:t>
            </w:r>
            <w:proofErr w:type="gramStart"/>
            <w:r w:rsidRPr="004B511E">
              <w:rPr>
                <w:sz w:val="20"/>
                <w:szCs w:val="20"/>
              </w:rPr>
              <w:t>.;</w:t>
            </w:r>
            <w:proofErr w:type="gramEnd"/>
          </w:p>
          <w:p w14:paraId="6D654414" w14:textId="77777777" w:rsidR="00AF58F7" w:rsidRPr="004B511E" w:rsidRDefault="00AF58F7" w:rsidP="00AF58F7">
            <w:pPr>
              <w:keepNext/>
              <w:jc w:val="right"/>
              <w:rPr>
                <w:sz w:val="20"/>
                <w:szCs w:val="20"/>
              </w:rPr>
            </w:pPr>
            <w:r w:rsidRPr="004B511E">
              <w:rPr>
                <w:sz w:val="20"/>
                <w:szCs w:val="20"/>
              </w:rPr>
              <w:t>$75.38</w:t>
            </w:r>
          </w:p>
        </w:tc>
        <w:tc>
          <w:tcPr>
            <w:tcW w:w="746" w:type="pct"/>
            <w:shd w:val="clear" w:color="auto" w:fill="auto"/>
          </w:tcPr>
          <w:p w14:paraId="60F19858" w14:textId="77777777" w:rsidR="00AF58F7" w:rsidRPr="004B511E" w:rsidRDefault="00AF58F7" w:rsidP="00AF58F7">
            <w:pPr>
              <w:keepNext/>
              <w:jc w:val="right"/>
              <w:rPr>
                <w:sz w:val="20"/>
                <w:szCs w:val="20"/>
              </w:rPr>
            </w:pPr>
            <w:r w:rsidRPr="004B511E">
              <w:rPr>
                <w:sz w:val="20"/>
                <w:szCs w:val="20"/>
              </w:rPr>
              <w:t>22 hrs</w:t>
            </w:r>
            <w:proofErr w:type="gramStart"/>
            <w:r w:rsidRPr="004B511E">
              <w:rPr>
                <w:sz w:val="20"/>
                <w:szCs w:val="20"/>
              </w:rPr>
              <w:t>.;</w:t>
            </w:r>
            <w:proofErr w:type="gramEnd"/>
            <w:r w:rsidRPr="004B511E">
              <w:rPr>
                <w:sz w:val="20"/>
                <w:szCs w:val="20"/>
              </w:rPr>
              <w:t xml:space="preserve"> </w:t>
            </w:r>
          </w:p>
          <w:p w14:paraId="2F6E4328" w14:textId="77777777" w:rsidR="00AF58F7" w:rsidRPr="004B511E" w:rsidRDefault="00AF58F7" w:rsidP="00AF58F7">
            <w:pPr>
              <w:keepNext/>
              <w:jc w:val="right"/>
              <w:rPr>
                <w:sz w:val="20"/>
                <w:szCs w:val="20"/>
              </w:rPr>
            </w:pPr>
            <w:r w:rsidRPr="004B511E">
              <w:rPr>
                <w:sz w:val="20"/>
                <w:szCs w:val="20"/>
              </w:rPr>
              <w:t>$829.18</w:t>
            </w:r>
          </w:p>
        </w:tc>
        <w:tc>
          <w:tcPr>
            <w:tcW w:w="643" w:type="pct"/>
            <w:gridSpan w:val="2"/>
            <w:shd w:val="clear" w:color="auto" w:fill="auto"/>
          </w:tcPr>
          <w:p w14:paraId="69887E30" w14:textId="77777777" w:rsidR="00413969" w:rsidRDefault="00413969" w:rsidP="00AF58F7">
            <w:pPr>
              <w:keepNext/>
              <w:jc w:val="right"/>
              <w:rPr>
                <w:sz w:val="20"/>
                <w:szCs w:val="20"/>
              </w:rPr>
            </w:pPr>
          </w:p>
          <w:p w14:paraId="5F607D6E" w14:textId="77777777" w:rsidR="00AF58F7" w:rsidRPr="004B511E" w:rsidRDefault="00AF58F7" w:rsidP="00AF58F7">
            <w:pPr>
              <w:keepNext/>
              <w:jc w:val="right"/>
              <w:rPr>
                <w:sz w:val="20"/>
                <w:szCs w:val="20"/>
              </w:rPr>
            </w:pPr>
            <w:r w:rsidRPr="004B511E">
              <w:rPr>
                <w:sz w:val="20"/>
                <w:szCs w:val="20"/>
              </w:rPr>
              <w:t>$75.38</w:t>
            </w:r>
          </w:p>
        </w:tc>
      </w:tr>
      <w:tr w:rsidR="00AF58F7" w:rsidRPr="004B511E" w14:paraId="68B1FAFA" w14:textId="77777777" w:rsidTr="004B511E">
        <w:trPr>
          <w:trHeight w:val="710"/>
        </w:trPr>
        <w:tc>
          <w:tcPr>
            <w:tcW w:w="1132" w:type="pct"/>
            <w:gridSpan w:val="3"/>
            <w:vAlign w:val="center"/>
          </w:tcPr>
          <w:p w14:paraId="36817656" w14:textId="77777777" w:rsidR="00AF58F7" w:rsidRPr="004B511E" w:rsidRDefault="00AF58F7" w:rsidP="00AF58F7">
            <w:pPr>
              <w:keepNext/>
              <w:rPr>
                <w:b/>
                <w:sz w:val="20"/>
                <w:szCs w:val="20"/>
              </w:rPr>
            </w:pPr>
            <w:r w:rsidRPr="004B511E">
              <w:rPr>
                <w:b/>
                <w:sz w:val="20"/>
                <w:szCs w:val="20"/>
              </w:rPr>
              <w:t>TOTAL BURDEN HRS. PER YEAR</w:t>
            </w:r>
          </w:p>
        </w:tc>
        <w:tc>
          <w:tcPr>
            <w:tcW w:w="516" w:type="pct"/>
            <w:shd w:val="pct15" w:color="auto" w:fill="auto"/>
          </w:tcPr>
          <w:p w14:paraId="1FA599F6" w14:textId="77777777" w:rsidR="00AF58F7" w:rsidRPr="004B511E" w:rsidRDefault="00AF58F7" w:rsidP="00AF58F7">
            <w:pPr>
              <w:keepNext/>
              <w:rPr>
                <w:sz w:val="20"/>
                <w:szCs w:val="20"/>
                <w:highlight w:val="lightGray"/>
              </w:rPr>
            </w:pPr>
          </w:p>
        </w:tc>
        <w:tc>
          <w:tcPr>
            <w:tcW w:w="650" w:type="pct"/>
            <w:shd w:val="pct15" w:color="auto" w:fill="auto"/>
          </w:tcPr>
          <w:p w14:paraId="2F10283E" w14:textId="77777777" w:rsidR="00AF58F7" w:rsidRPr="004B511E" w:rsidRDefault="00AF58F7" w:rsidP="00AF58F7">
            <w:pPr>
              <w:keepNext/>
              <w:rPr>
                <w:sz w:val="20"/>
                <w:szCs w:val="20"/>
                <w:highlight w:val="lightGray"/>
              </w:rPr>
            </w:pPr>
          </w:p>
        </w:tc>
        <w:tc>
          <w:tcPr>
            <w:tcW w:w="613" w:type="pct"/>
            <w:shd w:val="pct15" w:color="auto" w:fill="auto"/>
          </w:tcPr>
          <w:p w14:paraId="19E49D01" w14:textId="77777777" w:rsidR="00AF58F7" w:rsidRPr="0096444A" w:rsidRDefault="00AF58F7" w:rsidP="00AF58F7">
            <w:pPr>
              <w:keepNext/>
              <w:rPr>
                <w:sz w:val="20"/>
                <w:szCs w:val="20"/>
              </w:rPr>
            </w:pPr>
          </w:p>
        </w:tc>
        <w:tc>
          <w:tcPr>
            <w:tcW w:w="700" w:type="pct"/>
            <w:gridSpan w:val="2"/>
            <w:shd w:val="pct15" w:color="auto" w:fill="auto"/>
          </w:tcPr>
          <w:p w14:paraId="7267F7F7" w14:textId="77777777" w:rsidR="00AF58F7" w:rsidRPr="004B511E" w:rsidRDefault="00AF58F7" w:rsidP="00AF58F7">
            <w:pPr>
              <w:keepNext/>
              <w:jc w:val="right"/>
              <w:rPr>
                <w:sz w:val="20"/>
                <w:szCs w:val="20"/>
              </w:rPr>
            </w:pPr>
          </w:p>
        </w:tc>
        <w:tc>
          <w:tcPr>
            <w:tcW w:w="746" w:type="pct"/>
            <w:shd w:val="clear" w:color="auto" w:fill="auto"/>
          </w:tcPr>
          <w:p w14:paraId="19A0BF4F" w14:textId="77777777" w:rsidR="00AF58F7" w:rsidRPr="004B511E" w:rsidRDefault="00AF58F7" w:rsidP="00AF58F7">
            <w:pPr>
              <w:keepNext/>
              <w:jc w:val="right"/>
              <w:rPr>
                <w:sz w:val="20"/>
                <w:szCs w:val="20"/>
              </w:rPr>
            </w:pPr>
            <w:r w:rsidRPr="004B511E">
              <w:rPr>
                <w:sz w:val="20"/>
                <w:szCs w:val="20"/>
              </w:rPr>
              <w:t xml:space="preserve">682 hrs. </w:t>
            </w:r>
            <w:proofErr w:type="gramStart"/>
            <w:r w:rsidRPr="004B511E">
              <w:rPr>
                <w:sz w:val="20"/>
                <w:szCs w:val="20"/>
              </w:rPr>
              <w:t>in</w:t>
            </w:r>
            <w:proofErr w:type="gramEnd"/>
            <w:r w:rsidRPr="004B511E">
              <w:rPr>
                <w:sz w:val="20"/>
                <w:szCs w:val="20"/>
              </w:rPr>
              <w:t xml:space="preserve"> Year 1; 374 hrs. per year starting in Year 2</w:t>
            </w:r>
          </w:p>
        </w:tc>
        <w:tc>
          <w:tcPr>
            <w:tcW w:w="643" w:type="pct"/>
            <w:gridSpan w:val="2"/>
            <w:shd w:val="pct15" w:color="auto" w:fill="auto"/>
          </w:tcPr>
          <w:p w14:paraId="46D807D9" w14:textId="77777777" w:rsidR="00AF58F7" w:rsidRPr="004B511E" w:rsidRDefault="00AF58F7" w:rsidP="00AF58F7">
            <w:pPr>
              <w:keepNext/>
              <w:jc w:val="right"/>
              <w:rPr>
                <w:sz w:val="20"/>
                <w:szCs w:val="20"/>
              </w:rPr>
            </w:pPr>
          </w:p>
        </w:tc>
      </w:tr>
    </w:tbl>
    <w:p w14:paraId="0EF63F49" w14:textId="345DE356" w:rsidR="00AF58F7" w:rsidRPr="004B511E" w:rsidRDefault="00AF58F7" w:rsidP="00AF58F7">
      <w:pPr>
        <w:pStyle w:val="FERCparanumber"/>
        <w:keepNext/>
        <w:numPr>
          <w:ilvl w:val="0"/>
          <w:numId w:val="0"/>
        </w:numPr>
        <w:ind w:left="130"/>
        <w:rPr>
          <w:sz w:val="20"/>
          <w:szCs w:val="20"/>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440"/>
        <w:gridCol w:w="731"/>
        <w:gridCol w:w="1171"/>
        <w:gridCol w:w="81"/>
        <w:gridCol w:w="1088"/>
        <w:gridCol w:w="1260"/>
        <w:gridCol w:w="1519"/>
        <w:gridCol w:w="1260"/>
      </w:tblGrid>
      <w:tr w:rsidR="00AF58F7" w:rsidRPr="004B511E" w14:paraId="553A9E5B" w14:textId="77777777" w:rsidTr="00360EC8">
        <w:trPr>
          <w:cantSplit/>
        </w:trPr>
        <w:tc>
          <w:tcPr>
            <w:tcW w:w="5000" w:type="pct"/>
            <w:gridSpan w:val="9"/>
            <w:shd w:val="clear" w:color="auto" w:fill="auto"/>
            <w:vAlign w:val="center"/>
          </w:tcPr>
          <w:p w14:paraId="17E68DAB" w14:textId="53890895" w:rsidR="00AF58F7" w:rsidRPr="004B511E" w:rsidRDefault="00AF58F7" w:rsidP="00AF58F7">
            <w:pPr>
              <w:keepNext/>
              <w:jc w:val="center"/>
              <w:rPr>
                <w:rFonts w:eastAsia="Calibri"/>
                <w:b/>
                <w:szCs w:val="26"/>
              </w:rPr>
            </w:pPr>
            <w:r w:rsidRPr="004B511E">
              <w:rPr>
                <w:rFonts w:eastAsia="Calibri"/>
                <w:b/>
                <w:szCs w:val="26"/>
              </w:rPr>
              <w:lastRenderedPageBreak/>
              <w:t>FERC-725A, changes due to TOP-010-1 in Docket No. RD16-6-000</w:t>
            </w:r>
          </w:p>
          <w:p w14:paraId="02D58ACD" w14:textId="77777777" w:rsidR="00AF58F7" w:rsidRPr="004B511E" w:rsidRDefault="00AF58F7" w:rsidP="00AF58F7">
            <w:pPr>
              <w:keepNext/>
              <w:jc w:val="center"/>
              <w:rPr>
                <w:rFonts w:eastAsia="Calibri"/>
                <w:b/>
                <w:sz w:val="20"/>
                <w:szCs w:val="20"/>
              </w:rPr>
            </w:pPr>
          </w:p>
        </w:tc>
      </w:tr>
      <w:tr w:rsidR="004B511E" w:rsidRPr="004B511E" w14:paraId="51D866B9" w14:textId="77777777" w:rsidTr="004B511E">
        <w:trPr>
          <w:cantSplit/>
        </w:trPr>
        <w:tc>
          <w:tcPr>
            <w:tcW w:w="569" w:type="pct"/>
            <w:shd w:val="clear" w:color="auto" w:fill="D9D9D9"/>
            <w:vAlign w:val="center"/>
          </w:tcPr>
          <w:p w14:paraId="44D9F8A1" w14:textId="77777777" w:rsidR="00AF58F7" w:rsidRPr="004B511E" w:rsidRDefault="00AF58F7" w:rsidP="00AF58F7">
            <w:pPr>
              <w:keepNext/>
              <w:jc w:val="center"/>
              <w:rPr>
                <w:b/>
                <w:sz w:val="18"/>
                <w:szCs w:val="18"/>
              </w:rPr>
            </w:pPr>
            <w:r w:rsidRPr="004B511E">
              <w:rPr>
                <w:b/>
                <w:sz w:val="18"/>
                <w:szCs w:val="18"/>
              </w:rPr>
              <w:t>Entity</w:t>
            </w:r>
          </w:p>
        </w:tc>
        <w:tc>
          <w:tcPr>
            <w:tcW w:w="746" w:type="pct"/>
            <w:shd w:val="clear" w:color="auto" w:fill="D9D9D9"/>
            <w:vAlign w:val="center"/>
          </w:tcPr>
          <w:p w14:paraId="792414B9" w14:textId="77777777" w:rsidR="00AF58F7" w:rsidRPr="004B511E" w:rsidRDefault="00AF58F7" w:rsidP="00AF58F7">
            <w:pPr>
              <w:keepNext/>
              <w:jc w:val="center"/>
              <w:rPr>
                <w:rFonts w:eastAsia="Calibri"/>
                <w:b/>
                <w:sz w:val="18"/>
                <w:szCs w:val="18"/>
              </w:rPr>
            </w:pPr>
            <w:r w:rsidRPr="004B511E">
              <w:rPr>
                <w:b/>
                <w:sz w:val="18"/>
                <w:szCs w:val="18"/>
              </w:rPr>
              <w:t>Requirements &amp; Period</w:t>
            </w:r>
          </w:p>
        </w:tc>
        <w:tc>
          <w:tcPr>
            <w:tcW w:w="379" w:type="pct"/>
            <w:shd w:val="clear" w:color="auto" w:fill="D9D9D9"/>
            <w:vAlign w:val="bottom"/>
          </w:tcPr>
          <w:p w14:paraId="68C9050B" w14:textId="77777777" w:rsidR="004B511E" w:rsidRDefault="00AF58F7" w:rsidP="004B511E">
            <w:pPr>
              <w:keepNext/>
              <w:jc w:val="center"/>
              <w:rPr>
                <w:rFonts w:eastAsia="Calibri"/>
                <w:b/>
                <w:sz w:val="18"/>
                <w:szCs w:val="18"/>
              </w:rPr>
            </w:pPr>
            <w:r w:rsidRPr="004B511E">
              <w:rPr>
                <w:rFonts w:eastAsia="Calibri"/>
                <w:b/>
                <w:sz w:val="18"/>
                <w:szCs w:val="18"/>
              </w:rPr>
              <w:t>N</w:t>
            </w:r>
            <w:r w:rsidR="004B511E" w:rsidRPr="004B511E">
              <w:rPr>
                <w:rFonts w:eastAsia="Calibri"/>
                <w:b/>
                <w:sz w:val="18"/>
                <w:szCs w:val="18"/>
              </w:rPr>
              <w:t>o.</w:t>
            </w:r>
            <w:r w:rsidRPr="004B511E">
              <w:rPr>
                <w:rFonts w:eastAsia="Calibri"/>
                <w:b/>
                <w:sz w:val="18"/>
                <w:szCs w:val="18"/>
              </w:rPr>
              <w:t xml:space="preserve"> of Re</w:t>
            </w:r>
          </w:p>
          <w:p w14:paraId="00762EA9" w14:textId="6842769E" w:rsidR="004B511E" w:rsidRDefault="004B511E" w:rsidP="004B511E">
            <w:pPr>
              <w:keepNext/>
              <w:jc w:val="center"/>
              <w:rPr>
                <w:rFonts w:eastAsia="Calibri"/>
                <w:b/>
                <w:sz w:val="18"/>
                <w:szCs w:val="18"/>
              </w:rPr>
            </w:pPr>
            <w:proofErr w:type="spellStart"/>
            <w:r>
              <w:rPr>
                <w:rFonts w:eastAsia="Calibri"/>
                <w:b/>
                <w:sz w:val="18"/>
                <w:szCs w:val="18"/>
              </w:rPr>
              <w:t>s</w:t>
            </w:r>
            <w:r w:rsidR="00AF58F7" w:rsidRPr="004B511E">
              <w:rPr>
                <w:rFonts w:eastAsia="Calibri"/>
                <w:b/>
                <w:sz w:val="18"/>
                <w:szCs w:val="18"/>
              </w:rPr>
              <w:t>pon</w:t>
            </w:r>
            <w:proofErr w:type="spellEnd"/>
          </w:p>
          <w:p w14:paraId="783BEE0C" w14:textId="735ED725" w:rsidR="00AF58F7" w:rsidRPr="004B511E" w:rsidRDefault="00AF58F7" w:rsidP="004B511E">
            <w:pPr>
              <w:keepNext/>
              <w:jc w:val="center"/>
              <w:rPr>
                <w:rFonts w:eastAsia="Calibri"/>
                <w:b/>
                <w:sz w:val="18"/>
                <w:szCs w:val="18"/>
              </w:rPr>
            </w:pPr>
            <w:r w:rsidRPr="004B511E">
              <w:rPr>
                <w:rFonts w:eastAsia="Calibri"/>
                <w:b/>
                <w:sz w:val="18"/>
                <w:szCs w:val="18"/>
              </w:rPr>
              <w:t>dents</w:t>
            </w:r>
            <w:r w:rsidR="004B511E">
              <w:rPr>
                <w:rStyle w:val="FootnoteReference"/>
                <w:rFonts w:eastAsia="Calibri"/>
                <w:b w:val="0"/>
              </w:rPr>
              <w:footnoteReference w:id="18"/>
            </w:r>
            <w:r w:rsidRPr="004B511E">
              <w:rPr>
                <w:rFonts w:eastAsia="Calibri"/>
                <w:b/>
                <w:sz w:val="18"/>
                <w:szCs w:val="18"/>
              </w:rPr>
              <w:br/>
              <w:t>(1)</w:t>
            </w:r>
          </w:p>
        </w:tc>
        <w:tc>
          <w:tcPr>
            <w:tcW w:w="649" w:type="pct"/>
            <w:gridSpan w:val="2"/>
            <w:shd w:val="clear" w:color="auto" w:fill="D9D9D9"/>
            <w:vAlign w:val="bottom"/>
          </w:tcPr>
          <w:p w14:paraId="2E283154" w14:textId="0BD568E6" w:rsidR="00AF58F7" w:rsidRPr="004B511E" w:rsidRDefault="00AF58F7" w:rsidP="00AF58F7">
            <w:pPr>
              <w:keepNext/>
              <w:jc w:val="center"/>
              <w:rPr>
                <w:rFonts w:eastAsia="Calibri"/>
                <w:b/>
                <w:sz w:val="18"/>
                <w:szCs w:val="18"/>
              </w:rPr>
            </w:pPr>
            <w:r w:rsidRPr="004B511E">
              <w:rPr>
                <w:rFonts w:eastAsia="Calibri"/>
                <w:b/>
                <w:sz w:val="18"/>
                <w:szCs w:val="18"/>
              </w:rPr>
              <w:t xml:space="preserve">Annual </w:t>
            </w:r>
            <w:r w:rsidR="004B511E" w:rsidRPr="004B511E">
              <w:rPr>
                <w:rFonts w:eastAsia="Calibri"/>
                <w:b/>
                <w:sz w:val="18"/>
                <w:szCs w:val="18"/>
              </w:rPr>
              <w:t xml:space="preserve">No. </w:t>
            </w:r>
            <w:r w:rsidRPr="004B511E">
              <w:rPr>
                <w:rFonts w:eastAsia="Calibri"/>
                <w:b/>
                <w:sz w:val="18"/>
                <w:szCs w:val="18"/>
              </w:rPr>
              <w:t>of Responses per Respondent</w:t>
            </w:r>
          </w:p>
          <w:p w14:paraId="56F93DCE" w14:textId="77777777" w:rsidR="00AF58F7" w:rsidRPr="004B511E" w:rsidRDefault="00AF58F7" w:rsidP="00AF58F7">
            <w:pPr>
              <w:keepNext/>
              <w:jc w:val="center"/>
              <w:rPr>
                <w:rFonts w:eastAsia="Calibri"/>
                <w:b/>
                <w:sz w:val="18"/>
                <w:szCs w:val="18"/>
              </w:rPr>
            </w:pPr>
            <w:r w:rsidRPr="004B511E">
              <w:rPr>
                <w:rFonts w:eastAsia="Calibri"/>
                <w:b/>
                <w:sz w:val="18"/>
                <w:szCs w:val="18"/>
              </w:rPr>
              <w:t>(2)</w:t>
            </w:r>
          </w:p>
        </w:tc>
        <w:tc>
          <w:tcPr>
            <w:tcW w:w="564" w:type="pct"/>
            <w:shd w:val="clear" w:color="auto" w:fill="D9D9D9"/>
            <w:vAlign w:val="bottom"/>
          </w:tcPr>
          <w:p w14:paraId="32C4DCF5" w14:textId="320CD590" w:rsidR="00AF58F7" w:rsidRPr="004B511E" w:rsidRDefault="00AF58F7" w:rsidP="004B511E">
            <w:pPr>
              <w:keepNext/>
              <w:jc w:val="center"/>
              <w:rPr>
                <w:rFonts w:eastAsia="Calibri"/>
                <w:b/>
                <w:sz w:val="18"/>
                <w:szCs w:val="18"/>
              </w:rPr>
            </w:pPr>
            <w:r w:rsidRPr="004B511E">
              <w:rPr>
                <w:rFonts w:eastAsia="Calibri"/>
                <w:b/>
                <w:sz w:val="18"/>
                <w:szCs w:val="18"/>
              </w:rPr>
              <w:t>Total N</w:t>
            </w:r>
            <w:r w:rsidR="004B511E" w:rsidRPr="004B511E">
              <w:rPr>
                <w:rFonts w:eastAsia="Calibri"/>
                <w:b/>
                <w:sz w:val="18"/>
                <w:szCs w:val="18"/>
              </w:rPr>
              <w:t>o.</w:t>
            </w:r>
            <w:r w:rsidRPr="004B511E">
              <w:rPr>
                <w:rFonts w:eastAsia="Calibri"/>
                <w:b/>
                <w:sz w:val="18"/>
                <w:szCs w:val="18"/>
              </w:rPr>
              <w:t xml:space="preserve"> of Responses (1)*(2)=(3)</w:t>
            </w:r>
          </w:p>
        </w:tc>
        <w:tc>
          <w:tcPr>
            <w:tcW w:w="653" w:type="pct"/>
            <w:shd w:val="clear" w:color="auto" w:fill="D9D9D9"/>
            <w:vAlign w:val="bottom"/>
          </w:tcPr>
          <w:p w14:paraId="455D63AB" w14:textId="7A02CC4E" w:rsidR="00AF58F7" w:rsidRPr="004B511E" w:rsidRDefault="00AF58F7" w:rsidP="00AF58F7">
            <w:pPr>
              <w:keepNext/>
              <w:jc w:val="center"/>
              <w:rPr>
                <w:rFonts w:eastAsia="Calibri"/>
                <w:b/>
                <w:sz w:val="18"/>
                <w:szCs w:val="18"/>
              </w:rPr>
            </w:pPr>
            <w:r w:rsidRPr="004B511E">
              <w:rPr>
                <w:rFonts w:eastAsia="Calibri"/>
                <w:b/>
                <w:sz w:val="18"/>
                <w:szCs w:val="18"/>
              </w:rPr>
              <w:t>Average Burden &amp; Cost Per Response</w:t>
            </w:r>
            <w:r w:rsidR="004B511E">
              <w:rPr>
                <w:rStyle w:val="FootnoteReference"/>
                <w:rFonts w:eastAsia="Calibri"/>
                <w:b w:val="0"/>
              </w:rPr>
              <w:footnoteReference w:id="19"/>
            </w:r>
          </w:p>
          <w:p w14:paraId="2AC56798" w14:textId="77777777" w:rsidR="00AF58F7" w:rsidRPr="004B511E" w:rsidRDefault="00AF58F7" w:rsidP="00AF58F7">
            <w:pPr>
              <w:keepNext/>
              <w:jc w:val="center"/>
              <w:rPr>
                <w:rFonts w:eastAsia="Calibri"/>
                <w:b/>
                <w:sz w:val="18"/>
                <w:szCs w:val="18"/>
              </w:rPr>
            </w:pPr>
            <w:r w:rsidRPr="004B511E">
              <w:rPr>
                <w:rFonts w:eastAsia="Calibri"/>
                <w:b/>
                <w:sz w:val="18"/>
                <w:szCs w:val="18"/>
              </w:rPr>
              <w:t>(4)</w:t>
            </w:r>
          </w:p>
        </w:tc>
        <w:tc>
          <w:tcPr>
            <w:tcW w:w="787" w:type="pct"/>
            <w:shd w:val="clear" w:color="auto" w:fill="D9D9D9"/>
            <w:vAlign w:val="bottom"/>
          </w:tcPr>
          <w:p w14:paraId="72240F34" w14:textId="77777777" w:rsidR="00AF58F7" w:rsidRPr="004B511E" w:rsidRDefault="00AF58F7" w:rsidP="00AF58F7">
            <w:pPr>
              <w:keepNext/>
              <w:jc w:val="center"/>
              <w:rPr>
                <w:rFonts w:eastAsia="Calibri"/>
                <w:b/>
                <w:sz w:val="18"/>
                <w:szCs w:val="18"/>
              </w:rPr>
            </w:pPr>
            <w:r w:rsidRPr="004B511E">
              <w:rPr>
                <w:rFonts w:eastAsia="Calibri"/>
                <w:b/>
                <w:sz w:val="18"/>
                <w:szCs w:val="18"/>
              </w:rPr>
              <w:t>Total Annual Burden Hours &amp; Total Annual Cost</w:t>
            </w:r>
          </w:p>
          <w:p w14:paraId="6C6827B0" w14:textId="77777777" w:rsidR="00AF58F7" w:rsidRPr="004B511E" w:rsidRDefault="00AF58F7" w:rsidP="00AF58F7">
            <w:pPr>
              <w:keepNext/>
              <w:jc w:val="center"/>
              <w:rPr>
                <w:rFonts w:eastAsia="Calibri"/>
                <w:b/>
                <w:sz w:val="18"/>
                <w:szCs w:val="18"/>
              </w:rPr>
            </w:pPr>
            <w:r w:rsidRPr="004B511E">
              <w:rPr>
                <w:rFonts w:eastAsia="Calibri"/>
                <w:b/>
                <w:sz w:val="18"/>
                <w:szCs w:val="18"/>
              </w:rPr>
              <w:t>(3)*(4)=(5)</w:t>
            </w:r>
          </w:p>
        </w:tc>
        <w:tc>
          <w:tcPr>
            <w:tcW w:w="653" w:type="pct"/>
            <w:shd w:val="clear" w:color="auto" w:fill="D9D9D9"/>
            <w:vAlign w:val="bottom"/>
          </w:tcPr>
          <w:p w14:paraId="72C7770E" w14:textId="77777777" w:rsidR="00AF58F7" w:rsidRPr="004B511E" w:rsidRDefault="00AF58F7" w:rsidP="00AF58F7">
            <w:pPr>
              <w:keepNext/>
              <w:jc w:val="center"/>
              <w:rPr>
                <w:rFonts w:eastAsia="Calibri"/>
                <w:b/>
                <w:sz w:val="18"/>
                <w:szCs w:val="18"/>
              </w:rPr>
            </w:pPr>
            <w:r w:rsidRPr="004B511E">
              <w:rPr>
                <w:rFonts w:eastAsia="Calibri"/>
                <w:b/>
                <w:sz w:val="18"/>
                <w:szCs w:val="18"/>
              </w:rPr>
              <w:t>Cost per Respondent</w:t>
            </w:r>
          </w:p>
          <w:p w14:paraId="692F587B" w14:textId="77777777" w:rsidR="00AF58F7" w:rsidRPr="004B511E" w:rsidRDefault="00AF58F7" w:rsidP="00AF58F7">
            <w:pPr>
              <w:keepNext/>
              <w:jc w:val="center"/>
              <w:rPr>
                <w:rFonts w:eastAsia="Calibri"/>
                <w:b/>
                <w:sz w:val="18"/>
                <w:szCs w:val="18"/>
              </w:rPr>
            </w:pPr>
            <w:r w:rsidRPr="004B511E">
              <w:rPr>
                <w:rFonts w:eastAsia="Calibri"/>
                <w:b/>
                <w:sz w:val="18"/>
                <w:szCs w:val="18"/>
              </w:rPr>
              <w:t xml:space="preserve"> ($)</w:t>
            </w:r>
          </w:p>
          <w:p w14:paraId="58626563" w14:textId="77777777" w:rsidR="00AF58F7" w:rsidRPr="004B511E" w:rsidRDefault="00AF58F7" w:rsidP="00AF58F7">
            <w:pPr>
              <w:keepNext/>
              <w:jc w:val="center"/>
              <w:rPr>
                <w:rFonts w:eastAsia="Calibri"/>
                <w:b/>
                <w:sz w:val="18"/>
                <w:szCs w:val="18"/>
              </w:rPr>
            </w:pPr>
            <w:r w:rsidRPr="004B511E">
              <w:rPr>
                <w:rFonts w:eastAsia="Calibri"/>
                <w:b/>
                <w:sz w:val="18"/>
                <w:szCs w:val="18"/>
              </w:rPr>
              <w:t>(5)÷(1)</w:t>
            </w:r>
          </w:p>
        </w:tc>
      </w:tr>
      <w:tr w:rsidR="004B511E" w:rsidRPr="004B511E" w14:paraId="4EB7D947" w14:textId="77777777" w:rsidTr="004B511E">
        <w:trPr>
          <w:trHeight w:val="374"/>
        </w:trPr>
        <w:tc>
          <w:tcPr>
            <w:tcW w:w="569" w:type="pct"/>
            <w:vMerge w:val="restart"/>
            <w:vAlign w:val="center"/>
          </w:tcPr>
          <w:p w14:paraId="75E9A64A" w14:textId="46BAC3E0" w:rsidR="00AF58F7" w:rsidRPr="004B511E" w:rsidRDefault="00AF58F7" w:rsidP="004B511E">
            <w:pPr>
              <w:keepNext/>
              <w:jc w:val="center"/>
              <w:rPr>
                <w:b/>
                <w:sz w:val="18"/>
                <w:szCs w:val="18"/>
              </w:rPr>
            </w:pPr>
            <w:r w:rsidRPr="004B511E">
              <w:rPr>
                <w:b/>
                <w:sz w:val="18"/>
                <w:szCs w:val="18"/>
              </w:rPr>
              <w:t>BA</w:t>
            </w:r>
            <w:r w:rsidR="004B511E">
              <w:rPr>
                <w:rStyle w:val="FootnoteReference"/>
                <w:b w:val="0"/>
              </w:rPr>
              <w:footnoteReference w:id="20"/>
            </w:r>
          </w:p>
        </w:tc>
        <w:tc>
          <w:tcPr>
            <w:tcW w:w="746" w:type="pct"/>
            <w:vAlign w:val="center"/>
          </w:tcPr>
          <w:p w14:paraId="1F9D51FB" w14:textId="77777777" w:rsidR="00AF58F7" w:rsidRPr="004B511E" w:rsidRDefault="00AF58F7" w:rsidP="00AF58F7">
            <w:pPr>
              <w:keepNext/>
              <w:rPr>
                <w:b/>
                <w:sz w:val="18"/>
                <w:szCs w:val="18"/>
              </w:rPr>
            </w:pPr>
            <w:r w:rsidRPr="004B511E">
              <w:rPr>
                <w:b/>
                <w:sz w:val="18"/>
                <w:szCs w:val="18"/>
              </w:rPr>
              <w:t>Year 1 Implementation (reporting)</w:t>
            </w:r>
          </w:p>
        </w:tc>
        <w:tc>
          <w:tcPr>
            <w:tcW w:w="379" w:type="pct"/>
          </w:tcPr>
          <w:p w14:paraId="715ECFA4" w14:textId="77777777" w:rsidR="00AF58F7" w:rsidRPr="004B511E" w:rsidRDefault="00AF58F7" w:rsidP="00AF58F7">
            <w:pPr>
              <w:keepNext/>
              <w:jc w:val="right"/>
              <w:rPr>
                <w:sz w:val="18"/>
                <w:szCs w:val="18"/>
              </w:rPr>
            </w:pPr>
          </w:p>
          <w:p w14:paraId="5D50AF07" w14:textId="77777777" w:rsidR="00AF58F7" w:rsidRPr="004B511E" w:rsidRDefault="00AF58F7" w:rsidP="00AF58F7">
            <w:pPr>
              <w:keepNext/>
              <w:jc w:val="right"/>
              <w:rPr>
                <w:sz w:val="18"/>
                <w:szCs w:val="18"/>
              </w:rPr>
            </w:pPr>
            <w:r w:rsidRPr="004B511E">
              <w:rPr>
                <w:sz w:val="18"/>
                <w:szCs w:val="18"/>
              </w:rPr>
              <w:t>100</w:t>
            </w:r>
          </w:p>
        </w:tc>
        <w:tc>
          <w:tcPr>
            <w:tcW w:w="607" w:type="pct"/>
          </w:tcPr>
          <w:p w14:paraId="7B578152" w14:textId="77777777" w:rsidR="00AF58F7" w:rsidRPr="004B511E" w:rsidRDefault="00AF58F7" w:rsidP="00AF58F7">
            <w:pPr>
              <w:keepNext/>
              <w:jc w:val="right"/>
              <w:rPr>
                <w:sz w:val="18"/>
                <w:szCs w:val="18"/>
              </w:rPr>
            </w:pPr>
          </w:p>
          <w:p w14:paraId="67092890"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65660D3A" w14:textId="77777777" w:rsidR="00AF58F7" w:rsidRPr="004B511E" w:rsidRDefault="00AF58F7" w:rsidP="00AF58F7">
            <w:pPr>
              <w:keepNext/>
              <w:jc w:val="right"/>
              <w:rPr>
                <w:sz w:val="18"/>
                <w:szCs w:val="18"/>
              </w:rPr>
            </w:pPr>
          </w:p>
          <w:p w14:paraId="17166003" w14:textId="77777777" w:rsidR="00AF58F7" w:rsidRPr="004B511E" w:rsidRDefault="00AF58F7" w:rsidP="00AF58F7">
            <w:pPr>
              <w:keepNext/>
              <w:jc w:val="right"/>
              <w:rPr>
                <w:sz w:val="18"/>
                <w:szCs w:val="18"/>
              </w:rPr>
            </w:pPr>
            <w:r w:rsidRPr="004B511E">
              <w:rPr>
                <w:sz w:val="18"/>
                <w:szCs w:val="18"/>
              </w:rPr>
              <w:t>100</w:t>
            </w:r>
          </w:p>
        </w:tc>
        <w:tc>
          <w:tcPr>
            <w:tcW w:w="653" w:type="pct"/>
          </w:tcPr>
          <w:p w14:paraId="506E02D2" w14:textId="77777777" w:rsidR="00AF58F7" w:rsidRPr="004B511E" w:rsidRDefault="00AF58F7" w:rsidP="00AF58F7">
            <w:pPr>
              <w:keepNext/>
              <w:jc w:val="right"/>
              <w:rPr>
                <w:sz w:val="18"/>
                <w:szCs w:val="18"/>
              </w:rPr>
            </w:pPr>
            <w:r w:rsidRPr="004B511E">
              <w:rPr>
                <w:sz w:val="18"/>
                <w:szCs w:val="18"/>
              </w:rPr>
              <w:t>70 hrs</w:t>
            </w:r>
            <w:proofErr w:type="gramStart"/>
            <w:r w:rsidRPr="004B511E">
              <w:rPr>
                <w:sz w:val="18"/>
                <w:szCs w:val="18"/>
              </w:rPr>
              <w:t>.;</w:t>
            </w:r>
            <w:proofErr w:type="gramEnd"/>
          </w:p>
          <w:p w14:paraId="276F00D1" w14:textId="77777777" w:rsidR="00AF58F7" w:rsidRPr="004B511E" w:rsidRDefault="00AF58F7" w:rsidP="00AF58F7">
            <w:pPr>
              <w:keepNext/>
              <w:jc w:val="right"/>
              <w:rPr>
                <w:sz w:val="18"/>
                <w:szCs w:val="18"/>
              </w:rPr>
            </w:pPr>
          </w:p>
          <w:p w14:paraId="687F1330" w14:textId="77777777" w:rsidR="00AF58F7" w:rsidRPr="004B511E" w:rsidRDefault="00AF58F7" w:rsidP="00AF58F7">
            <w:pPr>
              <w:keepNext/>
              <w:jc w:val="right"/>
              <w:rPr>
                <w:sz w:val="18"/>
                <w:szCs w:val="18"/>
              </w:rPr>
            </w:pPr>
            <w:r w:rsidRPr="004B511E">
              <w:rPr>
                <w:sz w:val="18"/>
                <w:szCs w:val="18"/>
              </w:rPr>
              <w:t>$4,494.00</w:t>
            </w:r>
          </w:p>
        </w:tc>
        <w:tc>
          <w:tcPr>
            <w:tcW w:w="787" w:type="pct"/>
          </w:tcPr>
          <w:p w14:paraId="6E0FFA4B" w14:textId="77777777" w:rsidR="00AF58F7" w:rsidRPr="004B511E" w:rsidRDefault="00AF58F7" w:rsidP="00AF58F7">
            <w:pPr>
              <w:keepNext/>
              <w:jc w:val="right"/>
              <w:rPr>
                <w:sz w:val="18"/>
                <w:szCs w:val="18"/>
              </w:rPr>
            </w:pPr>
            <w:r w:rsidRPr="004B511E">
              <w:rPr>
                <w:sz w:val="18"/>
                <w:szCs w:val="18"/>
              </w:rPr>
              <w:t>7,000 hrs</w:t>
            </w:r>
            <w:proofErr w:type="gramStart"/>
            <w:r w:rsidRPr="004B511E">
              <w:rPr>
                <w:sz w:val="18"/>
                <w:szCs w:val="18"/>
              </w:rPr>
              <w:t>.;</w:t>
            </w:r>
            <w:proofErr w:type="gramEnd"/>
          </w:p>
          <w:p w14:paraId="7601F1A0" w14:textId="77777777" w:rsidR="00AF58F7" w:rsidRPr="004B511E" w:rsidRDefault="00AF58F7" w:rsidP="00AF58F7">
            <w:pPr>
              <w:keepNext/>
              <w:jc w:val="right"/>
              <w:rPr>
                <w:sz w:val="18"/>
                <w:szCs w:val="18"/>
              </w:rPr>
            </w:pPr>
          </w:p>
          <w:p w14:paraId="439F73FF" w14:textId="77777777" w:rsidR="00AF58F7" w:rsidRPr="004B511E" w:rsidRDefault="00AF58F7" w:rsidP="00AF58F7">
            <w:pPr>
              <w:keepNext/>
              <w:jc w:val="right"/>
              <w:rPr>
                <w:sz w:val="18"/>
                <w:szCs w:val="18"/>
              </w:rPr>
            </w:pPr>
            <w:r w:rsidRPr="004B511E">
              <w:rPr>
                <w:sz w:val="18"/>
                <w:szCs w:val="18"/>
              </w:rPr>
              <w:t>$449,400.00</w:t>
            </w:r>
          </w:p>
        </w:tc>
        <w:tc>
          <w:tcPr>
            <w:tcW w:w="653" w:type="pct"/>
          </w:tcPr>
          <w:p w14:paraId="5731D4A1" w14:textId="77777777" w:rsidR="00AF58F7" w:rsidRPr="004B511E" w:rsidRDefault="00AF58F7" w:rsidP="00AF58F7">
            <w:pPr>
              <w:keepNext/>
              <w:jc w:val="right"/>
              <w:rPr>
                <w:sz w:val="18"/>
                <w:szCs w:val="18"/>
              </w:rPr>
            </w:pPr>
          </w:p>
          <w:p w14:paraId="2DB6F9E8" w14:textId="77777777" w:rsidR="00AF58F7" w:rsidRPr="004B511E" w:rsidRDefault="00AF58F7" w:rsidP="00AF58F7">
            <w:pPr>
              <w:keepNext/>
              <w:jc w:val="right"/>
              <w:rPr>
                <w:sz w:val="18"/>
                <w:szCs w:val="18"/>
              </w:rPr>
            </w:pPr>
          </w:p>
          <w:p w14:paraId="5F9E15D1" w14:textId="77777777" w:rsidR="00AF58F7" w:rsidRPr="004B511E" w:rsidRDefault="00AF58F7" w:rsidP="00AF58F7">
            <w:pPr>
              <w:keepNext/>
              <w:jc w:val="right"/>
              <w:rPr>
                <w:sz w:val="18"/>
                <w:szCs w:val="18"/>
              </w:rPr>
            </w:pPr>
            <w:r w:rsidRPr="004B511E">
              <w:rPr>
                <w:sz w:val="18"/>
                <w:szCs w:val="18"/>
              </w:rPr>
              <w:t>$4,494.00</w:t>
            </w:r>
          </w:p>
        </w:tc>
      </w:tr>
      <w:tr w:rsidR="004B511E" w:rsidRPr="004B511E" w14:paraId="79F9778C" w14:textId="77777777" w:rsidTr="004B511E">
        <w:trPr>
          <w:trHeight w:val="374"/>
        </w:trPr>
        <w:tc>
          <w:tcPr>
            <w:tcW w:w="569" w:type="pct"/>
            <w:vMerge/>
            <w:vAlign w:val="center"/>
          </w:tcPr>
          <w:p w14:paraId="7E175746" w14:textId="77777777" w:rsidR="00AF58F7" w:rsidRPr="004B511E" w:rsidRDefault="00AF58F7" w:rsidP="00AF58F7">
            <w:pPr>
              <w:keepNext/>
              <w:jc w:val="center"/>
              <w:rPr>
                <w:b/>
                <w:sz w:val="18"/>
                <w:szCs w:val="18"/>
              </w:rPr>
            </w:pPr>
          </w:p>
        </w:tc>
        <w:tc>
          <w:tcPr>
            <w:tcW w:w="746" w:type="pct"/>
            <w:vAlign w:val="center"/>
          </w:tcPr>
          <w:p w14:paraId="607C1A81" w14:textId="77777777" w:rsidR="00AF58F7" w:rsidRPr="004B511E" w:rsidRDefault="00AF58F7" w:rsidP="00AF58F7">
            <w:pPr>
              <w:keepNext/>
              <w:rPr>
                <w:b/>
                <w:sz w:val="18"/>
                <w:szCs w:val="18"/>
              </w:rPr>
            </w:pPr>
            <w:r w:rsidRPr="004B511E">
              <w:rPr>
                <w:b/>
                <w:sz w:val="18"/>
                <w:szCs w:val="18"/>
              </w:rPr>
              <w:t>Starting in Year 2 (annual reporting)</w:t>
            </w:r>
          </w:p>
          <w:p w14:paraId="1411AD4B" w14:textId="77777777" w:rsidR="00AF58F7" w:rsidRPr="004B511E" w:rsidRDefault="00AF58F7" w:rsidP="00AF58F7">
            <w:pPr>
              <w:keepNext/>
              <w:rPr>
                <w:b/>
                <w:sz w:val="18"/>
                <w:szCs w:val="18"/>
              </w:rPr>
            </w:pPr>
          </w:p>
        </w:tc>
        <w:tc>
          <w:tcPr>
            <w:tcW w:w="379" w:type="pct"/>
          </w:tcPr>
          <w:p w14:paraId="0531D557" w14:textId="77777777" w:rsidR="00AF58F7" w:rsidRPr="004B511E" w:rsidRDefault="00AF58F7" w:rsidP="00AF58F7">
            <w:pPr>
              <w:keepNext/>
              <w:jc w:val="right"/>
              <w:rPr>
                <w:sz w:val="18"/>
                <w:szCs w:val="18"/>
              </w:rPr>
            </w:pPr>
          </w:p>
          <w:p w14:paraId="63D21BD5" w14:textId="77777777" w:rsidR="00AF58F7" w:rsidRPr="004B511E" w:rsidRDefault="00AF58F7" w:rsidP="00AF58F7">
            <w:pPr>
              <w:keepNext/>
              <w:jc w:val="right"/>
              <w:rPr>
                <w:sz w:val="18"/>
                <w:szCs w:val="18"/>
              </w:rPr>
            </w:pPr>
            <w:r w:rsidRPr="004B511E">
              <w:rPr>
                <w:sz w:val="18"/>
                <w:szCs w:val="18"/>
              </w:rPr>
              <w:t>100</w:t>
            </w:r>
          </w:p>
        </w:tc>
        <w:tc>
          <w:tcPr>
            <w:tcW w:w="607" w:type="pct"/>
          </w:tcPr>
          <w:p w14:paraId="0E82A12F" w14:textId="77777777" w:rsidR="00AF58F7" w:rsidRPr="004B511E" w:rsidRDefault="00AF58F7" w:rsidP="00AF58F7">
            <w:pPr>
              <w:keepNext/>
              <w:jc w:val="right"/>
              <w:rPr>
                <w:sz w:val="18"/>
                <w:szCs w:val="18"/>
              </w:rPr>
            </w:pPr>
          </w:p>
          <w:p w14:paraId="446E43A4"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5525D3ED" w14:textId="77777777" w:rsidR="00AF58F7" w:rsidRPr="004B511E" w:rsidRDefault="00AF58F7" w:rsidP="00AF58F7">
            <w:pPr>
              <w:keepNext/>
              <w:jc w:val="right"/>
              <w:rPr>
                <w:sz w:val="18"/>
                <w:szCs w:val="18"/>
              </w:rPr>
            </w:pPr>
          </w:p>
          <w:p w14:paraId="274013C6" w14:textId="77777777" w:rsidR="00AF58F7" w:rsidRPr="004B511E" w:rsidRDefault="00AF58F7" w:rsidP="00AF58F7">
            <w:pPr>
              <w:keepNext/>
              <w:jc w:val="right"/>
              <w:rPr>
                <w:sz w:val="18"/>
                <w:szCs w:val="18"/>
              </w:rPr>
            </w:pPr>
            <w:r w:rsidRPr="004B511E">
              <w:rPr>
                <w:sz w:val="18"/>
                <w:szCs w:val="18"/>
              </w:rPr>
              <w:t xml:space="preserve">100 </w:t>
            </w:r>
          </w:p>
        </w:tc>
        <w:tc>
          <w:tcPr>
            <w:tcW w:w="653" w:type="pct"/>
          </w:tcPr>
          <w:p w14:paraId="60436340" w14:textId="77777777" w:rsidR="00AF58F7" w:rsidRPr="004B511E" w:rsidRDefault="00AF58F7" w:rsidP="00AF58F7">
            <w:pPr>
              <w:keepNext/>
              <w:jc w:val="right"/>
              <w:rPr>
                <w:sz w:val="18"/>
                <w:szCs w:val="18"/>
              </w:rPr>
            </w:pPr>
            <w:r w:rsidRPr="004B511E">
              <w:rPr>
                <w:sz w:val="18"/>
                <w:szCs w:val="18"/>
              </w:rPr>
              <w:t>42 hrs</w:t>
            </w:r>
            <w:proofErr w:type="gramStart"/>
            <w:r w:rsidRPr="004B511E">
              <w:rPr>
                <w:sz w:val="18"/>
                <w:szCs w:val="18"/>
              </w:rPr>
              <w:t>.;</w:t>
            </w:r>
            <w:proofErr w:type="gramEnd"/>
            <w:r w:rsidRPr="004B511E">
              <w:rPr>
                <w:sz w:val="18"/>
                <w:szCs w:val="18"/>
              </w:rPr>
              <w:t xml:space="preserve"> </w:t>
            </w:r>
          </w:p>
          <w:p w14:paraId="144383AA" w14:textId="77777777" w:rsidR="00AF58F7" w:rsidRPr="004B511E" w:rsidRDefault="00AF58F7" w:rsidP="00AF58F7">
            <w:pPr>
              <w:keepNext/>
              <w:jc w:val="right"/>
              <w:rPr>
                <w:sz w:val="18"/>
                <w:szCs w:val="18"/>
              </w:rPr>
            </w:pPr>
          </w:p>
          <w:p w14:paraId="7D1EDC6F" w14:textId="77777777" w:rsidR="00AF58F7" w:rsidRPr="004B511E" w:rsidRDefault="00AF58F7" w:rsidP="00AF58F7">
            <w:pPr>
              <w:keepNext/>
              <w:jc w:val="right"/>
              <w:rPr>
                <w:sz w:val="18"/>
                <w:szCs w:val="18"/>
              </w:rPr>
            </w:pPr>
            <w:r w:rsidRPr="004B511E">
              <w:rPr>
                <w:sz w:val="18"/>
                <w:szCs w:val="18"/>
              </w:rPr>
              <w:t>$2,696.40</w:t>
            </w:r>
          </w:p>
        </w:tc>
        <w:tc>
          <w:tcPr>
            <w:tcW w:w="787" w:type="pct"/>
          </w:tcPr>
          <w:p w14:paraId="23FB79B3" w14:textId="77777777" w:rsidR="00AF58F7" w:rsidRPr="004B511E" w:rsidRDefault="00AF58F7" w:rsidP="00AF58F7">
            <w:pPr>
              <w:keepNext/>
              <w:jc w:val="right"/>
              <w:rPr>
                <w:sz w:val="18"/>
                <w:szCs w:val="18"/>
              </w:rPr>
            </w:pPr>
            <w:r w:rsidRPr="004B511E">
              <w:rPr>
                <w:sz w:val="18"/>
                <w:szCs w:val="18"/>
              </w:rPr>
              <w:t>4,200 hrs</w:t>
            </w:r>
            <w:proofErr w:type="gramStart"/>
            <w:r w:rsidRPr="004B511E">
              <w:rPr>
                <w:sz w:val="18"/>
                <w:szCs w:val="18"/>
              </w:rPr>
              <w:t>.;</w:t>
            </w:r>
            <w:proofErr w:type="gramEnd"/>
          </w:p>
          <w:p w14:paraId="017886BF" w14:textId="77777777" w:rsidR="00AF58F7" w:rsidRPr="004B511E" w:rsidRDefault="00AF58F7" w:rsidP="00AF58F7">
            <w:pPr>
              <w:keepNext/>
              <w:jc w:val="right"/>
              <w:rPr>
                <w:sz w:val="18"/>
                <w:szCs w:val="18"/>
              </w:rPr>
            </w:pPr>
            <w:r w:rsidRPr="004B511E">
              <w:rPr>
                <w:sz w:val="18"/>
                <w:szCs w:val="18"/>
              </w:rPr>
              <w:t>$269,640.00</w:t>
            </w:r>
          </w:p>
        </w:tc>
        <w:tc>
          <w:tcPr>
            <w:tcW w:w="653" w:type="pct"/>
          </w:tcPr>
          <w:p w14:paraId="07D60224" w14:textId="77777777" w:rsidR="00AF58F7" w:rsidRPr="004B511E" w:rsidRDefault="00AF58F7" w:rsidP="00AF58F7">
            <w:pPr>
              <w:keepNext/>
              <w:jc w:val="right"/>
              <w:rPr>
                <w:sz w:val="18"/>
                <w:szCs w:val="18"/>
              </w:rPr>
            </w:pPr>
          </w:p>
          <w:p w14:paraId="381CCDC3" w14:textId="77777777" w:rsidR="00AF58F7" w:rsidRPr="004B511E" w:rsidRDefault="00AF58F7" w:rsidP="00AF58F7">
            <w:pPr>
              <w:keepNext/>
              <w:jc w:val="right"/>
              <w:rPr>
                <w:sz w:val="18"/>
                <w:szCs w:val="18"/>
              </w:rPr>
            </w:pPr>
          </w:p>
          <w:p w14:paraId="440E7709" w14:textId="77777777" w:rsidR="00AF58F7" w:rsidRPr="004B511E" w:rsidRDefault="00AF58F7" w:rsidP="00AF58F7">
            <w:pPr>
              <w:keepNext/>
              <w:jc w:val="right"/>
              <w:rPr>
                <w:sz w:val="18"/>
                <w:szCs w:val="18"/>
              </w:rPr>
            </w:pPr>
            <w:r w:rsidRPr="004B511E">
              <w:rPr>
                <w:sz w:val="18"/>
                <w:szCs w:val="18"/>
              </w:rPr>
              <w:t>$2,696.40</w:t>
            </w:r>
          </w:p>
        </w:tc>
      </w:tr>
      <w:tr w:rsidR="004B511E" w:rsidRPr="004B511E" w14:paraId="4C003BAC" w14:textId="77777777" w:rsidTr="004B511E">
        <w:trPr>
          <w:trHeight w:val="374"/>
        </w:trPr>
        <w:tc>
          <w:tcPr>
            <w:tcW w:w="569" w:type="pct"/>
            <w:vMerge w:val="restart"/>
            <w:vAlign w:val="center"/>
          </w:tcPr>
          <w:p w14:paraId="726C298C" w14:textId="77777777" w:rsidR="00AF58F7" w:rsidRPr="004B511E" w:rsidRDefault="00AF58F7" w:rsidP="00AF58F7">
            <w:pPr>
              <w:keepNext/>
              <w:jc w:val="center"/>
              <w:rPr>
                <w:b/>
                <w:sz w:val="18"/>
                <w:szCs w:val="18"/>
              </w:rPr>
            </w:pPr>
            <w:r w:rsidRPr="004B511E">
              <w:rPr>
                <w:b/>
                <w:sz w:val="18"/>
                <w:szCs w:val="18"/>
              </w:rPr>
              <w:t>TOP</w:t>
            </w:r>
            <w:r w:rsidRPr="004B511E">
              <w:rPr>
                <w:rStyle w:val="FootnoteReference"/>
                <w:sz w:val="18"/>
                <w:szCs w:val="18"/>
              </w:rPr>
              <w:footnoteReference w:id="21"/>
            </w:r>
          </w:p>
        </w:tc>
        <w:tc>
          <w:tcPr>
            <w:tcW w:w="746" w:type="pct"/>
            <w:vAlign w:val="center"/>
          </w:tcPr>
          <w:p w14:paraId="3A82CB15" w14:textId="77777777" w:rsidR="00AF58F7" w:rsidRPr="004B511E" w:rsidRDefault="00AF58F7" w:rsidP="00AF58F7">
            <w:pPr>
              <w:keepNext/>
              <w:rPr>
                <w:b/>
                <w:sz w:val="18"/>
                <w:szCs w:val="18"/>
              </w:rPr>
            </w:pPr>
          </w:p>
          <w:p w14:paraId="46B5BBC5" w14:textId="77777777" w:rsidR="00AF58F7" w:rsidRPr="004B511E" w:rsidRDefault="00AF58F7" w:rsidP="00AF58F7">
            <w:pPr>
              <w:keepNext/>
              <w:rPr>
                <w:b/>
                <w:sz w:val="18"/>
                <w:szCs w:val="18"/>
              </w:rPr>
            </w:pPr>
            <w:r w:rsidRPr="004B511E">
              <w:rPr>
                <w:b/>
                <w:sz w:val="18"/>
                <w:szCs w:val="18"/>
              </w:rPr>
              <w:t>Year 1 implementation (reporting)</w:t>
            </w:r>
          </w:p>
        </w:tc>
        <w:tc>
          <w:tcPr>
            <w:tcW w:w="379" w:type="pct"/>
          </w:tcPr>
          <w:p w14:paraId="44F157EC" w14:textId="77777777" w:rsidR="00AF58F7" w:rsidRPr="004B511E" w:rsidRDefault="00AF58F7" w:rsidP="00AF58F7">
            <w:pPr>
              <w:keepNext/>
              <w:jc w:val="right"/>
              <w:rPr>
                <w:sz w:val="18"/>
                <w:szCs w:val="18"/>
              </w:rPr>
            </w:pPr>
          </w:p>
          <w:p w14:paraId="79C6CD07" w14:textId="77777777" w:rsidR="00AF58F7" w:rsidRPr="004B511E" w:rsidRDefault="00AF58F7" w:rsidP="00AF58F7">
            <w:pPr>
              <w:keepNext/>
              <w:jc w:val="right"/>
              <w:rPr>
                <w:sz w:val="18"/>
                <w:szCs w:val="18"/>
              </w:rPr>
            </w:pPr>
            <w:r w:rsidRPr="004B511E">
              <w:rPr>
                <w:sz w:val="18"/>
                <w:szCs w:val="18"/>
              </w:rPr>
              <w:t>171</w:t>
            </w:r>
          </w:p>
        </w:tc>
        <w:tc>
          <w:tcPr>
            <w:tcW w:w="607" w:type="pct"/>
          </w:tcPr>
          <w:p w14:paraId="5AB46CA5" w14:textId="77777777" w:rsidR="00AF58F7" w:rsidRPr="004B511E" w:rsidRDefault="00AF58F7" w:rsidP="00AF58F7">
            <w:pPr>
              <w:keepNext/>
              <w:jc w:val="right"/>
              <w:rPr>
                <w:sz w:val="18"/>
                <w:szCs w:val="18"/>
              </w:rPr>
            </w:pPr>
          </w:p>
          <w:p w14:paraId="56B8CD62"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0AAC0178" w14:textId="77777777" w:rsidR="00AF58F7" w:rsidRPr="004B511E" w:rsidRDefault="00AF58F7" w:rsidP="00AF58F7">
            <w:pPr>
              <w:keepNext/>
              <w:jc w:val="right"/>
              <w:rPr>
                <w:sz w:val="18"/>
                <w:szCs w:val="18"/>
              </w:rPr>
            </w:pPr>
          </w:p>
          <w:p w14:paraId="03C11C68" w14:textId="77777777" w:rsidR="00AF58F7" w:rsidRPr="004B511E" w:rsidRDefault="00AF58F7" w:rsidP="00AF58F7">
            <w:pPr>
              <w:keepNext/>
              <w:jc w:val="right"/>
              <w:rPr>
                <w:sz w:val="18"/>
                <w:szCs w:val="18"/>
              </w:rPr>
            </w:pPr>
            <w:r w:rsidRPr="004B511E">
              <w:rPr>
                <w:sz w:val="18"/>
                <w:szCs w:val="18"/>
              </w:rPr>
              <w:t>171</w:t>
            </w:r>
          </w:p>
        </w:tc>
        <w:tc>
          <w:tcPr>
            <w:tcW w:w="653" w:type="pct"/>
          </w:tcPr>
          <w:p w14:paraId="226B8405" w14:textId="77777777" w:rsidR="00AF58F7" w:rsidRPr="004B511E" w:rsidRDefault="00AF58F7" w:rsidP="00AF58F7">
            <w:pPr>
              <w:keepNext/>
              <w:jc w:val="right"/>
              <w:rPr>
                <w:sz w:val="18"/>
                <w:szCs w:val="18"/>
              </w:rPr>
            </w:pPr>
            <w:r w:rsidRPr="004B511E">
              <w:rPr>
                <w:sz w:val="18"/>
                <w:szCs w:val="18"/>
              </w:rPr>
              <w:t>70 hrs</w:t>
            </w:r>
            <w:proofErr w:type="gramStart"/>
            <w:r w:rsidRPr="004B511E">
              <w:rPr>
                <w:sz w:val="18"/>
                <w:szCs w:val="18"/>
              </w:rPr>
              <w:t>.;</w:t>
            </w:r>
            <w:proofErr w:type="gramEnd"/>
            <w:r w:rsidRPr="004B511E">
              <w:rPr>
                <w:sz w:val="18"/>
                <w:szCs w:val="18"/>
              </w:rPr>
              <w:t xml:space="preserve"> </w:t>
            </w:r>
          </w:p>
          <w:p w14:paraId="11B47D2D" w14:textId="77777777" w:rsidR="00AF58F7" w:rsidRPr="004B511E" w:rsidRDefault="00AF58F7" w:rsidP="00AF58F7">
            <w:pPr>
              <w:keepNext/>
              <w:jc w:val="right"/>
              <w:rPr>
                <w:sz w:val="18"/>
                <w:szCs w:val="18"/>
              </w:rPr>
            </w:pPr>
            <w:r w:rsidRPr="004B511E">
              <w:rPr>
                <w:sz w:val="18"/>
                <w:szCs w:val="18"/>
              </w:rPr>
              <w:t>$4,494.00</w:t>
            </w:r>
          </w:p>
        </w:tc>
        <w:tc>
          <w:tcPr>
            <w:tcW w:w="787" w:type="pct"/>
          </w:tcPr>
          <w:p w14:paraId="5432D427" w14:textId="77777777" w:rsidR="00AF58F7" w:rsidRPr="004B511E" w:rsidRDefault="00AF58F7" w:rsidP="00AF58F7">
            <w:pPr>
              <w:keepNext/>
              <w:jc w:val="right"/>
              <w:rPr>
                <w:sz w:val="18"/>
                <w:szCs w:val="18"/>
              </w:rPr>
            </w:pPr>
            <w:r w:rsidRPr="004B511E">
              <w:rPr>
                <w:sz w:val="18"/>
                <w:szCs w:val="18"/>
              </w:rPr>
              <w:t>11,970 hrs</w:t>
            </w:r>
            <w:proofErr w:type="gramStart"/>
            <w:r w:rsidRPr="004B511E">
              <w:rPr>
                <w:sz w:val="18"/>
                <w:szCs w:val="18"/>
              </w:rPr>
              <w:t>.;</w:t>
            </w:r>
            <w:proofErr w:type="gramEnd"/>
          </w:p>
          <w:p w14:paraId="3D01CDD6" w14:textId="77777777" w:rsidR="00AF58F7" w:rsidRPr="004B511E" w:rsidRDefault="00AF58F7" w:rsidP="00AF58F7">
            <w:pPr>
              <w:keepNext/>
              <w:jc w:val="right"/>
              <w:rPr>
                <w:sz w:val="18"/>
                <w:szCs w:val="18"/>
              </w:rPr>
            </w:pPr>
            <w:r w:rsidRPr="004B511E">
              <w:rPr>
                <w:sz w:val="18"/>
                <w:szCs w:val="18"/>
              </w:rPr>
              <w:t>$768,474.00</w:t>
            </w:r>
          </w:p>
        </w:tc>
        <w:tc>
          <w:tcPr>
            <w:tcW w:w="653" w:type="pct"/>
          </w:tcPr>
          <w:p w14:paraId="09425347" w14:textId="77777777" w:rsidR="00AF58F7" w:rsidRPr="004B511E" w:rsidRDefault="00AF58F7" w:rsidP="00AF58F7">
            <w:pPr>
              <w:keepNext/>
              <w:jc w:val="right"/>
              <w:rPr>
                <w:sz w:val="18"/>
                <w:szCs w:val="18"/>
              </w:rPr>
            </w:pPr>
          </w:p>
          <w:p w14:paraId="508177AD" w14:textId="77777777" w:rsidR="00AF58F7" w:rsidRPr="004B511E" w:rsidRDefault="00AF58F7" w:rsidP="00AF58F7">
            <w:pPr>
              <w:keepNext/>
              <w:jc w:val="right"/>
              <w:rPr>
                <w:sz w:val="18"/>
                <w:szCs w:val="18"/>
              </w:rPr>
            </w:pPr>
          </w:p>
          <w:p w14:paraId="11D8FA1F" w14:textId="77777777" w:rsidR="00AF58F7" w:rsidRPr="004B511E" w:rsidRDefault="00AF58F7" w:rsidP="00AF58F7">
            <w:pPr>
              <w:keepNext/>
              <w:jc w:val="right"/>
              <w:rPr>
                <w:sz w:val="18"/>
                <w:szCs w:val="18"/>
              </w:rPr>
            </w:pPr>
            <w:r w:rsidRPr="004B511E">
              <w:rPr>
                <w:sz w:val="18"/>
                <w:szCs w:val="18"/>
              </w:rPr>
              <w:t>$4,494.00</w:t>
            </w:r>
          </w:p>
        </w:tc>
      </w:tr>
      <w:tr w:rsidR="004B511E" w:rsidRPr="004B511E" w14:paraId="1C2989B5" w14:textId="77777777" w:rsidTr="004B511E">
        <w:trPr>
          <w:trHeight w:val="374"/>
        </w:trPr>
        <w:tc>
          <w:tcPr>
            <w:tcW w:w="569" w:type="pct"/>
            <w:vMerge/>
            <w:vAlign w:val="center"/>
          </w:tcPr>
          <w:p w14:paraId="3FFE091B" w14:textId="77777777" w:rsidR="00AF58F7" w:rsidRPr="004B511E" w:rsidRDefault="00AF58F7" w:rsidP="00AF58F7">
            <w:pPr>
              <w:keepNext/>
              <w:jc w:val="center"/>
              <w:rPr>
                <w:b/>
                <w:sz w:val="18"/>
                <w:szCs w:val="18"/>
              </w:rPr>
            </w:pPr>
          </w:p>
        </w:tc>
        <w:tc>
          <w:tcPr>
            <w:tcW w:w="746" w:type="pct"/>
            <w:vAlign w:val="center"/>
          </w:tcPr>
          <w:p w14:paraId="0FB01F90" w14:textId="77777777" w:rsidR="00AF58F7" w:rsidRPr="004B511E" w:rsidRDefault="00AF58F7" w:rsidP="00AF58F7">
            <w:pPr>
              <w:keepNext/>
              <w:jc w:val="center"/>
              <w:rPr>
                <w:b/>
                <w:sz w:val="18"/>
                <w:szCs w:val="18"/>
              </w:rPr>
            </w:pPr>
          </w:p>
          <w:p w14:paraId="72B7871D" w14:textId="77777777" w:rsidR="00AF58F7" w:rsidRPr="004B511E" w:rsidRDefault="00AF58F7" w:rsidP="00AF58F7">
            <w:pPr>
              <w:keepNext/>
              <w:jc w:val="center"/>
              <w:rPr>
                <w:b/>
                <w:sz w:val="18"/>
                <w:szCs w:val="18"/>
              </w:rPr>
            </w:pPr>
            <w:r w:rsidRPr="004B511E">
              <w:rPr>
                <w:b/>
                <w:sz w:val="18"/>
                <w:szCs w:val="18"/>
              </w:rPr>
              <w:t>Starting in Year 2 (annual reporting)</w:t>
            </w:r>
          </w:p>
        </w:tc>
        <w:tc>
          <w:tcPr>
            <w:tcW w:w="379" w:type="pct"/>
          </w:tcPr>
          <w:p w14:paraId="05C75F65" w14:textId="77777777" w:rsidR="00AF58F7" w:rsidRPr="004B511E" w:rsidRDefault="00AF58F7" w:rsidP="00AF58F7">
            <w:pPr>
              <w:keepNext/>
              <w:jc w:val="right"/>
              <w:rPr>
                <w:sz w:val="18"/>
                <w:szCs w:val="18"/>
              </w:rPr>
            </w:pPr>
          </w:p>
          <w:p w14:paraId="4CA362E8" w14:textId="77777777" w:rsidR="00AF58F7" w:rsidRPr="004B511E" w:rsidRDefault="00AF58F7" w:rsidP="00AF58F7">
            <w:pPr>
              <w:keepNext/>
              <w:jc w:val="right"/>
              <w:rPr>
                <w:sz w:val="18"/>
                <w:szCs w:val="18"/>
              </w:rPr>
            </w:pPr>
            <w:r w:rsidRPr="004B511E">
              <w:rPr>
                <w:sz w:val="18"/>
                <w:szCs w:val="18"/>
              </w:rPr>
              <w:t>171</w:t>
            </w:r>
          </w:p>
        </w:tc>
        <w:tc>
          <w:tcPr>
            <w:tcW w:w="607" w:type="pct"/>
          </w:tcPr>
          <w:p w14:paraId="3316477B" w14:textId="77777777" w:rsidR="00AF58F7" w:rsidRPr="004B511E" w:rsidRDefault="00AF58F7" w:rsidP="00AF58F7">
            <w:pPr>
              <w:keepNext/>
              <w:jc w:val="right"/>
              <w:rPr>
                <w:sz w:val="18"/>
                <w:szCs w:val="18"/>
              </w:rPr>
            </w:pPr>
          </w:p>
          <w:p w14:paraId="78C1146B" w14:textId="77777777" w:rsidR="00AF58F7" w:rsidRPr="004B511E" w:rsidRDefault="00AF58F7" w:rsidP="00AF58F7">
            <w:pPr>
              <w:keepNext/>
              <w:jc w:val="right"/>
              <w:rPr>
                <w:sz w:val="18"/>
                <w:szCs w:val="18"/>
              </w:rPr>
            </w:pPr>
            <w:r w:rsidRPr="004B511E">
              <w:rPr>
                <w:sz w:val="18"/>
                <w:szCs w:val="18"/>
              </w:rPr>
              <w:t>1</w:t>
            </w:r>
          </w:p>
        </w:tc>
        <w:tc>
          <w:tcPr>
            <w:tcW w:w="606" w:type="pct"/>
            <w:gridSpan w:val="2"/>
          </w:tcPr>
          <w:p w14:paraId="22394BCD" w14:textId="77777777" w:rsidR="00AF58F7" w:rsidRPr="004B511E" w:rsidRDefault="00AF58F7" w:rsidP="00AF58F7">
            <w:pPr>
              <w:keepNext/>
              <w:jc w:val="right"/>
              <w:rPr>
                <w:sz w:val="18"/>
                <w:szCs w:val="18"/>
              </w:rPr>
            </w:pPr>
          </w:p>
          <w:p w14:paraId="0B1DC5C7" w14:textId="77777777" w:rsidR="00AF58F7" w:rsidRPr="004B511E" w:rsidRDefault="00AF58F7" w:rsidP="00AF58F7">
            <w:pPr>
              <w:keepNext/>
              <w:jc w:val="right"/>
              <w:rPr>
                <w:sz w:val="18"/>
                <w:szCs w:val="18"/>
              </w:rPr>
            </w:pPr>
            <w:r w:rsidRPr="004B511E">
              <w:rPr>
                <w:sz w:val="18"/>
                <w:szCs w:val="18"/>
              </w:rPr>
              <w:t>171</w:t>
            </w:r>
          </w:p>
        </w:tc>
        <w:tc>
          <w:tcPr>
            <w:tcW w:w="653" w:type="pct"/>
          </w:tcPr>
          <w:p w14:paraId="10390FA7" w14:textId="1AE6F172" w:rsidR="00AF58F7" w:rsidRPr="004B511E" w:rsidRDefault="00AF58F7" w:rsidP="00AF58F7">
            <w:pPr>
              <w:keepNext/>
              <w:jc w:val="right"/>
              <w:rPr>
                <w:sz w:val="18"/>
                <w:szCs w:val="18"/>
              </w:rPr>
            </w:pPr>
            <w:r w:rsidRPr="00413969">
              <w:rPr>
                <w:sz w:val="18"/>
                <w:szCs w:val="18"/>
              </w:rPr>
              <w:t>40</w:t>
            </w:r>
            <w:r w:rsidR="00931B09" w:rsidRPr="00413969">
              <w:rPr>
                <w:sz w:val="18"/>
                <w:szCs w:val="18"/>
              </w:rPr>
              <w:t xml:space="preserve"> </w:t>
            </w:r>
            <w:r w:rsidRPr="00413969">
              <w:rPr>
                <w:sz w:val="18"/>
                <w:szCs w:val="18"/>
              </w:rPr>
              <w:t>hrs</w:t>
            </w:r>
            <w:r w:rsidR="00931B09" w:rsidRPr="00413969">
              <w:rPr>
                <w:sz w:val="18"/>
                <w:szCs w:val="18"/>
              </w:rPr>
              <w:t>.</w:t>
            </w:r>
          </w:p>
          <w:p w14:paraId="781A4185" w14:textId="77777777" w:rsidR="00AF58F7" w:rsidRPr="004B511E" w:rsidRDefault="00AF58F7" w:rsidP="00AF58F7">
            <w:pPr>
              <w:keepNext/>
              <w:jc w:val="right"/>
              <w:rPr>
                <w:sz w:val="18"/>
                <w:szCs w:val="18"/>
              </w:rPr>
            </w:pPr>
          </w:p>
          <w:p w14:paraId="225092F0" w14:textId="77777777" w:rsidR="00AF58F7" w:rsidRPr="004B511E" w:rsidRDefault="00AF58F7" w:rsidP="00AF58F7">
            <w:pPr>
              <w:keepNext/>
              <w:jc w:val="right"/>
              <w:rPr>
                <w:sz w:val="18"/>
                <w:szCs w:val="18"/>
              </w:rPr>
            </w:pPr>
            <w:r w:rsidRPr="004B511E">
              <w:rPr>
                <w:sz w:val="18"/>
                <w:szCs w:val="18"/>
              </w:rPr>
              <w:t>$2,568.00</w:t>
            </w:r>
          </w:p>
        </w:tc>
        <w:tc>
          <w:tcPr>
            <w:tcW w:w="787" w:type="pct"/>
          </w:tcPr>
          <w:p w14:paraId="0821D230" w14:textId="77777777" w:rsidR="00AF58F7" w:rsidRPr="004B511E" w:rsidRDefault="00AF58F7" w:rsidP="00AF58F7">
            <w:pPr>
              <w:keepNext/>
              <w:jc w:val="right"/>
              <w:rPr>
                <w:sz w:val="18"/>
                <w:szCs w:val="18"/>
              </w:rPr>
            </w:pPr>
            <w:r w:rsidRPr="004B511E">
              <w:rPr>
                <w:sz w:val="18"/>
                <w:szCs w:val="18"/>
              </w:rPr>
              <w:t>6,840 hrs</w:t>
            </w:r>
            <w:proofErr w:type="gramStart"/>
            <w:r w:rsidRPr="004B511E">
              <w:rPr>
                <w:sz w:val="18"/>
                <w:szCs w:val="18"/>
              </w:rPr>
              <w:t>.;</w:t>
            </w:r>
            <w:proofErr w:type="gramEnd"/>
          </w:p>
          <w:p w14:paraId="14893C7A" w14:textId="77777777" w:rsidR="00AF58F7" w:rsidRPr="004B511E" w:rsidRDefault="00AF58F7" w:rsidP="00AF58F7">
            <w:pPr>
              <w:keepNext/>
              <w:jc w:val="right"/>
              <w:rPr>
                <w:sz w:val="18"/>
                <w:szCs w:val="18"/>
              </w:rPr>
            </w:pPr>
          </w:p>
          <w:p w14:paraId="6FE1E145" w14:textId="77777777" w:rsidR="00AF58F7" w:rsidRPr="004B511E" w:rsidRDefault="00AF58F7" w:rsidP="00AF58F7">
            <w:pPr>
              <w:keepNext/>
              <w:jc w:val="right"/>
              <w:rPr>
                <w:sz w:val="18"/>
                <w:szCs w:val="18"/>
              </w:rPr>
            </w:pPr>
            <w:r w:rsidRPr="004B511E">
              <w:rPr>
                <w:sz w:val="18"/>
                <w:szCs w:val="18"/>
              </w:rPr>
              <w:t>$439,128.00</w:t>
            </w:r>
          </w:p>
        </w:tc>
        <w:tc>
          <w:tcPr>
            <w:tcW w:w="653" w:type="pct"/>
            <w:tcBorders>
              <w:bottom w:val="single" w:sz="4" w:space="0" w:color="auto"/>
            </w:tcBorders>
          </w:tcPr>
          <w:p w14:paraId="478C02CF" w14:textId="77777777" w:rsidR="00AF58F7" w:rsidRPr="004B511E" w:rsidRDefault="00AF58F7" w:rsidP="00AF58F7">
            <w:pPr>
              <w:keepNext/>
              <w:jc w:val="right"/>
              <w:rPr>
                <w:sz w:val="18"/>
                <w:szCs w:val="18"/>
              </w:rPr>
            </w:pPr>
          </w:p>
          <w:p w14:paraId="6154AADF" w14:textId="77777777" w:rsidR="00AF58F7" w:rsidRPr="004B511E" w:rsidRDefault="00AF58F7" w:rsidP="00AF58F7">
            <w:pPr>
              <w:keepNext/>
              <w:jc w:val="right"/>
              <w:rPr>
                <w:sz w:val="18"/>
                <w:szCs w:val="18"/>
              </w:rPr>
            </w:pPr>
          </w:p>
          <w:p w14:paraId="082C0787" w14:textId="77777777" w:rsidR="00AF58F7" w:rsidRPr="004B511E" w:rsidRDefault="00AF58F7" w:rsidP="00AF58F7">
            <w:pPr>
              <w:keepNext/>
              <w:jc w:val="right"/>
              <w:rPr>
                <w:sz w:val="18"/>
                <w:szCs w:val="18"/>
              </w:rPr>
            </w:pPr>
            <w:r w:rsidRPr="004B511E">
              <w:rPr>
                <w:sz w:val="18"/>
                <w:szCs w:val="18"/>
              </w:rPr>
              <w:t xml:space="preserve">$2,568.00 </w:t>
            </w:r>
          </w:p>
        </w:tc>
      </w:tr>
      <w:tr w:rsidR="004B511E" w:rsidRPr="004B511E" w14:paraId="44140BE2" w14:textId="77777777" w:rsidTr="004B511E">
        <w:trPr>
          <w:trHeight w:val="854"/>
        </w:trPr>
        <w:tc>
          <w:tcPr>
            <w:tcW w:w="569" w:type="pct"/>
            <w:vAlign w:val="center"/>
          </w:tcPr>
          <w:p w14:paraId="0094990F" w14:textId="77777777" w:rsidR="00AF58F7" w:rsidRPr="004B511E" w:rsidRDefault="00AF58F7" w:rsidP="00AF58F7">
            <w:pPr>
              <w:keepNext/>
              <w:jc w:val="center"/>
              <w:rPr>
                <w:b/>
                <w:sz w:val="18"/>
                <w:szCs w:val="18"/>
              </w:rPr>
            </w:pPr>
            <w:r w:rsidRPr="004B511E">
              <w:rPr>
                <w:b/>
                <w:sz w:val="18"/>
                <w:szCs w:val="18"/>
              </w:rPr>
              <w:lastRenderedPageBreak/>
              <w:t>BA/TOP</w:t>
            </w:r>
          </w:p>
        </w:tc>
        <w:tc>
          <w:tcPr>
            <w:tcW w:w="746" w:type="pct"/>
            <w:vAlign w:val="center"/>
          </w:tcPr>
          <w:p w14:paraId="5FC07FAE" w14:textId="77777777" w:rsidR="00AF58F7" w:rsidRPr="004B511E" w:rsidRDefault="00AF58F7" w:rsidP="00AF58F7">
            <w:pPr>
              <w:keepNext/>
              <w:rPr>
                <w:b/>
                <w:sz w:val="18"/>
                <w:szCs w:val="18"/>
              </w:rPr>
            </w:pPr>
            <w:r w:rsidRPr="004B511E">
              <w:rPr>
                <w:b/>
                <w:sz w:val="18"/>
                <w:szCs w:val="18"/>
              </w:rPr>
              <w:t>Annual Record Retention</w:t>
            </w:r>
          </w:p>
        </w:tc>
        <w:tc>
          <w:tcPr>
            <w:tcW w:w="379" w:type="pct"/>
            <w:shd w:val="clear" w:color="auto" w:fill="auto"/>
          </w:tcPr>
          <w:p w14:paraId="76EF2EFE" w14:textId="77777777" w:rsidR="00AF58F7" w:rsidRPr="004B511E" w:rsidRDefault="00AF58F7" w:rsidP="00AF58F7">
            <w:pPr>
              <w:keepNext/>
              <w:jc w:val="right"/>
              <w:rPr>
                <w:sz w:val="18"/>
                <w:szCs w:val="18"/>
              </w:rPr>
            </w:pPr>
            <w:r w:rsidRPr="004B511E">
              <w:rPr>
                <w:sz w:val="18"/>
                <w:szCs w:val="18"/>
              </w:rPr>
              <w:t>271</w:t>
            </w:r>
          </w:p>
        </w:tc>
        <w:tc>
          <w:tcPr>
            <w:tcW w:w="607" w:type="pct"/>
            <w:shd w:val="clear" w:color="auto" w:fill="auto"/>
          </w:tcPr>
          <w:p w14:paraId="50EACA72" w14:textId="77777777" w:rsidR="00AF58F7" w:rsidRPr="004B511E" w:rsidRDefault="00AF58F7" w:rsidP="00AF58F7">
            <w:pPr>
              <w:keepNext/>
              <w:jc w:val="right"/>
              <w:rPr>
                <w:sz w:val="18"/>
                <w:szCs w:val="18"/>
              </w:rPr>
            </w:pPr>
            <w:r w:rsidRPr="004B511E">
              <w:rPr>
                <w:sz w:val="18"/>
                <w:szCs w:val="18"/>
              </w:rPr>
              <w:t>1</w:t>
            </w:r>
          </w:p>
        </w:tc>
        <w:tc>
          <w:tcPr>
            <w:tcW w:w="606" w:type="pct"/>
            <w:gridSpan w:val="2"/>
            <w:shd w:val="clear" w:color="auto" w:fill="auto"/>
          </w:tcPr>
          <w:p w14:paraId="5A656123" w14:textId="77777777" w:rsidR="00AF58F7" w:rsidRPr="004B511E" w:rsidRDefault="00AF58F7" w:rsidP="00AF58F7">
            <w:pPr>
              <w:keepNext/>
              <w:jc w:val="right"/>
              <w:rPr>
                <w:sz w:val="18"/>
                <w:szCs w:val="18"/>
              </w:rPr>
            </w:pPr>
            <w:r w:rsidRPr="004B511E">
              <w:rPr>
                <w:sz w:val="18"/>
                <w:szCs w:val="18"/>
              </w:rPr>
              <w:t>271</w:t>
            </w:r>
          </w:p>
        </w:tc>
        <w:tc>
          <w:tcPr>
            <w:tcW w:w="653" w:type="pct"/>
            <w:shd w:val="clear" w:color="auto" w:fill="auto"/>
          </w:tcPr>
          <w:p w14:paraId="7E4C60DD" w14:textId="77777777" w:rsidR="00AF58F7" w:rsidRPr="004B511E" w:rsidRDefault="00AF58F7" w:rsidP="00AF58F7">
            <w:pPr>
              <w:keepNext/>
              <w:jc w:val="right"/>
              <w:rPr>
                <w:sz w:val="18"/>
                <w:szCs w:val="18"/>
              </w:rPr>
            </w:pPr>
            <w:r w:rsidRPr="004B511E">
              <w:rPr>
                <w:sz w:val="18"/>
                <w:szCs w:val="18"/>
              </w:rPr>
              <w:t>2hrs</w:t>
            </w:r>
          </w:p>
          <w:p w14:paraId="532D06BB" w14:textId="77777777" w:rsidR="00AF58F7" w:rsidRPr="004B511E" w:rsidRDefault="00AF58F7" w:rsidP="00AF58F7">
            <w:pPr>
              <w:keepNext/>
              <w:jc w:val="right"/>
              <w:rPr>
                <w:sz w:val="18"/>
                <w:szCs w:val="18"/>
              </w:rPr>
            </w:pPr>
          </w:p>
          <w:p w14:paraId="016804EF" w14:textId="77777777" w:rsidR="00AF58F7" w:rsidRPr="004B511E" w:rsidRDefault="00AF58F7" w:rsidP="00AF58F7">
            <w:pPr>
              <w:keepNext/>
              <w:jc w:val="right"/>
              <w:rPr>
                <w:sz w:val="18"/>
                <w:szCs w:val="18"/>
              </w:rPr>
            </w:pPr>
            <w:r w:rsidRPr="004B511E">
              <w:rPr>
                <w:sz w:val="18"/>
                <w:szCs w:val="18"/>
              </w:rPr>
              <w:t>$75.38</w:t>
            </w:r>
          </w:p>
        </w:tc>
        <w:tc>
          <w:tcPr>
            <w:tcW w:w="787" w:type="pct"/>
            <w:shd w:val="clear" w:color="auto" w:fill="auto"/>
          </w:tcPr>
          <w:p w14:paraId="0E9205DE" w14:textId="77777777" w:rsidR="00AF58F7" w:rsidRPr="004B511E" w:rsidRDefault="00AF58F7" w:rsidP="00AF58F7">
            <w:pPr>
              <w:keepNext/>
              <w:jc w:val="right"/>
              <w:rPr>
                <w:sz w:val="18"/>
                <w:szCs w:val="18"/>
              </w:rPr>
            </w:pPr>
            <w:r w:rsidRPr="004B511E">
              <w:rPr>
                <w:sz w:val="18"/>
                <w:szCs w:val="18"/>
              </w:rPr>
              <w:t>542 hrs</w:t>
            </w:r>
            <w:proofErr w:type="gramStart"/>
            <w:r w:rsidRPr="004B511E">
              <w:rPr>
                <w:sz w:val="18"/>
                <w:szCs w:val="18"/>
              </w:rPr>
              <w:t>.;</w:t>
            </w:r>
            <w:proofErr w:type="gramEnd"/>
          </w:p>
          <w:p w14:paraId="12F7BC3E" w14:textId="77777777" w:rsidR="00AF58F7" w:rsidRPr="004B511E" w:rsidRDefault="00AF58F7" w:rsidP="00AF58F7">
            <w:pPr>
              <w:keepNext/>
              <w:jc w:val="right"/>
              <w:rPr>
                <w:sz w:val="18"/>
                <w:szCs w:val="18"/>
              </w:rPr>
            </w:pPr>
          </w:p>
          <w:p w14:paraId="44FD440B" w14:textId="77777777" w:rsidR="00AF58F7" w:rsidRPr="004B511E" w:rsidRDefault="00AF58F7" w:rsidP="00AF58F7">
            <w:pPr>
              <w:keepNext/>
              <w:jc w:val="right"/>
              <w:rPr>
                <w:sz w:val="18"/>
                <w:szCs w:val="18"/>
              </w:rPr>
            </w:pPr>
            <w:r w:rsidRPr="004B511E">
              <w:rPr>
                <w:sz w:val="18"/>
                <w:szCs w:val="18"/>
              </w:rPr>
              <w:t>$20,427.98</w:t>
            </w:r>
          </w:p>
        </w:tc>
        <w:tc>
          <w:tcPr>
            <w:tcW w:w="653" w:type="pct"/>
            <w:shd w:val="clear" w:color="auto" w:fill="auto"/>
          </w:tcPr>
          <w:p w14:paraId="43282DF4" w14:textId="77777777" w:rsidR="00AF58F7" w:rsidRPr="004B511E" w:rsidRDefault="00AF58F7" w:rsidP="00AF58F7">
            <w:pPr>
              <w:keepNext/>
              <w:jc w:val="right"/>
              <w:rPr>
                <w:sz w:val="18"/>
                <w:szCs w:val="18"/>
              </w:rPr>
            </w:pPr>
          </w:p>
          <w:p w14:paraId="7777C49A" w14:textId="77777777" w:rsidR="00AF58F7" w:rsidRPr="004B511E" w:rsidRDefault="00AF58F7" w:rsidP="00AF58F7">
            <w:pPr>
              <w:keepNext/>
              <w:jc w:val="right"/>
              <w:rPr>
                <w:sz w:val="18"/>
                <w:szCs w:val="18"/>
              </w:rPr>
            </w:pPr>
          </w:p>
          <w:p w14:paraId="48BE356A" w14:textId="77777777" w:rsidR="00AF58F7" w:rsidRPr="004B511E" w:rsidRDefault="00AF58F7" w:rsidP="00AF58F7">
            <w:pPr>
              <w:keepNext/>
              <w:jc w:val="right"/>
              <w:rPr>
                <w:sz w:val="18"/>
                <w:szCs w:val="18"/>
              </w:rPr>
            </w:pPr>
            <w:r w:rsidRPr="004B511E">
              <w:rPr>
                <w:sz w:val="18"/>
                <w:szCs w:val="18"/>
              </w:rPr>
              <w:t>$75.38</w:t>
            </w:r>
          </w:p>
        </w:tc>
      </w:tr>
      <w:tr w:rsidR="004B511E" w:rsidRPr="004B511E" w14:paraId="3AE79040" w14:textId="77777777" w:rsidTr="004B511E">
        <w:trPr>
          <w:trHeight w:val="393"/>
        </w:trPr>
        <w:tc>
          <w:tcPr>
            <w:tcW w:w="569" w:type="pct"/>
            <w:vAlign w:val="center"/>
          </w:tcPr>
          <w:p w14:paraId="709D6FD2" w14:textId="77777777" w:rsidR="004B511E" w:rsidRPr="004B511E" w:rsidRDefault="00AF58F7" w:rsidP="004B511E">
            <w:pPr>
              <w:keepNext/>
              <w:rPr>
                <w:b/>
                <w:sz w:val="18"/>
                <w:szCs w:val="18"/>
              </w:rPr>
            </w:pPr>
            <w:r w:rsidRPr="004B511E">
              <w:rPr>
                <w:b/>
                <w:sz w:val="18"/>
                <w:szCs w:val="18"/>
              </w:rPr>
              <w:t>T</w:t>
            </w:r>
            <w:r w:rsidR="004B511E" w:rsidRPr="004B511E">
              <w:rPr>
                <w:b/>
                <w:sz w:val="18"/>
                <w:szCs w:val="18"/>
              </w:rPr>
              <w:t>otal Burden</w:t>
            </w:r>
          </w:p>
          <w:p w14:paraId="5018B7EA" w14:textId="212F87C6" w:rsidR="00AF58F7" w:rsidRPr="004B511E" w:rsidRDefault="004B511E" w:rsidP="004B511E">
            <w:pPr>
              <w:keepNext/>
              <w:rPr>
                <w:b/>
                <w:sz w:val="18"/>
                <w:szCs w:val="18"/>
              </w:rPr>
            </w:pPr>
            <w:r w:rsidRPr="004B511E">
              <w:rPr>
                <w:b/>
                <w:sz w:val="18"/>
                <w:szCs w:val="18"/>
              </w:rPr>
              <w:t>Hours Per Year</w:t>
            </w:r>
          </w:p>
        </w:tc>
        <w:tc>
          <w:tcPr>
            <w:tcW w:w="2990" w:type="pct"/>
            <w:gridSpan w:val="6"/>
            <w:vAlign w:val="bottom"/>
          </w:tcPr>
          <w:p w14:paraId="5F546B8A" w14:textId="77777777" w:rsidR="00AF58F7" w:rsidRPr="004B511E" w:rsidRDefault="00AF58F7" w:rsidP="00AF58F7">
            <w:pPr>
              <w:keepNext/>
              <w:jc w:val="right"/>
              <w:rPr>
                <w:sz w:val="18"/>
                <w:szCs w:val="18"/>
              </w:rPr>
            </w:pPr>
          </w:p>
        </w:tc>
        <w:tc>
          <w:tcPr>
            <w:tcW w:w="787" w:type="pct"/>
            <w:shd w:val="clear" w:color="auto" w:fill="auto"/>
          </w:tcPr>
          <w:p w14:paraId="44AE7DAD" w14:textId="77777777" w:rsidR="00AF58F7" w:rsidRPr="004B511E" w:rsidRDefault="00AF58F7" w:rsidP="00AF58F7">
            <w:pPr>
              <w:keepNext/>
              <w:jc w:val="right"/>
              <w:rPr>
                <w:sz w:val="18"/>
                <w:szCs w:val="18"/>
              </w:rPr>
            </w:pPr>
            <w:r w:rsidRPr="004B511E">
              <w:rPr>
                <w:sz w:val="18"/>
                <w:szCs w:val="18"/>
              </w:rPr>
              <w:t xml:space="preserve">19,512 hrs. </w:t>
            </w:r>
            <w:proofErr w:type="gramStart"/>
            <w:r w:rsidRPr="004B511E">
              <w:rPr>
                <w:sz w:val="18"/>
                <w:szCs w:val="18"/>
              </w:rPr>
              <w:t>in</w:t>
            </w:r>
            <w:proofErr w:type="gramEnd"/>
            <w:r w:rsidRPr="004B511E">
              <w:rPr>
                <w:sz w:val="18"/>
                <w:szCs w:val="18"/>
              </w:rPr>
              <w:t xml:space="preserve"> Year 1; 11,582 hrs. per year, starting in Year 2 </w:t>
            </w:r>
          </w:p>
        </w:tc>
        <w:tc>
          <w:tcPr>
            <w:tcW w:w="653" w:type="pct"/>
            <w:shd w:val="pct15" w:color="auto" w:fill="auto"/>
          </w:tcPr>
          <w:p w14:paraId="751828F1" w14:textId="77777777" w:rsidR="00AF58F7" w:rsidRPr="004B511E" w:rsidRDefault="00AF58F7" w:rsidP="00AF58F7">
            <w:pPr>
              <w:keepNext/>
              <w:jc w:val="right"/>
              <w:rPr>
                <w:sz w:val="18"/>
                <w:szCs w:val="18"/>
              </w:rPr>
            </w:pPr>
          </w:p>
        </w:tc>
      </w:tr>
    </w:tbl>
    <w:p w14:paraId="6095B3E6" w14:textId="77777777" w:rsidR="00AF58F7" w:rsidRPr="004B511E" w:rsidRDefault="00AF58F7" w:rsidP="00AF58F7">
      <w:pPr>
        <w:pStyle w:val="FERCparanumber"/>
        <w:keepNext/>
        <w:numPr>
          <w:ilvl w:val="0"/>
          <w:numId w:val="0"/>
        </w:numPr>
        <w:ind w:left="130"/>
        <w:rPr>
          <w:sz w:val="20"/>
          <w:szCs w:val="20"/>
        </w:rPr>
      </w:pPr>
    </w:p>
    <w:p w14:paraId="6DB7562C" w14:textId="34CA15A1" w:rsidR="00AF58F7" w:rsidRPr="00AF58F7" w:rsidRDefault="00AF58F7" w:rsidP="004B511E">
      <w:pPr>
        <w:pStyle w:val="FERCparanumber"/>
        <w:spacing w:before="100"/>
        <w:rPr>
          <w:szCs w:val="26"/>
        </w:rPr>
      </w:pPr>
      <w:r w:rsidRPr="00AF58F7">
        <w:rPr>
          <w:szCs w:val="26"/>
        </w:rPr>
        <w:t xml:space="preserve">The Commission </w:t>
      </w:r>
      <w:r w:rsidR="004B511E">
        <w:rPr>
          <w:szCs w:val="26"/>
        </w:rPr>
        <w:t xml:space="preserve">finds that </w:t>
      </w:r>
      <w:r w:rsidRPr="00AF58F7">
        <w:rPr>
          <w:szCs w:val="26"/>
        </w:rPr>
        <w:t xml:space="preserve">that the </w:t>
      </w:r>
      <w:r w:rsidR="004B511E">
        <w:rPr>
          <w:szCs w:val="26"/>
        </w:rPr>
        <w:t xml:space="preserve">new </w:t>
      </w:r>
      <w:r w:rsidRPr="00AF58F7">
        <w:rPr>
          <w:szCs w:val="26"/>
        </w:rPr>
        <w:t xml:space="preserve">standards clarify and improve upon the currently-effective TOP and IRO Reliability Standards by designating requirements in the </w:t>
      </w:r>
      <w:r w:rsidR="004B511E">
        <w:rPr>
          <w:szCs w:val="26"/>
        </w:rPr>
        <w:t xml:space="preserve">new </w:t>
      </w:r>
      <w:r w:rsidRPr="00AF58F7">
        <w:rPr>
          <w:szCs w:val="26"/>
        </w:rPr>
        <w:t xml:space="preserve">standards that apply to transmission </w:t>
      </w:r>
      <w:r w:rsidRPr="00413969">
        <w:rPr>
          <w:szCs w:val="26"/>
        </w:rPr>
        <w:t xml:space="preserve">operators </w:t>
      </w:r>
      <w:r w:rsidR="00931B09" w:rsidRPr="00413969">
        <w:rPr>
          <w:szCs w:val="26"/>
        </w:rPr>
        <w:t xml:space="preserve">and balancing authorities </w:t>
      </w:r>
      <w:r w:rsidRPr="00413969">
        <w:rPr>
          <w:szCs w:val="26"/>
        </w:rPr>
        <w:t>for</w:t>
      </w:r>
      <w:r w:rsidRPr="00AF58F7">
        <w:rPr>
          <w:szCs w:val="26"/>
        </w:rPr>
        <w:t xml:space="preserve"> the TOP standards and reliability coordinators for the IRO standards.  Thus, the Commission finds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03132289" w14:textId="62776310" w:rsidR="00AF58F7" w:rsidRPr="00AF58F7" w:rsidRDefault="00AF58F7" w:rsidP="00AF58F7">
      <w:pPr>
        <w:rPr>
          <w:szCs w:val="26"/>
        </w:rPr>
      </w:pPr>
      <w:r w:rsidRPr="00AF58F7">
        <w:rPr>
          <w:szCs w:val="26"/>
          <w:u w:val="single"/>
        </w:rPr>
        <w:t>Title</w:t>
      </w:r>
      <w:r w:rsidRPr="00AF58F7">
        <w:rPr>
          <w:szCs w:val="26"/>
        </w:rPr>
        <w:t>:  FERC-725Z (Mandatory Reliability Standards: IRO Reliability Standards) and FERC-725A (Mandatory Reliability Standards for the Bulk-Power System)</w:t>
      </w:r>
    </w:p>
    <w:p w14:paraId="1920511B" w14:textId="77777777" w:rsidR="004B511E" w:rsidRDefault="004B511E" w:rsidP="00AF58F7">
      <w:pPr>
        <w:rPr>
          <w:szCs w:val="26"/>
          <w:u w:val="single"/>
        </w:rPr>
      </w:pPr>
    </w:p>
    <w:p w14:paraId="10209BC4" w14:textId="77777777" w:rsidR="00AF58F7" w:rsidRPr="00AF58F7" w:rsidRDefault="00AF58F7" w:rsidP="00AF58F7">
      <w:pPr>
        <w:rPr>
          <w:szCs w:val="26"/>
        </w:rPr>
      </w:pPr>
      <w:r w:rsidRPr="00AF58F7">
        <w:rPr>
          <w:szCs w:val="26"/>
          <w:u w:val="single"/>
        </w:rPr>
        <w:t>Action</w:t>
      </w:r>
      <w:r w:rsidRPr="00AF58F7">
        <w:rPr>
          <w:szCs w:val="26"/>
        </w:rPr>
        <w:t>:  Proposed revisions to existing information collections</w:t>
      </w:r>
    </w:p>
    <w:p w14:paraId="07D428B1" w14:textId="77777777" w:rsidR="004B511E" w:rsidRDefault="004B511E" w:rsidP="00AF58F7">
      <w:pPr>
        <w:rPr>
          <w:szCs w:val="26"/>
          <w:u w:val="single"/>
        </w:rPr>
      </w:pPr>
    </w:p>
    <w:p w14:paraId="4E04784F" w14:textId="1B4D6865" w:rsidR="00AF58F7" w:rsidRPr="00AF58F7" w:rsidRDefault="00AF58F7" w:rsidP="00AF58F7">
      <w:pPr>
        <w:rPr>
          <w:szCs w:val="26"/>
        </w:rPr>
      </w:pPr>
      <w:r w:rsidRPr="00AF58F7">
        <w:rPr>
          <w:szCs w:val="26"/>
          <w:u w:val="single"/>
        </w:rPr>
        <w:t>OMB Control No</w:t>
      </w:r>
      <w:r w:rsidRPr="00AF58F7">
        <w:rPr>
          <w:szCs w:val="26"/>
        </w:rPr>
        <w:t>:</w:t>
      </w:r>
      <w:r w:rsidR="004B3B79">
        <w:rPr>
          <w:szCs w:val="26"/>
        </w:rPr>
        <w:t xml:space="preserve"> </w:t>
      </w:r>
      <w:r w:rsidRPr="00AF58F7">
        <w:rPr>
          <w:szCs w:val="26"/>
        </w:rPr>
        <w:t xml:space="preserve"> 1902-0276 (FERC-725Z); 1902-0244 (FERC-725A)</w:t>
      </w:r>
    </w:p>
    <w:p w14:paraId="7129C465" w14:textId="77777777" w:rsidR="004B511E" w:rsidRDefault="004B511E" w:rsidP="00AF58F7">
      <w:pPr>
        <w:rPr>
          <w:szCs w:val="26"/>
          <w:u w:val="single"/>
        </w:rPr>
      </w:pPr>
    </w:p>
    <w:p w14:paraId="1C8851D5" w14:textId="77777777" w:rsidR="00AF58F7" w:rsidRPr="00AF58F7" w:rsidRDefault="00AF58F7" w:rsidP="00AF58F7">
      <w:pPr>
        <w:rPr>
          <w:szCs w:val="26"/>
        </w:rPr>
      </w:pPr>
      <w:r w:rsidRPr="00AF58F7">
        <w:rPr>
          <w:szCs w:val="26"/>
          <w:u w:val="single"/>
        </w:rPr>
        <w:t>Respondents</w:t>
      </w:r>
      <w:r w:rsidRPr="00AF58F7">
        <w:rPr>
          <w:szCs w:val="26"/>
        </w:rPr>
        <w:t>:  Businesses or other for-profit institutions; not-for-profit institutions.</w:t>
      </w:r>
    </w:p>
    <w:p w14:paraId="6A605C70" w14:textId="77777777" w:rsidR="004B511E" w:rsidRDefault="004B511E" w:rsidP="00AF58F7">
      <w:pPr>
        <w:rPr>
          <w:szCs w:val="26"/>
          <w:u w:val="single"/>
        </w:rPr>
      </w:pPr>
    </w:p>
    <w:p w14:paraId="34B817C5" w14:textId="77777777" w:rsidR="00AF58F7" w:rsidRPr="00AF58F7" w:rsidRDefault="00AF58F7" w:rsidP="00AF58F7">
      <w:pPr>
        <w:rPr>
          <w:szCs w:val="26"/>
        </w:rPr>
      </w:pPr>
      <w:r w:rsidRPr="00AF58F7">
        <w:rPr>
          <w:szCs w:val="26"/>
          <w:u w:val="single"/>
        </w:rPr>
        <w:t>Frequency of Responses</w:t>
      </w:r>
      <w:r w:rsidRPr="00AF58F7">
        <w:rPr>
          <w:szCs w:val="26"/>
        </w:rPr>
        <w:t xml:space="preserve">:  One-time implementation and ongoing. </w:t>
      </w:r>
    </w:p>
    <w:p w14:paraId="0DC7175F" w14:textId="77777777" w:rsidR="004B511E" w:rsidRDefault="004B511E" w:rsidP="00AF58F7">
      <w:pPr>
        <w:rPr>
          <w:szCs w:val="26"/>
          <w:u w:val="single"/>
        </w:rPr>
      </w:pPr>
    </w:p>
    <w:p w14:paraId="1574ADAC" w14:textId="76C527F9" w:rsidR="00AF58F7" w:rsidRPr="00AF58F7" w:rsidRDefault="00AF58F7" w:rsidP="00AF58F7">
      <w:pPr>
        <w:rPr>
          <w:szCs w:val="26"/>
        </w:rPr>
      </w:pPr>
      <w:r w:rsidRPr="00AF58F7">
        <w:rPr>
          <w:szCs w:val="26"/>
          <w:u w:val="single"/>
        </w:rPr>
        <w:t>Necessity of the Information</w:t>
      </w:r>
      <w:r w:rsidRPr="00AF58F7">
        <w:rPr>
          <w:szCs w:val="26"/>
        </w:rPr>
        <w:t>:  Reliability Standards IRO-018-1 and TOP-010-1 enhance reliability by adopting better real-time tools for reliability coordinators</w:t>
      </w:r>
      <w:r w:rsidR="00931B09">
        <w:rPr>
          <w:szCs w:val="26"/>
        </w:rPr>
        <w:t>,</w:t>
      </w:r>
      <w:r w:rsidRPr="00AF58F7">
        <w:rPr>
          <w:szCs w:val="26"/>
        </w:rPr>
        <w:t xml:space="preserve"> transmission operators</w:t>
      </w:r>
      <w:r w:rsidR="00931B09" w:rsidRPr="00413969">
        <w:rPr>
          <w:szCs w:val="26"/>
        </w:rPr>
        <w:t>, and balancing authorities</w:t>
      </w:r>
      <w:r w:rsidRPr="00413969">
        <w:rPr>
          <w:szCs w:val="26"/>
        </w:rPr>
        <w:t xml:space="preserve"> and</w:t>
      </w:r>
      <w:r w:rsidRPr="00AF58F7">
        <w:rPr>
          <w:szCs w:val="26"/>
        </w:rPr>
        <w:t xml:space="preserve"> also establish requirements for real-time monitoring and analysis capabilities to support reliable system operations.</w:t>
      </w:r>
    </w:p>
    <w:p w14:paraId="38374F70" w14:textId="77777777" w:rsidR="00AF58F7" w:rsidRPr="00AF58F7" w:rsidRDefault="00AF58F7" w:rsidP="00AF58F7">
      <w:pPr>
        <w:pStyle w:val="FERCparanumber"/>
        <w:spacing w:before="100"/>
        <w:rPr>
          <w:b/>
          <w:szCs w:val="26"/>
        </w:rPr>
      </w:pPr>
      <w:r w:rsidRPr="00AF58F7">
        <w:rPr>
          <w:szCs w:val="26"/>
        </w:rPr>
        <w:t>Interested persons may obtain information on the reporting requirements by contacting:  Federal Energy Regulatory Commission, 888 First Street, NE, Washington, DC  20426 [Attention:  Ellen Brown, Office of the Executive Director, e-mail:  DataClearance@ferc.gov, Phone:  (202) 502-8663, fax:  (202) 273-0873].</w:t>
      </w:r>
      <w:r w:rsidRPr="00AF58F7">
        <w:rPr>
          <w:b/>
          <w:bCs/>
          <w:szCs w:val="26"/>
        </w:rPr>
        <w:t xml:space="preserve">  </w:t>
      </w:r>
    </w:p>
    <w:p w14:paraId="36FBF32F" w14:textId="049147F2" w:rsidR="00195E04" w:rsidRDefault="00B2753C">
      <w:pPr>
        <w:pStyle w:val="FERCparanumber"/>
        <w:keepNext/>
        <w:numPr>
          <w:ilvl w:val="0"/>
          <w:numId w:val="0"/>
        </w:numPr>
        <w:spacing w:before="100" w:beforeAutospacing="1" w:after="100" w:afterAutospacing="1"/>
      </w:pPr>
      <w:r>
        <w:rPr>
          <w:b/>
        </w:rPr>
        <w:t>V</w:t>
      </w:r>
      <w:r w:rsidR="00195E04" w:rsidRPr="00B82B58">
        <w:rPr>
          <w:b/>
        </w:rPr>
        <w:t>.</w:t>
      </w:r>
      <w:r w:rsidR="00B82B58">
        <w:tab/>
      </w:r>
      <w:r w:rsidR="00195E04" w:rsidRPr="00195E04">
        <w:rPr>
          <w:b/>
          <w:u w:val="single"/>
        </w:rPr>
        <w:t>Effective Date</w:t>
      </w:r>
    </w:p>
    <w:p w14:paraId="26CD9FCC" w14:textId="56121A7E" w:rsidR="00195E04" w:rsidRPr="00195E04" w:rsidRDefault="00195E04" w:rsidP="00195E04">
      <w:pPr>
        <w:pStyle w:val="FERCparanumber"/>
      </w:pPr>
      <w:r>
        <w:t xml:space="preserve">This order will become effective upon issuance.  </w:t>
      </w:r>
    </w:p>
    <w:p w14:paraId="7DF42B11" w14:textId="77777777" w:rsidR="00C824F7" w:rsidRPr="00755E06" w:rsidRDefault="00C824F7">
      <w:pPr>
        <w:pStyle w:val="FERCparanumber"/>
        <w:keepNext/>
        <w:numPr>
          <w:ilvl w:val="0"/>
          <w:numId w:val="0"/>
        </w:numPr>
        <w:spacing w:before="100" w:beforeAutospacing="1" w:after="100" w:afterAutospacing="1"/>
      </w:pPr>
      <w:r w:rsidRPr="00755E06">
        <w:rPr>
          <w:u w:val="single"/>
        </w:rPr>
        <w:lastRenderedPageBreak/>
        <w:t>The Commission orders</w:t>
      </w:r>
      <w:r w:rsidRPr="00755E06">
        <w:t xml:space="preserve">: </w:t>
      </w:r>
    </w:p>
    <w:p w14:paraId="296D438F" w14:textId="5A70EF87" w:rsidR="00E619C2" w:rsidRPr="00755E06" w:rsidRDefault="00C824F7" w:rsidP="003D0535">
      <w:pPr>
        <w:pStyle w:val="FERCparanumber"/>
        <w:numPr>
          <w:ilvl w:val="0"/>
          <w:numId w:val="0"/>
        </w:numPr>
        <w:spacing w:before="100" w:beforeAutospacing="1" w:after="100" w:afterAutospacing="1"/>
        <w:ind w:firstLine="720"/>
      </w:pPr>
      <w:r w:rsidRPr="00755E06">
        <w:t>(A)</w:t>
      </w:r>
      <w:r w:rsidRPr="00755E06">
        <w:tab/>
        <w:t>Reliability Standard</w:t>
      </w:r>
      <w:r w:rsidR="00B82B58">
        <w:t xml:space="preserve">s </w:t>
      </w:r>
      <w:r w:rsidR="00B82B58" w:rsidRPr="00B82B58">
        <w:rPr>
          <w:szCs w:val="26"/>
        </w:rPr>
        <w:t xml:space="preserve">IRO-018-1 and TOP-010-1 </w:t>
      </w:r>
      <w:r w:rsidR="00B82B58">
        <w:rPr>
          <w:szCs w:val="26"/>
        </w:rPr>
        <w:t xml:space="preserve">are </w:t>
      </w:r>
      <w:r w:rsidRPr="00755E06">
        <w:t>hereby approved</w:t>
      </w:r>
      <w:r w:rsidR="00853839" w:rsidRPr="00755E06">
        <w:t xml:space="preserve">, </w:t>
      </w:r>
      <w:r w:rsidR="004B3B79">
        <w:br/>
      </w:r>
      <w:r w:rsidR="00853839" w:rsidRPr="00755E06">
        <w:t>as discussed in the body of this order</w:t>
      </w:r>
      <w:r w:rsidRPr="00755E06">
        <w:t xml:space="preserve">. </w:t>
      </w:r>
      <w:r w:rsidR="00E619C2" w:rsidRPr="00755E06">
        <w:t xml:space="preserve"> </w:t>
      </w:r>
    </w:p>
    <w:p w14:paraId="5FC59053" w14:textId="39A1E795" w:rsidR="00C824F7" w:rsidRDefault="0039136F" w:rsidP="00B82B58">
      <w:pPr>
        <w:pStyle w:val="FERCparanumber"/>
        <w:numPr>
          <w:ilvl w:val="0"/>
          <w:numId w:val="0"/>
        </w:numPr>
        <w:tabs>
          <w:tab w:val="left" w:pos="720"/>
        </w:tabs>
      </w:pPr>
      <w:r>
        <w:tab/>
      </w:r>
      <w:r w:rsidR="00E619C2" w:rsidRPr="00755E06">
        <w:t>(</w:t>
      </w:r>
      <w:r w:rsidR="004D58E4" w:rsidRPr="00755E06">
        <w:t>B</w:t>
      </w:r>
      <w:r w:rsidR="00E619C2" w:rsidRPr="00755E06">
        <w:t>)</w:t>
      </w:r>
      <w:r w:rsidR="00E619C2" w:rsidRPr="00755E06">
        <w:tab/>
      </w:r>
      <w:r w:rsidR="00C824F7" w:rsidRPr="00755E06">
        <w:t xml:space="preserve">NERC is </w:t>
      </w:r>
      <w:r w:rsidR="00E619C2" w:rsidRPr="00755E06">
        <w:t xml:space="preserve">hereby </w:t>
      </w:r>
      <w:r w:rsidR="00C824F7" w:rsidRPr="00755E06">
        <w:t xml:space="preserve">directed to submit a compliance filing within 60 days </w:t>
      </w:r>
      <w:r w:rsidR="004B3B79">
        <w:br/>
      </w:r>
      <w:r w:rsidR="00C824F7" w:rsidRPr="00755E06">
        <w:t xml:space="preserve">of </w:t>
      </w:r>
      <w:r w:rsidR="004F0F1F">
        <w:t xml:space="preserve">the date </w:t>
      </w:r>
      <w:r w:rsidR="0041077B">
        <w:t xml:space="preserve">of </w:t>
      </w:r>
      <w:r w:rsidR="00C824F7" w:rsidRPr="00755E06">
        <w:t>this order</w:t>
      </w:r>
      <w:r w:rsidR="004F0F1F">
        <w:t xml:space="preserve"> </w:t>
      </w:r>
      <w:r w:rsidR="00754821">
        <w:t>designating</w:t>
      </w:r>
      <w:r w:rsidR="004F0F1F">
        <w:t xml:space="preserve"> the violation risk factors for </w:t>
      </w:r>
      <w:r w:rsidR="004F0F1F">
        <w:rPr>
          <w:szCs w:val="26"/>
        </w:rPr>
        <w:t xml:space="preserve">Requirement </w:t>
      </w:r>
      <w:r w:rsidR="004F0F1F">
        <w:t xml:space="preserve">R1 of Reliability Standard IRO-018-1 and Requirements R1 and R2 of Reliability Standard TOP-010-1 </w:t>
      </w:r>
      <w:r w:rsidR="00754821">
        <w:t>as</w:t>
      </w:r>
      <w:r w:rsidR="004F0F1F">
        <w:t xml:space="preserve"> “high</w:t>
      </w:r>
      <w:r w:rsidR="004D58E4" w:rsidRPr="00755E06">
        <w:t>,</w:t>
      </w:r>
      <w:r w:rsidR="004F0F1F">
        <w:t>”</w:t>
      </w:r>
      <w:r w:rsidR="004D58E4" w:rsidRPr="00755E06">
        <w:t xml:space="preserve"> as discussed in the body of this order</w:t>
      </w:r>
      <w:r w:rsidR="00C824F7" w:rsidRPr="00755E06">
        <w:t xml:space="preserve">.  </w:t>
      </w:r>
    </w:p>
    <w:p w14:paraId="03AAA00B" w14:textId="4B85D2E7" w:rsidR="004B3B79" w:rsidRDefault="004B3B79" w:rsidP="00B82B58">
      <w:pPr>
        <w:pStyle w:val="FERCparanumber"/>
        <w:numPr>
          <w:ilvl w:val="0"/>
          <w:numId w:val="0"/>
        </w:numPr>
        <w:tabs>
          <w:tab w:val="left" w:pos="720"/>
        </w:tabs>
      </w:pPr>
      <w:r>
        <w:t>By the Commission.</w:t>
      </w:r>
    </w:p>
    <w:p w14:paraId="43CA860F" w14:textId="4CD7C507" w:rsidR="004B3B79" w:rsidRDefault="004B3B79" w:rsidP="004B3B79">
      <w:pPr>
        <w:pStyle w:val="FERCparanumber"/>
        <w:numPr>
          <w:ilvl w:val="0"/>
          <w:numId w:val="0"/>
        </w:numPr>
        <w:tabs>
          <w:tab w:val="left" w:pos="720"/>
        </w:tabs>
        <w:spacing w:after="0"/>
      </w:pPr>
      <w:proofErr w:type="gramStart"/>
      <w:r w:rsidRPr="004B3B79">
        <w:t>( S</w:t>
      </w:r>
      <w:proofErr w:type="gramEnd"/>
      <w:r w:rsidRPr="004B3B79">
        <w:t xml:space="preserve"> E A L )</w:t>
      </w:r>
    </w:p>
    <w:p w14:paraId="0CAE7F7A" w14:textId="2892778C" w:rsidR="004B3B79" w:rsidRDefault="004B3B79" w:rsidP="00CB2891">
      <w:pPr>
        <w:pStyle w:val="FERCparanumber"/>
        <w:numPr>
          <w:ilvl w:val="0"/>
          <w:numId w:val="0"/>
        </w:numPr>
        <w:tabs>
          <w:tab w:val="left" w:pos="720"/>
        </w:tabs>
        <w:spacing w:after="0"/>
      </w:pPr>
    </w:p>
    <w:p w14:paraId="1601103A" w14:textId="41D836CB" w:rsidR="00CB2891" w:rsidRDefault="00CB2891" w:rsidP="00CB2891">
      <w:pPr>
        <w:pStyle w:val="FERCparanumber"/>
        <w:numPr>
          <w:ilvl w:val="0"/>
          <w:numId w:val="0"/>
        </w:numPr>
        <w:tabs>
          <w:tab w:val="left" w:pos="720"/>
        </w:tabs>
        <w:spacing w:after="0"/>
      </w:pPr>
    </w:p>
    <w:p w14:paraId="1EBAECA7" w14:textId="04159385" w:rsidR="00CB2891" w:rsidRDefault="00CB2891" w:rsidP="00CB2891">
      <w:pPr>
        <w:pStyle w:val="FERCparanumber"/>
        <w:numPr>
          <w:ilvl w:val="0"/>
          <w:numId w:val="0"/>
        </w:numPr>
        <w:tabs>
          <w:tab w:val="left" w:pos="720"/>
        </w:tabs>
        <w:spacing w:after="0"/>
      </w:pPr>
    </w:p>
    <w:p w14:paraId="4AC9086B" w14:textId="1D54C611" w:rsidR="00CB2891" w:rsidRDefault="00CB2891" w:rsidP="00CB2891">
      <w:pPr>
        <w:pStyle w:val="FERCparanumber"/>
        <w:numPr>
          <w:ilvl w:val="0"/>
          <w:numId w:val="0"/>
        </w:numPr>
        <w:tabs>
          <w:tab w:val="left" w:pos="720"/>
        </w:tabs>
        <w:spacing w:after="0"/>
      </w:pPr>
    </w:p>
    <w:p w14:paraId="583F41CE" w14:textId="77590A4F" w:rsidR="00CB2891" w:rsidRPr="00CB2891" w:rsidRDefault="00CB2891" w:rsidP="00CB2891">
      <w:pPr>
        <w:widowControl/>
        <w:ind w:firstLine="2174"/>
        <w:jc w:val="center"/>
      </w:pPr>
      <w:r w:rsidRPr="00CB2891">
        <w:t>Kimberly D. Bose,</w:t>
      </w:r>
    </w:p>
    <w:p w14:paraId="76B9F495" w14:textId="2DED80FF" w:rsidR="00CB2891" w:rsidRPr="00CB2891" w:rsidRDefault="00CB2891" w:rsidP="00CB2891">
      <w:pPr>
        <w:widowControl/>
        <w:ind w:firstLine="2174"/>
        <w:jc w:val="center"/>
      </w:pPr>
      <w:r w:rsidRPr="00CB2891">
        <w:t>Secretary.</w:t>
      </w:r>
    </w:p>
    <w:p w14:paraId="3EA9135F" w14:textId="77777777" w:rsidR="00CB2891" w:rsidRDefault="00CB2891" w:rsidP="00CB2891">
      <w:pPr>
        <w:pStyle w:val="FERCparanumber"/>
        <w:numPr>
          <w:ilvl w:val="0"/>
          <w:numId w:val="0"/>
        </w:numPr>
        <w:tabs>
          <w:tab w:val="left" w:pos="720"/>
        </w:tabs>
        <w:spacing w:after="0"/>
      </w:pPr>
    </w:p>
    <w:p w14:paraId="1AC64F03" w14:textId="44D1F66A" w:rsidR="004B3B79" w:rsidRDefault="004B3B79" w:rsidP="004B3B79">
      <w:pPr>
        <w:pStyle w:val="FERCparanumber"/>
        <w:numPr>
          <w:ilvl w:val="0"/>
          <w:numId w:val="0"/>
        </w:numPr>
        <w:tabs>
          <w:tab w:val="left" w:pos="720"/>
        </w:tabs>
        <w:spacing w:after="0"/>
      </w:pPr>
    </w:p>
    <w:p w14:paraId="45E70F8F" w14:textId="4C4CACA0" w:rsidR="004B3B79" w:rsidRDefault="004B3B79" w:rsidP="004B3B79">
      <w:pPr>
        <w:pStyle w:val="FERCparanumber"/>
        <w:numPr>
          <w:ilvl w:val="0"/>
          <w:numId w:val="0"/>
        </w:numPr>
        <w:tabs>
          <w:tab w:val="left" w:pos="720"/>
        </w:tabs>
        <w:spacing w:after="0"/>
      </w:pPr>
    </w:p>
    <w:p w14:paraId="34876180" w14:textId="48B42A24" w:rsidR="004B3B79" w:rsidRDefault="004B3B79" w:rsidP="004B3B79">
      <w:pPr>
        <w:pStyle w:val="FERCparanumber"/>
        <w:numPr>
          <w:ilvl w:val="0"/>
          <w:numId w:val="0"/>
        </w:numPr>
        <w:tabs>
          <w:tab w:val="left" w:pos="720"/>
        </w:tabs>
        <w:spacing w:after="0"/>
      </w:pPr>
    </w:p>
    <w:p w14:paraId="393EB604" w14:textId="77777777" w:rsidR="00C824F7" w:rsidRPr="00755E06" w:rsidRDefault="00C824F7" w:rsidP="00BB7827">
      <w:pPr>
        <w:pStyle w:val="FERCparanumber"/>
        <w:numPr>
          <w:ilvl w:val="0"/>
          <w:numId w:val="0"/>
        </w:numPr>
        <w:spacing w:before="100" w:beforeAutospacing="1" w:after="100" w:afterAutospacing="1"/>
        <w:rPr>
          <w:b/>
        </w:rPr>
      </w:pPr>
    </w:p>
    <w:sectPr w:rsidR="00C824F7" w:rsidRPr="00755E06">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099DC" w14:textId="77777777" w:rsidR="00BA196A" w:rsidRDefault="00BA196A">
      <w:r>
        <w:separator/>
      </w:r>
    </w:p>
  </w:endnote>
  <w:endnote w:type="continuationSeparator" w:id="0">
    <w:p w14:paraId="2D2F78F5" w14:textId="77777777" w:rsidR="00BA196A" w:rsidRDefault="00BA196A">
      <w:r>
        <w:continuationSeparator/>
      </w:r>
    </w:p>
  </w:endnote>
  <w:endnote w:type="continuationNotice" w:id="1">
    <w:p w14:paraId="642406E2" w14:textId="77777777" w:rsidR="00BA196A" w:rsidRDefault="00BA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87378" w14:textId="77777777" w:rsidR="00BA196A" w:rsidRDefault="00BA196A">
      <w:r>
        <w:separator/>
      </w:r>
    </w:p>
  </w:footnote>
  <w:footnote w:type="continuationSeparator" w:id="0">
    <w:p w14:paraId="64635F29" w14:textId="77777777" w:rsidR="00BA196A" w:rsidRDefault="00BA196A">
      <w:r>
        <w:continuationSeparator/>
      </w:r>
    </w:p>
  </w:footnote>
  <w:footnote w:type="continuationNotice" w:id="1">
    <w:p w14:paraId="57F680E6" w14:textId="77777777" w:rsidR="00BA196A" w:rsidRDefault="00BA196A">
      <w:pPr>
        <w:jc w:val="right"/>
      </w:pPr>
    </w:p>
    <w:p w14:paraId="26BBEE65" w14:textId="77777777" w:rsidR="00BA196A" w:rsidRDefault="00BA196A">
      <w:pPr>
        <w:jc w:val="right"/>
      </w:pPr>
      <w:r>
        <w:t>(</w:t>
      </w:r>
      <w:proofErr w:type="gramStart"/>
      <w:r>
        <w:t>continued</w:t>
      </w:r>
      <w:proofErr w:type="gramEnd"/>
      <w:r>
        <w:t>…)</w:t>
      </w:r>
    </w:p>
  </w:footnote>
  <w:footnote w:id="2">
    <w:p w14:paraId="21718B79" w14:textId="3D50E483" w:rsidR="00360EC8" w:rsidRPr="00413969" w:rsidRDefault="00360EC8">
      <w:pPr>
        <w:pStyle w:val="FootnoteText"/>
      </w:pPr>
      <w:r w:rsidRPr="00413969">
        <w:rPr>
          <w:rStyle w:val="FootnoteReference"/>
        </w:rPr>
        <w:footnoteRef/>
      </w:r>
      <w:r w:rsidRPr="00413969">
        <w:t xml:space="preserve"> 16 U.S.C. § </w:t>
      </w:r>
      <w:proofErr w:type="gramStart"/>
      <w:r w:rsidRPr="00413969">
        <w:t>824o(</w:t>
      </w:r>
      <w:proofErr w:type="gramEnd"/>
      <w:r w:rsidRPr="00413969">
        <w:t>d) (2012).</w:t>
      </w:r>
    </w:p>
  </w:footnote>
  <w:footnote w:id="3">
    <w:p w14:paraId="04659515" w14:textId="7A8C8D9A" w:rsidR="00360EC8" w:rsidRPr="00413969" w:rsidRDefault="00360EC8">
      <w:pPr>
        <w:pStyle w:val="FootnoteText"/>
      </w:pPr>
      <w:r w:rsidRPr="00413969">
        <w:rPr>
          <w:rStyle w:val="FootnoteReference"/>
        </w:rPr>
        <w:footnoteRef/>
      </w:r>
      <w:r w:rsidRPr="00413969">
        <w:t xml:space="preserve"> </w:t>
      </w:r>
      <w:r w:rsidRPr="00413969">
        <w:rPr>
          <w:i/>
        </w:rPr>
        <w:t>North American Electric Reliability Corp</w:t>
      </w:r>
      <w:r w:rsidRPr="00413969">
        <w:t xml:space="preserve">., 116 FERC ¶ 61,062, </w:t>
      </w:r>
      <w:r w:rsidRPr="00413969">
        <w:rPr>
          <w:i/>
        </w:rPr>
        <w:t xml:space="preserve">order on </w:t>
      </w:r>
      <w:proofErr w:type="spellStart"/>
      <w:r w:rsidRPr="00413969">
        <w:rPr>
          <w:i/>
        </w:rPr>
        <w:t>reh’g</w:t>
      </w:r>
      <w:proofErr w:type="spellEnd"/>
      <w:r w:rsidRPr="00413969">
        <w:rPr>
          <w:i/>
        </w:rPr>
        <w:t xml:space="preserve"> and compliance</w:t>
      </w:r>
      <w:r w:rsidRPr="00413969">
        <w:t>, 117 FERC ¶ 61,126 (2006),</w:t>
      </w:r>
      <w:r w:rsidRPr="00413969">
        <w:rPr>
          <w:i/>
        </w:rPr>
        <w:t xml:space="preserve"> order on compliance</w:t>
      </w:r>
      <w:r w:rsidRPr="00413969">
        <w:t xml:space="preserve">, 118 FERC ¶ 61,190, </w:t>
      </w:r>
      <w:r w:rsidRPr="00413969">
        <w:rPr>
          <w:i/>
        </w:rPr>
        <w:t xml:space="preserve">order on </w:t>
      </w:r>
      <w:proofErr w:type="spellStart"/>
      <w:r w:rsidRPr="00413969">
        <w:rPr>
          <w:i/>
        </w:rPr>
        <w:t>reh’g</w:t>
      </w:r>
      <w:proofErr w:type="spellEnd"/>
      <w:r w:rsidRPr="00413969">
        <w:t xml:space="preserve"> 119 FERC ¶ 61,046 (2007),</w:t>
      </w:r>
      <w:r w:rsidRPr="00413969">
        <w:rPr>
          <w:i/>
        </w:rPr>
        <w:t xml:space="preserve"> rev. denied sub nom. Alcoa Inc. v. FERC</w:t>
      </w:r>
      <w:r w:rsidRPr="00413969">
        <w:t xml:space="preserve">, </w:t>
      </w:r>
      <w:r w:rsidR="0093548A">
        <w:br/>
      </w:r>
      <w:r w:rsidRPr="00413969">
        <w:t xml:space="preserve">564 F.3d 1342 (D.C. Cir. 2009).   </w:t>
      </w:r>
    </w:p>
  </w:footnote>
  <w:footnote w:id="4">
    <w:p w14:paraId="5D01EF1A" w14:textId="7E168E86" w:rsidR="00360EC8" w:rsidRPr="00413969" w:rsidRDefault="00360EC8" w:rsidP="00DB6D7E">
      <w:pPr>
        <w:spacing w:after="240"/>
        <w:ind w:firstLine="720"/>
        <w:rPr>
          <w:szCs w:val="26"/>
        </w:rPr>
      </w:pPr>
      <w:r w:rsidRPr="00413969">
        <w:rPr>
          <w:rStyle w:val="FootnoteReference"/>
        </w:rPr>
        <w:footnoteRef/>
      </w:r>
      <w:r w:rsidRPr="00413969">
        <w:rPr>
          <w:szCs w:val="26"/>
        </w:rPr>
        <w:t xml:space="preserve"> </w:t>
      </w:r>
      <w:r w:rsidRPr="00413969">
        <w:rPr>
          <w:i/>
          <w:szCs w:val="26"/>
        </w:rPr>
        <w:t>See North American Electric Reliability Corp.</w:t>
      </w:r>
      <w:r w:rsidRPr="00413969">
        <w:rPr>
          <w:szCs w:val="26"/>
        </w:rPr>
        <w:t xml:space="preserve">, 119 FERC ¶ 61,145, </w:t>
      </w:r>
      <w:r w:rsidRPr="00413969">
        <w:rPr>
          <w:i/>
          <w:szCs w:val="26"/>
        </w:rPr>
        <w:t xml:space="preserve">order on </w:t>
      </w:r>
      <w:proofErr w:type="spellStart"/>
      <w:r w:rsidRPr="00413969">
        <w:rPr>
          <w:i/>
          <w:szCs w:val="26"/>
        </w:rPr>
        <w:t>reh’g</w:t>
      </w:r>
      <w:proofErr w:type="spellEnd"/>
      <w:r w:rsidRPr="00413969">
        <w:rPr>
          <w:szCs w:val="26"/>
        </w:rPr>
        <w:t xml:space="preserve">, 120 FERC ¶ 61,145 (2007); </w:t>
      </w:r>
      <w:r w:rsidRPr="00413969">
        <w:rPr>
          <w:i/>
          <w:szCs w:val="26"/>
        </w:rPr>
        <w:t>North American Electric Reliability Corp.</w:t>
      </w:r>
      <w:r w:rsidRPr="00413969">
        <w:rPr>
          <w:szCs w:val="26"/>
        </w:rPr>
        <w:t>, 123 FERC ¶ 61,284, at P</w:t>
      </w:r>
      <w:r w:rsidR="00C45328">
        <w:rPr>
          <w:szCs w:val="26"/>
        </w:rPr>
        <w:t>P</w:t>
      </w:r>
      <w:r w:rsidRPr="00413969">
        <w:rPr>
          <w:szCs w:val="26"/>
        </w:rPr>
        <w:t xml:space="preserve"> 20-35, </w:t>
      </w:r>
      <w:r w:rsidRPr="00413969">
        <w:rPr>
          <w:i/>
          <w:szCs w:val="26"/>
        </w:rPr>
        <w:t xml:space="preserve">order on </w:t>
      </w:r>
      <w:proofErr w:type="spellStart"/>
      <w:r w:rsidRPr="00413969">
        <w:rPr>
          <w:i/>
          <w:szCs w:val="26"/>
        </w:rPr>
        <w:t>reh’g</w:t>
      </w:r>
      <w:proofErr w:type="spellEnd"/>
      <w:r w:rsidRPr="00413969">
        <w:rPr>
          <w:i/>
          <w:szCs w:val="26"/>
        </w:rPr>
        <w:t xml:space="preserve"> &amp; compliance,</w:t>
      </w:r>
      <w:r w:rsidRPr="00413969">
        <w:rPr>
          <w:szCs w:val="26"/>
        </w:rPr>
        <w:t xml:space="preserve"> 125 FERC ¶ 61,212 (2008); </w:t>
      </w:r>
      <w:r w:rsidRPr="00413969">
        <w:rPr>
          <w:i/>
          <w:szCs w:val="26"/>
        </w:rPr>
        <w:t>North American Electric Reliability Corp.</w:t>
      </w:r>
      <w:r w:rsidRPr="00413969">
        <w:rPr>
          <w:szCs w:val="26"/>
        </w:rPr>
        <w:t xml:space="preserve">, 135 FERC ¶ 61,166 (2011).  </w:t>
      </w:r>
    </w:p>
  </w:footnote>
  <w:footnote w:id="5">
    <w:p w14:paraId="09E70DE5" w14:textId="4B5543AF" w:rsidR="00360EC8" w:rsidRPr="00413969" w:rsidRDefault="00360EC8">
      <w:pPr>
        <w:pStyle w:val="FootnoteText"/>
      </w:pPr>
      <w:r w:rsidRPr="00413969">
        <w:rPr>
          <w:rStyle w:val="FootnoteReference"/>
        </w:rPr>
        <w:footnoteRef/>
      </w:r>
      <w:r w:rsidRPr="00413969">
        <w:t xml:space="preserve"> </w:t>
      </w:r>
      <w:r w:rsidRPr="00413969">
        <w:rPr>
          <w:i/>
          <w:szCs w:val="26"/>
        </w:rPr>
        <w:t>North American Electric Reliability Corp.</w:t>
      </w:r>
      <w:r w:rsidRPr="00413969">
        <w:rPr>
          <w:szCs w:val="26"/>
        </w:rPr>
        <w:t>, 119 FERC ¶ 61,145 at P 16.</w:t>
      </w:r>
    </w:p>
  </w:footnote>
  <w:footnote w:id="6">
    <w:p w14:paraId="264EBA6E" w14:textId="27521CDF" w:rsidR="00360EC8" w:rsidRPr="00413969" w:rsidRDefault="00360EC8" w:rsidP="00F55289">
      <w:pPr>
        <w:pStyle w:val="FootnoteText"/>
      </w:pPr>
      <w:r w:rsidRPr="00413969">
        <w:rPr>
          <w:rStyle w:val="FootnoteReference"/>
        </w:rPr>
        <w:footnoteRef/>
      </w:r>
      <w:r w:rsidRPr="00413969">
        <w:t xml:space="preserve"> </w:t>
      </w:r>
      <w:r w:rsidRPr="00413969">
        <w:rPr>
          <w:i/>
        </w:rPr>
        <w:t>See</w:t>
      </w:r>
      <w:r w:rsidRPr="00413969">
        <w:t xml:space="preserve"> </w:t>
      </w:r>
      <w:r w:rsidRPr="00413969">
        <w:rPr>
          <w:i/>
        </w:rPr>
        <w:t xml:space="preserve">North American Electric Reliability Corp., </w:t>
      </w:r>
      <w:r w:rsidR="0009726F">
        <w:t>119 FERC ¶ 61,145</w:t>
      </w:r>
      <w:r w:rsidRPr="00413969">
        <w:t xml:space="preserve"> at PP 28-31.</w:t>
      </w:r>
    </w:p>
  </w:footnote>
  <w:footnote w:id="7">
    <w:p w14:paraId="7EB7E146" w14:textId="3838AF66" w:rsidR="00360EC8" w:rsidRPr="00413969" w:rsidRDefault="00360EC8" w:rsidP="009547C4">
      <w:pPr>
        <w:pStyle w:val="FootnoteText"/>
      </w:pPr>
      <w:r w:rsidRPr="00413969">
        <w:rPr>
          <w:rStyle w:val="FootnoteReference"/>
        </w:rPr>
        <w:footnoteRef/>
      </w:r>
      <w:r w:rsidRPr="00413969">
        <w:t xml:space="preserve"> </w:t>
      </w:r>
      <w:r w:rsidR="00636236" w:rsidRPr="00413969">
        <w:t>U.S.-Canada Power System Outage Task Force, Fin</w:t>
      </w:r>
      <w:r w:rsidR="0009726F">
        <w:t>al Blackout Report (April 2004)</w:t>
      </w:r>
      <w:r w:rsidR="00636236" w:rsidRPr="00413969">
        <w:t xml:space="preserve"> at 18, http://www.ferc.gov/industries/electric/indus-act/reliability/blackout/ch1-3.pdf.</w:t>
      </w:r>
    </w:p>
  </w:footnote>
  <w:footnote w:id="8">
    <w:p w14:paraId="42C1DAAD" w14:textId="53669433" w:rsidR="00636236" w:rsidRPr="00413969" w:rsidRDefault="00636236">
      <w:pPr>
        <w:pStyle w:val="FootnoteText"/>
      </w:pPr>
      <w:r w:rsidRPr="00413969">
        <w:rPr>
          <w:rStyle w:val="FootnoteReference"/>
        </w:rPr>
        <w:footnoteRef/>
      </w:r>
      <w:r w:rsidRPr="00413969">
        <w:t xml:space="preserve"> </w:t>
      </w:r>
      <w:r w:rsidR="00BF5A99" w:rsidRPr="00413969">
        <w:rPr>
          <w:i/>
        </w:rPr>
        <w:t xml:space="preserve">Id. </w:t>
      </w:r>
      <w:r w:rsidR="00BF5A99" w:rsidRPr="00413969">
        <w:t>at 159 (Recommendation 22).</w:t>
      </w:r>
    </w:p>
  </w:footnote>
  <w:footnote w:id="9">
    <w:p w14:paraId="053DECA5" w14:textId="4BDBB598" w:rsidR="00360EC8" w:rsidRPr="00413969" w:rsidRDefault="00360EC8">
      <w:pPr>
        <w:pStyle w:val="FootnoteText"/>
      </w:pPr>
      <w:r w:rsidRPr="00413969">
        <w:rPr>
          <w:rStyle w:val="FootnoteReference"/>
        </w:rPr>
        <w:footnoteRef/>
      </w:r>
      <w:r w:rsidRPr="00413969">
        <w:t xml:space="preserve"> </w:t>
      </w:r>
      <w:r w:rsidRPr="00413969">
        <w:rPr>
          <w:i/>
        </w:rPr>
        <w:t>Id</w:t>
      </w:r>
      <w:r w:rsidRPr="00413969">
        <w:t xml:space="preserve">.  </w:t>
      </w:r>
    </w:p>
  </w:footnote>
  <w:footnote w:id="10">
    <w:p w14:paraId="65D58B95" w14:textId="6087C56D" w:rsidR="003D2562" w:rsidRPr="00413969" w:rsidRDefault="003D2562">
      <w:pPr>
        <w:pStyle w:val="FootnoteText"/>
      </w:pPr>
      <w:r w:rsidRPr="00413969">
        <w:rPr>
          <w:rStyle w:val="FootnoteReference"/>
        </w:rPr>
        <w:footnoteRef/>
      </w:r>
      <w:r w:rsidRPr="00413969">
        <w:t xml:space="preserve"> NERC Petition at 14 (“maintaining adequate situational awareness is essential for the reliable operation of the Bulk Power System … situational awareness means ‘ensuring that accurate information on current system conditions … is continuously available…’”).</w:t>
      </w:r>
    </w:p>
  </w:footnote>
  <w:footnote w:id="11">
    <w:p w14:paraId="247DC634" w14:textId="2CBFF55E" w:rsidR="0087088D" w:rsidRPr="00413969" w:rsidRDefault="0087088D">
      <w:pPr>
        <w:pStyle w:val="FootnoteText"/>
      </w:pPr>
      <w:r w:rsidRPr="00413969">
        <w:rPr>
          <w:rStyle w:val="FootnoteReference"/>
        </w:rPr>
        <w:footnoteRef/>
      </w:r>
      <w:r w:rsidRPr="00413969">
        <w:t xml:space="preserve"> The </w:t>
      </w:r>
      <w:r w:rsidR="00315120" w:rsidRPr="00413969">
        <w:t xml:space="preserve">data </w:t>
      </w:r>
      <w:r w:rsidRPr="00413969">
        <w:t>specification</w:t>
      </w:r>
      <w:r w:rsidR="00315120" w:rsidRPr="00413969">
        <w:t>s</w:t>
      </w:r>
      <w:r w:rsidRPr="00413969">
        <w:t xml:space="preserve"> in Reliability Standards TOP-003-2</w:t>
      </w:r>
      <w:r w:rsidR="00315120" w:rsidRPr="00413969">
        <w:t>,</w:t>
      </w:r>
      <w:r w:rsidRPr="00413969">
        <w:t xml:space="preserve"> Requirement R5 and IRO-010-2</w:t>
      </w:r>
      <w:r w:rsidR="00315120" w:rsidRPr="00413969">
        <w:t>,</w:t>
      </w:r>
      <w:r w:rsidRPr="00413969">
        <w:t xml:space="preserve"> Requirement R3, cited by NERC, are for “mutually agreeable” format</w:t>
      </w:r>
      <w:r w:rsidR="00315120" w:rsidRPr="00413969">
        <w:t>s</w:t>
      </w:r>
      <w:r w:rsidRPr="00413969">
        <w:t>, process</w:t>
      </w:r>
      <w:r w:rsidR="00315120" w:rsidRPr="00413969">
        <w:t>es</w:t>
      </w:r>
      <w:r w:rsidRPr="00413969">
        <w:t xml:space="preserve"> for resolving conflicts, and security protocol</w:t>
      </w:r>
      <w:r w:rsidR="00315120" w:rsidRPr="00413969">
        <w:t>s.  These mutually agreeable procedur</w:t>
      </w:r>
      <w:r w:rsidR="00710B13" w:rsidRPr="00413969">
        <w:t>al aspects</w:t>
      </w:r>
      <w:r w:rsidR="00315120" w:rsidRPr="00413969">
        <w:t xml:space="preserve"> </w:t>
      </w:r>
      <w:r w:rsidR="00710B13" w:rsidRPr="00413969">
        <w:t xml:space="preserve">likely </w:t>
      </w:r>
      <w:r w:rsidR="00315120" w:rsidRPr="00413969">
        <w:t xml:space="preserve">would not be developed in Real-time. </w:t>
      </w:r>
      <w:r w:rsidRPr="00413969">
        <w:t xml:space="preserve">   </w:t>
      </w:r>
    </w:p>
  </w:footnote>
  <w:footnote w:id="12">
    <w:p w14:paraId="4420FAC1" w14:textId="4B1B1F2F" w:rsidR="00D179AF" w:rsidRPr="00413969" w:rsidRDefault="00D179AF">
      <w:pPr>
        <w:pStyle w:val="FootnoteText"/>
      </w:pPr>
      <w:r w:rsidRPr="00413969">
        <w:rPr>
          <w:rStyle w:val="FootnoteReference"/>
        </w:rPr>
        <w:footnoteRef/>
      </w:r>
      <w:r w:rsidRPr="00413969">
        <w:t xml:space="preserve">  </w:t>
      </w:r>
      <w:r w:rsidR="00710B13" w:rsidRPr="00413969">
        <w:t xml:space="preserve">NERC Petition </w:t>
      </w:r>
      <w:r w:rsidRPr="00413969">
        <w:t xml:space="preserve">at 18.  NERC </w:t>
      </w:r>
      <w:r w:rsidR="00274D31" w:rsidRPr="00413969">
        <w:t xml:space="preserve">emphasizes </w:t>
      </w:r>
      <w:r w:rsidRPr="00413969">
        <w:t>the importance of the quality of this type of data by noting that “[e]</w:t>
      </w:r>
      <w:proofErr w:type="spellStart"/>
      <w:r w:rsidRPr="00413969">
        <w:t>ntities</w:t>
      </w:r>
      <w:proofErr w:type="spellEnd"/>
      <w:r w:rsidRPr="00413969">
        <w:t xml:space="preserve"> continue to address lower-priority data quality issues (i.e., data quality issues not affecting Real-time monitoring or analysis) according to their operating practices</w:t>
      </w:r>
      <w:r w:rsidR="00A843D6" w:rsidRPr="00413969">
        <w:t xml:space="preserve">.”  </w:t>
      </w:r>
      <w:r w:rsidR="00A843D6" w:rsidRPr="00413969">
        <w:rPr>
          <w:i/>
        </w:rPr>
        <w:t>Id.</w:t>
      </w:r>
      <w:r w:rsidRPr="00413969">
        <w:t xml:space="preserve"> </w:t>
      </w:r>
    </w:p>
  </w:footnote>
  <w:footnote w:id="13">
    <w:p w14:paraId="1F46BB63" w14:textId="2E4219B9" w:rsidR="00360EC8" w:rsidRPr="00413969" w:rsidRDefault="00360EC8" w:rsidP="00AF58F7">
      <w:pPr>
        <w:pStyle w:val="FootnoteText"/>
      </w:pPr>
      <w:r w:rsidRPr="00413969">
        <w:rPr>
          <w:rStyle w:val="FootnoteReference"/>
        </w:rPr>
        <w:footnoteRef/>
      </w:r>
      <w:r w:rsidRPr="00413969">
        <w:t xml:space="preserve"> 44 U.S.C. </w:t>
      </w:r>
      <w:r w:rsidR="00A843D6" w:rsidRPr="00413969">
        <w:t xml:space="preserve">§ </w:t>
      </w:r>
      <w:r w:rsidRPr="00413969">
        <w:t>3507(d)</w:t>
      </w:r>
      <w:r w:rsidR="0009726F">
        <w:t xml:space="preserve"> (2012)</w:t>
      </w:r>
      <w:r w:rsidRPr="00413969">
        <w:t>.</w:t>
      </w:r>
    </w:p>
  </w:footnote>
  <w:footnote w:id="14">
    <w:p w14:paraId="18D45F1B" w14:textId="38E1873A" w:rsidR="00360EC8" w:rsidRPr="00413969" w:rsidRDefault="00360EC8" w:rsidP="00AF58F7">
      <w:pPr>
        <w:pStyle w:val="FootnoteText"/>
      </w:pPr>
      <w:r w:rsidRPr="00413969">
        <w:rPr>
          <w:rStyle w:val="FootnoteReference"/>
        </w:rPr>
        <w:footnoteRef/>
      </w:r>
      <w:r w:rsidRPr="00413969">
        <w:t xml:space="preserve"> 5 C</w:t>
      </w:r>
      <w:r w:rsidR="00D179AF" w:rsidRPr="00413969">
        <w:t>.</w:t>
      </w:r>
      <w:r w:rsidRPr="00413969">
        <w:t>F</w:t>
      </w:r>
      <w:r w:rsidR="00D179AF" w:rsidRPr="00413969">
        <w:t>.</w:t>
      </w:r>
      <w:r w:rsidRPr="00413969">
        <w:t>R</w:t>
      </w:r>
      <w:r w:rsidR="00D179AF" w:rsidRPr="00413969">
        <w:t>.</w:t>
      </w:r>
      <w:r w:rsidRPr="00413969">
        <w:t xml:space="preserve"> </w:t>
      </w:r>
      <w:r w:rsidR="00D179AF" w:rsidRPr="00413969">
        <w:t xml:space="preserve">§ </w:t>
      </w:r>
      <w:r w:rsidRPr="00413969">
        <w:t>1320</w:t>
      </w:r>
      <w:r w:rsidR="0009726F">
        <w:t xml:space="preserve"> (2016)</w:t>
      </w:r>
      <w:r w:rsidRPr="00413969">
        <w:t>.</w:t>
      </w:r>
    </w:p>
  </w:footnote>
  <w:footnote w:id="15">
    <w:p w14:paraId="7F739FF7" w14:textId="6DF05FB6" w:rsidR="00360EC8" w:rsidRPr="00413969" w:rsidRDefault="00360EC8">
      <w:pPr>
        <w:pStyle w:val="FootnoteText"/>
      </w:pPr>
      <w:r w:rsidRPr="00413969">
        <w:rPr>
          <w:rStyle w:val="FootnoteReference"/>
        </w:rPr>
        <w:footnoteRef/>
      </w:r>
      <w:r w:rsidRPr="00413969">
        <w:t xml:space="preserve"> The number of respondents is the estimated number of entities for which there </w:t>
      </w:r>
      <w:r w:rsidR="0093548A">
        <w:br/>
      </w:r>
      <w:r w:rsidRPr="00413969">
        <w:t>is a change in burden from the current standards to the proposed standards, not the total number of entities from the current or proposed standards that are applicable.</w:t>
      </w:r>
    </w:p>
  </w:footnote>
  <w:footnote w:id="16">
    <w:p w14:paraId="20642DEC" w14:textId="2B31AB06" w:rsidR="00360EC8" w:rsidRPr="00413969" w:rsidRDefault="00360EC8">
      <w:pPr>
        <w:pStyle w:val="FootnoteText"/>
      </w:pPr>
      <w:r w:rsidRPr="00413969">
        <w:rPr>
          <w:rStyle w:val="FootnoteReference"/>
        </w:rPr>
        <w:footnoteRef/>
      </w:r>
      <w:r w:rsidRPr="00413969">
        <w:t xml:space="preserve"> The estimated hourly costs (salary plus benefits) are based on Bureau of Labor Statistics (BLS) information, as of May 2015 (at </w:t>
      </w:r>
      <w:hyperlink r:id="rId1" w:history="1">
        <w:r w:rsidRPr="00CB2891">
          <w:rPr>
            <w:rStyle w:val="Hyperlink"/>
            <w:color w:val="auto"/>
          </w:rPr>
          <w:t>http://www.bls.gov/oes/current/naics2_22.htm</w:t>
        </w:r>
      </w:hyperlink>
      <w:r w:rsidRPr="00413969">
        <w:t>, with updated bene</w:t>
      </w:r>
      <w:r w:rsidR="0009726F">
        <w:t>fits information for March 2016</w:t>
      </w:r>
      <w:r w:rsidRPr="00413969">
        <w:t xml:space="preserve"> at http://www.bls.gov/news.release/ecec.nr0.htm), for an electrical engineer (code 17-2071</w:t>
      </w:r>
      <w:r w:rsidR="0014132E" w:rsidRPr="00413969">
        <w:t>,</w:t>
      </w:r>
      <w:r w:rsidRPr="00413969">
        <w:t xml:space="preserve"> $64.20/hour), </w:t>
      </w:r>
      <w:r w:rsidR="0014132E" w:rsidRPr="00413969">
        <w:t xml:space="preserve">and </w:t>
      </w:r>
      <w:r w:rsidRPr="00413969">
        <w:t>for information and record clerks</w:t>
      </w:r>
      <w:r w:rsidRPr="00413969" w:rsidDel="00E360EF">
        <w:t xml:space="preserve"> </w:t>
      </w:r>
      <w:r w:rsidRPr="00413969">
        <w:t>(code 43-4199, $37.69/hour).  The hourly figure for engineers is used for reporting; the hourly figure for information and record clerks is used for document retention.</w:t>
      </w:r>
    </w:p>
  </w:footnote>
  <w:footnote w:id="17">
    <w:p w14:paraId="7D751457" w14:textId="3A6F2B0A" w:rsidR="00360EC8" w:rsidRPr="00413969" w:rsidRDefault="00360EC8">
      <w:pPr>
        <w:pStyle w:val="FootnoteText"/>
      </w:pPr>
      <w:r w:rsidRPr="00413969">
        <w:rPr>
          <w:rStyle w:val="FootnoteReference"/>
        </w:rPr>
        <w:footnoteRef/>
      </w:r>
      <w:r w:rsidRPr="00413969">
        <w:t xml:space="preserve"> The following Requirements and the associated measures </w:t>
      </w:r>
      <w:r w:rsidRPr="00413969">
        <w:rPr>
          <w:u w:val="single"/>
        </w:rPr>
        <w:t>a</w:t>
      </w:r>
      <w:r w:rsidRPr="00413969">
        <w:t xml:space="preserve">pply to RCs:  Requirement R1:  A </w:t>
      </w:r>
      <w:r w:rsidRPr="00413969">
        <w:rPr>
          <w:color w:val="000000"/>
        </w:rPr>
        <w:t xml:space="preserve">revised data specification and writing the required operating Process/Operating Procedure; Requirement R2:  Quality monitoring logs and the </w:t>
      </w:r>
      <w:r w:rsidR="00965AC2">
        <w:rPr>
          <w:color w:val="000000"/>
        </w:rPr>
        <w:br/>
      </w:r>
      <w:r w:rsidRPr="00413969">
        <w:rPr>
          <w:color w:val="000000"/>
        </w:rPr>
        <w:t>data errors and corrective action logs; and</w:t>
      </w:r>
      <w:r w:rsidRPr="00413969">
        <w:t xml:space="preserve"> Requirement R3:  A</w:t>
      </w:r>
      <w:r w:rsidRPr="00413969">
        <w:rPr>
          <w:color w:val="000000"/>
        </w:rPr>
        <w:t>larm process monitor performance logs.</w:t>
      </w:r>
    </w:p>
  </w:footnote>
  <w:footnote w:id="18">
    <w:p w14:paraId="1870A992" w14:textId="24024069" w:rsidR="00360EC8" w:rsidRPr="00413969" w:rsidRDefault="00360EC8">
      <w:pPr>
        <w:pStyle w:val="FootnoteText"/>
      </w:pPr>
      <w:r w:rsidRPr="00413969">
        <w:rPr>
          <w:rStyle w:val="FootnoteReference"/>
        </w:rPr>
        <w:footnoteRef/>
      </w:r>
      <w:r w:rsidRPr="00413969">
        <w:t xml:space="preserve"> The number of respondents is the number of entities in which a change in burden from the current standards to the proposed exists, not the total number of entities from the current or proposed standards that are applicable.</w:t>
      </w:r>
    </w:p>
  </w:footnote>
  <w:footnote w:id="19">
    <w:p w14:paraId="5864D1C8" w14:textId="19D80887" w:rsidR="00360EC8" w:rsidRPr="00413969" w:rsidRDefault="00360EC8">
      <w:pPr>
        <w:pStyle w:val="FootnoteText"/>
      </w:pPr>
      <w:r w:rsidRPr="00413969">
        <w:rPr>
          <w:rStyle w:val="FootnoteReference"/>
        </w:rPr>
        <w:footnoteRef/>
      </w:r>
      <w:r w:rsidRPr="00413969">
        <w:t xml:space="preserve"> The estimated hourly costs (salary plus benefits) are based on Bureau of Labor Statistics (BLS) information, as of May 2015 (at http://www.bls.gov/oes/current/naics2_22.htm, with updated bene</w:t>
      </w:r>
      <w:r w:rsidR="00965AC2">
        <w:t>fits information for March 2016</w:t>
      </w:r>
      <w:r w:rsidRPr="00413969">
        <w:t xml:space="preserve"> at http://www.bls.gov/news.release/ecec.nr0.htm), for an electrical engineer (code 17-2071</w:t>
      </w:r>
      <w:r w:rsidR="00375226" w:rsidRPr="00413969">
        <w:t>,</w:t>
      </w:r>
      <w:r w:rsidRPr="00413969">
        <w:t xml:space="preserve"> $64.20/hour), </w:t>
      </w:r>
      <w:r w:rsidR="00375226" w:rsidRPr="00413969">
        <w:t xml:space="preserve">and </w:t>
      </w:r>
      <w:r w:rsidRPr="00413969">
        <w:t>for information and record clerks record keeper (code 43-4199, $37.69/hour).  The hourly figure for engineers is used for reporting; the hourly figure for information and record clerks is used for document retention.</w:t>
      </w:r>
    </w:p>
  </w:footnote>
  <w:footnote w:id="20">
    <w:p w14:paraId="05F94358" w14:textId="61B94308" w:rsidR="00360EC8" w:rsidRPr="00413969" w:rsidRDefault="00360EC8">
      <w:pPr>
        <w:pStyle w:val="FootnoteText"/>
      </w:pPr>
      <w:r w:rsidRPr="00413969">
        <w:rPr>
          <w:rStyle w:val="FootnoteReference"/>
        </w:rPr>
        <w:footnoteRef/>
      </w:r>
      <w:r w:rsidRPr="00413969">
        <w:t xml:space="preserve"> The following Requirements and </w:t>
      </w:r>
      <w:r w:rsidR="00931B09" w:rsidRPr="00413969">
        <w:t xml:space="preserve">associated </w:t>
      </w:r>
      <w:r w:rsidRPr="00413969">
        <w:t xml:space="preserve">measures apply to balancing authorities:  </w:t>
      </w:r>
      <w:r w:rsidR="00931B09" w:rsidRPr="00413969">
        <w:t xml:space="preserve">Requirement </w:t>
      </w:r>
      <w:r w:rsidRPr="00413969">
        <w:t>R1:</w:t>
      </w:r>
      <w:r w:rsidRPr="00413969">
        <w:rPr>
          <w:color w:val="000000"/>
        </w:rPr>
        <w:t xml:space="preserve"> </w:t>
      </w:r>
      <w:r w:rsidR="004B3B79">
        <w:rPr>
          <w:color w:val="000000"/>
        </w:rPr>
        <w:t xml:space="preserve"> </w:t>
      </w:r>
      <w:r w:rsidRPr="00413969">
        <w:rPr>
          <w:color w:val="000000"/>
        </w:rPr>
        <w:t xml:space="preserve">A revised data specification and writing the required operating process/operating procedure; and </w:t>
      </w:r>
      <w:r w:rsidR="00931B09" w:rsidRPr="00413969">
        <w:rPr>
          <w:color w:val="000000"/>
        </w:rPr>
        <w:t xml:space="preserve">Requirement </w:t>
      </w:r>
      <w:r w:rsidRPr="00413969">
        <w:rPr>
          <w:color w:val="000000"/>
        </w:rPr>
        <w:t>R2:  quality monitoring logs and the data errors and corrective action logs.</w:t>
      </w:r>
    </w:p>
  </w:footnote>
  <w:footnote w:id="21">
    <w:p w14:paraId="47D10D7F" w14:textId="4DE4E886" w:rsidR="00360EC8" w:rsidRDefault="00360EC8" w:rsidP="00AF58F7">
      <w:pPr>
        <w:pStyle w:val="FootnoteText"/>
      </w:pPr>
      <w:r w:rsidRPr="00413969">
        <w:rPr>
          <w:rStyle w:val="FootnoteReference"/>
        </w:rPr>
        <w:footnoteRef/>
      </w:r>
      <w:r w:rsidRPr="00413969">
        <w:t xml:space="preserve"> The following Requirements and associated measures apply to transmission operators:  Requirement R1</w:t>
      </w:r>
      <w:r w:rsidR="00931B09" w:rsidRPr="00413969">
        <w:t>:</w:t>
      </w:r>
      <w:r w:rsidRPr="00413969">
        <w:t xml:space="preserve"> </w:t>
      </w:r>
      <w:r w:rsidR="00965AC2">
        <w:t xml:space="preserve"> </w:t>
      </w:r>
      <w:r w:rsidR="00462CB5">
        <w:t>A</w:t>
      </w:r>
      <w:r w:rsidRPr="00413969">
        <w:rPr>
          <w:color w:val="000000"/>
        </w:rPr>
        <w:t xml:space="preserve"> revised data specification and writing the required operating process/operating procedure; and Requirement </w:t>
      </w:r>
      <w:r w:rsidRPr="00413969">
        <w:t>R3</w:t>
      </w:r>
      <w:r w:rsidR="00931B09" w:rsidRPr="00413969">
        <w:t>:</w:t>
      </w:r>
      <w:r w:rsidRPr="00413969">
        <w:t xml:space="preserve"> </w:t>
      </w:r>
      <w:r w:rsidR="004B3B79">
        <w:t xml:space="preserve"> </w:t>
      </w:r>
      <w:r w:rsidRPr="00413969">
        <w:t>a</w:t>
      </w:r>
      <w:r w:rsidRPr="00413969">
        <w:rPr>
          <w:color w:val="000000"/>
        </w:rPr>
        <w:t>larm process monitor performance logs to maintain performance logs and corrective action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2CBB" w14:textId="77777777" w:rsidR="00360EC8" w:rsidRDefault="00360E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A56">
      <w:rPr>
        <w:rStyle w:val="PageNumber"/>
        <w:noProof/>
      </w:rPr>
      <w:t>- 6 -</w:t>
    </w:r>
    <w:r>
      <w:rPr>
        <w:rStyle w:val="PageNumber"/>
      </w:rPr>
      <w:fldChar w:fldCharType="end"/>
    </w:r>
  </w:p>
  <w:p w14:paraId="13F1ADD8" w14:textId="77777777" w:rsidR="00360EC8" w:rsidRDefault="00360E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BA5B" w14:textId="7E3EA7C8" w:rsidR="00360EC8" w:rsidRDefault="00360EC8">
    <w:pPr>
      <w:pStyle w:val="Header"/>
      <w:ind w:right="360"/>
    </w:pPr>
    <w:r>
      <w:t xml:space="preserve">Docket No. RD16-6-000 </w:t>
    </w:r>
    <w:r>
      <w:tab/>
    </w:r>
    <w:r>
      <w:fldChar w:fldCharType="begin"/>
    </w:r>
    <w:r>
      <w:instrText xml:space="preserve"> PAGE  \* MERGEFORMAT </w:instrText>
    </w:r>
    <w:r>
      <w:fldChar w:fldCharType="separate"/>
    </w:r>
    <w:r w:rsidR="00A0105E">
      <w:rPr>
        <w:noProof/>
      </w:rPr>
      <w:t>- 13 -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E60C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E80CF9"/>
    <w:multiLevelType w:val="hybridMultilevel"/>
    <w:tmpl w:val="3FA282C2"/>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29F4071"/>
    <w:multiLevelType w:val="multilevel"/>
    <w:tmpl w:val="A0B255EE"/>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156D43"/>
    <w:multiLevelType w:val="multilevel"/>
    <w:tmpl w:val="8152A0FA"/>
    <w:lvl w:ilvl="0">
      <w:start w:val="1"/>
      <w:numFmt w:val="decimal"/>
      <w:pStyle w:val="FERCparanumberCharCharCharCharCharCharCharCha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5EE719D3"/>
    <w:multiLevelType w:val="hybridMultilevel"/>
    <w:tmpl w:val="B9A2F77C"/>
    <w:lvl w:ilvl="0" w:tplc="0409000F">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BD2835"/>
    <w:multiLevelType w:val="hybridMultilevel"/>
    <w:tmpl w:val="6E1EE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7D28D9"/>
    <w:multiLevelType w:val="hybridMultilevel"/>
    <w:tmpl w:val="D7CC6458"/>
    <w:lvl w:ilvl="0" w:tplc="E4FAF836">
      <w:start w:val="2"/>
      <w:numFmt w:val="upperRoman"/>
      <w:lvlText w:val="%1."/>
      <w:lvlJc w:val="left"/>
      <w:pPr>
        <w:tabs>
          <w:tab w:val="num" w:pos="1080"/>
        </w:tabs>
        <w:ind w:left="1080" w:hanging="720"/>
      </w:pPr>
      <w:rPr>
        <w:rFonts w:hint="default"/>
      </w:rPr>
    </w:lvl>
    <w:lvl w:ilvl="1" w:tplc="04090019">
      <w:start w:val="3"/>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9B5539"/>
    <w:multiLevelType w:val="hybridMultilevel"/>
    <w:tmpl w:val="20CEE4CE"/>
    <w:lvl w:ilvl="0" w:tplc="90580CEE">
      <w:start w:val="4"/>
      <w:numFmt w:val="upperRoman"/>
      <w:lvlText w:val="%1."/>
      <w:lvlJc w:val="left"/>
      <w:pPr>
        <w:tabs>
          <w:tab w:val="num" w:pos="1080"/>
        </w:tabs>
        <w:ind w:left="1080" w:hanging="720"/>
      </w:pPr>
      <w:rPr>
        <w:rFonts w:hint="default"/>
      </w:rPr>
    </w:lvl>
    <w:lvl w:ilvl="1" w:tplc="EA26746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B7389B"/>
    <w:multiLevelType w:val="hybridMultilevel"/>
    <w:tmpl w:val="B8C6F348"/>
    <w:lvl w:ilvl="0" w:tplc="7AA809F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4DD3"/>
    <w:multiLevelType w:val="hybridMultilevel"/>
    <w:tmpl w:val="9C20F890"/>
    <w:lvl w:ilvl="0" w:tplc="6D48CD68">
      <w:start w:val="1"/>
      <w:numFmt w:val="decimal"/>
      <w:pStyle w:val="FERCparanumber"/>
      <w:lvlText w:val="%1."/>
      <w:lvlJc w:val="left"/>
      <w:pPr>
        <w:tabs>
          <w:tab w:val="num" w:pos="720"/>
        </w:tabs>
        <w:ind w:left="0" w:firstLine="0"/>
      </w:pPr>
      <w:rPr>
        <w:b w:val="0"/>
        <w:sz w:val="26"/>
        <w:szCs w:val="26"/>
      </w:rPr>
    </w:lvl>
    <w:lvl w:ilvl="1" w:tplc="04090003">
      <w:start w:val="1"/>
      <w:numFmt w:val="upp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8"/>
  </w:num>
  <w:num w:numId="14">
    <w:abstractNumId w:val="12"/>
  </w:num>
  <w:num w:numId="15">
    <w:abstractNumId w:val="17"/>
  </w:num>
  <w:num w:numId="16">
    <w:abstractNumId w:val="16"/>
  </w:num>
  <w:num w:numId="17">
    <w:abstractNumId w:val="15"/>
  </w:num>
  <w:num w:numId="18">
    <w:abstractNumId w:val="0"/>
  </w:num>
  <w:num w:numId="19">
    <w:abstractNumId w:val="11"/>
  </w:num>
  <w:num w:numId="20">
    <w:abstractNumId w:val="19"/>
  </w:num>
  <w:num w:numId="21">
    <w:abstractNumId w:val="19"/>
  </w:num>
  <w:num w:numId="22">
    <w:abstractNumId w:val="19"/>
  </w:num>
  <w:num w:numId="23">
    <w:abstractNumId w:val="1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DB"/>
    <w:rsid w:val="0000005A"/>
    <w:rsid w:val="00005C22"/>
    <w:rsid w:val="00005DF0"/>
    <w:rsid w:val="0001240E"/>
    <w:rsid w:val="000150BF"/>
    <w:rsid w:val="00015938"/>
    <w:rsid w:val="0002522C"/>
    <w:rsid w:val="0002670F"/>
    <w:rsid w:val="00033E6B"/>
    <w:rsid w:val="00034B28"/>
    <w:rsid w:val="0004375B"/>
    <w:rsid w:val="00043922"/>
    <w:rsid w:val="00044CBD"/>
    <w:rsid w:val="00045BE8"/>
    <w:rsid w:val="00046AE4"/>
    <w:rsid w:val="00047885"/>
    <w:rsid w:val="00052336"/>
    <w:rsid w:val="000550DE"/>
    <w:rsid w:val="00061E9F"/>
    <w:rsid w:val="000624DC"/>
    <w:rsid w:val="000643EB"/>
    <w:rsid w:val="00065126"/>
    <w:rsid w:val="0008593D"/>
    <w:rsid w:val="00096906"/>
    <w:rsid w:val="0009726F"/>
    <w:rsid w:val="000A508C"/>
    <w:rsid w:val="000B0888"/>
    <w:rsid w:val="000B0DCD"/>
    <w:rsid w:val="000B4F9D"/>
    <w:rsid w:val="000D661F"/>
    <w:rsid w:val="000E05E3"/>
    <w:rsid w:val="000E232D"/>
    <w:rsid w:val="000E331B"/>
    <w:rsid w:val="000E3A9B"/>
    <w:rsid w:val="000E648E"/>
    <w:rsid w:val="000F6412"/>
    <w:rsid w:val="000F7F5D"/>
    <w:rsid w:val="00103407"/>
    <w:rsid w:val="001050D3"/>
    <w:rsid w:val="00107C1E"/>
    <w:rsid w:val="0012491C"/>
    <w:rsid w:val="00130179"/>
    <w:rsid w:val="00130DE4"/>
    <w:rsid w:val="00133502"/>
    <w:rsid w:val="0013637C"/>
    <w:rsid w:val="00136C75"/>
    <w:rsid w:val="0014132E"/>
    <w:rsid w:val="00155A8F"/>
    <w:rsid w:val="001638C2"/>
    <w:rsid w:val="00163F0C"/>
    <w:rsid w:val="00167F12"/>
    <w:rsid w:val="001726C2"/>
    <w:rsid w:val="0018166C"/>
    <w:rsid w:val="001842ED"/>
    <w:rsid w:val="00194233"/>
    <w:rsid w:val="00195E04"/>
    <w:rsid w:val="001A4BDC"/>
    <w:rsid w:val="001A5DB5"/>
    <w:rsid w:val="001B4937"/>
    <w:rsid w:val="001B4DCF"/>
    <w:rsid w:val="001B6182"/>
    <w:rsid w:val="001C1375"/>
    <w:rsid w:val="001C39F1"/>
    <w:rsid w:val="001C48A4"/>
    <w:rsid w:val="001C5D1E"/>
    <w:rsid w:val="001C6A56"/>
    <w:rsid w:val="001D3774"/>
    <w:rsid w:val="001D4D9E"/>
    <w:rsid w:val="001D5102"/>
    <w:rsid w:val="001F26C5"/>
    <w:rsid w:val="001F5B19"/>
    <w:rsid w:val="001F6209"/>
    <w:rsid w:val="001F64DC"/>
    <w:rsid w:val="0020023D"/>
    <w:rsid w:val="00206C0F"/>
    <w:rsid w:val="0021196D"/>
    <w:rsid w:val="00211B00"/>
    <w:rsid w:val="00216275"/>
    <w:rsid w:val="00216963"/>
    <w:rsid w:val="00217501"/>
    <w:rsid w:val="0022325F"/>
    <w:rsid w:val="00236DB3"/>
    <w:rsid w:val="00253A27"/>
    <w:rsid w:val="00254DF4"/>
    <w:rsid w:val="00262794"/>
    <w:rsid w:val="0026480D"/>
    <w:rsid w:val="00265B4B"/>
    <w:rsid w:val="00272E94"/>
    <w:rsid w:val="0027461C"/>
    <w:rsid w:val="00274D31"/>
    <w:rsid w:val="002766E3"/>
    <w:rsid w:val="002803F9"/>
    <w:rsid w:val="002824DB"/>
    <w:rsid w:val="002843F8"/>
    <w:rsid w:val="0029083C"/>
    <w:rsid w:val="002A4862"/>
    <w:rsid w:val="002A61BF"/>
    <w:rsid w:val="002B17EC"/>
    <w:rsid w:val="002B3DC0"/>
    <w:rsid w:val="002C3174"/>
    <w:rsid w:val="002C6235"/>
    <w:rsid w:val="002C631F"/>
    <w:rsid w:val="002D6233"/>
    <w:rsid w:val="002D7E4F"/>
    <w:rsid w:val="002E42B0"/>
    <w:rsid w:val="002E4497"/>
    <w:rsid w:val="002F0B51"/>
    <w:rsid w:val="002F572B"/>
    <w:rsid w:val="00303B8E"/>
    <w:rsid w:val="0030781A"/>
    <w:rsid w:val="003150CD"/>
    <w:rsid w:val="00315120"/>
    <w:rsid w:val="00317446"/>
    <w:rsid w:val="00320EA2"/>
    <w:rsid w:val="00320F2E"/>
    <w:rsid w:val="00327771"/>
    <w:rsid w:val="00330155"/>
    <w:rsid w:val="00330A16"/>
    <w:rsid w:val="003331A6"/>
    <w:rsid w:val="00333EE5"/>
    <w:rsid w:val="00344715"/>
    <w:rsid w:val="00345236"/>
    <w:rsid w:val="0034645A"/>
    <w:rsid w:val="00347C6B"/>
    <w:rsid w:val="00351365"/>
    <w:rsid w:val="00360EC8"/>
    <w:rsid w:val="00366172"/>
    <w:rsid w:val="003747FE"/>
    <w:rsid w:val="00375226"/>
    <w:rsid w:val="0037738D"/>
    <w:rsid w:val="003813F0"/>
    <w:rsid w:val="00383C19"/>
    <w:rsid w:val="003866AB"/>
    <w:rsid w:val="003878E6"/>
    <w:rsid w:val="0039136F"/>
    <w:rsid w:val="00392486"/>
    <w:rsid w:val="00393B15"/>
    <w:rsid w:val="00397711"/>
    <w:rsid w:val="003A1260"/>
    <w:rsid w:val="003B1A47"/>
    <w:rsid w:val="003B2826"/>
    <w:rsid w:val="003C6AA7"/>
    <w:rsid w:val="003D0535"/>
    <w:rsid w:val="003D13CE"/>
    <w:rsid w:val="003D2562"/>
    <w:rsid w:val="003E352D"/>
    <w:rsid w:val="003E6641"/>
    <w:rsid w:val="003F210A"/>
    <w:rsid w:val="003F28B6"/>
    <w:rsid w:val="003F3FE2"/>
    <w:rsid w:val="00403540"/>
    <w:rsid w:val="004070E8"/>
    <w:rsid w:val="0040737B"/>
    <w:rsid w:val="0041077B"/>
    <w:rsid w:val="00413969"/>
    <w:rsid w:val="004150B0"/>
    <w:rsid w:val="00435BCE"/>
    <w:rsid w:val="00436C2F"/>
    <w:rsid w:val="00450F2C"/>
    <w:rsid w:val="00456002"/>
    <w:rsid w:val="00456C5A"/>
    <w:rsid w:val="004615EF"/>
    <w:rsid w:val="00462CB5"/>
    <w:rsid w:val="00463889"/>
    <w:rsid w:val="0046583F"/>
    <w:rsid w:val="004704AA"/>
    <w:rsid w:val="00474CB4"/>
    <w:rsid w:val="00485F20"/>
    <w:rsid w:val="004A2564"/>
    <w:rsid w:val="004A3063"/>
    <w:rsid w:val="004A6087"/>
    <w:rsid w:val="004B3B79"/>
    <w:rsid w:val="004B511E"/>
    <w:rsid w:val="004C507F"/>
    <w:rsid w:val="004D2C04"/>
    <w:rsid w:val="004D2D3E"/>
    <w:rsid w:val="004D58E4"/>
    <w:rsid w:val="004D7C8A"/>
    <w:rsid w:val="004F0F1F"/>
    <w:rsid w:val="005010F8"/>
    <w:rsid w:val="00503061"/>
    <w:rsid w:val="00511EE3"/>
    <w:rsid w:val="00514D58"/>
    <w:rsid w:val="00515977"/>
    <w:rsid w:val="00525C94"/>
    <w:rsid w:val="00535934"/>
    <w:rsid w:val="005418FB"/>
    <w:rsid w:val="00543777"/>
    <w:rsid w:val="0054675E"/>
    <w:rsid w:val="00553914"/>
    <w:rsid w:val="00561741"/>
    <w:rsid w:val="0056607E"/>
    <w:rsid w:val="00570986"/>
    <w:rsid w:val="00571C8D"/>
    <w:rsid w:val="0057317C"/>
    <w:rsid w:val="005734D0"/>
    <w:rsid w:val="005830BA"/>
    <w:rsid w:val="0058549F"/>
    <w:rsid w:val="00586FBD"/>
    <w:rsid w:val="005915CA"/>
    <w:rsid w:val="005927AA"/>
    <w:rsid w:val="00593F17"/>
    <w:rsid w:val="0059423B"/>
    <w:rsid w:val="005A1121"/>
    <w:rsid w:val="005A6FE0"/>
    <w:rsid w:val="005A6FF0"/>
    <w:rsid w:val="005B03C7"/>
    <w:rsid w:val="005B2D7D"/>
    <w:rsid w:val="005B3057"/>
    <w:rsid w:val="005B5A9D"/>
    <w:rsid w:val="005C7E51"/>
    <w:rsid w:val="005D092C"/>
    <w:rsid w:val="005D5535"/>
    <w:rsid w:val="00600425"/>
    <w:rsid w:val="00602437"/>
    <w:rsid w:val="00602972"/>
    <w:rsid w:val="0060607F"/>
    <w:rsid w:val="00607715"/>
    <w:rsid w:val="00624B80"/>
    <w:rsid w:val="006260B6"/>
    <w:rsid w:val="00626E10"/>
    <w:rsid w:val="00636236"/>
    <w:rsid w:val="00636715"/>
    <w:rsid w:val="006500A1"/>
    <w:rsid w:val="00650541"/>
    <w:rsid w:val="006520B5"/>
    <w:rsid w:val="00652487"/>
    <w:rsid w:val="006528D6"/>
    <w:rsid w:val="006573F3"/>
    <w:rsid w:val="006575F3"/>
    <w:rsid w:val="0066333E"/>
    <w:rsid w:val="0067740B"/>
    <w:rsid w:val="00680EC1"/>
    <w:rsid w:val="00684F24"/>
    <w:rsid w:val="0068780A"/>
    <w:rsid w:val="00695528"/>
    <w:rsid w:val="006A27A1"/>
    <w:rsid w:val="006A5AE1"/>
    <w:rsid w:val="006A7AFE"/>
    <w:rsid w:val="006C5809"/>
    <w:rsid w:val="006C718E"/>
    <w:rsid w:val="006C7DCA"/>
    <w:rsid w:val="006D2147"/>
    <w:rsid w:val="006D5F8F"/>
    <w:rsid w:val="006E192C"/>
    <w:rsid w:val="006F3045"/>
    <w:rsid w:val="007018C9"/>
    <w:rsid w:val="007019D4"/>
    <w:rsid w:val="007065E5"/>
    <w:rsid w:val="007103CB"/>
    <w:rsid w:val="0071047A"/>
    <w:rsid w:val="00710B13"/>
    <w:rsid w:val="007121F8"/>
    <w:rsid w:val="00713235"/>
    <w:rsid w:val="00723C58"/>
    <w:rsid w:val="00731A72"/>
    <w:rsid w:val="00742455"/>
    <w:rsid w:val="00746596"/>
    <w:rsid w:val="00750081"/>
    <w:rsid w:val="00753170"/>
    <w:rsid w:val="00754821"/>
    <w:rsid w:val="00755E06"/>
    <w:rsid w:val="00766E23"/>
    <w:rsid w:val="0077446D"/>
    <w:rsid w:val="00796782"/>
    <w:rsid w:val="007A1B26"/>
    <w:rsid w:val="007A2DF2"/>
    <w:rsid w:val="007A3EF8"/>
    <w:rsid w:val="007B13F6"/>
    <w:rsid w:val="007C3717"/>
    <w:rsid w:val="007C4B13"/>
    <w:rsid w:val="007C5B3C"/>
    <w:rsid w:val="007C7197"/>
    <w:rsid w:val="007C7F33"/>
    <w:rsid w:val="007D15EE"/>
    <w:rsid w:val="007D5924"/>
    <w:rsid w:val="007E05F3"/>
    <w:rsid w:val="007E6305"/>
    <w:rsid w:val="007E6DD1"/>
    <w:rsid w:val="007F0C4C"/>
    <w:rsid w:val="007F6549"/>
    <w:rsid w:val="007F662B"/>
    <w:rsid w:val="00802EFC"/>
    <w:rsid w:val="00807D33"/>
    <w:rsid w:val="00811358"/>
    <w:rsid w:val="00813EF1"/>
    <w:rsid w:val="00824352"/>
    <w:rsid w:val="00825428"/>
    <w:rsid w:val="00832CBB"/>
    <w:rsid w:val="00834889"/>
    <w:rsid w:val="00853839"/>
    <w:rsid w:val="00853A91"/>
    <w:rsid w:val="00856AB9"/>
    <w:rsid w:val="0086317B"/>
    <w:rsid w:val="00865202"/>
    <w:rsid w:val="0087088D"/>
    <w:rsid w:val="00872A6C"/>
    <w:rsid w:val="00872C27"/>
    <w:rsid w:val="00874EFD"/>
    <w:rsid w:val="0087502B"/>
    <w:rsid w:val="0087679B"/>
    <w:rsid w:val="00880ED8"/>
    <w:rsid w:val="00883E82"/>
    <w:rsid w:val="00885688"/>
    <w:rsid w:val="00885A15"/>
    <w:rsid w:val="008931CE"/>
    <w:rsid w:val="00895574"/>
    <w:rsid w:val="008A4D84"/>
    <w:rsid w:val="008B4E4A"/>
    <w:rsid w:val="008B5640"/>
    <w:rsid w:val="008C13B1"/>
    <w:rsid w:val="008C3488"/>
    <w:rsid w:val="008C659D"/>
    <w:rsid w:val="008C71FA"/>
    <w:rsid w:val="008D6F50"/>
    <w:rsid w:val="008D761C"/>
    <w:rsid w:val="008E10AD"/>
    <w:rsid w:val="008E60E6"/>
    <w:rsid w:val="008E6989"/>
    <w:rsid w:val="008E72AC"/>
    <w:rsid w:val="008F15FA"/>
    <w:rsid w:val="00906513"/>
    <w:rsid w:val="00906546"/>
    <w:rsid w:val="00907305"/>
    <w:rsid w:val="0091106E"/>
    <w:rsid w:val="00915880"/>
    <w:rsid w:val="009201AA"/>
    <w:rsid w:val="00925B5C"/>
    <w:rsid w:val="009301CB"/>
    <w:rsid w:val="00931B09"/>
    <w:rsid w:val="0093548A"/>
    <w:rsid w:val="00943B42"/>
    <w:rsid w:val="00953609"/>
    <w:rsid w:val="009539AC"/>
    <w:rsid w:val="009539E8"/>
    <w:rsid w:val="009547C4"/>
    <w:rsid w:val="0096444A"/>
    <w:rsid w:val="00965187"/>
    <w:rsid w:val="00965AC2"/>
    <w:rsid w:val="009705B8"/>
    <w:rsid w:val="00976D07"/>
    <w:rsid w:val="00981A60"/>
    <w:rsid w:val="00984B84"/>
    <w:rsid w:val="009862DB"/>
    <w:rsid w:val="009870FE"/>
    <w:rsid w:val="009A0606"/>
    <w:rsid w:val="009A0745"/>
    <w:rsid w:val="009A5FC1"/>
    <w:rsid w:val="009A6349"/>
    <w:rsid w:val="009B34E8"/>
    <w:rsid w:val="009C1D9D"/>
    <w:rsid w:val="009C23AC"/>
    <w:rsid w:val="009D01BA"/>
    <w:rsid w:val="009D1E09"/>
    <w:rsid w:val="009D59F2"/>
    <w:rsid w:val="009D7C6B"/>
    <w:rsid w:val="00A0105E"/>
    <w:rsid w:val="00A07DE5"/>
    <w:rsid w:val="00A1172E"/>
    <w:rsid w:val="00A14208"/>
    <w:rsid w:val="00A36400"/>
    <w:rsid w:val="00A370A8"/>
    <w:rsid w:val="00A42276"/>
    <w:rsid w:val="00A46A93"/>
    <w:rsid w:val="00A47E5F"/>
    <w:rsid w:val="00A47E84"/>
    <w:rsid w:val="00A53E3B"/>
    <w:rsid w:val="00A5672D"/>
    <w:rsid w:val="00A63D47"/>
    <w:rsid w:val="00A657A0"/>
    <w:rsid w:val="00A65F09"/>
    <w:rsid w:val="00A708B7"/>
    <w:rsid w:val="00A73F4B"/>
    <w:rsid w:val="00A8182C"/>
    <w:rsid w:val="00A843D6"/>
    <w:rsid w:val="00A85960"/>
    <w:rsid w:val="00A87444"/>
    <w:rsid w:val="00A911A1"/>
    <w:rsid w:val="00AA3672"/>
    <w:rsid w:val="00AA4B71"/>
    <w:rsid w:val="00AB65FF"/>
    <w:rsid w:val="00AC242A"/>
    <w:rsid w:val="00AC4C70"/>
    <w:rsid w:val="00AD3791"/>
    <w:rsid w:val="00AD3A8A"/>
    <w:rsid w:val="00AE10D7"/>
    <w:rsid w:val="00AE4ECA"/>
    <w:rsid w:val="00AE5749"/>
    <w:rsid w:val="00AF035C"/>
    <w:rsid w:val="00AF1065"/>
    <w:rsid w:val="00AF1C45"/>
    <w:rsid w:val="00AF58F7"/>
    <w:rsid w:val="00AF605E"/>
    <w:rsid w:val="00AF7624"/>
    <w:rsid w:val="00B10B91"/>
    <w:rsid w:val="00B12DE0"/>
    <w:rsid w:val="00B12E3A"/>
    <w:rsid w:val="00B1684A"/>
    <w:rsid w:val="00B202E4"/>
    <w:rsid w:val="00B211F7"/>
    <w:rsid w:val="00B21AB1"/>
    <w:rsid w:val="00B244F8"/>
    <w:rsid w:val="00B256A1"/>
    <w:rsid w:val="00B272DB"/>
    <w:rsid w:val="00B2753C"/>
    <w:rsid w:val="00B30F94"/>
    <w:rsid w:val="00B31036"/>
    <w:rsid w:val="00B41F03"/>
    <w:rsid w:val="00B42C0C"/>
    <w:rsid w:val="00B44778"/>
    <w:rsid w:val="00B521B5"/>
    <w:rsid w:val="00B523B0"/>
    <w:rsid w:val="00B52614"/>
    <w:rsid w:val="00B5624A"/>
    <w:rsid w:val="00B57109"/>
    <w:rsid w:val="00B57F72"/>
    <w:rsid w:val="00B62CBA"/>
    <w:rsid w:val="00B7669F"/>
    <w:rsid w:val="00B824DE"/>
    <w:rsid w:val="00B82B58"/>
    <w:rsid w:val="00B854D3"/>
    <w:rsid w:val="00B91C35"/>
    <w:rsid w:val="00B955EC"/>
    <w:rsid w:val="00B963CF"/>
    <w:rsid w:val="00BA196A"/>
    <w:rsid w:val="00BA69B1"/>
    <w:rsid w:val="00BB261B"/>
    <w:rsid w:val="00BB2BB6"/>
    <w:rsid w:val="00BB2D8E"/>
    <w:rsid w:val="00BB2E89"/>
    <w:rsid w:val="00BB7827"/>
    <w:rsid w:val="00BC476B"/>
    <w:rsid w:val="00BC716C"/>
    <w:rsid w:val="00BD155C"/>
    <w:rsid w:val="00BD748B"/>
    <w:rsid w:val="00BF5A99"/>
    <w:rsid w:val="00BF5F21"/>
    <w:rsid w:val="00BF64EF"/>
    <w:rsid w:val="00C01F99"/>
    <w:rsid w:val="00C0264C"/>
    <w:rsid w:val="00C04085"/>
    <w:rsid w:val="00C07906"/>
    <w:rsid w:val="00C07BBF"/>
    <w:rsid w:val="00C102A6"/>
    <w:rsid w:val="00C133A7"/>
    <w:rsid w:val="00C22CE1"/>
    <w:rsid w:val="00C267BD"/>
    <w:rsid w:val="00C27851"/>
    <w:rsid w:val="00C301D0"/>
    <w:rsid w:val="00C3138D"/>
    <w:rsid w:val="00C33EEE"/>
    <w:rsid w:val="00C43F88"/>
    <w:rsid w:val="00C45328"/>
    <w:rsid w:val="00C47FD8"/>
    <w:rsid w:val="00C50024"/>
    <w:rsid w:val="00C52AF7"/>
    <w:rsid w:val="00C6479F"/>
    <w:rsid w:val="00C672A7"/>
    <w:rsid w:val="00C75C8B"/>
    <w:rsid w:val="00C75CD6"/>
    <w:rsid w:val="00C824F7"/>
    <w:rsid w:val="00C82525"/>
    <w:rsid w:val="00C8788F"/>
    <w:rsid w:val="00C95297"/>
    <w:rsid w:val="00C95976"/>
    <w:rsid w:val="00CA3B01"/>
    <w:rsid w:val="00CB2891"/>
    <w:rsid w:val="00CB4CE3"/>
    <w:rsid w:val="00CB7307"/>
    <w:rsid w:val="00CC7B6E"/>
    <w:rsid w:val="00CD12F3"/>
    <w:rsid w:val="00CD1784"/>
    <w:rsid w:val="00CE40B1"/>
    <w:rsid w:val="00CE63A0"/>
    <w:rsid w:val="00CF4643"/>
    <w:rsid w:val="00CF5209"/>
    <w:rsid w:val="00D00FCC"/>
    <w:rsid w:val="00D0558A"/>
    <w:rsid w:val="00D07119"/>
    <w:rsid w:val="00D1493E"/>
    <w:rsid w:val="00D16A1E"/>
    <w:rsid w:val="00D179AF"/>
    <w:rsid w:val="00D203B7"/>
    <w:rsid w:val="00D27808"/>
    <w:rsid w:val="00D301E2"/>
    <w:rsid w:val="00D31916"/>
    <w:rsid w:val="00D32111"/>
    <w:rsid w:val="00D40C24"/>
    <w:rsid w:val="00D42EF0"/>
    <w:rsid w:val="00D4311D"/>
    <w:rsid w:val="00D46FE2"/>
    <w:rsid w:val="00D5125A"/>
    <w:rsid w:val="00D52ED0"/>
    <w:rsid w:val="00D61780"/>
    <w:rsid w:val="00D65E8A"/>
    <w:rsid w:val="00D700C9"/>
    <w:rsid w:val="00D70686"/>
    <w:rsid w:val="00D70D45"/>
    <w:rsid w:val="00D758A6"/>
    <w:rsid w:val="00D84C45"/>
    <w:rsid w:val="00D85EEA"/>
    <w:rsid w:val="00D86FD4"/>
    <w:rsid w:val="00D9275E"/>
    <w:rsid w:val="00D97C2A"/>
    <w:rsid w:val="00DB2C69"/>
    <w:rsid w:val="00DB42D2"/>
    <w:rsid w:val="00DB6D7E"/>
    <w:rsid w:val="00DB7C79"/>
    <w:rsid w:val="00DC4061"/>
    <w:rsid w:val="00DC50D6"/>
    <w:rsid w:val="00DD2D2C"/>
    <w:rsid w:val="00DE1739"/>
    <w:rsid w:val="00DE1929"/>
    <w:rsid w:val="00DE728A"/>
    <w:rsid w:val="00DE7B76"/>
    <w:rsid w:val="00DF5666"/>
    <w:rsid w:val="00E019E4"/>
    <w:rsid w:val="00E027EA"/>
    <w:rsid w:val="00E10569"/>
    <w:rsid w:val="00E14D23"/>
    <w:rsid w:val="00E15944"/>
    <w:rsid w:val="00E1762E"/>
    <w:rsid w:val="00E61743"/>
    <w:rsid w:val="00E618E3"/>
    <w:rsid w:val="00E619C2"/>
    <w:rsid w:val="00E61C13"/>
    <w:rsid w:val="00E839D4"/>
    <w:rsid w:val="00E84FE4"/>
    <w:rsid w:val="00E867BC"/>
    <w:rsid w:val="00E92382"/>
    <w:rsid w:val="00E96428"/>
    <w:rsid w:val="00EA033D"/>
    <w:rsid w:val="00EA0F09"/>
    <w:rsid w:val="00EA1C00"/>
    <w:rsid w:val="00EA4874"/>
    <w:rsid w:val="00EA7981"/>
    <w:rsid w:val="00EB66AA"/>
    <w:rsid w:val="00EC1954"/>
    <w:rsid w:val="00EC750B"/>
    <w:rsid w:val="00EE15DB"/>
    <w:rsid w:val="00EE45F2"/>
    <w:rsid w:val="00EF1CF1"/>
    <w:rsid w:val="00EF566C"/>
    <w:rsid w:val="00F065B6"/>
    <w:rsid w:val="00F17E54"/>
    <w:rsid w:val="00F21E47"/>
    <w:rsid w:val="00F22D2A"/>
    <w:rsid w:val="00F233C5"/>
    <w:rsid w:val="00F2504E"/>
    <w:rsid w:val="00F26264"/>
    <w:rsid w:val="00F33C99"/>
    <w:rsid w:val="00F421E2"/>
    <w:rsid w:val="00F463DE"/>
    <w:rsid w:val="00F55289"/>
    <w:rsid w:val="00F71542"/>
    <w:rsid w:val="00F744C1"/>
    <w:rsid w:val="00F75C72"/>
    <w:rsid w:val="00F762A9"/>
    <w:rsid w:val="00F808A6"/>
    <w:rsid w:val="00F8367A"/>
    <w:rsid w:val="00F84743"/>
    <w:rsid w:val="00F92959"/>
    <w:rsid w:val="00F933E9"/>
    <w:rsid w:val="00F95C1F"/>
    <w:rsid w:val="00FA06DA"/>
    <w:rsid w:val="00FA1A75"/>
    <w:rsid w:val="00FA39CD"/>
    <w:rsid w:val="00FB4B3B"/>
    <w:rsid w:val="00FC1709"/>
    <w:rsid w:val="00FC422B"/>
    <w:rsid w:val="00FC5D9D"/>
    <w:rsid w:val="00FC77E3"/>
    <w:rsid w:val="00FD147B"/>
    <w:rsid w:val="00FD49D8"/>
    <w:rsid w:val="00FE5A05"/>
    <w:rsid w:val="00FE7B26"/>
    <w:rsid w:val="00FF1A40"/>
    <w:rsid w:val="00FF2221"/>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6"/>
      <w:szCs w:val="24"/>
    </w:rPr>
  </w:style>
  <w:style w:type="paragraph" w:styleId="Heading1">
    <w:name w:val="heading 1"/>
    <w:basedOn w:val="Normal"/>
    <w:next w:val="FERCparanumber"/>
    <w:qFormat/>
    <w:pPr>
      <w:keepNext/>
      <w:keepLines/>
      <w:widowControl/>
      <w:spacing w:after="260"/>
      <w:outlineLvl w:val="0"/>
    </w:pPr>
    <w:rPr>
      <w:b/>
      <w:bCs/>
      <w:kern w:val="32"/>
      <w:szCs w:val="32"/>
      <w:u w:val="single"/>
    </w:rPr>
  </w:style>
  <w:style w:type="paragraph" w:styleId="Heading2">
    <w:name w:val="heading 2"/>
    <w:basedOn w:val="Normal"/>
    <w:next w:val="FERCparanumber"/>
    <w:qFormat/>
    <w:pPr>
      <w:keepNext/>
      <w:keepLines/>
      <w:widowControl/>
      <w:spacing w:after="260"/>
      <w:ind w:left="720"/>
      <w:outlineLvl w:val="1"/>
    </w:pPr>
    <w:rPr>
      <w:b/>
      <w:bCs/>
      <w:iCs/>
      <w:kern w:val="32"/>
      <w:szCs w:val="28"/>
      <w:u w:val="single"/>
    </w:rPr>
  </w:style>
  <w:style w:type="paragraph" w:styleId="Heading3">
    <w:name w:val="heading 3"/>
    <w:basedOn w:val="Normal"/>
    <w:next w:val="FERCparanumber"/>
    <w:qFormat/>
    <w:pPr>
      <w:keepNext/>
      <w:keepLines/>
      <w:widowControl/>
      <w:spacing w:after="260"/>
      <w:ind w:left="1440"/>
      <w:outlineLvl w:val="2"/>
    </w:pPr>
    <w:rPr>
      <w:b/>
      <w:bCs/>
      <w:kern w:val="32"/>
      <w:szCs w:val="26"/>
      <w:u w:val="single"/>
    </w:rPr>
  </w:style>
  <w:style w:type="paragraph" w:styleId="Heading4">
    <w:name w:val="heading 4"/>
    <w:basedOn w:val="Normal"/>
    <w:next w:val="FERCparanumber"/>
    <w:qFormat/>
    <w:pPr>
      <w:keepNext/>
      <w:keepLines/>
      <w:widowControl/>
      <w:spacing w:after="260"/>
      <w:ind w:left="2160"/>
      <w:outlineLvl w:val="3"/>
    </w:pPr>
    <w:rPr>
      <w:b/>
      <w:bCs/>
      <w:kern w:val="32"/>
      <w:szCs w:val="28"/>
      <w:u w:val="single"/>
    </w:rPr>
  </w:style>
  <w:style w:type="paragraph" w:styleId="Heading5">
    <w:name w:val="heading 5"/>
    <w:basedOn w:val="Normal"/>
    <w:next w:val="FERCparanumber"/>
    <w:qFormat/>
    <w:pPr>
      <w:keepNext/>
      <w:keepLines/>
      <w:widowControl/>
      <w:spacing w:after="260"/>
      <w:ind w:left="2880"/>
      <w:outlineLvl w:val="4"/>
    </w:pPr>
    <w:rPr>
      <w:b/>
      <w:bCs/>
      <w:iCs/>
      <w:kern w:val="32"/>
      <w:szCs w:val="26"/>
      <w:u w:val="single"/>
    </w:rPr>
  </w:style>
  <w:style w:type="paragraph" w:styleId="Heading6">
    <w:name w:val="heading 6"/>
    <w:basedOn w:val="Normal"/>
    <w:next w:val="FERCparanumber"/>
    <w:qFormat/>
    <w:pPr>
      <w:keepNext/>
      <w:keepLines/>
      <w:widowControl/>
      <w:spacing w:after="260"/>
      <w:ind w:left="3600"/>
      <w:outlineLvl w:val="5"/>
    </w:pPr>
    <w:rPr>
      <w:b/>
      <w:bCs/>
      <w:kern w:val="32"/>
      <w:szCs w:val="22"/>
      <w:u w:val="single"/>
    </w:rPr>
  </w:style>
  <w:style w:type="paragraph" w:styleId="Heading7">
    <w:name w:val="heading 7"/>
    <w:basedOn w:val="Normal"/>
    <w:next w:val="FERCparanumber"/>
    <w:qFormat/>
    <w:pPr>
      <w:spacing w:after="260"/>
      <w:ind w:left="4320"/>
      <w:outlineLvl w:val="6"/>
    </w:pPr>
    <w:rPr>
      <w:b/>
      <w:kern w:val="32"/>
      <w:u w:val="single"/>
    </w:rPr>
  </w:style>
  <w:style w:type="paragraph" w:styleId="Heading8">
    <w:name w:val="heading 8"/>
    <w:basedOn w:val="Normal"/>
    <w:next w:val="FERCparanumber"/>
    <w:qFormat/>
    <w:pPr>
      <w:keepNext/>
      <w:keepLines/>
      <w:widowControl/>
      <w:spacing w:after="260"/>
      <w:ind w:left="5040"/>
      <w:outlineLvl w:val="7"/>
    </w:pPr>
    <w:rPr>
      <w:b/>
      <w:iCs/>
      <w:kern w:val="32"/>
      <w:u w:val="single"/>
    </w:rPr>
  </w:style>
  <w:style w:type="paragraph" w:styleId="Heading9">
    <w:name w:val="heading 9"/>
    <w:basedOn w:val="Normal"/>
    <w:next w:val="FERCparanumber"/>
    <w:qFormat/>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Pr>
      <w:szCs w:val="26"/>
    </w:rPr>
  </w:style>
  <w:style w:type="paragraph" w:styleId="FootnoteText">
    <w:name w:val="footnote text"/>
    <w:aliases w:val="Footnote Text Char,Footnote Text Char2 Char,Footnote Text Char1 Char Char,Footnote Text Char Char Char Char1,Footnote Text Char2 Char Char Char Char,Footnote Text Char Char1 Char Char Char Char,fn Char Char Char1 Char Char,fn Char1,fn Char"/>
    <w:basedOn w:val="Normal"/>
    <w:link w:val="FootnoteTextChar1"/>
    <w:uiPriority w:val="99"/>
    <w:pPr>
      <w:spacing w:after="240"/>
      <w:ind w:firstLine="720"/>
    </w:pPr>
    <w:rPr>
      <w:szCs w:val="20"/>
    </w:rPr>
  </w:style>
  <w:style w:type="paragraph" w:styleId="BalloonText">
    <w:name w:val="Balloon Text"/>
    <w:basedOn w:val="Normal"/>
    <w:semiHidden/>
    <w:rPr>
      <w:rFonts w:ascii="Tahoma" w:hAnsi="Tahoma" w:cs="Tahoma"/>
      <w:sz w:val="16"/>
      <w:szCs w:val="16"/>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Pr>
      <w:rFonts w:ascii="Times New Roman" w:hAnsi="Times New Roman"/>
      <w:b/>
      <w:dstrike w:val="0"/>
      <w:sz w:val="26"/>
      <w:szCs w:val="26"/>
      <w:vertAlign w:val="superscript"/>
    </w:rPr>
  </w:style>
  <w:style w:type="paragraph" w:styleId="ListContinue">
    <w:name w:val="List Continue"/>
    <w:basedOn w:val="Normal"/>
    <w:semiHidden/>
    <w:pPr>
      <w:widowControl/>
      <w:autoSpaceDE/>
      <w:autoSpaceDN/>
      <w:adjustRightInd/>
      <w:spacing w:after="120"/>
      <w:ind w:left="360"/>
    </w:pPr>
  </w:style>
  <w:style w:type="paragraph" w:customStyle="1" w:styleId="FERCparanumberCharCharCharCharCharCharCharChar">
    <w:name w:val="FERC paranumber Char Char Char Char Char Char Char Char"/>
    <w:basedOn w:val="Normal"/>
    <w:link w:val="FERCparanumberCharCharCharCharCharCharCharCharChar"/>
    <w:pPr>
      <w:widowControl/>
      <w:numPr>
        <w:numId w:val="1"/>
      </w:numPr>
      <w:spacing w:after="240"/>
    </w:pPr>
    <w:rPr>
      <w:szCs w:val="26"/>
    </w:rPr>
  </w:style>
  <w:style w:type="paragraph" w:styleId="Footer">
    <w:name w:val="footer"/>
    <w:basedOn w:val="Normal"/>
    <w:pPr>
      <w:tabs>
        <w:tab w:val="center" w:pos="4320"/>
        <w:tab w:val="right" w:pos="8640"/>
      </w:tabs>
    </w:pPr>
  </w:style>
  <w:style w:type="paragraph" w:styleId="Header">
    <w:name w:val="header"/>
    <w:basedOn w:val="Normal"/>
    <w:pPr>
      <w:tabs>
        <w:tab w:val="right" w:pos="8640"/>
      </w:tabs>
      <w:spacing w:after="120"/>
    </w:pPr>
  </w:style>
  <w:style w:type="character" w:styleId="PageNumber">
    <w:name w:val="page number"/>
    <w:basedOn w:val="DefaultParagraphFont"/>
  </w:style>
  <w:style w:type="paragraph" w:customStyle="1" w:styleId="FERCparanumber">
    <w:name w:val="FERC paranumber"/>
    <w:basedOn w:val="Normal"/>
    <w:link w:val="FERCparanumberChar1"/>
    <w:qFormat/>
    <w:pPr>
      <w:widowControl/>
      <w:numPr>
        <w:numId w:val="2"/>
      </w:numPr>
      <w:spacing w:after="24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60" w:hanging="260"/>
    </w:pPr>
  </w:style>
  <w:style w:type="paragraph" w:styleId="Index2">
    <w:name w:val="index 2"/>
    <w:basedOn w:val="Normal"/>
    <w:next w:val="Normal"/>
    <w:semiHidden/>
    <w:pPr>
      <w:ind w:left="520" w:hanging="260"/>
    </w:pPr>
  </w:style>
  <w:style w:type="paragraph" w:styleId="Index3">
    <w:name w:val="index 3"/>
    <w:basedOn w:val="Normal"/>
    <w:next w:val="Normal"/>
    <w:semiHidden/>
    <w:pPr>
      <w:ind w:left="780" w:hanging="260"/>
    </w:pPr>
  </w:style>
  <w:style w:type="paragraph" w:styleId="Index4">
    <w:name w:val="index 4"/>
    <w:basedOn w:val="Normal"/>
    <w:next w:val="Normal"/>
    <w:semiHidden/>
    <w:pPr>
      <w:ind w:left="1040" w:hanging="260"/>
    </w:pPr>
  </w:style>
  <w:style w:type="paragraph" w:styleId="Index5">
    <w:name w:val="index 5"/>
    <w:basedOn w:val="Normal"/>
    <w:next w:val="Normal"/>
    <w:semiHidden/>
    <w:pPr>
      <w:ind w:left="1300" w:hanging="260"/>
    </w:pPr>
  </w:style>
  <w:style w:type="paragraph" w:styleId="Index6">
    <w:name w:val="index 6"/>
    <w:basedOn w:val="Normal"/>
    <w:next w:val="Normal"/>
    <w:semiHidden/>
    <w:pPr>
      <w:ind w:left="1560" w:hanging="260"/>
    </w:pPr>
  </w:style>
  <w:style w:type="paragraph" w:styleId="Index7">
    <w:name w:val="index 7"/>
    <w:basedOn w:val="Normal"/>
    <w:next w:val="Normal"/>
    <w:semiHidden/>
    <w:pPr>
      <w:ind w:left="1820" w:hanging="260"/>
    </w:pPr>
  </w:style>
  <w:style w:type="paragraph" w:styleId="Index8">
    <w:name w:val="index 8"/>
    <w:basedOn w:val="Normal"/>
    <w:next w:val="Normal"/>
    <w:semiHidden/>
    <w:pPr>
      <w:ind w:left="2080" w:hanging="260"/>
    </w:pPr>
  </w:style>
  <w:style w:type="paragraph" w:styleId="Index9">
    <w:name w:val="index 9"/>
    <w:basedOn w:val="Normal"/>
    <w:next w:val="Normal"/>
    <w:semiHidden/>
    <w:pPr>
      <w:ind w:left="2340" w:hanging="26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uiPriority w:val="99"/>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60" w:hanging="260"/>
    </w:pPr>
  </w:style>
  <w:style w:type="paragraph" w:styleId="TableofFigures">
    <w:name w:val="table of figures"/>
    <w:basedOn w:val="Normal"/>
    <w:next w:val="Normal"/>
    <w:semiHidden/>
    <w:pPr>
      <w:ind w:left="520" w:hanging="5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semiHidden/>
  </w:style>
  <w:style w:type="paragraph" w:styleId="TOC2">
    <w:name w:val="toc 2"/>
    <w:basedOn w:val="Normal"/>
    <w:next w:val="Normal"/>
    <w:semiHidden/>
    <w:pPr>
      <w:ind w:left="260"/>
    </w:pPr>
  </w:style>
  <w:style w:type="paragraph" w:styleId="TOC3">
    <w:name w:val="toc 3"/>
    <w:basedOn w:val="Normal"/>
    <w:next w:val="Normal"/>
    <w:semiHidden/>
    <w:pPr>
      <w:ind w:left="520"/>
    </w:pPr>
  </w:style>
  <w:style w:type="paragraph" w:styleId="TOC4">
    <w:name w:val="toc 4"/>
    <w:basedOn w:val="Normal"/>
    <w:next w:val="Normal"/>
    <w:semiHidden/>
    <w:pPr>
      <w:ind w:left="780"/>
    </w:pPr>
  </w:style>
  <w:style w:type="paragraph" w:styleId="TOC5">
    <w:name w:val="toc 5"/>
    <w:basedOn w:val="Normal"/>
    <w:next w:val="Normal"/>
    <w:semiHidden/>
    <w:pPr>
      <w:ind w:left="1040"/>
    </w:pPr>
  </w:style>
  <w:style w:type="paragraph" w:styleId="TOC6">
    <w:name w:val="toc 6"/>
    <w:basedOn w:val="Normal"/>
    <w:next w:val="Normal"/>
    <w:semiHidden/>
    <w:pPr>
      <w:ind w:left="1300"/>
    </w:pPr>
  </w:style>
  <w:style w:type="paragraph" w:styleId="TOC7">
    <w:name w:val="toc 7"/>
    <w:basedOn w:val="Normal"/>
    <w:next w:val="Normal"/>
    <w:semiHidden/>
    <w:pPr>
      <w:ind w:left="1560"/>
    </w:pPr>
  </w:style>
  <w:style w:type="paragraph" w:styleId="TOC8">
    <w:name w:val="toc 8"/>
    <w:basedOn w:val="Normal"/>
    <w:next w:val="Normal"/>
    <w:semiHidden/>
    <w:pPr>
      <w:ind w:left="1820"/>
    </w:pPr>
  </w:style>
  <w:style w:type="paragraph" w:styleId="TOC9">
    <w:name w:val="toc 9"/>
    <w:basedOn w:val="Normal"/>
    <w:next w:val="Normal"/>
    <w:semiHidden/>
    <w:pPr>
      <w:ind w:left="2080"/>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pPr>
      <w:spacing w:after="240"/>
      <w:ind w:left="1440"/>
    </w:pPr>
    <w:rPr>
      <w:b/>
      <w:szCs w:val="26"/>
      <w:u w:val="single"/>
    </w:rPr>
  </w:style>
  <w:style w:type="paragraph" w:customStyle="1" w:styleId="myTOC1">
    <w:name w:val="myTOC 1"/>
    <w:basedOn w:val="Normal"/>
    <w:next w:val="Normal"/>
    <w:pPr>
      <w:tabs>
        <w:tab w:val="right" w:leader="dot" w:pos="9360"/>
      </w:tabs>
      <w:spacing w:before="120"/>
    </w:pPr>
    <w:rPr>
      <w:szCs w:val="26"/>
    </w:rPr>
  </w:style>
  <w:style w:type="paragraph" w:customStyle="1" w:styleId="myTOC2">
    <w:name w:val="myTOC 2"/>
    <w:basedOn w:val="Normal"/>
    <w:next w:val="Normal"/>
    <w:pPr>
      <w:tabs>
        <w:tab w:val="right" w:leader="dot" w:pos="9360"/>
      </w:tabs>
      <w:ind w:left="288"/>
    </w:pPr>
    <w:rPr>
      <w:szCs w:val="26"/>
    </w:rPr>
  </w:style>
  <w:style w:type="paragraph" w:customStyle="1" w:styleId="myTOC3">
    <w:name w:val="myTOC 3"/>
    <w:basedOn w:val="Normal"/>
    <w:next w:val="Normal"/>
    <w:pPr>
      <w:tabs>
        <w:tab w:val="right" w:leader="dot" w:pos="9360"/>
      </w:tabs>
      <w:ind w:left="576"/>
    </w:pPr>
    <w:rPr>
      <w:szCs w:val="26"/>
    </w:rPr>
  </w:style>
  <w:style w:type="paragraph" w:customStyle="1" w:styleId="myTOC4">
    <w:name w:val="myTOC 4"/>
    <w:basedOn w:val="Normal"/>
    <w:next w:val="Normal"/>
    <w:pPr>
      <w:tabs>
        <w:tab w:val="right" w:leader="dot" w:pos="9360"/>
      </w:tabs>
      <w:ind w:left="864"/>
    </w:pPr>
    <w:rPr>
      <w:szCs w:val="26"/>
    </w:rPr>
  </w:style>
  <w:style w:type="paragraph" w:customStyle="1" w:styleId="myTOC5">
    <w:name w:val="myTOC 5"/>
    <w:basedOn w:val="Normal"/>
    <w:next w:val="Normal"/>
    <w:pPr>
      <w:tabs>
        <w:tab w:val="right" w:leader="dot" w:pos="9360"/>
      </w:tabs>
      <w:ind w:left="1152"/>
    </w:pPr>
    <w:rPr>
      <w:szCs w:val="26"/>
    </w:rPr>
  </w:style>
  <w:style w:type="paragraph" w:customStyle="1" w:styleId="BlockIndent">
    <w:name w:val="Block Indent"/>
    <w:basedOn w:val="Normal"/>
    <w:next w:val="FERCparanumber"/>
    <w:pPr>
      <w:spacing w:after="240"/>
      <w:ind w:left="1440" w:right="1440"/>
    </w:pPr>
  </w:style>
  <w:style w:type="paragraph" w:customStyle="1" w:styleId="myTOC6">
    <w:name w:val="myTOC 6"/>
    <w:basedOn w:val="Normal"/>
    <w:next w:val="Normal"/>
    <w:pPr>
      <w:widowControl/>
      <w:tabs>
        <w:tab w:val="right" w:leader="dot" w:pos="9360"/>
      </w:tabs>
      <w:autoSpaceDE/>
      <w:autoSpaceDN/>
      <w:adjustRightInd/>
      <w:ind w:left="1440"/>
    </w:pPr>
    <w:rPr>
      <w:szCs w:val="26"/>
    </w:rPr>
  </w:style>
  <w:style w:type="paragraph" w:customStyle="1" w:styleId="myTOC7">
    <w:name w:val="myTOC 7"/>
    <w:basedOn w:val="Normal"/>
    <w:next w:val="Normal"/>
    <w:pPr>
      <w:widowControl/>
      <w:tabs>
        <w:tab w:val="right" w:leader="dot" w:pos="9360"/>
      </w:tabs>
      <w:autoSpaceDE/>
      <w:autoSpaceDN/>
      <w:adjustRightInd/>
      <w:ind w:left="1728"/>
    </w:pPr>
    <w:rPr>
      <w:szCs w:val="26"/>
    </w:rPr>
  </w:style>
  <w:style w:type="paragraph" w:customStyle="1" w:styleId="myTOC8">
    <w:name w:val="myTOC 8"/>
    <w:basedOn w:val="Normal"/>
    <w:next w:val="Normal"/>
    <w:pPr>
      <w:widowControl/>
      <w:tabs>
        <w:tab w:val="right" w:leader="dot" w:pos="9360"/>
      </w:tabs>
      <w:autoSpaceDE/>
      <w:autoSpaceDN/>
      <w:adjustRightInd/>
      <w:ind w:left="2016"/>
    </w:pPr>
    <w:rPr>
      <w:szCs w:val="26"/>
    </w:rPr>
  </w:style>
  <w:style w:type="paragraph" w:customStyle="1" w:styleId="myTOC9">
    <w:name w:val="myTOC 9"/>
    <w:basedOn w:val="Normal"/>
    <w:next w:val="Normal"/>
    <w:pPr>
      <w:widowControl/>
      <w:tabs>
        <w:tab w:val="right" w:leader="dot" w:pos="9360"/>
      </w:tabs>
      <w:autoSpaceDE/>
      <w:autoSpaceDN/>
      <w:adjustRightInd/>
      <w:ind w:left="2304"/>
    </w:pPr>
    <w:rPr>
      <w:szCs w:val="26"/>
    </w:rPr>
  </w:style>
  <w:style w:type="character" w:customStyle="1" w:styleId="FERCparanumberCharCharCharCharCharCharCharCharChar">
    <w:name w:val="FERC paranumber Char Char Char Char Char Char Char Char Char"/>
    <w:link w:val="FERCparanumberCharCharCharCharCharCharCharChar"/>
    <w:rPr>
      <w:sz w:val="26"/>
      <w:szCs w:val="26"/>
      <w:lang w:val="en-US" w:eastAsia="en-US" w:bidi="ar-SA"/>
    </w:rPr>
  </w:style>
  <w:style w:type="character" w:customStyle="1" w:styleId="FootnoteTextChar1">
    <w:name w:val="Footnote Text Char1"/>
    <w:aliases w:val="Footnote Text Char Char,Footnote Text Char2 Char Char,Footnote Text Char1 Char Char Char1,Footnote Text Char Char Char Char1 Char,Footnote Text Char2 Char Char Char Char Char,Footnote Text Char Char1 Char Char Char Char Char"/>
    <w:link w:val="FootnoteText"/>
    <w:uiPriority w:val="99"/>
    <w:rPr>
      <w:sz w:val="26"/>
      <w:lang w:val="en-US" w:eastAsia="en-US" w:bidi="ar-SA"/>
    </w:rPr>
  </w:style>
  <w:style w:type="paragraph" w:customStyle="1" w:styleId="FERCparanumberChar">
    <w:name w:val="FERC paranumber Char"/>
    <w:basedOn w:val="Normal"/>
    <w:pPr>
      <w:widowControl/>
      <w:tabs>
        <w:tab w:val="num" w:pos="720"/>
      </w:tabs>
      <w:spacing w:after="240"/>
    </w:pPr>
    <w:rPr>
      <w:szCs w:val="26"/>
    </w:rPr>
  </w:style>
  <w:style w:type="paragraph" w:customStyle="1" w:styleId="FERCparanumberCharCharCharChar">
    <w:name w:val="FERC paranumber Char Char Char Char"/>
    <w:basedOn w:val="Normal"/>
    <w:pPr>
      <w:widowControl/>
      <w:tabs>
        <w:tab w:val="num" w:pos="1500"/>
      </w:tabs>
      <w:spacing w:after="240"/>
      <w:ind w:left="780"/>
    </w:pPr>
    <w:rPr>
      <w:szCs w:val="26"/>
    </w:rPr>
  </w:style>
  <w:style w:type="paragraph" w:customStyle="1" w:styleId="FERCparanumberCharCharCharCharCharCharChar">
    <w:name w:val="FERC paranumber Char Char Char Char Char Char Char"/>
    <w:basedOn w:val="Normal"/>
    <w:pPr>
      <w:widowControl/>
      <w:tabs>
        <w:tab w:val="num" w:pos="360"/>
      </w:tabs>
      <w:spacing w:after="240"/>
      <w:ind w:left="360" w:hanging="360"/>
    </w:pPr>
    <w:rPr>
      <w:szCs w:val="26"/>
    </w:rPr>
  </w:style>
  <w:style w:type="character" w:customStyle="1" w:styleId="FootnoteTextChar1Char2">
    <w:name w:val="Footnote Text Char1 Char2"/>
    <w:aliases w:val="Footnote Text Char Char Char1,Footnote Text Char1 Char Char1,Footnote Text Char Char Char Char,Footnote Text MRP Char,Footnote Text Char1 Char Char Char,Footnote Text Char1 Char1 Char,Footnote Text Char3 Char,fn1 Char"/>
    <w:uiPriority w:val="99"/>
    <w:rPr>
      <w:sz w:val="26"/>
      <w:lang w:val="en-US" w:eastAsia="en-US" w:bidi="ar-SA"/>
    </w:rPr>
  </w:style>
  <w:style w:type="character" w:customStyle="1" w:styleId="FERCparanumberChar1">
    <w:name w:val="FERC paranumber Char1"/>
    <w:link w:val="FERCparanumber"/>
    <w:rPr>
      <w:sz w:val="26"/>
      <w:szCs w:val="24"/>
    </w:rPr>
  </w:style>
  <w:style w:type="character" w:customStyle="1" w:styleId="EmailStyle116">
    <w:name w:val="EmailStyle116"/>
    <w:semiHidden/>
    <w:rPr>
      <w:rFonts w:ascii="Arial" w:hAnsi="Arial" w:cs="Arial"/>
      <w:color w:val="auto"/>
      <w:sz w:val="20"/>
      <w:szCs w:val="20"/>
    </w:rPr>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term1">
    <w:name w:val="term1"/>
    <w:rPr>
      <w:b/>
      <w:bCs/>
    </w:rPr>
  </w:style>
  <w:style w:type="character" w:styleId="Hyperlink">
    <w:name w:val="Hyperlink"/>
    <w:rPr>
      <w:strike w:val="0"/>
      <w:dstrike w:val="0"/>
      <w:color w:val="004B91"/>
      <w:u w:val="none"/>
      <w:effect w:val="none"/>
    </w:rPr>
  </w:style>
  <w:style w:type="paragraph" w:customStyle="1" w:styleId="LegalFormat">
    <w:name w:val="Legal Format"/>
    <w:basedOn w:val="ListContinue"/>
    <w:pPr>
      <w:tabs>
        <w:tab w:val="num" w:pos="720"/>
      </w:tabs>
      <w:spacing w:after="240"/>
      <w:ind w:left="0"/>
    </w:pPr>
    <w:rPr>
      <w:szCs w:val="26"/>
    </w:rPr>
  </w:style>
  <w:style w:type="character" w:styleId="FollowedHyperlink">
    <w:name w:val="FollowedHyperlink"/>
    <w:rsid w:val="00656A81"/>
    <w:rPr>
      <w:color w:val="800080"/>
      <w:u w:val="single"/>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Char,fn Char Char"/>
    <w:uiPriority w:val="99"/>
    <w:rsid w:val="00880ED8"/>
    <w:rPr>
      <w:sz w:val="20"/>
      <w:szCs w:val="20"/>
    </w:rPr>
  </w:style>
  <w:style w:type="paragraph" w:styleId="Revision">
    <w:name w:val="Revision"/>
    <w:hidden/>
    <w:semiHidden/>
    <w:rsid w:val="009D59F2"/>
    <w:rPr>
      <w:sz w:val="26"/>
      <w:szCs w:val="24"/>
    </w:rPr>
  </w:style>
  <w:style w:type="paragraph" w:styleId="ListParagraph">
    <w:name w:val="List Paragraph"/>
    <w:basedOn w:val="Normal"/>
    <w:uiPriority w:val="34"/>
    <w:qFormat/>
    <w:rsid w:val="00D70D45"/>
    <w:pPr>
      <w:widowControl/>
      <w:autoSpaceDE/>
      <w:autoSpaceDN/>
      <w:adjustRightInd/>
      <w:spacing w:after="200" w:line="276" w:lineRule="auto"/>
      <w:ind w:left="720"/>
      <w:contextualSpacing/>
    </w:pPr>
    <w:rPr>
      <w:rFonts w:eastAsiaTheme="minorHAnsi"/>
      <w:szCs w:val="26"/>
    </w:rPr>
  </w:style>
  <w:style w:type="character" w:customStyle="1" w:styleId="volume">
    <w:name w:val="volume"/>
    <w:basedOn w:val="DefaultParagraphFont"/>
    <w:rsid w:val="007A1B26"/>
  </w:style>
  <w:style w:type="character" w:customStyle="1" w:styleId="apple-converted-space">
    <w:name w:val="apple-converted-space"/>
    <w:basedOn w:val="DefaultParagraphFont"/>
    <w:rsid w:val="007A1B26"/>
  </w:style>
  <w:style w:type="character" w:customStyle="1" w:styleId="page">
    <w:name w:val="page"/>
    <w:basedOn w:val="DefaultParagraphFont"/>
    <w:rsid w:val="007A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5202">
      <w:bodyDiv w:val="1"/>
      <w:marLeft w:val="0"/>
      <w:marRight w:val="0"/>
      <w:marTop w:val="0"/>
      <w:marBottom w:val="0"/>
      <w:divBdr>
        <w:top w:val="none" w:sz="0" w:space="0" w:color="auto"/>
        <w:left w:val="none" w:sz="0" w:space="0" w:color="auto"/>
        <w:bottom w:val="none" w:sz="0" w:space="0" w:color="auto"/>
        <w:right w:val="none" w:sz="0" w:space="0" w:color="auto"/>
      </w:divBdr>
    </w:div>
    <w:div w:id="607352377">
      <w:bodyDiv w:val="1"/>
      <w:marLeft w:val="0"/>
      <w:marRight w:val="0"/>
      <w:marTop w:val="0"/>
      <w:marBottom w:val="0"/>
      <w:divBdr>
        <w:top w:val="none" w:sz="0" w:space="0" w:color="auto"/>
        <w:left w:val="none" w:sz="0" w:space="0" w:color="auto"/>
        <w:bottom w:val="none" w:sz="0" w:space="0" w:color="auto"/>
        <w:right w:val="none" w:sz="0" w:space="0" w:color="auto"/>
      </w:divBdr>
      <w:divsChild>
        <w:div w:id="596139639">
          <w:marLeft w:val="0"/>
          <w:marRight w:val="0"/>
          <w:marTop w:val="0"/>
          <w:marBottom w:val="0"/>
          <w:divBdr>
            <w:top w:val="none" w:sz="0" w:space="0" w:color="auto"/>
            <w:left w:val="none" w:sz="0" w:space="0" w:color="auto"/>
            <w:bottom w:val="none" w:sz="0" w:space="0" w:color="auto"/>
            <w:right w:val="none" w:sz="0" w:space="0" w:color="auto"/>
          </w:divBdr>
          <w:divsChild>
            <w:div w:id="2112316571">
              <w:marLeft w:val="0"/>
              <w:marRight w:val="0"/>
              <w:marTop w:val="0"/>
              <w:marBottom w:val="0"/>
              <w:divBdr>
                <w:top w:val="none" w:sz="0" w:space="0" w:color="auto"/>
                <w:left w:val="none" w:sz="0" w:space="0" w:color="auto"/>
                <w:bottom w:val="none" w:sz="0" w:space="0" w:color="auto"/>
                <w:right w:val="none" w:sz="0" w:space="0" w:color="auto"/>
              </w:divBdr>
              <w:divsChild>
                <w:div w:id="15610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3523">
      <w:bodyDiv w:val="1"/>
      <w:marLeft w:val="0"/>
      <w:marRight w:val="0"/>
      <w:marTop w:val="0"/>
      <w:marBottom w:val="0"/>
      <w:divBdr>
        <w:top w:val="none" w:sz="0" w:space="0" w:color="auto"/>
        <w:left w:val="none" w:sz="0" w:space="0" w:color="auto"/>
        <w:bottom w:val="none" w:sz="0" w:space="0" w:color="auto"/>
        <w:right w:val="none" w:sz="0" w:space="0" w:color="auto"/>
      </w:divBdr>
    </w:div>
    <w:div w:id="687759296">
      <w:bodyDiv w:val="1"/>
      <w:marLeft w:val="0"/>
      <w:marRight w:val="0"/>
      <w:marTop w:val="0"/>
      <w:marBottom w:val="0"/>
      <w:divBdr>
        <w:top w:val="none" w:sz="0" w:space="0" w:color="auto"/>
        <w:left w:val="none" w:sz="0" w:space="0" w:color="auto"/>
        <w:bottom w:val="none" w:sz="0" w:space="0" w:color="auto"/>
        <w:right w:val="none" w:sz="0" w:space="0" w:color="auto"/>
      </w:divBdr>
    </w:div>
    <w:div w:id="93383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E985-3344-4E92-AC95-D66263D9E318}">
  <ds:schemaRefs>
    <ds:schemaRef ds:uri="http://schemas.microsoft.com/sharepoint/v3/contenttype/forms"/>
  </ds:schemaRefs>
</ds:datastoreItem>
</file>

<file path=customXml/itemProps2.xml><?xml version="1.0" encoding="utf-8"?>
<ds:datastoreItem xmlns:ds="http://schemas.openxmlformats.org/officeDocument/2006/customXml" ds:itemID="{E66DD3EC-4A52-4E5A-9E99-B77C5EA81D45}">
  <ds:schemaRefs>
    <ds:schemaRef ds:uri="http://schemas.microsoft.com/office/2006/metadata/properties"/>
  </ds:schemaRefs>
</ds:datastoreItem>
</file>

<file path=customXml/itemProps3.xml><?xml version="1.0" encoding="utf-8"?>
<ds:datastoreItem xmlns:ds="http://schemas.openxmlformats.org/officeDocument/2006/customXml" ds:itemID="{BB47F728-7A38-454C-A1BA-875E585F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F751F6-5489-40CB-ABE4-C3E8569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25338</CharactersWithSpaces>
  <SharedDoc>false</SharedDoc>
  <HyperlinkBase/>
  <HLinks>
    <vt:vector size="6" baseType="variant">
      <vt:variant>
        <vt:i4>7864342</vt:i4>
      </vt:variant>
      <vt:variant>
        <vt:i4>0</vt:i4>
      </vt:variant>
      <vt:variant>
        <vt:i4>0</vt:i4>
      </vt:variant>
      <vt:variant>
        <vt:i4>5</vt:i4>
      </vt:variant>
      <vt:variant>
        <vt:lpwstr>http://www.nerc.com/comm/RISC/Agenda Highlights and Minutes/ERO Top Priority Reliability Risks 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2017-02-08T14:09:00Z</dcterms:created>
  <dcterms:modified xsi:type="dcterms:W3CDTF">2017-02-08T14:09:00Z</dcterms:modified>
  <cp:category/>
  <dc:identifier/>
  <cp:contentStatus/>
  <cp:version/>
</cp:coreProperties>
</file>