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B0" w:rsidRPr="00D379D9" w:rsidRDefault="00AA1BB0" w:rsidP="00AA1BB0">
      <w:pPr>
        <w:jc w:val="center"/>
        <w:rPr>
          <w:sz w:val="26"/>
          <w:szCs w:val="26"/>
        </w:rPr>
      </w:pPr>
      <w:bookmarkStart w:id="0" w:name="_GoBack"/>
      <w:bookmarkEnd w:id="0"/>
      <w:r w:rsidRPr="00D379D9">
        <w:rPr>
          <w:sz w:val="26"/>
          <w:szCs w:val="26"/>
        </w:rPr>
        <w:t>FEDERAL ENERGY REGULATORY COMMISSION</w:t>
      </w:r>
    </w:p>
    <w:p w:rsidR="00AA1BB0" w:rsidRPr="00D379D9" w:rsidRDefault="00AA1BB0" w:rsidP="00AA1BB0">
      <w:pPr>
        <w:jc w:val="center"/>
        <w:rPr>
          <w:sz w:val="26"/>
          <w:szCs w:val="26"/>
        </w:rPr>
      </w:pPr>
      <w:r w:rsidRPr="00D379D9">
        <w:rPr>
          <w:sz w:val="26"/>
          <w:szCs w:val="26"/>
        </w:rPr>
        <w:t>WASHINGTON, D.C. 20426</w:t>
      </w:r>
    </w:p>
    <w:p w:rsidR="00AA1BB0" w:rsidRPr="00D379D9" w:rsidRDefault="00AA1BB0" w:rsidP="00AA1BB0">
      <w:pPr>
        <w:jc w:val="center"/>
        <w:rPr>
          <w:sz w:val="26"/>
          <w:szCs w:val="26"/>
        </w:rPr>
      </w:pPr>
    </w:p>
    <w:p w:rsidR="00AA1BB0" w:rsidRPr="00D379D9" w:rsidRDefault="00AA1BB0" w:rsidP="00AA1BB0">
      <w:pPr>
        <w:widowControl/>
        <w:outlineLvl w:val="0"/>
        <w:rPr>
          <w:sz w:val="26"/>
          <w:szCs w:val="26"/>
        </w:rPr>
      </w:pPr>
    </w:p>
    <w:p w:rsidR="00AA1BB0" w:rsidRPr="00D379D9" w:rsidRDefault="00AA1BB0" w:rsidP="00AA1BB0">
      <w:pPr>
        <w:widowControl/>
        <w:outlineLvl w:val="0"/>
        <w:rPr>
          <w:sz w:val="26"/>
          <w:szCs w:val="26"/>
        </w:rPr>
      </w:pPr>
      <w:r w:rsidRPr="00D379D9">
        <w:rPr>
          <w:sz w:val="26"/>
          <w:szCs w:val="26"/>
        </w:rPr>
        <w:t>OFFICE OF ELECTRIC RELIABILITY</w:t>
      </w:r>
    </w:p>
    <w:p w:rsidR="00AA1BB0" w:rsidRPr="00D379D9" w:rsidRDefault="00AA1BB0" w:rsidP="00AA1BB0">
      <w:pPr>
        <w:widowControl/>
        <w:ind w:firstLine="2880"/>
        <w:rPr>
          <w:sz w:val="26"/>
          <w:szCs w:val="26"/>
        </w:rPr>
      </w:pPr>
    </w:p>
    <w:p w:rsidR="00AA1BB0" w:rsidRPr="00D379D9" w:rsidRDefault="00AA1BB0" w:rsidP="00FB0B7B">
      <w:pPr>
        <w:widowControl/>
        <w:ind w:left="3060"/>
        <w:rPr>
          <w:sz w:val="26"/>
          <w:szCs w:val="26"/>
        </w:rPr>
      </w:pPr>
      <w:r w:rsidRPr="00D379D9">
        <w:rPr>
          <w:sz w:val="26"/>
          <w:szCs w:val="26"/>
        </w:rPr>
        <w:t>North American Electric Reliability Corporation</w:t>
      </w:r>
    </w:p>
    <w:p w:rsidR="00AA1BB0" w:rsidRPr="00D379D9" w:rsidRDefault="00AA1BB0" w:rsidP="00FB0B7B">
      <w:pPr>
        <w:widowControl/>
        <w:ind w:left="3060"/>
        <w:rPr>
          <w:sz w:val="26"/>
          <w:szCs w:val="26"/>
          <w:lang w:val="de-DE"/>
        </w:rPr>
      </w:pPr>
      <w:r w:rsidRPr="00D379D9">
        <w:rPr>
          <w:sz w:val="26"/>
          <w:szCs w:val="26"/>
          <w:lang w:val="de-DE"/>
        </w:rPr>
        <w:t xml:space="preserve">Docket No. </w:t>
      </w:r>
      <w:r w:rsidR="009F3F15" w:rsidRPr="009F3F15">
        <w:rPr>
          <w:sz w:val="26"/>
          <w:szCs w:val="26"/>
          <w:lang w:val="de-DE"/>
        </w:rPr>
        <w:t>RD16-6-001</w:t>
      </w:r>
      <w:r w:rsidR="009F3F15">
        <w:rPr>
          <w:sz w:val="26"/>
          <w:szCs w:val="26"/>
          <w:lang w:val="de-DE"/>
        </w:rPr>
        <w:t xml:space="preserve"> </w:t>
      </w:r>
    </w:p>
    <w:p w:rsidR="00AA1BB0" w:rsidRPr="00D379D9" w:rsidRDefault="00AA1BB0" w:rsidP="00AA1BB0">
      <w:pPr>
        <w:widowControl/>
        <w:ind w:left="2880" w:firstLine="720"/>
        <w:rPr>
          <w:sz w:val="26"/>
          <w:szCs w:val="26"/>
          <w:lang w:val="de-DE"/>
        </w:rPr>
      </w:pPr>
    </w:p>
    <w:p w:rsidR="00AA1BB0" w:rsidRPr="00D379D9" w:rsidRDefault="00AA1BB0" w:rsidP="00AA1BB0">
      <w:pPr>
        <w:widowControl/>
        <w:ind w:left="2880" w:firstLine="720"/>
        <w:rPr>
          <w:sz w:val="26"/>
          <w:szCs w:val="26"/>
        </w:rPr>
      </w:pPr>
    </w:p>
    <w:p w:rsidR="00AA1BB0" w:rsidRPr="00D379D9" w:rsidRDefault="00396312" w:rsidP="00AA1BB0">
      <w:pPr>
        <w:widowControl/>
        <w:ind w:left="2880" w:firstLine="720"/>
        <w:rPr>
          <w:sz w:val="26"/>
          <w:szCs w:val="26"/>
          <w:lang w:val="de-DE"/>
        </w:rPr>
      </w:pPr>
      <w:r w:rsidRPr="000E4DB8">
        <w:rPr>
          <w:sz w:val="26"/>
          <w:szCs w:val="26"/>
        </w:rPr>
        <w:t>December</w:t>
      </w:r>
      <w:r w:rsidR="000E4DB8" w:rsidRPr="000E4DB8">
        <w:rPr>
          <w:sz w:val="26"/>
          <w:szCs w:val="26"/>
        </w:rPr>
        <w:t xml:space="preserve"> </w:t>
      </w:r>
      <w:r w:rsidR="007035AA">
        <w:rPr>
          <w:sz w:val="26"/>
          <w:szCs w:val="26"/>
        </w:rPr>
        <w:t>14</w:t>
      </w:r>
      <w:r w:rsidR="00AA1BB0" w:rsidRPr="000E4DB8">
        <w:rPr>
          <w:sz w:val="26"/>
          <w:szCs w:val="26"/>
        </w:rPr>
        <w:t>,</w:t>
      </w:r>
      <w:r w:rsidR="0035348B" w:rsidRPr="000E4DB8">
        <w:rPr>
          <w:sz w:val="26"/>
          <w:szCs w:val="26"/>
        </w:rPr>
        <w:t xml:space="preserve"> </w:t>
      </w:r>
      <w:r w:rsidRPr="000E4DB8">
        <w:rPr>
          <w:sz w:val="26"/>
          <w:szCs w:val="26"/>
        </w:rPr>
        <w:t>2016</w:t>
      </w:r>
    </w:p>
    <w:p w:rsidR="00AA1BB0" w:rsidRPr="00D379D9" w:rsidRDefault="00AA1BB0" w:rsidP="00AA1BB0">
      <w:pPr>
        <w:widowControl/>
        <w:ind w:left="4320" w:firstLine="720"/>
        <w:outlineLvl w:val="0"/>
        <w:rPr>
          <w:sz w:val="26"/>
          <w:szCs w:val="26"/>
          <w:lang w:val="de-DE"/>
        </w:rPr>
      </w:pPr>
      <w:r w:rsidRPr="00D379D9">
        <w:rPr>
          <w:sz w:val="26"/>
          <w:szCs w:val="26"/>
          <w:lang w:val="de-DE"/>
        </w:rPr>
        <w:t xml:space="preserve">                     </w:t>
      </w:r>
    </w:p>
    <w:p w:rsidR="00AA1BB0" w:rsidRPr="00D379D9" w:rsidRDefault="00AA1BB0" w:rsidP="00AA1BB0">
      <w:pPr>
        <w:widowControl/>
        <w:rPr>
          <w:sz w:val="26"/>
          <w:szCs w:val="26"/>
        </w:rPr>
      </w:pPr>
    </w:p>
    <w:p w:rsidR="00AA1BB0" w:rsidRPr="00D379D9" w:rsidRDefault="00AA1BB0" w:rsidP="00AA1BB0">
      <w:pPr>
        <w:ind w:left="720" w:hanging="720"/>
        <w:rPr>
          <w:sz w:val="26"/>
          <w:szCs w:val="26"/>
        </w:rPr>
      </w:pPr>
      <w:r w:rsidRPr="00D379D9">
        <w:rPr>
          <w:sz w:val="26"/>
          <w:szCs w:val="26"/>
        </w:rPr>
        <w:t>North American Electric Reliability Corporation</w:t>
      </w:r>
    </w:p>
    <w:p w:rsidR="00AA1BB0" w:rsidRPr="00D379D9" w:rsidRDefault="00AA1BB0" w:rsidP="00AA1BB0">
      <w:pPr>
        <w:ind w:left="720" w:hanging="720"/>
        <w:rPr>
          <w:sz w:val="26"/>
          <w:szCs w:val="26"/>
        </w:rPr>
      </w:pPr>
      <w:r w:rsidRPr="00D379D9">
        <w:rPr>
          <w:sz w:val="26"/>
          <w:szCs w:val="26"/>
        </w:rPr>
        <w:t>1325 G Street N.W., Suite 600</w:t>
      </w:r>
    </w:p>
    <w:p w:rsidR="00AA1BB0" w:rsidRPr="00D379D9" w:rsidRDefault="00AA1BB0" w:rsidP="00AA1BB0">
      <w:pPr>
        <w:widowControl/>
        <w:rPr>
          <w:sz w:val="26"/>
          <w:szCs w:val="26"/>
        </w:rPr>
      </w:pPr>
      <w:r w:rsidRPr="00D379D9">
        <w:rPr>
          <w:sz w:val="26"/>
          <w:szCs w:val="26"/>
        </w:rPr>
        <w:t>Washington, D.C. 20005</w:t>
      </w:r>
    </w:p>
    <w:p w:rsidR="00AA1BB0" w:rsidRPr="00D379D9" w:rsidRDefault="00AA1BB0" w:rsidP="00AA1BB0">
      <w:pPr>
        <w:widowControl/>
        <w:rPr>
          <w:sz w:val="26"/>
          <w:szCs w:val="26"/>
        </w:rPr>
      </w:pPr>
    </w:p>
    <w:p w:rsidR="00AA1BB0" w:rsidRPr="00D379D9" w:rsidRDefault="00AA1BB0" w:rsidP="00AA1BB0">
      <w:pPr>
        <w:pStyle w:val="Default"/>
        <w:rPr>
          <w:sz w:val="26"/>
          <w:szCs w:val="26"/>
        </w:rPr>
      </w:pPr>
      <w:r w:rsidRPr="00D379D9">
        <w:rPr>
          <w:sz w:val="26"/>
          <w:szCs w:val="26"/>
        </w:rPr>
        <w:t>Attention:</w:t>
      </w:r>
      <w:r w:rsidRPr="00D379D9">
        <w:rPr>
          <w:sz w:val="26"/>
          <w:szCs w:val="26"/>
        </w:rPr>
        <w:tab/>
      </w:r>
      <w:r w:rsidR="000E4DB8" w:rsidRPr="000E4DB8">
        <w:rPr>
          <w:sz w:val="26"/>
          <w:szCs w:val="26"/>
        </w:rPr>
        <w:t>Lauren A. Perotti</w:t>
      </w:r>
      <w:r w:rsidR="000E4DB8">
        <w:rPr>
          <w:sz w:val="26"/>
          <w:szCs w:val="26"/>
        </w:rPr>
        <w:t xml:space="preserve"> </w:t>
      </w:r>
    </w:p>
    <w:p w:rsidR="00AA1BB0" w:rsidRPr="00D379D9" w:rsidRDefault="00AA1BB0" w:rsidP="00FB0B7B">
      <w:pPr>
        <w:tabs>
          <w:tab w:val="left" w:pos="1440"/>
        </w:tabs>
        <w:ind w:left="1440"/>
        <w:rPr>
          <w:sz w:val="26"/>
          <w:szCs w:val="26"/>
        </w:rPr>
      </w:pPr>
      <w:r w:rsidRPr="00D379D9">
        <w:rPr>
          <w:sz w:val="26"/>
          <w:szCs w:val="26"/>
        </w:rPr>
        <w:t xml:space="preserve">Counsel for North American Electric Reliability Corporation </w:t>
      </w:r>
    </w:p>
    <w:p w:rsidR="00AA1BB0" w:rsidRPr="00D379D9" w:rsidRDefault="00AA1BB0" w:rsidP="00AA1BB0">
      <w:pPr>
        <w:widowControl/>
        <w:ind w:left="720"/>
        <w:outlineLvl w:val="0"/>
        <w:rPr>
          <w:sz w:val="26"/>
          <w:szCs w:val="26"/>
        </w:rPr>
      </w:pPr>
      <w:r w:rsidRPr="00D379D9">
        <w:rPr>
          <w:sz w:val="26"/>
          <w:szCs w:val="26"/>
        </w:rPr>
        <w:tab/>
      </w:r>
    </w:p>
    <w:p w:rsidR="00AA1BB0" w:rsidRPr="00D379D9" w:rsidRDefault="00AA1BB0" w:rsidP="00AA1BB0">
      <w:pPr>
        <w:ind w:left="1440" w:hanging="1440"/>
        <w:rPr>
          <w:sz w:val="26"/>
          <w:szCs w:val="26"/>
        </w:rPr>
      </w:pPr>
      <w:r w:rsidRPr="00D379D9">
        <w:rPr>
          <w:sz w:val="26"/>
          <w:szCs w:val="26"/>
        </w:rPr>
        <w:t>Reference:</w:t>
      </w:r>
      <w:r w:rsidRPr="00D379D9">
        <w:rPr>
          <w:sz w:val="26"/>
          <w:szCs w:val="26"/>
        </w:rPr>
        <w:tab/>
      </w:r>
      <w:r w:rsidR="00396312" w:rsidRPr="00396312">
        <w:rPr>
          <w:sz w:val="26"/>
          <w:szCs w:val="26"/>
        </w:rPr>
        <w:t>Revisions to the Violation Risk Factors for Reliability Standards IRO-018-1 and TOP-010-1, Docket No. RD16-6-00</w:t>
      </w:r>
      <w:r w:rsidR="003F69B5">
        <w:rPr>
          <w:sz w:val="26"/>
          <w:szCs w:val="26"/>
        </w:rPr>
        <w:t>1</w:t>
      </w:r>
      <w:r w:rsidR="00AE66E9">
        <w:rPr>
          <w:sz w:val="26"/>
          <w:szCs w:val="26"/>
        </w:rPr>
        <w:t>.</w:t>
      </w:r>
      <w:r>
        <w:rPr>
          <w:sz w:val="26"/>
          <w:szCs w:val="26"/>
        </w:rPr>
        <w:t xml:space="preserve"> </w:t>
      </w:r>
      <w:r w:rsidR="00396312">
        <w:rPr>
          <w:sz w:val="26"/>
          <w:szCs w:val="26"/>
        </w:rPr>
        <w:t xml:space="preserve"> </w:t>
      </w:r>
    </w:p>
    <w:p w:rsidR="00AA1BB0" w:rsidRPr="00D379D9" w:rsidRDefault="00AA1BB0" w:rsidP="00AA1BB0">
      <w:pPr>
        <w:widowControl/>
        <w:rPr>
          <w:sz w:val="26"/>
          <w:szCs w:val="26"/>
        </w:rPr>
      </w:pPr>
    </w:p>
    <w:p w:rsidR="00AA1BB0" w:rsidRPr="00D379D9" w:rsidRDefault="00AA1BB0" w:rsidP="00AA1BB0">
      <w:pPr>
        <w:widowControl/>
        <w:rPr>
          <w:sz w:val="26"/>
          <w:szCs w:val="26"/>
        </w:rPr>
      </w:pPr>
      <w:r w:rsidRPr="00D379D9">
        <w:rPr>
          <w:sz w:val="26"/>
          <w:szCs w:val="26"/>
        </w:rPr>
        <w:t xml:space="preserve">Dear </w:t>
      </w:r>
      <w:r w:rsidRPr="003C138E">
        <w:rPr>
          <w:sz w:val="26"/>
          <w:szCs w:val="26"/>
        </w:rPr>
        <w:t>M</w:t>
      </w:r>
      <w:r w:rsidR="00AA6A26" w:rsidRPr="003C138E">
        <w:rPr>
          <w:sz w:val="26"/>
          <w:szCs w:val="26"/>
        </w:rPr>
        <w:t>s</w:t>
      </w:r>
      <w:r w:rsidRPr="003C138E">
        <w:rPr>
          <w:sz w:val="26"/>
          <w:szCs w:val="26"/>
        </w:rPr>
        <w:t>.</w:t>
      </w:r>
      <w:r w:rsidR="00AA6A26" w:rsidRPr="003C138E">
        <w:rPr>
          <w:sz w:val="26"/>
          <w:szCs w:val="26"/>
        </w:rPr>
        <w:t xml:space="preserve"> </w:t>
      </w:r>
      <w:r w:rsidR="00B56B89" w:rsidRPr="000E4DB8">
        <w:rPr>
          <w:sz w:val="26"/>
          <w:szCs w:val="26"/>
        </w:rPr>
        <w:t>Perotti</w:t>
      </w:r>
      <w:r w:rsidRPr="00D379D9">
        <w:rPr>
          <w:sz w:val="26"/>
          <w:szCs w:val="26"/>
        </w:rPr>
        <w:t>:</w:t>
      </w:r>
    </w:p>
    <w:p w:rsidR="00AA1BB0" w:rsidRPr="00D379D9" w:rsidRDefault="00AA1BB0" w:rsidP="00AA1BB0">
      <w:pPr>
        <w:widowControl/>
        <w:rPr>
          <w:sz w:val="26"/>
          <w:szCs w:val="26"/>
        </w:rPr>
      </w:pPr>
    </w:p>
    <w:p w:rsidR="003F69B5" w:rsidRDefault="00AA1BB0" w:rsidP="003C138E">
      <w:pPr>
        <w:pStyle w:val="Default"/>
        <w:rPr>
          <w:sz w:val="26"/>
          <w:szCs w:val="26"/>
        </w:rPr>
      </w:pPr>
      <w:r w:rsidRPr="00D379D9">
        <w:rPr>
          <w:sz w:val="26"/>
          <w:szCs w:val="26"/>
        </w:rPr>
        <w:tab/>
      </w:r>
      <w:r w:rsidR="00396312">
        <w:rPr>
          <w:sz w:val="26"/>
          <w:szCs w:val="26"/>
        </w:rPr>
        <w:t>O</w:t>
      </w:r>
      <w:r w:rsidR="003F69B5">
        <w:rPr>
          <w:sz w:val="26"/>
          <w:szCs w:val="26"/>
        </w:rPr>
        <w:t xml:space="preserve">n </w:t>
      </w:r>
      <w:r w:rsidR="003F69B5" w:rsidRPr="003F69B5">
        <w:rPr>
          <w:sz w:val="26"/>
          <w:szCs w:val="26"/>
        </w:rPr>
        <w:t>September 22</w:t>
      </w:r>
      <w:r w:rsidR="008A7433">
        <w:rPr>
          <w:sz w:val="26"/>
          <w:szCs w:val="26"/>
        </w:rPr>
        <w:t>, 2016</w:t>
      </w:r>
      <w:r w:rsidR="00B260F9">
        <w:rPr>
          <w:sz w:val="26"/>
          <w:szCs w:val="26"/>
        </w:rPr>
        <w:t>,</w:t>
      </w:r>
      <w:r w:rsidR="008A7433">
        <w:rPr>
          <w:sz w:val="26"/>
          <w:szCs w:val="26"/>
        </w:rPr>
        <w:t xml:space="preserve"> in Docket No. RD16-6-000</w:t>
      </w:r>
      <w:r w:rsidR="0093024B">
        <w:rPr>
          <w:sz w:val="26"/>
          <w:szCs w:val="26"/>
        </w:rPr>
        <w:t>,</w:t>
      </w:r>
      <w:r w:rsidR="008A7433">
        <w:rPr>
          <w:rStyle w:val="FootnoteReference"/>
        </w:rPr>
        <w:footnoteReference w:id="1"/>
      </w:r>
      <w:r w:rsidR="003F69B5" w:rsidRPr="003F69B5">
        <w:rPr>
          <w:sz w:val="26"/>
          <w:szCs w:val="26"/>
        </w:rPr>
        <w:t xml:space="preserve"> the Commission approved </w:t>
      </w:r>
      <w:r w:rsidR="003F69B5" w:rsidRPr="005D06C3">
        <w:rPr>
          <w:sz w:val="26"/>
          <w:szCs w:val="26"/>
        </w:rPr>
        <w:t xml:space="preserve">Reliability Standards </w:t>
      </w:r>
      <w:r w:rsidR="006E2A9E" w:rsidRPr="005D06C3">
        <w:rPr>
          <w:sz w:val="26"/>
          <w:szCs w:val="26"/>
        </w:rPr>
        <w:t>IRO-018-1</w:t>
      </w:r>
      <w:r w:rsidR="0093024B">
        <w:rPr>
          <w:sz w:val="26"/>
          <w:szCs w:val="26"/>
        </w:rPr>
        <w:t xml:space="preserve"> </w:t>
      </w:r>
      <w:r w:rsidR="005D06C3" w:rsidRPr="00AF2FA4">
        <w:rPr>
          <w:rFonts w:eastAsiaTheme="minorHAnsi"/>
          <w:sz w:val="26"/>
          <w:szCs w:val="26"/>
        </w:rPr>
        <w:t>(</w:t>
      </w:r>
      <w:r w:rsidR="005D06C3" w:rsidRPr="00260D79">
        <w:rPr>
          <w:rFonts w:eastAsiaTheme="minorHAnsi"/>
          <w:iCs/>
          <w:sz w:val="26"/>
          <w:szCs w:val="26"/>
        </w:rPr>
        <w:t>Reliability Coordinator Real-time Reliability Monitoring and Analysis Capabilities</w:t>
      </w:r>
      <w:r w:rsidR="005D06C3" w:rsidRPr="00AF2FA4">
        <w:rPr>
          <w:rFonts w:eastAsiaTheme="minorHAnsi"/>
          <w:sz w:val="26"/>
          <w:szCs w:val="26"/>
        </w:rPr>
        <w:t>)</w:t>
      </w:r>
      <w:r w:rsidR="005D06C3" w:rsidRPr="003C138E">
        <w:rPr>
          <w:rFonts w:eastAsiaTheme="minorHAnsi"/>
          <w:sz w:val="26"/>
          <w:szCs w:val="26"/>
        </w:rPr>
        <w:t xml:space="preserve"> </w:t>
      </w:r>
      <w:r w:rsidR="006E2A9E" w:rsidRPr="005D06C3">
        <w:rPr>
          <w:sz w:val="26"/>
          <w:szCs w:val="26"/>
        </w:rPr>
        <w:t>and TOP-010-1</w:t>
      </w:r>
      <w:r w:rsidR="0093024B">
        <w:rPr>
          <w:sz w:val="26"/>
          <w:szCs w:val="26"/>
        </w:rPr>
        <w:t xml:space="preserve"> </w:t>
      </w:r>
      <w:r w:rsidR="005D06C3" w:rsidRPr="00AF2FA4">
        <w:rPr>
          <w:rFonts w:eastAsiaTheme="minorHAnsi"/>
          <w:sz w:val="26"/>
          <w:szCs w:val="26"/>
        </w:rPr>
        <w:t>(</w:t>
      </w:r>
      <w:r w:rsidR="005D06C3" w:rsidRPr="00260D79">
        <w:rPr>
          <w:rFonts w:eastAsiaTheme="minorHAnsi"/>
          <w:iCs/>
          <w:sz w:val="26"/>
          <w:szCs w:val="26"/>
        </w:rPr>
        <w:t>Real-time Reliability Monitoring and Analysis Capabilities</w:t>
      </w:r>
      <w:r w:rsidR="005D06C3" w:rsidRPr="00AF2FA4">
        <w:rPr>
          <w:rFonts w:eastAsiaTheme="minorHAnsi"/>
          <w:sz w:val="26"/>
          <w:szCs w:val="26"/>
        </w:rPr>
        <w:t>)</w:t>
      </w:r>
      <w:r w:rsidR="005D06C3" w:rsidRPr="003C138E">
        <w:rPr>
          <w:rFonts w:eastAsiaTheme="minorHAnsi"/>
          <w:sz w:val="26"/>
          <w:szCs w:val="26"/>
        </w:rPr>
        <w:t xml:space="preserve"> </w:t>
      </w:r>
      <w:r w:rsidR="003F69B5" w:rsidRPr="005D06C3">
        <w:rPr>
          <w:sz w:val="26"/>
          <w:szCs w:val="26"/>
        </w:rPr>
        <w:t>and associated implementation plan, Violation Severity Levels, and several of the proposed</w:t>
      </w:r>
      <w:r w:rsidR="003F69B5" w:rsidRPr="003F69B5">
        <w:rPr>
          <w:sz w:val="26"/>
          <w:szCs w:val="26"/>
        </w:rPr>
        <w:t xml:space="preserve"> V</w:t>
      </w:r>
      <w:r w:rsidR="006E2A9E">
        <w:rPr>
          <w:sz w:val="26"/>
          <w:szCs w:val="26"/>
        </w:rPr>
        <w:t xml:space="preserve">iolation </w:t>
      </w:r>
      <w:r w:rsidR="003F69B5" w:rsidRPr="003F69B5">
        <w:rPr>
          <w:sz w:val="26"/>
          <w:szCs w:val="26"/>
        </w:rPr>
        <w:t>R</w:t>
      </w:r>
      <w:r w:rsidR="006E2A9E">
        <w:rPr>
          <w:sz w:val="26"/>
          <w:szCs w:val="26"/>
        </w:rPr>
        <w:t xml:space="preserve">isk </w:t>
      </w:r>
      <w:r w:rsidR="003F69B5" w:rsidRPr="003F69B5">
        <w:rPr>
          <w:sz w:val="26"/>
          <w:szCs w:val="26"/>
        </w:rPr>
        <w:t>F</w:t>
      </w:r>
      <w:r w:rsidR="006E2A9E">
        <w:rPr>
          <w:sz w:val="26"/>
          <w:szCs w:val="26"/>
        </w:rPr>
        <w:t>actor</w:t>
      </w:r>
      <w:r w:rsidR="003F69B5" w:rsidRPr="003F69B5">
        <w:rPr>
          <w:sz w:val="26"/>
          <w:szCs w:val="26"/>
        </w:rPr>
        <w:t>s</w:t>
      </w:r>
      <w:r w:rsidR="006E2A9E">
        <w:rPr>
          <w:sz w:val="26"/>
          <w:szCs w:val="26"/>
        </w:rPr>
        <w:t xml:space="preserve"> (VRF)</w:t>
      </w:r>
      <w:r w:rsidR="003F69B5" w:rsidRPr="003F69B5">
        <w:rPr>
          <w:sz w:val="26"/>
          <w:szCs w:val="26"/>
        </w:rPr>
        <w:t xml:space="preserve">. </w:t>
      </w:r>
      <w:r w:rsidR="001C4B69">
        <w:rPr>
          <w:sz w:val="26"/>
          <w:szCs w:val="26"/>
        </w:rPr>
        <w:t xml:space="preserve"> </w:t>
      </w:r>
      <w:r w:rsidR="003F69B5" w:rsidRPr="003F69B5">
        <w:rPr>
          <w:sz w:val="26"/>
          <w:szCs w:val="26"/>
        </w:rPr>
        <w:t xml:space="preserve">The Commission </w:t>
      </w:r>
      <w:r w:rsidR="00B56B89">
        <w:rPr>
          <w:sz w:val="26"/>
          <w:szCs w:val="26"/>
        </w:rPr>
        <w:t xml:space="preserve">also </w:t>
      </w:r>
      <w:r w:rsidR="003F69B5" w:rsidRPr="003F69B5">
        <w:rPr>
          <w:sz w:val="26"/>
          <w:szCs w:val="26"/>
        </w:rPr>
        <w:t xml:space="preserve">directed NERC to submit a compliance filing within 60 days of issuance of </w:t>
      </w:r>
      <w:r w:rsidR="006E2A9E">
        <w:rPr>
          <w:sz w:val="26"/>
          <w:szCs w:val="26"/>
        </w:rPr>
        <w:t>th</w:t>
      </w:r>
      <w:r w:rsidR="00B56B89">
        <w:rPr>
          <w:sz w:val="26"/>
          <w:szCs w:val="26"/>
        </w:rPr>
        <w:t xml:space="preserve">e </w:t>
      </w:r>
      <w:r w:rsidR="0093024B">
        <w:rPr>
          <w:sz w:val="26"/>
          <w:szCs w:val="26"/>
        </w:rPr>
        <w:t xml:space="preserve">September 22 </w:t>
      </w:r>
      <w:r w:rsidR="003F69B5" w:rsidRPr="003F69B5">
        <w:rPr>
          <w:sz w:val="26"/>
          <w:szCs w:val="26"/>
        </w:rPr>
        <w:t>Order revis</w:t>
      </w:r>
      <w:r w:rsidR="0093024B">
        <w:rPr>
          <w:sz w:val="26"/>
          <w:szCs w:val="26"/>
        </w:rPr>
        <w:t>ing</w:t>
      </w:r>
      <w:r w:rsidR="003F69B5" w:rsidRPr="003F69B5">
        <w:rPr>
          <w:sz w:val="26"/>
          <w:szCs w:val="26"/>
        </w:rPr>
        <w:t xml:space="preserve"> </w:t>
      </w:r>
      <w:r w:rsidR="00B56B89">
        <w:rPr>
          <w:sz w:val="26"/>
          <w:szCs w:val="26"/>
        </w:rPr>
        <w:t>the</w:t>
      </w:r>
      <w:r w:rsidR="003F69B5" w:rsidRPr="003F69B5">
        <w:rPr>
          <w:sz w:val="26"/>
          <w:szCs w:val="26"/>
        </w:rPr>
        <w:t xml:space="preserve"> VRF designations for Requirement R1 </w:t>
      </w:r>
      <w:r w:rsidR="006E2A9E">
        <w:rPr>
          <w:sz w:val="26"/>
          <w:szCs w:val="26"/>
        </w:rPr>
        <w:t>in</w:t>
      </w:r>
      <w:r w:rsidR="003F69B5" w:rsidRPr="003F69B5">
        <w:rPr>
          <w:sz w:val="26"/>
          <w:szCs w:val="26"/>
        </w:rPr>
        <w:t xml:space="preserve"> Reliability Standard IRO-018-1 and Requirements R1 and R2 </w:t>
      </w:r>
      <w:r w:rsidR="006E2A9E">
        <w:rPr>
          <w:sz w:val="26"/>
          <w:szCs w:val="26"/>
        </w:rPr>
        <w:t>in</w:t>
      </w:r>
      <w:r w:rsidR="003F69B5" w:rsidRPr="003F69B5">
        <w:rPr>
          <w:sz w:val="26"/>
          <w:szCs w:val="26"/>
        </w:rPr>
        <w:t xml:space="preserve"> Reliability Standard TOP-010-1 from “medium” to “high”.</w:t>
      </w:r>
    </w:p>
    <w:p w:rsidR="003F69B5" w:rsidRDefault="003F69B5" w:rsidP="00396312">
      <w:pPr>
        <w:widowControl/>
        <w:rPr>
          <w:sz w:val="26"/>
          <w:szCs w:val="26"/>
        </w:rPr>
      </w:pPr>
    </w:p>
    <w:p w:rsidR="005731DA" w:rsidRDefault="00DC705B" w:rsidP="00AA1BB0">
      <w:pPr>
        <w:widowControl/>
        <w:rPr>
          <w:sz w:val="26"/>
          <w:szCs w:val="26"/>
        </w:rPr>
      </w:pPr>
      <w:r>
        <w:rPr>
          <w:sz w:val="26"/>
          <w:szCs w:val="26"/>
        </w:rPr>
        <w:tab/>
        <w:t xml:space="preserve">On November 2, 2016, </w:t>
      </w:r>
      <w:r w:rsidR="00D026ED" w:rsidRPr="00D026ED">
        <w:rPr>
          <w:sz w:val="26"/>
          <w:szCs w:val="26"/>
        </w:rPr>
        <w:t xml:space="preserve">NERC </w:t>
      </w:r>
      <w:r>
        <w:rPr>
          <w:sz w:val="26"/>
          <w:szCs w:val="26"/>
        </w:rPr>
        <w:t xml:space="preserve">filed for Commission approval </w:t>
      </w:r>
      <w:r w:rsidR="00D026ED" w:rsidRPr="00D026ED">
        <w:rPr>
          <w:sz w:val="26"/>
          <w:szCs w:val="26"/>
        </w:rPr>
        <w:t>the revised VRF designations</w:t>
      </w:r>
      <w:r>
        <w:rPr>
          <w:sz w:val="26"/>
          <w:szCs w:val="26"/>
        </w:rPr>
        <w:t xml:space="preserve">, </w:t>
      </w:r>
      <w:r w:rsidR="00D026ED" w:rsidRPr="00D026ED">
        <w:rPr>
          <w:sz w:val="26"/>
          <w:szCs w:val="26"/>
        </w:rPr>
        <w:t xml:space="preserve">consistent with the Commission’s directive in the September 22 </w:t>
      </w:r>
      <w:r w:rsidR="000D3F1E" w:rsidRPr="00D026ED">
        <w:rPr>
          <w:sz w:val="26"/>
          <w:szCs w:val="26"/>
        </w:rPr>
        <w:t>Order.</w:t>
      </w:r>
      <w:r w:rsidR="000D3F1E">
        <w:rPr>
          <w:sz w:val="26"/>
          <w:szCs w:val="26"/>
        </w:rPr>
        <w:t xml:space="preserve"> </w:t>
      </w:r>
      <w:r w:rsidR="000D3F1E" w:rsidRPr="00D026ED">
        <w:rPr>
          <w:sz w:val="26"/>
          <w:szCs w:val="26"/>
        </w:rPr>
        <w:t xml:space="preserve"> </w:t>
      </w:r>
    </w:p>
    <w:p w:rsidR="00DC705B" w:rsidRDefault="00DC705B" w:rsidP="00AA1BB0">
      <w:pPr>
        <w:widowControl/>
        <w:rPr>
          <w:sz w:val="26"/>
          <w:szCs w:val="26"/>
        </w:rPr>
      </w:pPr>
    </w:p>
    <w:p w:rsidR="0067754B" w:rsidRPr="00827F6F" w:rsidRDefault="0067754B" w:rsidP="0067754B">
      <w:pPr>
        <w:spacing w:after="240"/>
        <w:ind w:firstLine="720"/>
        <w:rPr>
          <w:sz w:val="26"/>
          <w:szCs w:val="26"/>
        </w:rPr>
      </w:pPr>
      <w:r w:rsidRPr="00827F6F">
        <w:rPr>
          <w:sz w:val="26"/>
          <w:szCs w:val="26"/>
        </w:rPr>
        <w:t>NERC’s filing was noticed on November 7, 2016, with interventions, comments and protests due on or before December 7</w:t>
      </w:r>
      <w:r w:rsidRPr="00B260F9">
        <w:rPr>
          <w:sz w:val="26"/>
          <w:szCs w:val="26"/>
        </w:rPr>
        <w:t>, 2016</w:t>
      </w:r>
      <w:r w:rsidR="00B846A4" w:rsidRPr="00B260F9">
        <w:rPr>
          <w:sz w:val="26"/>
          <w:szCs w:val="26"/>
        </w:rPr>
        <w:t>.</w:t>
      </w:r>
      <w:r w:rsidR="00827F6F" w:rsidRPr="00B260F9">
        <w:rPr>
          <w:sz w:val="26"/>
          <w:szCs w:val="26"/>
        </w:rPr>
        <w:t xml:space="preserve"> </w:t>
      </w:r>
      <w:r w:rsidRPr="00B260F9">
        <w:rPr>
          <w:sz w:val="26"/>
          <w:szCs w:val="26"/>
        </w:rPr>
        <w:t xml:space="preserve"> </w:t>
      </w:r>
      <w:r w:rsidR="00B56B89" w:rsidRPr="00B260F9">
        <w:rPr>
          <w:sz w:val="26"/>
          <w:szCs w:val="26"/>
        </w:rPr>
        <w:t>No interventions, comments or protests were received.</w:t>
      </w:r>
    </w:p>
    <w:p w:rsidR="00B56B89" w:rsidRPr="00260D79" w:rsidRDefault="00B56B89" w:rsidP="0067754B">
      <w:pPr>
        <w:spacing w:after="240"/>
        <w:ind w:firstLine="720"/>
        <w:rPr>
          <w:sz w:val="26"/>
          <w:szCs w:val="26"/>
        </w:rPr>
      </w:pPr>
      <w:r w:rsidRPr="00260D79">
        <w:rPr>
          <w:sz w:val="26"/>
          <w:szCs w:val="26"/>
        </w:rPr>
        <w:lastRenderedPageBreak/>
        <w:t xml:space="preserve">NERC’s uncontested petition is hereby approved pursuant to the relevant authority delegated to the Director, Office of Electric Reliability under 18 C.F.R. § 375.303 (2016), </w:t>
      </w:r>
      <w:r w:rsidR="00AF2FA4" w:rsidRPr="00260D79">
        <w:rPr>
          <w:sz w:val="26"/>
          <w:szCs w:val="26"/>
        </w:rPr>
        <w:t xml:space="preserve">effective as of the date of this order. </w:t>
      </w:r>
    </w:p>
    <w:p w:rsidR="00882605" w:rsidRPr="00D379D9" w:rsidRDefault="00882605" w:rsidP="00882605">
      <w:pPr>
        <w:spacing w:after="240"/>
        <w:ind w:firstLine="720"/>
        <w:rPr>
          <w:sz w:val="26"/>
          <w:szCs w:val="26"/>
        </w:rPr>
      </w:pPr>
      <w:r w:rsidRPr="00D379D9">
        <w:rPr>
          <w:sz w:val="26"/>
          <w:szCs w:val="26"/>
        </w:rPr>
        <w:t>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rsidR="00882605" w:rsidRPr="00D379D9" w:rsidRDefault="00882605" w:rsidP="00882605">
      <w:pPr>
        <w:spacing w:after="240"/>
        <w:rPr>
          <w:sz w:val="26"/>
          <w:szCs w:val="26"/>
        </w:rPr>
      </w:pPr>
      <w:r w:rsidRPr="00D379D9">
        <w:rPr>
          <w:sz w:val="26"/>
          <w:szCs w:val="26"/>
        </w:rPr>
        <w:tab/>
        <w:t>This order constitutes final agency action.  Requests for rehearing by the Commission may be filed within 30 days of the date of issuance of this order, pursuant to</w:t>
      </w:r>
      <w:r w:rsidR="00AF2FA4">
        <w:rPr>
          <w:sz w:val="26"/>
          <w:szCs w:val="26"/>
        </w:rPr>
        <w:t xml:space="preserve"> </w:t>
      </w:r>
      <w:r w:rsidR="00AF2FA4">
        <w:t>18 C.F.R. § 385.713 (2016)</w:t>
      </w:r>
      <w:r w:rsidRPr="00D379D9">
        <w:rPr>
          <w:sz w:val="26"/>
          <w:szCs w:val="26"/>
        </w:rPr>
        <w:t>.</w:t>
      </w:r>
      <w:r w:rsidR="00A00829">
        <w:rPr>
          <w:sz w:val="26"/>
          <w:szCs w:val="26"/>
        </w:rPr>
        <w:t xml:space="preserve"> </w:t>
      </w:r>
    </w:p>
    <w:p w:rsidR="00882605" w:rsidRPr="00D379D9" w:rsidRDefault="00882605" w:rsidP="00882605">
      <w:pPr>
        <w:spacing w:after="240"/>
        <w:rPr>
          <w:sz w:val="26"/>
          <w:szCs w:val="26"/>
        </w:rPr>
      </w:pPr>
    </w:p>
    <w:p w:rsidR="00AA1BB0" w:rsidRPr="00D379D9" w:rsidRDefault="00AA1BB0" w:rsidP="00AA1BB0">
      <w:pPr>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Sincerely,</w:t>
      </w:r>
    </w:p>
    <w:p w:rsidR="00AA1BB0" w:rsidRPr="00D379D9" w:rsidRDefault="00AA1BB0" w:rsidP="00AA1BB0">
      <w:pPr>
        <w:rPr>
          <w:sz w:val="26"/>
          <w:szCs w:val="26"/>
        </w:rPr>
      </w:pPr>
    </w:p>
    <w:p w:rsidR="00AA1BB0" w:rsidRPr="00D379D9" w:rsidRDefault="00AA1BB0" w:rsidP="00AA1BB0">
      <w:pPr>
        <w:rPr>
          <w:sz w:val="26"/>
          <w:szCs w:val="26"/>
        </w:rPr>
      </w:pPr>
    </w:p>
    <w:p w:rsidR="00AA1BB0" w:rsidRPr="00D379D9" w:rsidRDefault="00AA1BB0" w:rsidP="00AA1BB0">
      <w:pPr>
        <w:outlineLvl w:val="0"/>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Michael Bardee, Director</w:t>
      </w:r>
    </w:p>
    <w:p w:rsidR="00AA1BB0" w:rsidRPr="00D379D9" w:rsidRDefault="00AA1BB0" w:rsidP="00AA1BB0">
      <w:pPr>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Office of Electric Reliability</w:t>
      </w:r>
    </w:p>
    <w:p w:rsidR="00C0730B" w:rsidRPr="00447931" w:rsidRDefault="009975F9">
      <w:pPr>
        <w:rPr>
          <w:sz w:val="26"/>
          <w:szCs w:val="26"/>
        </w:rPr>
      </w:pPr>
    </w:p>
    <w:sectPr w:rsidR="00C0730B" w:rsidRPr="00447931" w:rsidSect="0030709C">
      <w:headerReference w:type="default" r:id="rId11"/>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F9" w:rsidRDefault="009975F9" w:rsidP="00AA1BB0">
      <w:r>
        <w:separator/>
      </w:r>
    </w:p>
  </w:endnote>
  <w:endnote w:type="continuationSeparator" w:id="0">
    <w:p w:rsidR="009975F9" w:rsidRDefault="009975F9" w:rsidP="00AA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F9" w:rsidRDefault="009975F9" w:rsidP="00AA1BB0">
      <w:r>
        <w:separator/>
      </w:r>
    </w:p>
  </w:footnote>
  <w:footnote w:type="continuationSeparator" w:id="0">
    <w:p w:rsidR="009975F9" w:rsidRDefault="009975F9" w:rsidP="00AA1BB0">
      <w:r>
        <w:continuationSeparator/>
      </w:r>
    </w:p>
  </w:footnote>
  <w:footnote w:id="1">
    <w:p w:rsidR="008A7433" w:rsidRDefault="008A7433" w:rsidP="007A7BC5">
      <w:pPr>
        <w:pStyle w:val="Default"/>
      </w:pPr>
      <w:r>
        <w:rPr>
          <w:rStyle w:val="FootnoteReference"/>
        </w:rPr>
        <w:footnoteRef/>
      </w:r>
      <w:r>
        <w:t xml:space="preserve"> </w:t>
      </w:r>
      <w:r w:rsidR="0093024B">
        <w:rPr>
          <w:rFonts w:eastAsiaTheme="minorHAnsi"/>
          <w:i/>
          <w:iCs/>
        </w:rPr>
        <w:t>North American Electric Reliability Corp.</w:t>
      </w:r>
      <w:r w:rsidRPr="008A7433">
        <w:rPr>
          <w:rFonts w:eastAsiaTheme="minorHAnsi"/>
          <w:i/>
          <w:iCs/>
        </w:rPr>
        <w:t xml:space="preserve">, </w:t>
      </w:r>
      <w:r w:rsidRPr="008A7433">
        <w:rPr>
          <w:rFonts w:eastAsiaTheme="minorHAnsi"/>
        </w:rPr>
        <w:t xml:space="preserve">156 FERC ¶ 61,207 (2016) (“September 22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8A" w:rsidRPr="003D34AC" w:rsidRDefault="00684584" w:rsidP="00290663">
    <w:pPr>
      <w:pStyle w:val="Header"/>
      <w:tabs>
        <w:tab w:val="clear" w:pos="8640"/>
        <w:tab w:val="right" w:pos="9360"/>
      </w:tabs>
      <w:rPr>
        <w:sz w:val="26"/>
        <w:szCs w:val="26"/>
        <w:lang w:val="de-DE"/>
      </w:rPr>
    </w:pPr>
    <w:r w:rsidRPr="003D34AC">
      <w:rPr>
        <w:sz w:val="26"/>
        <w:szCs w:val="26"/>
        <w:lang w:val="de-DE"/>
      </w:rPr>
      <w:t xml:space="preserve">Docket No. </w:t>
    </w:r>
    <w:r w:rsidR="0054600B" w:rsidRPr="0054600B">
      <w:rPr>
        <w:sz w:val="26"/>
        <w:szCs w:val="26"/>
        <w:lang w:val="de-DE"/>
      </w:rPr>
      <w:t>RD16-6-001</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E64ED9">
      <w:rPr>
        <w:noProof/>
        <w:sz w:val="26"/>
        <w:szCs w:val="26"/>
        <w:lang w:val="de-DE"/>
      </w:rPr>
      <w:t>2</w:t>
    </w:r>
    <w:r>
      <w:rPr>
        <w:sz w:val="26"/>
        <w:szCs w:val="26"/>
      </w:rPr>
      <w:fldChar w:fldCharType="end"/>
    </w:r>
  </w:p>
  <w:p w:rsidR="004D138A" w:rsidRPr="0071572B" w:rsidRDefault="009975F9" w:rsidP="00290663">
    <w:pPr>
      <w:pStyle w:val="Header"/>
      <w:tabs>
        <w:tab w:val="clear" w:pos="8640"/>
        <w:tab w:val="right" w:pos="9360"/>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F7E6D"/>
    <w:multiLevelType w:val="hybridMultilevel"/>
    <w:tmpl w:val="B96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E4DD3"/>
    <w:multiLevelType w:val="hybridMultilevel"/>
    <w:tmpl w:val="4BE06504"/>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B0"/>
    <w:rsid w:val="00015C77"/>
    <w:rsid w:val="00027995"/>
    <w:rsid w:val="00034E52"/>
    <w:rsid w:val="00052AB5"/>
    <w:rsid w:val="00053FDB"/>
    <w:rsid w:val="00060983"/>
    <w:rsid w:val="000D37C0"/>
    <w:rsid w:val="000D3F1E"/>
    <w:rsid w:val="000E4DB8"/>
    <w:rsid w:val="000E55EA"/>
    <w:rsid w:val="001A0006"/>
    <w:rsid w:val="001B0C8F"/>
    <w:rsid w:val="001C4B69"/>
    <w:rsid w:val="001E0E12"/>
    <w:rsid w:val="00212F2E"/>
    <w:rsid w:val="00260D79"/>
    <w:rsid w:val="002C59D7"/>
    <w:rsid w:val="002E0E90"/>
    <w:rsid w:val="002E5944"/>
    <w:rsid w:val="002E5D59"/>
    <w:rsid w:val="0030709C"/>
    <w:rsid w:val="00340464"/>
    <w:rsid w:val="0035348B"/>
    <w:rsid w:val="00363F4D"/>
    <w:rsid w:val="0037419F"/>
    <w:rsid w:val="00396312"/>
    <w:rsid w:val="003C138E"/>
    <w:rsid w:val="003F69B5"/>
    <w:rsid w:val="00447931"/>
    <w:rsid w:val="0048751F"/>
    <w:rsid w:val="005219C6"/>
    <w:rsid w:val="0053141D"/>
    <w:rsid w:val="0054600B"/>
    <w:rsid w:val="00547321"/>
    <w:rsid w:val="005709C8"/>
    <w:rsid w:val="00572174"/>
    <w:rsid w:val="005731DA"/>
    <w:rsid w:val="00577562"/>
    <w:rsid w:val="005C5300"/>
    <w:rsid w:val="005C746F"/>
    <w:rsid w:val="005C756D"/>
    <w:rsid w:val="005D06C3"/>
    <w:rsid w:val="0067754B"/>
    <w:rsid w:val="00684584"/>
    <w:rsid w:val="006B3CCB"/>
    <w:rsid w:val="006E2A9E"/>
    <w:rsid w:val="007035AA"/>
    <w:rsid w:val="00794F19"/>
    <w:rsid w:val="007A7BC5"/>
    <w:rsid w:val="007C6150"/>
    <w:rsid w:val="007E518A"/>
    <w:rsid w:val="00827F6F"/>
    <w:rsid w:val="008310EA"/>
    <w:rsid w:val="00882605"/>
    <w:rsid w:val="008A7433"/>
    <w:rsid w:val="00927514"/>
    <w:rsid w:val="009277A1"/>
    <w:rsid w:val="0093024B"/>
    <w:rsid w:val="00970ED5"/>
    <w:rsid w:val="00996E49"/>
    <w:rsid w:val="009975F9"/>
    <w:rsid w:val="009A4997"/>
    <w:rsid w:val="009A545B"/>
    <w:rsid w:val="009F3F15"/>
    <w:rsid w:val="00A00829"/>
    <w:rsid w:val="00AA1BB0"/>
    <w:rsid w:val="00AA6A26"/>
    <w:rsid w:val="00AA6B86"/>
    <w:rsid w:val="00AB54F4"/>
    <w:rsid w:val="00AE66E9"/>
    <w:rsid w:val="00AF2FA4"/>
    <w:rsid w:val="00B260F9"/>
    <w:rsid w:val="00B56B89"/>
    <w:rsid w:val="00B846A4"/>
    <w:rsid w:val="00B84B16"/>
    <w:rsid w:val="00B873CB"/>
    <w:rsid w:val="00BB1FE6"/>
    <w:rsid w:val="00C14713"/>
    <w:rsid w:val="00C44D57"/>
    <w:rsid w:val="00C651BB"/>
    <w:rsid w:val="00D026ED"/>
    <w:rsid w:val="00D16720"/>
    <w:rsid w:val="00DC705B"/>
    <w:rsid w:val="00E02C9F"/>
    <w:rsid w:val="00E536FD"/>
    <w:rsid w:val="00E64ED9"/>
    <w:rsid w:val="00ED69C0"/>
    <w:rsid w:val="00EF5E65"/>
    <w:rsid w:val="00F20F4B"/>
    <w:rsid w:val="00F229E1"/>
    <w:rsid w:val="00F842DD"/>
    <w:rsid w:val="00F8568B"/>
    <w:rsid w:val="00FB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84A10-452E-411E-92E2-10914C38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1BB0"/>
    <w:rPr>
      <w:sz w:val="20"/>
      <w:szCs w:val="20"/>
    </w:rPr>
  </w:style>
  <w:style w:type="character" w:customStyle="1" w:styleId="FootnoteTextChar">
    <w:name w:val="Footnote Text Char"/>
    <w:basedOn w:val="DefaultParagraphFont"/>
    <w:link w:val="FootnoteText"/>
    <w:rsid w:val="00AA1BB0"/>
    <w:rPr>
      <w:rFonts w:ascii="Times New Roman" w:eastAsia="Times New Roman" w:hAnsi="Times New Roman" w:cs="Times New Roman"/>
      <w:sz w:val="20"/>
      <w:szCs w:val="20"/>
    </w:rPr>
  </w:style>
  <w:style w:type="character" w:styleId="FootnoteReference">
    <w:name w:val="footnote reference"/>
    <w:rsid w:val="00AA1BB0"/>
    <w:rPr>
      <w:rFonts w:ascii="Times New Roman" w:hAnsi="Times New Roman"/>
      <w:b/>
      <w:sz w:val="26"/>
      <w:szCs w:val="26"/>
      <w:vertAlign w:val="superscript"/>
    </w:rPr>
  </w:style>
  <w:style w:type="paragraph" w:styleId="Header">
    <w:name w:val="header"/>
    <w:basedOn w:val="Normal"/>
    <w:link w:val="HeaderChar"/>
    <w:rsid w:val="00AA1BB0"/>
    <w:pPr>
      <w:tabs>
        <w:tab w:val="center" w:pos="4320"/>
        <w:tab w:val="right" w:pos="8640"/>
      </w:tabs>
    </w:pPr>
  </w:style>
  <w:style w:type="character" w:customStyle="1" w:styleId="HeaderChar">
    <w:name w:val="Header Char"/>
    <w:basedOn w:val="DefaultParagraphFont"/>
    <w:link w:val="Header"/>
    <w:rsid w:val="00AA1BB0"/>
    <w:rPr>
      <w:rFonts w:ascii="Times New Roman" w:eastAsia="Times New Roman" w:hAnsi="Times New Roman" w:cs="Times New Roman"/>
      <w:sz w:val="24"/>
      <w:szCs w:val="24"/>
    </w:rPr>
  </w:style>
  <w:style w:type="paragraph" w:customStyle="1" w:styleId="FERCparanumber">
    <w:name w:val="FERC paranumber"/>
    <w:basedOn w:val="Normal"/>
    <w:link w:val="FERCparanumberChar1"/>
    <w:qFormat/>
    <w:rsid w:val="00AA1BB0"/>
    <w:pPr>
      <w:numPr>
        <w:numId w:val="1"/>
      </w:numPr>
    </w:pPr>
  </w:style>
  <w:style w:type="paragraph" w:customStyle="1" w:styleId="Default">
    <w:name w:val="Default"/>
    <w:rsid w:val="00AA1B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ERCparanumberChar1">
    <w:name w:val="FERC paranumber Char1"/>
    <w:link w:val="FERCparanumber"/>
    <w:rsid w:val="00AA1BB0"/>
    <w:rPr>
      <w:rFonts w:ascii="Times New Roman" w:eastAsia="Times New Roman" w:hAnsi="Times New Roman" w:cs="Times New Roman"/>
      <w:sz w:val="24"/>
      <w:szCs w:val="24"/>
    </w:rPr>
  </w:style>
  <w:style w:type="character" w:styleId="CommentReference">
    <w:name w:val="annotation reference"/>
    <w:rsid w:val="00AA1BB0"/>
    <w:rPr>
      <w:sz w:val="16"/>
      <w:szCs w:val="16"/>
    </w:rPr>
  </w:style>
  <w:style w:type="paragraph" w:styleId="CommentText">
    <w:name w:val="annotation text"/>
    <w:basedOn w:val="Normal"/>
    <w:link w:val="CommentTextChar"/>
    <w:rsid w:val="00AA1BB0"/>
    <w:rPr>
      <w:sz w:val="20"/>
      <w:szCs w:val="20"/>
    </w:rPr>
  </w:style>
  <w:style w:type="character" w:customStyle="1" w:styleId="CommentTextChar">
    <w:name w:val="Comment Text Char"/>
    <w:basedOn w:val="DefaultParagraphFont"/>
    <w:link w:val="CommentText"/>
    <w:rsid w:val="00AA1B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BB0"/>
    <w:rPr>
      <w:rFonts w:ascii="Tahoma" w:hAnsi="Tahoma" w:cs="Tahoma"/>
      <w:sz w:val="16"/>
      <w:szCs w:val="16"/>
    </w:rPr>
  </w:style>
  <w:style w:type="character" w:customStyle="1" w:styleId="BalloonTextChar">
    <w:name w:val="Balloon Text Char"/>
    <w:basedOn w:val="DefaultParagraphFont"/>
    <w:link w:val="BalloonText"/>
    <w:uiPriority w:val="99"/>
    <w:semiHidden/>
    <w:rsid w:val="00AA1BB0"/>
    <w:rPr>
      <w:rFonts w:ascii="Tahoma" w:eastAsia="Times New Roman" w:hAnsi="Tahoma" w:cs="Tahoma"/>
      <w:sz w:val="16"/>
      <w:szCs w:val="16"/>
    </w:rPr>
  </w:style>
  <w:style w:type="paragraph" w:styleId="Footer">
    <w:name w:val="footer"/>
    <w:basedOn w:val="Normal"/>
    <w:link w:val="FooterChar"/>
    <w:uiPriority w:val="99"/>
    <w:unhideWhenUsed/>
    <w:rsid w:val="00F229E1"/>
    <w:pPr>
      <w:tabs>
        <w:tab w:val="center" w:pos="4680"/>
        <w:tab w:val="right" w:pos="9360"/>
      </w:tabs>
    </w:pPr>
  </w:style>
  <w:style w:type="character" w:customStyle="1" w:styleId="FooterChar">
    <w:name w:val="Footer Char"/>
    <w:basedOn w:val="DefaultParagraphFont"/>
    <w:link w:val="Footer"/>
    <w:uiPriority w:val="99"/>
    <w:rsid w:val="00F229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B54F4"/>
    <w:rPr>
      <w:b/>
      <w:bCs/>
    </w:rPr>
  </w:style>
  <w:style w:type="character" w:customStyle="1" w:styleId="CommentSubjectChar">
    <w:name w:val="Comment Subject Char"/>
    <w:basedOn w:val="CommentTextChar"/>
    <w:link w:val="CommentSubject"/>
    <w:uiPriority w:val="99"/>
    <w:semiHidden/>
    <w:rsid w:val="00AB54F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A6B86"/>
    <w:rPr>
      <w:sz w:val="20"/>
      <w:szCs w:val="20"/>
    </w:rPr>
  </w:style>
  <w:style w:type="character" w:customStyle="1" w:styleId="EndnoteTextChar">
    <w:name w:val="Endnote Text Char"/>
    <w:basedOn w:val="DefaultParagraphFont"/>
    <w:link w:val="EndnoteText"/>
    <w:uiPriority w:val="99"/>
    <w:semiHidden/>
    <w:rsid w:val="00AA6B8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6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DF02-B485-4FFF-9213-52203C9B9E8C}">
  <ds:schemaRefs>
    <ds:schemaRef ds:uri="http://schemas.microsoft.com/office/2006/metadata/properties"/>
  </ds:schemaRefs>
</ds:datastoreItem>
</file>

<file path=customXml/itemProps2.xml><?xml version="1.0" encoding="utf-8"?>
<ds:datastoreItem xmlns:ds="http://schemas.openxmlformats.org/officeDocument/2006/customXml" ds:itemID="{911C2098-B3B7-49CE-B9B0-1C775E34CE90}">
  <ds:schemaRefs>
    <ds:schemaRef ds:uri="http://schemas.microsoft.com/sharepoint/v3/contenttype/forms"/>
  </ds:schemaRefs>
</ds:datastoreItem>
</file>

<file path=customXml/itemProps3.xml><?xml version="1.0" encoding="utf-8"?>
<ds:datastoreItem xmlns:ds="http://schemas.openxmlformats.org/officeDocument/2006/customXml" ds:itemID="{12470B0F-BFC3-4503-966A-571B715E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6B20CD-BAB5-4072-B7E8-E9C03B72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2</cp:revision>
  <cp:lastPrinted>2016-12-14T17:39:00Z</cp:lastPrinted>
  <dcterms:created xsi:type="dcterms:W3CDTF">2017-02-08T13:42:00Z</dcterms:created>
  <dcterms:modified xsi:type="dcterms:W3CDTF">2017-02-08T13:42:00Z</dcterms:modified>
  <cp:category/>
  <dc:identifier/>
  <cp:contentStatus/>
  <cp:version/>
</cp:coreProperties>
</file>