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28C2F" w14:textId="77777777" w:rsidR="00EF1EFD" w:rsidRPr="007B1183" w:rsidRDefault="00EF1EFD" w:rsidP="007B1183">
      <w:pPr>
        <w:tabs>
          <w:tab w:val="left" w:pos="3320"/>
        </w:tabs>
        <w:spacing w:after="0" w:line="240" w:lineRule="auto"/>
        <w:jc w:val="center"/>
        <w:rPr>
          <w:rFonts w:ascii="Times New Roman" w:hAnsi="Times New Roman" w:cs="Times New Roman"/>
          <w:sz w:val="26"/>
          <w:szCs w:val="26"/>
        </w:rPr>
      </w:pPr>
      <w:r w:rsidRPr="007B1183">
        <w:rPr>
          <w:rFonts w:ascii="Times New Roman" w:hAnsi="Times New Roman" w:cs="Times New Roman"/>
          <w:sz w:val="26"/>
          <w:szCs w:val="26"/>
        </w:rPr>
        <w:t>Supporting Statement for</w:t>
      </w:r>
    </w:p>
    <w:p w14:paraId="29A8C64F" w14:textId="77777777" w:rsidR="00EF1EFD" w:rsidRPr="007B1183" w:rsidRDefault="00EF1EFD" w:rsidP="007B1183">
      <w:pPr>
        <w:spacing w:after="0" w:line="240" w:lineRule="auto"/>
        <w:ind w:right="-180"/>
        <w:jc w:val="center"/>
        <w:rPr>
          <w:rFonts w:ascii="Times New Roman" w:hAnsi="Times New Roman" w:cs="Times New Roman"/>
          <w:b/>
          <w:sz w:val="26"/>
          <w:szCs w:val="26"/>
        </w:rPr>
      </w:pPr>
      <w:r w:rsidRPr="007B1183">
        <w:rPr>
          <w:rFonts w:ascii="Times New Roman" w:hAnsi="Times New Roman" w:cs="Times New Roman"/>
          <w:b/>
          <w:sz w:val="26"/>
          <w:szCs w:val="26"/>
        </w:rPr>
        <w:t>FERC-725A (Mandatory Reliability Standards for the Bulk-Power System) and FERC-725G</w:t>
      </w:r>
      <w:r w:rsidRPr="007B1183">
        <w:rPr>
          <w:rFonts w:ascii="Times New Roman" w:hAnsi="Times New Roman" w:cs="Times New Roman"/>
          <w:sz w:val="26"/>
          <w:szCs w:val="26"/>
        </w:rPr>
        <w:t xml:space="preserve"> (</w:t>
      </w:r>
      <w:r w:rsidRPr="007B1183">
        <w:rPr>
          <w:rFonts w:ascii="Times New Roman" w:hAnsi="Times New Roman" w:cs="Times New Roman"/>
          <w:b/>
          <w:sz w:val="26"/>
          <w:szCs w:val="26"/>
        </w:rPr>
        <w:t>Mandatory Reliability Standards: PRC Reliability Standards),</w:t>
      </w:r>
    </w:p>
    <w:p w14:paraId="4ACC995E" w14:textId="77777777" w:rsidR="00A04D29" w:rsidRPr="00A04D29" w:rsidRDefault="00F1435F" w:rsidP="00A04D29">
      <w:pPr>
        <w:spacing w:after="0" w:line="240" w:lineRule="auto"/>
        <w:ind w:right="-180"/>
        <w:jc w:val="center"/>
        <w:rPr>
          <w:rFonts w:ascii="Times New Roman" w:hAnsi="Times New Roman" w:cs="Times New Roman"/>
          <w:b/>
          <w:sz w:val="26"/>
          <w:szCs w:val="26"/>
        </w:rPr>
      </w:pPr>
      <w:proofErr w:type="gramStart"/>
      <w:r>
        <w:rPr>
          <w:rFonts w:ascii="Times New Roman" w:hAnsi="Times New Roman" w:cs="Times New Roman"/>
          <w:b/>
          <w:sz w:val="26"/>
          <w:szCs w:val="26"/>
        </w:rPr>
        <w:t>as</w:t>
      </w:r>
      <w:proofErr w:type="gramEnd"/>
      <w:r>
        <w:rPr>
          <w:rFonts w:ascii="Times New Roman" w:hAnsi="Times New Roman" w:cs="Times New Roman"/>
          <w:b/>
          <w:sz w:val="26"/>
          <w:szCs w:val="26"/>
        </w:rPr>
        <w:t xml:space="preserve"> </w:t>
      </w:r>
      <w:r w:rsidR="00EF1EFD" w:rsidRPr="007B1183">
        <w:rPr>
          <w:rFonts w:ascii="Times New Roman" w:hAnsi="Times New Roman" w:cs="Times New Roman"/>
          <w:b/>
          <w:sz w:val="26"/>
          <w:szCs w:val="26"/>
        </w:rPr>
        <w:t>modified by the NOPR in R</w:t>
      </w:r>
      <w:r w:rsidR="00511834" w:rsidRPr="007B1183">
        <w:rPr>
          <w:rFonts w:ascii="Times New Roman" w:hAnsi="Times New Roman" w:cs="Times New Roman"/>
          <w:b/>
          <w:sz w:val="26"/>
          <w:szCs w:val="26"/>
        </w:rPr>
        <w:t>M16-20</w:t>
      </w:r>
      <w:r w:rsidR="00A04D29" w:rsidRPr="00A04D29">
        <w:rPr>
          <w:rFonts w:ascii="Times New Roman" w:hAnsi="Times New Roman" w:cs="Times New Roman"/>
          <w:b/>
          <w:sz w:val="26"/>
          <w:szCs w:val="26"/>
          <w:vertAlign w:val="superscript"/>
        </w:rPr>
        <w:footnoteReference w:id="1"/>
      </w:r>
    </w:p>
    <w:p w14:paraId="26248EBB" w14:textId="77777777" w:rsidR="00EF1EFD" w:rsidRPr="007B1183" w:rsidRDefault="00EF1EFD" w:rsidP="007B1183">
      <w:pPr>
        <w:spacing w:after="0" w:line="240" w:lineRule="auto"/>
        <w:ind w:right="-180"/>
        <w:jc w:val="center"/>
        <w:rPr>
          <w:rFonts w:ascii="Times New Roman" w:hAnsi="Times New Roman" w:cs="Times New Roman"/>
          <w:b/>
          <w:sz w:val="26"/>
          <w:szCs w:val="26"/>
        </w:rPr>
      </w:pPr>
      <w:r w:rsidRPr="007B1183">
        <w:rPr>
          <w:rFonts w:ascii="Times New Roman" w:hAnsi="Times New Roman" w:cs="Times New Roman"/>
          <w:b/>
          <w:sz w:val="26"/>
          <w:szCs w:val="26"/>
        </w:rPr>
        <w:t xml:space="preserve"> </w:t>
      </w:r>
    </w:p>
    <w:p w14:paraId="63845EC5" w14:textId="660015E5" w:rsidR="000F3F59" w:rsidRPr="007B1183" w:rsidRDefault="00EF1EFD" w:rsidP="008E5E77">
      <w:pPr>
        <w:spacing w:before="240" w:line="240" w:lineRule="auto"/>
        <w:rPr>
          <w:rFonts w:ascii="Times New Roman" w:hAnsi="Times New Roman" w:cs="Times New Roman"/>
          <w:sz w:val="26"/>
          <w:szCs w:val="26"/>
        </w:rPr>
      </w:pPr>
      <w:r w:rsidRPr="007B1183">
        <w:rPr>
          <w:rFonts w:ascii="Times New Roman" w:hAnsi="Times New Roman" w:cs="Times New Roman"/>
          <w:sz w:val="26"/>
          <w:szCs w:val="26"/>
        </w:rPr>
        <w:t>The Federal Energy Regulatory Commission (Commission or FERC) requests the Office of Management and Budget (OMB) review</w:t>
      </w:r>
      <w:r w:rsidR="000F3F59" w:rsidRPr="007B1183">
        <w:rPr>
          <w:rFonts w:ascii="Times New Roman" w:hAnsi="Times New Roman" w:cs="Times New Roman"/>
          <w:sz w:val="26"/>
          <w:szCs w:val="26"/>
        </w:rPr>
        <w:t xml:space="preserve"> </w:t>
      </w:r>
      <w:r w:rsidR="00F1435F">
        <w:rPr>
          <w:rFonts w:ascii="Times New Roman" w:hAnsi="Times New Roman" w:cs="Times New Roman"/>
          <w:sz w:val="26"/>
          <w:szCs w:val="26"/>
        </w:rPr>
        <w:t xml:space="preserve">and approved the information collection </w:t>
      </w:r>
      <w:r w:rsidR="00707B45">
        <w:rPr>
          <w:rFonts w:ascii="Times New Roman" w:hAnsi="Times New Roman" w:cs="Times New Roman"/>
          <w:sz w:val="26"/>
          <w:szCs w:val="26"/>
        </w:rPr>
        <w:t xml:space="preserve">in </w:t>
      </w:r>
      <w:r w:rsidR="00A04D29">
        <w:rPr>
          <w:rFonts w:ascii="Times New Roman" w:hAnsi="Times New Roman" w:cs="Times New Roman"/>
          <w:sz w:val="26"/>
          <w:szCs w:val="26"/>
        </w:rPr>
        <w:t xml:space="preserve">Notice of Proposed Rulemaking (NOPR) </w:t>
      </w:r>
      <w:r w:rsidR="00F1435F">
        <w:rPr>
          <w:rFonts w:ascii="Times New Roman" w:hAnsi="Times New Roman" w:cs="Times New Roman"/>
          <w:sz w:val="26"/>
          <w:szCs w:val="26"/>
        </w:rPr>
        <w:t>RM16-20 which implements</w:t>
      </w:r>
      <w:r w:rsidR="00707B45">
        <w:rPr>
          <w:rFonts w:ascii="Times New Roman" w:hAnsi="Times New Roman" w:cs="Times New Roman"/>
          <w:sz w:val="26"/>
          <w:szCs w:val="26"/>
        </w:rPr>
        <w:t xml:space="preserve"> Re</w:t>
      </w:r>
      <w:r w:rsidR="00A04D29">
        <w:rPr>
          <w:rFonts w:ascii="Times New Roman" w:hAnsi="Times New Roman" w:cs="Times New Roman"/>
          <w:sz w:val="26"/>
          <w:szCs w:val="26"/>
        </w:rPr>
        <w:t>liability Standard PRC-012-</w:t>
      </w:r>
      <w:r w:rsidR="007B7FA3">
        <w:rPr>
          <w:rFonts w:ascii="Times New Roman" w:hAnsi="Times New Roman" w:cs="Times New Roman"/>
          <w:sz w:val="26"/>
          <w:szCs w:val="26"/>
        </w:rPr>
        <w:t>2</w:t>
      </w:r>
      <w:r w:rsidR="00A04D29">
        <w:rPr>
          <w:rFonts w:ascii="Times New Roman" w:hAnsi="Times New Roman" w:cs="Times New Roman"/>
          <w:sz w:val="26"/>
          <w:szCs w:val="26"/>
        </w:rPr>
        <w:t xml:space="preserve"> (R</w:t>
      </w:r>
      <w:r w:rsidR="00F0165F">
        <w:rPr>
          <w:rFonts w:ascii="Times New Roman" w:hAnsi="Times New Roman" w:cs="Times New Roman"/>
          <w:sz w:val="26"/>
          <w:szCs w:val="26"/>
        </w:rPr>
        <w:t>e</w:t>
      </w:r>
      <w:r w:rsidR="00707B45">
        <w:rPr>
          <w:rFonts w:ascii="Times New Roman" w:hAnsi="Times New Roman" w:cs="Times New Roman"/>
          <w:sz w:val="26"/>
          <w:szCs w:val="26"/>
        </w:rPr>
        <w:t>medial Action Schemes (RAS)</w:t>
      </w:r>
      <w:r w:rsidR="00A04D29">
        <w:rPr>
          <w:rFonts w:ascii="Times New Roman" w:hAnsi="Times New Roman" w:cs="Times New Roman"/>
          <w:sz w:val="26"/>
          <w:szCs w:val="26"/>
        </w:rPr>
        <w:t>).</w:t>
      </w:r>
      <w:r w:rsidR="00F1435F">
        <w:rPr>
          <w:rFonts w:ascii="Times New Roman" w:hAnsi="Times New Roman" w:cs="Times New Roman"/>
          <w:sz w:val="26"/>
          <w:szCs w:val="26"/>
        </w:rPr>
        <w:t xml:space="preserve"> </w:t>
      </w:r>
      <w:r w:rsidR="000F3F59" w:rsidRPr="007B1183">
        <w:rPr>
          <w:rFonts w:ascii="Times New Roman" w:hAnsi="Times New Roman" w:cs="Times New Roman"/>
          <w:sz w:val="26"/>
          <w:szCs w:val="26"/>
        </w:rPr>
        <w:t xml:space="preserve"> </w:t>
      </w:r>
      <w:r w:rsidRPr="007B1183">
        <w:rPr>
          <w:rFonts w:ascii="Times New Roman" w:hAnsi="Times New Roman" w:cs="Times New Roman"/>
          <w:sz w:val="26"/>
          <w:szCs w:val="26"/>
        </w:rPr>
        <w:t xml:space="preserve"> </w:t>
      </w:r>
    </w:p>
    <w:p w14:paraId="6834864D" w14:textId="77777777" w:rsidR="006C1229" w:rsidRPr="007B1183" w:rsidRDefault="006C1229" w:rsidP="008E5E77">
      <w:pPr>
        <w:spacing w:before="240" w:line="240" w:lineRule="auto"/>
        <w:rPr>
          <w:rFonts w:ascii="Times New Roman" w:hAnsi="Times New Roman" w:cs="Times New Roman"/>
          <w:sz w:val="26"/>
          <w:szCs w:val="26"/>
        </w:rPr>
      </w:pPr>
      <w:r w:rsidRPr="007B1183">
        <w:rPr>
          <w:rFonts w:ascii="Times New Roman" w:hAnsi="Times New Roman" w:cs="Times New Roman"/>
          <w:sz w:val="26"/>
          <w:szCs w:val="26"/>
        </w:rPr>
        <w:t>This consolidated supporting statement addresses revisions to the following information collections:</w:t>
      </w:r>
    </w:p>
    <w:p w14:paraId="421136E7" w14:textId="77777777" w:rsidR="006C1229" w:rsidRPr="007B1183" w:rsidRDefault="006C1229" w:rsidP="008E5E77">
      <w:pPr>
        <w:pStyle w:val="ListParagraph"/>
        <w:numPr>
          <w:ilvl w:val="0"/>
          <w:numId w:val="6"/>
        </w:numPr>
        <w:spacing w:after="0" w:line="240" w:lineRule="auto"/>
        <w:ind w:right="-180"/>
        <w:rPr>
          <w:rFonts w:ascii="Times New Roman" w:hAnsi="Times New Roman" w:cs="Times New Roman"/>
          <w:sz w:val="26"/>
          <w:szCs w:val="26"/>
        </w:rPr>
      </w:pPr>
      <w:r w:rsidRPr="007B1183">
        <w:rPr>
          <w:rFonts w:ascii="Times New Roman" w:hAnsi="Times New Roman" w:cs="Times New Roman"/>
          <w:sz w:val="26"/>
          <w:szCs w:val="26"/>
        </w:rPr>
        <w:t>FERC-725A (Mandatory Reliability Standards for the Bulk-Power System), 1902-0244</w:t>
      </w:r>
    </w:p>
    <w:p w14:paraId="29740A38" w14:textId="77777777" w:rsidR="006C1229" w:rsidRPr="007B1183" w:rsidRDefault="006C1229" w:rsidP="008E5E77">
      <w:pPr>
        <w:pStyle w:val="ListParagraph"/>
        <w:numPr>
          <w:ilvl w:val="0"/>
          <w:numId w:val="6"/>
        </w:numPr>
        <w:spacing w:after="0" w:line="240" w:lineRule="auto"/>
        <w:ind w:right="-180"/>
        <w:rPr>
          <w:rFonts w:ascii="Times New Roman" w:hAnsi="Times New Roman" w:cs="Times New Roman"/>
          <w:sz w:val="26"/>
          <w:szCs w:val="26"/>
        </w:rPr>
      </w:pPr>
      <w:r w:rsidRPr="007B1183">
        <w:rPr>
          <w:rFonts w:ascii="Times New Roman" w:hAnsi="Times New Roman" w:cs="Times New Roman"/>
          <w:sz w:val="26"/>
          <w:szCs w:val="26"/>
        </w:rPr>
        <w:t>FERC-725G (Mandatory Reliability Standards: PRC Reliability Standards), 1902-0252</w:t>
      </w:r>
    </w:p>
    <w:p w14:paraId="63B8D910" w14:textId="77777777" w:rsidR="006C1229" w:rsidRPr="007B1183" w:rsidRDefault="00262CE1" w:rsidP="008E5E77">
      <w:pPr>
        <w:spacing w:before="240" w:line="240" w:lineRule="auto"/>
        <w:rPr>
          <w:rFonts w:ascii="Times New Roman" w:hAnsi="Times New Roman" w:cs="Times New Roman"/>
          <w:sz w:val="26"/>
          <w:szCs w:val="26"/>
        </w:rPr>
      </w:pPr>
      <w:r w:rsidRPr="007B1183">
        <w:rPr>
          <w:rFonts w:ascii="Times New Roman" w:hAnsi="Times New Roman" w:cs="Times New Roman"/>
          <w:b/>
          <w:sz w:val="26"/>
          <w:szCs w:val="26"/>
          <w:u w:val="single"/>
        </w:rPr>
        <w:t>Background</w:t>
      </w:r>
    </w:p>
    <w:p w14:paraId="456C2908" w14:textId="77777777" w:rsidR="00262CE1" w:rsidRPr="007B1183" w:rsidRDefault="00262CE1" w:rsidP="008E5E77">
      <w:pPr>
        <w:spacing w:before="240" w:line="240" w:lineRule="auto"/>
        <w:rPr>
          <w:rFonts w:ascii="Times New Roman" w:hAnsi="Times New Roman" w:cs="Times New Roman"/>
          <w:sz w:val="26"/>
          <w:szCs w:val="26"/>
        </w:rPr>
      </w:pPr>
      <w:r w:rsidRPr="007B1183">
        <w:rPr>
          <w:rFonts w:ascii="Times New Roman" w:hAnsi="Times New Roman" w:cs="Times New Roman"/>
          <w:sz w:val="26"/>
          <w:szCs w:val="26"/>
        </w:rPr>
        <w:t>On August 8, 2005, The Electricity Modernization Act of 2005, which is Title XII of the Energy Policy Act of 2005 (</w:t>
      </w:r>
      <w:proofErr w:type="spellStart"/>
      <w:r w:rsidRPr="007B1183">
        <w:rPr>
          <w:rFonts w:ascii="Times New Roman" w:hAnsi="Times New Roman" w:cs="Times New Roman"/>
          <w:sz w:val="26"/>
          <w:szCs w:val="26"/>
        </w:rPr>
        <w:t>EPAct</w:t>
      </w:r>
      <w:proofErr w:type="spellEnd"/>
      <w:r w:rsidRPr="007B1183">
        <w:rPr>
          <w:rFonts w:ascii="Times New Roman" w:hAnsi="Times New Roman" w:cs="Times New Roman"/>
          <w:sz w:val="26"/>
          <w:szCs w:val="26"/>
        </w:rPr>
        <w:t xml:space="preserve"> 2005), was enacted into law.</w:t>
      </w:r>
      <w:r w:rsidRPr="007B1183">
        <w:rPr>
          <w:rFonts w:ascii="Times New Roman" w:hAnsi="Times New Roman" w:cs="Times New Roman"/>
          <w:sz w:val="26"/>
          <w:szCs w:val="26"/>
          <w:vertAlign w:val="superscript"/>
        </w:rPr>
        <w:footnoteReference w:id="2"/>
      </w:r>
      <w:r w:rsidRPr="007B1183">
        <w:rPr>
          <w:rFonts w:ascii="Times New Roman" w:hAnsi="Times New Roman" w:cs="Times New Roman"/>
          <w:sz w:val="26"/>
          <w:szCs w:val="26"/>
        </w:rPr>
        <w:t xml:space="preserve">  Under section 215 of the Federal Power Act (FPA), the Commission requires a Commission-certified Electric Reliability Organization (ERO) to develop mandatory and enforceable Reliability Standards</w:t>
      </w:r>
      <w:r w:rsidRPr="007B1183">
        <w:rPr>
          <w:rFonts w:ascii="Times New Roman" w:hAnsi="Times New Roman" w:cs="Times New Roman"/>
          <w:sz w:val="26"/>
          <w:szCs w:val="26"/>
          <w:vertAlign w:val="superscript"/>
        </w:rPr>
        <w:footnoteReference w:id="3"/>
      </w:r>
      <w:r w:rsidRPr="007B1183">
        <w:rPr>
          <w:rFonts w:ascii="Times New Roman" w:hAnsi="Times New Roman" w:cs="Times New Roman"/>
          <w:sz w:val="26"/>
          <w:szCs w:val="26"/>
        </w:rPr>
        <w:t xml:space="preserve">, which are subject to Commission review and approval.  In 2006, the Commission established a process to select and certify an ERO and, subsequently, </w:t>
      </w:r>
      <w:r w:rsidRPr="007B1183">
        <w:rPr>
          <w:rFonts w:ascii="Times New Roman" w:hAnsi="Times New Roman" w:cs="Times New Roman"/>
          <w:sz w:val="26"/>
          <w:szCs w:val="26"/>
        </w:rPr>
        <w:lastRenderedPageBreak/>
        <w:t>certified NERC as the ERO.</w:t>
      </w:r>
      <w:r w:rsidRPr="007B1183">
        <w:rPr>
          <w:rFonts w:ascii="Times New Roman" w:hAnsi="Times New Roman" w:cs="Times New Roman"/>
          <w:sz w:val="26"/>
          <w:szCs w:val="26"/>
          <w:vertAlign w:val="superscript"/>
        </w:rPr>
        <w:footnoteReference w:id="4"/>
      </w:r>
      <w:r w:rsidRPr="007B1183">
        <w:rPr>
          <w:rFonts w:ascii="Times New Roman" w:hAnsi="Times New Roman" w:cs="Times New Roman"/>
          <w:sz w:val="26"/>
          <w:szCs w:val="26"/>
          <w:vertAlign w:val="superscript"/>
        </w:rPr>
        <w:t xml:space="preserve"> </w:t>
      </w:r>
      <w:r w:rsidRPr="007B1183">
        <w:rPr>
          <w:rFonts w:ascii="Times New Roman" w:hAnsi="Times New Roman" w:cs="Times New Roman"/>
          <w:sz w:val="26"/>
          <w:szCs w:val="26"/>
        </w:rPr>
        <w:t xml:space="preserve"> In Order No. 693, the Commission approved 83 of 107 proposed Reliability Standards submitted by NERC, </w:t>
      </w:r>
      <w:r w:rsidR="005D04B3" w:rsidRPr="007B1183">
        <w:rPr>
          <w:rFonts w:ascii="Times New Roman" w:eastAsia="Times New Roman" w:hAnsi="Times New Roman" w:cs="Times New Roman"/>
          <w:sz w:val="26"/>
          <w:szCs w:val="26"/>
        </w:rPr>
        <w:t xml:space="preserve">including Reliability Standards PRC-015-1 (Remedial Action Scheme Data and Documentation) and PRC-016-1 (Remedial Action Scheme </w:t>
      </w:r>
      <w:proofErr w:type="spellStart"/>
      <w:r w:rsidR="005D04B3" w:rsidRPr="007B1183">
        <w:rPr>
          <w:rFonts w:ascii="Times New Roman" w:eastAsia="Times New Roman" w:hAnsi="Times New Roman" w:cs="Times New Roman"/>
          <w:sz w:val="26"/>
          <w:szCs w:val="26"/>
        </w:rPr>
        <w:t>Misoperation</w:t>
      </w:r>
      <w:proofErr w:type="spellEnd"/>
      <w:r w:rsidR="005D04B3" w:rsidRPr="007B1183">
        <w:rPr>
          <w:rFonts w:ascii="Times New Roman" w:eastAsia="Times New Roman" w:hAnsi="Times New Roman" w:cs="Times New Roman"/>
          <w:sz w:val="26"/>
          <w:szCs w:val="26"/>
        </w:rPr>
        <w:t>).</w:t>
      </w:r>
      <w:r w:rsidR="005D04B3" w:rsidRPr="007B1183">
        <w:rPr>
          <w:rFonts w:ascii="Times New Roman" w:eastAsia="Times New Roman" w:hAnsi="Times New Roman" w:cs="Times New Roman"/>
          <w:b/>
          <w:sz w:val="26"/>
          <w:szCs w:val="26"/>
          <w:vertAlign w:val="superscript"/>
        </w:rPr>
        <w:footnoteReference w:id="5"/>
      </w:r>
      <w:r w:rsidRPr="007B1183">
        <w:rPr>
          <w:rFonts w:ascii="Times New Roman" w:hAnsi="Times New Roman" w:cs="Times New Roman"/>
          <w:sz w:val="26"/>
          <w:szCs w:val="26"/>
        </w:rPr>
        <w:t xml:space="preserve">.  </w:t>
      </w:r>
      <w:r w:rsidR="005D04B3" w:rsidRPr="007B1183">
        <w:rPr>
          <w:rFonts w:ascii="Times New Roman" w:eastAsia="Times New Roman" w:hAnsi="Times New Roman" w:cs="Times New Roman"/>
          <w:sz w:val="26"/>
          <w:szCs w:val="26"/>
        </w:rPr>
        <w:t>In Order No. 693, the Commission determined that proposed Reliability Standards PRC-012-0, PRC-013-0, and PRC-014-0 were a “fill-in-the-blank” Reliability Standards because, while it was proposed to require regional reliability organizations to ensure that all special protection systems are properly designed, meet performance requirements, and are coordinated with other protection systems, NERC had not submitted any regional review procedures with this standard.</w:t>
      </w:r>
      <w:r w:rsidR="005D04B3" w:rsidRPr="007B1183">
        <w:rPr>
          <w:rFonts w:ascii="Times New Roman" w:eastAsia="Times New Roman" w:hAnsi="Times New Roman" w:cs="Times New Roman"/>
          <w:b/>
          <w:sz w:val="26"/>
          <w:szCs w:val="26"/>
          <w:vertAlign w:val="superscript"/>
        </w:rPr>
        <w:footnoteReference w:id="6"/>
      </w:r>
      <w:r w:rsidRPr="007B1183">
        <w:rPr>
          <w:rFonts w:ascii="Times New Roman" w:hAnsi="Times New Roman" w:cs="Times New Roman"/>
          <w:sz w:val="26"/>
          <w:szCs w:val="26"/>
        </w:rPr>
        <w:t xml:space="preserve">  </w:t>
      </w:r>
      <w:r w:rsidR="005D04B3" w:rsidRPr="007B1183">
        <w:rPr>
          <w:rFonts w:ascii="Times New Roman" w:eastAsia="Times New Roman" w:hAnsi="Times New Roman" w:cs="Times New Roman"/>
          <w:sz w:val="26"/>
          <w:szCs w:val="26"/>
        </w:rPr>
        <w:t>The Commission stated that it would not approve or remand proposed Reliability Standards PRC-012-0, PRC-013-0 or PRC-014-0 until NERC submitted the additional necessary information to the Commission.</w:t>
      </w:r>
      <w:r w:rsidR="005D04B3" w:rsidRPr="007B1183">
        <w:rPr>
          <w:rFonts w:ascii="Times New Roman" w:eastAsia="Times New Roman" w:hAnsi="Times New Roman" w:cs="Times New Roman"/>
          <w:b/>
          <w:sz w:val="26"/>
          <w:szCs w:val="26"/>
          <w:vertAlign w:val="superscript"/>
        </w:rPr>
        <w:footnoteReference w:id="7"/>
      </w:r>
    </w:p>
    <w:p w14:paraId="616EF929" w14:textId="77777777" w:rsidR="002F288D" w:rsidRPr="007B1183" w:rsidRDefault="002F288D" w:rsidP="008E5E77">
      <w:pPr>
        <w:spacing w:before="240" w:line="240" w:lineRule="auto"/>
        <w:rPr>
          <w:rFonts w:ascii="Times New Roman" w:hAnsi="Times New Roman" w:cs="Times New Roman"/>
          <w:sz w:val="26"/>
          <w:szCs w:val="26"/>
        </w:rPr>
      </w:pPr>
      <w:r w:rsidRPr="007B1183">
        <w:rPr>
          <w:rFonts w:ascii="Times New Roman" w:hAnsi="Times New Roman" w:cs="Times New Roman"/>
          <w:sz w:val="26"/>
          <w:szCs w:val="26"/>
        </w:rPr>
        <w:t>On August 5, 2016, NERC submitted a petition seeking Commission approval of proposed Reliability Standard PRC-012-2.</w:t>
      </w:r>
      <w:r w:rsidRPr="007B1183">
        <w:rPr>
          <w:rFonts w:ascii="Times New Roman" w:hAnsi="Times New Roman" w:cs="Times New Roman"/>
          <w:b/>
          <w:sz w:val="26"/>
          <w:szCs w:val="26"/>
          <w:vertAlign w:val="superscript"/>
        </w:rPr>
        <w:footnoteReference w:id="8"/>
      </w:r>
      <w:r w:rsidRPr="007B1183">
        <w:rPr>
          <w:rFonts w:ascii="Times New Roman" w:hAnsi="Times New Roman" w:cs="Times New Roman"/>
          <w:sz w:val="26"/>
          <w:szCs w:val="26"/>
        </w:rPr>
        <w:t xml:space="preserve">  NERC contends that proposed Reliability Standard PRC-012-2 is just, reasonable, not unduly discriminatory or preferential, and in the public interest.</w:t>
      </w:r>
      <w:r w:rsidRPr="007B1183">
        <w:rPr>
          <w:rFonts w:ascii="Times New Roman" w:hAnsi="Times New Roman" w:cs="Times New Roman"/>
          <w:b/>
          <w:sz w:val="26"/>
          <w:szCs w:val="26"/>
          <w:vertAlign w:val="superscript"/>
        </w:rPr>
        <w:footnoteReference w:id="9"/>
      </w:r>
      <w:r w:rsidRPr="007B1183">
        <w:rPr>
          <w:rFonts w:ascii="Times New Roman" w:hAnsi="Times New Roman" w:cs="Times New Roman"/>
          <w:sz w:val="26"/>
          <w:szCs w:val="26"/>
        </w:rPr>
        <w:t xml:space="preserve">  NERC explains that the intent of proposed Reliability Standard PRC-012-2 is to supersede “pending” Reliability Standards PRC-012-1, PRC-013-1, and PRC-014-1 and to retire and replace currently-effective Reliability Standards PRC-015-1 and PRC-016-1.</w:t>
      </w:r>
      <w:r w:rsidRPr="007B1183">
        <w:rPr>
          <w:rFonts w:ascii="Times New Roman" w:hAnsi="Times New Roman" w:cs="Times New Roman"/>
          <w:b/>
          <w:sz w:val="26"/>
          <w:szCs w:val="26"/>
          <w:vertAlign w:val="superscript"/>
        </w:rPr>
        <w:footnoteReference w:id="10"/>
      </w:r>
      <w:r w:rsidRPr="007B1183">
        <w:rPr>
          <w:rFonts w:ascii="Times New Roman" w:hAnsi="Times New Roman" w:cs="Times New Roman"/>
          <w:sz w:val="26"/>
          <w:szCs w:val="26"/>
        </w:rPr>
        <w:t xml:space="preserve">  NERC states that proposed Reliability Standard PRC-012-2 represents </w:t>
      </w:r>
      <w:r w:rsidRPr="007B1183">
        <w:rPr>
          <w:rFonts w:ascii="Times New Roman" w:hAnsi="Times New Roman" w:cs="Times New Roman"/>
          <w:sz w:val="26"/>
          <w:szCs w:val="26"/>
        </w:rPr>
        <w:lastRenderedPageBreak/>
        <w:t>substantial improvements over these Reliability Standards because it streamlines and consolidates existing requirements; corrects the applicability of previously unapproved Reliability Standards; and implements a continent-wide RAS review program.</w:t>
      </w:r>
      <w:r w:rsidRPr="007B1183">
        <w:rPr>
          <w:rFonts w:ascii="Times New Roman" w:hAnsi="Times New Roman" w:cs="Times New Roman"/>
          <w:b/>
          <w:sz w:val="26"/>
          <w:szCs w:val="26"/>
          <w:vertAlign w:val="superscript"/>
        </w:rPr>
        <w:footnoteReference w:id="11"/>
      </w:r>
    </w:p>
    <w:p w14:paraId="79599141" w14:textId="77777777" w:rsidR="00EF1EFD" w:rsidRPr="007B1183" w:rsidRDefault="00EF1EFD" w:rsidP="008E5E77">
      <w:pPr>
        <w:spacing w:line="240" w:lineRule="auto"/>
        <w:rPr>
          <w:rFonts w:ascii="Times New Roman" w:hAnsi="Times New Roman" w:cs="Times New Roman"/>
          <w:b/>
          <w:sz w:val="26"/>
          <w:szCs w:val="26"/>
        </w:rPr>
      </w:pPr>
      <w:r w:rsidRPr="007B1183">
        <w:rPr>
          <w:rFonts w:ascii="Times New Roman" w:hAnsi="Times New Roman" w:cs="Times New Roman"/>
          <w:b/>
          <w:sz w:val="26"/>
          <w:szCs w:val="26"/>
        </w:rPr>
        <w:t>A.</w:t>
      </w:r>
      <w:r w:rsidRPr="007B1183">
        <w:rPr>
          <w:rFonts w:ascii="Times New Roman" w:hAnsi="Times New Roman" w:cs="Times New Roman"/>
          <w:b/>
          <w:sz w:val="26"/>
          <w:szCs w:val="26"/>
        </w:rPr>
        <w:tab/>
      </w:r>
      <w:r w:rsidRPr="007B1183">
        <w:rPr>
          <w:rFonts w:ascii="Times New Roman" w:hAnsi="Times New Roman" w:cs="Times New Roman"/>
          <w:b/>
          <w:sz w:val="26"/>
          <w:szCs w:val="26"/>
          <w:u w:val="single"/>
        </w:rPr>
        <w:t>Justification</w:t>
      </w:r>
    </w:p>
    <w:p w14:paraId="7C265203" w14:textId="77777777" w:rsidR="00EF1EFD" w:rsidRPr="007B1183" w:rsidRDefault="00EF1EFD" w:rsidP="008E5E77">
      <w:pPr>
        <w:widowControl w:val="0"/>
        <w:numPr>
          <w:ilvl w:val="0"/>
          <w:numId w:val="1"/>
        </w:numPr>
        <w:autoSpaceDE w:val="0"/>
        <w:autoSpaceDN w:val="0"/>
        <w:adjustRightInd w:val="0"/>
        <w:spacing w:after="0" w:line="240" w:lineRule="auto"/>
        <w:rPr>
          <w:rFonts w:ascii="Times New Roman" w:hAnsi="Times New Roman" w:cs="Times New Roman"/>
          <w:b/>
          <w:bCs/>
          <w:sz w:val="26"/>
          <w:szCs w:val="26"/>
        </w:rPr>
      </w:pPr>
      <w:r w:rsidRPr="007B1183">
        <w:rPr>
          <w:rFonts w:ascii="Times New Roman" w:hAnsi="Times New Roman" w:cs="Times New Roman"/>
          <w:b/>
          <w:bCs/>
          <w:sz w:val="26"/>
          <w:szCs w:val="26"/>
        </w:rPr>
        <w:t>CIRCUMSTANCES THAT MAKE THE COLLECTION OF INFORMATION NECESSARY</w:t>
      </w:r>
    </w:p>
    <w:p w14:paraId="65253067" w14:textId="77777777" w:rsidR="00EF1EFD" w:rsidRPr="007B1183" w:rsidRDefault="00EF1EFD" w:rsidP="008E5E77">
      <w:pPr>
        <w:widowControl w:val="0"/>
        <w:autoSpaceDE w:val="0"/>
        <w:autoSpaceDN w:val="0"/>
        <w:adjustRightInd w:val="0"/>
        <w:spacing w:after="0" w:line="240" w:lineRule="auto"/>
        <w:ind w:left="360"/>
        <w:rPr>
          <w:rFonts w:ascii="Times New Roman" w:hAnsi="Times New Roman" w:cs="Times New Roman"/>
          <w:b/>
          <w:bCs/>
          <w:sz w:val="26"/>
          <w:szCs w:val="26"/>
        </w:rPr>
      </w:pPr>
    </w:p>
    <w:p w14:paraId="5EBECE3C" w14:textId="77777777" w:rsidR="00EF1EFD" w:rsidRPr="007B1183" w:rsidRDefault="00EF1EFD" w:rsidP="008E5E77">
      <w:pPr>
        <w:pStyle w:val="FERCparanumber"/>
        <w:widowControl/>
        <w:numPr>
          <w:ilvl w:val="0"/>
          <w:numId w:val="0"/>
        </w:numPr>
        <w:rPr>
          <w:rFonts w:ascii="Times New Roman" w:hAnsi="Times New Roman" w:cs="Times New Roman"/>
          <w:sz w:val="26"/>
          <w:szCs w:val="26"/>
        </w:rPr>
      </w:pPr>
      <w:r w:rsidRPr="007B1183">
        <w:rPr>
          <w:rFonts w:ascii="Times New Roman" w:hAnsi="Times New Roman" w:cs="Times New Roman"/>
          <w:sz w:val="26"/>
          <w:szCs w:val="26"/>
        </w:rPr>
        <w:t>Pursuant to section 215 of the Federal Power Act (FPA),</w:t>
      </w:r>
      <w:r w:rsidRPr="007B1183">
        <w:rPr>
          <w:rStyle w:val="FootnoteReference"/>
          <w:rFonts w:ascii="Times New Roman" w:hAnsi="Times New Roman" w:cs="Times New Roman"/>
          <w:sz w:val="26"/>
          <w:szCs w:val="26"/>
          <w:vertAlign w:val="superscript"/>
        </w:rPr>
        <w:footnoteReference w:id="12"/>
      </w:r>
      <w:r w:rsidRPr="007B1183">
        <w:rPr>
          <w:rFonts w:ascii="Times New Roman" w:hAnsi="Times New Roman" w:cs="Times New Roman"/>
          <w:sz w:val="26"/>
          <w:szCs w:val="26"/>
        </w:rPr>
        <w:t xml:space="preserve"> the Commission proposes to approve </w:t>
      </w:r>
      <w:r w:rsidR="00511834" w:rsidRPr="007B1183">
        <w:rPr>
          <w:rFonts w:ascii="Times New Roman" w:hAnsi="Times New Roman" w:cs="Times New Roman"/>
          <w:sz w:val="26"/>
          <w:szCs w:val="26"/>
        </w:rPr>
        <w:t>Reliability Standard PRC-012-2 (Remedial Action Schemes)</w:t>
      </w:r>
      <w:r w:rsidRPr="007B1183">
        <w:rPr>
          <w:rFonts w:ascii="Times New Roman" w:hAnsi="Times New Roman" w:cs="Times New Roman"/>
          <w:bCs/>
          <w:color w:val="000000"/>
          <w:sz w:val="26"/>
          <w:szCs w:val="26"/>
          <w:shd w:val="clear" w:color="auto" w:fill="FFFFFF"/>
        </w:rPr>
        <w:t xml:space="preserve">, </w:t>
      </w:r>
      <w:r w:rsidRPr="007B1183">
        <w:rPr>
          <w:rFonts w:ascii="Times New Roman" w:hAnsi="Times New Roman" w:cs="Times New Roman"/>
          <w:sz w:val="26"/>
          <w:szCs w:val="26"/>
        </w:rPr>
        <w:t xml:space="preserve">developed by the North American Electric Reliability Corporation (NERC), the Commission-certified Electric Reliability Organization (ERO).  The Commission believes that the proposed </w:t>
      </w:r>
      <w:r w:rsidR="00BB2B0B" w:rsidRPr="007B1183">
        <w:rPr>
          <w:rFonts w:ascii="Times New Roman" w:hAnsi="Times New Roman" w:cs="Times New Roman"/>
          <w:sz w:val="26"/>
          <w:szCs w:val="26"/>
        </w:rPr>
        <w:t xml:space="preserve">Reliability Standard </w:t>
      </w:r>
      <w:r w:rsidR="00511834" w:rsidRPr="007B1183">
        <w:rPr>
          <w:rFonts w:ascii="Times New Roman" w:hAnsi="Times New Roman" w:cs="Times New Roman"/>
          <w:sz w:val="26"/>
          <w:szCs w:val="26"/>
        </w:rPr>
        <w:t>PRC</w:t>
      </w:r>
      <w:r w:rsidR="00BB2B0B" w:rsidRPr="007B1183">
        <w:rPr>
          <w:rFonts w:ascii="Times New Roman" w:hAnsi="Times New Roman" w:cs="Times New Roman"/>
          <w:sz w:val="26"/>
          <w:szCs w:val="26"/>
        </w:rPr>
        <w:t>-012-</w:t>
      </w:r>
      <w:r w:rsidR="002F288D" w:rsidRPr="007B1183">
        <w:rPr>
          <w:rFonts w:ascii="Times New Roman" w:hAnsi="Times New Roman" w:cs="Times New Roman"/>
          <w:sz w:val="26"/>
          <w:szCs w:val="26"/>
        </w:rPr>
        <w:t>2</w:t>
      </w:r>
      <w:r w:rsidR="00BB2B0B" w:rsidRPr="007B1183">
        <w:rPr>
          <w:rFonts w:ascii="Times New Roman" w:hAnsi="Times New Roman" w:cs="Times New Roman"/>
          <w:sz w:val="26"/>
          <w:szCs w:val="26"/>
        </w:rPr>
        <w:t xml:space="preserve"> is </w:t>
      </w:r>
      <w:r w:rsidR="00595EE4" w:rsidRPr="007B1183">
        <w:rPr>
          <w:rFonts w:ascii="Times New Roman" w:hAnsi="Times New Roman" w:cs="Times New Roman"/>
          <w:sz w:val="26"/>
          <w:szCs w:val="26"/>
        </w:rPr>
        <w:t xml:space="preserve">necessary </w:t>
      </w:r>
      <w:r w:rsidR="00BB2B0B" w:rsidRPr="007B1183">
        <w:rPr>
          <w:rFonts w:ascii="Times New Roman" w:hAnsi="Times New Roman" w:cs="Times New Roman"/>
          <w:sz w:val="26"/>
          <w:szCs w:val="26"/>
        </w:rPr>
        <w:t>to</w:t>
      </w:r>
      <w:r w:rsidRPr="007B1183">
        <w:rPr>
          <w:rFonts w:ascii="Times New Roman" w:hAnsi="Times New Roman" w:cs="Times New Roman"/>
          <w:sz w:val="26"/>
          <w:szCs w:val="26"/>
        </w:rPr>
        <w:t xml:space="preserve"> </w:t>
      </w:r>
      <w:r w:rsidR="00511834" w:rsidRPr="007B1183">
        <w:rPr>
          <w:rFonts w:ascii="Times New Roman" w:hAnsi="Times New Roman" w:cs="Times New Roman"/>
          <w:sz w:val="26"/>
          <w:szCs w:val="26"/>
        </w:rPr>
        <w:t xml:space="preserve">ensure that remedial action schemes </w:t>
      </w:r>
      <w:r w:rsidR="00BB2B0B" w:rsidRPr="007B1183">
        <w:rPr>
          <w:rFonts w:ascii="Times New Roman" w:hAnsi="Times New Roman" w:cs="Times New Roman"/>
          <w:sz w:val="26"/>
          <w:szCs w:val="26"/>
        </w:rPr>
        <w:t xml:space="preserve">(RAS) </w:t>
      </w:r>
      <w:r w:rsidR="00511834" w:rsidRPr="007B1183">
        <w:rPr>
          <w:rFonts w:ascii="Times New Roman" w:hAnsi="Times New Roman" w:cs="Times New Roman"/>
          <w:sz w:val="26"/>
          <w:szCs w:val="26"/>
        </w:rPr>
        <w:t>do not introduce unintentional or unacceptable reliability risks to the bulk electric system.</w:t>
      </w:r>
      <w:r w:rsidR="00BB2B0B" w:rsidRPr="007B1183">
        <w:rPr>
          <w:rFonts w:ascii="Times New Roman" w:hAnsi="Times New Roman" w:cs="Times New Roman"/>
          <w:sz w:val="26"/>
          <w:szCs w:val="26"/>
        </w:rPr>
        <w:t xml:space="preserve"> </w:t>
      </w:r>
      <w:r w:rsidR="00511834" w:rsidRPr="007B1183">
        <w:rPr>
          <w:rFonts w:ascii="Times New Roman" w:hAnsi="Times New Roman" w:cs="Times New Roman"/>
          <w:sz w:val="26"/>
          <w:szCs w:val="26"/>
        </w:rPr>
        <w:t xml:space="preserve"> </w:t>
      </w:r>
      <w:r w:rsidR="00BB2B0B" w:rsidRPr="007B1183">
        <w:rPr>
          <w:rFonts w:ascii="Times New Roman" w:hAnsi="Times New Roman" w:cs="Times New Roman"/>
          <w:sz w:val="26"/>
          <w:szCs w:val="26"/>
        </w:rPr>
        <w:t xml:space="preserve"> </w:t>
      </w:r>
      <w:r w:rsidR="002F288D" w:rsidRPr="007B1183">
        <w:rPr>
          <w:rFonts w:ascii="Times New Roman" w:hAnsi="Times New Roman" w:cs="Times New Roman"/>
          <w:sz w:val="26"/>
          <w:szCs w:val="26"/>
        </w:rPr>
        <w:t xml:space="preserve">The </w:t>
      </w:r>
      <w:r w:rsidRPr="007B1183">
        <w:rPr>
          <w:rFonts w:ascii="Times New Roman" w:hAnsi="Times New Roman" w:cs="Times New Roman"/>
          <w:sz w:val="26"/>
          <w:szCs w:val="26"/>
        </w:rPr>
        <w:t xml:space="preserve">Commission proposes that there are benefits to clarifying and bringing efficiencies to the </w:t>
      </w:r>
      <w:r w:rsidR="00595EE4" w:rsidRPr="007B1183">
        <w:rPr>
          <w:rFonts w:ascii="Times New Roman" w:hAnsi="Times New Roman" w:cs="Times New Roman"/>
          <w:sz w:val="26"/>
          <w:szCs w:val="26"/>
        </w:rPr>
        <w:t xml:space="preserve">PRC </w:t>
      </w:r>
      <w:r w:rsidRPr="007B1183">
        <w:rPr>
          <w:rFonts w:ascii="Times New Roman" w:hAnsi="Times New Roman" w:cs="Times New Roman"/>
          <w:sz w:val="26"/>
          <w:szCs w:val="26"/>
        </w:rPr>
        <w:t>Reliability Standard, consistent with the Commission’s policy promoting increased efficiencies in Reliability Standards and reducing requirements that are either redundant with other currently-effective requirements or have little reliability benefit.</w:t>
      </w:r>
      <w:r w:rsidRPr="007B1183">
        <w:rPr>
          <w:rStyle w:val="FootnoteReference"/>
          <w:rFonts w:ascii="Times New Roman" w:hAnsi="Times New Roman" w:cs="Times New Roman"/>
          <w:sz w:val="26"/>
          <w:szCs w:val="26"/>
          <w:vertAlign w:val="superscript"/>
        </w:rPr>
        <w:footnoteReference w:id="13"/>
      </w:r>
      <w:r w:rsidRPr="007B1183">
        <w:rPr>
          <w:rFonts w:ascii="Times New Roman" w:hAnsi="Times New Roman" w:cs="Times New Roman"/>
          <w:sz w:val="26"/>
          <w:szCs w:val="26"/>
        </w:rPr>
        <w:t xml:space="preserve">  </w:t>
      </w:r>
    </w:p>
    <w:p w14:paraId="58FAC670" w14:textId="77777777" w:rsidR="002F288D" w:rsidRPr="007B1183" w:rsidRDefault="002F288D" w:rsidP="008E5E77">
      <w:pPr>
        <w:pStyle w:val="FERCparanumber"/>
        <w:widowControl/>
        <w:numPr>
          <w:ilvl w:val="0"/>
          <w:numId w:val="0"/>
        </w:numPr>
        <w:rPr>
          <w:rFonts w:ascii="Times New Roman" w:hAnsi="Times New Roman" w:cs="Times New Roman"/>
          <w:sz w:val="26"/>
          <w:szCs w:val="26"/>
        </w:rPr>
      </w:pPr>
    </w:p>
    <w:p w14:paraId="279B8D15" w14:textId="77777777" w:rsidR="002B6B7A" w:rsidRPr="007B1183" w:rsidRDefault="002B6B7A" w:rsidP="008E5E77">
      <w:pPr>
        <w:pStyle w:val="FERCparanumber"/>
        <w:widowControl/>
        <w:numPr>
          <w:ilvl w:val="0"/>
          <w:numId w:val="0"/>
        </w:numPr>
        <w:rPr>
          <w:rFonts w:ascii="Times New Roman" w:hAnsi="Times New Roman" w:cs="Times New Roman"/>
          <w:sz w:val="26"/>
          <w:szCs w:val="26"/>
        </w:rPr>
      </w:pPr>
      <w:r w:rsidRPr="007B1183">
        <w:rPr>
          <w:rFonts w:ascii="Times New Roman" w:hAnsi="Times New Roman" w:cs="Times New Roman"/>
          <w:b/>
          <w:sz w:val="26"/>
          <w:szCs w:val="26"/>
        </w:rPr>
        <w:t>FERC-725A:</w:t>
      </w:r>
      <w:r w:rsidRPr="007B1183">
        <w:rPr>
          <w:rFonts w:ascii="Times New Roman" w:hAnsi="Times New Roman" w:cs="Times New Roman"/>
          <w:sz w:val="26"/>
          <w:szCs w:val="26"/>
        </w:rPr>
        <w:t xml:space="preserve"> Order No. 693, approving 83 of the 107 Reliability Standards filed by NERC, including Reliability Standards PRC-015-1 (Remedial Action Scheme Data and Documentation) and PRC-016-1 (Remedial</w:t>
      </w:r>
      <w:r w:rsidR="00191E24">
        <w:rPr>
          <w:rFonts w:ascii="Times New Roman" w:hAnsi="Times New Roman" w:cs="Times New Roman"/>
          <w:sz w:val="26"/>
          <w:szCs w:val="26"/>
        </w:rPr>
        <w:t xml:space="preserve"> Action Scheme </w:t>
      </w:r>
      <w:proofErr w:type="spellStart"/>
      <w:r w:rsidR="00191E24">
        <w:rPr>
          <w:rFonts w:ascii="Times New Roman" w:hAnsi="Times New Roman" w:cs="Times New Roman"/>
          <w:sz w:val="26"/>
          <w:szCs w:val="26"/>
        </w:rPr>
        <w:t>Misoperation</w:t>
      </w:r>
      <w:proofErr w:type="spellEnd"/>
      <w:r w:rsidR="00191E24">
        <w:rPr>
          <w:rFonts w:ascii="Times New Roman" w:hAnsi="Times New Roman" w:cs="Times New Roman"/>
          <w:sz w:val="26"/>
          <w:szCs w:val="26"/>
        </w:rPr>
        <w:t xml:space="preserve">).  </w:t>
      </w:r>
      <w:r w:rsidRPr="007B1183">
        <w:rPr>
          <w:rFonts w:ascii="Times New Roman" w:hAnsi="Times New Roman" w:cs="Times New Roman"/>
          <w:sz w:val="26"/>
          <w:szCs w:val="26"/>
        </w:rPr>
        <w:t xml:space="preserve">Reliability Standard PRC-015-1 requires transmission owners, generator owners, and distribution providers to maintain a listing, retain evidence or review and provide documentation of existing, new or functionally modified special protection systems.  </w:t>
      </w:r>
      <w:r w:rsidR="001D3840" w:rsidRPr="007B1183">
        <w:rPr>
          <w:rFonts w:ascii="Times New Roman" w:hAnsi="Times New Roman" w:cs="Times New Roman"/>
          <w:sz w:val="26"/>
          <w:szCs w:val="26"/>
        </w:rPr>
        <w:t>In this NOPR, these two Reliability Standards</w:t>
      </w:r>
      <w:r w:rsidR="00191E24">
        <w:rPr>
          <w:rFonts w:ascii="Times New Roman" w:hAnsi="Times New Roman" w:cs="Times New Roman"/>
          <w:sz w:val="26"/>
          <w:szCs w:val="26"/>
        </w:rPr>
        <w:t xml:space="preserve"> (PRC-016-1 and PRC-015-1)</w:t>
      </w:r>
      <w:r w:rsidR="001D3840" w:rsidRPr="007B1183">
        <w:rPr>
          <w:rFonts w:ascii="Times New Roman" w:hAnsi="Times New Roman" w:cs="Times New Roman"/>
          <w:sz w:val="26"/>
          <w:szCs w:val="26"/>
        </w:rPr>
        <w:t xml:space="preserve"> are being retired.</w:t>
      </w:r>
      <w:r w:rsidRPr="007B1183">
        <w:rPr>
          <w:rFonts w:ascii="Times New Roman" w:hAnsi="Times New Roman" w:cs="Times New Roman"/>
          <w:sz w:val="26"/>
          <w:szCs w:val="26"/>
        </w:rPr>
        <w:t xml:space="preserve"> </w:t>
      </w:r>
    </w:p>
    <w:p w14:paraId="158022AB" w14:textId="77777777" w:rsidR="002B6B7A" w:rsidRPr="007B1183" w:rsidRDefault="002B6B7A" w:rsidP="008E5E77">
      <w:pPr>
        <w:pStyle w:val="FERCparanumber"/>
        <w:widowControl/>
        <w:numPr>
          <w:ilvl w:val="0"/>
          <w:numId w:val="0"/>
        </w:numPr>
        <w:rPr>
          <w:rFonts w:ascii="Times New Roman" w:hAnsi="Times New Roman" w:cs="Times New Roman"/>
          <w:sz w:val="26"/>
          <w:szCs w:val="26"/>
        </w:rPr>
      </w:pPr>
    </w:p>
    <w:p w14:paraId="6FBEAAE6" w14:textId="77777777" w:rsidR="001D3840" w:rsidRPr="007B1183" w:rsidRDefault="002B6B7A" w:rsidP="008E5E77">
      <w:pPr>
        <w:pStyle w:val="FERCparanumber"/>
        <w:numPr>
          <w:ilvl w:val="0"/>
          <w:numId w:val="0"/>
        </w:numPr>
        <w:rPr>
          <w:rFonts w:ascii="Times New Roman" w:hAnsi="Times New Roman" w:cs="Times New Roman"/>
          <w:sz w:val="26"/>
          <w:szCs w:val="26"/>
        </w:rPr>
      </w:pPr>
      <w:r w:rsidRPr="007B1183">
        <w:rPr>
          <w:rFonts w:ascii="Times New Roman" w:hAnsi="Times New Roman" w:cs="Times New Roman"/>
          <w:b/>
          <w:sz w:val="26"/>
          <w:szCs w:val="26"/>
        </w:rPr>
        <w:t xml:space="preserve">FERC-725G: </w:t>
      </w:r>
      <w:r w:rsidR="001D3840" w:rsidRPr="007B1183">
        <w:rPr>
          <w:rFonts w:ascii="Times New Roman" w:hAnsi="Times New Roman" w:cs="Times New Roman"/>
          <w:sz w:val="26"/>
          <w:szCs w:val="26"/>
        </w:rPr>
        <w:t>On August 5, 2016, NERC submitted a petition seeking Commission approval of proposed Reliability Standard PRC-012-2.</w:t>
      </w:r>
      <w:r w:rsidR="001D3840" w:rsidRPr="007B1183">
        <w:rPr>
          <w:rFonts w:ascii="Times New Roman" w:hAnsi="Times New Roman" w:cs="Times New Roman"/>
          <w:b/>
          <w:sz w:val="26"/>
          <w:szCs w:val="26"/>
          <w:vertAlign w:val="superscript"/>
        </w:rPr>
        <w:footnoteReference w:id="14"/>
      </w:r>
      <w:r w:rsidR="001D3840" w:rsidRPr="007B1183">
        <w:rPr>
          <w:rFonts w:ascii="Times New Roman" w:hAnsi="Times New Roman" w:cs="Times New Roman"/>
          <w:sz w:val="26"/>
          <w:szCs w:val="26"/>
        </w:rPr>
        <w:t xml:space="preserve">  NERC contends that proposed </w:t>
      </w:r>
      <w:r w:rsidR="001D3840" w:rsidRPr="007B1183">
        <w:rPr>
          <w:rFonts w:ascii="Times New Roman" w:hAnsi="Times New Roman" w:cs="Times New Roman"/>
          <w:sz w:val="26"/>
          <w:szCs w:val="26"/>
        </w:rPr>
        <w:lastRenderedPageBreak/>
        <w:t>Reliability Standard PRC-012-2 is just, reasonable, not unduly discriminatory or preferential, and in the public interest.</w:t>
      </w:r>
      <w:r w:rsidR="001D3840" w:rsidRPr="007B1183">
        <w:rPr>
          <w:rFonts w:ascii="Times New Roman" w:hAnsi="Times New Roman" w:cs="Times New Roman"/>
          <w:b/>
          <w:sz w:val="26"/>
          <w:szCs w:val="26"/>
          <w:vertAlign w:val="superscript"/>
        </w:rPr>
        <w:footnoteReference w:id="15"/>
      </w:r>
      <w:r w:rsidR="001D3840" w:rsidRPr="007B1183">
        <w:rPr>
          <w:rFonts w:ascii="Times New Roman" w:hAnsi="Times New Roman" w:cs="Times New Roman"/>
          <w:sz w:val="26"/>
          <w:szCs w:val="26"/>
        </w:rPr>
        <w:t xml:space="preserve">  NERC explains that the intent of proposed Reliability Standard PRC-012-2 is to supersede “pending” Reliability Standards PRC-012-1, PRC-013-1, and PRC-014-1 and to retire and replace currently-effective Reliability Standards PRC-015-1 and PRC-016-1.</w:t>
      </w:r>
      <w:r w:rsidR="001D3840" w:rsidRPr="007B1183">
        <w:rPr>
          <w:rFonts w:ascii="Times New Roman" w:hAnsi="Times New Roman" w:cs="Times New Roman"/>
          <w:b/>
          <w:sz w:val="26"/>
          <w:szCs w:val="26"/>
          <w:vertAlign w:val="superscript"/>
        </w:rPr>
        <w:footnoteReference w:id="16"/>
      </w:r>
      <w:r w:rsidR="001D3840" w:rsidRPr="007B1183">
        <w:rPr>
          <w:rFonts w:ascii="Times New Roman" w:hAnsi="Times New Roman" w:cs="Times New Roman"/>
          <w:sz w:val="26"/>
          <w:szCs w:val="26"/>
        </w:rPr>
        <w:t xml:space="preserve">  NERC states that proposed Reliability Standard PRC-012-2 represents substantial improvements over these Reliability Standards because it streamlines and consolidates existing requirements; corrects the applicability of previously unapproved Reliability Standards; and implements a continent-wide RAS review program.</w:t>
      </w:r>
      <w:r w:rsidR="001D3840" w:rsidRPr="007B1183">
        <w:rPr>
          <w:rFonts w:ascii="Times New Roman" w:hAnsi="Times New Roman" w:cs="Times New Roman"/>
          <w:b/>
          <w:sz w:val="26"/>
          <w:szCs w:val="26"/>
          <w:vertAlign w:val="superscript"/>
        </w:rPr>
        <w:footnoteReference w:id="17"/>
      </w:r>
    </w:p>
    <w:p w14:paraId="00AF1CEA" w14:textId="77777777" w:rsidR="002B6B7A" w:rsidRPr="007B1183" w:rsidRDefault="002B6B7A" w:rsidP="008E5E77">
      <w:pPr>
        <w:pStyle w:val="FERCparanumber"/>
        <w:widowControl/>
        <w:numPr>
          <w:ilvl w:val="0"/>
          <w:numId w:val="0"/>
        </w:numPr>
        <w:rPr>
          <w:rFonts w:ascii="Times New Roman" w:hAnsi="Times New Roman" w:cs="Times New Roman"/>
          <w:sz w:val="26"/>
          <w:szCs w:val="26"/>
        </w:rPr>
      </w:pPr>
    </w:p>
    <w:p w14:paraId="58F4EB16" w14:textId="77777777" w:rsidR="00EF1EFD" w:rsidRPr="007B1183" w:rsidRDefault="00EF1EFD" w:rsidP="008E5E77">
      <w:pPr>
        <w:widowControl w:val="0"/>
        <w:numPr>
          <w:ilvl w:val="0"/>
          <w:numId w:val="1"/>
        </w:numPr>
        <w:autoSpaceDE w:val="0"/>
        <w:autoSpaceDN w:val="0"/>
        <w:adjustRightInd w:val="0"/>
        <w:spacing w:after="0" w:line="240" w:lineRule="auto"/>
        <w:rPr>
          <w:rFonts w:ascii="Times New Roman" w:hAnsi="Times New Roman" w:cs="Times New Roman"/>
          <w:b/>
          <w:bCs/>
          <w:sz w:val="26"/>
          <w:szCs w:val="26"/>
        </w:rPr>
      </w:pPr>
      <w:r w:rsidRPr="007B1183">
        <w:rPr>
          <w:rFonts w:ascii="Times New Roman" w:hAnsi="Times New Roman" w:cs="Times New Roman"/>
          <w:b/>
          <w:bCs/>
          <w:sz w:val="26"/>
          <w:szCs w:val="26"/>
        </w:rPr>
        <w:t>HOW, BY WHOM, AND FOR WHAT PURPOSE THE INFORMATION IS TO BE USED AND THE CONSEQUENCES OF NOT COLLECTING THE INFORMATION</w:t>
      </w:r>
    </w:p>
    <w:p w14:paraId="46EBA008" w14:textId="77777777" w:rsidR="00EF1EFD" w:rsidRPr="007B1183" w:rsidRDefault="00EF1EFD" w:rsidP="008E5E77">
      <w:pPr>
        <w:widowControl w:val="0"/>
        <w:autoSpaceDE w:val="0"/>
        <w:autoSpaceDN w:val="0"/>
        <w:adjustRightInd w:val="0"/>
        <w:spacing w:after="0" w:line="240" w:lineRule="auto"/>
        <w:ind w:left="360"/>
        <w:rPr>
          <w:rFonts w:ascii="Times New Roman" w:hAnsi="Times New Roman" w:cs="Times New Roman"/>
          <w:b/>
          <w:bCs/>
          <w:sz w:val="26"/>
          <w:szCs w:val="26"/>
        </w:rPr>
      </w:pPr>
    </w:p>
    <w:p w14:paraId="58672D91" w14:textId="77777777" w:rsidR="002B6B7A" w:rsidRPr="007B1183" w:rsidDel="00A12F2C" w:rsidRDefault="002B6B7A" w:rsidP="008E5E77">
      <w:pPr>
        <w:spacing w:line="240" w:lineRule="auto"/>
        <w:rPr>
          <w:rFonts w:ascii="Times New Roman" w:hAnsi="Times New Roman" w:cs="Times New Roman"/>
          <w:sz w:val="26"/>
          <w:szCs w:val="26"/>
        </w:rPr>
      </w:pPr>
      <w:r w:rsidRPr="007B1183" w:rsidDel="00A12F2C">
        <w:rPr>
          <w:rFonts w:ascii="Times New Roman" w:hAnsi="Times New Roman" w:cs="Times New Roman"/>
          <w:sz w:val="26"/>
          <w:szCs w:val="26"/>
        </w:rPr>
        <w:t>In general, information collection and record retention requirements related to Reliability Standards are not submitted to, or retained for audit by, FERC.  Rather they are submitted to, or retained for audit by, NERC or the Compliance Enforcement Authority, as specified in each individual Reliability Standard.</w:t>
      </w:r>
    </w:p>
    <w:p w14:paraId="094C0BA4" w14:textId="77777777" w:rsidR="00EF1EFD" w:rsidRPr="007B1183" w:rsidRDefault="00BB216C" w:rsidP="008E5E77">
      <w:pPr>
        <w:spacing w:line="240" w:lineRule="auto"/>
        <w:rPr>
          <w:rFonts w:ascii="Times New Roman" w:hAnsi="Times New Roman" w:cs="Times New Roman"/>
          <w:sz w:val="26"/>
          <w:szCs w:val="26"/>
        </w:rPr>
      </w:pPr>
      <w:r w:rsidRPr="007B1183">
        <w:rPr>
          <w:rFonts w:ascii="Times New Roman" w:hAnsi="Times New Roman" w:cs="Times New Roman"/>
          <w:b/>
          <w:sz w:val="26"/>
          <w:szCs w:val="26"/>
        </w:rPr>
        <w:t>FERC-725A</w:t>
      </w:r>
      <w:r w:rsidR="002B6B7A" w:rsidRPr="007B1183">
        <w:rPr>
          <w:rFonts w:ascii="Times New Roman" w:hAnsi="Times New Roman" w:cs="Times New Roman"/>
          <w:sz w:val="26"/>
          <w:szCs w:val="26"/>
        </w:rPr>
        <w:t xml:space="preserve"> and</w:t>
      </w:r>
      <w:r w:rsidR="002B6B7A" w:rsidRPr="007B1183">
        <w:rPr>
          <w:rFonts w:ascii="Times New Roman" w:hAnsi="Times New Roman" w:cs="Times New Roman"/>
          <w:b/>
          <w:sz w:val="26"/>
          <w:szCs w:val="26"/>
        </w:rPr>
        <w:t xml:space="preserve"> </w:t>
      </w:r>
      <w:r w:rsidRPr="007B1183">
        <w:rPr>
          <w:rFonts w:ascii="Times New Roman" w:hAnsi="Times New Roman" w:cs="Times New Roman"/>
          <w:b/>
          <w:sz w:val="26"/>
          <w:szCs w:val="26"/>
        </w:rPr>
        <w:t>FERC-725G:</w:t>
      </w:r>
      <w:r w:rsidRPr="007B1183">
        <w:rPr>
          <w:rFonts w:ascii="Times New Roman" w:hAnsi="Times New Roman" w:cs="Times New Roman"/>
          <w:sz w:val="26"/>
          <w:szCs w:val="26"/>
        </w:rPr>
        <w:t xml:space="preserve"> </w:t>
      </w:r>
      <w:r w:rsidR="00EF1EFD" w:rsidRPr="007B1183">
        <w:rPr>
          <w:rFonts w:ascii="Times New Roman" w:hAnsi="Times New Roman" w:cs="Times New Roman"/>
          <w:sz w:val="26"/>
          <w:szCs w:val="26"/>
        </w:rPr>
        <w:t>The applicable entit</w:t>
      </w:r>
      <w:r w:rsidR="00595EE4" w:rsidRPr="007B1183">
        <w:rPr>
          <w:rFonts w:ascii="Times New Roman" w:hAnsi="Times New Roman" w:cs="Times New Roman"/>
          <w:sz w:val="26"/>
          <w:szCs w:val="26"/>
        </w:rPr>
        <w:t>ies of the Reliability Standard</w:t>
      </w:r>
      <w:r w:rsidR="00EF1EFD" w:rsidRPr="007B1183">
        <w:rPr>
          <w:rFonts w:ascii="Times New Roman" w:hAnsi="Times New Roman" w:cs="Times New Roman"/>
          <w:sz w:val="26"/>
          <w:szCs w:val="26"/>
        </w:rPr>
        <w:t xml:space="preserve"> </w:t>
      </w:r>
      <w:r w:rsidR="00774AAE" w:rsidRPr="007B1183">
        <w:rPr>
          <w:rFonts w:ascii="Times New Roman" w:hAnsi="Times New Roman" w:cs="Times New Roman"/>
          <w:sz w:val="26"/>
          <w:szCs w:val="26"/>
        </w:rPr>
        <w:t xml:space="preserve">requires </w:t>
      </w:r>
      <w:r w:rsidR="005A46DE" w:rsidRPr="007B1183">
        <w:rPr>
          <w:rFonts w:ascii="Times New Roman" w:hAnsi="Times New Roman" w:cs="Times New Roman"/>
          <w:sz w:val="26"/>
          <w:szCs w:val="26"/>
        </w:rPr>
        <w:t>reliability coordinators, planning coordinators, and RAS-entities. The reliability coordinator must complete the review before an entity places a new or functionally modified RAS into service. Proposed Requirement R4 requires the planning coordinator to perform a periodic evaluation of each RAS within its planning area, at least once every five years.</w:t>
      </w:r>
      <w:r w:rsidR="005A46DE" w:rsidRPr="007B1183">
        <w:rPr>
          <w:rFonts w:ascii="Times New Roman" w:hAnsi="Times New Roman" w:cs="Times New Roman"/>
          <w:b/>
          <w:sz w:val="26"/>
          <w:szCs w:val="26"/>
          <w:vertAlign w:val="superscript"/>
        </w:rPr>
        <w:footnoteReference w:id="18"/>
      </w:r>
      <w:r w:rsidR="005A46DE" w:rsidRPr="007B1183">
        <w:rPr>
          <w:rFonts w:ascii="Times New Roman" w:hAnsi="Times New Roman" w:cs="Times New Roman"/>
          <w:sz w:val="26"/>
          <w:szCs w:val="26"/>
        </w:rPr>
        <w:t xml:space="preserve">  The evaluation must determine, </w:t>
      </w:r>
      <w:r w:rsidR="005A46DE" w:rsidRPr="007B1183">
        <w:rPr>
          <w:rFonts w:ascii="Times New Roman" w:hAnsi="Times New Roman" w:cs="Times New Roman"/>
          <w:i/>
          <w:sz w:val="26"/>
          <w:szCs w:val="26"/>
        </w:rPr>
        <w:t>inter alia</w:t>
      </w:r>
      <w:r w:rsidR="005A46DE" w:rsidRPr="007B1183">
        <w:rPr>
          <w:rFonts w:ascii="Times New Roman" w:hAnsi="Times New Roman" w:cs="Times New Roman"/>
          <w:sz w:val="26"/>
          <w:szCs w:val="26"/>
        </w:rPr>
        <w:t>, whether each RAS:  (1) mitigates the system conditions or contingencies for which it was designed; and (2) avoids adverse interactions with other RAS and protection systems.  Proposed Requirement R4, Part 4.1.3 footnote 1 defines a certain subset of RAS as “limited impact” RAS to mean “A RAS designated as limited impact cannot, by inadvertent operation or failure to operate, cause or contribute</w:t>
      </w:r>
      <w:r w:rsidR="0014386B" w:rsidRPr="007B1183">
        <w:rPr>
          <w:rFonts w:ascii="Times New Roman" w:hAnsi="Times New Roman" w:cs="Times New Roman"/>
          <w:sz w:val="26"/>
          <w:szCs w:val="26"/>
        </w:rPr>
        <w:t xml:space="preserve"> to BES Cascading, uncontrolled separation, angular instability, </w:t>
      </w:r>
      <w:r w:rsidR="0014386B" w:rsidRPr="007B1183">
        <w:rPr>
          <w:rFonts w:ascii="Times New Roman" w:hAnsi="Times New Roman" w:cs="Times New Roman"/>
          <w:sz w:val="26"/>
          <w:szCs w:val="26"/>
        </w:rPr>
        <w:lastRenderedPageBreak/>
        <w:t>voltage instability, voltage collapse, or unacceptably damped oscillations.”</w:t>
      </w:r>
      <w:r w:rsidR="0014386B" w:rsidRPr="007B1183">
        <w:rPr>
          <w:rFonts w:ascii="Times New Roman" w:hAnsi="Times New Roman" w:cs="Times New Roman"/>
          <w:b/>
          <w:sz w:val="26"/>
          <w:szCs w:val="26"/>
          <w:vertAlign w:val="superscript"/>
        </w:rPr>
        <w:footnoteReference w:id="19"/>
      </w:r>
      <w:r w:rsidR="0014386B" w:rsidRPr="007B1183">
        <w:rPr>
          <w:rFonts w:ascii="Times New Roman" w:hAnsi="Times New Roman" w:cs="Times New Roman"/>
          <w:sz w:val="26"/>
          <w:szCs w:val="26"/>
        </w:rPr>
        <w:t xml:space="preserve">  </w:t>
      </w:r>
      <w:r w:rsidR="00EF1EFD" w:rsidRPr="007B1183">
        <w:rPr>
          <w:rFonts w:ascii="Times New Roman" w:hAnsi="Times New Roman" w:cs="Times New Roman"/>
          <w:sz w:val="26"/>
          <w:szCs w:val="26"/>
        </w:rPr>
        <w:t>Without collecting this information</w:t>
      </w:r>
      <w:r w:rsidR="00191E24">
        <w:rPr>
          <w:rFonts w:ascii="Times New Roman" w:hAnsi="Times New Roman" w:cs="Times New Roman"/>
          <w:sz w:val="26"/>
          <w:szCs w:val="26"/>
        </w:rPr>
        <w:t xml:space="preserve"> at the proposed frequency</w:t>
      </w:r>
      <w:r w:rsidR="00EF1EFD" w:rsidRPr="007B1183">
        <w:rPr>
          <w:rFonts w:ascii="Times New Roman" w:hAnsi="Times New Roman" w:cs="Times New Roman"/>
          <w:sz w:val="26"/>
          <w:szCs w:val="26"/>
        </w:rPr>
        <w:t>, reliability of the bulk-power system could become compromised potentially resulting in wide spread outages.</w:t>
      </w:r>
    </w:p>
    <w:p w14:paraId="45673EA3" w14:textId="77777777" w:rsidR="00EF1EFD" w:rsidRPr="007B1183" w:rsidRDefault="00EF1EFD" w:rsidP="008E5E77">
      <w:pPr>
        <w:widowControl w:val="0"/>
        <w:numPr>
          <w:ilvl w:val="0"/>
          <w:numId w:val="1"/>
        </w:numPr>
        <w:autoSpaceDE w:val="0"/>
        <w:autoSpaceDN w:val="0"/>
        <w:adjustRightInd w:val="0"/>
        <w:spacing w:after="0" w:line="240" w:lineRule="auto"/>
        <w:rPr>
          <w:rFonts w:ascii="Times New Roman" w:hAnsi="Times New Roman" w:cs="Times New Roman"/>
          <w:b/>
          <w:bCs/>
          <w:sz w:val="26"/>
          <w:szCs w:val="26"/>
        </w:rPr>
      </w:pPr>
      <w:r w:rsidRPr="007B1183">
        <w:rPr>
          <w:rFonts w:ascii="Times New Roman" w:hAnsi="Times New Roman" w:cs="Times New Roman"/>
          <w:b/>
          <w:bCs/>
          <w:sz w:val="26"/>
          <w:szCs w:val="26"/>
        </w:rPr>
        <w:t>DESCRIBE ANY CONSIDERATION OF THE USE OF IMPROVED TECHNOLOGY TO REDUCE BURDEN AND TECHNICAL OR LEGAL OBSTACLES TO REDUCING BURDEN.</w:t>
      </w:r>
    </w:p>
    <w:p w14:paraId="24DAC590" w14:textId="77777777" w:rsidR="00EF1EFD" w:rsidRPr="007B1183" w:rsidRDefault="00EF1EFD" w:rsidP="008E5E77">
      <w:pPr>
        <w:widowControl w:val="0"/>
        <w:autoSpaceDE w:val="0"/>
        <w:autoSpaceDN w:val="0"/>
        <w:adjustRightInd w:val="0"/>
        <w:spacing w:after="0" w:line="240" w:lineRule="auto"/>
        <w:ind w:left="360"/>
        <w:rPr>
          <w:rFonts w:ascii="Times New Roman" w:hAnsi="Times New Roman" w:cs="Times New Roman"/>
          <w:b/>
          <w:bCs/>
          <w:sz w:val="26"/>
          <w:szCs w:val="26"/>
        </w:rPr>
      </w:pPr>
    </w:p>
    <w:p w14:paraId="77D9F0B0" w14:textId="77777777" w:rsidR="000277D1" w:rsidRPr="000277D1" w:rsidRDefault="000277D1" w:rsidP="000277D1">
      <w:pPr>
        <w:spacing w:after="0" w:line="240" w:lineRule="auto"/>
        <w:rPr>
          <w:rFonts w:ascii="Times New Roman" w:hAnsi="Times New Roman" w:cs="Times New Roman"/>
          <w:sz w:val="26"/>
          <w:szCs w:val="26"/>
        </w:rPr>
      </w:pPr>
      <w:r w:rsidRPr="000277D1">
        <w:rPr>
          <w:rFonts w:ascii="Times New Roman" w:hAnsi="Times New Roman" w:cs="Times New Roman"/>
          <w:sz w:val="26"/>
          <w:szCs w:val="26"/>
        </w:rPr>
        <w:t xml:space="preserve">The use of current or improved technology and the medium are not covered in </w:t>
      </w:r>
      <w:r>
        <w:rPr>
          <w:rFonts w:ascii="Times New Roman" w:hAnsi="Times New Roman" w:cs="Times New Roman"/>
          <w:sz w:val="26"/>
          <w:szCs w:val="26"/>
        </w:rPr>
        <w:t>PRC</w:t>
      </w:r>
      <w:r w:rsidRPr="000277D1">
        <w:rPr>
          <w:rFonts w:ascii="Times New Roman" w:hAnsi="Times New Roman" w:cs="Times New Roman"/>
          <w:sz w:val="26"/>
          <w:szCs w:val="26"/>
        </w:rPr>
        <w:t xml:space="preserve"> Reliability Standards. </w:t>
      </w:r>
    </w:p>
    <w:p w14:paraId="7EF385CC" w14:textId="77777777" w:rsidR="000277D1" w:rsidRPr="000277D1" w:rsidRDefault="000277D1" w:rsidP="000277D1">
      <w:pPr>
        <w:spacing w:after="0" w:line="240" w:lineRule="auto"/>
        <w:rPr>
          <w:rFonts w:ascii="Times New Roman" w:hAnsi="Times New Roman" w:cs="Times New Roman"/>
          <w:sz w:val="26"/>
          <w:szCs w:val="26"/>
        </w:rPr>
      </w:pPr>
    </w:p>
    <w:p w14:paraId="5F60D8AC" w14:textId="77777777" w:rsidR="000277D1" w:rsidRPr="000277D1" w:rsidRDefault="000277D1" w:rsidP="000277D1">
      <w:pPr>
        <w:spacing w:after="0" w:line="240" w:lineRule="auto"/>
        <w:rPr>
          <w:rFonts w:ascii="Times New Roman" w:hAnsi="Times New Roman" w:cs="Times New Roman"/>
          <w:sz w:val="26"/>
          <w:szCs w:val="26"/>
        </w:rPr>
      </w:pPr>
      <w:r w:rsidRPr="000277D1">
        <w:rPr>
          <w:rFonts w:ascii="Times New Roman" w:hAnsi="Times New Roman" w:cs="Times New Roman"/>
          <w:sz w:val="26"/>
          <w:szCs w:val="26"/>
        </w:rPr>
        <w:t>We think that nearly all of the respondents are likely to make and keep related records in an electronic format.  Each of the eight Regional Entities has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password-protected user interface.</w:t>
      </w:r>
    </w:p>
    <w:p w14:paraId="2165182D" w14:textId="77777777" w:rsidR="000277D1" w:rsidRPr="000277D1" w:rsidRDefault="000277D1" w:rsidP="000277D1">
      <w:pPr>
        <w:spacing w:after="0" w:line="240" w:lineRule="auto"/>
        <w:rPr>
          <w:rFonts w:ascii="Times New Roman" w:hAnsi="Times New Roman" w:cs="Times New Roman"/>
          <w:sz w:val="26"/>
          <w:szCs w:val="26"/>
        </w:rPr>
      </w:pPr>
    </w:p>
    <w:p w14:paraId="3E5D3A15" w14:textId="77777777" w:rsidR="000277D1" w:rsidRPr="000277D1" w:rsidRDefault="000277D1" w:rsidP="000277D1">
      <w:pPr>
        <w:spacing w:after="0" w:line="240" w:lineRule="auto"/>
        <w:rPr>
          <w:rFonts w:ascii="Times New Roman" w:hAnsi="Times New Roman" w:cs="Times New Roman"/>
          <w:sz w:val="26"/>
          <w:szCs w:val="26"/>
        </w:rPr>
      </w:pPr>
      <w:r w:rsidRPr="000277D1">
        <w:rPr>
          <w:rFonts w:ascii="Times New Roman" w:hAnsi="Times New Roman" w:cs="Times New Roman"/>
          <w:sz w:val="26"/>
          <w:szCs w:val="26"/>
        </w:rPr>
        <w:t>In general, the Commission supports the use of information technology to reduce burden.</w:t>
      </w:r>
    </w:p>
    <w:p w14:paraId="198A1943" w14:textId="77777777" w:rsidR="000277D1" w:rsidRPr="000277D1" w:rsidRDefault="000277D1" w:rsidP="000277D1">
      <w:pPr>
        <w:spacing w:after="0" w:line="240" w:lineRule="auto"/>
        <w:rPr>
          <w:rFonts w:ascii="Times New Roman" w:hAnsi="Times New Roman" w:cs="Times New Roman"/>
          <w:sz w:val="26"/>
          <w:szCs w:val="26"/>
        </w:rPr>
      </w:pPr>
    </w:p>
    <w:p w14:paraId="61F7ECD0" w14:textId="77777777" w:rsidR="00EF1EFD" w:rsidRPr="007B1183" w:rsidRDefault="00EF1EFD" w:rsidP="008E5E77">
      <w:pPr>
        <w:spacing w:after="0" w:line="240" w:lineRule="auto"/>
        <w:rPr>
          <w:rFonts w:ascii="Times New Roman" w:hAnsi="Times New Roman" w:cs="Times New Roman"/>
          <w:b/>
          <w:bCs/>
          <w:sz w:val="26"/>
          <w:szCs w:val="26"/>
        </w:rPr>
      </w:pPr>
    </w:p>
    <w:p w14:paraId="7F44E0B8" w14:textId="77777777" w:rsidR="00EF1EFD" w:rsidRPr="007B1183" w:rsidRDefault="00EF1EFD" w:rsidP="008E5E7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DESCRIBE EFFORTS TO IDENTIFY DUPLICATION AND SHOW SPECIFICALLY WHY ANY SIMILAR INFORMATION ALREADY AVAILABLE CANNOT BE USED OR MODIFIED FOR USE FOR THE PURPOSE(S) DESCRIBED IN INSTRUCTION NO. 2</w:t>
      </w:r>
    </w:p>
    <w:p w14:paraId="106DE809" w14:textId="77777777" w:rsidR="00EF1EFD" w:rsidRPr="007B1183" w:rsidRDefault="00EF1EFD" w:rsidP="008E5E77">
      <w:pPr>
        <w:spacing w:line="240" w:lineRule="auto"/>
        <w:rPr>
          <w:rFonts w:ascii="Times New Roman" w:hAnsi="Times New Roman" w:cs="Times New Roman"/>
          <w:sz w:val="26"/>
          <w:szCs w:val="26"/>
        </w:rPr>
      </w:pPr>
    </w:p>
    <w:p w14:paraId="636B580A" w14:textId="77777777" w:rsidR="002B6B7A" w:rsidRPr="007B1183" w:rsidRDefault="002B6B7A" w:rsidP="008E5E77">
      <w:pPr>
        <w:spacing w:after="0" w:line="240" w:lineRule="auto"/>
        <w:rPr>
          <w:rFonts w:ascii="Times New Roman" w:hAnsi="Times New Roman" w:cs="Times New Roman"/>
          <w:sz w:val="26"/>
          <w:szCs w:val="26"/>
        </w:rPr>
      </w:pPr>
      <w:r w:rsidRPr="007B1183">
        <w:rPr>
          <w:rFonts w:ascii="Times New Roman" w:hAnsi="Times New Roman" w:cs="Times New Roman"/>
          <w:b/>
          <w:sz w:val="26"/>
          <w:szCs w:val="26"/>
        </w:rPr>
        <w:t>FERC-725A and FERC-725G:</w:t>
      </w:r>
      <w:r w:rsidRPr="007B1183">
        <w:rPr>
          <w:rFonts w:ascii="Times New Roman" w:hAnsi="Times New Roman" w:cs="Times New Roman"/>
          <w:sz w:val="26"/>
          <w:szCs w:val="26"/>
        </w:rPr>
        <w:t xml:space="preserve"> Filing requirements are periodically reviewed as OMB review dates arise or as the Commission may deem necessary in carrying out its regulatory responsibilities</w:t>
      </w:r>
      <w:r w:rsidRPr="007B1183">
        <w:rPr>
          <w:rFonts w:ascii="Times New Roman" w:eastAsia="Calibri" w:hAnsi="Times New Roman" w:cs="Times New Roman"/>
          <w:sz w:val="26"/>
          <w:szCs w:val="26"/>
        </w:rPr>
        <w:t xml:space="preserve"> </w:t>
      </w:r>
      <w:r w:rsidRPr="007B1183">
        <w:rPr>
          <w:rFonts w:ascii="Times New Roman" w:hAnsi="Times New Roman" w:cs="Times New Roman"/>
          <w:sz w:val="26"/>
          <w:szCs w:val="26"/>
        </w:rPr>
        <w:t xml:space="preserve">under the FPA in order to eliminate duplication and ensure that filing burden is minimized. There are no similar sources for information available that can be used or modified for these reporting purposes. </w:t>
      </w:r>
    </w:p>
    <w:p w14:paraId="281D6F5F" w14:textId="77777777" w:rsidR="002B6B7A" w:rsidRPr="007B1183" w:rsidRDefault="002B6B7A" w:rsidP="008E5E77">
      <w:pPr>
        <w:spacing w:line="240" w:lineRule="auto"/>
        <w:rPr>
          <w:rFonts w:ascii="Times New Roman" w:hAnsi="Times New Roman" w:cs="Times New Roman"/>
          <w:b/>
          <w:bCs/>
          <w:sz w:val="26"/>
          <w:szCs w:val="26"/>
        </w:rPr>
      </w:pPr>
    </w:p>
    <w:p w14:paraId="0C464D08" w14:textId="77777777" w:rsidR="00EF1EFD" w:rsidRPr="007B1183" w:rsidRDefault="00EF1EFD" w:rsidP="008E5E77">
      <w:pPr>
        <w:pStyle w:val="ListParagraph"/>
        <w:numPr>
          <w:ilvl w:val="0"/>
          <w:numId w:val="1"/>
        </w:numPr>
        <w:spacing w:line="240" w:lineRule="auto"/>
        <w:rPr>
          <w:rFonts w:ascii="Times New Roman" w:hAnsi="Times New Roman" w:cs="Times New Roman"/>
          <w:sz w:val="26"/>
          <w:szCs w:val="26"/>
        </w:rPr>
      </w:pPr>
      <w:r w:rsidRPr="007B1183">
        <w:rPr>
          <w:rFonts w:ascii="Times New Roman" w:hAnsi="Times New Roman" w:cs="Times New Roman"/>
          <w:b/>
          <w:bCs/>
          <w:sz w:val="26"/>
          <w:szCs w:val="26"/>
        </w:rPr>
        <w:t>METHODS USED TO MINIMIZE BURDEN IN COLLECTION OF INFORMATION INVOLVING SMALL ENTITIES</w:t>
      </w:r>
    </w:p>
    <w:p w14:paraId="0005E442" w14:textId="77777777" w:rsidR="00D15355" w:rsidRPr="007B1183" w:rsidRDefault="00D3787A" w:rsidP="008E5E77">
      <w:pPr>
        <w:spacing w:line="240" w:lineRule="auto"/>
        <w:rPr>
          <w:rFonts w:ascii="Times New Roman" w:hAnsi="Times New Roman" w:cs="Times New Roman"/>
          <w:bCs/>
          <w:sz w:val="26"/>
          <w:szCs w:val="26"/>
        </w:rPr>
      </w:pPr>
      <w:r w:rsidRPr="007B1183">
        <w:rPr>
          <w:rFonts w:ascii="Times New Roman" w:hAnsi="Times New Roman" w:cs="Times New Roman"/>
          <w:b/>
          <w:bCs/>
          <w:sz w:val="26"/>
          <w:szCs w:val="26"/>
        </w:rPr>
        <w:lastRenderedPageBreak/>
        <w:t>FERC-725A</w:t>
      </w:r>
      <w:r w:rsidR="00415CF3" w:rsidRPr="007B1183">
        <w:rPr>
          <w:rFonts w:ascii="Times New Roman" w:hAnsi="Times New Roman" w:cs="Times New Roman"/>
          <w:b/>
          <w:bCs/>
          <w:sz w:val="26"/>
          <w:szCs w:val="26"/>
        </w:rPr>
        <w:t xml:space="preserve"> and FERC-725G</w:t>
      </w:r>
      <w:r w:rsidRPr="007B1183">
        <w:rPr>
          <w:rFonts w:ascii="Times New Roman" w:hAnsi="Times New Roman" w:cs="Times New Roman"/>
          <w:b/>
          <w:bCs/>
          <w:sz w:val="26"/>
          <w:szCs w:val="26"/>
        </w:rPr>
        <w:t>:</w:t>
      </w:r>
      <w:r w:rsidRPr="007B1183">
        <w:rPr>
          <w:rFonts w:ascii="Times New Roman" w:hAnsi="Times New Roman" w:cs="Times New Roman"/>
          <w:bCs/>
          <w:sz w:val="26"/>
          <w:szCs w:val="26"/>
        </w:rPr>
        <w:t xml:space="preserve"> </w:t>
      </w:r>
      <w:r w:rsidR="00D15355" w:rsidRPr="007B1183">
        <w:rPr>
          <w:rFonts w:ascii="Times New Roman" w:hAnsi="Times New Roman" w:cs="Times New Roman"/>
          <w:bCs/>
          <w:sz w:val="26"/>
          <w:szCs w:val="26"/>
        </w:rPr>
        <w:t xml:space="preserve">  The proposed Reliability Standard PRC-012-2 improves upon the existing standards because it removes ambiguity in NERC’s original “fill-in-the-blank” Reliability Standards by assigning responsibility to appropriate functional entities.  It also streamlines and consolidates the RAS Reliab</w:t>
      </w:r>
      <w:r w:rsidR="006E5122">
        <w:rPr>
          <w:rFonts w:ascii="Times New Roman" w:hAnsi="Times New Roman" w:cs="Times New Roman"/>
          <w:bCs/>
          <w:sz w:val="26"/>
          <w:szCs w:val="26"/>
        </w:rPr>
        <w:t xml:space="preserve">ility Standards into one unambiguous and </w:t>
      </w:r>
      <w:r w:rsidR="00D15355" w:rsidRPr="007B1183">
        <w:rPr>
          <w:rFonts w:ascii="Times New Roman" w:hAnsi="Times New Roman" w:cs="Times New Roman"/>
          <w:bCs/>
          <w:sz w:val="26"/>
          <w:szCs w:val="26"/>
        </w:rPr>
        <w:t xml:space="preserve">effective Reliability Standard.  </w:t>
      </w:r>
    </w:p>
    <w:p w14:paraId="7D125BDD" w14:textId="77777777" w:rsidR="00D15355" w:rsidRPr="007B1183" w:rsidRDefault="00D15355" w:rsidP="008E5E77">
      <w:pPr>
        <w:spacing w:line="240" w:lineRule="auto"/>
        <w:rPr>
          <w:rFonts w:ascii="Times New Roman" w:hAnsi="Times New Roman" w:cs="Times New Roman"/>
          <w:bCs/>
          <w:sz w:val="26"/>
          <w:szCs w:val="26"/>
        </w:rPr>
      </w:pPr>
      <w:r w:rsidRPr="007B1183">
        <w:rPr>
          <w:rFonts w:ascii="Times New Roman" w:hAnsi="Times New Roman" w:cs="Times New Roman"/>
          <w:bCs/>
          <w:sz w:val="26"/>
          <w:szCs w:val="26"/>
        </w:rPr>
        <w:t>Our estimates regarding the number of respondents are based on an examination of the NERC Compliance Registry as of April 21, 2016.  According to the NERC Compliance Registry for reliability coordinators, planning coordinators, transmission owners, generation owners, and distribution providers and an estimation of how many entities from that registry will be affected by the proposed Reliability Standard.  At the time of Commission review of proposed Reliability Standard PRC</w:t>
      </w:r>
      <w:r w:rsidRPr="007B1183">
        <w:rPr>
          <w:rFonts w:ascii="Times New Roman" w:hAnsi="Times New Roman" w:cs="Times New Roman"/>
          <w:bCs/>
          <w:sz w:val="26"/>
          <w:szCs w:val="26"/>
        </w:rPr>
        <w:noBreakHyphen/>
        <w:t>012</w:t>
      </w:r>
      <w:r w:rsidRPr="007B1183">
        <w:rPr>
          <w:rFonts w:ascii="Times New Roman" w:hAnsi="Times New Roman" w:cs="Times New Roman"/>
          <w:bCs/>
          <w:sz w:val="26"/>
          <w:szCs w:val="26"/>
        </w:rPr>
        <w:noBreakHyphen/>
        <w:t>2, 15 reliability coordinators, 71 planning coordinators, 328 transmission owners, 930 generation owners, and 367 distribution providers in the United States were registered in the NERC compliance registry.  However, under NERC’s compliance registration program, entities may be registered for multiple functions, so these</w:t>
      </w:r>
      <w:r w:rsidR="006E5122">
        <w:rPr>
          <w:rFonts w:ascii="Times New Roman" w:hAnsi="Times New Roman" w:cs="Times New Roman"/>
          <w:bCs/>
          <w:sz w:val="26"/>
          <w:szCs w:val="26"/>
        </w:rPr>
        <w:t xml:space="preserve"> numbers incorporate some duplicative</w:t>
      </w:r>
      <w:r w:rsidRPr="007B1183">
        <w:rPr>
          <w:rFonts w:ascii="Times New Roman" w:hAnsi="Times New Roman" w:cs="Times New Roman"/>
          <w:bCs/>
          <w:sz w:val="26"/>
          <w:szCs w:val="26"/>
        </w:rPr>
        <w:t xml:space="preserve"> counting.  The Commission notes that many generation sites share a common generation owner.  </w:t>
      </w:r>
    </w:p>
    <w:p w14:paraId="445B2DB7" w14:textId="77777777" w:rsidR="00EF1EFD" w:rsidRPr="007B1183" w:rsidRDefault="00EF1EFD" w:rsidP="008E5E7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sz w:val="26"/>
          <w:szCs w:val="26"/>
        </w:rPr>
        <w:t>CONSEQUENCE TO FEDERAL PROGRAM IF COLLECTION WERE CONDUCTED LESS FREQUENTLY</w:t>
      </w:r>
    </w:p>
    <w:p w14:paraId="78F593A1" w14:textId="77777777" w:rsidR="00EF1EFD" w:rsidRPr="007B1183" w:rsidRDefault="00EF1EFD" w:rsidP="008E5E77">
      <w:pPr>
        <w:pStyle w:val="FERCparanumber"/>
        <w:widowControl/>
        <w:numPr>
          <w:ilvl w:val="0"/>
          <w:numId w:val="0"/>
        </w:numPr>
        <w:tabs>
          <w:tab w:val="left" w:pos="720"/>
        </w:tabs>
        <w:rPr>
          <w:rFonts w:ascii="Times New Roman" w:hAnsi="Times New Roman" w:cs="Times New Roman"/>
          <w:sz w:val="26"/>
          <w:szCs w:val="26"/>
        </w:rPr>
      </w:pPr>
    </w:p>
    <w:p w14:paraId="002D72A4" w14:textId="77777777" w:rsidR="007B1183" w:rsidRPr="007B1183" w:rsidRDefault="00D3787A" w:rsidP="008E5E77">
      <w:pPr>
        <w:spacing w:line="240" w:lineRule="auto"/>
        <w:rPr>
          <w:rFonts w:ascii="Times New Roman" w:hAnsi="Times New Roman" w:cs="Times New Roman"/>
          <w:sz w:val="26"/>
          <w:szCs w:val="26"/>
        </w:rPr>
      </w:pPr>
      <w:r w:rsidRPr="007B1183">
        <w:rPr>
          <w:rFonts w:ascii="Times New Roman" w:hAnsi="Times New Roman" w:cs="Times New Roman"/>
          <w:b/>
          <w:sz w:val="26"/>
          <w:szCs w:val="26"/>
        </w:rPr>
        <w:t>FERC-725A</w:t>
      </w:r>
      <w:r w:rsidR="00415CF3" w:rsidRPr="007B1183">
        <w:rPr>
          <w:rFonts w:ascii="Times New Roman" w:hAnsi="Times New Roman" w:cs="Times New Roman"/>
          <w:b/>
          <w:sz w:val="26"/>
          <w:szCs w:val="26"/>
        </w:rPr>
        <w:t xml:space="preserve"> and FERC-725G</w:t>
      </w:r>
      <w:r w:rsidRPr="007B1183">
        <w:rPr>
          <w:rFonts w:ascii="Times New Roman" w:hAnsi="Times New Roman" w:cs="Times New Roman"/>
          <w:b/>
          <w:sz w:val="26"/>
          <w:szCs w:val="26"/>
        </w:rPr>
        <w:t>:</w:t>
      </w:r>
      <w:r w:rsidRPr="007B1183">
        <w:rPr>
          <w:rFonts w:ascii="Times New Roman" w:hAnsi="Times New Roman" w:cs="Times New Roman"/>
          <w:sz w:val="26"/>
          <w:szCs w:val="26"/>
        </w:rPr>
        <w:t xml:space="preserve"> </w:t>
      </w:r>
      <w:r w:rsidR="00480BB6" w:rsidRPr="007B1183">
        <w:rPr>
          <w:rFonts w:ascii="Times New Roman" w:hAnsi="Times New Roman" w:cs="Times New Roman"/>
          <w:sz w:val="26"/>
          <w:szCs w:val="26"/>
        </w:rPr>
        <w:t>The purpose of Reliability Standard PRC</w:t>
      </w:r>
      <w:r w:rsidR="000E407C">
        <w:rPr>
          <w:rFonts w:ascii="Times New Roman" w:hAnsi="Times New Roman" w:cs="Times New Roman"/>
          <w:sz w:val="26"/>
          <w:szCs w:val="26"/>
        </w:rPr>
        <w:t>-</w:t>
      </w:r>
      <w:r w:rsidR="00480BB6" w:rsidRPr="007B1183">
        <w:rPr>
          <w:rFonts w:ascii="Times New Roman" w:hAnsi="Times New Roman" w:cs="Times New Roman"/>
          <w:sz w:val="26"/>
          <w:szCs w:val="26"/>
        </w:rPr>
        <w:t>012-2 ensure</w:t>
      </w:r>
      <w:r w:rsidR="000E407C">
        <w:rPr>
          <w:rFonts w:ascii="Times New Roman" w:hAnsi="Times New Roman" w:cs="Times New Roman"/>
          <w:sz w:val="26"/>
          <w:szCs w:val="26"/>
        </w:rPr>
        <w:t>s the</w:t>
      </w:r>
      <w:r w:rsidR="00480BB6" w:rsidRPr="007B1183">
        <w:rPr>
          <w:rFonts w:ascii="Times New Roman" w:hAnsi="Times New Roman" w:cs="Times New Roman"/>
          <w:sz w:val="26"/>
          <w:szCs w:val="26"/>
        </w:rPr>
        <w:t xml:space="preserve"> remedial action schemes (RAS) do</w:t>
      </w:r>
      <w:r w:rsidR="000E407C">
        <w:rPr>
          <w:rFonts w:ascii="Times New Roman" w:hAnsi="Times New Roman" w:cs="Times New Roman"/>
          <w:sz w:val="26"/>
          <w:szCs w:val="26"/>
        </w:rPr>
        <w:t>es</w:t>
      </w:r>
      <w:r w:rsidR="00480BB6" w:rsidRPr="007B1183">
        <w:rPr>
          <w:rFonts w:ascii="Times New Roman" w:hAnsi="Times New Roman" w:cs="Times New Roman"/>
          <w:sz w:val="26"/>
          <w:szCs w:val="26"/>
        </w:rPr>
        <w:t xml:space="preserve"> not introduce unintentional or unacceptable reliability risks to the bulk electric system</w:t>
      </w:r>
      <w:r w:rsidR="00514765" w:rsidRPr="007B1183">
        <w:rPr>
          <w:rFonts w:ascii="Times New Roman" w:hAnsi="Times New Roman" w:cs="Times New Roman"/>
          <w:sz w:val="26"/>
          <w:szCs w:val="26"/>
        </w:rPr>
        <w:t xml:space="preserve">. </w:t>
      </w:r>
      <w:r w:rsidR="00480BB6" w:rsidRPr="007B1183">
        <w:rPr>
          <w:rFonts w:ascii="Times New Roman" w:hAnsi="Times New Roman" w:cs="Times New Roman"/>
          <w:sz w:val="26"/>
          <w:szCs w:val="26"/>
        </w:rPr>
        <w:t xml:space="preserve"> </w:t>
      </w:r>
      <w:r w:rsidR="00514765" w:rsidRPr="007B1183">
        <w:rPr>
          <w:rFonts w:ascii="Times New Roman" w:hAnsi="Times New Roman" w:cs="Times New Roman"/>
          <w:sz w:val="26"/>
          <w:szCs w:val="26"/>
        </w:rPr>
        <w:t>Reliability Standard PRC-012-2 enhances reliability by addressing all aspects of RAS in a single, continent-wide Reliability Standard and by assigning specific RAS responsibilities to</w:t>
      </w:r>
      <w:r w:rsidR="000E407C">
        <w:rPr>
          <w:rFonts w:ascii="Times New Roman" w:hAnsi="Times New Roman" w:cs="Times New Roman"/>
          <w:sz w:val="26"/>
          <w:szCs w:val="26"/>
        </w:rPr>
        <w:t xml:space="preserve"> reliability coordinators, planning coordinators and RAS-entities.</w:t>
      </w:r>
      <w:r w:rsidR="00514765" w:rsidRPr="007B1183">
        <w:rPr>
          <w:rFonts w:ascii="Times New Roman" w:hAnsi="Times New Roman" w:cs="Times New Roman"/>
          <w:sz w:val="26"/>
          <w:szCs w:val="26"/>
        </w:rPr>
        <w:t xml:space="preserve"> </w:t>
      </w:r>
      <w:r w:rsidR="000E407C">
        <w:rPr>
          <w:rFonts w:ascii="Times New Roman" w:hAnsi="Times New Roman" w:cs="Times New Roman"/>
          <w:sz w:val="26"/>
          <w:szCs w:val="26"/>
        </w:rPr>
        <w:t>Failure to follow requirements and compliance of PRC-012-2 could directly affect the ability to effectively monitor, control and ensure reliability of the bulk electric system.</w:t>
      </w:r>
    </w:p>
    <w:p w14:paraId="6A93A776" w14:textId="77777777" w:rsidR="00EF1EFD" w:rsidRPr="007B1183" w:rsidRDefault="00EF1EFD" w:rsidP="008E5E7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EXPLAIN ANY SPECIAL CIRCUMSTANCES RELATING TO THE INFORMATION COLLECTION</w:t>
      </w:r>
    </w:p>
    <w:p w14:paraId="3D8C4850" w14:textId="77777777" w:rsidR="00D3787A" w:rsidRPr="007B1183" w:rsidRDefault="00D3787A" w:rsidP="008E5E77">
      <w:pPr>
        <w:spacing w:line="240" w:lineRule="auto"/>
        <w:rPr>
          <w:rFonts w:ascii="Times New Roman" w:hAnsi="Times New Roman" w:cs="Times New Roman"/>
          <w:sz w:val="26"/>
          <w:szCs w:val="26"/>
        </w:rPr>
      </w:pPr>
    </w:p>
    <w:p w14:paraId="49BF033F" w14:textId="77777777" w:rsidR="00D15355" w:rsidRPr="007B1183" w:rsidRDefault="00D3787A" w:rsidP="008E5E77">
      <w:pPr>
        <w:spacing w:line="240" w:lineRule="auto"/>
        <w:rPr>
          <w:rFonts w:ascii="Times New Roman" w:hAnsi="Times New Roman" w:cs="Times New Roman"/>
          <w:sz w:val="26"/>
          <w:szCs w:val="26"/>
        </w:rPr>
      </w:pPr>
      <w:r w:rsidRPr="007B1183">
        <w:rPr>
          <w:rFonts w:ascii="Times New Roman" w:hAnsi="Times New Roman" w:cs="Times New Roman"/>
          <w:b/>
          <w:sz w:val="26"/>
          <w:szCs w:val="26"/>
        </w:rPr>
        <w:t>FERC-725A</w:t>
      </w:r>
      <w:r w:rsidR="00D15355" w:rsidRPr="007B1183">
        <w:rPr>
          <w:rFonts w:ascii="Times New Roman" w:hAnsi="Times New Roman" w:cs="Times New Roman"/>
          <w:b/>
          <w:sz w:val="26"/>
          <w:szCs w:val="26"/>
        </w:rPr>
        <w:t xml:space="preserve">. </w:t>
      </w:r>
      <w:r w:rsidR="00D15355" w:rsidRPr="007B1183">
        <w:rPr>
          <w:rFonts w:ascii="Times New Roman" w:hAnsi="Times New Roman" w:cs="Times New Roman"/>
          <w:sz w:val="26"/>
          <w:szCs w:val="26"/>
        </w:rPr>
        <w:t>There are no special circumstances relating to this collection.</w:t>
      </w:r>
    </w:p>
    <w:p w14:paraId="3FEC6E17" w14:textId="77777777" w:rsidR="005D62E3" w:rsidRPr="007B1183" w:rsidRDefault="00D3787A" w:rsidP="008E5E77">
      <w:pPr>
        <w:spacing w:line="240" w:lineRule="auto"/>
        <w:rPr>
          <w:rFonts w:ascii="Times New Roman" w:hAnsi="Times New Roman" w:cs="Times New Roman"/>
          <w:sz w:val="26"/>
          <w:szCs w:val="26"/>
        </w:rPr>
      </w:pPr>
      <w:r w:rsidRPr="007B1183">
        <w:rPr>
          <w:rFonts w:ascii="Times New Roman" w:hAnsi="Times New Roman" w:cs="Times New Roman"/>
          <w:b/>
          <w:sz w:val="26"/>
          <w:szCs w:val="26"/>
        </w:rPr>
        <w:t>FERC-725G:</w:t>
      </w:r>
      <w:r w:rsidRPr="007B1183">
        <w:rPr>
          <w:rFonts w:ascii="Times New Roman" w:hAnsi="Times New Roman" w:cs="Times New Roman"/>
          <w:sz w:val="26"/>
          <w:szCs w:val="26"/>
        </w:rPr>
        <w:t xml:space="preserve"> </w:t>
      </w:r>
      <w:r w:rsidR="005D62E3" w:rsidRPr="007B1183">
        <w:rPr>
          <w:rFonts w:ascii="Times New Roman" w:hAnsi="Times New Roman" w:cs="Times New Roman"/>
          <w:sz w:val="26"/>
          <w:szCs w:val="26"/>
        </w:rPr>
        <w:t>Proposed Requirements R1, R2, and R3, together, establish a process for the reliability coordinator to review new or modified RAS schemes.</w:t>
      </w:r>
      <w:r w:rsidR="005D62E3" w:rsidRPr="007B1183">
        <w:rPr>
          <w:rFonts w:ascii="Times New Roman" w:hAnsi="Times New Roman" w:cs="Times New Roman"/>
          <w:b/>
          <w:sz w:val="26"/>
          <w:szCs w:val="26"/>
          <w:vertAlign w:val="superscript"/>
        </w:rPr>
        <w:footnoteReference w:id="20"/>
      </w:r>
      <w:r w:rsidR="005D62E3" w:rsidRPr="007B1183">
        <w:rPr>
          <w:rFonts w:ascii="Times New Roman" w:hAnsi="Times New Roman" w:cs="Times New Roman"/>
          <w:sz w:val="26"/>
          <w:szCs w:val="26"/>
        </w:rPr>
        <w:t xml:space="preserve">  The reliability </w:t>
      </w:r>
      <w:r w:rsidR="005D62E3" w:rsidRPr="007B1183">
        <w:rPr>
          <w:rFonts w:ascii="Times New Roman" w:hAnsi="Times New Roman" w:cs="Times New Roman"/>
          <w:sz w:val="26"/>
          <w:szCs w:val="26"/>
        </w:rPr>
        <w:lastRenderedPageBreak/>
        <w:t>coordinator must complete the review before an entity places a new or functionally modified RAS into service.</w:t>
      </w:r>
    </w:p>
    <w:p w14:paraId="6C4838E7" w14:textId="77777777" w:rsidR="00EF1EFD" w:rsidRPr="007B1183" w:rsidRDefault="005D62E3" w:rsidP="008E5E77">
      <w:pPr>
        <w:spacing w:line="240" w:lineRule="auto"/>
        <w:rPr>
          <w:rFonts w:ascii="Times New Roman" w:hAnsi="Times New Roman" w:cs="Times New Roman"/>
          <w:sz w:val="26"/>
          <w:szCs w:val="26"/>
        </w:rPr>
      </w:pPr>
      <w:r w:rsidRPr="007B1183">
        <w:rPr>
          <w:rFonts w:ascii="Times New Roman" w:hAnsi="Times New Roman" w:cs="Times New Roman"/>
          <w:sz w:val="26"/>
          <w:szCs w:val="26"/>
        </w:rPr>
        <w:t>Proposed Requirement R4 requires the planning coordinator to perform a periodic evaluation of each RAS within its planning area, at least once every five years.</w:t>
      </w:r>
      <w:r w:rsidRPr="007B1183">
        <w:rPr>
          <w:rFonts w:ascii="Times New Roman" w:hAnsi="Times New Roman" w:cs="Times New Roman"/>
          <w:b/>
          <w:sz w:val="26"/>
          <w:szCs w:val="26"/>
          <w:vertAlign w:val="superscript"/>
        </w:rPr>
        <w:footnoteReference w:id="21"/>
      </w:r>
      <w:r w:rsidRPr="007B1183">
        <w:rPr>
          <w:rFonts w:ascii="Times New Roman" w:hAnsi="Times New Roman" w:cs="Times New Roman"/>
          <w:sz w:val="26"/>
          <w:szCs w:val="26"/>
        </w:rPr>
        <w:t xml:space="preserve">  The evaluation must determine, </w:t>
      </w:r>
      <w:r w:rsidRPr="007B1183">
        <w:rPr>
          <w:rFonts w:ascii="Times New Roman" w:hAnsi="Times New Roman" w:cs="Times New Roman"/>
          <w:i/>
          <w:sz w:val="26"/>
          <w:szCs w:val="26"/>
        </w:rPr>
        <w:t>inter alia</w:t>
      </w:r>
      <w:r w:rsidRPr="007B1183">
        <w:rPr>
          <w:rFonts w:ascii="Times New Roman" w:hAnsi="Times New Roman" w:cs="Times New Roman"/>
          <w:sz w:val="26"/>
          <w:szCs w:val="26"/>
        </w:rPr>
        <w:t>, whether each RAS:  (1) mitigates the system conditions or contingencies for which it was designed; and (2) avoids adverse interactions with other RAS and protection systems.  Proposed Requirement R4, Part 4.1.3 footnote 1 defines a certain subset of RAS as “limited impact” RAS to mean “A RAS designated as limited impact cannot, by inadvertent operation or failure to operate, cause or contribute to BES Cascading, uncontrolled separation, angular instability, voltage instability, voltage collapse, or unacceptably damped oscillations.”</w:t>
      </w:r>
      <w:r w:rsidRPr="007B1183">
        <w:rPr>
          <w:rFonts w:ascii="Times New Roman" w:hAnsi="Times New Roman" w:cs="Times New Roman"/>
          <w:b/>
          <w:sz w:val="26"/>
          <w:szCs w:val="26"/>
          <w:vertAlign w:val="superscript"/>
        </w:rPr>
        <w:footnoteReference w:id="22"/>
      </w:r>
      <w:r w:rsidRPr="007B1183">
        <w:rPr>
          <w:rFonts w:ascii="Times New Roman" w:hAnsi="Times New Roman" w:cs="Times New Roman"/>
          <w:sz w:val="26"/>
          <w:szCs w:val="26"/>
        </w:rPr>
        <w:t xml:space="preserve">  </w:t>
      </w:r>
    </w:p>
    <w:p w14:paraId="29BBD9E0" w14:textId="77777777" w:rsidR="00EF1EFD" w:rsidRDefault="00EF1EFD" w:rsidP="008E5E7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DESCRIBE EFFORTS TO CONSULT OUTSIDE THE AGENCY: SUMMARIZE PUBLIC COMMENTS AND THE AGENCY'S RESPONSE TO THESE COMMENTS</w:t>
      </w:r>
    </w:p>
    <w:p w14:paraId="26A225D7" w14:textId="77777777" w:rsidR="006E5122" w:rsidRPr="006E5122" w:rsidRDefault="006E5122" w:rsidP="006E5122">
      <w:pPr>
        <w:widowControl w:val="0"/>
        <w:autoSpaceDE w:val="0"/>
        <w:autoSpaceDN w:val="0"/>
        <w:adjustRightInd w:val="0"/>
        <w:spacing w:after="0" w:line="240" w:lineRule="auto"/>
        <w:ind w:left="360"/>
        <w:rPr>
          <w:rFonts w:ascii="Times New Roman" w:hAnsi="Times New Roman" w:cs="Times New Roman"/>
          <w:sz w:val="26"/>
          <w:szCs w:val="26"/>
        </w:rPr>
      </w:pPr>
    </w:p>
    <w:p w14:paraId="35927D2D" w14:textId="77777777" w:rsidR="005D62E3" w:rsidRPr="007B1183" w:rsidRDefault="005D62E3" w:rsidP="008E5E77">
      <w:pPr>
        <w:spacing w:line="240" w:lineRule="auto"/>
        <w:rPr>
          <w:rFonts w:ascii="Times New Roman" w:hAnsi="Times New Roman" w:cs="Times New Roman"/>
          <w:bCs/>
          <w:sz w:val="26"/>
          <w:szCs w:val="26"/>
        </w:rPr>
      </w:pPr>
      <w:r w:rsidRPr="007B1183">
        <w:rPr>
          <w:rFonts w:ascii="Times New Roman" w:hAnsi="Times New Roman" w:cs="Times New Roman"/>
          <w:bCs/>
          <w:sz w:val="26"/>
          <w:szCs w:val="26"/>
        </w:rPr>
        <w:t>The ERO process</w:t>
      </w:r>
      <w:r w:rsidRPr="007B1183">
        <w:rPr>
          <w:rFonts w:ascii="Times New Roman" w:hAnsi="Times New Roman" w:cs="Times New Roman"/>
          <w:bCs/>
          <w:sz w:val="26"/>
          <w:szCs w:val="26"/>
          <w:vertAlign w:val="superscript"/>
        </w:rPr>
        <w:footnoteReference w:id="23"/>
      </w:r>
      <w:r w:rsidRPr="007B1183">
        <w:rPr>
          <w:rFonts w:ascii="Times New Roman" w:hAnsi="Times New Roman" w:cs="Times New Roman"/>
          <w:bCs/>
          <w:sz w:val="26"/>
          <w:szCs w:val="26"/>
        </w:rPr>
        <w:t xml:space="preserve"> to develop and establish Reliability Standards is a collaborative process between the ERO, Regional Entities and other industry stakeholders developing, discussing, and reviewing drafts, commenting and voting on the drafts, posting responses to the comments, conducting a final ballot, </w:t>
      </w:r>
      <w:r w:rsidR="006E5122">
        <w:rPr>
          <w:rFonts w:ascii="Times New Roman" w:hAnsi="Times New Roman" w:cs="Times New Roman"/>
          <w:bCs/>
          <w:sz w:val="26"/>
          <w:szCs w:val="26"/>
        </w:rPr>
        <w:t xml:space="preserve">and submitting the standard an </w:t>
      </w:r>
      <w:r w:rsidRPr="007B1183">
        <w:rPr>
          <w:rFonts w:ascii="Times New Roman" w:hAnsi="Times New Roman" w:cs="Times New Roman"/>
          <w:bCs/>
          <w:sz w:val="26"/>
          <w:szCs w:val="26"/>
        </w:rPr>
        <w:t>implementation plan to the Board of Trustees (BO</w:t>
      </w:r>
      <w:r w:rsidR="006E5122">
        <w:rPr>
          <w:rFonts w:ascii="Times New Roman" w:hAnsi="Times New Roman" w:cs="Times New Roman"/>
          <w:bCs/>
          <w:sz w:val="26"/>
          <w:szCs w:val="26"/>
        </w:rPr>
        <w:t>T) for adoption and approval (t</w:t>
      </w:r>
      <w:r w:rsidRPr="007B1183">
        <w:rPr>
          <w:rFonts w:ascii="Times New Roman" w:hAnsi="Times New Roman" w:cs="Times New Roman"/>
          <w:bCs/>
          <w:sz w:val="26"/>
          <w:szCs w:val="26"/>
        </w:rPr>
        <w:t>his process provides several opportunities for review and comment by stake</w:t>
      </w:r>
      <w:r w:rsidR="006E5122">
        <w:rPr>
          <w:rFonts w:ascii="Times New Roman" w:hAnsi="Times New Roman" w:cs="Times New Roman"/>
          <w:bCs/>
          <w:sz w:val="26"/>
          <w:szCs w:val="26"/>
        </w:rPr>
        <w:t>holders and interested parties).</w:t>
      </w:r>
      <w:r w:rsidRPr="007B1183">
        <w:rPr>
          <w:rFonts w:ascii="Times New Roman" w:hAnsi="Times New Roman" w:cs="Times New Roman"/>
          <w:bCs/>
          <w:sz w:val="26"/>
          <w:szCs w:val="26"/>
        </w:rPr>
        <w:t xml:space="preserve">  Then</w:t>
      </w:r>
      <w:r w:rsidR="006E5122">
        <w:rPr>
          <w:rFonts w:ascii="Times New Roman" w:hAnsi="Times New Roman" w:cs="Times New Roman"/>
          <w:bCs/>
          <w:sz w:val="26"/>
          <w:szCs w:val="26"/>
        </w:rPr>
        <w:t>,</w:t>
      </w:r>
      <w:r w:rsidRPr="007B1183">
        <w:rPr>
          <w:rFonts w:ascii="Times New Roman" w:hAnsi="Times New Roman" w:cs="Times New Roman"/>
          <w:bCs/>
          <w:sz w:val="26"/>
          <w:szCs w:val="26"/>
        </w:rPr>
        <w:t xml:space="preserve"> the final proposed standard (if approved by the BOT) is submitted by the ERO to the FERC for review and approval.  Upon approval by FERC, the standards are mandatory and enforceable.  </w:t>
      </w:r>
    </w:p>
    <w:p w14:paraId="4FD8F98B" w14:textId="77777777" w:rsidR="00EF1EFD" w:rsidRPr="007B1183" w:rsidRDefault="006E5122" w:rsidP="002E6E71">
      <w:pPr>
        <w:spacing w:line="240" w:lineRule="auto"/>
        <w:rPr>
          <w:rFonts w:ascii="Times New Roman" w:hAnsi="Times New Roman" w:cs="Times New Roman"/>
          <w:sz w:val="26"/>
          <w:szCs w:val="26"/>
        </w:rPr>
      </w:pPr>
      <w:r>
        <w:rPr>
          <w:rFonts w:ascii="Times New Roman" w:hAnsi="Times New Roman" w:cs="Times New Roman"/>
          <w:bCs/>
          <w:sz w:val="26"/>
          <w:szCs w:val="26"/>
        </w:rPr>
        <w:t>FERC notices were</w:t>
      </w:r>
      <w:r w:rsidR="00852D7C" w:rsidRPr="00852D7C">
        <w:rPr>
          <w:rFonts w:ascii="Times New Roman" w:hAnsi="Times New Roman" w:cs="Times New Roman"/>
          <w:bCs/>
          <w:sz w:val="26"/>
          <w:szCs w:val="26"/>
        </w:rPr>
        <w:t xml:space="preserve"> pu</w:t>
      </w:r>
      <w:r>
        <w:rPr>
          <w:rFonts w:ascii="Times New Roman" w:hAnsi="Times New Roman" w:cs="Times New Roman"/>
          <w:bCs/>
          <w:sz w:val="26"/>
          <w:szCs w:val="26"/>
        </w:rPr>
        <w:t>blished in the Federal Register</w:t>
      </w:r>
      <w:r w:rsidR="00852D7C" w:rsidRPr="00852D7C">
        <w:rPr>
          <w:rFonts w:ascii="Times New Roman" w:hAnsi="Times New Roman" w:cs="Times New Roman"/>
          <w:bCs/>
          <w:sz w:val="26"/>
          <w:szCs w:val="26"/>
        </w:rPr>
        <w:t xml:space="preserve"> thereby allowing all public utilities, natural gas and oil pipeline companies, state commissions, federal agencies, and other interested parties an opportunity to submit comments, or suggestions concerning the </w:t>
      </w:r>
      <w:r w:rsidR="00852D7C" w:rsidRPr="00852D7C">
        <w:rPr>
          <w:rFonts w:ascii="Times New Roman" w:hAnsi="Times New Roman" w:cs="Times New Roman"/>
          <w:bCs/>
          <w:sz w:val="26"/>
          <w:szCs w:val="26"/>
        </w:rPr>
        <w:lastRenderedPageBreak/>
        <w:t xml:space="preserve">proposal.  </w:t>
      </w:r>
      <w:r w:rsidR="002E6E71">
        <w:rPr>
          <w:rFonts w:ascii="Times New Roman" w:hAnsi="Times New Roman" w:cs="Times New Roman"/>
          <w:bCs/>
          <w:sz w:val="26"/>
          <w:szCs w:val="26"/>
        </w:rPr>
        <w:t xml:space="preserve">The 60-day Notice </w:t>
      </w:r>
      <w:r w:rsidR="00852D7C" w:rsidRPr="00852D7C">
        <w:rPr>
          <w:rFonts w:ascii="Times New Roman" w:hAnsi="Times New Roman" w:cs="Times New Roman"/>
          <w:bCs/>
          <w:sz w:val="26"/>
          <w:szCs w:val="26"/>
        </w:rPr>
        <w:t xml:space="preserve">was published </w:t>
      </w:r>
      <w:r w:rsidR="002E6E71">
        <w:rPr>
          <w:rFonts w:ascii="Times New Roman" w:hAnsi="Times New Roman" w:cs="Times New Roman"/>
          <w:bCs/>
          <w:sz w:val="26"/>
          <w:szCs w:val="26"/>
        </w:rPr>
        <w:t>in the Fed</w:t>
      </w:r>
      <w:r>
        <w:rPr>
          <w:rFonts w:ascii="Times New Roman" w:hAnsi="Times New Roman" w:cs="Times New Roman"/>
          <w:bCs/>
          <w:sz w:val="26"/>
          <w:szCs w:val="26"/>
        </w:rPr>
        <w:t>eral Register (82 FR 9702,</w:t>
      </w:r>
      <w:r w:rsidR="002E6E71">
        <w:rPr>
          <w:rFonts w:ascii="Times New Roman" w:hAnsi="Times New Roman" w:cs="Times New Roman"/>
          <w:bCs/>
          <w:sz w:val="26"/>
          <w:szCs w:val="26"/>
        </w:rPr>
        <w:t xml:space="preserve"> 2/8/2017).</w:t>
      </w:r>
      <w:r w:rsidR="00EF1EFD" w:rsidRPr="007B1183">
        <w:rPr>
          <w:rFonts w:ascii="Times New Roman" w:hAnsi="Times New Roman" w:cs="Times New Roman"/>
          <w:bCs/>
          <w:sz w:val="26"/>
          <w:szCs w:val="26"/>
        </w:rPr>
        <w:t xml:space="preserve">  </w:t>
      </w:r>
      <w:r w:rsidR="00EF1EFD" w:rsidRPr="007B1183">
        <w:rPr>
          <w:rFonts w:ascii="Times New Roman" w:hAnsi="Times New Roman" w:cs="Times New Roman"/>
          <w:sz w:val="26"/>
          <w:szCs w:val="26"/>
        </w:rPr>
        <w:t xml:space="preserve"> </w:t>
      </w:r>
    </w:p>
    <w:p w14:paraId="51EA2D4D" w14:textId="77777777" w:rsidR="00EF1EFD" w:rsidRPr="007B1183" w:rsidRDefault="00EF1EFD" w:rsidP="008E5E7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EXPLAIN ANY PAYMENT OR GIFTS TO RESPONDENTS</w:t>
      </w:r>
    </w:p>
    <w:p w14:paraId="1FD8BAB7" w14:textId="77777777" w:rsidR="00EF1EFD" w:rsidRPr="007B1183" w:rsidRDefault="00EF1EFD" w:rsidP="008E5E77">
      <w:pPr>
        <w:spacing w:after="0" w:line="240" w:lineRule="auto"/>
        <w:rPr>
          <w:rFonts w:ascii="Times New Roman" w:hAnsi="Times New Roman" w:cs="Times New Roman"/>
          <w:b/>
          <w:bCs/>
          <w:sz w:val="26"/>
          <w:szCs w:val="26"/>
        </w:rPr>
      </w:pPr>
    </w:p>
    <w:p w14:paraId="587FCCDB" w14:textId="77777777" w:rsidR="00EF1EFD" w:rsidRPr="007B1183" w:rsidRDefault="005D62E3" w:rsidP="008E5E7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 xml:space="preserve">The Commission does not make payments or provide gifts for respondents related to </w:t>
      </w:r>
      <w:r w:rsidR="00D3787A" w:rsidRPr="007B1183">
        <w:rPr>
          <w:rFonts w:ascii="Times New Roman" w:hAnsi="Times New Roman" w:cs="Times New Roman"/>
          <w:sz w:val="26"/>
          <w:szCs w:val="26"/>
        </w:rPr>
        <w:t>FERC-725A and FERC-725G</w:t>
      </w:r>
      <w:r w:rsidRPr="007B1183">
        <w:rPr>
          <w:rFonts w:ascii="Times New Roman" w:hAnsi="Times New Roman" w:cs="Times New Roman"/>
          <w:sz w:val="26"/>
          <w:szCs w:val="26"/>
        </w:rPr>
        <w:t>.</w:t>
      </w:r>
    </w:p>
    <w:p w14:paraId="39E2C740" w14:textId="77777777" w:rsidR="00EF1EFD" w:rsidRPr="007B1183" w:rsidRDefault="00EF1EFD" w:rsidP="008E5E77">
      <w:pPr>
        <w:spacing w:line="240" w:lineRule="auto"/>
        <w:rPr>
          <w:rFonts w:ascii="Times New Roman" w:hAnsi="Times New Roman" w:cs="Times New Roman"/>
          <w:sz w:val="26"/>
          <w:szCs w:val="26"/>
        </w:rPr>
      </w:pPr>
    </w:p>
    <w:p w14:paraId="4C02A5FC" w14:textId="77777777" w:rsidR="00EF1EFD" w:rsidRPr="007B1183" w:rsidRDefault="00EF1EFD" w:rsidP="008E5E7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DESCRIBE ANY ASSURANCE OF CONFIDENTIALITY PROVIDED TO RESPONDENTS</w:t>
      </w:r>
    </w:p>
    <w:p w14:paraId="1CA6962E" w14:textId="77777777" w:rsidR="002E6E71" w:rsidRDefault="002E6E71" w:rsidP="008E5E77">
      <w:pPr>
        <w:spacing w:line="240" w:lineRule="auto"/>
        <w:rPr>
          <w:rFonts w:ascii="Times New Roman" w:hAnsi="Times New Roman" w:cs="Times New Roman"/>
          <w:bCs/>
          <w:sz w:val="26"/>
          <w:szCs w:val="26"/>
        </w:rPr>
      </w:pPr>
    </w:p>
    <w:p w14:paraId="3DDC3030" w14:textId="77777777" w:rsidR="00EF1EFD" w:rsidRPr="007B1183" w:rsidRDefault="00EF1EFD" w:rsidP="008E5E77">
      <w:pPr>
        <w:spacing w:line="240" w:lineRule="auto"/>
        <w:rPr>
          <w:rFonts w:ascii="Times New Roman" w:hAnsi="Times New Roman" w:cs="Times New Roman"/>
          <w:bCs/>
          <w:sz w:val="26"/>
          <w:szCs w:val="26"/>
        </w:rPr>
      </w:pPr>
      <w:r w:rsidRPr="007B1183">
        <w:rPr>
          <w:rFonts w:ascii="Times New Roman" w:hAnsi="Times New Roman" w:cs="Times New Roman"/>
          <w:bCs/>
          <w:sz w:val="26"/>
          <w:szCs w:val="26"/>
        </w:rPr>
        <w:t>According to the NERC Rules of Procedure</w:t>
      </w:r>
      <w:r w:rsidRPr="007B1183">
        <w:rPr>
          <w:rFonts w:ascii="Times New Roman" w:hAnsi="Times New Roman" w:cs="Times New Roman"/>
          <w:bCs/>
          <w:sz w:val="26"/>
          <w:szCs w:val="26"/>
          <w:vertAlign w:val="superscript"/>
        </w:rPr>
        <w:footnoteReference w:id="24"/>
      </w:r>
      <w:r w:rsidRPr="007B1183">
        <w:rPr>
          <w:rFonts w:ascii="Times New Roman" w:hAnsi="Times New Roman" w:cs="Times New Roman"/>
          <w:bCs/>
          <w:sz w:val="26"/>
          <w:szCs w:val="26"/>
        </w:rPr>
        <w:t>,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14:paraId="4331743C" w14:textId="77777777" w:rsidR="00EF1EFD" w:rsidRPr="007B1183" w:rsidRDefault="00EF1EFD" w:rsidP="008E5E77">
      <w:pPr>
        <w:spacing w:line="240" w:lineRule="auto"/>
        <w:rPr>
          <w:rFonts w:ascii="Times New Roman" w:hAnsi="Times New Roman" w:cs="Times New Roman"/>
          <w:bCs/>
          <w:sz w:val="26"/>
          <w:szCs w:val="26"/>
        </w:rPr>
      </w:pPr>
      <w:r w:rsidRPr="007B1183">
        <w:rPr>
          <w:rFonts w:ascii="Times New Roman" w:hAnsi="Times New Roman" w:cs="Times New Roman"/>
          <w:bCs/>
          <w:sz w:val="26"/>
          <w:szCs w:val="26"/>
        </w:rPr>
        <w:t xml:space="preserve">Responding entities do not submit the information collected due to the Reliability Standards to FERC.  Rather, they submit the information to NERC, the regional entities, or maintain it internally.  Since there are no submissions made to FERC, FERC provides no specific provisions in order to protect confidentiality.  </w:t>
      </w:r>
    </w:p>
    <w:p w14:paraId="5B44F09F" w14:textId="77777777" w:rsidR="00EF1EFD" w:rsidRPr="007B1183" w:rsidRDefault="00EF1EFD" w:rsidP="008E5E77">
      <w:pPr>
        <w:pStyle w:val="ListParagraph"/>
        <w:numPr>
          <w:ilvl w:val="0"/>
          <w:numId w:val="1"/>
        </w:numPr>
        <w:tabs>
          <w:tab w:val="num" w:pos="1080"/>
        </w:tabs>
        <w:spacing w:line="240" w:lineRule="auto"/>
        <w:rPr>
          <w:rFonts w:ascii="Times New Roman" w:hAnsi="Times New Roman" w:cs="Times New Roman"/>
          <w:sz w:val="26"/>
          <w:szCs w:val="26"/>
        </w:rPr>
      </w:pPr>
      <w:r w:rsidRPr="007B1183">
        <w:rPr>
          <w:rFonts w:ascii="Times New Roman" w:hAnsi="Times New Roman" w:cs="Times New Roman"/>
          <w:b/>
          <w:bCs/>
          <w:sz w:val="26"/>
          <w:szCs w:val="26"/>
        </w:rPr>
        <w:t>PROVIDE ADDITIONAL JUSTIFICATION FOR ANY QUESTIONS OF A SENSITIVE NATURE, SUCH AS SEXUAL BEHAVIOR AND ATTITUDES, RELIGIOUS BELIEFS, AND OTHER MATTERS THAT ARE COMMONLY CONSIDERED PRIVATE</w:t>
      </w:r>
    </w:p>
    <w:p w14:paraId="7ECFE0E5" w14:textId="77777777" w:rsidR="00EF1EFD" w:rsidRPr="007B1183" w:rsidRDefault="005D62E3" w:rsidP="008E5E77">
      <w:pPr>
        <w:spacing w:line="240" w:lineRule="auto"/>
        <w:rPr>
          <w:rFonts w:ascii="Times New Roman" w:hAnsi="Times New Roman" w:cs="Times New Roman"/>
          <w:sz w:val="26"/>
          <w:szCs w:val="26"/>
        </w:rPr>
      </w:pPr>
      <w:r w:rsidRPr="007B1183">
        <w:rPr>
          <w:rFonts w:ascii="Times New Roman" w:hAnsi="Times New Roman" w:cs="Times New Roman"/>
          <w:sz w:val="26"/>
          <w:szCs w:val="26"/>
        </w:rPr>
        <w:t xml:space="preserve">There are no questions of a sensitive nature that are considered private in </w:t>
      </w:r>
      <w:r w:rsidR="00997657" w:rsidRPr="007B1183">
        <w:rPr>
          <w:rFonts w:ascii="Times New Roman" w:hAnsi="Times New Roman" w:cs="Times New Roman"/>
          <w:sz w:val="26"/>
          <w:szCs w:val="26"/>
        </w:rPr>
        <w:t>FERC-725A and FERC-725G</w:t>
      </w:r>
      <w:r w:rsidRPr="007B1183">
        <w:rPr>
          <w:rFonts w:ascii="Times New Roman" w:hAnsi="Times New Roman" w:cs="Times New Roman"/>
          <w:sz w:val="26"/>
          <w:szCs w:val="26"/>
        </w:rPr>
        <w:t>.</w:t>
      </w:r>
      <w:r w:rsidR="00EF1EFD" w:rsidRPr="007B1183">
        <w:rPr>
          <w:rFonts w:ascii="Times New Roman" w:hAnsi="Times New Roman" w:cs="Times New Roman"/>
          <w:sz w:val="26"/>
          <w:szCs w:val="26"/>
        </w:rPr>
        <w:t xml:space="preserve">  </w:t>
      </w:r>
    </w:p>
    <w:p w14:paraId="07F3A8EE" w14:textId="77777777" w:rsidR="00EF1EFD" w:rsidRPr="007B1183" w:rsidRDefault="00EF1EFD" w:rsidP="008E5E77">
      <w:pPr>
        <w:numPr>
          <w:ilvl w:val="0"/>
          <w:numId w:val="1"/>
        </w:numPr>
        <w:spacing w:line="240" w:lineRule="auto"/>
        <w:rPr>
          <w:rFonts w:ascii="Times New Roman" w:hAnsi="Times New Roman" w:cs="Times New Roman"/>
          <w:sz w:val="26"/>
          <w:szCs w:val="26"/>
        </w:rPr>
      </w:pPr>
      <w:r w:rsidRPr="007B1183">
        <w:rPr>
          <w:rFonts w:ascii="Times New Roman" w:hAnsi="Times New Roman" w:cs="Times New Roman"/>
          <w:b/>
          <w:bCs/>
          <w:sz w:val="26"/>
          <w:szCs w:val="26"/>
        </w:rPr>
        <w:t>ESTIMATED BURDEN OF COLLECTION OF INFORMATION</w:t>
      </w:r>
    </w:p>
    <w:p w14:paraId="29A47021" w14:textId="22ABE2F3" w:rsidR="00B958DE" w:rsidRDefault="00B958DE" w:rsidP="00E40756">
      <w:pPr>
        <w:pStyle w:val="FootnoteText"/>
        <w:rPr>
          <w:sz w:val="26"/>
          <w:szCs w:val="26"/>
        </w:rPr>
      </w:pPr>
      <w:r w:rsidRPr="007B1183">
        <w:rPr>
          <w:b/>
          <w:sz w:val="26"/>
          <w:szCs w:val="26"/>
        </w:rPr>
        <w:t>FERC-725A.</w:t>
      </w:r>
      <w:r w:rsidRPr="007B1183">
        <w:rPr>
          <w:sz w:val="26"/>
          <w:szCs w:val="26"/>
        </w:rPr>
        <w:t xml:space="preserve">  </w:t>
      </w:r>
      <w:r w:rsidR="00F275B0" w:rsidRPr="00E4185A">
        <w:rPr>
          <w:sz w:val="26"/>
          <w:szCs w:val="26"/>
        </w:rPr>
        <w:t xml:space="preserve">FERC is being conservative and not subtracting hours at </w:t>
      </w:r>
      <w:r w:rsidR="00330B13">
        <w:rPr>
          <w:sz w:val="26"/>
          <w:szCs w:val="26"/>
        </w:rPr>
        <w:t>t</w:t>
      </w:r>
      <w:r w:rsidR="00F275B0" w:rsidRPr="00E4185A">
        <w:rPr>
          <w:sz w:val="26"/>
          <w:szCs w:val="26"/>
        </w:rPr>
        <w:t>his time from FERC-725A.</w:t>
      </w:r>
      <w:r w:rsidR="00F275B0">
        <w:rPr>
          <w:sz w:val="26"/>
          <w:szCs w:val="26"/>
        </w:rPr>
        <w:t xml:space="preserve">  </w:t>
      </w:r>
      <w:r w:rsidRPr="007B1183">
        <w:rPr>
          <w:sz w:val="26"/>
          <w:szCs w:val="26"/>
        </w:rPr>
        <w:t xml:space="preserve">Burden </w:t>
      </w:r>
      <w:r w:rsidR="00330B13">
        <w:rPr>
          <w:sz w:val="26"/>
          <w:szCs w:val="26"/>
        </w:rPr>
        <w:t>will</w:t>
      </w:r>
      <w:r w:rsidRPr="007B1183">
        <w:rPr>
          <w:sz w:val="26"/>
          <w:szCs w:val="26"/>
        </w:rPr>
        <w:t xml:space="preserve"> be removed from this collection</w:t>
      </w:r>
      <w:r w:rsidR="00F275B0">
        <w:rPr>
          <w:sz w:val="26"/>
          <w:szCs w:val="26"/>
        </w:rPr>
        <w:t xml:space="preserve"> at a later date</w:t>
      </w:r>
      <w:r w:rsidRPr="007B1183">
        <w:rPr>
          <w:sz w:val="26"/>
          <w:szCs w:val="26"/>
        </w:rPr>
        <w:t>.</w:t>
      </w:r>
    </w:p>
    <w:p w14:paraId="0717BB8B" w14:textId="77777777" w:rsidR="00330B13" w:rsidRPr="007B1183" w:rsidRDefault="00330B13" w:rsidP="00E40756">
      <w:pPr>
        <w:pStyle w:val="FootnoteText"/>
        <w:rPr>
          <w:sz w:val="26"/>
          <w:szCs w:val="26"/>
        </w:rPr>
      </w:pPr>
    </w:p>
    <w:p w14:paraId="246E6846" w14:textId="77777777" w:rsidR="00AB01C9" w:rsidRPr="007B1183" w:rsidRDefault="00B958DE" w:rsidP="008E5E77">
      <w:pPr>
        <w:spacing w:line="240" w:lineRule="auto"/>
        <w:rPr>
          <w:rFonts w:ascii="Times New Roman" w:hAnsi="Times New Roman" w:cs="Times New Roman"/>
          <w:sz w:val="26"/>
          <w:szCs w:val="26"/>
        </w:rPr>
      </w:pPr>
      <w:r w:rsidRPr="007B1183">
        <w:rPr>
          <w:rFonts w:ascii="Times New Roman" w:hAnsi="Times New Roman" w:cs="Times New Roman"/>
          <w:b/>
          <w:sz w:val="26"/>
          <w:szCs w:val="26"/>
        </w:rPr>
        <w:t>FERC-725G.</w:t>
      </w:r>
      <w:r w:rsidRPr="007B1183">
        <w:rPr>
          <w:rFonts w:ascii="Times New Roman" w:hAnsi="Times New Roman" w:cs="Times New Roman"/>
          <w:sz w:val="26"/>
          <w:szCs w:val="26"/>
        </w:rPr>
        <w:t xml:space="preserve">  </w:t>
      </w:r>
      <w:r w:rsidR="00AB01C9" w:rsidRPr="007B1183">
        <w:rPr>
          <w:rFonts w:ascii="Times New Roman" w:hAnsi="Times New Roman" w:cs="Times New Roman"/>
          <w:sz w:val="26"/>
          <w:szCs w:val="26"/>
        </w:rPr>
        <w:t xml:space="preserve">The number of respondents below is based on an examination of the NERC compliance registry for reliability coordinators, planning coordinators, transmission owners, generation owners, and distribution providers and an estimation of </w:t>
      </w:r>
      <w:r w:rsidR="00AB01C9" w:rsidRPr="007B1183">
        <w:rPr>
          <w:rFonts w:ascii="Times New Roman" w:hAnsi="Times New Roman" w:cs="Times New Roman"/>
          <w:sz w:val="26"/>
          <w:szCs w:val="26"/>
        </w:rPr>
        <w:lastRenderedPageBreak/>
        <w:t>how many entities from that registry will be affected by the proposed Reliability Standard.  At the time of Commission review of proposed Reliability Standard PRC</w:t>
      </w:r>
      <w:r w:rsidR="00AB01C9" w:rsidRPr="007B1183">
        <w:rPr>
          <w:rFonts w:ascii="Times New Roman" w:hAnsi="Times New Roman" w:cs="Times New Roman"/>
          <w:sz w:val="26"/>
          <w:szCs w:val="26"/>
        </w:rPr>
        <w:noBreakHyphen/>
        <w:t>012</w:t>
      </w:r>
      <w:r w:rsidR="00AB01C9" w:rsidRPr="007B1183">
        <w:rPr>
          <w:rFonts w:ascii="Times New Roman" w:hAnsi="Times New Roman" w:cs="Times New Roman"/>
          <w:sz w:val="26"/>
          <w:szCs w:val="26"/>
        </w:rPr>
        <w:noBreakHyphen/>
        <w:t>2, 15 reliability coordinators, 71 planning coordinators, 328 transmission owners, 930 generation owners, and 367 distribution providers in the United States were registered in the NERC compliance registry.  However, under NERC’s compliance registration program, entities may be registered for multiple functions, so these numbers incorporate some double counting.  The Commission notes that many generation sites share a common generation owner.  The following table illustrates the estimated burden to be applied to the information collection.</w:t>
      </w:r>
      <w:r w:rsidR="00AB01C9" w:rsidRPr="007B1183">
        <w:rPr>
          <w:rFonts w:ascii="Times New Roman" w:hAnsi="Times New Roman" w:cs="Times New Roman"/>
          <w:b/>
          <w:sz w:val="26"/>
          <w:szCs w:val="26"/>
          <w:vertAlign w:val="superscript"/>
        </w:rPr>
        <w:footnoteReference w:id="25"/>
      </w:r>
    </w:p>
    <w:tbl>
      <w:tblPr>
        <w:tblW w:w="486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6"/>
        <w:gridCol w:w="1172"/>
        <w:gridCol w:w="1366"/>
        <w:gridCol w:w="1410"/>
        <w:gridCol w:w="1494"/>
        <w:gridCol w:w="1968"/>
      </w:tblGrid>
      <w:tr w:rsidR="00997657" w:rsidRPr="007B1183" w14:paraId="1B6154DE" w14:textId="77777777" w:rsidTr="00A03063">
        <w:trPr>
          <w:cantSplit/>
          <w:trHeight w:val="143"/>
        </w:trPr>
        <w:tc>
          <w:tcPr>
            <w:tcW w:w="5000" w:type="pct"/>
            <w:gridSpan w:val="6"/>
            <w:shd w:val="clear" w:color="auto" w:fill="D9D9D9"/>
            <w:vAlign w:val="bottom"/>
          </w:tcPr>
          <w:p w14:paraId="3AA30771" w14:textId="77777777" w:rsidR="00997657" w:rsidRPr="007B1183" w:rsidRDefault="00997657" w:rsidP="008E5E77">
            <w:pPr>
              <w:keepNext/>
              <w:keepLines/>
              <w:autoSpaceDE w:val="0"/>
              <w:autoSpaceDN w:val="0"/>
              <w:adjustRightInd w:val="0"/>
              <w:spacing w:after="0" w:line="240" w:lineRule="auto"/>
              <w:jc w:val="center"/>
              <w:rPr>
                <w:rFonts w:ascii="Times New Roman" w:eastAsia="Times New Roman" w:hAnsi="Times New Roman" w:cs="Times New Roman"/>
                <w:b/>
                <w:sz w:val="26"/>
                <w:szCs w:val="26"/>
                <w:highlight w:val="yellow"/>
              </w:rPr>
            </w:pPr>
            <w:r w:rsidRPr="007B1183">
              <w:rPr>
                <w:rFonts w:ascii="Times New Roman" w:eastAsia="Times New Roman" w:hAnsi="Times New Roman" w:cs="Times New Roman"/>
                <w:b/>
                <w:sz w:val="26"/>
                <w:szCs w:val="26"/>
              </w:rPr>
              <w:t xml:space="preserve">RM16-20-000 (Mandatory Reliability Standards: Reliability Standard PRC-012-2) </w:t>
            </w:r>
          </w:p>
        </w:tc>
      </w:tr>
      <w:tr w:rsidR="00997657" w:rsidRPr="007B1183" w14:paraId="3F4F58B0" w14:textId="77777777" w:rsidTr="00645CEB">
        <w:trPr>
          <w:cantSplit/>
          <w:trHeight w:val="1224"/>
        </w:trPr>
        <w:tc>
          <w:tcPr>
            <w:tcW w:w="927" w:type="pct"/>
            <w:shd w:val="clear" w:color="auto" w:fill="D9D9D9"/>
            <w:vAlign w:val="bottom"/>
          </w:tcPr>
          <w:p w14:paraId="000181D3" w14:textId="77777777" w:rsidR="00997657" w:rsidRPr="007B1183" w:rsidRDefault="00997657" w:rsidP="008E5E77">
            <w:pPr>
              <w:keepNext/>
              <w:keepLines/>
              <w:autoSpaceDE w:val="0"/>
              <w:autoSpaceDN w:val="0"/>
              <w:adjustRightInd w:val="0"/>
              <w:spacing w:after="0" w:line="240" w:lineRule="auto"/>
              <w:jc w:val="center"/>
              <w:rPr>
                <w:rFonts w:ascii="Times New Roman" w:eastAsia="Times New Roman" w:hAnsi="Times New Roman" w:cs="Times New Roman"/>
                <w:b/>
                <w:sz w:val="26"/>
                <w:szCs w:val="26"/>
              </w:rPr>
            </w:pPr>
            <w:r w:rsidRPr="007B1183">
              <w:rPr>
                <w:rFonts w:ascii="Times New Roman" w:eastAsia="Times New Roman" w:hAnsi="Times New Roman" w:cs="Times New Roman"/>
                <w:b/>
                <w:sz w:val="26"/>
                <w:szCs w:val="26"/>
              </w:rPr>
              <w:t>Requirement and Respondent Category for PRC-012-2</w:t>
            </w:r>
          </w:p>
        </w:tc>
        <w:tc>
          <w:tcPr>
            <w:tcW w:w="644" w:type="pct"/>
            <w:shd w:val="clear" w:color="auto" w:fill="D9D9D9"/>
            <w:vAlign w:val="bottom"/>
          </w:tcPr>
          <w:p w14:paraId="54DE1F78" w14:textId="77777777" w:rsidR="00997657" w:rsidRPr="007B1183" w:rsidRDefault="00997657" w:rsidP="008E5E77">
            <w:pPr>
              <w:keepNext/>
              <w:keepLines/>
              <w:autoSpaceDE w:val="0"/>
              <w:autoSpaceDN w:val="0"/>
              <w:adjustRightInd w:val="0"/>
              <w:spacing w:after="0" w:line="240" w:lineRule="auto"/>
              <w:jc w:val="center"/>
              <w:rPr>
                <w:rFonts w:ascii="Times New Roman" w:eastAsia="Times New Roman" w:hAnsi="Times New Roman" w:cs="Times New Roman"/>
                <w:b/>
                <w:sz w:val="26"/>
                <w:szCs w:val="26"/>
              </w:rPr>
            </w:pPr>
            <w:r w:rsidRPr="007B1183">
              <w:rPr>
                <w:rFonts w:ascii="Times New Roman" w:eastAsia="Times New Roman" w:hAnsi="Times New Roman" w:cs="Times New Roman"/>
                <w:b/>
                <w:sz w:val="26"/>
                <w:szCs w:val="26"/>
              </w:rPr>
              <w:t>Number of Respondents</w:t>
            </w:r>
          </w:p>
          <w:p w14:paraId="686A11B0" w14:textId="77777777" w:rsidR="00997657" w:rsidRPr="007B1183" w:rsidRDefault="00997657" w:rsidP="008E5E77">
            <w:pPr>
              <w:keepNext/>
              <w:keepLines/>
              <w:autoSpaceDE w:val="0"/>
              <w:autoSpaceDN w:val="0"/>
              <w:adjustRightInd w:val="0"/>
              <w:spacing w:after="0" w:line="240" w:lineRule="auto"/>
              <w:jc w:val="center"/>
              <w:rPr>
                <w:rFonts w:ascii="Times New Roman" w:eastAsia="Times New Roman" w:hAnsi="Times New Roman" w:cs="Times New Roman"/>
                <w:b/>
                <w:sz w:val="26"/>
                <w:szCs w:val="26"/>
              </w:rPr>
            </w:pPr>
            <w:r w:rsidRPr="007B1183">
              <w:rPr>
                <w:rFonts w:ascii="Times New Roman" w:eastAsia="Times New Roman" w:hAnsi="Times New Roman" w:cs="Times New Roman"/>
                <w:b/>
                <w:sz w:val="26"/>
                <w:szCs w:val="26"/>
              </w:rPr>
              <w:t>(1)</w:t>
            </w:r>
          </w:p>
        </w:tc>
        <w:tc>
          <w:tcPr>
            <w:tcW w:w="751" w:type="pct"/>
            <w:shd w:val="clear" w:color="auto" w:fill="D9D9D9"/>
            <w:vAlign w:val="bottom"/>
          </w:tcPr>
          <w:p w14:paraId="4835857F" w14:textId="77777777" w:rsidR="00997657" w:rsidRPr="007B1183" w:rsidRDefault="00997657" w:rsidP="008E5E77">
            <w:pPr>
              <w:keepNext/>
              <w:keepLines/>
              <w:autoSpaceDE w:val="0"/>
              <w:autoSpaceDN w:val="0"/>
              <w:adjustRightInd w:val="0"/>
              <w:spacing w:after="0" w:line="240" w:lineRule="auto"/>
              <w:jc w:val="center"/>
              <w:rPr>
                <w:rFonts w:ascii="Times New Roman" w:eastAsia="Times New Roman" w:hAnsi="Times New Roman" w:cs="Times New Roman"/>
                <w:b/>
                <w:sz w:val="26"/>
                <w:szCs w:val="26"/>
              </w:rPr>
            </w:pPr>
            <w:r w:rsidRPr="007B1183">
              <w:rPr>
                <w:rFonts w:ascii="Times New Roman" w:eastAsia="Times New Roman" w:hAnsi="Times New Roman" w:cs="Times New Roman"/>
                <w:b/>
                <w:sz w:val="26"/>
                <w:szCs w:val="26"/>
              </w:rPr>
              <w:t>Number of Responses per Respondent</w:t>
            </w:r>
          </w:p>
          <w:p w14:paraId="484F3CF1" w14:textId="77777777" w:rsidR="00997657" w:rsidRPr="007B1183" w:rsidRDefault="00997657" w:rsidP="008E5E77">
            <w:pPr>
              <w:keepNext/>
              <w:keepLines/>
              <w:autoSpaceDE w:val="0"/>
              <w:autoSpaceDN w:val="0"/>
              <w:adjustRightInd w:val="0"/>
              <w:spacing w:after="0" w:line="240" w:lineRule="auto"/>
              <w:jc w:val="center"/>
              <w:rPr>
                <w:rFonts w:ascii="Times New Roman" w:eastAsia="Times New Roman" w:hAnsi="Times New Roman" w:cs="Times New Roman"/>
                <w:b/>
                <w:sz w:val="26"/>
                <w:szCs w:val="26"/>
              </w:rPr>
            </w:pPr>
            <w:r w:rsidRPr="007B1183">
              <w:rPr>
                <w:rFonts w:ascii="Times New Roman" w:eastAsia="Times New Roman" w:hAnsi="Times New Roman" w:cs="Times New Roman"/>
                <w:b/>
                <w:sz w:val="26"/>
                <w:szCs w:val="26"/>
              </w:rPr>
              <w:t>(2)</w:t>
            </w:r>
          </w:p>
        </w:tc>
        <w:tc>
          <w:tcPr>
            <w:tcW w:w="775" w:type="pct"/>
            <w:shd w:val="clear" w:color="auto" w:fill="D9D9D9"/>
            <w:vAlign w:val="bottom"/>
          </w:tcPr>
          <w:p w14:paraId="22E1C14B" w14:textId="77777777" w:rsidR="00997657" w:rsidRPr="007B1183" w:rsidRDefault="00997657" w:rsidP="008E5E77">
            <w:pPr>
              <w:keepNext/>
              <w:keepLines/>
              <w:autoSpaceDE w:val="0"/>
              <w:autoSpaceDN w:val="0"/>
              <w:adjustRightInd w:val="0"/>
              <w:spacing w:after="0" w:line="240" w:lineRule="auto"/>
              <w:jc w:val="center"/>
              <w:rPr>
                <w:rFonts w:ascii="Times New Roman" w:eastAsia="Times New Roman" w:hAnsi="Times New Roman" w:cs="Times New Roman"/>
                <w:b/>
                <w:sz w:val="26"/>
                <w:szCs w:val="26"/>
              </w:rPr>
            </w:pPr>
            <w:r w:rsidRPr="007B1183">
              <w:rPr>
                <w:rFonts w:ascii="Times New Roman" w:eastAsia="Times New Roman" w:hAnsi="Times New Roman" w:cs="Times New Roman"/>
                <w:b/>
                <w:sz w:val="26"/>
                <w:szCs w:val="26"/>
              </w:rPr>
              <w:t xml:space="preserve">Total Number of Responses </w:t>
            </w:r>
          </w:p>
          <w:p w14:paraId="49C1289F" w14:textId="77777777" w:rsidR="00997657" w:rsidRPr="007B1183" w:rsidRDefault="00997657" w:rsidP="008E5E77">
            <w:pPr>
              <w:keepNext/>
              <w:keepLines/>
              <w:autoSpaceDE w:val="0"/>
              <w:autoSpaceDN w:val="0"/>
              <w:adjustRightInd w:val="0"/>
              <w:spacing w:after="0" w:line="240" w:lineRule="auto"/>
              <w:jc w:val="center"/>
              <w:rPr>
                <w:rFonts w:ascii="Times New Roman" w:eastAsia="Times New Roman" w:hAnsi="Times New Roman" w:cs="Times New Roman"/>
                <w:b/>
                <w:sz w:val="26"/>
                <w:szCs w:val="26"/>
              </w:rPr>
            </w:pPr>
            <w:r w:rsidRPr="007B1183">
              <w:rPr>
                <w:rFonts w:ascii="Times New Roman" w:eastAsia="Times New Roman" w:hAnsi="Times New Roman" w:cs="Times New Roman"/>
                <w:b/>
                <w:sz w:val="26"/>
                <w:szCs w:val="26"/>
              </w:rPr>
              <w:t>(1)*(2)=(3)</w:t>
            </w:r>
          </w:p>
        </w:tc>
        <w:tc>
          <w:tcPr>
            <w:tcW w:w="821" w:type="pct"/>
            <w:shd w:val="clear" w:color="auto" w:fill="D9D9D9"/>
            <w:vAlign w:val="bottom"/>
          </w:tcPr>
          <w:p w14:paraId="12403574" w14:textId="77777777" w:rsidR="00997657" w:rsidRPr="007B1183" w:rsidRDefault="00997657" w:rsidP="008E5E77">
            <w:pPr>
              <w:keepNext/>
              <w:keepLines/>
              <w:autoSpaceDE w:val="0"/>
              <w:autoSpaceDN w:val="0"/>
              <w:adjustRightInd w:val="0"/>
              <w:spacing w:after="0" w:line="240" w:lineRule="auto"/>
              <w:jc w:val="center"/>
              <w:rPr>
                <w:rFonts w:ascii="Times New Roman" w:eastAsia="Times New Roman" w:hAnsi="Times New Roman" w:cs="Times New Roman"/>
                <w:b/>
                <w:sz w:val="26"/>
                <w:szCs w:val="26"/>
              </w:rPr>
            </w:pPr>
            <w:r w:rsidRPr="007B1183">
              <w:rPr>
                <w:rFonts w:ascii="Times New Roman" w:eastAsia="Times New Roman" w:hAnsi="Times New Roman" w:cs="Times New Roman"/>
                <w:b/>
                <w:sz w:val="26"/>
                <w:szCs w:val="26"/>
              </w:rPr>
              <w:t>Average Burden Hours &amp; Cost per Response</w:t>
            </w:r>
            <w:r w:rsidRPr="007B1183">
              <w:rPr>
                <w:rFonts w:ascii="Times New Roman" w:eastAsia="Times New Roman" w:hAnsi="Times New Roman" w:cs="Times New Roman"/>
                <w:b/>
                <w:sz w:val="26"/>
                <w:szCs w:val="26"/>
                <w:vertAlign w:val="superscript"/>
              </w:rPr>
              <w:footnoteReference w:id="26"/>
            </w:r>
          </w:p>
          <w:p w14:paraId="444F66E0" w14:textId="77777777" w:rsidR="00997657" w:rsidRPr="007B1183" w:rsidRDefault="00997657" w:rsidP="008E5E77">
            <w:pPr>
              <w:keepNext/>
              <w:keepLines/>
              <w:autoSpaceDE w:val="0"/>
              <w:autoSpaceDN w:val="0"/>
              <w:adjustRightInd w:val="0"/>
              <w:spacing w:after="0" w:line="240" w:lineRule="auto"/>
              <w:jc w:val="center"/>
              <w:rPr>
                <w:rFonts w:ascii="Times New Roman" w:eastAsia="Times New Roman" w:hAnsi="Times New Roman" w:cs="Times New Roman"/>
                <w:b/>
                <w:sz w:val="26"/>
                <w:szCs w:val="26"/>
              </w:rPr>
            </w:pPr>
            <w:r w:rsidRPr="007B1183">
              <w:rPr>
                <w:rFonts w:ascii="Times New Roman" w:eastAsia="Times New Roman" w:hAnsi="Times New Roman" w:cs="Times New Roman"/>
                <w:b/>
                <w:sz w:val="26"/>
                <w:szCs w:val="26"/>
              </w:rPr>
              <w:t>(4)</w:t>
            </w:r>
          </w:p>
        </w:tc>
        <w:tc>
          <w:tcPr>
            <w:tcW w:w="1082" w:type="pct"/>
            <w:shd w:val="clear" w:color="auto" w:fill="D9D9D9"/>
            <w:vAlign w:val="bottom"/>
          </w:tcPr>
          <w:p w14:paraId="352A8102" w14:textId="77777777" w:rsidR="00997657" w:rsidRPr="007B1183" w:rsidRDefault="00997657" w:rsidP="008E5E77">
            <w:pPr>
              <w:keepNext/>
              <w:keepLines/>
              <w:autoSpaceDE w:val="0"/>
              <w:autoSpaceDN w:val="0"/>
              <w:adjustRightInd w:val="0"/>
              <w:spacing w:after="0" w:line="240" w:lineRule="auto"/>
              <w:jc w:val="center"/>
              <w:rPr>
                <w:rFonts w:ascii="Times New Roman" w:eastAsia="Times New Roman" w:hAnsi="Times New Roman" w:cs="Times New Roman"/>
                <w:b/>
                <w:sz w:val="26"/>
                <w:szCs w:val="26"/>
              </w:rPr>
            </w:pPr>
            <w:r w:rsidRPr="007B1183">
              <w:rPr>
                <w:rFonts w:ascii="Times New Roman" w:eastAsia="Times New Roman" w:hAnsi="Times New Roman" w:cs="Times New Roman"/>
                <w:b/>
                <w:sz w:val="26"/>
                <w:szCs w:val="26"/>
              </w:rPr>
              <w:t xml:space="preserve">Annual Burden Hours &amp; Total Annual Cost </w:t>
            </w:r>
          </w:p>
          <w:p w14:paraId="3AA3F734" w14:textId="77777777" w:rsidR="00997657" w:rsidRPr="007B1183" w:rsidRDefault="00997657" w:rsidP="008E5E77">
            <w:pPr>
              <w:keepNext/>
              <w:keepLines/>
              <w:autoSpaceDE w:val="0"/>
              <w:autoSpaceDN w:val="0"/>
              <w:adjustRightInd w:val="0"/>
              <w:spacing w:after="0" w:line="240" w:lineRule="auto"/>
              <w:jc w:val="center"/>
              <w:rPr>
                <w:rFonts w:ascii="Times New Roman" w:eastAsia="Times New Roman" w:hAnsi="Times New Roman" w:cs="Times New Roman"/>
                <w:b/>
                <w:sz w:val="26"/>
                <w:szCs w:val="26"/>
              </w:rPr>
            </w:pPr>
            <w:r w:rsidRPr="007B1183">
              <w:rPr>
                <w:rFonts w:ascii="Times New Roman" w:eastAsia="Times New Roman" w:hAnsi="Times New Roman" w:cs="Times New Roman"/>
                <w:b/>
                <w:sz w:val="26"/>
                <w:szCs w:val="26"/>
              </w:rPr>
              <w:t>(3)*(4)=(5)</w:t>
            </w:r>
          </w:p>
        </w:tc>
      </w:tr>
      <w:tr w:rsidR="00ED734E" w:rsidRPr="007B1183" w14:paraId="4ABC3DF9" w14:textId="77777777" w:rsidTr="00645CEB">
        <w:trPr>
          <w:cantSplit/>
          <w:trHeight w:val="469"/>
        </w:trPr>
        <w:tc>
          <w:tcPr>
            <w:tcW w:w="927" w:type="pct"/>
          </w:tcPr>
          <w:p w14:paraId="620A26C3"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R1. Each RAS-entity (TO, GO, DP)</w:t>
            </w:r>
          </w:p>
        </w:tc>
        <w:tc>
          <w:tcPr>
            <w:tcW w:w="644" w:type="pct"/>
            <w:vAlign w:val="bottom"/>
          </w:tcPr>
          <w:p w14:paraId="3A7DE3FA" w14:textId="77777777" w:rsidR="00ED734E" w:rsidRPr="007B1183" w:rsidRDefault="00ED734E" w:rsidP="008E5E77">
            <w:pPr>
              <w:widowControl w:val="0"/>
              <w:tabs>
                <w:tab w:val="left" w:pos="1080"/>
              </w:tabs>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1,595</w:t>
            </w:r>
          </w:p>
        </w:tc>
        <w:tc>
          <w:tcPr>
            <w:tcW w:w="751" w:type="pct"/>
            <w:vAlign w:val="bottom"/>
          </w:tcPr>
          <w:p w14:paraId="0A9FBF32"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w:t>
            </w:r>
          </w:p>
        </w:tc>
        <w:tc>
          <w:tcPr>
            <w:tcW w:w="775" w:type="pct"/>
            <w:vAlign w:val="bottom"/>
          </w:tcPr>
          <w:p w14:paraId="2D769EAF"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1,595</w:t>
            </w:r>
          </w:p>
        </w:tc>
        <w:tc>
          <w:tcPr>
            <w:tcW w:w="821" w:type="pct"/>
            <w:vAlign w:val="bottom"/>
          </w:tcPr>
          <w:p w14:paraId="3AB257EC"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 xml:space="preserve">(Eng.) 24 hrs. ($1,543); (R.K.) 12 hrs. ($453) </w:t>
            </w:r>
          </w:p>
        </w:tc>
        <w:tc>
          <w:tcPr>
            <w:tcW w:w="1082" w:type="pct"/>
            <w:vAlign w:val="bottom"/>
          </w:tcPr>
          <w:p w14:paraId="66E3C2FC"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vertAlign w:val="superscript"/>
              </w:rPr>
            </w:pPr>
            <w:r w:rsidRPr="007B1183">
              <w:rPr>
                <w:rFonts w:ascii="Times New Roman" w:eastAsia="Times New Roman" w:hAnsi="Times New Roman" w:cs="Times New Roman"/>
                <w:sz w:val="26"/>
                <w:szCs w:val="26"/>
              </w:rPr>
              <w:t>57,420 hrs. (38,280 Eng., 19,140 R.K.); $3,183,556 ($2,461,021 Eng., $722,535 R.K.)</w:t>
            </w:r>
          </w:p>
        </w:tc>
      </w:tr>
      <w:tr w:rsidR="00ED734E" w:rsidRPr="007B1183" w14:paraId="139E84EE" w14:textId="77777777" w:rsidTr="00645CEB">
        <w:trPr>
          <w:cantSplit/>
          <w:trHeight w:val="469"/>
        </w:trPr>
        <w:tc>
          <w:tcPr>
            <w:tcW w:w="927" w:type="pct"/>
          </w:tcPr>
          <w:p w14:paraId="32A26009" w14:textId="77777777" w:rsidR="00ED734E" w:rsidRPr="007B1183" w:rsidRDefault="00ED734E" w:rsidP="008E5E7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R2. Each Reliability Coordinator</w:t>
            </w:r>
          </w:p>
        </w:tc>
        <w:tc>
          <w:tcPr>
            <w:tcW w:w="644" w:type="pct"/>
            <w:vAlign w:val="bottom"/>
          </w:tcPr>
          <w:p w14:paraId="1A4B064C"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15</w:t>
            </w:r>
          </w:p>
        </w:tc>
        <w:tc>
          <w:tcPr>
            <w:tcW w:w="751" w:type="pct"/>
            <w:vAlign w:val="bottom"/>
          </w:tcPr>
          <w:p w14:paraId="4B3D60F5"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w:t>
            </w:r>
          </w:p>
        </w:tc>
        <w:tc>
          <w:tcPr>
            <w:tcW w:w="775" w:type="pct"/>
            <w:vAlign w:val="bottom"/>
          </w:tcPr>
          <w:p w14:paraId="0CBD7E8F"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15</w:t>
            </w:r>
          </w:p>
        </w:tc>
        <w:tc>
          <w:tcPr>
            <w:tcW w:w="821" w:type="pct"/>
            <w:vAlign w:val="bottom"/>
          </w:tcPr>
          <w:p w14:paraId="5CACE879"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(Eng.) 16 hrs. ($1,029); (R.K.) 4 hrs. ($151)</w:t>
            </w:r>
          </w:p>
        </w:tc>
        <w:tc>
          <w:tcPr>
            <w:tcW w:w="1082" w:type="pct"/>
            <w:vAlign w:val="bottom"/>
          </w:tcPr>
          <w:p w14:paraId="705F5075"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300 hrs. (240 Eng., 60 R.K.); $17,695 ($15,430 Eng., $2,265 R.K.)</w:t>
            </w:r>
          </w:p>
        </w:tc>
      </w:tr>
      <w:tr w:rsidR="00ED734E" w:rsidRPr="007B1183" w14:paraId="53A486E7" w14:textId="77777777" w:rsidTr="00645CEB">
        <w:trPr>
          <w:cantSplit/>
          <w:trHeight w:val="469"/>
        </w:trPr>
        <w:tc>
          <w:tcPr>
            <w:tcW w:w="927" w:type="pct"/>
          </w:tcPr>
          <w:p w14:paraId="435E4BA5" w14:textId="77777777" w:rsidR="00ED734E" w:rsidRPr="007B1183" w:rsidRDefault="00ED734E" w:rsidP="008E5E7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lastRenderedPageBreak/>
              <w:t xml:space="preserve">R4. Each Planning Coordinator </w:t>
            </w:r>
          </w:p>
        </w:tc>
        <w:tc>
          <w:tcPr>
            <w:tcW w:w="644" w:type="pct"/>
            <w:vAlign w:val="bottom"/>
          </w:tcPr>
          <w:p w14:paraId="1388C0BA"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71</w:t>
            </w:r>
          </w:p>
        </w:tc>
        <w:tc>
          <w:tcPr>
            <w:tcW w:w="751" w:type="pct"/>
            <w:vAlign w:val="bottom"/>
          </w:tcPr>
          <w:p w14:paraId="00565380"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w:t>
            </w:r>
          </w:p>
        </w:tc>
        <w:tc>
          <w:tcPr>
            <w:tcW w:w="775" w:type="pct"/>
            <w:vAlign w:val="bottom"/>
          </w:tcPr>
          <w:p w14:paraId="0ACE0442"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71</w:t>
            </w:r>
          </w:p>
        </w:tc>
        <w:tc>
          <w:tcPr>
            <w:tcW w:w="821" w:type="pct"/>
            <w:vAlign w:val="bottom"/>
          </w:tcPr>
          <w:p w14:paraId="1C8618A5"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(Eng.) 16 hrs. ($1,029); (R.K.) 4 hrs. ($151)</w:t>
            </w:r>
          </w:p>
        </w:tc>
        <w:tc>
          <w:tcPr>
            <w:tcW w:w="1082" w:type="pct"/>
            <w:vAlign w:val="bottom"/>
          </w:tcPr>
          <w:p w14:paraId="5F6C2A6D"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1,420 hrs. (1,136 Eng., 284 R.K.); $85,754 ($73,033 Eng., $10,721 R.K.)</w:t>
            </w:r>
          </w:p>
        </w:tc>
      </w:tr>
      <w:tr w:rsidR="00ED734E" w:rsidRPr="007B1183" w14:paraId="20EFB1FD" w14:textId="77777777" w:rsidTr="00645CEB">
        <w:trPr>
          <w:cantSplit/>
          <w:trHeight w:val="469"/>
        </w:trPr>
        <w:tc>
          <w:tcPr>
            <w:tcW w:w="927" w:type="pct"/>
          </w:tcPr>
          <w:p w14:paraId="69D83245" w14:textId="77777777" w:rsidR="00ED734E" w:rsidRPr="007B1183" w:rsidRDefault="00ED734E" w:rsidP="008E5E77">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R5, R6, R7, and R8. Each RAS-entity (TO, GO, DP)</w:t>
            </w:r>
          </w:p>
        </w:tc>
        <w:tc>
          <w:tcPr>
            <w:tcW w:w="644" w:type="pct"/>
            <w:vAlign w:val="bottom"/>
          </w:tcPr>
          <w:p w14:paraId="260D5F8E"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1,595</w:t>
            </w:r>
          </w:p>
        </w:tc>
        <w:tc>
          <w:tcPr>
            <w:tcW w:w="751" w:type="pct"/>
            <w:vAlign w:val="bottom"/>
          </w:tcPr>
          <w:p w14:paraId="6A177FEF"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w:t>
            </w:r>
          </w:p>
        </w:tc>
        <w:tc>
          <w:tcPr>
            <w:tcW w:w="775" w:type="pct"/>
            <w:vAlign w:val="bottom"/>
          </w:tcPr>
          <w:p w14:paraId="2293DA41"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1,595</w:t>
            </w:r>
          </w:p>
        </w:tc>
        <w:tc>
          <w:tcPr>
            <w:tcW w:w="821" w:type="pct"/>
            <w:vAlign w:val="bottom"/>
          </w:tcPr>
          <w:p w14:paraId="1D28AEB5"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(Eng.) 24 hrs. ($1,543); (R.K.) 12 hrs. ($453)</w:t>
            </w:r>
          </w:p>
        </w:tc>
        <w:tc>
          <w:tcPr>
            <w:tcW w:w="1082" w:type="pct"/>
            <w:vAlign w:val="bottom"/>
          </w:tcPr>
          <w:p w14:paraId="3CC306FB"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57,420 hrs. (38,280 Eng., 19,140 R.K.); $3,183,556 ($2,461,021 Eng., $722,535 R.K.)</w:t>
            </w:r>
          </w:p>
        </w:tc>
      </w:tr>
      <w:tr w:rsidR="00ED734E" w:rsidRPr="007B1183" w14:paraId="341D6CBF" w14:textId="77777777" w:rsidTr="00645CEB">
        <w:trPr>
          <w:cantSplit/>
          <w:trHeight w:val="469"/>
        </w:trPr>
        <w:tc>
          <w:tcPr>
            <w:tcW w:w="927" w:type="pct"/>
          </w:tcPr>
          <w:p w14:paraId="268BF27B"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 xml:space="preserve">R9. Each Reliability Coordinator </w:t>
            </w:r>
          </w:p>
        </w:tc>
        <w:tc>
          <w:tcPr>
            <w:tcW w:w="644" w:type="pct"/>
            <w:vAlign w:val="bottom"/>
          </w:tcPr>
          <w:p w14:paraId="61E21BAB"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15</w:t>
            </w:r>
          </w:p>
        </w:tc>
        <w:tc>
          <w:tcPr>
            <w:tcW w:w="751" w:type="pct"/>
            <w:vAlign w:val="bottom"/>
          </w:tcPr>
          <w:p w14:paraId="3A4C57CC"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w:t>
            </w:r>
          </w:p>
        </w:tc>
        <w:tc>
          <w:tcPr>
            <w:tcW w:w="775" w:type="pct"/>
            <w:vAlign w:val="bottom"/>
          </w:tcPr>
          <w:p w14:paraId="1DD0FD6F"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15</w:t>
            </w:r>
          </w:p>
        </w:tc>
        <w:tc>
          <w:tcPr>
            <w:tcW w:w="821" w:type="pct"/>
            <w:vAlign w:val="bottom"/>
          </w:tcPr>
          <w:p w14:paraId="75975A5F"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(Eng.) 10 hrs. ($653); (R.K.) 4 hrs. ($151)</w:t>
            </w:r>
          </w:p>
        </w:tc>
        <w:tc>
          <w:tcPr>
            <w:tcW w:w="1082" w:type="pct"/>
            <w:vAlign w:val="bottom"/>
          </w:tcPr>
          <w:p w14:paraId="4A72E08D"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210 hrs. (150 Eng., 60 R.K.); $11,909 ($9,644 Eng., $2,265 R.K.)</w:t>
            </w:r>
          </w:p>
        </w:tc>
      </w:tr>
      <w:tr w:rsidR="00ED734E" w:rsidRPr="007B1183" w14:paraId="231F1144" w14:textId="77777777" w:rsidTr="00645CEB">
        <w:trPr>
          <w:cantSplit/>
          <w:trHeight w:val="469"/>
        </w:trPr>
        <w:tc>
          <w:tcPr>
            <w:tcW w:w="927" w:type="pct"/>
          </w:tcPr>
          <w:p w14:paraId="67E1A7F6" w14:textId="77777777" w:rsidR="00ED734E" w:rsidRPr="007B1183" w:rsidRDefault="00ED734E" w:rsidP="008E5E77">
            <w:pPr>
              <w:widowControl w:val="0"/>
              <w:autoSpaceDE w:val="0"/>
              <w:autoSpaceDN w:val="0"/>
              <w:adjustRightInd w:val="0"/>
              <w:spacing w:after="0" w:line="240" w:lineRule="auto"/>
              <w:rPr>
                <w:rFonts w:ascii="Times New Roman" w:eastAsia="Times New Roman" w:hAnsi="Times New Roman" w:cs="Times New Roman"/>
                <w:b/>
                <w:sz w:val="26"/>
                <w:szCs w:val="26"/>
              </w:rPr>
            </w:pPr>
            <w:r w:rsidRPr="007B1183">
              <w:rPr>
                <w:rFonts w:ascii="Times New Roman" w:eastAsia="Times New Roman" w:hAnsi="Times New Roman" w:cs="Times New Roman"/>
                <w:b/>
                <w:sz w:val="26"/>
                <w:szCs w:val="26"/>
              </w:rPr>
              <w:t>TOTAL</w:t>
            </w:r>
          </w:p>
        </w:tc>
        <w:tc>
          <w:tcPr>
            <w:tcW w:w="1395" w:type="pct"/>
            <w:gridSpan w:val="2"/>
            <w:shd w:val="clear" w:color="auto" w:fill="BFBFBF"/>
            <w:vAlign w:val="bottom"/>
          </w:tcPr>
          <w:p w14:paraId="56F57AA2"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b/>
                <w:sz w:val="26"/>
                <w:szCs w:val="26"/>
              </w:rPr>
            </w:pPr>
          </w:p>
        </w:tc>
        <w:tc>
          <w:tcPr>
            <w:tcW w:w="775" w:type="pct"/>
            <w:shd w:val="clear" w:color="auto" w:fill="FFFFFF"/>
            <w:vAlign w:val="bottom"/>
          </w:tcPr>
          <w:p w14:paraId="226E72C5"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3,291</w:t>
            </w:r>
          </w:p>
        </w:tc>
        <w:tc>
          <w:tcPr>
            <w:tcW w:w="821" w:type="pct"/>
            <w:shd w:val="clear" w:color="auto" w:fill="BFBFBF"/>
            <w:vAlign w:val="bottom"/>
          </w:tcPr>
          <w:p w14:paraId="0235A1D9"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b/>
                <w:sz w:val="26"/>
                <w:szCs w:val="26"/>
              </w:rPr>
            </w:pPr>
          </w:p>
        </w:tc>
        <w:tc>
          <w:tcPr>
            <w:tcW w:w="1082" w:type="pct"/>
            <w:vAlign w:val="bottom"/>
          </w:tcPr>
          <w:p w14:paraId="5E8EB0BC" w14:textId="77777777" w:rsidR="00ED734E" w:rsidRPr="007B1183" w:rsidRDefault="00ED734E" w:rsidP="008E5E77">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7B1183">
              <w:rPr>
                <w:rFonts w:ascii="Times New Roman" w:eastAsia="Times New Roman" w:hAnsi="Times New Roman" w:cs="Times New Roman"/>
                <w:sz w:val="26"/>
                <w:szCs w:val="26"/>
              </w:rPr>
              <w:t>116,770 hrs. (78,086 Eng., 38,684 R.K.); $6,480,470 ($5,020,149 Eng.; $1,460,321 R.K.)</w:t>
            </w:r>
          </w:p>
        </w:tc>
      </w:tr>
    </w:tbl>
    <w:p w14:paraId="79E61692" w14:textId="77777777" w:rsidR="00EF1EFD" w:rsidRPr="007B1183" w:rsidRDefault="00EF1EFD" w:rsidP="008E5E77">
      <w:pPr>
        <w:spacing w:line="240" w:lineRule="auto"/>
        <w:rPr>
          <w:rFonts w:ascii="Times New Roman" w:hAnsi="Times New Roman" w:cs="Times New Roman"/>
          <w:sz w:val="26"/>
          <w:szCs w:val="26"/>
        </w:rPr>
      </w:pPr>
      <w:r w:rsidRPr="007B1183">
        <w:rPr>
          <w:rFonts w:ascii="Times New Roman" w:hAnsi="Times New Roman" w:cs="Times New Roman"/>
          <w:sz w:val="26"/>
          <w:szCs w:val="26"/>
        </w:rPr>
        <w:t xml:space="preserve"> </w:t>
      </w:r>
    </w:p>
    <w:p w14:paraId="0AFCDA13" w14:textId="77777777" w:rsidR="00EF1EFD" w:rsidRPr="007B1183" w:rsidRDefault="00EF1EFD" w:rsidP="008E5E7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ESTIMATE OF THE TOTAL ANNUAL COST BURDEN TO RESPONDENTS</w:t>
      </w:r>
    </w:p>
    <w:p w14:paraId="2146C845" w14:textId="77777777" w:rsidR="00EF1EFD" w:rsidRPr="007B1183" w:rsidRDefault="00EF1EFD" w:rsidP="008E5E77">
      <w:pPr>
        <w:spacing w:after="0" w:line="240" w:lineRule="auto"/>
        <w:rPr>
          <w:rFonts w:ascii="Times New Roman" w:hAnsi="Times New Roman" w:cs="Times New Roman"/>
          <w:sz w:val="26"/>
          <w:szCs w:val="26"/>
        </w:rPr>
      </w:pPr>
    </w:p>
    <w:p w14:paraId="337DCFD7" w14:textId="77777777" w:rsidR="00EF1EFD" w:rsidRPr="007B1183" w:rsidRDefault="00A475B2" w:rsidP="008E5E7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 xml:space="preserve">All of the costs in the proposed rule are associated with burden hours (labor) and described in Questions #12 and #15 in this supporting statement. </w:t>
      </w:r>
      <w:r w:rsidR="00EF1EFD" w:rsidRPr="007B1183">
        <w:rPr>
          <w:rFonts w:ascii="Times New Roman" w:hAnsi="Times New Roman" w:cs="Times New Roman"/>
          <w:sz w:val="26"/>
          <w:szCs w:val="26"/>
        </w:rPr>
        <w:t>There are no start-up or other non-labor costs.</w:t>
      </w:r>
    </w:p>
    <w:p w14:paraId="7C9B3D99" w14:textId="77777777" w:rsidR="00A475B2" w:rsidRPr="007B1183" w:rsidRDefault="00A475B2" w:rsidP="008E5E77">
      <w:pPr>
        <w:spacing w:after="0" w:line="240" w:lineRule="auto"/>
        <w:ind w:firstLine="720"/>
        <w:rPr>
          <w:rFonts w:ascii="Times New Roman" w:hAnsi="Times New Roman" w:cs="Times New Roman"/>
          <w:sz w:val="26"/>
          <w:szCs w:val="26"/>
        </w:rPr>
      </w:pPr>
    </w:p>
    <w:p w14:paraId="6A971642" w14:textId="77777777" w:rsidR="00EF1EFD" w:rsidRPr="007B1183" w:rsidRDefault="00A475B2" w:rsidP="008E5E7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T</w:t>
      </w:r>
      <w:r w:rsidR="00EF1EFD" w:rsidRPr="007B1183">
        <w:rPr>
          <w:rFonts w:ascii="Times New Roman" w:hAnsi="Times New Roman" w:cs="Times New Roman"/>
          <w:sz w:val="26"/>
          <w:szCs w:val="26"/>
        </w:rPr>
        <w:t>otal Capital and Start-up cost: $0</w:t>
      </w:r>
    </w:p>
    <w:p w14:paraId="413DCF99" w14:textId="77777777" w:rsidR="00EF1EFD" w:rsidRPr="007B1183" w:rsidRDefault="00EF1EFD" w:rsidP="008E5E7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Total Operation, Maintenance, and Purchase of Services: $0</w:t>
      </w:r>
    </w:p>
    <w:p w14:paraId="7B51F074" w14:textId="77777777" w:rsidR="00EF1EFD" w:rsidRPr="007B1183" w:rsidRDefault="00EF1EFD" w:rsidP="008E5E77">
      <w:pPr>
        <w:spacing w:after="0" w:line="240" w:lineRule="auto"/>
        <w:rPr>
          <w:rFonts w:ascii="Times New Roman" w:hAnsi="Times New Roman" w:cs="Times New Roman"/>
          <w:sz w:val="26"/>
          <w:szCs w:val="26"/>
        </w:rPr>
      </w:pPr>
    </w:p>
    <w:p w14:paraId="1182841C" w14:textId="77777777" w:rsidR="00EF1EFD" w:rsidRPr="007B1183" w:rsidRDefault="00EF1EFD" w:rsidP="008E5E7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ESTIMATED ANNUALIZED COST TO FEDERAL GOVERNMENT</w:t>
      </w:r>
    </w:p>
    <w:p w14:paraId="5712E449" w14:textId="77777777" w:rsidR="00B958DE" w:rsidRPr="007B1183" w:rsidRDefault="00B958DE" w:rsidP="008E5E77">
      <w:pPr>
        <w:spacing w:after="0" w:line="240" w:lineRule="auto"/>
        <w:rPr>
          <w:rFonts w:ascii="Times New Roman" w:hAnsi="Times New Roman" w:cs="Times New Roman"/>
          <w:sz w:val="26"/>
          <w:szCs w:val="26"/>
        </w:rPr>
      </w:pPr>
    </w:p>
    <w:p w14:paraId="0ACCB49E" w14:textId="77777777" w:rsidR="00111039" w:rsidRPr="00111039" w:rsidRDefault="00111039" w:rsidP="00111039">
      <w:pPr>
        <w:spacing w:after="0" w:line="240" w:lineRule="auto"/>
        <w:rPr>
          <w:rFonts w:ascii="Times New Roman" w:hAnsi="Times New Roman" w:cs="Times New Roman"/>
          <w:sz w:val="26"/>
          <w:szCs w:val="26"/>
        </w:rPr>
      </w:pPr>
      <w:r w:rsidRPr="00111039">
        <w:rPr>
          <w:rFonts w:ascii="Times New Roman" w:hAnsi="Times New Roman" w:cs="Times New Roman"/>
          <w:sz w:val="26"/>
          <w:szCs w:val="26"/>
        </w:rPr>
        <w:lastRenderedPageBreak/>
        <w:t xml:space="preserve">The Regional Entities and NERC do most of the data processing, monitoring, audit, and compliance work for Reliability Standards.  Any involvement by the Commission is covered under the FERC-725 collection (OMB Control No. 1902-0244) and is not part of this request or package. The data are not submitted to FERC.  </w:t>
      </w:r>
    </w:p>
    <w:p w14:paraId="6A39BAAF" w14:textId="77777777" w:rsidR="00111039" w:rsidRPr="00111039" w:rsidRDefault="00111039" w:rsidP="00111039">
      <w:pPr>
        <w:spacing w:after="0" w:line="240" w:lineRule="auto"/>
        <w:rPr>
          <w:rFonts w:ascii="Times New Roman" w:hAnsi="Times New Roman" w:cs="Times New Roman"/>
          <w:sz w:val="26"/>
          <w:szCs w:val="26"/>
        </w:rPr>
      </w:pPr>
    </w:p>
    <w:p w14:paraId="43BBA8A3" w14:textId="77777777" w:rsidR="00111039" w:rsidRPr="00111039" w:rsidRDefault="00111039" w:rsidP="00111039">
      <w:pPr>
        <w:spacing w:after="0" w:line="240" w:lineRule="auto"/>
        <w:rPr>
          <w:rFonts w:ascii="Times New Roman" w:hAnsi="Times New Roman" w:cs="Times New Roman"/>
          <w:sz w:val="26"/>
          <w:szCs w:val="26"/>
        </w:rPr>
      </w:pPr>
      <w:r w:rsidRPr="00111039">
        <w:rPr>
          <w:rFonts w:ascii="Times New Roman" w:hAnsi="Times New Roman" w:cs="Times New Roman"/>
          <w:sz w:val="26"/>
          <w:szCs w:val="26"/>
        </w:rPr>
        <w:t>There is no FERC analysis and processing of the filings associated with FERC-</w:t>
      </w:r>
      <w:r w:rsidR="00A04BF6">
        <w:rPr>
          <w:rFonts w:ascii="Times New Roman" w:hAnsi="Times New Roman" w:cs="Times New Roman"/>
          <w:sz w:val="26"/>
          <w:szCs w:val="26"/>
        </w:rPr>
        <w:t>725A and FERC-725G</w:t>
      </w:r>
      <w:r w:rsidRPr="00111039">
        <w:rPr>
          <w:rFonts w:ascii="Times New Roman" w:hAnsi="Times New Roman" w:cs="Times New Roman"/>
          <w:sz w:val="26"/>
          <w:szCs w:val="26"/>
        </w:rPr>
        <w:t xml:space="preserve">. </w:t>
      </w:r>
    </w:p>
    <w:p w14:paraId="11413F9F" w14:textId="77777777" w:rsidR="00111039" w:rsidRPr="00111039" w:rsidRDefault="00111039" w:rsidP="00111039">
      <w:pPr>
        <w:spacing w:after="0" w:line="240" w:lineRule="auto"/>
        <w:rPr>
          <w:rFonts w:ascii="Times New Roman" w:hAnsi="Times New Roman" w:cs="Times New Roman"/>
          <w:sz w:val="26"/>
          <w:szCs w:val="26"/>
        </w:rPr>
      </w:pPr>
    </w:p>
    <w:p w14:paraId="0F327867" w14:textId="77777777" w:rsidR="00111039" w:rsidRPr="007B1183" w:rsidRDefault="00111039" w:rsidP="008E5E77">
      <w:pPr>
        <w:spacing w:after="0" w:line="240" w:lineRule="auto"/>
        <w:rPr>
          <w:rFonts w:ascii="Times New Roman" w:hAnsi="Times New Roman" w:cs="Times New Roman"/>
          <w:sz w:val="26"/>
          <w:szCs w:val="26"/>
        </w:rPr>
      </w:pPr>
      <w:r w:rsidRPr="00111039">
        <w:rPr>
          <w:rFonts w:ascii="Times New Roman" w:hAnsi="Times New Roman" w:cs="Times New Roman"/>
          <w:sz w:val="26"/>
          <w:szCs w:val="26"/>
        </w:rPr>
        <w:t xml:space="preserve">The Commission does incur the costs associated with obtaining OMB clearance for </w:t>
      </w:r>
      <w:r w:rsidR="00A04BF6">
        <w:rPr>
          <w:rFonts w:ascii="Times New Roman" w:hAnsi="Times New Roman" w:cs="Times New Roman"/>
          <w:sz w:val="26"/>
          <w:szCs w:val="26"/>
        </w:rPr>
        <w:t>FERC-725A and FERC-725G</w:t>
      </w:r>
      <w:r w:rsidRPr="00111039">
        <w:rPr>
          <w:rFonts w:ascii="Times New Roman" w:hAnsi="Times New Roman" w:cs="Times New Roman"/>
          <w:sz w:val="26"/>
          <w:szCs w:val="26"/>
        </w:rPr>
        <w:t xml:space="preserve"> collection</w:t>
      </w:r>
      <w:r w:rsidR="00A04BF6">
        <w:rPr>
          <w:rFonts w:ascii="Times New Roman" w:hAnsi="Times New Roman" w:cs="Times New Roman"/>
          <w:sz w:val="26"/>
          <w:szCs w:val="26"/>
        </w:rPr>
        <w:t>s</w:t>
      </w:r>
      <w:r w:rsidRPr="00111039">
        <w:rPr>
          <w:rFonts w:ascii="Times New Roman" w:hAnsi="Times New Roman" w:cs="Times New Roman"/>
          <w:sz w:val="26"/>
          <w:szCs w:val="26"/>
        </w:rPr>
        <w:t xml:space="preserve"> under the Paperwork Reduction Act (PRA).  FERC estimates the annual cost for this effort to be $</w:t>
      </w:r>
      <w:r w:rsidR="00A04BF6">
        <w:rPr>
          <w:rFonts w:ascii="Times New Roman" w:hAnsi="Times New Roman" w:cs="Times New Roman"/>
          <w:sz w:val="26"/>
          <w:szCs w:val="26"/>
        </w:rPr>
        <w:t>5,481.00</w:t>
      </w:r>
      <w:r w:rsidRPr="00111039">
        <w:rPr>
          <w:rFonts w:ascii="Times New Roman" w:hAnsi="Times New Roman" w:cs="Times New Roman"/>
          <w:sz w:val="26"/>
          <w:szCs w:val="26"/>
        </w:rPr>
        <w:t xml:space="preserve"> for each of the collection</w:t>
      </w:r>
      <w:r w:rsidR="00A04BF6">
        <w:rPr>
          <w:rFonts w:ascii="Times New Roman" w:hAnsi="Times New Roman" w:cs="Times New Roman"/>
          <w:sz w:val="26"/>
          <w:szCs w:val="26"/>
        </w:rPr>
        <w:t xml:space="preserve"> for a total of $10,962.00.</w:t>
      </w:r>
    </w:p>
    <w:p w14:paraId="1E41BF64" w14:textId="77777777" w:rsidR="00EF1EFD" w:rsidRPr="007B1183" w:rsidRDefault="00EF1EFD" w:rsidP="008E5E77">
      <w:pPr>
        <w:spacing w:after="0" w:line="240" w:lineRule="auto"/>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EF1EFD" w:rsidRPr="007B1183" w14:paraId="4A13D565" w14:textId="77777777" w:rsidTr="00917073">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5B582D1A" w14:textId="77777777" w:rsidR="00997657" w:rsidRPr="007B1183" w:rsidRDefault="00EF1EFD" w:rsidP="008E5E77">
            <w:pPr>
              <w:spacing w:after="0" w:line="240" w:lineRule="auto"/>
              <w:rPr>
                <w:rFonts w:ascii="Times New Roman" w:hAnsi="Times New Roman" w:cs="Times New Roman"/>
                <w:b/>
                <w:sz w:val="26"/>
                <w:szCs w:val="26"/>
              </w:rPr>
            </w:pPr>
            <w:r w:rsidRPr="007B1183">
              <w:rPr>
                <w:rFonts w:ascii="Times New Roman" w:hAnsi="Times New Roman" w:cs="Times New Roman"/>
                <w:b/>
                <w:sz w:val="26"/>
                <w:szCs w:val="26"/>
              </w:rPr>
              <w:t>FERC-725A</w:t>
            </w:r>
            <w:r w:rsidR="00997657" w:rsidRPr="007B1183">
              <w:rPr>
                <w:rFonts w:ascii="Times New Roman" w:hAnsi="Times New Roman" w:cs="Times New Roman"/>
                <w:b/>
                <w:sz w:val="26"/>
                <w:szCs w:val="26"/>
              </w:rPr>
              <w:t xml:space="preserve"> and </w:t>
            </w:r>
          </w:p>
          <w:p w14:paraId="60C72D1D" w14:textId="77777777" w:rsidR="00EF1EFD" w:rsidRPr="007B1183" w:rsidRDefault="00997657" w:rsidP="008E5E77">
            <w:pPr>
              <w:spacing w:after="0" w:line="240" w:lineRule="auto"/>
              <w:rPr>
                <w:rFonts w:ascii="Times New Roman" w:hAnsi="Times New Roman" w:cs="Times New Roman"/>
                <w:b/>
                <w:sz w:val="26"/>
                <w:szCs w:val="26"/>
              </w:rPr>
            </w:pPr>
            <w:r w:rsidRPr="007B1183">
              <w:rPr>
                <w:rFonts w:ascii="Times New Roman" w:hAnsi="Times New Roman" w:cs="Times New Roman"/>
                <w:b/>
                <w:sz w:val="26"/>
                <w:szCs w:val="26"/>
              </w:rPr>
              <w:t>FERC-725G</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541A963D" w14:textId="77777777" w:rsidR="00EF1EFD" w:rsidRPr="007B1183" w:rsidRDefault="00EF1EFD" w:rsidP="008E5E77">
            <w:pPr>
              <w:spacing w:after="0" w:line="240" w:lineRule="auto"/>
              <w:rPr>
                <w:rFonts w:ascii="Times New Roman" w:hAnsi="Times New Roman" w:cs="Times New Roman"/>
                <w:b/>
                <w:sz w:val="26"/>
                <w:szCs w:val="26"/>
              </w:rPr>
            </w:pPr>
            <w:r w:rsidRPr="007B1183">
              <w:rPr>
                <w:rFonts w:ascii="Times New Roman" w:hAnsi="Times New Roman" w:cs="Times New Roman"/>
                <w:b/>
                <w:sz w:val="26"/>
                <w:szCs w:val="26"/>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1B0280CC" w14:textId="77777777" w:rsidR="00EF1EFD" w:rsidRPr="007B1183" w:rsidRDefault="00EF1EFD" w:rsidP="008E5E77">
            <w:pPr>
              <w:spacing w:after="0" w:line="240" w:lineRule="auto"/>
              <w:rPr>
                <w:rFonts w:ascii="Times New Roman" w:hAnsi="Times New Roman" w:cs="Times New Roman"/>
                <w:b/>
                <w:sz w:val="26"/>
                <w:szCs w:val="26"/>
              </w:rPr>
            </w:pPr>
            <w:r w:rsidRPr="007B1183">
              <w:rPr>
                <w:rFonts w:ascii="Times New Roman" w:hAnsi="Times New Roman" w:cs="Times New Roman"/>
                <w:b/>
                <w:sz w:val="26"/>
                <w:szCs w:val="26"/>
              </w:rPr>
              <w:t>Estimated Annual Federal Cost</w:t>
            </w:r>
          </w:p>
        </w:tc>
      </w:tr>
      <w:tr w:rsidR="00EF1EFD" w:rsidRPr="007B1183" w14:paraId="13497B05" w14:textId="77777777" w:rsidTr="00917073">
        <w:tc>
          <w:tcPr>
            <w:tcW w:w="3182" w:type="dxa"/>
            <w:tcBorders>
              <w:top w:val="single" w:sz="4" w:space="0" w:color="auto"/>
              <w:left w:val="single" w:sz="4" w:space="0" w:color="auto"/>
              <w:bottom w:val="single" w:sz="4" w:space="0" w:color="auto"/>
              <w:right w:val="single" w:sz="4" w:space="0" w:color="auto"/>
            </w:tcBorders>
            <w:hideMark/>
          </w:tcPr>
          <w:p w14:paraId="75EE61E0" w14:textId="77777777" w:rsidR="00EF1EFD" w:rsidRPr="007B1183" w:rsidRDefault="00EF1EFD" w:rsidP="008E5E7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FERC-725A Analysis and Processing of filings</w:t>
            </w:r>
          </w:p>
        </w:tc>
        <w:tc>
          <w:tcPr>
            <w:tcW w:w="3201" w:type="dxa"/>
            <w:tcBorders>
              <w:top w:val="single" w:sz="4" w:space="0" w:color="auto"/>
              <w:left w:val="single" w:sz="4" w:space="0" w:color="auto"/>
              <w:bottom w:val="single" w:sz="4" w:space="0" w:color="auto"/>
              <w:right w:val="single" w:sz="4" w:space="0" w:color="auto"/>
            </w:tcBorders>
            <w:vAlign w:val="center"/>
            <w:hideMark/>
          </w:tcPr>
          <w:p w14:paraId="552DB494" w14:textId="77777777" w:rsidR="00EF1EFD" w:rsidRPr="007B1183" w:rsidRDefault="00EF1EFD" w:rsidP="008E5E77">
            <w:pPr>
              <w:spacing w:after="0" w:line="240" w:lineRule="auto"/>
              <w:jc w:val="right"/>
              <w:rPr>
                <w:rFonts w:ascii="Times New Roman" w:hAnsi="Times New Roman" w:cs="Times New Roman"/>
                <w:sz w:val="26"/>
                <w:szCs w:val="26"/>
              </w:rPr>
            </w:pPr>
            <w:r w:rsidRPr="007B1183">
              <w:rPr>
                <w:rFonts w:ascii="Times New Roman" w:hAnsi="Times New Roman" w:cs="Times New Roman"/>
                <w:sz w:val="26"/>
                <w:szCs w:val="26"/>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14:paraId="55756250" w14:textId="77777777" w:rsidR="00EF1EFD" w:rsidRPr="007B1183" w:rsidRDefault="00EF1EFD" w:rsidP="008E5E77">
            <w:pPr>
              <w:spacing w:after="0" w:line="240" w:lineRule="auto"/>
              <w:jc w:val="right"/>
              <w:rPr>
                <w:rFonts w:ascii="Times New Roman" w:hAnsi="Times New Roman" w:cs="Times New Roman"/>
                <w:sz w:val="26"/>
                <w:szCs w:val="26"/>
              </w:rPr>
            </w:pPr>
            <w:r w:rsidRPr="007B1183">
              <w:rPr>
                <w:rFonts w:ascii="Times New Roman" w:hAnsi="Times New Roman" w:cs="Times New Roman"/>
                <w:sz w:val="26"/>
                <w:szCs w:val="26"/>
              </w:rPr>
              <w:t>$0</w:t>
            </w:r>
          </w:p>
        </w:tc>
      </w:tr>
      <w:tr w:rsidR="00917073" w:rsidRPr="007B1183" w14:paraId="22E7FF1B" w14:textId="77777777" w:rsidTr="00917073">
        <w:tc>
          <w:tcPr>
            <w:tcW w:w="3182" w:type="dxa"/>
            <w:tcBorders>
              <w:top w:val="single" w:sz="4" w:space="0" w:color="auto"/>
              <w:left w:val="single" w:sz="4" w:space="0" w:color="auto"/>
              <w:bottom w:val="single" w:sz="4" w:space="0" w:color="auto"/>
              <w:right w:val="single" w:sz="4" w:space="0" w:color="auto"/>
            </w:tcBorders>
          </w:tcPr>
          <w:p w14:paraId="05012E22" w14:textId="77777777" w:rsidR="00917073" w:rsidRPr="007B1183" w:rsidRDefault="00917073" w:rsidP="008E5E7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FERC-725G Analysis and Processing of filings</w:t>
            </w:r>
          </w:p>
        </w:tc>
        <w:tc>
          <w:tcPr>
            <w:tcW w:w="3201" w:type="dxa"/>
            <w:tcBorders>
              <w:top w:val="single" w:sz="4" w:space="0" w:color="auto"/>
              <w:left w:val="single" w:sz="4" w:space="0" w:color="auto"/>
              <w:bottom w:val="single" w:sz="4" w:space="0" w:color="auto"/>
              <w:right w:val="single" w:sz="4" w:space="0" w:color="auto"/>
            </w:tcBorders>
            <w:vAlign w:val="center"/>
          </w:tcPr>
          <w:p w14:paraId="1953947D" w14:textId="77777777" w:rsidR="00917073" w:rsidRPr="007B1183" w:rsidRDefault="00415CF3" w:rsidP="008E5E77">
            <w:pPr>
              <w:spacing w:after="0" w:line="240" w:lineRule="auto"/>
              <w:jc w:val="right"/>
              <w:rPr>
                <w:rFonts w:ascii="Times New Roman" w:hAnsi="Times New Roman" w:cs="Times New Roman"/>
                <w:sz w:val="26"/>
                <w:szCs w:val="26"/>
              </w:rPr>
            </w:pPr>
            <w:r w:rsidRPr="007B1183">
              <w:rPr>
                <w:rFonts w:ascii="Times New Roman" w:hAnsi="Times New Roman" w:cs="Times New Roman"/>
                <w:sz w:val="26"/>
                <w:szCs w:val="26"/>
              </w:rPr>
              <w:t>0</w:t>
            </w:r>
          </w:p>
        </w:tc>
        <w:tc>
          <w:tcPr>
            <w:tcW w:w="2995" w:type="dxa"/>
            <w:tcBorders>
              <w:top w:val="single" w:sz="4" w:space="0" w:color="auto"/>
              <w:left w:val="single" w:sz="4" w:space="0" w:color="auto"/>
              <w:bottom w:val="single" w:sz="4" w:space="0" w:color="auto"/>
              <w:right w:val="single" w:sz="4" w:space="0" w:color="auto"/>
            </w:tcBorders>
            <w:vAlign w:val="center"/>
          </w:tcPr>
          <w:p w14:paraId="3674337C" w14:textId="77777777" w:rsidR="00917073" w:rsidRPr="007B1183" w:rsidRDefault="00917073" w:rsidP="008E5E77">
            <w:pPr>
              <w:spacing w:after="0" w:line="240" w:lineRule="auto"/>
              <w:jc w:val="right"/>
              <w:rPr>
                <w:rFonts w:ascii="Times New Roman" w:hAnsi="Times New Roman" w:cs="Times New Roman"/>
                <w:sz w:val="26"/>
                <w:szCs w:val="26"/>
              </w:rPr>
            </w:pPr>
            <w:r w:rsidRPr="007B1183">
              <w:rPr>
                <w:rFonts w:ascii="Times New Roman" w:hAnsi="Times New Roman" w:cs="Times New Roman"/>
                <w:sz w:val="26"/>
                <w:szCs w:val="26"/>
              </w:rPr>
              <w:t>$0</w:t>
            </w:r>
          </w:p>
        </w:tc>
      </w:tr>
      <w:tr w:rsidR="00917073" w:rsidRPr="007B1183" w14:paraId="18C9DC69" w14:textId="77777777" w:rsidTr="00917073">
        <w:tc>
          <w:tcPr>
            <w:tcW w:w="3182" w:type="dxa"/>
            <w:tcBorders>
              <w:top w:val="single" w:sz="4" w:space="0" w:color="auto"/>
              <w:left w:val="single" w:sz="4" w:space="0" w:color="auto"/>
              <w:bottom w:val="single" w:sz="4" w:space="0" w:color="auto"/>
              <w:right w:val="single" w:sz="4" w:space="0" w:color="auto"/>
            </w:tcBorders>
            <w:hideMark/>
          </w:tcPr>
          <w:p w14:paraId="3932673B" w14:textId="77777777" w:rsidR="00917073" w:rsidRPr="007B1183" w:rsidRDefault="00917073" w:rsidP="008E5E7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PRA</w:t>
            </w:r>
            <w:r w:rsidRPr="007B1183">
              <w:rPr>
                <w:rFonts w:ascii="Times New Roman" w:hAnsi="Times New Roman" w:cs="Times New Roman"/>
                <w:sz w:val="26"/>
                <w:szCs w:val="26"/>
                <w:vertAlign w:val="superscript"/>
              </w:rPr>
              <w:footnoteReference w:id="27"/>
            </w:r>
            <w:r w:rsidRPr="007B1183">
              <w:rPr>
                <w:rFonts w:ascii="Times New Roman" w:hAnsi="Times New Roman" w:cs="Times New Roman"/>
                <w:sz w:val="26"/>
                <w:szCs w:val="26"/>
              </w:rPr>
              <w:t xml:space="preserve"> Administrative Cost</w:t>
            </w:r>
            <w:r w:rsidRPr="007B1183">
              <w:rPr>
                <w:rFonts w:ascii="Times New Roman" w:hAnsi="Times New Roman" w:cs="Times New Roman"/>
                <w:sz w:val="26"/>
                <w:szCs w:val="26"/>
                <w:vertAlign w:val="superscript"/>
              </w:rPr>
              <w:footnoteReference w:id="28"/>
            </w:r>
            <w:r w:rsidR="00736772">
              <w:rPr>
                <w:rFonts w:ascii="Times New Roman" w:hAnsi="Times New Roman" w:cs="Times New Roman"/>
                <w:sz w:val="26"/>
                <w:szCs w:val="26"/>
              </w:rPr>
              <w:t xml:space="preserve"> for FERC-725A</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F13A8" w14:textId="77777777" w:rsidR="00917073" w:rsidRPr="007B1183" w:rsidRDefault="00917073" w:rsidP="008E5E77">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2091E9FA" w14:textId="77777777" w:rsidR="00917073" w:rsidRPr="007B1183" w:rsidRDefault="00917073" w:rsidP="00736772">
            <w:pPr>
              <w:spacing w:after="0" w:line="240" w:lineRule="auto"/>
              <w:jc w:val="right"/>
              <w:rPr>
                <w:rFonts w:ascii="Times New Roman" w:hAnsi="Times New Roman" w:cs="Times New Roman"/>
                <w:sz w:val="26"/>
                <w:szCs w:val="26"/>
              </w:rPr>
            </w:pPr>
            <w:r w:rsidRPr="007B1183">
              <w:rPr>
                <w:rFonts w:ascii="Times New Roman" w:hAnsi="Times New Roman" w:cs="Times New Roman"/>
                <w:sz w:val="26"/>
                <w:szCs w:val="26"/>
              </w:rPr>
              <w:t>$</w:t>
            </w:r>
            <w:r w:rsidR="00736772">
              <w:rPr>
                <w:rFonts w:ascii="Times New Roman" w:hAnsi="Times New Roman" w:cs="Times New Roman"/>
                <w:sz w:val="26"/>
                <w:szCs w:val="26"/>
              </w:rPr>
              <w:t>5,481</w:t>
            </w:r>
            <w:r w:rsidRPr="007B1183">
              <w:rPr>
                <w:rFonts w:ascii="Times New Roman" w:hAnsi="Times New Roman" w:cs="Times New Roman"/>
                <w:sz w:val="26"/>
                <w:szCs w:val="26"/>
              </w:rPr>
              <w:t>.00</w:t>
            </w:r>
          </w:p>
        </w:tc>
      </w:tr>
      <w:tr w:rsidR="00736772" w:rsidRPr="007B1183" w14:paraId="46F15952" w14:textId="77777777" w:rsidTr="00917073">
        <w:tc>
          <w:tcPr>
            <w:tcW w:w="3182" w:type="dxa"/>
            <w:tcBorders>
              <w:top w:val="single" w:sz="4" w:space="0" w:color="auto"/>
              <w:left w:val="single" w:sz="4" w:space="0" w:color="auto"/>
              <w:bottom w:val="single" w:sz="4" w:space="0" w:color="auto"/>
              <w:right w:val="single" w:sz="4" w:space="0" w:color="auto"/>
            </w:tcBorders>
          </w:tcPr>
          <w:p w14:paraId="131971A7" w14:textId="77777777" w:rsidR="00736772" w:rsidRPr="007B1183" w:rsidRDefault="00736772" w:rsidP="008E5E77">
            <w:pPr>
              <w:spacing w:after="0" w:line="240" w:lineRule="auto"/>
              <w:rPr>
                <w:rFonts w:ascii="Times New Roman" w:hAnsi="Times New Roman" w:cs="Times New Roman"/>
                <w:sz w:val="26"/>
                <w:szCs w:val="26"/>
              </w:rPr>
            </w:pPr>
            <w:r>
              <w:rPr>
                <w:rFonts w:ascii="Times New Roman" w:hAnsi="Times New Roman" w:cs="Times New Roman"/>
                <w:sz w:val="26"/>
                <w:szCs w:val="26"/>
              </w:rPr>
              <w:t>PRA Administrative Cost for FERC-725G</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29CE69" w14:textId="77777777" w:rsidR="00736772" w:rsidRPr="007B1183" w:rsidRDefault="00736772" w:rsidP="008E5E77">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tcPr>
          <w:p w14:paraId="28E07B92" w14:textId="77777777" w:rsidR="00736772" w:rsidRPr="007B1183" w:rsidRDefault="00736772" w:rsidP="00736772">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$5,481.00</w:t>
            </w:r>
          </w:p>
        </w:tc>
      </w:tr>
      <w:tr w:rsidR="00917073" w:rsidRPr="007B1183" w14:paraId="38CB59EB" w14:textId="77777777" w:rsidTr="00917073">
        <w:tc>
          <w:tcPr>
            <w:tcW w:w="3182" w:type="dxa"/>
            <w:tcBorders>
              <w:top w:val="single" w:sz="4" w:space="0" w:color="auto"/>
              <w:left w:val="single" w:sz="4" w:space="0" w:color="auto"/>
              <w:bottom w:val="single" w:sz="4" w:space="0" w:color="auto"/>
              <w:right w:val="single" w:sz="4" w:space="0" w:color="auto"/>
            </w:tcBorders>
          </w:tcPr>
          <w:p w14:paraId="33FC6AFE" w14:textId="77777777" w:rsidR="00917073" w:rsidRPr="007B1183" w:rsidRDefault="00917073" w:rsidP="008E5E7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A161B2" w14:textId="77777777" w:rsidR="00917073" w:rsidRPr="007B1183" w:rsidRDefault="00917073" w:rsidP="008E5E77">
            <w:pPr>
              <w:spacing w:after="0" w:line="240" w:lineRule="auto"/>
              <w:jc w:val="right"/>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tcPr>
          <w:p w14:paraId="4B2DD82F" w14:textId="77777777" w:rsidR="00917073" w:rsidRPr="007B1183" w:rsidRDefault="00917073" w:rsidP="008E5E77">
            <w:pPr>
              <w:spacing w:after="0" w:line="240" w:lineRule="auto"/>
              <w:jc w:val="right"/>
              <w:rPr>
                <w:rFonts w:ascii="Times New Roman" w:hAnsi="Times New Roman" w:cs="Times New Roman"/>
                <w:sz w:val="26"/>
                <w:szCs w:val="26"/>
              </w:rPr>
            </w:pPr>
            <w:r w:rsidRPr="007B1183">
              <w:rPr>
                <w:rFonts w:ascii="Times New Roman" w:hAnsi="Times New Roman" w:cs="Times New Roman"/>
                <w:sz w:val="26"/>
                <w:szCs w:val="26"/>
              </w:rPr>
              <w:t>$10,962.00</w:t>
            </w:r>
          </w:p>
        </w:tc>
      </w:tr>
    </w:tbl>
    <w:p w14:paraId="6C4553DA" w14:textId="77777777" w:rsidR="00EF1EFD" w:rsidRPr="007B1183" w:rsidRDefault="00EF1EFD" w:rsidP="008E5E77">
      <w:pPr>
        <w:spacing w:after="0" w:line="240" w:lineRule="auto"/>
        <w:rPr>
          <w:rFonts w:ascii="Times New Roman" w:hAnsi="Times New Roman" w:cs="Times New Roman"/>
          <w:sz w:val="26"/>
          <w:szCs w:val="26"/>
        </w:rPr>
      </w:pPr>
    </w:p>
    <w:p w14:paraId="3AAEB6F9" w14:textId="77777777" w:rsidR="00EF1EFD" w:rsidRPr="007B1183" w:rsidRDefault="00EF1EFD" w:rsidP="008E5E7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REASONS FOR CHANGES IN BURDEN INCLUDING THE NEED FOR ANY INCREASE</w:t>
      </w:r>
    </w:p>
    <w:p w14:paraId="5BAE5422" w14:textId="77777777" w:rsidR="00EF1EFD" w:rsidRPr="007B1183" w:rsidRDefault="00EF1EFD" w:rsidP="008E5E77">
      <w:pPr>
        <w:spacing w:after="0" w:line="240" w:lineRule="auto"/>
        <w:rPr>
          <w:rFonts w:ascii="Times New Roman" w:hAnsi="Times New Roman" w:cs="Times New Roman"/>
          <w:b/>
          <w:bCs/>
          <w:sz w:val="26"/>
          <w:szCs w:val="26"/>
          <w:highlight w:val="yellow"/>
        </w:rPr>
      </w:pPr>
    </w:p>
    <w:p w14:paraId="060DB1DA" w14:textId="77777777" w:rsidR="001B49EE" w:rsidRDefault="00AB01C9" w:rsidP="001B49EE">
      <w:pPr>
        <w:pStyle w:val="FootnoteText"/>
        <w:rPr>
          <w:sz w:val="26"/>
          <w:szCs w:val="26"/>
        </w:rPr>
      </w:pPr>
      <w:r w:rsidRPr="007B1183">
        <w:rPr>
          <w:b/>
          <w:bCs/>
          <w:sz w:val="26"/>
          <w:szCs w:val="26"/>
        </w:rPr>
        <w:t>FERC-725A</w:t>
      </w:r>
      <w:r w:rsidR="00B817D9">
        <w:rPr>
          <w:b/>
          <w:bCs/>
          <w:sz w:val="26"/>
          <w:szCs w:val="26"/>
        </w:rPr>
        <w:t xml:space="preserve">: </w:t>
      </w:r>
      <w:r w:rsidR="00B817D9">
        <w:rPr>
          <w:bCs/>
          <w:sz w:val="26"/>
          <w:szCs w:val="26"/>
        </w:rPr>
        <w:t>Reliability Standards PRC-015-1 and PRC-016-1 are being retired with the proposal of PRC-012-1 and will r</w:t>
      </w:r>
      <w:r w:rsidR="004F2D1E">
        <w:rPr>
          <w:bCs/>
          <w:sz w:val="26"/>
          <w:szCs w:val="26"/>
        </w:rPr>
        <w:t>educe the burden in FERC-725A.</w:t>
      </w:r>
      <w:bookmarkStart w:id="0" w:name="_Ref476058465"/>
      <w:r w:rsidR="00F1370E" w:rsidRPr="00E4185A">
        <w:rPr>
          <w:rStyle w:val="FootnoteReference"/>
          <w:bCs/>
          <w:sz w:val="26"/>
          <w:szCs w:val="26"/>
          <w:vertAlign w:val="superscript"/>
        </w:rPr>
        <w:footnoteReference w:id="29"/>
      </w:r>
      <w:bookmarkEnd w:id="0"/>
      <w:r w:rsidR="00330B13">
        <w:rPr>
          <w:bCs/>
          <w:sz w:val="26"/>
          <w:szCs w:val="26"/>
        </w:rPr>
        <w:t xml:space="preserve"> </w:t>
      </w:r>
      <w:r w:rsidR="00330B13" w:rsidRPr="00E4185A">
        <w:rPr>
          <w:sz w:val="26"/>
          <w:szCs w:val="26"/>
        </w:rPr>
        <w:t xml:space="preserve">FERC is being </w:t>
      </w:r>
      <w:r w:rsidR="00330B13" w:rsidRPr="00E4185A">
        <w:rPr>
          <w:sz w:val="26"/>
          <w:szCs w:val="26"/>
        </w:rPr>
        <w:lastRenderedPageBreak/>
        <w:t xml:space="preserve">conservative and not subtracting hours at </w:t>
      </w:r>
      <w:r w:rsidR="00330B13">
        <w:rPr>
          <w:sz w:val="26"/>
          <w:szCs w:val="26"/>
        </w:rPr>
        <w:t>t</w:t>
      </w:r>
      <w:r w:rsidR="00330B13" w:rsidRPr="00E4185A">
        <w:rPr>
          <w:sz w:val="26"/>
          <w:szCs w:val="26"/>
        </w:rPr>
        <w:t>his time from FERC-725A.</w:t>
      </w:r>
      <w:r w:rsidR="001B49EE">
        <w:rPr>
          <w:sz w:val="26"/>
          <w:szCs w:val="26"/>
        </w:rPr>
        <w:t xml:space="preserve">  </w:t>
      </w:r>
      <w:r w:rsidR="001B49EE" w:rsidRPr="007B1183">
        <w:rPr>
          <w:sz w:val="26"/>
          <w:szCs w:val="26"/>
        </w:rPr>
        <w:t xml:space="preserve">Burden </w:t>
      </w:r>
      <w:r w:rsidR="001B49EE">
        <w:rPr>
          <w:sz w:val="26"/>
          <w:szCs w:val="26"/>
        </w:rPr>
        <w:t>will</w:t>
      </w:r>
      <w:r w:rsidR="001B49EE" w:rsidRPr="007B1183">
        <w:rPr>
          <w:sz w:val="26"/>
          <w:szCs w:val="26"/>
        </w:rPr>
        <w:t xml:space="preserve"> be removed from this collection</w:t>
      </w:r>
      <w:r w:rsidR="001B49EE">
        <w:rPr>
          <w:sz w:val="26"/>
          <w:szCs w:val="26"/>
        </w:rPr>
        <w:t xml:space="preserve"> at a later date</w:t>
      </w:r>
      <w:r w:rsidR="001B49EE" w:rsidRPr="007B1183">
        <w:rPr>
          <w:sz w:val="26"/>
          <w:szCs w:val="26"/>
        </w:rPr>
        <w:t>.</w:t>
      </w:r>
    </w:p>
    <w:p w14:paraId="7934C744" w14:textId="77777777" w:rsidR="00B817D9" w:rsidRDefault="00AB01C9" w:rsidP="00B817D9">
      <w:pPr>
        <w:spacing w:after="0" w:line="240" w:lineRule="auto"/>
        <w:rPr>
          <w:rFonts w:ascii="Times New Roman" w:hAnsi="Times New Roman" w:cs="Times New Roman"/>
          <w:b/>
          <w:bCs/>
          <w:sz w:val="26"/>
          <w:szCs w:val="26"/>
        </w:rPr>
      </w:pPr>
      <w:r w:rsidRPr="007B1183">
        <w:rPr>
          <w:rFonts w:ascii="Times New Roman" w:hAnsi="Times New Roman" w:cs="Times New Roman"/>
          <w:b/>
          <w:bCs/>
          <w:sz w:val="26"/>
          <w:szCs w:val="26"/>
        </w:rPr>
        <w:t xml:space="preserve"> </w:t>
      </w:r>
    </w:p>
    <w:p w14:paraId="78CD851E" w14:textId="77777777" w:rsidR="00B817D9" w:rsidRDefault="00AB01C9" w:rsidP="00B817D9">
      <w:pPr>
        <w:spacing w:after="0" w:line="240" w:lineRule="auto"/>
        <w:rPr>
          <w:rFonts w:ascii="Times New Roman" w:hAnsi="Times New Roman" w:cs="Times New Roman"/>
          <w:bCs/>
          <w:sz w:val="26"/>
          <w:szCs w:val="26"/>
        </w:rPr>
      </w:pPr>
      <w:r w:rsidRPr="007B1183">
        <w:rPr>
          <w:rFonts w:ascii="Times New Roman" w:hAnsi="Times New Roman" w:cs="Times New Roman"/>
          <w:b/>
          <w:bCs/>
          <w:sz w:val="26"/>
          <w:szCs w:val="26"/>
        </w:rPr>
        <w:t>FERC-725G:</w:t>
      </w:r>
      <w:r w:rsidRPr="007B1183">
        <w:rPr>
          <w:rFonts w:ascii="Times New Roman" w:hAnsi="Times New Roman" w:cs="Times New Roman"/>
          <w:bCs/>
          <w:sz w:val="26"/>
          <w:szCs w:val="26"/>
        </w:rPr>
        <w:t xml:space="preserve">  Proposed</w:t>
      </w:r>
      <w:r w:rsidRPr="007B1183">
        <w:rPr>
          <w:rFonts w:ascii="Times New Roman" w:hAnsi="Times New Roman" w:cs="Times New Roman"/>
          <w:bCs/>
          <w:i/>
          <w:sz w:val="26"/>
          <w:szCs w:val="26"/>
        </w:rPr>
        <w:t xml:space="preserve"> </w:t>
      </w:r>
      <w:r w:rsidRPr="007B1183">
        <w:rPr>
          <w:rFonts w:ascii="Times New Roman" w:hAnsi="Times New Roman" w:cs="Times New Roman"/>
          <w:bCs/>
          <w:sz w:val="26"/>
          <w:szCs w:val="26"/>
        </w:rPr>
        <w:t>Reliability Standard PRC-012-2 sets forth Requirements for remedial action schemes to ensure that remedial action schemes do not introduce unintentional or unacceptable reliability risks to the bulk electric system and are coordinated to provide the service to the system as intended.  Reliability Standard PRC-012-2 improves upon the existing standards because it removes ambiguity in NERC’s original “fill-in-the-blank” Reliability Standards by assigning responsibility to appropriate functional entities.  It also streamlines and consolidates the RAS Reliability Standards into one clear, effective Reliability Standar</w:t>
      </w:r>
      <w:r w:rsidR="00B817D9">
        <w:rPr>
          <w:rFonts w:ascii="Times New Roman" w:hAnsi="Times New Roman" w:cs="Times New Roman"/>
          <w:bCs/>
          <w:sz w:val="26"/>
          <w:szCs w:val="26"/>
        </w:rPr>
        <w:t>d.</w:t>
      </w:r>
    </w:p>
    <w:p w14:paraId="7F78D531" w14:textId="77777777" w:rsidR="00B817D9" w:rsidRDefault="00B817D9" w:rsidP="00B817D9">
      <w:pPr>
        <w:spacing w:after="0" w:line="240" w:lineRule="auto"/>
        <w:rPr>
          <w:rFonts w:ascii="Times New Roman" w:hAnsi="Times New Roman" w:cs="Times New Roman"/>
          <w:bCs/>
          <w:sz w:val="26"/>
          <w:szCs w:val="26"/>
        </w:rPr>
      </w:pPr>
    </w:p>
    <w:p w14:paraId="5997BE66" w14:textId="77777777" w:rsidR="00790600" w:rsidRDefault="00B817D9" w:rsidP="00B817D9">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w:t>
      </w:r>
    </w:p>
    <w:p w14:paraId="2D7023CD" w14:textId="77777777" w:rsidR="00790600" w:rsidRDefault="00790600">
      <w:pPr>
        <w:spacing w:after="160" w:line="259" w:lineRule="auto"/>
        <w:rPr>
          <w:rFonts w:ascii="Times New Roman" w:hAnsi="Times New Roman" w:cs="Times New Roman"/>
          <w:bCs/>
          <w:sz w:val="26"/>
          <w:szCs w:val="26"/>
        </w:rPr>
      </w:pPr>
      <w:r>
        <w:rPr>
          <w:rFonts w:ascii="Times New Roman" w:hAnsi="Times New Roman" w:cs="Times New Roman"/>
          <w:bCs/>
          <w:sz w:val="26"/>
          <w:szCs w:val="26"/>
        </w:rPr>
        <w:br w:type="page"/>
      </w:r>
    </w:p>
    <w:p w14:paraId="421A33A8" w14:textId="77777777" w:rsidR="00EF1EFD" w:rsidRPr="007B1183" w:rsidRDefault="00EF1EFD" w:rsidP="00B817D9">
      <w:pPr>
        <w:spacing w:after="0" w:line="240" w:lineRule="auto"/>
        <w:rPr>
          <w:rFonts w:ascii="Times New Roman" w:eastAsia="Times New Roman" w:hAnsi="Times New Roman" w:cs="Times New Roman"/>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516"/>
        <w:gridCol w:w="1614"/>
        <w:gridCol w:w="1793"/>
        <w:gridCol w:w="1789"/>
      </w:tblGrid>
      <w:tr w:rsidR="00EF1EFD" w:rsidRPr="007B1183" w14:paraId="1289EF72" w14:textId="77777777" w:rsidTr="00606ACC">
        <w:trPr>
          <w:trHeight w:val="870"/>
          <w:tblHeader/>
        </w:trPr>
        <w:tc>
          <w:tcPr>
            <w:tcW w:w="2648" w:type="dxa"/>
            <w:tcBorders>
              <w:bottom w:val="single" w:sz="4" w:space="0" w:color="auto"/>
            </w:tcBorders>
            <w:shd w:val="clear" w:color="auto" w:fill="D9D9D9"/>
            <w:vAlign w:val="bottom"/>
          </w:tcPr>
          <w:p w14:paraId="023C991D" w14:textId="77777777" w:rsidR="00EF1EFD" w:rsidRPr="007B1183" w:rsidRDefault="00EF1EFD" w:rsidP="008E5E7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FERC-725A</w:t>
            </w:r>
          </w:p>
          <w:p w14:paraId="69CAA248" w14:textId="77777777" w:rsidR="00AE36C4" w:rsidRPr="007B1183" w:rsidRDefault="00AE36C4" w:rsidP="008E5E7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(OMB Control No. 1902-0244)</w:t>
            </w:r>
          </w:p>
        </w:tc>
        <w:tc>
          <w:tcPr>
            <w:tcW w:w="1516" w:type="dxa"/>
            <w:tcBorders>
              <w:bottom w:val="single" w:sz="4" w:space="0" w:color="auto"/>
            </w:tcBorders>
            <w:shd w:val="clear" w:color="auto" w:fill="D9D9D9"/>
            <w:vAlign w:val="bottom"/>
          </w:tcPr>
          <w:p w14:paraId="1DC09F91" w14:textId="77777777" w:rsidR="00EF1EFD" w:rsidRPr="007B1183" w:rsidRDefault="00EF1EFD" w:rsidP="008E5E7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Total Request</w:t>
            </w:r>
          </w:p>
        </w:tc>
        <w:tc>
          <w:tcPr>
            <w:tcW w:w="1614" w:type="dxa"/>
            <w:tcBorders>
              <w:bottom w:val="single" w:sz="4" w:space="0" w:color="auto"/>
            </w:tcBorders>
            <w:shd w:val="clear" w:color="auto" w:fill="D9D9D9"/>
            <w:vAlign w:val="bottom"/>
          </w:tcPr>
          <w:p w14:paraId="01B64E61" w14:textId="77777777" w:rsidR="00EF1EFD" w:rsidRPr="007B1183" w:rsidRDefault="00EF1EFD" w:rsidP="008E5E7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Previously Approved</w:t>
            </w:r>
          </w:p>
        </w:tc>
        <w:tc>
          <w:tcPr>
            <w:tcW w:w="1793" w:type="dxa"/>
            <w:tcBorders>
              <w:bottom w:val="single" w:sz="4" w:space="0" w:color="auto"/>
            </w:tcBorders>
            <w:shd w:val="clear" w:color="auto" w:fill="D9D9D9"/>
            <w:vAlign w:val="bottom"/>
          </w:tcPr>
          <w:p w14:paraId="49E98467" w14:textId="77777777" w:rsidR="00EF1EFD" w:rsidRPr="007B1183" w:rsidRDefault="00EF1EFD" w:rsidP="008E5E7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Change due to Adjustment in Estimate</w:t>
            </w:r>
            <w:r w:rsidR="00F1370E" w:rsidRPr="00E4185A">
              <w:rPr>
                <w:rFonts w:ascii="Times New Roman" w:eastAsia="Calibri" w:hAnsi="Times New Roman" w:cs="Times New Roman"/>
                <w:b/>
                <w:sz w:val="26"/>
                <w:szCs w:val="26"/>
                <w:vertAlign w:val="superscript"/>
              </w:rPr>
              <w:fldChar w:fldCharType="begin"/>
            </w:r>
            <w:r w:rsidR="00F1370E" w:rsidRPr="00E4185A">
              <w:rPr>
                <w:rFonts w:ascii="Times New Roman" w:eastAsia="Calibri" w:hAnsi="Times New Roman" w:cs="Times New Roman"/>
                <w:b/>
                <w:sz w:val="26"/>
                <w:szCs w:val="26"/>
                <w:vertAlign w:val="superscript"/>
              </w:rPr>
              <w:instrText xml:space="preserve"> NOTEREF _Ref476058465 \h </w:instrText>
            </w:r>
            <w:r w:rsidR="00F1370E">
              <w:rPr>
                <w:rFonts w:ascii="Times New Roman" w:eastAsia="Calibri" w:hAnsi="Times New Roman" w:cs="Times New Roman"/>
                <w:b/>
                <w:sz w:val="26"/>
                <w:szCs w:val="26"/>
                <w:vertAlign w:val="superscript"/>
              </w:rPr>
              <w:instrText xml:space="preserve"> \* MERGEFORMAT </w:instrText>
            </w:r>
            <w:r w:rsidR="00F1370E" w:rsidRPr="00E4185A">
              <w:rPr>
                <w:rFonts w:ascii="Times New Roman" w:eastAsia="Calibri" w:hAnsi="Times New Roman" w:cs="Times New Roman"/>
                <w:b/>
                <w:sz w:val="26"/>
                <w:szCs w:val="26"/>
                <w:vertAlign w:val="superscript"/>
              </w:rPr>
            </w:r>
            <w:r w:rsidR="00F1370E" w:rsidRPr="00E4185A">
              <w:rPr>
                <w:rFonts w:ascii="Times New Roman" w:eastAsia="Calibri" w:hAnsi="Times New Roman" w:cs="Times New Roman"/>
                <w:b/>
                <w:sz w:val="26"/>
                <w:szCs w:val="26"/>
                <w:vertAlign w:val="superscript"/>
              </w:rPr>
              <w:fldChar w:fldCharType="separate"/>
            </w:r>
            <w:r w:rsidR="00F1370E" w:rsidRPr="00E4185A">
              <w:rPr>
                <w:rFonts w:ascii="Times New Roman" w:eastAsia="Calibri" w:hAnsi="Times New Roman" w:cs="Times New Roman"/>
                <w:b/>
                <w:sz w:val="26"/>
                <w:szCs w:val="26"/>
                <w:vertAlign w:val="superscript"/>
              </w:rPr>
              <w:t>29</w:t>
            </w:r>
            <w:r w:rsidR="00F1370E" w:rsidRPr="00E4185A">
              <w:rPr>
                <w:rFonts w:ascii="Times New Roman" w:eastAsia="Calibri" w:hAnsi="Times New Roman" w:cs="Times New Roman"/>
                <w:b/>
                <w:sz w:val="26"/>
                <w:szCs w:val="26"/>
                <w:vertAlign w:val="superscript"/>
              </w:rPr>
              <w:fldChar w:fldCharType="end"/>
            </w:r>
          </w:p>
        </w:tc>
        <w:tc>
          <w:tcPr>
            <w:tcW w:w="1789" w:type="dxa"/>
            <w:tcBorders>
              <w:bottom w:val="single" w:sz="4" w:space="0" w:color="auto"/>
            </w:tcBorders>
            <w:shd w:val="clear" w:color="auto" w:fill="D9D9D9"/>
            <w:vAlign w:val="bottom"/>
          </w:tcPr>
          <w:p w14:paraId="1E8940DC" w14:textId="6F90BCE8" w:rsidR="00EF1EFD" w:rsidRPr="007B1183" w:rsidRDefault="00EF1EFD" w:rsidP="00F1370E">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Change Due to Agency Discretion</w:t>
            </w:r>
            <w:r w:rsidR="00F1370E" w:rsidRPr="00E4185A">
              <w:rPr>
                <w:rFonts w:ascii="Times New Roman" w:eastAsia="Calibri" w:hAnsi="Times New Roman" w:cs="Times New Roman"/>
                <w:b/>
                <w:sz w:val="26"/>
                <w:szCs w:val="26"/>
                <w:vertAlign w:val="superscript"/>
              </w:rPr>
              <w:fldChar w:fldCharType="begin"/>
            </w:r>
            <w:r w:rsidR="00F1370E" w:rsidRPr="00E4185A">
              <w:rPr>
                <w:rFonts w:ascii="Times New Roman" w:eastAsia="Calibri" w:hAnsi="Times New Roman" w:cs="Times New Roman"/>
                <w:b/>
                <w:sz w:val="26"/>
                <w:szCs w:val="26"/>
                <w:vertAlign w:val="superscript"/>
              </w:rPr>
              <w:instrText xml:space="preserve"> NOTEREF _Ref476058465 \h </w:instrText>
            </w:r>
            <w:r w:rsidR="00F1370E">
              <w:rPr>
                <w:rFonts w:ascii="Times New Roman" w:eastAsia="Calibri" w:hAnsi="Times New Roman" w:cs="Times New Roman"/>
                <w:b/>
                <w:sz w:val="26"/>
                <w:szCs w:val="26"/>
                <w:vertAlign w:val="superscript"/>
              </w:rPr>
              <w:instrText xml:space="preserve"> \* MERGEFORMAT </w:instrText>
            </w:r>
            <w:r w:rsidR="00F1370E" w:rsidRPr="00E4185A">
              <w:rPr>
                <w:rFonts w:ascii="Times New Roman" w:eastAsia="Calibri" w:hAnsi="Times New Roman" w:cs="Times New Roman"/>
                <w:b/>
                <w:sz w:val="26"/>
                <w:szCs w:val="26"/>
                <w:vertAlign w:val="superscript"/>
              </w:rPr>
            </w:r>
            <w:r w:rsidR="00F1370E" w:rsidRPr="00E4185A">
              <w:rPr>
                <w:rFonts w:ascii="Times New Roman" w:eastAsia="Calibri" w:hAnsi="Times New Roman" w:cs="Times New Roman"/>
                <w:b/>
                <w:sz w:val="26"/>
                <w:szCs w:val="26"/>
                <w:vertAlign w:val="superscript"/>
              </w:rPr>
              <w:fldChar w:fldCharType="separate"/>
            </w:r>
            <w:r w:rsidR="00F1370E" w:rsidRPr="00E4185A">
              <w:rPr>
                <w:rFonts w:ascii="Times New Roman" w:eastAsia="Calibri" w:hAnsi="Times New Roman" w:cs="Times New Roman"/>
                <w:b/>
                <w:sz w:val="26"/>
                <w:szCs w:val="26"/>
                <w:vertAlign w:val="superscript"/>
              </w:rPr>
              <w:t>29</w:t>
            </w:r>
            <w:r w:rsidR="00F1370E" w:rsidRPr="00E4185A">
              <w:rPr>
                <w:rFonts w:ascii="Times New Roman" w:eastAsia="Calibri" w:hAnsi="Times New Roman" w:cs="Times New Roman"/>
                <w:b/>
                <w:sz w:val="26"/>
                <w:szCs w:val="26"/>
                <w:vertAlign w:val="superscript"/>
              </w:rPr>
              <w:fldChar w:fldCharType="end"/>
            </w:r>
          </w:p>
        </w:tc>
      </w:tr>
      <w:tr w:rsidR="00EF1EFD" w:rsidRPr="007B1183" w14:paraId="3B79DA83" w14:textId="77777777" w:rsidTr="004553B2">
        <w:trPr>
          <w:trHeight w:val="591"/>
        </w:trPr>
        <w:tc>
          <w:tcPr>
            <w:tcW w:w="2648" w:type="dxa"/>
            <w:shd w:val="clear" w:color="auto" w:fill="auto"/>
          </w:tcPr>
          <w:p w14:paraId="50B3B2BE" w14:textId="77777777" w:rsidR="00EF1EFD" w:rsidRPr="007B1183" w:rsidRDefault="00EF1EFD" w:rsidP="008E5E77">
            <w:pPr>
              <w:spacing w:after="0" w:line="240" w:lineRule="auto"/>
              <w:jc w:val="center"/>
              <w:rPr>
                <w:rFonts w:ascii="Times New Roman" w:eastAsia="Calibri" w:hAnsi="Times New Roman" w:cs="Times New Roman"/>
                <w:sz w:val="26"/>
                <w:szCs w:val="26"/>
              </w:rPr>
            </w:pPr>
            <w:r w:rsidRPr="007B1183">
              <w:rPr>
                <w:rFonts w:ascii="Times New Roman" w:eastAsia="Calibri" w:hAnsi="Times New Roman" w:cs="Times New Roman"/>
                <w:sz w:val="26"/>
                <w:szCs w:val="26"/>
              </w:rPr>
              <w:t>Annual Number of Responses</w:t>
            </w:r>
          </w:p>
        </w:tc>
        <w:tc>
          <w:tcPr>
            <w:tcW w:w="1516" w:type="dxa"/>
            <w:shd w:val="clear" w:color="auto" w:fill="auto"/>
            <w:vAlign w:val="bottom"/>
          </w:tcPr>
          <w:p w14:paraId="18DD040F" w14:textId="1EABF463" w:rsidR="00EF1EFD" w:rsidRPr="007B1183" w:rsidRDefault="00CE0643" w:rsidP="008E5E77">
            <w:pPr>
              <w:spacing w:after="0" w:line="240" w:lineRule="auto"/>
              <w:jc w:val="right"/>
              <w:rPr>
                <w:rFonts w:ascii="Times New Roman" w:eastAsia="Calibri" w:hAnsi="Times New Roman" w:cs="Times New Roman"/>
                <w:sz w:val="26"/>
                <w:szCs w:val="26"/>
              </w:rPr>
            </w:pPr>
            <w:r w:rsidRPr="00CE0643">
              <w:rPr>
                <w:rFonts w:ascii="Times New Roman" w:eastAsia="Calibri" w:hAnsi="Times New Roman" w:cs="Times New Roman"/>
                <w:sz w:val="26"/>
                <w:szCs w:val="26"/>
              </w:rPr>
              <w:t>3,966</w:t>
            </w:r>
          </w:p>
        </w:tc>
        <w:tc>
          <w:tcPr>
            <w:tcW w:w="1614" w:type="dxa"/>
            <w:shd w:val="clear" w:color="auto" w:fill="auto"/>
            <w:vAlign w:val="bottom"/>
          </w:tcPr>
          <w:p w14:paraId="71F16F8A" w14:textId="77777777" w:rsidR="00EF1EFD" w:rsidRPr="007B1183" w:rsidRDefault="00EF1EFD" w:rsidP="008E5E7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3,</w:t>
            </w:r>
            <w:r w:rsidR="00C32BFC" w:rsidRPr="007B1183">
              <w:rPr>
                <w:rFonts w:ascii="Times New Roman" w:eastAsia="Calibri" w:hAnsi="Times New Roman" w:cs="Times New Roman"/>
                <w:sz w:val="26"/>
                <w:szCs w:val="26"/>
              </w:rPr>
              <w:t>966</w:t>
            </w:r>
          </w:p>
        </w:tc>
        <w:tc>
          <w:tcPr>
            <w:tcW w:w="1793" w:type="dxa"/>
            <w:shd w:val="clear" w:color="auto" w:fill="auto"/>
            <w:vAlign w:val="bottom"/>
          </w:tcPr>
          <w:p w14:paraId="5650F4E5" w14:textId="77777777" w:rsidR="00EF1EFD" w:rsidRPr="007B1183" w:rsidRDefault="00EF1EFD" w:rsidP="008E5E7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0</w:t>
            </w:r>
          </w:p>
        </w:tc>
        <w:tc>
          <w:tcPr>
            <w:tcW w:w="1789" w:type="dxa"/>
            <w:shd w:val="clear" w:color="auto" w:fill="auto"/>
            <w:vAlign w:val="bottom"/>
          </w:tcPr>
          <w:p w14:paraId="7ACFE774" w14:textId="77777777" w:rsidR="00EF1EFD" w:rsidRPr="007B1183" w:rsidRDefault="00EF1EFD" w:rsidP="008E5E77">
            <w:pPr>
              <w:spacing w:after="0" w:line="240" w:lineRule="auto"/>
              <w:jc w:val="right"/>
              <w:rPr>
                <w:rFonts w:ascii="Times New Roman" w:eastAsia="Times New Roman" w:hAnsi="Times New Roman" w:cs="Times New Roman"/>
                <w:sz w:val="26"/>
                <w:szCs w:val="26"/>
              </w:rPr>
            </w:pPr>
          </w:p>
          <w:p w14:paraId="14EF4D6C" w14:textId="77777777" w:rsidR="00EF1EFD" w:rsidRPr="007B1183" w:rsidRDefault="00B817D9" w:rsidP="008E5E77">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0</w:t>
            </w:r>
          </w:p>
        </w:tc>
      </w:tr>
      <w:tr w:rsidR="00EF1EFD" w:rsidRPr="007B1183" w14:paraId="797F5A8B" w14:textId="77777777" w:rsidTr="004553B2">
        <w:trPr>
          <w:trHeight w:val="295"/>
        </w:trPr>
        <w:tc>
          <w:tcPr>
            <w:tcW w:w="2648" w:type="dxa"/>
            <w:tcBorders>
              <w:bottom w:val="single" w:sz="4" w:space="0" w:color="auto"/>
            </w:tcBorders>
            <w:shd w:val="clear" w:color="auto" w:fill="auto"/>
          </w:tcPr>
          <w:p w14:paraId="4CC0A8DC" w14:textId="77777777" w:rsidR="00EF1EFD" w:rsidRPr="007B1183" w:rsidRDefault="00EF1EFD" w:rsidP="008E5E77">
            <w:pPr>
              <w:spacing w:after="0" w:line="240" w:lineRule="auto"/>
              <w:jc w:val="center"/>
              <w:rPr>
                <w:rFonts w:ascii="Times New Roman" w:eastAsia="Calibri" w:hAnsi="Times New Roman" w:cs="Times New Roman"/>
                <w:sz w:val="26"/>
                <w:szCs w:val="26"/>
              </w:rPr>
            </w:pPr>
            <w:r w:rsidRPr="007B1183">
              <w:rPr>
                <w:rFonts w:ascii="Times New Roman" w:eastAsia="Calibri" w:hAnsi="Times New Roman" w:cs="Times New Roman"/>
                <w:sz w:val="26"/>
                <w:szCs w:val="26"/>
              </w:rPr>
              <w:t>Annual Time Burden (Hr.)</w:t>
            </w:r>
            <w:r w:rsidRPr="007B1183" w:rsidDel="000E18C1">
              <w:rPr>
                <w:rFonts w:ascii="Times New Roman" w:eastAsia="Calibri" w:hAnsi="Times New Roman" w:cs="Times New Roman"/>
                <w:sz w:val="26"/>
                <w:szCs w:val="26"/>
                <w:vertAlign w:val="superscript"/>
              </w:rPr>
              <w:t xml:space="preserve"> </w:t>
            </w:r>
          </w:p>
        </w:tc>
        <w:tc>
          <w:tcPr>
            <w:tcW w:w="1516" w:type="dxa"/>
            <w:tcBorders>
              <w:bottom w:val="single" w:sz="4" w:space="0" w:color="auto"/>
            </w:tcBorders>
            <w:shd w:val="clear" w:color="auto" w:fill="auto"/>
            <w:vAlign w:val="bottom"/>
          </w:tcPr>
          <w:p w14:paraId="161ACE86" w14:textId="2277ED3D" w:rsidR="00EF1EFD" w:rsidRPr="007B1183" w:rsidRDefault="00CE0643" w:rsidP="008E5E77">
            <w:pPr>
              <w:spacing w:after="0" w:line="240" w:lineRule="auto"/>
              <w:jc w:val="right"/>
              <w:rPr>
                <w:rFonts w:ascii="Times New Roman" w:eastAsia="Times New Roman" w:hAnsi="Times New Roman" w:cs="Times New Roman"/>
                <w:bCs/>
                <w:sz w:val="26"/>
                <w:szCs w:val="26"/>
              </w:rPr>
            </w:pPr>
            <w:r w:rsidRPr="00CE0643">
              <w:rPr>
                <w:rFonts w:ascii="Times New Roman" w:eastAsia="Times New Roman" w:hAnsi="Times New Roman" w:cs="Times New Roman"/>
                <w:bCs/>
                <w:sz w:val="26"/>
                <w:szCs w:val="26"/>
              </w:rPr>
              <w:t>1,624,395</w:t>
            </w:r>
          </w:p>
        </w:tc>
        <w:tc>
          <w:tcPr>
            <w:tcW w:w="1614" w:type="dxa"/>
            <w:tcBorders>
              <w:bottom w:val="single" w:sz="4" w:space="0" w:color="auto"/>
            </w:tcBorders>
            <w:shd w:val="clear" w:color="auto" w:fill="auto"/>
            <w:vAlign w:val="bottom"/>
          </w:tcPr>
          <w:p w14:paraId="1D71B2EA" w14:textId="77777777" w:rsidR="00EF1EFD" w:rsidRPr="007B1183" w:rsidRDefault="00EF1EFD" w:rsidP="008E5E7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1,624,</w:t>
            </w:r>
            <w:r w:rsidR="00C32BFC" w:rsidRPr="007B1183">
              <w:rPr>
                <w:rFonts w:ascii="Times New Roman" w:eastAsia="Calibri" w:hAnsi="Times New Roman" w:cs="Times New Roman"/>
                <w:sz w:val="26"/>
                <w:szCs w:val="26"/>
              </w:rPr>
              <w:t>395</w:t>
            </w:r>
          </w:p>
        </w:tc>
        <w:tc>
          <w:tcPr>
            <w:tcW w:w="1793" w:type="dxa"/>
            <w:tcBorders>
              <w:bottom w:val="single" w:sz="4" w:space="0" w:color="auto"/>
            </w:tcBorders>
            <w:shd w:val="clear" w:color="auto" w:fill="auto"/>
            <w:vAlign w:val="bottom"/>
          </w:tcPr>
          <w:p w14:paraId="2DE97262" w14:textId="77777777" w:rsidR="00EF1EFD" w:rsidRPr="007B1183" w:rsidRDefault="00EF1EFD" w:rsidP="008E5E7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0</w:t>
            </w:r>
          </w:p>
        </w:tc>
        <w:tc>
          <w:tcPr>
            <w:tcW w:w="1789" w:type="dxa"/>
            <w:tcBorders>
              <w:bottom w:val="single" w:sz="4" w:space="0" w:color="auto"/>
            </w:tcBorders>
            <w:shd w:val="clear" w:color="auto" w:fill="auto"/>
            <w:vAlign w:val="bottom"/>
          </w:tcPr>
          <w:p w14:paraId="6FD5D5FE" w14:textId="77777777" w:rsidR="00EF1EFD" w:rsidRPr="007B1183" w:rsidRDefault="00B817D9" w:rsidP="008E5E77">
            <w:pPr>
              <w:spacing w:after="0" w:line="240" w:lineRule="auto"/>
              <w:jc w:val="right"/>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0</w:t>
            </w:r>
          </w:p>
        </w:tc>
      </w:tr>
      <w:tr w:rsidR="00EF1EFD" w:rsidRPr="007B1183" w14:paraId="7213BF3F" w14:textId="77777777" w:rsidTr="004553B2">
        <w:trPr>
          <w:trHeight w:val="295"/>
        </w:trPr>
        <w:tc>
          <w:tcPr>
            <w:tcW w:w="2648" w:type="dxa"/>
            <w:tcBorders>
              <w:bottom w:val="single" w:sz="4" w:space="0" w:color="auto"/>
            </w:tcBorders>
            <w:shd w:val="clear" w:color="auto" w:fill="auto"/>
          </w:tcPr>
          <w:p w14:paraId="25C18EA5" w14:textId="77777777" w:rsidR="00EF1EFD" w:rsidRPr="007B1183" w:rsidRDefault="00EF1EFD" w:rsidP="008E5E77">
            <w:pPr>
              <w:spacing w:after="0" w:line="240" w:lineRule="auto"/>
              <w:jc w:val="center"/>
              <w:rPr>
                <w:rFonts w:ascii="Times New Roman" w:eastAsia="Calibri" w:hAnsi="Times New Roman" w:cs="Times New Roman"/>
                <w:sz w:val="26"/>
                <w:szCs w:val="26"/>
              </w:rPr>
            </w:pPr>
            <w:r w:rsidRPr="007B1183">
              <w:rPr>
                <w:rFonts w:ascii="Times New Roman" w:eastAsia="Calibri" w:hAnsi="Times New Roman" w:cs="Times New Roman"/>
                <w:sz w:val="26"/>
                <w:szCs w:val="26"/>
              </w:rPr>
              <w:t>Annual Cost Burden ($)</w:t>
            </w:r>
          </w:p>
        </w:tc>
        <w:tc>
          <w:tcPr>
            <w:tcW w:w="1516" w:type="dxa"/>
            <w:tcBorders>
              <w:bottom w:val="single" w:sz="4" w:space="0" w:color="auto"/>
            </w:tcBorders>
            <w:shd w:val="clear" w:color="auto" w:fill="auto"/>
            <w:vAlign w:val="bottom"/>
          </w:tcPr>
          <w:p w14:paraId="0D8A0512" w14:textId="6DD4F1FB" w:rsidR="00EF1EFD" w:rsidRPr="007B1183" w:rsidRDefault="00EF1EFD" w:rsidP="00B817D9">
            <w:pPr>
              <w:spacing w:after="0" w:line="240" w:lineRule="auto"/>
              <w:jc w:val="right"/>
              <w:rPr>
                <w:rFonts w:ascii="Times New Roman" w:eastAsia="Calibri" w:hAnsi="Times New Roman" w:cs="Times New Roman"/>
                <w:sz w:val="26"/>
                <w:szCs w:val="26"/>
              </w:rPr>
            </w:pPr>
            <w:r w:rsidRPr="007B1183">
              <w:rPr>
                <w:rFonts w:ascii="Times New Roman" w:eastAsia="Times New Roman" w:hAnsi="Times New Roman" w:cs="Times New Roman"/>
                <w:sz w:val="26"/>
                <w:szCs w:val="26"/>
              </w:rPr>
              <w:t>$</w:t>
            </w:r>
            <w:r w:rsidR="00CE0643" w:rsidRPr="00CE0643">
              <w:rPr>
                <w:rFonts w:ascii="Times New Roman" w:eastAsia="Times New Roman" w:hAnsi="Times New Roman" w:cs="Times New Roman"/>
                <w:sz w:val="26"/>
                <w:szCs w:val="26"/>
              </w:rPr>
              <w:t>126,725</w:t>
            </w:r>
          </w:p>
        </w:tc>
        <w:tc>
          <w:tcPr>
            <w:tcW w:w="1614" w:type="dxa"/>
            <w:tcBorders>
              <w:bottom w:val="single" w:sz="4" w:space="0" w:color="auto"/>
            </w:tcBorders>
            <w:shd w:val="clear" w:color="auto" w:fill="auto"/>
            <w:vAlign w:val="bottom"/>
          </w:tcPr>
          <w:p w14:paraId="02F12EB4" w14:textId="77777777" w:rsidR="00EF1EFD" w:rsidRPr="007B1183" w:rsidRDefault="00B817D9" w:rsidP="008E5E77">
            <w:pPr>
              <w:spacing w:after="0" w:line="240" w:lineRule="auto"/>
              <w:jc w:val="right"/>
              <w:rPr>
                <w:rFonts w:ascii="Times New Roman" w:eastAsia="Calibri" w:hAnsi="Times New Roman" w:cs="Times New Roman"/>
                <w:sz w:val="26"/>
                <w:szCs w:val="26"/>
              </w:rPr>
            </w:pPr>
            <w:r>
              <w:rPr>
                <w:rFonts w:ascii="Times New Roman" w:eastAsia="Calibri" w:hAnsi="Times New Roman" w:cs="Times New Roman"/>
                <w:sz w:val="26"/>
                <w:szCs w:val="26"/>
              </w:rPr>
              <w:t>$</w:t>
            </w:r>
            <w:r w:rsidR="00645CEB">
              <w:rPr>
                <w:rFonts w:ascii="Times New Roman" w:eastAsia="Calibri" w:hAnsi="Times New Roman" w:cs="Times New Roman"/>
                <w:sz w:val="26"/>
                <w:szCs w:val="26"/>
              </w:rPr>
              <w:t>126,725</w:t>
            </w:r>
          </w:p>
        </w:tc>
        <w:tc>
          <w:tcPr>
            <w:tcW w:w="1793" w:type="dxa"/>
            <w:tcBorders>
              <w:bottom w:val="single" w:sz="4" w:space="0" w:color="auto"/>
            </w:tcBorders>
            <w:shd w:val="clear" w:color="auto" w:fill="auto"/>
            <w:vAlign w:val="bottom"/>
          </w:tcPr>
          <w:p w14:paraId="7999547A" w14:textId="77777777" w:rsidR="00EF1EFD" w:rsidRPr="007B1183" w:rsidRDefault="00EF1EFD" w:rsidP="008E5E77">
            <w:pPr>
              <w:spacing w:after="0" w:line="240" w:lineRule="auto"/>
              <w:jc w:val="right"/>
              <w:rPr>
                <w:rFonts w:ascii="Times New Roman" w:eastAsia="Calibri" w:hAnsi="Times New Roman" w:cs="Times New Roman"/>
                <w:sz w:val="26"/>
                <w:szCs w:val="26"/>
              </w:rPr>
            </w:pPr>
            <w:r w:rsidRPr="007B1183">
              <w:rPr>
                <w:rFonts w:ascii="Times New Roman" w:eastAsia="Times New Roman" w:hAnsi="Times New Roman" w:cs="Times New Roman"/>
                <w:sz w:val="26"/>
                <w:szCs w:val="26"/>
              </w:rPr>
              <w:t>$0</w:t>
            </w:r>
          </w:p>
        </w:tc>
        <w:tc>
          <w:tcPr>
            <w:tcW w:w="1789" w:type="dxa"/>
            <w:tcBorders>
              <w:bottom w:val="single" w:sz="4" w:space="0" w:color="auto"/>
            </w:tcBorders>
            <w:shd w:val="clear" w:color="auto" w:fill="auto"/>
            <w:vAlign w:val="bottom"/>
          </w:tcPr>
          <w:p w14:paraId="0A4AC928" w14:textId="77777777" w:rsidR="00EF1EFD" w:rsidRPr="007B1183" w:rsidRDefault="00EF1EFD" w:rsidP="008E5E77">
            <w:pPr>
              <w:spacing w:after="0" w:line="240" w:lineRule="auto"/>
              <w:jc w:val="right"/>
              <w:rPr>
                <w:rFonts w:ascii="Times New Roman" w:eastAsia="Calibri" w:hAnsi="Times New Roman" w:cs="Times New Roman"/>
                <w:sz w:val="26"/>
                <w:szCs w:val="26"/>
              </w:rPr>
            </w:pPr>
            <w:r w:rsidRPr="007B1183">
              <w:rPr>
                <w:rFonts w:ascii="Times New Roman" w:eastAsia="Times New Roman" w:hAnsi="Times New Roman" w:cs="Times New Roman"/>
                <w:sz w:val="26"/>
                <w:szCs w:val="26"/>
              </w:rPr>
              <w:t>$0</w:t>
            </w:r>
          </w:p>
        </w:tc>
      </w:tr>
    </w:tbl>
    <w:p w14:paraId="7A9CCB2B" w14:textId="77777777" w:rsidR="00EF1EFD" w:rsidRPr="007B1183" w:rsidRDefault="00EF1EFD" w:rsidP="008E5E77">
      <w:pPr>
        <w:widowControl w:val="0"/>
        <w:autoSpaceDE w:val="0"/>
        <w:autoSpaceDN w:val="0"/>
        <w:adjustRightInd w:val="0"/>
        <w:spacing w:after="0" w:line="240" w:lineRule="auto"/>
        <w:rPr>
          <w:rFonts w:ascii="Times New Roman" w:eastAsia="Times New Roman" w:hAnsi="Times New Roman" w:cs="Times New Roman"/>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516"/>
        <w:gridCol w:w="1614"/>
        <w:gridCol w:w="1793"/>
        <w:gridCol w:w="1789"/>
      </w:tblGrid>
      <w:tr w:rsidR="00EF1EFD" w:rsidRPr="007B1183" w14:paraId="68B143AE" w14:textId="77777777" w:rsidTr="00C10840">
        <w:trPr>
          <w:trHeight w:val="870"/>
          <w:tblHeader/>
        </w:trPr>
        <w:tc>
          <w:tcPr>
            <w:tcW w:w="2648" w:type="dxa"/>
            <w:tcBorders>
              <w:bottom w:val="single" w:sz="4" w:space="0" w:color="auto"/>
            </w:tcBorders>
            <w:shd w:val="clear" w:color="auto" w:fill="D9D9D9"/>
            <w:vAlign w:val="bottom"/>
          </w:tcPr>
          <w:p w14:paraId="6C2B376A" w14:textId="77777777" w:rsidR="00EF1EFD" w:rsidRPr="007B1183" w:rsidRDefault="00423BFA" w:rsidP="008E5E7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FERC-725G</w:t>
            </w:r>
            <w:r w:rsidR="00AE36C4" w:rsidRPr="007B1183">
              <w:rPr>
                <w:rFonts w:ascii="Times New Roman" w:eastAsia="Calibri" w:hAnsi="Times New Roman" w:cs="Times New Roman"/>
                <w:b/>
                <w:sz w:val="26"/>
                <w:szCs w:val="26"/>
              </w:rPr>
              <w:t xml:space="preserve"> (OMB Control No. 1902-0252)</w:t>
            </w:r>
          </w:p>
        </w:tc>
        <w:tc>
          <w:tcPr>
            <w:tcW w:w="1516" w:type="dxa"/>
            <w:tcBorders>
              <w:bottom w:val="single" w:sz="4" w:space="0" w:color="auto"/>
            </w:tcBorders>
            <w:shd w:val="clear" w:color="auto" w:fill="D9D9D9"/>
            <w:vAlign w:val="bottom"/>
          </w:tcPr>
          <w:p w14:paraId="50F9D505" w14:textId="77777777" w:rsidR="00EF1EFD" w:rsidRPr="007B1183" w:rsidRDefault="00EF1EFD" w:rsidP="008E5E7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Total Request</w:t>
            </w:r>
          </w:p>
        </w:tc>
        <w:tc>
          <w:tcPr>
            <w:tcW w:w="1614" w:type="dxa"/>
            <w:tcBorders>
              <w:bottom w:val="single" w:sz="4" w:space="0" w:color="auto"/>
            </w:tcBorders>
            <w:shd w:val="clear" w:color="auto" w:fill="D9D9D9"/>
            <w:vAlign w:val="bottom"/>
          </w:tcPr>
          <w:p w14:paraId="1B6DEFDE" w14:textId="77777777" w:rsidR="00EF1EFD" w:rsidRPr="007B1183" w:rsidRDefault="00EF1EFD" w:rsidP="008E5E7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Previously Approved</w:t>
            </w:r>
          </w:p>
        </w:tc>
        <w:tc>
          <w:tcPr>
            <w:tcW w:w="1793" w:type="dxa"/>
            <w:tcBorders>
              <w:bottom w:val="single" w:sz="4" w:space="0" w:color="auto"/>
            </w:tcBorders>
            <w:shd w:val="clear" w:color="auto" w:fill="D9D9D9"/>
            <w:vAlign w:val="bottom"/>
          </w:tcPr>
          <w:p w14:paraId="6397E353" w14:textId="77777777" w:rsidR="00EF1EFD" w:rsidRPr="007B1183" w:rsidRDefault="00EF1EFD" w:rsidP="008E5E7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Change due to Adjustment in Estimate</w:t>
            </w:r>
          </w:p>
        </w:tc>
        <w:tc>
          <w:tcPr>
            <w:tcW w:w="1789" w:type="dxa"/>
            <w:tcBorders>
              <w:bottom w:val="single" w:sz="4" w:space="0" w:color="auto"/>
            </w:tcBorders>
            <w:shd w:val="clear" w:color="auto" w:fill="D9D9D9"/>
            <w:vAlign w:val="bottom"/>
          </w:tcPr>
          <w:p w14:paraId="54F8D286" w14:textId="77777777" w:rsidR="00EF1EFD" w:rsidRPr="007B1183" w:rsidRDefault="00EF1EFD" w:rsidP="008E5E77">
            <w:pPr>
              <w:spacing w:after="0" w:line="240" w:lineRule="auto"/>
              <w:jc w:val="center"/>
              <w:rPr>
                <w:rFonts w:ascii="Times New Roman" w:eastAsia="Calibri" w:hAnsi="Times New Roman" w:cs="Times New Roman"/>
                <w:b/>
                <w:sz w:val="26"/>
                <w:szCs w:val="26"/>
              </w:rPr>
            </w:pPr>
            <w:r w:rsidRPr="007B1183">
              <w:rPr>
                <w:rFonts w:ascii="Times New Roman" w:eastAsia="Calibri" w:hAnsi="Times New Roman" w:cs="Times New Roman"/>
                <w:b/>
                <w:sz w:val="26"/>
                <w:szCs w:val="26"/>
              </w:rPr>
              <w:t>Change Due to Agency Discretion</w:t>
            </w:r>
          </w:p>
        </w:tc>
      </w:tr>
      <w:tr w:rsidR="00EF1EFD" w:rsidRPr="007B1183" w14:paraId="6DCC2F98" w14:textId="77777777" w:rsidTr="00C10840">
        <w:trPr>
          <w:trHeight w:val="591"/>
        </w:trPr>
        <w:tc>
          <w:tcPr>
            <w:tcW w:w="2648" w:type="dxa"/>
            <w:shd w:val="clear" w:color="auto" w:fill="auto"/>
          </w:tcPr>
          <w:p w14:paraId="737E64B7" w14:textId="77777777" w:rsidR="00EF1EFD" w:rsidRPr="007B1183" w:rsidRDefault="00EF1EFD" w:rsidP="008E5E77">
            <w:pPr>
              <w:spacing w:after="0" w:line="240" w:lineRule="auto"/>
              <w:jc w:val="center"/>
              <w:rPr>
                <w:rFonts w:ascii="Times New Roman" w:eastAsia="Calibri" w:hAnsi="Times New Roman" w:cs="Times New Roman"/>
                <w:sz w:val="26"/>
                <w:szCs w:val="26"/>
              </w:rPr>
            </w:pPr>
            <w:r w:rsidRPr="007B1183">
              <w:rPr>
                <w:rFonts w:ascii="Times New Roman" w:eastAsia="Calibri" w:hAnsi="Times New Roman" w:cs="Times New Roman"/>
                <w:sz w:val="26"/>
                <w:szCs w:val="26"/>
              </w:rPr>
              <w:t>Annual Number of Responses</w:t>
            </w:r>
          </w:p>
        </w:tc>
        <w:tc>
          <w:tcPr>
            <w:tcW w:w="1516" w:type="dxa"/>
            <w:shd w:val="clear" w:color="auto" w:fill="auto"/>
            <w:vAlign w:val="bottom"/>
          </w:tcPr>
          <w:p w14:paraId="52EAC002" w14:textId="77777777" w:rsidR="00EF1EFD" w:rsidRPr="007B1183" w:rsidRDefault="00C32BFC" w:rsidP="008E5E7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10,770</w:t>
            </w:r>
          </w:p>
        </w:tc>
        <w:tc>
          <w:tcPr>
            <w:tcW w:w="1614" w:type="dxa"/>
            <w:shd w:val="clear" w:color="auto" w:fill="auto"/>
            <w:vAlign w:val="bottom"/>
          </w:tcPr>
          <w:p w14:paraId="12D4EC90" w14:textId="77777777" w:rsidR="00EF1EFD" w:rsidRPr="007B1183" w:rsidRDefault="00C32BFC" w:rsidP="008E5E7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7</w:t>
            </w:r>
            <w:r w:rsidR="00645CEB">
              <w:rPr>
                <w:rFonts w:ascii="Times New Roman" w:eastAsia="Calibri" w:hAnsi="Times New Roman" w:cs="Times New Roman"/>
                <w:sz w:val="26"/>
                <w:szCs w:val="26"/>
              </w:rPr>
              <w:t>,</w:t>
            </w:r>
            <w:r w:rsidRPr="007B1183">
              <w:rPr>
                <w:rFonts w:ascii="Times New Roman" w:eastAsia="Calibri" w:hAnsi="Times New Roman" w:cs="Times New Roman"/>
                <w:sz w:val="26"/>
                <w:szCs w:val="26"/>
              </w:rPr>
              <w:t>479</w:t>
            </w:r>
          </w:p>
        </w:tc>
        <w:tc>
          <w:tcPr>
            <w:tcW w:w="1793" w:type="dxa"/>
            <w:shd w:val="clear" w:color="auto" w:fill="auto"/>
            <w:vAlign w:val="bottom"/>
          </w:tcPr>
          <w:p w14:paraId="0D841001" w14:textId="77777777" w:rsidR="00EF1EFD" w:rsidRPr="007B1183" w:rsidRDefault="00EF1EFD" w:rsidP="008E5E7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0</w:t>
            </w:r>
          </w:p>
        </w:tc>
        <w:tc>
          <w:tcPr>
            <w:tcW w:w="1789" w:type="dxa"/>
            <w:shd w:val="clear" w:color="auto" w:fill="auto"/>
            <w:vAlign w:val="bottom"/>
          </w:tcPr>
          <w:p w14:paraId="1E66B8FA" w14:textId="77777777" w:rsidR="00EF1EFD" w:rsidRPr="007B1183" w:rsidRDefault="00EF1EFD" w:rsidP="008E5E77">
            <w:pPr>
              <w:spacing w:after="0" w:line="240" w:lineRule="auto"/>
              <w:jc w:val="right"/>
              <w:rPr>
                <w:rFonts w:ascii="Times New Roman" w:eastAsia="Times New Roman" w:hAnsi="Times New Roman" w:cs="Times New Roman"/>
                <w:sz w:val="26"/>
                <w:szCs w:val="26"/>
              </w:rPr>
            </w:pPr>
          </w:p>
          <w:p w14:paraId="65D314A7" w14:textId="77777777" w:rsidR="00EF1EFD" w:rsidRPr="007B1183" w:rsidRDefault="00B958DE" w:rsidP="008E5E7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3,291</w:t>
            </w:r>
          </w:p>
        </w:tc>
      </w:tr>
      <w:tr w:rsidR="00EF1EFD" w:rsidRPr="007B1183" w14:paraId="0736FE8B" w14:textId="77777777" w:rsidTr="00C10840">
        <w:trPr>
          <w:trHeight w:val="295"/>
        </w:trPr>
        <w:tc>
          <w:tcPr>
            <w:tcW w:w="2648" w:type="dxa"/>
            <w:tcBorders>
              <w:bottom w:val="single" w:sz="4" w:space="0" w:color="auto"/>
            </w:tcBorders>
            <w:shd w:val="clear" w:color="auto" w:fill="auto"/>
          </w:tcPr>
          <w:p w14:paraId="4D4ACDC2" w14:textId="77777777" w:rsidR="00EF1EFD" w:rsidRPr="007B1183" w:rsidRDefault="00EF1EFD" w:rsidP="008E5E77">
            <w:pPr>
              <w:spacing w:after="0" w:line="240" w:lineRule="auto"/>
              <w:jc w:val="center"/>
              <w:rPr>
                <w:rFonts w:ascii="Times New Roman" w:eastAsia="Calibri" w:hAnsi="Times New Roman" w:cs="Times New Roman"/>
                <w:sz w:val="26"/>
                <w:szCs w:val="26"/>
              </w:rPr>
            </w:pPr>
            <w:r w:rsidRPr="007B1183">
              <w:rPr>
                <w:rFonts w:ascii="Times New Roman" w:eastAsia="Calibri" w:hAnsi="Times New Roman" w:cs="Times New Roman"/>
                <w:sz w:val="26"/>
                <w:szCs w:val="26"/>
              </w:rPr>
              <w:t>Annual Time Burden (Hr.)</w:t>
            </w:r>
            <w:r w:rsidRPr="007B1183" w:rsidDel="000E18C1">
              <w:rPr>
                <w:rFonts w:ascii="Times New Roman" w:eastAsia="Calibri" w:hAnsi="Times New Roman" w:cs="Times New Roman"/>
                <w:sz w:val="26"/>
                <w:szCs w:val="26"/>
                <w:vertAlign w:val="superscript"/>
              </w:rPr>
              <w:t xml:space="preserve"> </w:t>
            </w:r>
          </w:p>
        </w:tc>
        <w:tc>
          <w:tcPr>
            <w:tcW w:w="1516" w:type="dxa"/>
            <w:tcBorders>
              <w:bottom w:val="single" w:sz="4" w:space="0" w:color="auto"/>
            </w:tcBorders>
            <w:shd w:val="clear" w:color="auto" w:fill="auto"/>
            <w:vAlign w:val="bottom"/>
          </w:tcPr>
          <w:p w14:paraId="49C468E9" w14:textId="77777777" w:rsidR="00EF1EFD" w:rsidRPr="007B1183" w:rsidRDefault="00C32BFC" w:rsidP="008E5E77">
            <w:pPr>
              <w:spacing w:after="0" w:line="240" w:lineRule="auto"/>
              <w:jc w:val="right"/>
              <w:rPr>
                <w:rFonts w:ascii="Times New Roman" w:eastAsia="Times New Roman" w:hAnsi="Times New Roman" w:cs="Times New Roman"/>
                <w:bCs/>
                <w:sz w:val="26"/>
                <w:szCs w:val="26"/>
              </w:rPr>
            </w:pPr>
            <w:r w:rsidRPr="007B1183">
              <w:rPr>
                <w:rFonts w:ascii="Times New Roman" w:eastAsia="Times New Roman" w:hAnsi="Times New Roman" w:cs="Times New Roman"/>
                <w:bCs/>
                <w:sz w:val="26"/>
                <w:szCs w:val="26"/>
              </w:rPr>
              <w:t>643,647</w:t>
            </w:r>
          </w:p>
        </w:tc>
        <w:tc>
          <w:tcPr>
            <w:tcW w:w="1614" w:type="dxa"/>
            <w:tcBorders>
              <w:bottom w:val="single" w:sz="4" w:space="0" w:color="auto"/>
            </w:tcBorders>
            <w:shd w:val="clear" w:color="auto" w:fill="auto"/>
            <w:vAlign w:val="bottom"/>
          </w:tcPr>
          <w:p w14:paraId="0EF99FE5" w14:textId="77777777" w:rsidR="00EF1EFD" w:rsidRPr="007B1183" w:rsidRDefault="00C32BFC" w:rsidP="008E5E7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526,877</w:t>
            </w:r>
          </w:p>
        </w:tc>
        <w:tc>
          <w:tcPr>
            <w:tcW w:w="1793" w:type="dxa"/>
            <w:tcBorders>
              <w:bottom w:val="single" w:sz="4" w:space="0" w:color="auto"/>
            </w:tcBorders>
            <w:shd w:val="clear" w:color="auto" w:fill="auto"/>
            <w:vAlign w:val="bottom"/>
          </w:tcPr>
          <w:p w14:paraId="1977C13A" w14:textId="77777777" w:rsidR="00EF1EFD" w:rsidRPr="007B1183" w:rsidRDefault="00EF1EFD" w:rsidP="008E5E77">
            <w:pPr>
              <w:spacing w:after="0" w:line="240" w:lineRule="auto"/>
              <w:jc w:val="right"/>
              <w:rPr>
                <w:rFonts w:ascii="Times New Roman" w:eastAsia="Calibri" w:hAnsi="Times New Roman" w:cs="Times New Roman"/>
                <w:sz w:val="26"/>
                <w:szCs w:val="26"/>
              </w:rPr>
            </w:pPr>
            <w:r w:rsidRPr="007B1183">
              <w:rPr>
                <w:rFonts w:ascii="Times New Roman" w:eastAsia="Calibri" w:hAnsi="Times New Roman" w:cs="Times New Roman"/>
                <w:sz w:val="26"/>
                <w:szCs w:val="26"/>
              </w:rPr>
              <w:t>0</w:t>
            </w:r>
          </w:p>
        </w:tc>
        <w:tc>
          <w:tcPr>
            <w:tcW w:w="1789" w:type="dxa"/>
            <w:tcBorders>
              <w:bottom w:val="single" w:sz="4" w:space="0" w:color="auto"/>
            </w:tcBorders>
            <w:shd w:val="clear" w:color="auto" w:fill="auto"/>
            <w:vAlign w:val="bottom"/>
          </w:tcPr>
          <w:p w14:paraId="223C87EB" w14:textId="77777777" w:rsidR="00EF1EFD" w:rsidRPr="007B1183" w:rsidRDefault="00B958DE" w:rsidP="008E5E77">
            <w:pPr>
              <w:spacing w:after="0" w:line="240" w:lineRule="auto"/>
              <w:jc w:val="right"/>
              <w:rPr>
                <w:rFonts w:ascii="Times New Roman" w:eastAsia="Times New Roman" w:hAnsi="Times New Roman" w:cs="Times New Roman"/>
                <w:bCs/>
                <w:sz w:val="26"/>
                <w:szCs w:val="26"/>
              </w:rPr>
            </w:pPr>
            <w:r w:rsidRPr="007B1183">
              <w:rPr>
                <w:rFonts w:ascii="Times New Roman" w:eastAsia="Times New Roman" w:hAnsi="Times New Roman" w:cs="Times New Roman"/>
                <w:sz w:val="26"/>
                <w:szCs w:val="26"/>
              </w:rPr>
              <w:t>116</w:t>
            </w:r>
            <w:r w:rsidR="00C32BFC" w:rsidRPr="007B1183">
              <w:rPr>
                <w:rFonts w:ascii="Times New Roman" w:eastAsia="Times New Roman" w:hAnsi="Times New Roman" w:cs="Times New Roman"/>
                <w:sz w:val="26"/>
                <w:szCs w:val="26"/>
              </w:rPr>
              <w:t>,</w:t>
            </w:r>
            <w:r w:rsidRPr="007B1183">
              <w:rPr>
                <w:rFonts w:ascii="Times New Roman" w:eastAsia="Times New Roman" w:hAnsi="Times New Roman" w:cs="Times New Roman"/>
                <w:sz w:val="26"/>
                <w:szCs w:val="26"/>
              </w:rPr>
              <w:t>770</w:t>
            </w:r>
          </w:p>
        </w:tc>
      </w:tr>
      <w:tr w:rsidR="00EF1EFD" w:rsidRPr="007B1183" w14:paraId="73156C5A" w14:textId="77777777" w:rsidTr="00C10840">
        <w:trPr>
          <w:trHeight w:val="295"/>
        </w:trPr>
        <w:tc>
          <w:tcPr>
            <w:tcW w:w="2648" w:type="dxa"/>
            <w:tcBorders>
              <w:bottom w:val="single" w:sz="4" w:space="0" w:color="auto"/>
            </w:tcBorders>
            <w:shd w:val="clear" w:color="auto" w:fill="auto"/>
          </w:tcPr>
          <w:p w14:paraId="63CFC880" w14:textId="77777777" w:rsidR="00EF1EFD" w:rsidRPr="007B1183" w:rsidRDefault="00EF1EFD" w:rsidP="008E5E77">
            <w:pPr>
              <w:spacing w:after="0" w:line="240" w:lineRule="auto"/>
              <w:jc w:val="center"/>
              <w:rPr>
                <w:rFonts w:ascii="Times New Roman" w:eastAsia="Calibri" w:hAnsi="Times New Roman" w:cs="Times New Roman"/>
                <w:sz w:val="26"/>
                <w:szCs w:val="26"/>
              </w:rPr>
            </w:pPr>
            <w:r w:rsidRPr="007B1183">
              <w:rPr>
                <w:rFonts w:ascii="Times New Roman" w:eastAsia="Calibri" w:hAnsi="Times New Roman" w:cs="Times New Roman"/>
                <w:sz w:val="26"/>
                <w:szCs w:val="26"/>
              </w:rPr>
              <w:t>Annual Cost Burden ($)</w:t>
            </w:r>
          </w:p>
        </w:tc>
        <w:tc>
          <w:tcPr>
            <w:tcW w:w="1516" w:type="dxa"/>
            <w:tcBorders>
              <w:bottom w:val="single" w:sz="4" w:space="0" w:color="auto"/>
            </w:tcBorders>
            <w:shd w:val="clear" w:color="auto" w:fill="auto"/>
            <w:vAlign w:val="bottom"/>
          </w:tcPr>
          <w:p w14:paraId="354BC492" w14:textId="77777777" w:rsidR="00EF1EFD" w:rsidRPr="007B1183" w:rsidRDefault="00EF1EFD" w:rsidP="008E5E77">
            <w:pPr>
              <w:spacing w:after="0" w:line="240" w:lineRule="auto"/>
              <w:jc w:val="right"/>
              <w:rPr>
                <w:rFonts w:ascii="Times New Roman" w:eastAsia="Calibri" w:hAnsi="Times New Roman" w:cs="Times New Roman"/>
                <w:sz w:val="26"/>
                <w:szCs w:val="26"/>
              </w:rPr>
            </w:pPr>
            <w:r w:rsidRPr="007B1183">
              <w:rPr>
                <w:rFonts w:ascii="Times New Roman" w:eastAsia="Times New Roman" w:hAnsi="Times New Roman" w:cs="Times New Roman"/>
                <w:sz w:val="26"/>
                <w:szCs w:val="26"/>
              </w:rPr>
              <w:t>$0</w:t>
            </w:r>
          </w:p>
        </w:tc>
        <w:tc>
          <w:tcPr>
            <w:tcW w:w="1614" w:type="dxa"/>
            <w:tcBorders>
              <w:bottom w:val="single" w:sz="4" w:space="0" w:color="auto"/>
            </w:tcBorders>
            <w:shd w:val="clear" w:color="auto" w:fill="auto"/>
            <w:vAlign w:val="bottom"/>
          </w:tcPr>
          <w:p w14:paraId="36C0E85C" w14:textId="77777777" w:rsidR="00EF1EFD" w:rsidRPr="007B1183" w:rsidRDefault="00EF1EFD" w:rsidP="008E5E77">
            <w:pPr>
              <w:spacing w:after="0" w:line="240" w:lineRule="auto"/>
              <w:jc w:val="right"/>
              <w:rPr>
                <w:rFonts w:ascii="Times New Roman" w:eastAsia="Calibri" w:hAnsi="Times New Roman" w:cs="Times New Roman"/>
                <w:sz w:val="26"/>
                <w:szCs w:val="26"/>
              </w:rPr>
            </w:pPr>
            <w:r w:rsidRPr="007B1183">
              <w:rPr>
                <w:rFonts w:ascii="Times New Roman" w:eastAsia="Times New Roman" w:hAnsi="Times New Roman" w:cs="Times New Roman"/>
                <w:sz w:val="26"/>
                <w:szCs w:val="26"/>
              </w:rPr>
              <w:t>$0</w:t>
            </w:r>
          </w:p>
        </w:tc>
        <w:tc>
          <w:tcPr>
            <w:tcW w:w="1793" w:type="dxa"/>
            <w:tcBorders>
              <w:bottom w:val="single" w:sz="4" w:space="0" w:color="auto"/>
            </w:tcBorders>
            <w:shd w:val="clear" w:color="auto" w:fill="auto"/>
            <w:vAlign w:val="bottom"/>
          </w:tcPr>
          <w:p w14:paraId="219EEAAA" w14:textId="77777777" w:rsidR="00EF1EFD" w:rsidRPr="007B1183" w:rsidRDefault="00EF1EFD" w:rsidP="008E5E77">
            <w:pPr>
              <w:spacing w:after="0" w:line="240" w:lineRule="auto"/>
              <w:jc w:val="right"/>
              <w:rPr>
                <w:rFonts w:ascii="Times New Roman" w:eastAsia="Calibri" w:hAnsi="Times New Roman" w:cs="Times New Roman"/>
                <w:sz w:val="26"/>
                <w:szCs w:val="26"/>
              </w:rPr>
            </w:pPr>
            <w:r w:rsidRPr="007B1183">
              <w:rPr>
                <w:rFonts w:ascii="Times New Roman" w:eastAsia="Times New Roman" w:hAnsi="Times New Roman" w:cs="Times New Roman"/>
                <w:sz w:val="26"/>
                <w:szCs w:val="26"/>
              </w:rPr>
              <w:t>$0</w:t>
            </w:r>
          </w:p>
        </w:tc>
        <w:tc>
          <w:tcPr>
            <w:tcW w:w="1789" w:type="dxa"/>
            <w:tcBorders>
              <w:bottom w:val="single" w:sz="4" w:space="0" w:color="auto"/>
            </w:tcBorders>
            <w:shd w:val="clear" w:color="auto" w:fill="auto"/>
            <w:vAlign w:val="bottom"/>
          </w:tcPr>
          <w:p w14:paraId="689D3C0B" w14:textId="77777777" w:rsidR="00EF1EFD" w:rsidRPr="007B1183" w:rsidRDefault="00EF1EFD" w:rsidP="008E5E77">
            <w:pPr>
              <w:spacing w:after="0" w:line="240" w:lineRule="auto"/>
              <w:jc w:val="right"/>
              <w:rPr>
                <w:rFonts w:ascii="Times New Roman" w:eastAsia="Calibri" w:hAnsi="Times New Roman" w:cs="Times New Roman"/>
                <w:sz w:val="26"/>
                <w:szCs w:val="26"/>
              </w:rPr>
            </w:pPr>
            <w:r w:rsidRPr="007B1183">
              <w:rPr>
                <w:rFonts w:ascii="Times New Roman" w:eastAsia="Times New Roman" w:hAnsi="Times New Roman" w:cs="Times New Roman"/>
                <w:sz w:val="26"/>
                <w:szCs w:val="26"/>
              </w:rPr>
              <w:t>$0</w:t>
            </w:r>
          </w:p>
        </w:tc>
      </w:tr>
    </w:tbl>
    <w:p w14:paraId="17EAAA4A" w14:textId="77777777" w:rsidR="00EF1EFD" w:rsidRPr="007B1183" w:rsidRDefault="00EF1EFD" w:rsidP="008E5E77">
      <w:pPr>
        <w:spacing w:line="240" w:lineRule="auto"/>
        <w:rPr>
          <w:rFonts w:ascii="Times New Roman" w:hAnsi="Times New Roman" w:cs="Times New Roman"/>
          <w:sz w:val="26"/>
          <w:szCs w:val="26"/>
        </w:rPr>
      </w:pPr>
    </w:p>
    <w:p w14:paraId="20939A73" w14:textId="77777777" w:rsidR="00EF1EFD" w:rsidRPr="007B1183" w:rsidRDefault="00EF1EFD" w:rsidP="008E5E7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TIME SCHEDULE FOR THE PUBLICATION OF DATA</w:t>
      </w:r>
    </w:p>
    <w:p w14:paraId="5998DEC7" w14:textId="77777777" w:rsidR="00EF1EFD" w:rsidRPr="007B1183" w:rsidRDefault="00EF1EFD" w:rsidP="008E5E77">
      <w:pPr>
        <w:spacing w:after="0" w:line="240" w:lineRule="auto"/>
        <w:rPr>
          <w:rFonts w:ascii="Times New Roman" w:hAnsi="Times New Roman" w:cs="Times New Roman"/>
          <w:b/>
          <w:bCs/>
          <w:sz w:val="26"/>
          <w:szCs w:val="26"/>
        </w:rPr>
      </w:pPr>
    </w:p>
    <w:p w14:paraId="58A7708D" w14:textId="77777777" w:rsidR="00EF1EFD" w:rsidRPr="007B1183" w:rsidRDefault="00EF1EFD" w:rsidP="008E5E7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 xml:space="preserve">There </w:t>
      </w:r>
      <w:r w:rsidR="00423BFA" w:rsidRPr="007B1183">
        <w:rPr>
          <w:rFonts w:ascii="Times New Roman" w:hAnsi="Times New Roman" w:cs="Times New Roman"/>
          <w:sz w:val="26"/>
          <w:szCs w:val="26"/>
        </w:rPr>
        <w:t>is no publication of data associated with FERC-725A or FERC-725G collections of information.</w:t>
      </w:r>
    </w:p>
    <w:p w14:paraId="2A95BF85" w14:textId="77777777" w:rsidR="00EF1EFD" w:rsidRPr="007B1183" w:rsidRDefault="00EF1EFD" w:rsidP="008E5E77">
      <w:pPr>
        <w:spacing w:after="0" w:line="240" w:lineRule="auto"/>
        <w:rPr>
          <w:rFonts w:ascii="Times New Roman" w:hAnsi="Times New Roman" w:cs="Times New Roman"/>
          <w:sz w:val="26"/>
          <w:szCs w:val="26"/>
        </w:rPr>
      </w:pPr>
    </w:p>
    <w:p w14:paraId="4DE1132E" w14:textId="77777777" w:rsidR="00EF1EFD" w:rsidRPr="007B1183" w:rsidRDefault="00EF1EFD" w:rsidP="008E5E7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DISPLAY OF THE EXPIRATION DATE</w:t>
      </w:r>
    </w:p>
    <w:p w14:paraId="4EA99896" w14:textId="77777777" w:rsidR="00423BFA" w:rsidRPr="007B1183" w:rsidRDefault="00423BFA" w:rsidP="008E5E77">
      <w:pPr>
        <w:spacing w:after="0" w:line="240" w:lineRule="auto"/>
        <w:rPr>
          <w:rFonts w:ascii="Times New Roman" w:hAnsi="Times New Roman" w:cs="Times New Roman"/>
          <w:sz w:val="26"/>
          <w:szCs w:val="26"/>
        </w:rPr>
      </w:pPr>
    </w:p>
    <w:p w14:paraId="5B4F9A44" w14:textId="77777777" w:rsidR="00423BFA" w:rsidRPr="007B1183" w:rsidRDefault="00423BFA" w:rsidP="008E5E77">
      <w:pPr>
        <w:spacing w:after="0" w:line="240" w:lineRule="auto"/>
        <w:rPr>
          <w:rFonts w:ascii="Times New Roman" w:hAnsi="Times New Roman" w:cs="Times New Roman"/>
          <w:sz w:val="26"/>
          <w:szCs w:val="26"/>
        </w:rPr>
      </w:pPr>
      <w:r w:rsidRPr="007B1183">
        <w:rPr>
          <w:rFonts w:ascii="Times New Roman" w:hAnsi="Times New Roman" w:cs="Times New Roman"/>
          <w:sz w:val="26"/>
          <w:szCs w:val="26"/>
        </w:rPr>
        <w:t xml:space="preserve">The expiration dates are posted on ferc.gov at </w:t>
      </w:r>
      <w:hyperlink r:id="rId12" w:history="1">
        <w:r w:rsidRPr="007B1183">
          <w:rPr>
            <w:rStyle w:val="Hyperlink"/>
            <w:rFonts w:ascii="Times New Roman" w:hAnsi="Times New Roman" w:cs="Times New Roman"/>
            <w:sz w:val="26"/>
            <w:szCs w:val="26"/>
          </w:rPr>
          <w:t>http://www.ferc.gov/docs-filing/info-collections.asp</w:t>
        </w:r>
      </w:hyperlink>
      <w:r w:rsidRPr="007B1183">
        <w:rPr>
          <w:rFonts w:ascii="Times New Roman" w:hAnsi="Times New Roman" w:cs="Times New Roman"/>
          <w:sz w:val="26"/>
          <w:szCs w:val="26"/>
        </w:rPr>
        <w:t xml:space="preserve">. </w:t>
      </w:r>
    </w:p>
    <w:p w14:paraId="17DE1280" w14:textId="77777777" w:rsidR="00423BFA" w:rsidRPr="007B1183" w:rsidRDefault="00423BFA" w:rsidP="008E5E77">
      <w:pPr>
        <w:spacing w:after="0" w:line="240" w:lineRule="auto"/>
        <w:rPr>
          <w:rFonts w:ascii="Times New Roman" w:hAnsi="Times New Roman" w:cs="Times New Roman"/>
          <w:b/>
          <w:bCs/>
          <w:sz w:val="26"/>
          <w:szCs w:val="26"/>
        </w:rPr>
      </w:pPr>
    </w:p>
    <w:p w14:paraId="3D786C47" w14:textId="77777777" w:rsidR="00EF1EFD" w:rsidRPr="007B1183" w:rsidRDefault="00EF1EFD" w:rsidP="008E5E77">
      <w:pPr>
        <w:widowControl w:val="0"/>
        <w:numPr>
          <w:ilvl w:val="0"/>
          <w:numId w:val="1"/>
        </w:numPr>
        <w:autoSpaceDE w:val="0"/>
        <w:autoSpaceDN w:val="0"/>
        <w:adjustRightInd w:val="0"/>
        <w:spacing w:after="0" w:line="240" w:lineRule="auto"/>
        <w:rPr>
          <w:rFonts w:ascii="Times New Roman" w:hAnsi="Times New Roman" w:cs="Times New Roman"/>
          <w:sz w:val="26"/>
          <w:szCs w:val="26"/>
        </w:rPr>
      </w:pPr>
      <w:r w:rsidRPr="007B1183">
        <w:rPr>
          <w:rFonts w:ascii="Times New Roman" w:hAnsi="Times New Roman" w:cs="Times New Roman"/>
          <w:b/>
          <w:bCs/>
          <w:sz w:val="26"/>
          <w:szCs w:val="26"/>
        </w:rPr>
        <w:t>EXCEPTIONS TO THE CERTIFICATION STATEMENT</w:t>
      </w:r>
    </w:p>
    <w:p w14:paraId="4FDEA6F9" w14:textId="77777777" w:rsidR="00EF1EFD" w:rsidRPr="007B1183" w:rsidRDefault="00EF1EFD" w:rsidP="008E5E77">
      <w:pPr>
        <w:spacing w:after="0" w:line="240" w:lineRule="auto"/>
        <w:rPr>
          <w:rFonts w:ascii="Times New Roman" w:hAnsi="Times New Roman" w:cs="Times New Roman"/>
          <w:sz w:val="26"/>
          <w:szCs w:val="26"/>
        </w:rPr>
      </w:pPr>
    </w:p>
    <w:p w14:paraId="2BB88DBA" w14:textId="77777777" w:rsidR="00EF1EFD" w:rsidRPr="007B1183" w:rsidRDefault="00423BFA" w:rsidP="008E5E77">
      <w:pPr>
        <w:spacing w:line="240" w:lineRule="auto"/>
        <w:rPr>
          <w:rFonts w:ascii="Times New Roman" w:hAnsi="Times New Roman" w:cs="Times New Roman"/>
          <w:sz w:val="26"/>
          <w:szCs w:val="26"/>
        </w:rPr>
      </w:pPr>
      <w:r w:rsidRPr="007B1183">
        <w:rPr>
          <w:rFonts w:ascii="Times New Roman" w:hAnsi="Times New Roman" w:cs="Times New Roman"/>
          <w:sz w:val="26"/>
          <w:szCs w:val="26"/>
        </w:rPr>
        <w:t>There are no exceptions.</w:t>
      </w:r>
    </w:p>
    <w:p w14:paraId="6221E84B" w14:textId="77777777" w:rsidR="00C10840" w:rsidRPr="007B1183" w:rsidRDefault="00C10840" w:rsidP="008E5E77">
      <w:pPr>
        <w:spacing w:line="240" w:lineRule="auto"/>
        <w:rPr>
          <w:rFonts w:ascii="Times New Roman" w:hAnsi="Times New Roman" w:cs="Times New Roman"/>
          <w:sz w:val="26"/>
          <w:szCs w:val="26"/>
        </w:rPr>
      </w:pPr>
    </w:p>
    <w:sectPr w:rsidR="00C10840" w:rsidRPr="007B118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97658" w14:textId="77777777" w:rsidR="003B4C37" w:rsidRDefault="003B4C37" w:rsidP="00EF1EFD">
      <w:pPr>
        <w:spacing w:after="0" w:line="240" w:lineRule="auto"/>
      </w:pPr>
      <w:r>
        <w:separator/>
      </w:r>
    </w:p>
  </w:endnote>
  <w:endnote w:type="continuationSeparator" w:id="0">
    <w:p w14:paraId="0A599FBC" w14:textId="77777777" w:rsidR="003B4C37" w:rsidRDefault="003B4C37" w:rsidP="00EF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A3449" w14:textId="77777777" w:rsidR="003B4C37" w:rsidRDefault="003B4C37" w:rsidP="00EF1EFD">
      <w:pPr>
        <w:spacing w:after="0" w:line="240" w:lineRule="auto"/>
      </w:pPr>
      <w:r>
        <w:separator/>
      </w:r>
    </w:p>
  </w:footnote>
  <w:footnote w:type="continuationSeparator" w:id="0">
    <w:p w14:paraId="563D823D" w14:textId="77777777" w:rsidR="003B4C37" w:rsidRDefault="003B4C37" w:rsidP="00EF1EFD">
      <w:pPr>
        <w:spacing w:after="0" w:line="240" w:lineRule="auto"/>
      </w:pPr>
      <w:r>
        <w:continuationSeparator/>
      </w:r>
    </w:p>
  </w:footnote>
  <w:footnote w:id="1">
    <w:p w14:paraId="17D138B5" w14:textId="77777777" w:rsidR="00A04D29" w:rsidRDefault="00A04D29" w:rsidP="00A04D29">
      <w:pPr>
        <w:pStyle w:val="FootnoteText"/>
        <w:rPr>
          <w:sz w:val="26"/>
          <w:szCs w:val="26"/>
        </w:rPr>
      </w:pPr>
      <w:r>
        <w:rPr>
          <w:rStyle w:val="FootnoteReference"/>
          <w:sz w:val="26"/>
          <w:szCs w:val="26"/>
        </w:rPr>
        <w:footnoteRef/>
      </w:r>
      <w:r>
        <w:rPr>
          <w:sz w:val="26"/>
          <w:szCs w:val="26"/>
        </w:rPr>
        <w:t xml:space="preserve"> The Order was issued on </w:t>
      </w:r>
      <w:r w:rsidR="001A04F8">
        <w:rPr>
          <w:sz w:val="26"/>
          <w:szCs w:val="26"/>
        </w:rPr>
        <w:t xml:space="preserve">19 January 2017 </w:t>
      </w:r>
      <w:r>
        <w:rPr>
          <w:sz w:val="26"/>
          <w:szCs w:val="26"/>
        </w:rPr>
        <w:t>and is posted at</w:t>
      </w:r>
      <w:r w:rsidR="00F66D09">
        <w:rPr>
          <w:sz w:val="26"/>
          <w:szCs w:val="26"/>
        </w:rPr>
        <w:t xml:space="preserve"> </w:t>
      </w:r>
      <w:hyperlink r:id="rId1" w:history="1">
        <w:r w:rsidR="00F66D09" w:rsidRPr="00BF5357">
          <w:rPr>
            <w:rStyle w:val="Hyperlink"/>
            <w:sz w:val="26"/>
            <w:szCs w:val="26"/>
          </w:rPr>
          <w:t>https://elibrary.ferc.gov/idmws/common/opennat.asp?fileID=14469212</w:t>
        </w:r>
      </w:hyperlink>
      <w:r w:rsidR="00F66D09">
        <w:rPr>
          <w:sz w:val="26"/>
          <w:szCs w:val="26"/>
        </w:rPr>
        <w:t xml:space="preserve"> </w:t>
      </w:r>
      <w:r w:rsidR="001A04F8">
        <w:rPr>
          <w:sz w:val="26"/>
          <w:szCs w:val="26"/>
        </w:rPr>
        <w:t xml:space="preserve"> </w:t>
      </w:r>
    </w:p>
  </w:footnote>
  <w:footnote w:id="2">
    <w:p w14:paraId="50794095" w14:textId="77777777" w:rsidR="00262CE1" w:rsidRPr="007D4839" w:rsidRDefault="00262CE1" w:rsidP="00262CE1">
      <w:pPr>
        <w:pStyle w:val="FootnoteText"/>
        <w:rPr>
          <w:sz w:val="26"/>
          <w:szCs w:val="26"/>
        </w:rPr>
      </w:pPr>
      <w:r w:rsidRPr="007D4839">
        <w:rPr>
          <w:rStyle w:val="FootnoteReference"/>
          <w:sz w:val="26"/>
          <w:szCs w:val="26"/>
        </w:rPr>
        <w:footnoteRef/>
      </w:r>
      <w:r w:rsidRPr="007D4839">
        <w:rPr>
          <w:sz w:val="26"/>
          <w:szCs w:val="26"/>
        </w:rPr>
        <w:t xml:space="preserve"> The Energy Policy Act of 2005 (</w:t>
      </w:r>
      <w:proofErr w:type="spellStart"/>
      <w:r w:rsidRPr="007D4839">
        <w:rPr>
          <w:sz w:val="26"/>
          <w:szCs w:val="26"/>
        </w:rPr>
        <w:t>EPAct</w:t>
      </w:r>
      <w:proofErr w:type="spellEnd"/>
      <w:r w:rsidRPr="007D4839">
        <w:rPr>
          <w:sz w:val="26"/>
          <w:szCs w:val="26"/>
        </w:rPr>
        <w:t>), Pub. L. No 109-58, Title XII, Subtitle A, 119 Stat. 594, 941 (2005), codified at 16 U.S.C. 824o (2000).</w:t>
      </w:r>
    </w:p>
  </w:footnote>
  <w:footnote w:id="3">
    <w:p w14:paraId="56AF833F" w14:textId="77777777" w:rsidR="00262CE1" w:rsidRPr="007D4839" w:rsidRDefault="00262CE1" w:rsidP="00262CE1">
      <w:pPr>
        <w:pStyle w:val="FootnoteText"/>
        <w:rPr>
          <w:sz w:val="26"/>
          <w:szCs w:val="26"/>
        </w:rPr>
      </w:pPr>
      <w:r w:rsidRPr="007D4839">
        <w:rPr>
          <w:rStyle w:val="FootnoteReference"/>
          <w:sz w:val="26"/>
          <w:szCs w:val="26"/>
        </w:rPr>
        <w:footnoteRef/>
      </w:r>
      <w:r w:rsidRPr="007D4839">
        <w:rPr>
          <w:sz w:val="26"/>
          <w:szCs w:val="26"/>
          <w:vertAlign w:val="superscript"/>
        </w:rPr>
        <w:t xml:space="preserve"> </w:t>
      </w:r>
      <w:r w:rsidRPr="007D4839">
        <w:rPr>
          <w:sz w:val="26"/>
          <w:szCs w:val="26"/>
        </w:rPr>
        <w:t xml:space="preserve">The Federal Power Act (as modified by the </w:t>
      </w:r>
      <w:proofErr w:type="spellStart"/>
      <w:r w:rsidRPr="007D4839">
        <w:rPr>
          <w:sz w:val="26"/>
          <w:szCs w:val="26"/>
        </w:rPr>
        <w:t>EPAct</w:t>
      </w:r>
      <w:proofErr w:type="spellEnd"/>
      <w:r w:rsidRPr="007D4839">
        <w:rPr>
          <w:sz w:val="26"/>
          <w:szCs w:val="26"/>
        </w:rPr>
        <w:t>) states “[t]</w:t>
      </w:r>
      <w:proofErr w:type="gramStart"/>
      <w:r w:rsidRPr="007D4839">
        <w:rPr>
          <w:sz w:val="26"/>
          <w:szCs w:val="26"/>
        </w:rPr>
        <w:t>he</w:t>
      </w:r>
      <w:proofErr w:type="gramEnd"/>
      <w:r w:rsidRPr="007D4839">
        <w:rPr>
          <w:sz w:val="26"/>
          <w:szCs w:val="26"/>
        </w:rPr>
        <w:t xml:space="preserve"> term “reliability standard” means a requirement, approved by the Commission under this section, to provide for reliable operation of the bulk-power system. The term includes requirements for the operation of existing bulk-power system facilities, including cybersecurity protection, and the design of planned additions or modifications to such facilities to the extent necessary to provide for reliable operation of the bulk-power system, but the term does not include any requirement to enlarge such facilities or to construct new transmission capacity or generation capacity.”</w:t>
      </w:r>
    </w:p>
  </w:footnote>
  <w:footnote w:id="4">
    <w:p w14:paraId="264AF00A" w14:textId="77777777" w:rsidR="00262CE1" w:rsidRPr="007D4839" w:rsidRDefault="00262CE1" w:rsidP="00262CE1">
      <w:pPr>
        <w:pStyle w:val="FootnoteText"/>
        <w:rPr>
          <w:sz w:val="26"/>
          <w:szCs w:val="26"/>
        </w:rPr>
      </w:pPr>
      <w:r w:rsidRPr="007D4839">
        <w:rPr>
          <w:rStyle w:val="FootnoteReference"/>
          <w:sz w:val="26"/>
          <w:szCs w:val="26"/>
        </w:rPr>
        <w:footnoteRef/>
      </w:r>
      <w:r w:rsidRPr="007D4839">
        <w:rPr>
          <w:sz w:val="26"/>
          <w:szCs w:val="26"/>
        </w:rPr>
        <w:t xml:space="preserve"> North American Electric Reliability Corp., 116 FERC ¶ 61,062, order on </w:t>
      </w:r>
      <w:proofErr w:type="spellStart"/>
      <w:r w:rsidRPr="007D4839">
        <w:rPr>
          <w:sz w:val="26"/>
          <w:szCs w:val="26"/>
        </w:rPr>
        <w:t>reh’g</w:t>
      </w:r>
      <w:proofErr w:type="spellEnd"/>
      <w:r w:rsidRPr="007D4839">
        <w:rPr>
          <w:sz w:val="26"/>
          <w:szCs w:val="26"/>
        </w:rPr>
        <w:t xml:space="preserve"> and compliance, 117 FERC ¶ 61,126 (2006), order on compliance, 118 FERC ¶ 61,190, order on </w:t>
      </w:r>
      <w:proofErr w:type="spellStart"/>
      <w:r w:rsidRPr="007D4839">
        <w:rPr>
          <w:sz w:val="26"/>
          <w:szCs w:val="26"/>
        </w:rPr>
        <w:t>reh’g</w:t>
      </w:r>
      <w:proofErr w:type="spellEnd"/>
      <w:r w:rsidRPr="007D4839">
        <w:rPr>
          <w:sz w:val="26"/>
          <w:szCs w:val="26"/>
        </w:rPr>
        <w:t>, 119 FERC ¶ 61,046 (2007), aff’d sub nom. Alcoa Inc. v. FERC, 564 F.3d 1342 (D.C. Cir. 2009).</w:t>
      </w:r>
    </w:p>
  </w:footnote>
  <w:footnote w:id="5">
    <w:p w14:paraId="23E7758B" w14:textId="77777777" w:rsidR="005D04B3" w:rsidRPr="005D04B3" w:rsidRDefault="005D04B3" w:rsidP="005D04B3">
      <w:pPr>
        <w:pStyle w:val="FootnoteText"/>
        <w:rPr>
          <w:rStyle w:val="FootnoteReference"/>
          <w:sz w:val="26"/>
          <w:szCs w:val="26"/>
        </w:rPr>
      </w:pPr>
      <w:r w:rsidRPr="005D04B3">
        <w:rPr>
          <w:rStyle w:val="FootnoteReference"/>
          <w:sz w:val="26"/>
          <w:szCs w:val="26"/>
        </w:rPr>
        <w:footnoteRef/>
      </w:r>
      <w:r w:rsidRPr="005D04B3">
        <w:rPr>
          <w:rStyle w:val="FootnoteReference"/>
          <w:sz w:val="26"/>
          <w:szCs w:val="26"/>
        </w:rPr>
        <w:t xml:space="preserve"> </w:t>
      </w:r>
      <w:r w:rsidRPr="005D04B3">
        <w:rPr>
          <w:rStyle w:val="FootnoteReference"/>
          <w:sz w:val="26"/>
        </w:rPr>
        <w:t xml:space="preserve">Mandatory Reliability Standards for the Bulk-Power System, Order No. 693, FERC Stats. and </w:t>
      </w:r>
      <w:proofErr w:type="spellStart"/>
      <w:r w:rsidRPr="005D04B3">
        <w:rPr>
          <w:rStyle w:val="FootnoteReference"/>
          <w:sz w:val="26"/>
        </w:rPr>
        <w:t>Regs</w:t>
      </w:r>
      <w:proofErr w:type="spellEnd"/>
      <w:r w:rsidRPr="005D04B3">
        <w:rPr>
          <w:rStyle w:val="FootnoteReference"/>
          <w:sz w:val="26"/>
        </w:rPr>
        <w:t xml:space="preserve">. ¶ 31,242, order on </w:t>
      </w:r>
      <w:proofErr w:type="spellStart"/>
      <w:r w:rsidRPr="005D04B3">
        <w:rPr>
          <w:rStyle w:val="FootnoteReference"/>
          <w:sz w:val="26"/>
        </w:rPr>
        <w:t>reh’g</w:t>
      </w:r>
      <w:proofErr w:type="spellEnd"/>
      <w:r w:rsidRPr="005D04B3">
        <w:rPr>
          <w:rStyle w:val="FootnoteReference"/>
          <w:sz w:val="26"/>
        </w:rPr>
        <w:t>, Order No. 693-A, 120 FERC ¶ 61,053 (2007).</w:t>
      </w:r>
    </w:p>
  </w:footnote>
  <w:footnote w:id="6">
    <w:p w14:paraId="01951B09" w14:textId="77777777" w:rsidR="005D04B3" w:rsidRPr="005D04B3" w:rsidRDefault="005D04B3" w:rsidP="005D04B3">
      <w:pPr>
        <w:pStyle w:val="FootnoteText"/>
        <w:rPr>
          <w:rStyle w:val="FootnoteReference"/>
          <w:sz w:val="26"/>
          <w:szCs w:val="26"/>
        </w:rPr>
      </w:pPr>
      <w:r w:rsidRPr="005D04B3">
        <w:rPr>
          <w:rStyle w:val="FootnoteReference"/>
          <w:sz w:val="26"/>
          <w:szCs w:val="26"/>
        </w:rPr>
        <w:footnoteRef/>
      </w:r>
      <w:r w:rsidRPr="005D04B3">
        <w:rPr>
          <w:rStyle w:val="FootnoteReference"/>
          <w:sz w:val="26"/>
          <w:szCs w:val="26"/>
        </w:rPr>
        <w:t xml:space="preserve"> Id.</w:t>
      </w:r>
      <w:r w:rsidRPr="005D04B3">
        <w:rPr>
          <w:rStyle w:val="FootnoteReference"/>
          <w:sz w:val="26"/>
        </w:rPr>
        <w:t xml:space="preserve"> PP 1517-18, 1520</w:t>
      </w:r>
      <w:r w:rsidR="004021DC">
        <w:rPr>
          <w:sz w:val="26"/>
        </w:rPr>
        <w:t>; PP 1521-22, 1524; PP 1525-25, 1528</w:t>
      </w:r>
      <w:r w:rsidRPr="005D04B3">
        <w:rPr>
          <w:rStyle w:val="FootnoteReference"/>
          <w:sz w:val="26"/>
        </w:rPr>
        <w:t>.  The Commission used the term “fill-in-the-blank” standards to refer to proposed Reliability Standards that required the regional reliability organizations to develop at a later date criteria for use by users, owners or operators within each region.  Id. P 297.</w:t>
      </w:r>
    </w:p>
  </w:footnote>
  <w:footnote w:id="7">
    <w:p w14:paraId="503ACAF6" w14:textId="77777777" w:rsidR="005D04B3" w:rsidRPr="005D04B3" w:rsidRDefault="005D04B3" w:rsidP="005D04B3">
      <w:pPr>
        <w:pStyle w:val="FootnoteText"/>
        <w:rPr>
          <w:rStyle w:val="FootnoteReference"/>
          <w:sz w:val="26"/>
        </w:rPr>
      </w:pPr>
      <w:r w:rsidRPr="005D04B3">
        <w:rPr>
          <w:rStyle w:val="FootnoteReference"/>
          <w:sz w:val="26"/>
        </w:rPr>
        <w:footnoteRef/>
      </w:r>
      <w:r w:rsidRPr="005D04B3">
        <w:rPr>
          <w:rStyle w:val="FootnoteReference"/>
          <w:sz w:val="26"/>
        </w:rPr>
        <w:t xml:space="preserve"> Id. PP 1520, 1524, 1528.</w:t>
      </w:r>
    </w:p>
  </w:footnote>
  <w:footnote w:id="8">
    <w:p w14:paraId="7A891D07" w14:textId="77777777" w:rsidR="002F288D" w:rsidRPr="004553B2" w:rsidRDefault="002F288D" w:rsidP="002F288D">
      <w:pPr>
        <w:pStyle w:val="FootnoteText"/>
        <w:rPr>
          <w:rStyle w:val="FootnoteReference"/>
          <w:sz w:val="26"/>
        </w:rPr>
      </w:pPr>
      <w:r w:rsidRPr="004553B2">
        <w:rPr>
          <w:rStyle w:val="FootnoteReference"/>
          <w:sz w:val="26"/>
        </w:rPr>
        <w:footnoteRef/>
      </w:r>
      <w:r w:rsidRPr="004553B2">
        <w:rPr>
          <w:rStyle w:val="FootnoteReference"/>
          <w:sz w:val="26"/>
        </w:rPr>
        <w:t xml:space="preserve"> Proposed Reliability Standard PRC-012-2 is not attached to this Notice of Proposed Rulemaking.  The proposed Reliability Standard is available on the Commission’s </w:t>
      </w:r>
      <w:proofErr w:type="spellStart"/>
      <w:r w:rsidRPr="004553B2">
        <w:rPr>
          <w:rStyle w:val="FootnoteReference"/>
          <w:sz w:val="26"/>
        </w:rPr>
        <w:t>eLibrary</w:t>
      </w:r>
      <w:proofErr w:type="spellEnd"/>
      <w:r w:rsidRPr="004553B2">
        <w:rPr>
          <w:rStyle w:val="FootnoteReference"/>
          <w:sz w:val="26"/>
        </w:rPr>
        <w:t xml:space="preserve"> document retrieval system in Docket No. RM16-20-000 and is posted on NERC’s website, http:// www.nerc.com.</w:t>
      </w:r>
    </w:p>
  </w:footnote>
  <w:footnote w:id="9">
    <w:p w14:paraId="792B7CCA" w14:textId="77777777" w:rsidR="002F288D" w:rsidRPr="004553B2" w:rsidRDefault="002F288D" w:rsidP="002F288D">
      <w:pPr>
        <w:pStyle w:val="FootnoteText"/>
        <w:rPr>
          <w:rStyle w:val="FootnoteReference"/>
          <w:sz w:val="26"/>
        </w:rPr>
      </w:pPr>
      <w:r w:rsidRPr="004553B2">
        <w:rPr>
          <w:rStyle w:val="FootnoteReference"/>
          <w:sz w:val="26"/>
        </w:rPr>
        <w:footnoteRef/>
      </w:r>
      <w:r w:rsidRPr="004553B2">
        <w:rPr>
          <w:rStyle w:val="FootnoteReference"/>
          <w:sz w:val="26"/>
        </w:rPr>
        <w:t xml:space="preserve"> NERC Petition at 2.</w:t>
      </w:r>
    </w:p>
  </w:footnote>
  <w:footnote w:id="10">
    <w:p w14:paraId="145F5D47" w14:textId="77777777" w:rsidR="002F288D" w:rsidRPr="004553B2" w:rsidRDefault="002F288D" w:rsidP="002F288D">
      <w:pPr>
        <w:pStyle w:val="FootnoteText"/>
        <w:rPr>
          <w:rStyle w:val="FootnoteReference"/>
          <w:sz w:val="26"/>
          <w:szCs w:val="26"/>
        </w:rPr>
      </w:pPr>
      <w:r w:rsidRPr="004553B2">
        <w:rPr>
          <w:rStyle w:val="FootnoteReference"/>
          <w:sz w:val="26"/>
          <w:szCs w:val="26"/>
        </w:rPr>
        <w:footnoteRef/>
      </w:r>
      <w:r w:rsidRPr="004553B2">
        <w:rPr>
          <w:rStyle w:val="FootnoteReference"/>
          <w:sz w:val="26"/>
          <w:szCs w:val="26"/>
        </w:rPr>
        <w:t xml:space="preserve"> NERC notes that it submitted “for completeness” revised versions of Reliability Standards PRC-012-1, PRC-013-1, and PRC</w:t>
      </w:r>
      <w:r w:rsidRPr="004553B2">
        <w:rPr>
          <w:rStyle w:val="FootnoteReference"/>
          <w:sz w:val="26"/>
          <w:szCs w:val="26"/>
        </w:rPr>
        <w:noBreakHyphen/>
        <w:t>014</w:t>
      </w:r>
      <w:r w:rsidRPr="004553B2">
        <w:rPr>
          <w:rStyle w:val="FootnoteReference"/>
          <w:sz w:val="26"/>
          <w:szCs w:val="26"/>
        </w:rPr>
        <w:noBreakHyphen/>
        <w:t>1 in its petition to revise the definition of RAS, but NERC did not request Commission approval of the revised Reliability Standards in that proceeding.  Id. at 1 n.5.</w:t>
      </w:r>
    </w:p>
  </w:footnote>
  <w:footnote w:id="11">
    <w:p w14:paraId="298A2511" w14:textId="77777777" w:rsidR="002F288D" w:rsidRPr="004553B2" w:rsidRDefault="002F288D" w:rsidP="002F288D">
      <w:pPr>
        <w:pStyle w:val="FootnoteText"/>
        <w:rPr>
          <w:rStyle w:val="FootnoteReference"/>
          <w:sz w:val="26"/>
          <w:szCs w:val="26"/>
        </w:rPr>
      </w:pPr>
      <w:r w:rsidRPr="004553B2">
        <w:rPr>
          <w:rStyle w:val="FootnoteReference"/>
          <w:sz w:val="26"/>
          <w:szCs w:val="26"/>
        </w:rPr>
        <w:footnoteRef/>
      </w:r>
      <w:r w:rsidRPr="004553B2">
        <w:rPr>
          <w:rStyle w:val="FootnoteReference"/>
          <w:sz w:val="26"/>
          <w:szCs w:val="26"/>
        </w:rPr>
        <w:t xml:space="preserve"> Id. at 12-13.</w:t>
      </w:r>
    </w:p>
  </w:footnote>
  <w:footnote w:id="12">
    <w:p w14:paraId="33BCC076" w14:textId="77777777" w:rsidR="00EF1EFD" w:rsidRPr="007B1183" w:rsidRDefault="00EF1EFD" w:rsidP="00EF1EFD">
      <w:pPr>
        <w:pStyle w:val="FootnoteText"/>
        <w:rPr>
          <w:sz w:val="26"/>
          <w:szCs w:val="26"/>
        </w:rPr>
      </w:pPr>
      <w:r w:rsidRPr="007B1183">
        <w:rPr>
          <w:rStyle w:val="FootnoteReference"/>
          <w:sz w:val="26"/>
          <w:szCs w:val="26"/>
        </w:rPr>
        <w:footnoteRef/>
      </w:r>
      <w:r w:rsidRPr="007B1183">
        <w:rPr>
          <w:sz w:val="26"/>
          <w:szCs w:val="26"/>
        </w:rPr>
        <w:t xml:space="preserve"> 16 U.S.C. 824o (2012). </w:t>
      </w:r>
    </w:p>
  </w:footnote>
  <w:footnote w:id="13">
    <w:p w14:paraId="6B304D0D" w14:textId="77777777" w:rsidR="00EF1EFD" w:rsidRPr="007B1183" w:rsidRDefault="00EF1EFD" w:rsidP="00EF1EFD">
      <w:pPr>
        <w:pStyle w:val="FootnoteText"/>
        <w:rPr>
          <w:sz w:val="26"/>
          <w:szCs w:val="26"/>
        </w:rPr>
      </w:pPr>
      <w:r w:rsidRPr="007B1183">
        <w:rPr>
          <w:rStyle w:val="FootnoteReference"/>
          <w:sz w:val="26"/>
          <w:szCs w:val="26"/>
        </w:rPr>
        <w:footnoteRef/>
      </w:r>
      <w:r w:rsidRPr="007B1183">
        <w:rPr>
          <w:sz w:val="26"/>
          <w:szCs w:val="26"/>
        </w:rPr>
        <w:t xml:space="preserve">  </w:t>
      </w:r>
      <w:r w:rsidRPr="007B1183">
        <w:rPr>
          <w:i/>
          <w:sz w:val="26"/>
          <w:szCs w:val="26"/>
        </w:rPr>
        <w:t>Electric Reliability Organization Proposal to Retire Requirements in Reliability Standards</w:t>
      </w:r>
      <w:r w:rsidRPr="007B1183">
        <w:rPr>
          <w:sz w:val="26"/>
          <w:szCs w:val="26"/>
        </w:rPr>
        <w:t xml:space="preserve">, Order No. 788, 145 FERC ¶ 61,147 (2013). </w:t>
      </w:r>
    </w:p>
  </w:footnote>
  <w:footnote w:id="14">
    <w:p w14:paraId="3708D1ED" w14:textId="1D542C90" w:rsidR="001D3840" w:rsidRPr="007B1183" w:rsidRDefault="001D3840" w:rsidP="001D3840">
      <w:pPr>
        <w:pStyle w:val="FootnoteText"/>
        <w:rPr>
          <w:sz w:val="26"/>
          <w:szCs w:val="26"/>
        </w:rPr>
      </w:pPr>
      <w:r w:rsidRPr="007B1183">
        <w:rPr>
          <w:rStyle w:val="FootnoteReference"/>
          <w:sz w:val="26"/>
          <w:szCs w:val="26"/>
        </w:rPr>
        <w:footnoteRef/>
      </w:r>
      <w:r w:rsidRPr="007B1183">
        <w:rPr>
          <w:sz w:val="26"/>
          <w:szCs w:val="26"/>
        </w:rPr>
        <w:t xml:space="preserve"> Proposed Reliability Standard PRC-012-2 is not attached to </w:t>
      </w:r>
      <w:r w:rsidR="009644BE" w:rsidRPr="007B1183">
        <w:rPr>
          <w:sz w:val="26"/>
          <w:szCs w:val="26"/>
        </w:rPr>
        <w:t>th</w:t>
      </w:r>
      <w:r w:rsidR="009644BE">
        <w:rPr>
          <w:sz w:val="26"/>
          <w:szCs w:val="26"/>
        </w:rPr>
        <w:t>e</w:t>
      </w:r>
      <w:r w:rsidR="009644BE" w:rsidRPr="007B1183">
        <w:rPr>
          <w:sz w:val="26"/>
          <w:szCs w:val="26"/>
        </w:rPr>
        <w:t xml:space="preserve"> </w:t>
      </w:r>
      <w:r w:rsidRPr="007B1183">
        <w:rPr>
          <w:sz w:val="26"/>
          <w:szCs w:val="26"/>
        </w:rPr>
        <w:t>Notice of Proposed Rulemaking</w:t>
      </w:r>
      <w:r w:rsidR="009644BE">
        <w:rPr>
          <w:sz w:val="26"/>
          <w:szCs w:val="26"/>
        </w:rPr>
        <w:t xml:space="preserve"> but is included in ROCIS and reginfo.gov</w:t>
      </w:r>
      <w:r w:rsidRPr="007B1183">
        <w:rPr>
          <w:sz w:val="26"/>
          <w:szCs w:val="26"/>
        </w:rPr>
        <w:t xml:space="preserve">.  The proposed Reliability Standard is available on the Commission’s </w:t>
      </w:r>
      <w:proofErr w:type="spellStart"/>
      <w:r w:rsidRPr="007B1183">
        <w:rPr>
          <w:sz w:val="26"/>
          <w:szCs w:val="26"/>
        </w:rPr>
        <w:t>eLibrary</w:t>
      </w:r>
      <w:proofErr w:type="spellEnd"/>
      <w:r w:rsidRPr="007B1183">
        <w:rPr>
          <w:sz w:val="26"/>
          <w:szCs w:val="26"/>
        </w:rPr>
        <w:t xml:space="preserve"> document retrieval system in Docket No. RM16-20-000 and is posted on NERC’s website, http:// www.nerc.com.</w:t>
      </w:r>
    </w:p>
  </w:footnote>
  <w:footnote w:id="15">
    <w:p w14:paraId="686A41A5" w14:textId="77777777" w:rsidR="001D3840" w:rsidRPr="007B1183" w:rsidRDefault="001D3840" w:rsidP="001D3840">
      <w:pPr>
        <w:pStyle w:val="FootnoteText"/>
        <w:rPr>
          <w:sz w:val="26"/>
          <w:szCs w:val="26"/>
        </w:rPr>
      </w:pPr>
      <w:r w:rsidRPr="007B1183">
        <w:rPr>
          <w:rStyle w:val="FootnoteReference"/>
          <w:sz w:val="26"/>
          <w:szCs w:val="26"/>
        </w:rPr>
        <w:footnoteRef/>
      </w:r>
      <w:r w:rsidRPr="007B1183">
        <w:rPr>
          <w:sz w:val="26"/>
          <w:szCs w:val="26"/>
        </w:rPr>
        <w:t xml:space="preserve"> NERC Petition at 2.</w:t>
      </w:r>
    </w:p>
  </w:footnote>
  <w:footnote w:id="16">
    <w:p w14:paraId="4F653AE5" w14:textId="77777777" w:rsidR="001D3840" w:rsidRPr="007B1183" w:rsidRDefault="001D3840" w:rsidP="001D3840">
      <w:pPr>
        <w:pStyle w:val="FootnoteText"/>
        <w:rPr>
          <w:sz w:val="26"/>
          <w:szCs w:val="26"/>
        </w:rPr>
      </w:pPr>
      <w:r w:rsidRPr="007B1183">
        <w:rPr>
          <w:rStyle w:val="FootnoteReference"/>
          <w:sz w:val="26"/>
          <w:szCs w:val="26"/>
        </w:rPr>
        <w:footnoteRef/>
      </w:r>
      <w:r w:rsidRPr="007B1183">
        <w:rPr>
          <w:sz w:val="26"/>
          <w:szCs w:val="26"/>
        </w:rPr>
        <w:t xml:space="preserve"> NERC notes that it submitted “for completeness” revised versions of Reliability Standards PRC-012-1, PRC-013-1, and PRC</w:t>
      </w:r>
      <w:r w:rsidRPr="007B1183">
        <w:rPr>
          <w:sz w:val="26"/>
          <w:szCs w:val="26"/>
        </w:rPr>
        <w:noBreakHyphen/>
        <w:t>014</w:t>
      </w:r>
      <w:r w:rsidRPr="007B1183">
        <w:rPr>
          <w:sz w:val="26"/>
          <w:szCs w:val="26"/>
        </w:rPr>
        <w:noBreakHyphen/>
        <w:t xml:space="preserve">1 in its petition to revise the definition of RAS, but NERC did not request Commission approval of the revised Reliability Standards in that proceeding.  </w:t>
      </w:r>
      <w:r w:rsidRPr="007B1183">
        <w:rPr>
          <w:i/>
          <w:sz w:val="26"/>
          <w:szCs w:val="26"/>
        </w:rPr>
        <w:t>Id.</w:t>
      </w:r>
      <w:r w:rsidRPr="007B1183">
        <w:rPr>
          <w:sz w:val="26"/>
          <w:szCs w:val="26"/>
        </w:rPr>
        <w:t xml:space="preserve"> at 1 n.5.</w:t>
      </w:r>
    </w:p>
  </w:footnote>
  <w:footnote w:id="17">
    <w:p w14:paraId="799148DE" w14:textId="77777777" w:rsidR="001D3840" w:rsidRPr="007B1183" w:rsidRDefault="001D3840" w:rsidP="001D3840">
      <w:pPr>
        <w:pStyle w:val="FootnoteText"/>
        <w:rPr>
          <w:sz w:val="26"/>
          <w:szCs w:val="26"/>
        </w:rPr>
      </w:pPr>
      <w:r w:rsidRPr="007B1183">
        <w:rPr>
          <w:rStyle w:val="FootnoteReference"/>
          <w:sz w:val="26"/>
          <w:szCs w:val="26"/>
        </w:rPr>
        <w:footnoteRef/>
      </w:r>
      <w:r w:rsidRPr="007B1183">
        <w:rPr>
          <w:sz w:val="26"/>
          <w:szCs w:val="26"/>
        </w:rPr>
        <w:t xml:space="preserve"> </w:t>
      </w:r>
      <w:r w:rsidRPr="007B1183">
        <w:rPr>
          <w:i/>
          <w:sz w:val="26"/>
          <w:szCs w:val="26"/>
        </w:rPr>
        <w:t>Id.</w:t>
      </w:r>
      <w:r w:rsidRPr="007B1183">
        <w:rPr>
          <w:sz w:val="26"/>
          <w:szCs w:val="26"/>
        </w:rPr>
        <w:t xml:space="preserve"> at 12-13.</w:t>
      </w:r>
    </w:p>
  </w:footnote>
  <w:footnote w:id="18">
    <w:p w14:paraId="55A55925" w14:textId="77777777" w:rsidR="005A46DE" w:rsidRPr="007B1183" w:rsidRDefault="005A46DE" w:rsidP="005A46DE">
      <w:pPr>
        <w:pStyle w:val="FootnoteText"/>
        <w:rPr>
          <w:sz w:val="26"/>
          <w:szCs w:val="26"/>
        </w:rPr>
      </w:pPr>
      <w:r w:rsidRPr="007B1183">
        <w:rPr>
          <w:rStyle w:val="FootnoteReference"/>
          <w:sz w:val="26"/>
          <w:szCs w:val="26"/>
        </w:rPr>
        <w:footnoteRef/>
      </w:r>
      <w:r w:rsidRPr="007B1183">
        <w:rPr>
          <w:sz w:val="26"/>
          <w:szCs w:val="26"/>
        </w:rPr>
        <w:t xml:space="preserve"> </w:t>
      </w:r>
      <w:r w:rsidRPr="007B1183">
        <w:rPr>
          <w:i/>
          <w:sz w:val="26"/>
          <w:szCs w:val="26"/>
        </w:rPr>
        <w:t>Id.</w:t>
      </w:r>
      <w:r w:rsidRPr="007B1183">
        <w:rPr>
          <w:sz w:val="26"/>
          <w:szCs w:val="26"/>
        </w:rPr>
        <w:t xml:space="preserve"> at 18-22.</w:t>
      </w:r>
    </w:p>
  </w:footnote>
  <w:footnote w:id="19">
    <w:p w14:paraId="4359BAE1" w14:textId="77777777" w:rsidR="0014386B" w:rsidRPr="007B1183" w:rsidRDefault="0014386B" w:rsidP="0014386B">
      <w:pPr>
        <w:pStyle w:val="FootnoteText"/>
        <w:rPr>
          <w:sz w:val="26"/>
          <w:szCs w:val="26"/>
        </w:rPr>
      </w:pPr>
      <w:r w:rsidRPr="007B1183">
        <w:rPr>
          <w:rStyle w:val="FootnoteReference"/>
          <w:sz w:val="26"/>
          <w:szCs w:val="26"/>
        </w:rPr>
        <w:footnoteRef/>
      </w:r>
      <w:r w:rsidRPr="007B1183">
        <w:rPr>
          <w:sz w:val="26"/>
          <w:szCs w:val="26"/>
        </w:rPr>
        <w:t xml:space="preserve"> </w:t>
      </w:r>
      <w:r w:rsidRPr="007B1183">
        <w:rPr>
          <w:i/>
          <w:sz w:val="26"/>
          <w:szCs w:val="26"/>
        </w:rPr>
        <w:t>Id.</w:t>
      </w:r>
      <w:r w:rsidRPr="007B1183">
        <w:rPr>
          <w:sz w:val="26"/>
          <w:szCs w:val="26"/>
        </w:rPr>
        <w:t xml:space="preserve"> at 19 &amp; n.44.</w:t>
      </w:r>
    </w:p>
  </w:footnote>
  <w:footnote w:id="20">
    <w:p w14:paraId="64632CCB" w14:textId="77777777" w:rsidR="005D62E3" w:rsidRPr="007B1183" w:rsidRDefault="005D62E3" w:rsidP="005D62E3">
      <w:pPr>
        <w:pStyle w:val="FootnoteText"/>
        <w:rPr>
          <w:sz w:val="26"/>
          <w:szCs w:val="26"/>
        </w:rPr>
      </w:pPr>
      <w:r w:rsidRPr="007B1183">
        <w:rPr>
          <w:rStyle w:val="FootnoteReference"/>
          <w:sz w:val="26"/>
          <w:szCs w:val="26"/>
        </w:rPr>
        <w:footnoteRef/>
      </w:r>
      <w:r w:rsidRPr="007B1183">
        <w:rPr>
          <w:sz w:val="26"/>
          <w:szCs w:val="26"/>
        </w:rPr>
        <w:t xml:space="preserve"> </w:t>
      </w:r>
      <w:r w:rsidRPr="007B1183">
        <w:rPr>
          <w:i/>
          <w:sz w:val="26"/>
          <w:szCs w:val="26"/>
        </w:rPr>
        <w:t>Id.</w:t>
      </w:r>
      <w:r w:rsidRPr="007B1183">
        <w:rPr>
          <w:sz w:val="26"/>
          <w:szCs w:val="26"/>
        </w:rPr>
        <w:t xml:space="preserve"> at 15-18.</w:t>
      </w:r>
    </w:p>
  </w:footnote>
  <w:footnote w:id="21">
    <w:p w14:paraId="4BBA4688" w14:textId="77777777" w:rsidR="005D62E3" w:rsidRPr="007B1183" w:rsidRDefault="005D62E3" w:rsidP="005D62E3">
      <w:pPr>
        <w:pStyle w:val="FootnoteText"/>
        <w:rPr>
          <w:sz w:val="26"/>
          <w:szCs w:val="26"/>
        </w:rPr>
      </w:pPr>
      <w:r w:rsidRPr="007B1183">
        <w:rPr>
          <w:rStyle w:val="FootnoteReference"/>
          <w:sz w:val="26"/>
          <w:szCs w:val="26"/>
        </w:rPr>
        <w:footnoteRef/>
      </w:r>
      <w:r w:rsidRPr="007B1183">
        <w:rPr>
          <w:sz w:val="26"/>
          <w:szCs w:val="26"/>
        </w:rPr>
        <w:t xml:space="preserve"> </w:t>
      </w:r>
      <w:r w:rsidRPr="007B1183">
        <w:rPr>
          <w:i/>
          <w:sz w:val="26"/>
          <w:szCs w:val="26"/>
        </w:rPr>
        <w:t>Id.</w:t>
      </w:r>
      <w:r w:rsidRPr="007B1183">
        <w:rPr>
          <w:sz w:val="26"/>
          <w:szCs w:val="26"/>
        </w:rPr>
        <w:t xml:space="preserve"> at 18-22.</w:t>
      </w:r>
    </w:p>
  </w:footnote>
  <w:footnote w:id="22">
    <w:p w14:paraId="4430A0A1" w14:textId="77777777" w:rsidR="005D62E3" w:rsidRDefault="005D62E3" w:rsidP="005D62E3">
      <w:pPr>
        <w:pStyle w:val="FootnoteText"/>
      </w:pPr>
      <w:r w:rsidRPr="007B1183">
        <w:rPr>
          <w:rStyle w:val="FootnoteReference"/>
          <w:sz w:val="26"/>
          <w:szCs w:val="26"/>
        </w:rPr>
        <w:footnoteRef/>
      </w:r>
      <w:r w:rsidRPr="007B1183">
        <w:rPr>
          <w:sz w:val="26"/>
          <w:szCs w:val="26"/>
        </w:rPr>
        <w:t xml:space="preserve"> </w:t>
      </w:r>
      <w:r w:rsidRPr="007B1183">
        <w:rPr>
          <w:i/>
          <w:sz w:val="26"/>
          <w:szCs w:val="26"/>
        </w:rPr>
        <w:t>Id.</w:t>
      </w:r>
      <w:r w:rsidRPr="007B1183">
        <w:rPr>
          <w:sz w:val="26"/>
          <w:szCs w:val="26"/>
        </w:rPr>
        <w:t xml:space="preserve"> at 19 &amp; n.44.</w:t>
      </w:r>
    </w:p>
  </w:footnote>
  <w:footnote w:id="23">
    <w:p w14:paraId="188F166F" w14:textId="77777777" w:rsidR="005D62E3" w:rsidRPr="007B1183" w:rsidRDefault="005D62E3" w:rsidP="005D62E3">
      <w:pPr>
        <w:pStyle w:val="FootnoteText"/>
        <w:rPr>
          <w:sz w:val="26"/>
          <w:szCs w:val="26"/>
        </w:rPr>
      </w:pPr>
      <w:r w:rsidRPr="007B1183">
        <w:rPr>
          <w:rStyle w:val="FootnoteReference"/>
          <w:sz w:val="26"/>
          <w:szCs w:val="26"/>
        </w:rPr>
        <w:footnoteRef/>
      </w:r>
      <w:r w:rsidRPr="007B1183">
        <w:rPr>
          <w:sz w:val="26"/>
          <w:szCs w:val="26"/>
        </w:rPr>
        <w:t xml:space="preserve"> </w:t>
      </w:r>
      <w:r w:rsidRPr="007B1183">
        <w:rPr>
          <w:rFonts w:eastAsia="Calibri"/>
          <w:sz w:val="26"/>
          <w:szCs w:val="26"/>
        </w:rPr>
        <w:t xml:space="preserve">Details of the ERO’s standard process is available on the NERC website in the Standard Process Manual (Version 3, effective 6/26/2013) at </w:t>
      </w:r>
      <w:hyperlink r:id="rId2" w:history="1">
        <w:r w:rsidRPr="007B1183">
          <w:rPr>
            <w:rFonts w:eastAsia="Calibri"/>
            <w:color w:val="0000FF"/>
            <w:sz w:val="26"/>
            <w:szCs w:val="26"/>
            <w:u w:val="single"/>
          </w:rPr>
          <w:t>http://www.nerc.com/comm/SC/Documents/Appendix_3A_StandardsProcessesManual.pdf</w:t>
        </w:r>
      </w:hyperlink>
      <w:r w:rsidRPr="007B1183">
        <w:rPr>
          <w:rFonts w:eastAsia="Calibri"/>
          <w:sz w:val="26"/>
          <w:szCs w:val="26"/>
        </w:rPr>
        <w:t xml:space="preserve"> .  Figure 1 (Process for Developing or Modifying a Reliability Standard) on page 15 of the NERC manual includes a diagram showing the “typical process for a project identified in the Reliability Standards Development Plan that involves a revision to an existing Reliability Standard....”</w:t>
      </w:r>
    </w:p>
  </w:footnote>
  <w:footnote w:id="24">
    <w:p w14:paraId="445C60EA" w14:textId="77777777" w:rsidR="00EF1EFD" w:rsidRPr="0095750A" w:rsidRDefault="00EF1EFD" w:rsidP="00EF1EFD">
      <w:pPr>
        <w:pStyle w:val="FootnoteText"/>
        <w:rPr>
          <w:sz w:val="26"/>
          <w:szCs w:val="26"/>
        </w:rPr>
      </w:pPr>
      <w:r w:rsidRPr="0095750A">
        <w:rPr>
          <w:rStyle w:val="FootnoteReference"/>
          <w:sz w:val="26"/>
          <w:szCs w:val="26"/>
        </w:rPr>
        <w:footnoteRef/>
      </w:r>
      <w:r w:rsidRPr="0095750A">
        <w:rPr>
          <w:sz w:val="26"/>
          <w:szCs w:val="26"/>
        </w:rPr>
        <w:t xml:space="preserve"> Section 1502, Paragraph 2, available at NERCs website</w:t>
      </w:r>
    </w:p>
  </w:footnote>
  <w:footnote w:id="25">
    <w:p w14:paraId="26FEBA84" w14:textId="77777777" w:rsidR="00AB01C9" w:rsidRPr="00AE36C4" w:rsidRDefault="00AB01C9" w:rsidP="00AB01C9">
      <w:pPr>
        <w:pStyle w:val="FootnoteText"/>
        <w:rPr>
          <w:sz w:val="26"/>
          <w:szCs w:val="26"/>
        </w:rPr>
      </w:pPr>
      <w:r w:rsidRPr="00AE36C4">
        <w:rPr>
          <w:rStyle w:val="FootnoteReference"/>
          <w:sz w:val="26"/>
          <w:szCs w:val="26"/>
        </w:rPr>
        <w:footnoteRef/>
      </w:r>
      <w:r w:rsidRPr="00AE36C4">
        <w:rPr>
          <w:sz w:val="26"/>
          <w:szCs w:val="26"/>
        </w:rPr>
        <w:t xml:space="preserve"> In the burden table, engineering is abbreviated as “Eng.” and record keeping is abbreviated as “R.K.”</w:t>
      </w:r>
    </w:p>
  </w:footnote>
  <w:footnote w:id="26">
    <w:p w14:paraId="154614B3" w14:textId="77777777" w:rsidR="00997657" w:rsidRPr="00997657" w:rsidRDefault="00997657" w:rsidP="00997657">
      <w:pPr>
        <w:pStyle w:val="FootnoteText"/>
        <w:rPr>
          <w:sz w:val="26"/>
          <w:szCs w:val="26"/>
        </w:rPr>
      </w:pPr>
      <w:r w:rsidRPr="00997657">
        <w:rPr>
          <w:rStyle w:val="FootnoteReference"/>
          <w:sz w:val="26"/>
          <w:szCs w:val="26"/>
        </w:rPr>
        <w:footnoteRef/>
      </w:r>
      <w:r w:rsidRPr="00997657">
        <w:rPr>
          <w:sz w:val="26"/>
          <w:szCs w:val="26"/>
        </w:rPr>
        <w:t xml:space="preserve"> The estimates for cost per response are derived using the following formula: Burden Hours per Response * $/hour = Cost per Response.  The $64.29/hour figure for an engineer and the $37.75/hour figure for a record clerk are based on the average salary plus benefits data from the Bureau of Labor Statistics.</w:t>
      </w:r>
    </w:p>
  </w:footnote>
  <w:footnote w:id="27">
    <w:p w14:paraId="3C94DA17" w14:textId="77777777" w:rsidR="00917073" w:rsidRPr="007D4839" w:rsidRDefault="00917073" w:rsidP="001406E8">
      <w:pPr>
        <w:pStyle w:val="FootnoteText"/>
        <w:rPr>
          <w:sz w:val="26"/>
          <w:szCs w:val="26"/>
        </w:rPr>
      </w:pPr>
      <w:r w:rsidRPr="007B1183">
        <w:rPr>
          <w:rStyle w:val="FootnoteReference"/>
          <w:sz w:val="26"/>
          <w:szCs w:val="26"/>
        </w:rPr>
        <w:footnoteRef/>
      </w:r>
      <w:r w:rsidRPr="007D4839">
        <w:rPr>
          <w:sz w:val="26"/>
          <w:szCs w:val="26"/>
        </w:rPr>
        <w:t xml:space="preserve"> Paperwork Reduction Act of 1995 (PRA)</w:t>
      </w:r>
    </w:p>
  </w:footnote>
  <w:footnote w:id="28">
    <w:p w14:paraId="357F6DA3" w14:textId="77777777" w:rsidR="00917073" w:rsidRPr="007D4839" w:rsidRDefault="00917073" w:rsidP="001406E8">
      <w:pPr>
        <w:pStyle w:val="FootnoteText"/>
        <w:rPr>
          <w:sz w:val="26"/>
          <w:szCs w:val="26"/>
        </w:rPr>
      </w:pPr>
      <w:r w:rsidRPr="007B1183">
        <w:rPr>
          <w:rStyle w:val="FootnoteReference"/>
          <w:sz w:val="26"/>
          <w:szCs w:val="26"/>
        </w:rPr>
        <w:footnoteRef/>
      </w:r>
      <w:r w:rsidRPr="007B1183">
        <w:rPr>
          <w:sz w:val="26"/>
          <w:szCs w:val="26"/>
        </w:rPr>
        <w:t xml:space="preserve"> </w:t>
      </w:r>
      <w:r w:rsidRPr="007D4839">
        <w:rPr>
          <w:sz w:val="26"/>
          <w:szCs w:val="26"/>
        </w:rPr>
        <w:t>The Commission bases the cost of Paperwork Reduction Act administration on staff time, and other costs related to compliance with the Paperwork Reduction Act of 1995.</w:t>
      </w:r>
    </w:p>
  </w:footnote>
  <w:footnote w:id="29">
    <w:p w14:paraId="60938279" w14:textId="77777777" w:rsidR="001B49EE" w:rsidRDefault="00F1370E" w:rsidP="001B49EE">
      <w:pPr>
        <w:pStyle w:val="FootnoteText"/>
        <w:rPr>
          <w:sz w:val="26"/>
          <w:szCs w:val="26"/>
        </w:rPr>
      </w:pPr>
      <w:r w:rsidRPr="00E4185A">
        <w:rPr>
          <w:rStyle w:val="FootnoteReference"/>
          <w:sz w:val="26"/>
          <w:szCs w:val="26"/>
        </w:rPr>
        <w:footnoteRef/>
      </w:r>
      <w:r w:rsidRPr="00E4185A">
        <w:rPr>
          <w:sz w:val="26"/>
          <w:szCs w:val="26"/>
        </w:rPr>
        <w:t xml:space="preserve"> Reliability Standards PRC-015-1 and PRC-016-1 are in the Reliability Standards approved in FERC-725A, (OMB Control No 1902-0244). FERC is being conservative and not subtracting hours at his time from FERC-725A.</w:t>
      </w:r>
      <w:r w:rsidR="001B49EE">
        <w:rPr>
          <w:sz w:val="26"/>
          <w:szCs w:val="26"/>
        </w:rPr>
        <w:t xml:space="preserve">  </w:t>
      </w:r>
      <w:r w:rsidR="001B49EE" w:rsidRPr="007B1183">
        <w:rPr>
          <w:sz w:val="26"/>
          <w:szCs w:val="26"/>
        </w:rPr>
        <w:t xml:space="preserve">Burden </w:t>
      </w:r>
      <w:r w:rsidR="001B49EE">
        <w:rPr>
          <w:sz w:val="26"/>
          <w:szCs w:val="26"/>
        </w:rPr>
        <w:t>will</w:t>
      </w:r>
      <w:r w:rsidR="001B49EE" w:rsidRPr="007B1183">
        <w:rPr>
          <w:sz w:val="26"/>
          <w:szCs w:val="26"/>
        </w:rPr>
        <w:t xml:space="preserve"> be removed from this collection</w:t>
      </w:r>
      <w:r w:rsidR="001B49EE">
        <w:rPr>
          <w:sz w:val="26"/>
          <w:szCs w:val="26"/>
        </w:rPr>
        <w:t xml:space="preserve"> at a later date</w:t>
      </w:r>
      <w:r w:rsidR="001B49EE" w:rsidRPr="007B1183">
        <w:rPr>
          <w:sz w:val="26"/>
          <w:szCs w:val="26"/>
        </w:rPr>
        <w:t>.</w:t>
      </w:r>
    </w:p>
    <w:p w14:paraId="749DD26A" w14:textId="24D9F670" w:rsidR="00F1370E" w:rsidRPr="00E4185A" w:rsidRDefault="00F1370E">
      <w:pPr>
        <w:pStyle w:val="FootnoteText"/>
        <w:rPr>
          <w:sz w:val="26"/>
          <w:szCs w:val="26"/>
        </w:rPr>
      </w:pPr>
      <w:bookmarkStart w:id="1" w:name="_GoBack"/>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E6272" w14:textId="77777777" w:rsidR="00471468" w:rsidRDefault="00006D9C" w:rsidP="00006D9C">
    <w:pPr>
      <w:pStyle w:val="Header"/>
      <w:rPr>
        <w:rFonts w:ascii="Times New Roman" w:hAnsi="Times New Roman" w:cs="Times New Roman"/>
        <w:sz w:val="26"/>
        <w:szCs w:val="26"/>
      </w:rPr>
    </w:pPr>
    <w:r>
      <w:rPr>
        <w:rFonts w:ascii="Times New Roman" w:hAnsi="Times New Roman" w:cs="Times New Roman"/>
        <w:sz w:val="26"/>
        <w:szCs w:val="26"/>
      </w:rPr>
      <w:t>FERC-725A (</w:t>
    </w:r>
    <w:r w:rsidRPr="000E4973">
      <w:rPr>
        <w:rFonts w:ascii="Times New Roman" w:hAnsi="Times New Roman" w:cs="Times New Roman"/>
        <w:sz w:val="26"/>
        <w:szCs w:val="26"/>
      </w:rPr>
      <w:t>OMB Control No.</w:t>
    </w:r>
    <w:r>
      <w:rPr>
        <w:rFonts w:ascii="Times New Roman" w:hAnsi="Times New Roman" w:cs="Times New Roman"/>
        <w:sz w:val="26"/>
        <w:szCs w:val="26"/>
      </w:rPr>
      <w:t>:</w:t>
    </w:r>
    <w:r w:rsidRPr="000E4973">
      <w:rPr>
        <w:rFonts w:ascii="Times New Roman" w:hAnsi="Times New Roman" w:cs="Times New Roman"/>
        <w:sz w:val="26"/>
        <w:szCs w:val="26"/>
      </w:rPr>
      <w:t xml:space="preserve"> 1902-0244</w:t>
    </w:r>
    <w:r w:rsidR="00471468">
      <w:rPr>
        <w:rFonts w:ascii="Times New Roman" w:hAnsi="Times New Roman" w:cs="Times New Roman"/>
        <w:sz w:val="26"/>
        <w:szCs w:val="26"/>
      </w:rPr>
      <w:t>)</w:t>
    </w:r>
    <w:r>
      <w:rPr>
        <w:rFonts w:ascii="Times New Roman" w:hAnsi="Times New Roman" w:cs="Times New Roman"/>
        <w:sz w:val="26"/>
        <w:szCs w:val="26"/>
      </w:rPr>
      <w:t xml:space="preserve"> </w:t>
    </w:r>
  </w:p>
  <w:p w14:paraId="7513B742" w14:textId="77777777" w:rsidR="00006D9C" w:rsidRDefault="00006D9C" w:rsidP="00006D9C">
    <w:pPr>
      <w:pStyle w:val="Header"/>
      <w:rPr>
        <w:rFonts w:ascii="Times New Roman" w:hAnsi="Times New Roman" w:cs="Times New Roman"/>
        <w:sz w:val="26"/>
        <w:szCs w:val="26"/>
      </w:rPr>
    </w:pPr>
    <w:r>
      <w:rPr>
        <w:rFonts w:ascii="Times New Roman" w:hAnsi="Times New Roman" w:cs="Times New Roman"/>
        <w:sz w:val="26"/>
        <w:szCs w:val="26"/>
      </w:rPr>
      <w:t>FERC-725G (OMB Control No.:</w:t>
    </w:r>
    <w:r w:rsidRPr="000E4973">
      <w:rPr>
        <w:rFonts w:ascii="Times New Roman" w:hAnsi="Times New Roman" w:cs="Times New Roman"/>
        <w:sz w:val="26"/>
        <w:szCs w:val="26"/>
      </w:rPr>
      <w:t>1902-0252</w:t>
    </w:r>
    <w:r>
      <w:rPr>
        <w:rFonts w:ascii="Times New Roman" w:hAnsi="Times New Roman" w:cs="Times New Roman"/>
        <w:sz w:val="26"/>
        <w:szCs w:val="26"/>
      </w:rPr>
      <w:t>)</w:t>
    </w:r>
  </w:p>
  <w:p w14:paraId="106A44F5" w14:textId="77777777" w:rsidR="00006D9C" w:rsidRDefault="009B0D76">
    <w:pPr>
      <w:pStyle w:val="Header"/>
      <w:rPr>
        <w:rFonts w:ascii="Times New Roman" w:hAnsi="Times New Roman" w:cs="Times New Roman"/>
        <w:sz w:val="26"/>
        <w:szCs w:val="26"/>
      </w:rPr>
    </w:pPr>
    <w:r w:rsidRPr="000E4973">
      <w:rPr>
        <w:rFonts w:ascii="Times New Roman" w:hAnsi="Times New Roman" w:cs="Times New Roman"/>
        <w:sz w:val="26"/>
        <w:szCs w:val="26"/>
      </w:rPr>
      <w:t>N</w:t>
    </w:r>
    <w:r w:rsidR="00F1435F">
      <w:rPr>
        <w:rFonts w:ascii="Times New Roman" w:hAnsi="Times New Roman" w:cs="Times New Roman"/>
        <w:sz w:val="26"/>
        <w:szCs w:val="26"/>
      </w:rPr>
      <w:t xml:space="preserve">otice of </w:t>
    </w:r>
    <w:r w:rsidRPr="000E4973">
      <w:rPr>
        <w:rFonts w:ascii="Times New Roman" w:hAnsi="Times New Roman" w:cs="Times New Roman"/>
        <w:sz w:val="26"/>
        <w:szCs w:val="26"/>
      </w:rPr>
      <w:t>P</w:t>
    </w:r>
    <w:r w:rsidR="00F1435F">
      <w:rPr>
        <w:rFonts w:ascii="Times New Roman" w:hAnsi="Times New Roman" w:cs="Times New Roman"/>
        <w:sz w:val="26"/>
        <w:szCs w:val="26"/>
      </w:rPr>
      <w:t xml:space="preserve">roposed </w:t>
    </w:r>
    <w:r w:rsidRPr="000E4973">
      <w:rPr>
        <w:rFonts w:ascii="Times New Roman" w:hAnsi="Times New Roman" w:cs="Times New Roman"/>
        <w:sz w:val="26"/>
        <w:szCs w:val="26"/>
      </w:rPr>
      <w:t>R</w:t>
    </w:r>
    <w:r w:rsidR="00F1435F">
      <w:rPr>
        <w:rFonts w:ascii="Times New Roman" w:hAnsi="Times New Roman" w:cs="Times New Roman"/>
        <w:sz w:val="26"/>
        <w:szCs w:val="26"/>
      </w:rPr>
      <w:t>ulemaking in Docket RM16-20</w:t>
    </w:r>
    <w:r w:rsidRPr="000E4973">
      <w:rPr>
        <w:rFonts w:ascii="Times New Roman" w:hAnsi="Times New Roman" w:cs="Times New Roman"/>
        <w:sz w:val="26"/>
        <w:szCs w:val="26"/>
      </w:rPr>
      <w:t xml:space="preserve"> </w:t>
    </w:r>
    <w:r w:rsidR="00006D9C">
      <w:rPr>
        <w:rFonts w:ascii="Times New Roman" w:hAnsi="Times New Roman" w:cs="Times New Roman"/>
        <w:sz w:val="26"/>
        <w:szCs w:val="26"/>
      </w:rPr>
      <w:t>(issued 12/15/2016)</w:t>
    </w:r>
    <w:r w:rsidRPr="000E4973">
      <w:rPr>
        <w:rFonts w:ascii="Times New Roman" w:hAnsi="Times New Roman" w:cs="Times New Roman"/>
        <w:sz w:val="26"/>
        <w:szCs w:val="26"/>
      </w:rPr>
      <w:t xml:space="preserve"> </w:t>
    </w:r>
  </w:p>
  <w:p w14:paraId="57E426B8" w14:textId="77777777" w:rsidR="009B0D76" w:rsidRDefault="00471468">
    <w:pPr>
      <w:pStyle w:val="Header"/>
      <w:rPr>
        <w:rFonts w:ascii="Times New Roman" w:hAnsi="Times New Roman" w:cs="Times New Roman"/>
        <w:sz w:val="26"/>
        <w:szCs w:val="26"/>
      </w:rPr>
    </w:pPr>
    <w:r>
      <w:rPr>
        <w:rFonts w:ascii="Times New Roman" w:hAnsi="Times New Roman" w:cs="Times New Roman"/>
        <w:sz w:val="26"/>
        <w:szCs w:val="26"/>
      </w:rPr>
      <w:t xml:space="preserve">RIN: </w:t>
    </w:r>
    <w:r w:rsidR="009B0D76" w:rsidRPr="000E4973">
      <w:rPr>
        <w:rFonts w:ascii="Times New Roman" w:hAnsi="Times New Roman" w:cs="Times New Roman"/>
        <w:sz w:val="26"/>
        <w:szCs w:val="26"/>
      </w:rPr>
      <w:t>1902-</w:t>
    </w:r>
    <w:r w:rsidR="006C2C8B">
      <w:rPr>
        <w:rFonts w:ascii="Times New Roman" w:hAnsi="Times New Roman" w:cs="Times New Roman"/>
        <w:sz w:val="26"/>
        <w:szCs w:val="26"/>
      </w:rPr>
      <w:t>AF36</w:t>
    </w:r>
  </w:p>
  <w:p w14:paraId="5D12D1C7" w14:textId="3606AB91" w:rsidR="00F275B0" w:rsidRPr="000E4973" w:rsidRDefault="00F275B0">
    <w:pPr>
      <w:pStyle w:val="Header"/>
      <w:rPr>
        <w:rFonts w:ascii="Times New Roman" w:hAnsi="Times New Roman" w:cs="Times New Roman"/>
        <w:sz w:val="26"/>
        <w:szCs w:val="26"/>
      </w:rPr>
    </w:pPr>
    <w:r>
      <w:rPr>
        <w:rFonts w:ascii="Times New Roman" w:hAnsi="Times New Roman" w:cs="Times New Roman"/>
        <w:sz w:val="26"/>
        <w:szCs w:val="26"/>
      </w:rPr>
      <w:t>Updated: 6/28/2017</w:t>
    </w:r>
  </w:p>
  <w:p w14:paraId="66AE5821" w14:textId="77777777" w:rsidR="00D3787A" w:rsidRPr="000E4973" w:rsidRDefault="00D3787A">
    <w:pPr>
      <w:pStyle w:val="Header"/>
      <w:rPr>
        <w:rFonts w:ascii="Times New Roman" w:hAnsi="Times New Roman" w:cs="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F65"/>
    <w:multiLevelType w:val="hybridMultilevel"/>
    <w:tmpl w:val="650845A6"/>
    <w:lvl w:ilvl="0" w:tplc="90BC2A68">
      <w:start w:val="1"/>
      <w:numFmt w:val="decimal"/>
      <w:lvlText w:val="%1."/>
      <w:lvlJc w:val="left"/>
      <w:pPr>
        <w:tabs>
          <w:tab w:val="num" w:pos="360"/>
        </w:tabs>
        <w:ind w:left="360" w:hanging="360"/>
      </w:pPr>
      <w:rPr>
        <w:b w:val="0"/>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30B13853"/>
    <w:multiLevelType w:val="hybridMultilevel"/>
    <w:tmpl w:val="DAACB184"/>
    <w:lvl w:ilvl="0" w:tplc="188042B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A1E09C0"/>
    <w:multiLevelType w:val="multilevel"/>
    <w:tmpl w:val="A52636F0"/>
    <w:lvl w:ilvl="0">
      <w:start w:val="1"/>
      <w:numFmt w:val="decimal"/>
      <w:lvlText w:val="%1."/>
      <w:lvlJc w:val="left"/>
      <w:pPr>
        <w:tabs>
          <w:tab w:val="num" w:pos="1080"/>
        </w:tabs>
        <w:ind w:left="1080" w:hanging="360"/>
      </w:pPr>
      <w:rPr>
        <w:b w:val="0"/>
      </w:rPr>
    </w:lvl>
    <w:lvl w:ilvl="1">
      <w:start w:val="1"/>
      <w:numFmt w:val="bullet"/>
      <w:lvlText w:val=""/>
      <w:lvlJc w:val="left"/>
      <w:pPr>
        <w:tabs>
          <w:tab w:val="num" w:pos="1800"/>
        </w:tabs>
        <w:ind w:left="1800" w:hanging="360"/>
      </w:pPr>
      <w:rPr>
        <w:rFonts w:ascii="Symbol" w:hAnsi="Symbol"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FEB3BE3"/>
    <w:multiLevelType w:val="hybridMultilevel"/>
    <w:tmpl w:val="3D5EC9D8"/>
    <w:lvl w:ilvl="0" w:tplc="1122A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FD"/>
    <w:rsid w:val="00006D9C"/>
    <w:rsid w:val="000277D1"/>
    <w:rsid w:val="0005318B"/>
    <w:rsid w:val="00070AF6"/>
    <w:rsid w:val="000E407C"/>
    <w:rsid w:val="000E4973"/>
    <w:rsid w:val="000F0503"/>
    <w:rsid w:val="000F3F59"/>
    <w:rsid w:val="00111039"/>
    <w:rsid w:val="0014386B"/>
    <w:rsid w:val="00173CA3"/>
    <w:rsid w:val="00191E24"/>
    <w:rsid w:val="001A04F8"/>
    <w:rsid w:val="001A186B"/>
    <w:rsid w:val="001B49EE"/>
    <w:rsid w:val="001D3840"/>
    <w:rsid w:val="001F5089"/>
    <w:rsid w:val="001F599E"/>
    <w:rsid w:val="00215AB5"/>
    <w:rsid w:val="00262CE1"/>
    <w:rsid w:val="0028106C"/>
    <w:rsid w:val="002A015F"/>
    <w:rsid w:val="002B6B7A"/>
    <w:rsid w:val="002E6E71"/>
    <w:rsid w:val="002F288D"/>
    <w:rsid w:val="00330B13"/>
    <w:rsid w:val="003B4C37"/>
    <w:rsid w:val="003D2E23"/>
    <w:rsid w:val="003F3D81"/>
    <w:rsid w:val="004021DC"/>
    <w:rsid w:val="00415CF3"/>
    <w:rsid w:val="00417F71"/>
    <w:rsid w:val="00423BFA"/>
    <w:rsid w:val="00453A49"/>
    <w:rsid w:val="004553B2"/>
    <w:rsid w:val="00456462"/>
    <w:rsid w:val="00471468"/>
    <w:rsid w:val="00480BB6"/>
    <w:rsid w:val="00486EBC"/>
    <w:rsid w:val="004F2D1E"/>
    <w:rsid w:val="00511834"/>
    <w:rsid w:val="00514765"/>
    <w:rsid w:val="005535DC"/>
    <w:rsid w:val="00567B6E"/>
    <w:rsid w:val="00595EE4"/>
    <w:rsid w:val="005A46DE"/>
    <w:rsid w:val="005D04B3"/>
    <w:rsid w:val="005D62E3"/>
    <w:rsid w:val="00606ACC"/>
    <w:rsid w:val="00610C85"/>
    <w:rsid w:val="00627662"/>
    <w:rsid w:val="006422ED"/>
    <w:rsid w:val="00645CEB"/>
    <w:rsid w:val="00652C1B"/>
    <w:rsid w:val="00670101"/>
    <w:rsid w:val="00687E18"/>
    <w:rsid w:val="006C1229"/>
    <w:rsid w:val="006C2C8B"/>
    <w:rsid w:val="006E5122"/>
    <w:rsid w:val="00707B45"/>
    <w:rsid w:val="00736772"/>
    <w:rsid w:val="00774AAE"/>
    <w:rsid w:val="00790600"/>
    <w:rsid w:val="007A3197"/>
    <w:rsid w:val="007B1183"/>
    <w:rsid w:val="007B7FA3"/>
    <w:rsid w:val="007D31DB"/>
    <w:rsid w:val="00852D7C"/>
    <w:rsid w:val="00865DAE"/>
    <w:rsid w:val="008E5E77"/>
    <w:rsid w:val="00917073"/>
    <w:rsid w:val="0095750A"/>
    <w:rsid w:val="009644BE"/>
    <w:rsid w:val="00977A04"/>
    <w:rsid w:val="009932E0"/>
    <w:rsid w:val="00997657"/>
    <w:rsid w:val="009B0D76"/>
    <w:rsid w:val="009C66ED"/>
    <w:rsid w:val="00A04BF6"/>
    <w:rsid w:val="00A04D29"/>
    <w:rsid w:val="00A2261C"/>
    <w:rsid w:val="00A30F48"/>
    <w:rsid w:val="00A475B2"/>
    <w:rsid w:val="00AB01C9"/>
    <w:rsid w:val="00AE36C4"/>
    <w:rsid w:val="00AE5B7D"/>
    <w:rsid w:val="00AF21D2"/>
    <w:rsid w:val="00B202D6"/>
    <w:rsid w:val="00B817D9"/>
    <w:rsid w:val="00B958DE"/>
    <w:rsid w:val="00BB216C"/>
    <w:rsid w:val="00BB2B0B"/>
    <w:rsid w:val="00C10840"/>
    <w:rsid w:val="00C32BFC"/>
    <w:rsid w:val="00C34A1D"/>
    <w:rsid w:val="00C91A2C"/>
    <w:rsid w:val="00CE0643"/>
    <w:rsid w:val="00D14E4E"/>
    <w:rsid w:val="00D15355"/>
    <w:rsid w:val="00D15A9E"/>
    <w:rsid w:val="00D27C37"/>
    <w:rsid w:val="00D37200"/>
    <w:rsid w:val="00D3787A"/>
    <w:rsid w:val="00DD31C6"/>
    <w:rsid w:val="00DF2093"/>
    <w:rsid w:val="00E12A25"/>
    <w:rsid w:val="00E25AF2"/>
    <w:rsid w:val="00E3011C"/>
    <w:rsid w:val="00E40756"/>
    <w:rsid w:val="00E4185A"/>
    <w:rsid w:val="00ED734E"/>
    <w:rsid w:val="00EE0ED8"/>
    <w:rsid w:val="00EF1EFD"/>
    <w:rsid w:val="00F0165F"/>
    <w:rsid w:val="00F1370E"/>
    <w:rsid w:val="00F1435F"/>
    <w:rsid w:val="00F275B0"/>
    <w:rsid w:val="00F66D09"/>
    <w:rsid w:val="00F929C8"/>
    <w:rsid w:val="00FD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752AF"/>
  <w15:chartTrackingRefBased/>
  <w15:docId w15:val="{E9E6EF93-661B-4BB1-AF5F-D867CCA1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E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o1,fr1,o2,fr2,o3,fr3,Style 13,Style 12,Style 15,Style 17,Style 9,Style 18,(NECG) Footnote Reference,Style 20,Style 7,Styl,Style 8,Style 19,Style 28,Style 11,Style 16,Footnote Reference (EIS),fnr,Footnote reference (EA),Style 30,."/>
    <w:rsid w:val="00EF1EFD"/>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fn1,fn3,fn4"/>
    <w:basedOn w:val="Normal"/>
    <w:link w:val="FootnoteTextChar2"/>
    <w:qFormat/>
    <w:rsid w:val="00EF1E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1,fn Char1"/>
    <w:basedOn w:val="DefaultParagraphFont"/>
    <w:rsid w:val="00EF1EFD"/>
    <w:rPr>
      <w:sz w:val="20"/>
      <w:szCs w:val="20"/>
    </w:r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ft Char"/>
    <w:link w:val="FootnoteText"/>
    <w:uiPriority w:val="99"/>
    <w:rsid w:val="00EF1EFD"/>
    <w:rPr>
      <w:rFonts w:ascii="Times New Roman" w:eastAsia="Times New Roman" w:hAnsi="Times New Roman" w:cs="Times New Roman"/>
      <w:sz w:val="20"/>
      <w:szCs w:val="20"/>
    </w:rPr>
  </w:style>
  <w:style w:type="character" w:customStyle="1" w:styleId="FERCparanumberChar1">
    <w:name w:val="FERC paranumber Char1"/>
    <w:basedOn w:val="DefaultParagraphFont"/>
    <w:link w:val="FERCparanumber"/>
    <w:locked/>
    <w:rsid w:val="00EF1EFD"/>
    <w:rPr>
      <w:sz w:val="24"/>
      <w:szCs w:val="24"/>
    </w:rPr>
  </w:style>
  <w:style w:type="paragraph" w:customStyle="1" w:styleId="FERCparanumber">
    <w:name w:val="FERC paranumber"/>
    <w:basedOn w:val="Normal"/>
    <w:link w:val="FERCparanumberChar1"/>
    <w:qFormat/>
    <w:rsid w:val="00EF1EFD"/>
    <w:pPr>
      <w:widowControl w:val="0"/>
      <w:numPr>
        <w:numId w:val="2"/>
      </w:numPr>
      <w:autoSpaceDE w:val="0"/>
      <w:autoSpaceDN w:val="0"/>
      <w:adjustRightInd w:val="0"/>
      <w:spacing w:after="0" w:line="240" w:lineRule="auto"/>
    </w:pPr>
    <w:rPr>
      <w:sz w:val="24"/>
      <w:szCs w:val="24"/>
    </w:rPr>
  </w:style>
  <w:style w:type="character" w:styleId="Hyperlink">
    <w:name w:val="Hyperlink"/>
    <w:basedOn w:val="DefaultParagraphFont"/>
    <w:unhideWhenUsed/>
    <w:rsid w:val="00EF1EFD"/>
    <w:rPr>
      <w:color w:val="0000FF"/>
      <w:u w:val="single"/>
    </w:rPr>
  </w:style>
  <w:style w:type="paragraph" w:styleId="ListParagraph">
    <w:name w:val="List Paragraph"/>
    <w:basedOn w:val="Normal"/>
    <w:uiPriority w:val="34"/>
    <w:qFormat/>
    <w:rsid w:val="00EF1EFD"/>
    <w:pPr>
      <w:ind w:left="720"/>
      <w:contextualSpacing/>
    </w:pPr>
  </w:style>
  <w:style w:type="paragraph" w:styleId="Header">
    <w:name w:val="header"/>
    <w:basedOn w:val="Normal"/>
    <w:link w:val="HeaderChar"/>
    <w:uiPriority w:val="99"/>
    <w:unhideWhenUsed/>
    <w:rsid w:val="009B0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D76"/>
  </w:style>
  <w:style w:type="paragraph" w:styleId="Footer">
    <w:name w:val="footer"/>
    <w:basedOn w:val="Normal"/>
    <w:link w:val="FooterChar"/>
    <w:uiPriority w:val="99"/>
    <w:unhideWhenUsed/>
    <w:rsid w:val="009B0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D76"/>
  </w:style>
  <w:style w:type="paragraph" w:styleId="BalloonText">
    <w:name w:val="Balloon Text"/>
    <w:basedOn w:val="Normal"/>
    <w:link w:val="BalloonTextChar"/>
    <w:uiPriority w:val="99"/>
    <w:semiHidden/>
    <w:unhideWhenUsed/>
    <w:rsid w:val="005D0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4B3"/>
    <w:rPr>
      <w:rFonts w:ascii="Segoe UI" w:hAnsi="Segoe UI" w:cs="Segoe UI"/>
      <w:sz w:val="18"/>
      <w:szCs w:val="18"/>
    </w:rPr>
  </w:style>
  <w:style w:type="character" w:styleId="CommentReference">
    <w:name w:val="annotation reference"/>
    <w:basedOn w:val="DefaultParagraphFont"/>
    <w:uiPriority w:val="99"/>
    <w:semiHidden/>
    <w:unhideWhenUsed/>
    <w:rsid w:val="00F929C8"/>
    <w:rPr>
      <w:sz w:val="16"/>
      <w:szCs w:val="16"/>
    </w:rPr>
  </w:style>
  <w:style w:type="paragraph" w:styleId="CommentText">
    <w:name w:val="annotation text"/>
    <w:basedOn w:val="Normal"/>
    <w:link w:val="CommentTextChar"/>
    <w:uiPriority w:val="99"/>
    <w:semiHidden/>
    <w:unhideWhenUsed/>
    <w:rsid w:val="00F929C8"/>
    <w:pPr>
      <w:spacing w:line="240" w:lineRule="auto"/>
    </w:pPr>
    <w:rPr>
      <w:sz w:val="20"/>
      <w:szCs w:val="20"/>
    </w:rPr>
  </w:style>
  <w:style w:type="character" w:customStyle="1" w:styleId="CommentTextChar">
    <w:name w:val="Comment Text Char"/>
    <w:basedOn w:val="DefaultParagraphFont"/>
    <w:link w:val="CommentText"/>
    <w:uiPriority w:val="99"/>
    <w:semiHidden/>
    <w:rsid w:val="00F929C8"/>
    <w:rPr>
      <w:sz w:val="20"/>
      <w:szCs w:val="20"/>
    </w:rPr>
  </w:style>
  <w:style w:type="paragraph" w:styleId="CommentSubject">
    <w:name w:val="annotation subject"/>
    <w:basedOn w:val="CommentText"/>
    <w:next w:val="CommentText"/>
    <w:link w:val="CommentSubjectChar"/>
    <w:uiPriority w:val="99"/>
    <w:semiHidden/>
    <w:unhideWhenUsed/>
    <w:rsid w:val="00F929C8"/>
    <w:rPr>
      <w:b/>
      <w:bCs/>
    </w:rPr>
  </w:style>
  <w:style w:type="character" w:customStyle="1" w:styleId="CommentSubjectChar">
    <w:name w:val="Comment Subject Char"/>
    <w:basedOn w:val="CommentTextChar"/>
    <w:link w:val="CommentSubject"/>
    <w:uiPriority w:val="99"/>
    <w:semiHidden/>
    <w:rsid w:val="00F929C8"/>
    <w:rPr>
      <w:b/>
      <w:bCs/>
      <w:sz w:val="20"/>
      <w:szCs w:val="20"/>
    </w:rPr>
  </w:style>
  <w:style w:type="character" w:styleId="FollowedHyperlink">
    <w:name w:val="FollowedHyperlink"/>
    <w:basedOn w:val="DefaultParagraphFont"/>
    <w:uiPriority w:val="99"/>
    <w:semiHidden/>
    <w:unhideWhenUsed/>
    <w:rsid w:val="001A04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3889">
      <w:bodyDiv w:val="1"/>
      <w:marLeft w:val="0"/>
      <w:marRight w:val="0"/>
      <w:marTop w:val="0"/>
      <w:marBottom w:val="0"/>
      <w:divBdr>
        <w:top w:val="none" w:sz="0" w:space="0" w:color="auto"/>
        <w:left w:val="none" w:sz="0" w:space="0" w:color="auto"/>
        <w:bottom w:val="none" w:sz="0" w:space="0" w:color="auto"/>
        <w:right w:val="none" w:sz="0" w:space="0" w:color="auto"/>
      </w:divBdr>
    </w:div>
    <w:div w:id="534077390">
      <w:bodyDiv w:val="1"/>
      <w:marLeft w:val="0"/>
      <w:marRight w:val="0"/>
      <w:marTop w:val="0"/>
      <w:marBottom w:val="0"/>
      <w:divBdr>
        <w:top w:val="none" w:sz="0" w:space="0" w:color="auto"/>
        <w:left w:val="none" w:sz="0" w:space="0" w:color="auto"/>
        <w:bottom w:val="none" w:sz="0" w:space="0" w:color="auto"/>
        <w:right w:val="none" w:sz="0" w:space="0" w:color="auto"/>
      </w:divBdr>
    </w:div>
    <w:div w:id="12414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info-collections.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comm/SC/Documents/Appendix_3A_StandardsProcessesManual.pdf" TargetMode="External"/><Relationship Id="rId1" Type="http://schemas.openxmlformats.org/officeDocument/2006/relationships/hyperlink" Target="https://elibrary.ferc.gov/idmws/common/opennat.asp?fileID=14469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725A</_x0031__x002e__x0020_Collection_x0020_Number>
    <Date xmlns="d6eefc7d-9817-4fa6-84d5-3bc009be21b8">2017-02-28T00:00:00-05:00</Date>
    <Status xmlns="d6eefc7d-9817-4fa6-84d5-3bc009be21b8">Final</Status>
    <_x0032__x002e__x0020_Docket_x0020_Number xmlns="d6eefc7d-9817-4fa6-84d5-3bc009be21b8" xsi:nil="true"/>
    <_x0032__x002e__x0020_Collection_x0020_Number xmlns="d6eefc7d-9817-4fa6-84d5-3bc009be21b8">725G</_x0032__x002e__x0020_Collection_x0020_Number>
    <_x0031__x002e__x0020_Docket_x0020_Number xmlns="d6eefc7d-9817-4fa6-84d5-3bc009be21b8">RM16-20</_x0031__x002e__x0020_Docket_x0020_Number>
    <_x0033__x002e__x0020_Collection_x0020_Number xmlns="d6eefc7d-9817-4fa6-84d5-3bc009be21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f906c2cdd8cb6be678d59bf2059b879d">
  <xsd:schema xmlns:xsd="http://www.w3.org/2001/XMLSchema" xmlns:xs="http://www.w3.org/2001/XMLSchema" xmlns:p="http://schemas.microsoft.com/office/2006/metadata/properties" xmlns:ns2="d6eefc7d-9817-4fa6-84d5-3bc009be21b8" targetNamespace="http://schemas.microsoft.com/office/2006/metadata/properties" ma:root="true" ma:fieldsID="5a7b2a3c90650bbe15edc2181311bb2f"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77540-36AE-4A1A-89AD-35B17F106D04}">
  <ds:schemaRefs>
    <ds:schemaRef ds:uri="http://schemas.microsoft.com/sharepoint/v3/contenttype/forms"/>
  </ds:schemaRefs>
</ds:datastoreItem>
</file>

<file path=customXml/itemProps2.xml><?xml version="1.0" encoding="utf-8"?>
<ds:datastoreItem xmlns:ds="http://schemas.openxmlformats.org/officeDocument/2006/customXml" ds:itemID="{B3D5CFA9-7940-4A54-9629-0DFE249F332B}">
  <ds:schemaRefs>
    <ds:schemaRef ds:uri="http://schemas.microsoft.com/office/2006/metadata/properties"/>
    <ds:schemaRef ds:uri="http://schemas.microsoft.com/office/infopath/2007/PartnerControls"/>
    <ds:schemaRef ds:uri="d6eefc7d-9817-4fa6-84d5-3bc009be21b8"/>
  </ds:schemaRefs>
</ds:datastoreItem>
</file>

<file path=customXml/itemProps3.xml><?xml version="1.0" encoding="utf-8"?>
<ds:datastoreItem xmlns:ds="http://schemas.openxmlformats.org/officeDocument/2006/customXml" ds:itemID="{9145ADF7-3410-4444-9E65-7E5FBBFF5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ED595-8370-474C-8665-C209801BE03F}">
  <ds:schemaRefs>
    <ds:schemaRef ds:uri="http://schemas.microsoft.com/office/2006/metadata/customXsn"/>
  </ds:schemaRefs>
</ds:datastoreItem>
</file>

<file path=customXml/itemProps5.xml><?xml version="1.0" encoding="utf-8"?>
<ds:datastoreItem xmlns:ds="http://schemas.openxmlformats.org/officeDocument/2006/customXml" ds:itemID="{5EE0D8D5-C5CA-4171-A21A-97F07E26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3011</Words>
  <Characters>17168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Chambers</dc:creator>
  <cp:keywords/>
  <dc:description/>
  <cp:lastModifiedBy>Michele Chambers</cp:lastModifiedBy>
  <cp:revision>2</cp:revision>
  <dcterms:created xsi:type="dcterms:W3CDTF">2017-06-28T13:00:00Z</dcterms:created>
  <dcterms:modified xsi:type="dcterms:W3CDTF">2017-06-28T13:00:00Z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