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C39E2E" w14:textId="77777777" w:rsidR="00841B82" w:rsidRDefault="00841B82" w:rsidP="00841B82">
      <w:pPr>
        <w:jc w:val="center"/>
        <w:rPr>
          <w:b/>
          <w:bCs/>
          <w:sz w:val="24"/>
          <w:szCs w:val="24"/>
        </w:rPr>
      </w:pPr>
      <w:bookmarkStart w:id="0" w:name="_GoBack"/>
      <w:bookmarkEnd w:id="0"/>
      <w:r>
        <w:rPr>
          <w:b/>
          <w:bCs/>
          <w:sz w:val="24"/>
          <w:szCs w:val="24"/>
        </w:rPr>
        <w:t>Supporting Statement for a Request for OMB Review under</w:t>
      </w:r>
    </w:p>
    <w:p w14:paraId="2E981890" w14:textId="77777777" w:rsidR="00841B82" w:rsidRDefault="00841B82" w:rsidP="00841B82">
      <w:pPr>
        <w:jc w:val="center"/>
        <w:rPr>
          <w:b/>
          <w:bCs/>
          <w:sz w:val="24"/>
          <w:szCs w:val="24"/>
        </w:rPr>
      </w:pPr>
      <w:r>
        <w:rPr>
          <w:b/>
          <w:bCs/>
          <w:sz w:val="24"/>
          <w:szCs w:val="24"/>
        </w:rPr>
        <w:t>The Paperwork Reduction Act</w:t>
      </w:r>
    </w:p>
    <w:p w14:paraId="1BF31B97" w14:textId="77777777" w:rsidR="00841B82" w:rsidRDefault="00841B82" w:rsidP="00841B82">
      <w:pPr>
        <w:jc w:val="center"/>
        <w:rPr>
          <w:b/>
          <w:bCs/>
          <w:sz w:val="24"/>
          <w:szCs w:val="24"/>
        </w:rPr>
      </w:pPr>
    </w:p>
    <w:p w14:paraId="58762A13" w14:textId="77777777" w:rsidR="00841B82" w:rsidRDefault="00841B82" w:rsidP="00841B82">
      <w:pPr>
        <w:jc w:val="center"/>
        <w:rPr>
          <w:b/>
          <w:bCs/>
          <w:sz w:val="24"/>
          <w:szCs w:val="24"/>
        </w:rPr>
      </w:pPr>
    </w:p>
    <w:p w14:paraId="4838F9E9" w14:textId="77777777" w:rsidR="00841B82" w:rsidRDefault="00841B82" w:rsidP="00841B82">
      <w:pPr>
        <w:rPr>
          <w:b/>
          <w:bCs/>
          <w:sz w:val="24"/>
          <w:szCs w:val="24"/>
        </w:rPr>
      </w:pPr>
      <w:r>
        <w:rPr>
          <w:b/>
          <w:bCs/>
          <w:sz w:val="24"/>
          <w:szCs w:val="24"/>
        </w:rPr>
        <w:t>1</w:t>
      </w:r>
      <w:r>
        <w:rPr>
          <w:b/>
          <w:bCs/>
          <w:sz w:val="24"/>
          <w:szCs w:val="24"/>
        </w:rPr>
        <w:tab/>
        <w:t>IDENTIFICATION OF THE INFORMATION COLLECTION</w:t>
      </w:r>
    </w:p>
    <w:p w14:paraId="4CD845C5" w14:textId="77777777" w:rsidR="00841B82" w:rsidRDefault="00841B82" w:rsidP="00841B82">
      <w:pPr>
        <w:rPr>
          <w:b/>
          <w:bCs/>
          <w:sz w:val="24"/>
          <w:szCs w:val="24"/>
        </w:rPr>
      </w:pPr>
    </w:p>
    <w:p w14:paraId="1FF98683" w14:textId="77777777" w:rsidR="00841B82" w:rsidRDefault="00841B82" w:rsidP="00841B82">
      <w:pPr>
        <w:rPr>
          <w:b/>
          <w:bCs/>
          <w:sz w:val="24"/>
          <w:szCs w:val="24"/>
        </w:rPr>
      </w:pPr>
      <w:r>
        <w:rPr>
          <w:b/>
          <w:bCs/>
          <w:sz w:val="24"/>
          <w:szCs w:val="24"/>
        </w:rPr>
        <w:tab/>
        <w:t>1(a)</w:t>
      </w:r>
      <w:r>
        <w:rPr>
          <w:b/>
          <w:bCs/>
          <w:sz w:val="24"/>
          <w:szCs w:val="24"/>
        </w:rPr>
        <w:tab/>
        <w:t>Title and Number of the Information Collection</w:t>
      </w:r>
    </w:p>
    <w:p w14:paraId="42AA114D" w14:textId="77777777" w:rsidR="00841B82" w:rsidRDefault="00841B82" w:rsidP="00841B82">
      <w:pPr>
        <w:rPr>
          <w:b/>
          <w:bCs/>
          <w:sz w:val="24"/>
          <w:szCs w:val="24"/>
        </w:rPr>
      </w:pPr>
    </w:p>
    <w:p w14:paraId="11669C47" w14:textId="4135F6DA" w:rsidR="00841B82" w:rsidRDefault="00841B82" w:rsidP="00525638">
      <w:pPr>
        <w:tabs>
          <w:tab w:val="left" w:pos="720"/>
          <w:tab w:val="left" w:pos="1440"/>
        </w:tabs>
        <w:ind w:left="2160" w:hanging="2160"/>
        <w:rPr>
          <w:b/>
          <w:bCs/>
          <w:sz w:val="24"/>
          <w:szCs w:val="24"/>
        </w:rPr>
      </w:pPr>
      <w:r>
        <w:rPr>
          <w:b/>
          <w:bCs/>
          <w:sz w:val="24"/>
          <w:szCs w:val="24"/>
        </w:rPr>
        <w:tab/>
      </w:r>
      <w:r>
        <w:rPr>
          <w:b/>
          <w:bCs/>
          <w:sz w:val="24"/>
          <w:szCs w:val="24"/>
        </w:rPr>
        <w:tab/>
        <w:t>Title:</w:t>
      </w:r>
      <w:r>
        <w:rPr>
          <w:b/>
          <w:bCs/>
          <w:sz w:val="24"/>
          <w:szCs w:val="24"/>
        </w:rPr>
        <w:tab/>
        <w:t xml:space="preserve">Notification of Substantial Risk of Injury to Health and the Environment under TSCA </w:t>
      </w:r>
      <w:r w:rsidR="008D1FEB">
        <w:rPr>
          <w:b/>
          <w:bCs/>
          <w:sz w:val="24"/>
          <w:szCs w:val="24"/>
        </w:rPr>
        <w:t>Section 8</w:t>
      </w:r>
      <w:r>
        <w:rPr>
          <w:b/>
          <w:bCs/>
          <w:sz w:val="24"/>
          <w:szCs w:val="24"/>
        </w:rPr>
        <w:t>(e)</w:t>
      </w:r>
    </w:p>
    <w:p w14:paraId="28861973" w14:textId="77777777" w:rsidR="00841B82" w:rsidRDefault="00841B82" w:rsidP="00841B82">
      <w:pPr>
        <w:rPr>
          <w:b/>
          <w:bCs/>
          <w:sz w:val="24"/>
          <w:szCs w:val="24"/>
        </w:rPr>
      </w:pPr>
    </w:p>
    <w:p w14:paraId="3B8B1975" w14:textId="1FF7DF7B" w:rsidR="00841B82" w:rsidRPr="00C16DD0" w:rsidRDefault="00841B82" w:rsidP="00841B82">
      <w:pPr>
        <w:tabs>
          <w:tab w:val="left" w:pos="720"/>
          <w:tab w:val="left" w:pos="1440"/>
          <w:tab w:val="left" w:pos="2160"/>
          <w:tab w:val="left" w:pos="2880"/>
          <w:tab w:val="left" w:pos="3600"/>
          <w:tab w:val="left" w:pos="4320"/>
        </w:tabs>
        <w:ind w:left="4320" w:hanging="4320"/>
        <w:rPr>
          <w:b/>
          <w:bCs/>
          <w:sz w:val="24"/>
          <w:szCs w:val="24"/>
          <w:lang w:val="es-DO"/>
        </w:rPr>
      </w:pPr>
      <w:r>
        <w:rPr>
          <w:b/>
          <w:bCs/>
          <w:sz w:val="24"/>
          <w:szCs w:val="24"/>
        </w:rPr>
        <w:tab/>
      </w:r>
      <w:r>
        <w:rPr>
          <w:b/>
          <w:bCs/>
          <w:sz w:val="24"/>
          <w:szCs w:val="24"/>
        </w:rPr>
        <w:tab/>
      </w:r>
      <w:r w:rsidRPr="00C16DD0">
        <w:rPr>
          <w:b/>
          <w:bCs/>
          <w:sz w:val="24"/>
          <w:szCs w:val="24"/>
          <w:lang w:val="es-DO"/>
        </w:rPr>
        <w:t>EPA ICR No.:    0794.1</w:t>
      </w:r>
      <w:r w:rsidR="003008A0">
        <w:rPr>
          <w:b/>
          <w:bCs/>
          <w:sz w:val="24"/>
          <w:szCs w:val="24"/>
          <w:lang w:val="es-DO"/>
        </w:rPr>
        <w:t>6</w:t>
      </w:r>
      <w:r w:rsidRPr="00C16DD0">
        <w:rPr>
          <w:b/>
          <w:bCs/>
          <w:sz w:val="24"/>
          <w:szCs w:val="24"/>
          <w:lang w:val="es-DO"/>
        </w:rPr>
        <w:tab/>
        <w:t xml:space="preserve">OMB Control No.: </w:t>
      </w:r>
      <w:r w:rsidRPr="00C16DD0">
        <w:rPr>
          <w:b/>
          <w:bCs/>
          <w:sz w:val="24"/>
          <w:szCs w:val="24"/>
          <w:lang w:val="es-DO"/>
        </w:rPr>
        <w:tab/>
        <w:t>2070-0046</w:t>
      </w:r>
    </w:p>
    <w:p w14:paraId="1D523A06" w14:textId="77777777" w:rsidR="00B93D35" w:rsidRPr="00B93D35" w:rsidRDefault="00B93D35" w:rsidP="00B93D35">
      <w:pPr>
        <w:autoSpaceDE/>
        <w:autoSpaceDN/>
        <w:adjustRightInd/>
        <w:ind w:left="720" w:firstLine="720"/>
        <w:rPr>
          <w:rFonts w:eastAsia="Calibri"/>
          <w:b/>
          <w:sz w:val="24"/>
          <w:szCs w:val="24"/>
        </w:rPr>
      </w:pPr>
    </w:p>
    <w:p w14:paraId="7688B0F9" w14:textId="30DE0FD1" w:rsidR="00B93D35" w:rsidRPr="00B93D35" w:rsidRDefault="00B93D35" w:rsidP="00B93D35">
      <w:pPr>
        <w:autoSpaceDE/>
        <w:autoSpaceDN/>
        <w:adjustRightInd/>
        <w:ind w:left="720" w:firstLine="720"/>
        <w:rPr>
          <w:rFonts w:eastAsia="Calibri"/>
          <w:b/>
          <w:sz w:val="24"/>
          <w:szCs w:val="24"/>
        </w:rPr>
      </w:pPr>
      <w:r w:rsidRPr="00B93D35">
        <w:rPr>
          <w:rFonts w:eastAsia="Calibri"/>
          <w:b/>
          <w:sz w:val="24"/>
          <w:szCs w:val="24"/>
        </w:rPr>
        <w:t>Docket ID No.: EPA-HQ-OPPT-2015-0</w:t>
      </w:r>
      <w:r>
        <w:rPr>
          <w:rFonts w:eastAsia="Calibri"/>
          <w:b/>
          <w:sz w:val="24"/>
          <w:szCs w:val="24"/>
        </w:rPr>
        <w:t>744</w:t>
      </w:r>
    </w:p>
    <w:p w14:paraId="625C7EAF" w14:textId="77777777" w:rsidR="00841B82" w:rsidRPr="00C16DD0" w:rsidRDefault="00841B82" w:rsidP="00841B82">
      <w:pPr>
        <w:rPr>
          <w:b/>
          <w:bCs/>
          <w:sz w:val="24"/>
          <w:szCs w:val="24"/>
          <w:lang w:val="es-DO"/>
        </w:rPr>
      </w:pPr>
    </w:p>
    <w:p w14:paraId="1174EFF8" w14:textId="77777777" w:rsidR="00841B82" w:rsidRDefault="00841B82" w:rsidP="00841B82">
      <w:pPr>
        <w:rPr>
          <w:sz w:val="24"/>
          <w:szCs w:val="24"/>
        </w:rPr>
      </w:pPr>
      <w:r w:rsidRPr="00C16DD0">
        <w:rPr>
          <w:b/>
          <w:bCs/>
          <w:sz w:val="24"/>
          <w:szCs w:val="24"/>
          <w:lang w:val="es-DO"/>
        </w:rPr>
        <w:tab/>
      </w:r>
      <w:r>
        <w:rPr>
          <w:b/>
          <w:bCs/>
          <w:sz w:val="24"/>
          <w:szCs w:val="24"/>
        </w:rPr>
        <w:t>1(b)</w:t>
      </w:r>
      <w:r>
        <w:rPr>
          <w:b/>
          <w:bCs/>
          <w:sz w:val="24"/>
          <w:szCs w:val="24"/>
        </w:rPr>
        <w:tab/>
        <w:t>Short Characterization</w:t>
      </w:r>
    </w:p>
    <w:p w14:paraId="4E26C241" w14:textId="77777777" w:rsidR="00841B82" w:rsidRDefault="00841B82" w:rsidP="00841B82">
      <w:pPr>
        <w:rPr>
          <w:sz w:val="24"/>
          <w:szCs w:val="24"/>
        </w:rPr>
      </w:pPr>
    </w:p>
    <w:p w14:paraId="3FF70431" w14:textId="7D443B93" w:rsidR="00841B82" w:rsidRDefault="00841B82" w:rsidP="00841B82">
      <w:pPr>
        <w:rPr>
          <w:sz w:val="24"/>
          <w:szCs w:val="24"/>
        </w:rPr>
      </w:pPr>
      <w:r>
        <w:rPr>
          <w:sz w:val="24"/>
          <w:szCs w:val="24"/>
        </w:rPr>
        <w:tab/>
      </w:r>
      <w:r w:rsidR="008D1FEB">
        <w:rPr>
          <w:sz w:val="24"/>
          <w:szCs w:val="24"/>
        </w:rPr>
        <w:t>Section 8</w:t>
      </w:r>
      <w:r>
        <w:rPr>
          <w:sz w:val="24"/>
          <w:szCs w:val="24"/>
        </w:rPr>
        <w:t xml:space="preserve">(e) of the Toxic Substances Control Act (TSCA) states, “any person who manufactures, [imports,] processes, or distributes in commerce a chemical substance or mixture and who obtains information which reasonably supports the conclusion that such substance or mixture presents a substantial risk of injury to health or the environment shall immediately inform the [EPA] Administrator of such information unless such person has actual knowledge that the Administrator has been adequately </w:t>
      </w:r>
      <w:r w:rsidR="009660D6">
        <w:rPr>
          <w:sz w:val="24"/>
          <w:szCs w:val="24"/>
        </w:rPr>
        <w:t xml:space="preserve">informed of such information.” </w:t>
      </w:r>
      <w:r>
        <w:rPr>
          <w:sz w:val="24"/>
          <w:szCs w:val="24"/>
        </w:rPr>
        <w:t>(15 U.S.C. 2607(e)</w:t>
      </w:r>
      <w:r w:rsidR="004D30BE">
        <w:rPr>
          <w:sz w:val="24"/>
          <w:szCs w:val="24"/>
        </w:rPr>
        <w:t>; see Attachment 1.</w:t>
      </w:r>
      <w:r>
        <w:rPr>
          <w:sz w:val="24"/>
          <w:szCs w:val="24"/>
        </w:rPr>
        <w:t>)</w:t>
      </w:r>
    </w:p>
    <w:p w14:paraId="026897B5" w14:textId="77777777" w:rsidR="00841B82" w:rsidRDefault="00841B82" w:rsidP="00841B82">
      <w:pPr>
        <w:rPr>
          <w:sz w:val="24"/>
          <w:szCs w:val="24"/>
        </w:rPr>
      </w:pPr>
    </w:p>
    <w:p w14:paraId="0190AE4F" w14:textId="2784DB6E" w:rsidR="00841B82" w:rsidRDefault="00841B82" w:rsidP="00841B82">
      <w:pPr>
        <w:rPr>
          <w:sz w:val="24"/>
          <w:szCs w:val="24"/>
        </w:rPr>
      </w:pPr>
      <w:r>
        <w:rPr>
          <w:sz w:val="24"/>
          <w:szCs w:val="24"/>
        </w:rPr>
        <w:tab/>
      </w:r>
      <w:r w:rsidRPr="000F6C50">
        <w:rPr>
          <w:sz w:val="24"/>
          <w:szCs w:val="24"/>
        </w:rPr>
        <w:t xml:space="preserve">From January 1977 through </w:t>
      </w:r>
      <w:r w:rsidR="00731A8E">
        <w:rPr>
          <w:sz w:val="24"/>
          <w:szCs w:val="24"/>
        </w:rPr>
        <w:t>November 201</w:t>
      </w:r>
      <w:r w:rsidR="007B5D3D">
        <w:rPr>
          <w:sz w:val="24"/>
          <w:szCs w:val="24"/>
        </w:rPr>
        <w:t>5</w:t>
      </w:r>
      <w:r w:rsidRPr="000F6C50">
        <w:rPr>
          <w:sz w:val="24"/>
          <w:szCs w:val="24"/>
        </w:rPr>
        <w:t xml:space="preserve">, EPA received </w:t>
      </w:r>
      <w:r w:rsidR="007B5D3D">
        <w:rPr>
          <w:sz w:val="24"/>
          <w:szCs w:val="24"/>
        </w:rPr>
        <w:t>and screened 20,070</w:t>
      </w:r>
      <w:r w:rsidR="00710697">
        <w:rPr>
          <w:sz w:val="24"/>
          <w:szCs w:val="24"/>
        </w:rPr>
        <w:t xml:space="preserve"> </w:t>
      </w:r>
      <w:r w:rsidR="007B5D3D">
        <w:rPr>
          <w:sz w:val="24"/>
          <w:szCs w:val="24"/>
        </w:rPr>
        <w:t xml:space="preserve">initial </w:t>
      </w:r>
      <w:r w:rsidR="008D1FEB">
        <w:rPr>
          <w:sz w:val="24"/>
          <w:szCs w:val="24"/>
        </w:rPr>
        <w:t>section 8</w:t>
      </w:r>
      <w:r w:rsidRPr="000F6C50">
        <w:rPr>
          <w:sz w:val="24"/>
          <w:szCs w:val="24"/>
        </w:rPr>
        <w:t xml:space="preserve">(e) submissions covering a large number of chemical substances and mixtures on a wide range of chemical </w:t>
      </w:r>
      <w:r w:rsidR="009660D6">
        <w:rPr>
          <w:sz w:val="24"/>
          <w:szCs w:val="24"/>
        </w:rPr>
        <w:t xml:space="preserve">toxicity/exposure information. </w:t>
      </w:r>
      <w:r w:rsidRPr="000F6C50">
        <w:rPr>
          <w:sz w:val="24"/>
          <w:szCs w:val="24"/>
        </w:rPr>
        <w:t>This includes approximately 10,500 submissions EPA received following a 1992 Compliance Audit Program, described below in Part 2(</w:t>
      </w:r>
      <w:r w:rsidR="007B5D3D">
        <w:rPr>
          <w:sz w:val="24"/>
          <w:szCs w:val="24"/>
        </w:rPr>
        <w:t xml:space="preserve">a).  Although EPA’s receipt of </w:t>
      </w:r>
      <w:r w:rsidR="00C8117D">
        <w:rPr>
          <w:sz w:val="24"/>
          <w:szCs w:val="24"/>
        </w:rPr>
        <w:t xml:space="preserve">TSCA </w:t>
      </w:r>
      <w:r w:rsidR="008D1FEB">
        <w:rPr>
          <w:sz w:val="24"/>
          <w:szCs w:val="24"/>
        </w:rPr>
        <w:t>section 8</w:t>
      </w:r>
      <w:r w:rsidRPr="000F6C50">
        <w:rPr>
          <w:sz w:val="24"/>
          <w:szCs w:val="24"/>
        </w:rPr>
        <w:t>(e) information does not necessarily trigger immediate regulatory action under TSCA or other author</w:t>
      </w:r>
      <w:r w:rsidR="007B5D3D">
        <w:rPr>
          <w:sz w:val="24"/>
          <w:szCs w:val="24"/>
        </w:rPr>
        <w:t xml:space="preserve">ities administered by EPA, all </w:t>
      </w:r>
      <w:r w:rsidR="008D1FEB">
        <w:rPr>
          <w:sz w:val="24"/>
          <w:szCs w:val="24"/>
        </w:rPr>
        <w:t>section 8</w:t>
      </w:r>
      <w:r w:rsidRPr="000F6C50">
        <w:rPr>
          <w:sz w:val="24"/>
          <w:szCs w:val="24"/>
        </w:rPr>
        <w:t>(e) submissions receive screening level evaluations by EPA’s Office of Pollution Prevention and Toxics (OPPT) to identify priorities for further Agency action and appropriate referrals to other programs.</w:t>
      </w:r>
    </w:p>
    <w:p w14:paraId="267BBEFB" w14:textId="77777777" w:rsidR="00841B82" w:rsidRDefault="00841B82" w:rsidP="00841B82">
      <w:pPr>
        <w:rPr>
          <w:sz w:val="24"/>
          <w:szCs w:val="24"/>
        </w:rPr>
      </w:pPr>
    </w:p>
    <w:p w14:paraId="745A6915" w14:textId="672EC9BA" w:rsidR="00841B82" w:rsidRPr="008E451B" w:rsidRDefault="00841B82" w:rsidP="00841B82">
      <w:pPr>
        <w:rPr>
          <w:color w:val="FF0000"/>
          <w:sz w:val="24"/>
          <w:szCs w:val="24"/>
        </w:rPr>
      </w:pPr>
      <w:r>
        <w:rPr>
          <w:sz w:val="24"/>
          <w:szCs w:val="24"/>
        </w:rPr>
        <w:tab/>
      </w:r>
      <w:r w:rsidR="00C8117D">
        <w:rPr>
          <w:sz w:val="24"/>
          <w:szCs w:val="24"/>
        </w:rPr>
        <w:t>S</w:t>
      </w:r>
      <w:r w:rsidR="008D1FEB">
        <w:rPr>
          <w:sz w:val="24"/>
          <w:szCs w:val="24"/>
        </w:rPr>
        <w:t>ection 8</w:t>
      </w:r>
      <w:r w:rsidRPr="001A1F20">
        <w:rPr>
          <w:sz w:val="24"/>
          <w:szCs w:val="24"/>
        </w:rPr>
        <w:t xml:space="preserve">(e) </w:t>
      </w:r>
      <w:r w:rsidR="003F1A54" w:rsidRPr="001A1F20">
        <w:rPr>
          <w:sz w:val="24"/>
          <w:szCs w:val="24"/>
        </w:rPr>
        <w:t>data</w:t>
      </w:r>
      <w:r w:rsidRPr="001A1F20">
        <w:rPr>
          <w:sz w:val="24"/>
          <w:szCs w:val="24"/>
        </w:rPr>
        <w:t xml:space="preserve"> </w:t>
      </w:r>
      <w:r w:rsidR="003872BC" w:rsidRPr="003872BC">
        <w:rPr>
          <w:sz w:val="24"/>
          <w:szCs w:val="24"/>
        </w:rPr>
        <w:t xml:space="preserve">on newly discovered chemical hazards/risks </w:t>
      </w:r>
      <w:r w:rsidR="003872BC">
        <w:rPr>
          <w:sz w:val="24"/>
          <w:szCs w:val="24"/>
        </w:rPr>
        <w:t>is available via</w:t>
      </w:r>
      <w:r w:rsidRPr="001A1F20">
        <w:rPr>
          <w:sz w:val="24"/>
          <w:szCs w:val="24"/>
        </w:rPr>
        <w:t xml:space="preserve"> EPA’s </w:t>
      </w:r>
      <w:r w:rsidR="003872BC" w:rsidRPr="003872BC">
        <w:rPr>
          <w:sz w:val="24"/>
          <w:szCs w:val="24"/>
        </w:rPr>
        <w:t>Chemical Data Access Tool (CDAT)</w:t>
      </w:r>
      <w:r w:rsidR="003872BC">
        <w:rPr>
          <w:sz w:val="24"/>
          <w:szCs w:val="24"/>
        </w:rPr>
        <w:t xml:space="preserve"> </w:t>
      </w:r>
      <w:r w:rsidR="003F1A54" w:rsidRPr="001A1F20">
        <w:rPr>
          <w:sz w:val="24"/>
          <w:szCs w:val="24"/>
        </w:rPr>
        <w:t>(</w:t>
      </w:r>
      <w:hyperlink r:id="rId9" w:history="1">
        <w:r w:rsidR="003872BC" w:rsidRPr="005C73D8">
          <w:rPr>
            <w:rStyle w:val="Hyperlink"/>
            <w:sz w:val="24"/>
            <w:szCs w:val="24"/>
          </w:rPr>
          <w:t>https://java.epa.gov/oppt_chemical_search/</w:t>
        </w:r>
      </w:hyperlink>
      <w:r w:rsidR="003F1A54" w:rsidRPr="001A1F20">
        <w:rPr>
          <w:sz w:val="24"/>
          <w:szCs w:val="24"/>
        </w:rPr>
        <w:t>)</w:t>
      </w:r>
      <w:r w:rsidR="003872BC">
        <w:rPr>
          <w:sz w:val="24"/>
          <w:szCs w:val="24"/>
        </w:rPr>
        <w:t xml:space="preserve">. </w:t>
      </w:r>
      <w:r w:rsidRPr="001A1F20">
        <w:rPr>
          <w:sz w:val="24"/>
          <w:szCs w:val="24"/>
        </w:rPr>
        <w:t>There is also public outr</w:t>
      </w:r>
      <w:r w:rsidR="001A1F20">
        <w:rPr>
          <w:sz w:val="24"/>
          <w:szCs w:val="24"/>
        </w:rPr>
        <w:t xml:space="preserve">each and information access to </w:t>
      </w:r>
      <w:r w:rsidR="008D1FEB">
        <w:rPr>
          <w:sz w:val="24"/>
          <w:szCs w:val="24"/>
        </w:rPr>
        <w:t>section 8</w:t>
      </w:r>
      <w:r w:rsidRPr="001A1F20">
        <w:rPr>
          <w:sz w:val="24"/>
          <w:szCs w:val="24"/>
        </w:rPr>
        <w:t xml:space="preserve">(e) data through the </w:t>
      </w:r>
      <w:r w:rsidR="00A04D0F">
        <w:rPr>
          <w:sz w:val="24"/>
          <w:szCs w:val="24"/>
        </w:rPr>
        <w:t xml:space="preserve">TSCA Public Docket, </w:t>
      </w:r>
      <w:r w:rsidR="003872BC">
        <w:rPr>
          <w:sz w:val="24"/>
          <w:szCs w:val="24"/>
        </w:rPr>
        <w:t xml:space="preserve">and </w:t>
      </w:r>
      <w:r w:rsidR="00A04D0F">
        <w:rPr>
          <w:sz w:val="24"/>
          <w:szCs w:val="24"/>
        </w:rPr>
        <w:t>online data</w:t>
      </w:r>
      <w:r w:rsidRPr="001A1F20">
        <w:rPr>
          <w:sz w:val="24"/>
          <w:szCs w:val="24"/>
        </w:rPr>
        <w:t xml:space="preserve">bases that include </w:t>
      </w:r>
      <w:r w:rsidR="008D1FEB">
        <w:rPr>
          <w:sz w:val="24"/>
          <w:szCs w:val="24"/>
        </w:rPr>
        <w:t xml:space="preserve">section </w:t>
      </w:r>
      <w:r w:rsidRPr="001A1F20">
        <w:rPr>
          <w:sz w:val="24"/>
          <w:szCs w:val="24"/>
        </w:rPr>
        <w:t>8(e) records.</w:t>
      </w:r>
      <w:r w:rsidR="001A1F20">
        <w:rPr>
          <w:sz w:val="24"/>
          <w:szCs w:val="24"/>
        </w:rPr>
        <w:t xml:space="preserve"> OPPT is </w:t>
      </w:r>
      <w:r w:rsidR="003872BC">
        <w:rPr>
          <w:sz w:val="24"/>
          <w:szCs w:val="24"/>
        </w:rPr>
        <w:t xml:space="preserve">also </w:t>
      </w:r>
      <w:r w:rsidR="001A1F20">
        <w:rPr>
          <w:sz w:val="24"/>
          <w:szCs w:val="24"/>
        </w:rPr>
        <w:t>currently in the process of migrating these</w:t>
      </w:r>
      <w:r w:rsidR="00A04D0F">
        <w:rPr>
          <w:sz w:val="24"/>
          <w:szCs w:val="24"/>
        </w:rPr>
        <w:t xml:space="preserve"> </w:t>
      </w:r>
      <w:r w:rsidR="008D1FEB">
        <w:rPr>
          <w:sz w:val="24"/>
          <w:szCs w:val="24"/>
        </w:rPr>
        <w:t>section 8</w:t>
      </w:r>
      <w:r w:rsidR="00A04D0F">
        <w:rPr>
          <w:sz w:val="24"/>
          <w:szCs w:val="24"/>
        </w:rPr>
        <w:t xml:space="preserve">(e) submissions and posting future </w:t>
      </w:r>
      <w:r w:rsidR="008D1FEB">
        <w:rPr>
          <w:sz w:val="24"/>
          <w:szCs w:val="24"/>
        </w:rPr>
        <w:t>section 8</w:t>
      </w:r>
      <w:r w:rsidR="00A04D0F">
        <w:rPr>
          <w:sz w:val="24"/>
          <w:szCs w:val="24"/>
        </w:rPr>
        <w:t>(e) submissions to EPA’s Chemview database (</w:t>
      </w:r>
      <w:hyperlink r:id="rId10" w:history="1">
        <w:r w:rsidR="003872BC" w:rsidRPr="005C73D8">
          <w:rPr>
            <w:rStyle w:val="Hyperlink"/>
            <w:sz w:val="24"/>
            <w:szCs w:val="24"/>
          </w:rPr>
          <w:t>http://java.epa.gov/chemview</w:t>
        </w:r>
      </w:hyperlink>
      <w:r w:rsidR="00A04D0F">
        <w:rPr>
          <w:sz w:val="24"/>
          <w:szCs w:val="24"/>
        </w:rPr>
        <w:t>).</w:t>
      </w:r>
    </w:p>
    <w:p w14:paraId="4B7E49BF" w14:textId="77777777" w:rsidR="00FB0E93" w:rsidRDefault="00FB0E93" w:rsidP="00841B82">
      <w:pPr>
        <w:rPr>
          <w:sz w:val="24"/>
          <w:szCs w:val="24"/>
        </w:rPr>
      </w:pPr>
    </w:p>
    <w:p w14:paraId="46DFF10A" w14:textId="7C9FC631" w:rsidR="00A04D0F" w:rsidRDefault="00806078" w:rsidP="003A170E">
      <w:pPr>
        <w:ind w:firstLine="720"/>
        <w:rPr>
          <w:sz w:val="24"/>
          <w:szCs w:val="24"/>
        </w:rPr>
      </w:pPr>
      <w:r>
        <w:rPr>
          <w:sz w:val="24"/>
          <w:szCs w:val="24"/>
        </w:rPr>
        <w:t xml:space="preserve">In addition, </w:t>
      </w:r>
      <w:r w:rsidR="003A170E" w:rsidRPr="006415CA">
        <w:rPr>
          <w:sz w:val="24"/>
          <w:szCs w:val="24"/>
        </w:rPr>
        <w:t xml:space="preserve">EPA is offering an electronic reporting option for use both by those who are required to submit a notification </w:t>
      </w:r>
      <w:r w:rsidR="007B5D3D">
        <w:rPr>
          <w:sz w:val="24"/>
          <w:szCs w:val="24"/>
        </w:rPr>
        <w:t xml:space="preserve">of substantial risk under </w:t>
      </w:r>
      <w:r w:rsidR="008D1FEB">
        <w:rPr>
          <w:sz w:val="24"/>
          <w:szCs w:val="24"/>
        </w:rPr>
        <w:t>section 8</w:t>
      </w:r>
      <w:r w:rsidR="003A170E" w:rsidRPr="006415CA">
        <w:rPr>
          <w:sz w:val="24"/>
          <w:szCs w:val="24"/>
        </w:rPr>
        <w:t xml:space="preserve">(e) and by those who wish voluntarily </w:t>
      </w:r>
      <w:r w:rsidR="009660D6">
        <w:rPr>
          <w:sz w:val="24"/>
          <w:szCs w:val="24"/>
        </w:rPr>
        <w:t xml:space="preserve">to </w:t>
      </w:r>
      <w:r w:rsidR="003A170E" w:rsidRPr="006415CA">
        <w:rPr>
          <w:sz w:val="24"/>
          <w:szCs w:val="24"/>
        </w:rPr>
        <w:t xml:space="preserve">submit “For Your Information” (FYI) notices </w:t>
      </w:r>
      <w:r w:rsidR="003A170E">
        <w:rPr>
          <w:sz w:val="24"/>
          <w:szCs w:val="24"/>
        </w:rPr>
        <w:t xml:space="preserve">by </w:t>
      </w:r>
      <w:r w:rsidR="003A170E" w:rsidRPr="006415CA">
        <w:rPr>
          <w:sz w:val="24"/>
          <w:szCs w:val="24"/>
        </w:rPr>
        <w:t>register</w:t>
      </w:r>
      <w:r w:rsidR="003A170E">
        <w:rPr>
          <w:sz w:val="24"/>
          <w:szCs w:val="24"/>
        </w:rPr>
        <w:t>ing</w:t>
      </w:r>
      <w:r w:rsidR="003A170E" w:rsidRPr="006415CA">
        <w:rPr>
          <w:sz w:val="24"/>
          <w:szCs w:val="24"/>
        </w:rPr>
        <w:t xml:space="preserve"> and </w:t>
      </w:r>
      <w:r w:rsidR="003A170E" w:rsidRPr="00CD0D67">
        <w:rPr>
          <w:sz w:val="24"/>
          <w:szCs w:val="24"/>
        </w:rPr>
        <w:t>submit</w:t>
      </w:r>
      <w:r w:rsidR="003A170E">
        <w:rPr>
          <w:sz w:val="24"/>
          <w:szCs w:val="24"/>
        </w:rPr>
        <w:t>ting</w:t>
      </w:r>
      <w:r w:rsidR="003A170E" w:rsidRPr="006415CA">
        <w:rPr>
          <w:sz w:val="24"/>
          <w:szCs w:val="24"/>
        </w:rPr>
        <w:t xml:space="preserve"> </w:t>
      </w:r>
      <w:r w:rsidR="003A170E" w:rsidRPr="006415CA">
        <w:rPr>
          <w:sz w:val="24"/>
          <w:szCs w:val="24"/>
        </w:rPr>
        <w:lastRenderedPageBreak/>
        <w:t>information electronically using the Agency’</w:t>
      </w:r>
      <w:r w:rsidR="003A170E">
        <w:rPr>
          <w:sz w:val="24"/>
          <w:szCs w:val="24"/>
        </w:rPr>
        <w:t>s</w:t>
      </w:r>
      <w:r>
        <w:rPr>
          <w:sz w:val="24"/>
          <w:szCs w:val="24"/>
        </w:rPr>
        <w:t xml:space="preserve"> Central Data Exchange (CDX), as described below in Part 4.</w:t>
      </w:r>
    </w:p>
    <w:p w14:paraId="521187FC" w14:textId="77777777" w:rsidR="00B93D35" w:rsidRDefault="00B93D35" w:rsidP="003A170E">
      <w:pPr>
        <w:ind w:firstLine="720"/>
        <w:rPr>
          <w:sz w:val="24"/>
          <w:szCs w:val="24"/>
        </w:rPr>
      </w:pPr>
    </w:p>
    <w:p w14:paraId="7873B637" w14:textId="7B2E0343" w:rsidR="000B5063" w:rsidRDefault="000B5063">
      <w:pPr>
        <w:autoSpaceDE/>
        <w:autoSpaceDN/>
        <w:adjustRightInd/>
        <w:rPr>
          <w:b/>
          <w:bCs/>
          <w:sz w:val="24"/>
          <w:szCs w:val="24"/>
        </w:rPr>
      </w:pPr>
    </w:p>
    <w:p w14:paraId="59412DA8" w14:textId="30DF0FF3" w:rsidR="00841B82" w:rsidRPr="007848C1" w:rsidRDefault="00841B82" w:rsidP="007848C1">
      <w:pPr>
        <w:rPr>
          <w:b/>
          <w:sz w:val="24"/>
          <w:szCs w:val="24"/>
        </w:rPr>
      </w:pPr>
      <w:r>
        <w:rPr>
          <w:b/>
          <w:bCs/>
          <w:sz w:val="24"/>
          <w:szCs w:val="24"/>
        </w:rPr>
        <w:t>2</w:t>
      </w:r>
      <w:r>
        <w:rPr>
          <w:b/>
          <w:bCs/>
          <w:sz w:val="24"/>
          <w:szCs w:val="24"/>
        </w:rPr>
        <w:tab/>
        <w:t>NEED FOR AND USE OF THE COLLECTION</w:t>
      </w:r>
    </w:p>
    <w:p w14:paraId="34815F0C" w14:textId="77777777" w:rsidR="00841B82" w:rsidRDefault="00841B82" w:rsidP="00841B82">
      <w:pPr>
        <w:rPr>
          <w:b/>
          <w:bCs/>
          <w:sz w:val="24"/>
          <w:szCs w:val="24"/>
        </w:rPr>
      </w:pPr>
    </w:p>
    <w:p w14:paraId="6228211B" w14:textId="77777777" w:rsidR="00841B82" w:rsidRDefault="00841B82" w:rsidP="00841B82">
      <w:pPr>
        <w:rPr>
          <w:sz w:val="24"/>
          <w:szCs w:val="24"/>
        </w:rPr>
      </w:pPr>
      <w:r>
        <w:rPr>
          <w:b/>
          <w:bCs/>
          <w:sz w:val="24"/>
          <w:szCs w:val="24"/>
        </w:rPr>
        <w:tab/>
        <w:t xml:space="preserve">2(a) </w:t>
      </w:r>
      <w:r w:rsidR="0000669F">
        <w:rPr>
          <w:b/>
          <w:bCs/>
          <w:sz w:val="24"/>
          <w:szCs w:val="24"/>
        </w:rPr>
        <w:tab/>
      </w:r>
      <w:r>
        <w:rPr>
          <w:b/>
          <w:bCs/>
          <w:sz w:val="24"/>
          <w:szCs w:val="24"/>
        </w:rPr>
        <w:t>Need/Authority for the Collection</w:t>
      </w:r>
    </w:p>
    <w:p w14:paraId="388AE92B" w14:textId="77777777" w:rsidR="00841B82" w:rsidRDefault="00841B82" w:rsidP="00841B82">
      <w:pPr>
        <w:rPr>
          <w:sz w:val="24"/>
          <w:szCs w:val="24"/>
        </w:rPr>
      </w:pPr>
    </w:p>
    <w:p w14:paraId="441FE0BA" w14:textId="051BCBE1" w:rsidR="00841B82" w:rsidRDefault="00841B82" w:rsidP="00841B82">
      <w:pPr>
        <w:rPr>
          <w:sz w:val="24"/>
          <w:szCs w:val="24"/>
        </w:rPr>
      </w:pPr>
      <w:r>
        <w:rPr>
          <w:sz w:val="24"/>
          <w:szCs w:val="24"/>
        </w:rPr>
        <w:tab/>
      </w:r>
      <w:r w:rsidR="00933FFA">
        <w:rPr>
          <w:sz w:val="24"/>
          <w:szCs w:val="24"/>
        </w:rPr>
        <w:t>S</w:t>
      </w:r>
      <w:r w:rsidR="008D1FEB">
        <w:rPr>
          <w:sz w:val="24"/>
          <w:szCs w:val="24"/>
        </w:rPr>
        <w:t>ection 8</w:t>
      </w:r>
      <w:r>
        <w:rPr>
          <w:sz w:val="24"/>
          <w:szCs w:val="24"/>
        </w:rPr>
        <w:t>(e) continues to be an important and useful tool for early warning and identification of potential substantial risk situations allowing EPA and others to focus their limited resources on chemicals or mixtur</w:t>
      </w:r>
      <w:r w:rsidR="009660D6">
        <w:rPr>
          <w:sz w:val="24"/>
          <w:szCs w:val="24"/>
        </w:rPr>
        <w:t xml:space="preserve">es of highest concern. </w:t>
      </w:r>
      <w:r>
        <w:rPr>
          <w:sz w:val="24"/>
          <w:szCs w:val="24"/>
        </w:rPr>
        <w:t>The submi</w:t>
      </w:r>
      <w:r w:rsidR="007B5D3D">
        <w:rPr>
          <w:sz w:val="24"/>
          <w:szCs w:val="24"/>
        </w:rPr>
        <w:t xml:space="preserve">ssion of  </w:t>
      </w:r>
      <w:r w:rsidR="009A28A1">
        <w:rPr>
          <w:sz w:val="24"/>
          <w:szCs w:val="24"/>
        </w:rPr>
        <w:t>s</w:t>
      </w:r>
      <w:r w:rsidR="008D1FEB">
        <w:rPr>
          <w:sz w:val="24"/>
          <w:szCs w:val="24"/>
        </w:rPr>
        <w:t>ection 8</w:t>
      </w:r>
      <w:r>
        <w:rPr>
          <w:sz w:val="24"/>
          <w:szCs w:val="24"/>
        </w:rPr>
        <w:t>(e) information makes it possible for the Agency and others to learn quickly about potential new chemical hazards/risks posed by exposure to chemical substances, to conduct more complete assessments and, if needed, effective action to eliminate or reduce such risks in a timely manner.</w:t>
      </w:r>
    </w:p>
    <w:p w14:paraId="15FD0BB3" w14:textId="77777777" w:rsidR="00841B82" w:rsidRDefault="00841B82" w:rsidP="00841B82">
      <w:pPr>
        <w:rPr>
          <w:sz w:val="24"/>
          <w:szCs w:val="24"/>
        </w:rPr>
      </w:pPr>
    </w:p>
    <w:p w14:paraId="27B69A7C" w14:textId="604BF4D4" w:rsidR="00841B82" w:rsidRDefault="00841B82" w:rsidP="00841B82">
      <w:pPr>
        <w:rPr>
          <w:sz w:val="24"/>
          <w:szCs w:val="24"/>
        </w:rPr>
      </w:pPr>
      <w:r>
        <w:rPr>
          <w:sz w:val="24"/>
          <w:szCs w:val="24"/>
        </w:rPr>
        <w:tab/>
        <w:t xml:space="preserve">The statutory authority for </w:t>
      </w:r>
      <w:r w:rsidR="007B5D3D">
        <w:rPr>
          <w:sz w:val="24"/>
          <w:szCs w:val="24"/>
        </w:rPr>
        <w:t xml:space="preserve">this information collection is </w:t>
      </w:r>
      <w:r w:rsidR="008D1FEB">
        <w:rPr>
          <w:sz w:val="24"/>
          <w:szCs w:val="24"/>
        </w:rPr>
        <w:t>section 8</w:t>
      </w:r>
      <w:r>
        <w:rPr>
          <w:sz w:val="24"/>
          <w:szCs w:val="24"/>
        </w:rPr>
        <w:t>(e</w:t>
      </w:r>
      <w:r w:rsidR="009660D6">
        <w:rPr>
          <w:sz w:val="24"/>
          <w:szCs w:val="24"/>
        </w:rPr>
        <w:t xml:space="preserve">) of TSCA (15 U.S.C. 2607(e)). </w:t>
      </w:r>
      <w:r>
        <w:rPr>
          <w:sz w:val="24"/>
          <w:szCs w:val="24"/>
        </w:rPr>
        <w:t>No formal rule-making by the Ag</w:t>
      </w:r>
      <w:r w:rsidR="007B5D3D">
        <w:rPr>
          <w:sz w:val="24"/>
          <w:szCs w:val="24"/>
        </w:rPr>
        <w:t xml:space="preserve">ency was required to implement </w:t>
      </w:r>
      <w:r w:rsidR="008D1FEB">
        <w:rPr>
          <w:sz w:val="24"/>
          <w:szCs w:val="24"/>
        </w:rPr>
        <w:t>section 8</w:t>
      </w:r>
      <w:r w:rsidR="007B5D3D">
        <w:rPr>
          <w:sz w:val="24"/>
          <w:szCs w:val="24"/>
        </w:rPr>
        <w:t xml:space="preserve">(e), in that </w:t>
      </w:r>
      <w:r w:rsidR="008D1FEB">
        <w:rPr>
          <w:sz w:val="24"/>
          <w:szCs w:val="24"/>
        </w:rPr>
        <w:t>section 8</w:t>
      </w:r>
      <w:r>
        <w:rPr>
          <w:sz w:val="24"/>
          <w:szCs w:val="24"/>
        </w:rPr>
        <w:t>(e) was a self-activating reporting provision of TSCA that became immediately effective on January 1, 1977 (t</w:t>
      </w:r>
      <w:r w:rsidR="009660D6">
        <w:rPr>
          <w:sz w:val="24"/>
          <w:szCs w:val="24"/>
        </w:rPr>
        <w:t xml:space="preserve">he effective date of the Act). </w:t>
      </w:r>
      <w:r>
        <w:rPr>
          <w:sz w:val="24"/>
          <w:szCs w:val="24"/>
        </w:rPr>
        <w:t>However, in order</w:t>
      </w:r>
      <w:r w:rsidR="007B5D3D">
        <w:rPr>
          <w:sz w:val="24"/>
          <w:szCs w:val="24"/>
        </w:rPr>
        <w:t xml:space="preserve"> to facilitate compliance with </w:t>
      </w:r>
      <w:r w:rsidR="008D1FEB">
        <w:rPr>
          <w:sz w:val="24"/>
          <w:szCs w:val="24"/>
        </w:rPr>
        <w:t>section 8</w:t>
      </w:r>
      <w:r>
        <w:rPr>
          <w:sz w:val="24"/>
          <w:szCs w:val="24"/>
        </w:rPr>
        <w:t>(e), EPA clarified the kinds of information that constitute substantial risk information, specified the types of information exempt from the reporting requirements, and outlined standard reporting procedures, in published proposed guidance (42</w:t>
      </w:r>
      <w:r w:rsidR="009660D6">
        <w:rPr>
          <w:sz w:val="24"/>
          <w:szCs w:val="24"/>
        </w:rPr>
        <w:t xml:space="preserve"> FR 45362; September 9, 1977). </w:t>
      </w:r>
      <w:r>
        <w:rPr>
          <w:sz w:val="24"/>
          <w:szCs w:val="24"/>
        </w:rPr>
        <w:t>After holding several public meetings and considering the p</w:t>
      </w:r>
      <w:r w:rsidR="007B5D3D">
        <w:rPr>
          <w:sz w:val="24"/>
          <w:szCs w:val="24"/>
        </w:rPr>
        <w:t xml:space="preserve">ublic comments on the proposed </w:t>
      </w:r>
      <w:r w:rsidR="008D1FEB">
        <w:rPr>
          <w:sz w:val="24"/>
          <w:szCs w:val="24"/>
        </w:rPr>
        <w:t>section 8</w:t>
      </w:r>
      <w:r>
        <w:rPr>
          <w:sz w:val="24"/>
          <w:szCs w:val="24"/>
        </w:rPr>
        <w:t xml:space="preserve">(e) guidance, the Agency published its final “Statement of Interpretation and Enforcement Policy; Notification of Substantial Risk” </w:t>
      </w:r>
      <w:r w:rsidR="009660D6">
        <w:rPr>
          <w:sz w:val="24"/>
          <w:szCs w:val="24"/>
        </w:rPr>
        <w:t xml:space="preserve">(43 FR 11110; March 16, 1978). </w:t>
      </w:r>
      <w:r>
        <w:rPr>
          <w:sz w:val="24"/>
          <w:szCs w:val="24"/>
        </w:rPr>
        <w:t>In June 1991, EPA published a “</w:t>
      </w:r>
      <w:r w:rsidR="008D1FEB">
        <w:rPr>
          <w:sz w:val="24"/>
          <w:szCs w:val="24"/>
        </w:rPr>
        <w:t>Section 8</w:t>
      </w:r>
      <w:r>
        <w:rPr>
          <w:sz w:val="24"/>
          <w:szCs w:val="24"/>
        </w:rPr>
        <w:t xml:space="preserve">(e) Reporting Guide” further </w:t>
      </w:r>
      <w:r w:rsidR="009660D6">
        <w:rPr>
          <w:sz w:val="24"/>
          <w:szCs w:val="24"/>
        </w:rPr>
        <w:t xml:space="preserve">to </w:t>
      </w:r>
      <w:r>
        <w:rPr>
          <w:sz w:val="24"/>
          <w:szCs w:val="24"/>
        </w:rPr>
        <w:t>assist the regulat</w:t>
      </w:r>
      <w:r w:rsidR="007B5D3D">
        <w:rPr>
          <w:sz w:val="24"/>
          <w:szCs w:val="24"/>
        </w:rPr>
        <w:t xml:space="preserve">ed community in complying with </w:t>
      </w:r>
      <w:r w:rsidR="008D1FEB">
        <w:rPr>
          <w:sz w:val="24"/>
          <w:szCs w:val="24"/>
        </w:rPr>
        <w:t>section 8</w:t>
      </w:r>
      <w:r w:rsidR="009660D6">
        <w:rPr>
          <w:sz w:val="24"/>
          <w:szCs w:val="24"/>
        </w:rPr>
        <w:t xml:space="preserve">(e). </w:t>
      </w:r>
      <w:r>
        <w:rPr>
          <w:sz w:val="24"/>
          <w:szCs w:val="24"/>
        </w:rPr>
        <w:t>The 1991 Reporting Guide references examples of  submitted information and EPA’s comments on these submissions to help pers</w:t>
      </w:r>
      <w:r w:rsidR="007B5D3D">
        <w:rPr>
          <w:sz w:val="24"/>
          <w:szCs w:val="24"/>
        </w:rPr>
        <w:t xml:space="preserve">ons subject to </w:t>
      </w:r>
      <w:r w:rsidR="008D1FEB">
        <w:rPr>
          <w:sz w:val="24"/>
          <w:szCs w:val="24"/>
        </w:rPr>
        <w:t>section 8</w:t>
      </w:r>
      <w:r>
        <w:rPr>
          <w:sz w:val="24"/>
          <w:szCs w:val="24"/>
        </w:rPr>
        <w:t xml:space="preserve">(e) better understand the types of information that are </w:t>
      </w:r>
      <w:r w:rsidR="007B5D3D">
        <w:rPr>
          <w:sz w:val="24"/>
          <w:szCs w:val="24"/>
        </w:rPr>
        <w:t xml:space="preserve">reportable under </w:t>
      </w:r>
      <w:r w:rsidR="008D1FEB">
        <w:rPr>
          <w:sz w:val="24"/>
          <w:szCs w:val="24"/>
        </w:rPr>
        <w:t>section 8</w:t>
      </w:r>
      <w:r w:rsidR="00762937">
        <w:rPr>
          <w:sz w:val="24"/>
          <w:szCs w:val="24"/>
        </w:rPr>
        <w:t xml:space="preserve">(e). </w:t>
      </w:r>
      <w:r>
        <w:rPr>
          <w:sz w:val="24"/>
          <w:szCs w:val="24"/>
        </w:rPr>
        <w:t xml:space="preserve">The 1991 Guide also includes dose ranges and exposure factors </w:t>
      </w:r>
      <w:r w:rsidR="007B5D3D">
        <w:rPr>
          <w:sz w:val="24"/>
          <w:szCs w:val="24"/>
        </w:rPr>
        <w:t xml:space="preserve">to consider in determining the </w:t>
      </w:r>
      <w:r w:rsidR="008D1FEB">
        <w:rPr>
          <w:sz w:val="24"/>
          <w:szCs w:val="24"/>
        </w:rPr>
        <w:t>section 8</w:t>
      </w:r>
      <w:r>
        <w:rPr>
          <w:sz w:val="24"/>
          <w:szCs w:val="24"/>
        </w:rPr>
        <w:t>(e) reportability of acute lethality data.</w:t>
      </w:r>
    </w:p>
    <w:p w14:paraId="23515353" w14:textId="77777777" w:rsidR="00841B82" w:rsidRDefault="00841B82" w:rsidP="00841B82">
      <w:pPr>
        <w:rPr>
          <w:sz w:val="24"/>
          <w:szCs w:val="24"/>
        </w:rPr>
      </w:pPr>
    </w:p>
    <w:p w14:paraId="01F66D8C" w14:textId="68A8CDD6" w:rsidR="00841B82" w:rsidRDefault="00841B82" w:rsidP="00841B82">
      <w:pPr>
        <w:rPr>
          <w:sz w:val="24"/>
          <w:szCs w:val="24"/>
        </w:rPr>
      </w:pPr>
      <w:r>
        <w:rPr>
          <w:sz w:val="24"/>
          <w:szCs w:val="24"/>
        </w:rPr>
        <w:tab/>
        <w:t>In February of 1991, th</w:t>
      </w:r>
      <w:r w:rsidR="007B5D3D">
        <w:rPr>
          <w:sz w:val="24"/>
          <w:szCs w:val="24"/>
        </w:rPr>
        <w:t xml:space="preserve">e Agency initiated a voluntary </w:t>
      </w:r>
      <w:r w:rsidR="008D1FEB">
        <w:rPr>
          <w:sz w:val="24"/>
          <w:szCs w:val="24"/>
        </w:rPr>
        <w:t>section 8</w:t>
      </w:r>
      <w:r>
        <w:rPr>
          <w:sz w:val="24"/>
          <w:szCs w:val="24"/>
        </w:rPr>
        <w:t>(e) “C</w:t>
      </w:r>
      <w:r w:rsidR="009660D6">
        <w:rPr>
          <w:sz w:val="24"/>
          <w:szCs w:val="24"/>
        </w:rPr>
        <w:t>ompliance Audit Program” (CAP).</w:t>
      </w:r>
      <w:r>
        <w:rPr>
          <w:sz w:val="24"/>
          <w:szCs w:val="24"/>
        </w:rPr>
        <w:t xml:space="preserve"> This compliance p</w:t>
      </w:r>
      <w:r w:rsidR="007B5D3D">
        <w:rPr>
          <w:sz w:val="24"/>
          <w:szCs w:val="24"/>
        </w:rPr>
        <w:t xml:space="preserve">rogram, which followed several </w:t>
      </w:r>
      <w:r w:rsidR="008D1FEB" w:rsidRPr="008D1FEB">
        <w:rPr>
          <w:sz w:val="24"/>
          <w:szCs w:val="24"/>
        </w:rPr>
        <w:t xml:space="preserve">section </w:t>
      </w:r>
      <w:r w:rsidR="008D1FEB">
        <w:rPr>
          <w:sz w:val="24"/>
          <w:szCs w:val="24"/>
        </w:rPr>
        <w:t>8</w:t>
      </w:r>
      <w:r>
        <w:rPr>
          <w:sz w:val="24"/>
          <w:szCs w:val="24"/>
        </w:rPr>
        <w:t>(e) enforcement cases indicating that some com</w:t>
      </w:r>
      <w:r w:rsidR="007B5D3D">
        <w:rPr>
          <w:sz w:val="24"/>
          <w:szCs w:val="24"/>
        </w:rPr>
        <w:t xml:space="preserve">panies were not complying with </w:t>
      </w:r>
      <w:r w:rsidR="008D1FEB" w:rsidRPr="008D1FEB">
        <w:rPr>
          <w:sz w:val="24"/>
          <w:szCs w:val="24"/>
        </w:rPr>
        <w:t xml:space="preserve">section </w:t>
      </w:r>
      <w:r w:rsidR="008D1FEB">
        <w:rPr>
          <w:sz w:val="24"/>
          <w:szCs w:val="24"/>
        </w:rPr>
        <w:t>8</w:t>
      </w:r>
      <w:r>
        <w:rPr>
          <w:sz w:val="24"/>
          <w:szCs w:val="24"/>
        </w:rPr>
        <w:t>(e) reporting requirements, was designed to 1) achieve EPA’s goa</w:t>
      </w:r>
      <w:r w:rsidR="007B5D3D">
        <w:rPr>
          <w:sz w:val="24"/>
          <w:szCs w:val="24"/>
        </w:rPr>
        <w:t xml:space="preserve">l of obtaining any outstanding </w:t>
      </w:r>
      <w:r w:rsidR="009A28A1">
        <w:rPr>
          <w:sz w:val="24"/>
          <w:szCs w:val="24"/>
        </w:rPr>
        <w:t>s</w:t>
      </w:r>
      <w:r w:rsidR="008D1FEB">
        <w:rPr>
          <w:sz w:val="24"/>
          <w:szCs w:val="24"/>
        </w:rPr>
        <w:t>ection 8</w:t>
      </w:r>
      <w:r>
        <w:rPr>
          <w:sz w:val="24"/>
          <w:szCs w:val="24"/>
        </w:rPr>
        <w:t>(e) data, and 2) provide maximum encouragement to companies to vol</w:t>
      </w:r>
      <w:r w:rsidR="007B5D3D">
        <w:rPr>
          <w:sz w:val="24"/>
          <w:szCs w:val="24"/>
        </w:rPr>
        <w:t xml:space="preserve">untarily audit their files for </w:t>
      </w:r>
      <w:r w:rsidR="008D1FEB" w:rsidRPr="008D1FEB">
        <w:rPr>
          <w:sz w:val="24"/>
          <w:szCs w:val="24"/>
        </w:rPr>
        <w:t xml:space="preserve">section </w:t>
      </w:r>
      <w:r w:rsidR="008D1FEB">
        <w:rPr>
          <w:sz w:val="24"/>
          <w:szCs w:val="24"/>
        </w:rPr>
        <w:t>8</w:t>
      </w:r>
      <w:r>
        <w:rPr>
          <w:sz w:val="24"/>
          <w:szCs w:val="24"/>
        </w:rPr>
        <w:t>(e</w:t>
      </w:r>
      <w:r w:rsidR="009660D6">
        <w:rPr>
          <w:sz w:val="24"/>
          <w:szCs w:val="24"/>
        </w:rPr>
        <w:t xml:space="preserve">)-reportable information. </w:t>
      </w:r>
      <w:r w:rsidR="007B5D3D">
        <w:rPr>
          <w:sz w:val="24"/>
          <w:szCs w:val="24"/>
        </w:rPr>
        <w:t xml:space="preserve">The </w:t>
      </w:r>
      <w:r w:rsidR="008D1FEB" w:rsidRPr="008D1FEB">
        <w:rPr>
          <w:sz w:val="24"/>
          <w:szCs w:val="24"/>
        </w:rPr>
        <w:t xml:space="preserve">section </w:t>
      </w:r>
      <w:r w:rsidR="008D1FEB">
        <w:rPr>
          <w:sz w:val="24"/>
          <w:szCs w:val="24"/>
        </w:rPr>
        <w:t>8</w:t>
      </w:r>
      <w:r>
        <w:rPr>
          <w:sz w:val="24"/>
          <w:szCs w:val="24"/>
        </w:rPr>
        <w:t>(e) CAP involved consent agreements/orders pursuant to section 15 of TSCA, stipulated monetary penalties and an overall penalty ceiling.  123 companies elected to participa</w:t>
      </w:r>
      <w:r w:rsidR="007B5D3D">
        <w:rPr>
          <w:sz w:val="24"/>
          <w:szCs w:val="24"/>
        </w:rPr>
        <w:t xml:space="preserve">te voluntarily in the Agency’s </w:t>
      </w:r>
      <w:r w:rsidR="008D1FEB" w:rsidRPr="008D1FEB">
        <w:rPr>
          <w:sz w:val="24"/>
          <w:szCs w:val="24"/>
        </w:rPr>
        <w:t xml:space="preserve">section </w:t>
      </w:r>
      <w:r w:rsidR="008D1FEB">
        <w:rPr>
          <w:sz w:val="24"/>
          <w:szCs w:val="24"/>
        </w:rPr>
        <w:t>8</w:t>
      </w:r>
      <w:r w:rsidR="009660D6">
        <w:rPr>
          <w:sz w:val="24"/>
          <w:szCs w:val="24"/>
        </w:rPr>
        <w:t xml:space="preserve">(e) CAP activity. </w:t>
      </w:r>
      <w:r>
        <w:rPr>
          <w:sz w:val="24"/>
          <w:szCs w:val="24"/>
        </w:rPr>
        <w:t>The CAP was terminated on May 15, 1996</w:t>
      </w:r>
      <w:r w:rsidR="008D1FEB">
        <w:rPr>
          <w:sz w:val="24"/>
          <w:szCs w:val="24"/>
        </w:rPr>
        <w:t>,</w:t>
      </w:r>
      <w:r>
        <w:rPr>
          <w:sz w:val="24"/>
          <w:szCs w:val="24"/>
        </w:rPr>
        <w:t xml:space="preserve"> and settlements with CAP participants were announced on October 15, 1996.</w:t>
      </w:r>
    </w:p>
    <w:p w14:paraId="65D557E4" w14:textId="77777777" w:rsidR="00841B82" w:rsidRDefault="00841B82" w:rsidP="00841B82">
      <w:pPr>
        <w:rPr>
          <w:sz w:val="24"/>
          <w:szCs w:val="24"/>
        </w:rPr>
      </w:pPr>
    </w:p>
    <w:p w14:paraId="4499C356" w14:textId="167F12D6" w:rsidR="00841B82" w:rsidRDefault="007B5D3D" w:rsidP="00841B82">
      <w:pPr>
        <w:rPr>
          <w:sz w:val="24"/>
          <w:szCs w:val="24"/>
        </w:rPr>
      </w:pPr>
      <w:r>
        <w:rPr>
          <w:sz w:val="24"/>
          <w:szCs w:val="24"/>
        </w:rPr>
        <w:tab/>
        <w:t xml:space="preserve">In implementing the </w:t>
      </w:r>
      <w:r w:rsidR="009A28A1">
        <w:rPr>
          <w:sz w:val="24"/>
          <w:szCs w:val="24"/>
        </w:rPr>
        <w:t>s</w:t>
      </w:r>
      <w:r w:rsidR="008D1FEB">
        <w:rPr>
          <w:sz w:val="24"/>
          <w:szCs w:val="24"/>
        </w:rPr>
        <w:t>ection 8</w:t>
      </w:r>
      <w:r w:rsidR="00841B82">
        <w:rPr>
          <w:sz w:val="24"/>
          <w:szCs w:val="24"/>
        </w:rPr>
        <w:t>(e) CAP, EPA determined that there was a need to suspend and ref</w:t>
      </w:r>
      <w:r w:rsidR="00A26CD9">
        <w:rPr>
          <w:sz w:val="24"/>
          <w:szCs w:val="24"/>
        </w:rPr>
        <w:t xml:space="preserve">ine those portions of the 1978 </w:t>
      </w:r>
      <w:r w:rsidR="008D1FEB" w:rsidRPr="008D1FEB">
        <w:rPr>
          <w:sz w:val="24"/>
          <w:szCs w:val="24"/>
        </w:rPr>
        <w:t xml:space="preserve">section </w:t>
      </w:r>
      <w:r w:rsidR="008D1FEB">
        <w:rPr>
          <w:sz w:val="24"/>
          <w:szCs w:val="24"/>
        </w:rPr>
        <w:t>8</w:t>
      </w:r>
      <w:r w:rsidR="00841B82">
        <w:rPr>
          <w:sz w:val="24"/>
          <w:szCs w:val="24"/>
        </w:rPr>
        <w:t>(e) Policy Statement that deal specifically with the reportability of chemical releases to the environment and the detection of toxic ch</w:t>
      </w:r>
      <w:r w:rsidR="009660D6">
        <w:rPr>
          <w:sz w:val="24"/>
          <w:szCs w:val="24"/>
        </w:rPr>
        <w:t xml:space="preserve">emicals in </w:t>
      </w:r>
      <w:r w:rsidR="009660D6">
        <w:rPr>
          <w:sz w:val="24"/>
          <w:szCs w:val="24"/>
        </w:rPr>
        <w:lastRenderedPageBreak/>
        <w:t>environmental media.</w:t>
      </w:r>
      <w:r w:rsidR="00841B82">
        <w:rPr>
          <w:sz w:val="24"/>
          <w:szCs w:val="24"/>
        </w:rPr>
        <w:t xml:space="preserve"> On July 13, 1993 (58 FR 37735), EPA published proposed guidance on the detection of toxic chemicals in environmental media. EPA received comments from 49 companies and industry associations. Based on the submitted comments and a number of meetings with industry representatives, EPA revised the proposed guidance and made it available for additional public comment through a notice in the </w:t>
      </w:r>
      <w:r w:rsidR="00841B82">
        <w:rPr>
          <w:sz w:val="24"/>
          <w:szCs w:val="24"/>
          <w:u w:val="single"/>
        </w:rPr>
        <w:t>Federal Register</w:t>
      </w:r>
      <w:r w:rsidR="00841B82">
        <w:rPr>
          <w:sz w:val="24"/>
          <w:szCs w:val="24"/>
        </w:rPr>
        <w:t xml:space="preserve"> published on</w:t>
      </w:r>
      <w:r w:rsidR="009660D6">
        <w:rPr>
          <w:sz w:val="24"/>
          <w:szCs w:val="24"/>
        </w:rPr>
        <w:t xml:space="preserve"> March 20, 1995 (60 FR 14756). </w:t>
      </w:r>
      <w:r w:rsidR="00841B82">
        <w:rPr>
          <w:sz w:val="24"/>
          <w:szCs w:val="24"/>
        </w:rPr>
        <w:t>In response, EPA recei</w:t>
      </w:r>
      <w:r w:rsidR="009660D6">
        <w:rPr>
          <w:sz w:val="24"/>
          <w:szCs w:val="24"/>
        </w:rPr>
        <w:t xml:space="preserve">ved an additional 22 comments. </w:t>
      </w:r>
      <w:r w:rsidR="00841B82">
        <w:rPr>
          <w:sz w:val="24"/>
          <w:szCs w:val="24"/>
        </w:rPr>
        <w:t>While the comments offered additional refinements to the revised guidance, their basic tenor was that industry was in support of the changes.</w:t>
      </w:r>
    </w:p>
    <w:p w14:paraId="59E78E3C" w14:textId="77777777" w:rsidR="00841B82" w:rsidRDefault="00841B82" w:rsidP="00841B82">
      <w:pPr>
        <w:rPr>
          <w:sz w:val="24"/>
          <w:szCs w:val="24"/>
        </w:rPr>
      </w:pPr>
    </w:p>
    <w:p w14:paraId="23488564" w14:textId="263405EC" w:rsidR="00841B82" w:rsidRDefault="00841B82" w:rsidP="00841B82">
      <w:pPr>
        <w:rPr>
          <w:sz w:val="24"/>
          <w:szCs w:val="24"/>
        </w:rPr>
      </w:pPr>
      <w:r>
        <w:rPr>
          <w:sz w:val="24"/>
          <w:szCs w:val="24"/>
        </w:rPr>
        <w:tab/>
        <w:t>Beginning in 1996, there was an ongoing collaboration between EPA and industry to develop a question and answer (Q&amp;A) document to promote industry understanding of and compliance with th</w:t>
      </w:r>
      <w:r w:rsidR="00A26CD9">
        <w:rPr>
          <w:sz w:val="24"/>
          <w:szCs w:val="24"/>
        </w:rPr>
        <w:t xml:space="preserve">e Agency’s anticipated revised </w:t>
      </w:r>
      <w:r w:rsidR="008D1FEB">
        <w:rPr>
          <w:sz w:val="24"/>
          <w:szCs w:val="24"/>
        </w:rPr>
        <w:t>section 8</w:t>
      </w:r>
      <w:r>
        <w:rPr>
          <w:sz w:val="24"/>
          <w:szCs w:val="24"/>
        </w:rPr>
        <w:t xml:space="preserve">(e) reporting criteria for environmental release </w:t>
      </w:r>
      <w:r w:rsidR="009660D6">
        <w:rPr>
          <w:sz w:val="24"/>
          <w:szCs w:val="24"/>
        </w:rPr>
        <w:t xml:space="preserve">and contamination information. </w:t>
      </w:r>
      <w:r>
        <w:rPr>
          <w:sz w:val="24"/>
          <w:szCs w:val="24"/>
        </w:rPr>
        <w:t>The intent was to make the Q&amp;A publicly available before the r</w:t>
      </w:r>
      <w:r w:rsidR="009660D6">
        <w:rPr>
          <w:sz w:val="24"/>
          <w:szCs w:val="24"/>
        </w:rPr>
        <w:t>evised guidance was published. However,</w:t>
      </w:r>
      <w:r>
        <w:rPr>
          <w:sz w:val="24"/>
          <w:szCs w:val="24"/>
        </w:rPr>
        <w:t xml:space="preserve"> the finalized Q&amp;A document was not yet available when the revised guidance, “TSCA </w:t>
      </w:r>
      <w:r w:rsidR="008D1FEB">
        <w:rPr>
          <w:sz w:val="24"/>
          <w:szCs w:val="24"/>
        </w:rPr>
        <w:t>Section 8</w:t>
      </w:r>
      <w:r>
        <w:rPr>
          <w:sz w:val="24"/>
          <w:szCs w:val="24"/>
        </w:rPr>
        <w:t xml:space="preserve">(e); Notification of Substantial Risk; Policy Clarification and Reporting Guidance” (68 FR 33129-33139), </w:t>
      </w:r>
      <w:r w:rsidR="009660D6">
        <w:rPr>
          <w:sz w:val="24"/>
          <w:szCs w:val="24"/>
        </w:rPr>
        <w:t xml:space="preserve">was published on June 3, 2003. </w:t>
      </w:r>
      <w:r>
        <w:rPr>
          <w:sz w:val="24"/>
          <w:szCs w:val="24"/>
        </w:rPr>
        <w:t xml:space="preserve">The revised guidance included a re-publication of the 1978 Policy Statement and incorporated revisions that address the reporting of information on the release of chemical substances to the environment and the detection of toxic chemicals in environmental media.  Also included in the June 2003 Reporting Guidance </w:t>
      </w:r>
      <w:r w:rsidR="009660D6">
        <w:rPr>
          <w:sz w:val="24"/>
          <w:szCs w:val="24"/>
        </w:rPr>
        <w:t>wa</w:t>
      </w:r>
      <w:r>
        <w:rPr>
          <w:sz w:val="24"/>
          <w:szCs w:val="24"/>
        </w:rPr>
        <w:t>s a change in the deadline for reporting “substantial risk” information to the Agency (from 15 working days to 30 calendar days) and the circumstances under which certain information nee</w:t>
      </w:r>
      <w:r w:rsidR="00A26CD9">
        <w:rPr>
          <w:sz w:val="24"/>
          <w:szCs w:val="24"/>
        </w:rPr>
        <w:t xml:space="preserve">d not be reported to EPA under </w:t>
      </w:r>
      <w:r w:rsidR="008D1FEB" w:rsidRPr="008D1FEB">
        <w:rPr>
          <w:sz w:val="24"/>
          <w:szCs w:val="24"/>
        </w:rPr>
        <w:t xml:space="preserve">section </w:t>
      </w:r>
      <w:r w:rsidR="008D1FEB">
        <w:rPr>
          <w:sz w:val="24"/>
          <w:szCs w:val="24"/>
        </w:rPr>
        <w:t>8</w:t>
      </w:r>
      <w:r w:rsidR="009660D6">
        <w:rPr>
          <w:sz w:val="24"/>
          <w:szCs w:val="24"/>
        </w:rPr>
        <w:t>(e).</w:t>
      </w:r>
      <w:r>
        <w:rPr>
          <w:sz w:val="24"/>
          <w:szCs w:val="24"/>
        </w:rPr>
        <w:t xml:space="preserve">  In a subsequent </w:t>
      </w:r>
      <w:r>
        <w:rPr>
          <w:sz w:val="24"/>
          <w:szCs w:val="24"/>
          <w:u w:val="single"/>
        </w:rPr>
        <w:t>Federal Register</w:t>
      </w:r>
      <w:r>
        <w:rPr>
          <w:sz w:val="24"/>
          <w:szCs w:val="24"/>
        </w:rPr>
        <w:t xml:space="preserve"> Notice, “TSCA </w:t>
      </w:r>
      <w:r w:rsidR="008D1FEB">
        <w:rPr>
          <w:sz w:val="24"/>
          <w:szCs w:val="24"/>
        </w:rPr>
        <w:t>Section 8</w:t>
      </w:r>
      <w:r>
        <w:rPr>
          <w:sz w:val="24"/>
          <w:szCs w:val="24"/>
        </w:rPr>
        <w:t xml:space="preserve">(e) Reporting Guidance; Correction, Clarification of Applicability, and Announcement Regarding the Issuance (of) Questions and Answers” (70 FR 2162-2164), EPA announced certain corrections to the June 2003 Reporting Guidance (due to transcription errors from the 1978 Policy Statement that appeared in the June 2003 Guidance), stated that the applicability date for the June 2003 Guidance Document was the publication date, and announced the availability </w:t>
      </w:r>
      <w:r w:rsidR="00A26CD9">
        <w:rPr>
          <w:sz w:val="24"/>
          <w:szCs w:val="24"/>
        </w:rPr>
        <w:t xml:space="preserve">of a Q&amp;A document on the </w:t>
      </w:r>
      <w:r w:rsidR="008D1FEB">
        <w:rPr>
          <w:sz w:val="24"/>
          <w:szCs w:val="24"/>
        </w:rPr>
        <w:t>section 8</w:t>
      </w:r>
      <w:r>
        <w:rPr>
          <w:sz w:val="24"/>
          <w:szCs w:val="24"/>
        </w:rPr>
        <w:t>(e) reportability of releases of chemical substances to the environment and the detection of toxic chemicals in environmental media.  This Q&amp;A document included only a few of the items drafted earlier by industry stakeholders with EPA participation</w:t>
      </w:r>
      <w:r w:rsidR="005F6FEF">
        <w:rPr>
          <w:sz w:val="24"/>
          <w:szCs w:val="24"/>
        </w:rPr>
        <w:t xml:space="preserve">. </w:t>
      </w:r>
      <w:r>
        <w:rPr>
          <w:sz w:val="24"/>
          <w:szCs w:val="24"/>
        </w:rPr>
        <w:t xml:space="preserve">EPA </w:t>
      </w:r>
      <w:r w:rsidR="005F6FEF">
        <w:rPr>
          <w:sz w:val="24"/>
          <w:szCs w:val="24"/>
        </w:rPr>
        <w:t xml:space="preserve">currently maintains </w:t>
      </w:r>
      <w:r w:rsidR="008D1FEB">
        <w:rPr>
          <w:sz w:val="24"/>
          <w:szCs w:val="24"/>
        </w:rPr>
        <w:t>section 8</w:t>
      </w:r>
      <w:r>
        <w:rPr>
          <w:sz w:val="24"/>
          <w:szCs w:val="24"/>
        </w:rPr>
        <w:t xml:space="preserve">(e) </w:t>
      </w:r>
      <w:r w:rsidR="009660D6">
        <w:rPr>
          <w:sz w:val="24"/>
          <w:szCs w:val="24"/>
        </w:rPr>
        <w:t xml:space="preserve">information </w:t>
      </w:r>
      <w:r>
        <w:rPr>
          <w:sz w:val="24"/>
          <w:szCs w:val="24"/>
        </w:rPr>
        <w:t>on environmental</w:t>
      </w:r>
      <w:r w:rsidR="00A26CD9">
        <w:rPr>
          <w:sz w:val="24"/>
          <w:szCs w:val="24"/>
        </w:rPr>
        <w:t xml:space="preserve"> releases and other aspects of </w:t>
      </w:r>
      <w:r w:rsidR="008D1FEB" w:rsidRPr="008D1FEB">
        <w:rPr>
          <w:sz w:val="24"/>
          <w:szCs w:val="24"/>
        </w:rPr>
        <w:t xml:space="preserve">section </w:t>
      </w:r>
      <w:r w:rsidR="008D1FEB">
        <w:rPr>
          <w:sz w:val="24"/>
          <w:szCs w:val="24"/>
        </w:rPr>
        <w:t>8</w:t>
      </w:r>
      <w:r>
        <w:rPr>
          <w:sz w:val="24"/>
          <w:szCs w:val="24"/>
        </w:rPr>
        <w:t>(e) reporting.</w:t>
      </w:r>
      <w:r w:rsidR="009660D6">
        <w:rPr>
          <w:sz w:val="24"/>
          <w:szCs w:val="24"/>
        </w:rPr>
        <w:t xml:space="preserve"> This information is available </w:t>
      </w:r>
      <w:r w:rsidR="009660D6" w:rsidRPr="009660D6">
        <w:rPr>
          <w:sz w:val="24"/>
          <w:szCs w:val="24"/>
        </w:rPr>
        <w:t>via the Chemical Data Access Tool (CDAT) (</w:t>
      </w:r>
      <w:hyperlink r:id="rId11" w:history="1">
        <w:r w:rsidR="009660D6" w:rsidRPr="005C73D8">
          <w:rPr>
            <w:rStyle w:val="Hyperlink"/>
            <w:sz w:val="24"/>
            <w:szCs w:val="24"/>
          </w:rPr>
          <w:t>https://java.epa.gov/oppt_chemical_search/</w:t>
        </w:r>
      </w:hyperlink>
      <w:r w:rsidR="009660D6" w:rsidRPr="009660D6">
        <w:rPr>
          <w:sz w:val="24"/>
          <w:szCs w:val="24"/>
        </w:rPr>
        <w:t>)</w:t>
      </w:r>
      <w:r w:rsidR="009660D6">
        <w:rPr>
          <w:sz w:val="24"/>
          <w:szCs w:val="24"/>
        </w:rPr>
        <w:t>.</w:t>
      </w:r>
    </w:p>
    <w:p w14:paraId="30320EE4" w14:textId="77777777" w:rsidR="00841B82" w:rsidRDefault="00841B82" w:rsidP="00841B82">
      <w:pPr>
        <w:rPr>
          <w:sz w:val="24"/>
          <w:szCs w:val="24"/>
        </w:rPr>
      </w:pPr>
    </w:p>
    <w:p w14:paraId="0B721833" w14:textId="77777777" w:rsidR="00841B82" w:rsidRDefault="00841B82" w:rsidP="00841B82">
      <w:pPr>
        <w:rPr>
          <w:sz w:val="24"/>
          <w:szCs w:val="24"/>
        </w:rPr>
      </w:pPr>
      <w:r>
        <w:rPr>
          <w:sz w:val="24"/>
          <w:szCs w:val="24"/>
        </w:rPr>
        <w:tab/>
      </w:r>
      <w:r>
        <w:rPr>
          <w:b/>
          <w:bCs/>
          <w:sz w:val="24"/>
          <w:szCs w:val="24"/>
        </w:rPr>
        <w:t xml:space="preserve">2(b)  </w:t>
      </w:r>
      <w:r w:rsidR="0000669F">
        <w:rPr>
          <w:b/>
          <w:bCs/>
          <w:sz w:val="24"/>
          <w:szCs w:val="24"/>
        </w:rPr>
        <w:tab/>
      </w:r>
      <w:r>
        <w:rPr>
          <w:b/>
          <w:bCs/>
          <w:sz w:val="24"/>
          <w:szCs w:val="24"/>
        </w:rPr>
        <w:t>Use/Users of the Data</w:t>
      </w:r>
    </w:p>
    <w:p w14:paraId="33170810" w14:textId="77777777" w:rsidR="00841B82" w:rsidRDefault="00841B82" w:rsidP="00841B82">
      <w:pPr>
        <w:rPr>
          <w:sz w:val="24"/>
          <w:szCs w:val="24"/>
        </w:rPr>
      </w:pPr>
    </w:p>
    <w:p w14:paraId="159D15BF" w14:textId="59F161C1" w:rsidR="00841B82" w:rsidRDefault="00841B82" w:rsidP="00841B82">
      <w:pPr>
        <w:rPr>
          <w:sz w:val="24"/>
          <w:szCs w:val="24"/>
        </w:rPr>
      </w:pPr>
      <w:r>
        <w:rPr>
          <w:sz w:val="24"/>
          <w:szCs w:val="24"/>
        </w:rPr>
        <w:tab/>
        <w:t>Since 1977, the Agency and members of the chemical industry have devoted significant efforts in fulfilling their res</w:t>
      </w:r>
      <w:r w:rsidR="00FA2D8A">
        <w:rPr>
          <w:sz w:val="24"/>
          <w:szCs w:val="24"/>
        </w:rPr>
        <w:t xml:space="preserve">pective responsibilities under </w:t>
      </w:r>
      <w:r w:rsidR="008D1FEB" w:rsidRPr="008D1FEB">
        <w:rPr>
          <w:sz w:val="24"/>
          <w:szCs w:val="24"/>
        </w:rPr>
        <w:t xml:space="preserve">section </w:t>
      </w:r>
      <w:r w:rsidR="008D1FEB">
        <w:rPr>
          <w:sz w:val="24"/>
          <w:szCs w:val="24"/>
        </w:rPr>
        <w:t>8</w:t>
      </w:r>
      <w:r w:rsidR="009660D6">
        <w:rPr>
          <w:sz w:val="24"/>
          <w:szCs w:val="24"/>
        </w:rPr>
        <w:t xml:space="preserve">(e). </w:t>
      </w:r>
      <w:r w:rsidR="00942485">
        <w:rPr>
          <w:sz w:val="24"/>
          <w:szCs w:val="24"/>
        </w:rPr>
        <w:t>Between</w:t>
      </w:r>
      <w:r w:rsidR="00942485" w:rsidRPr="000F6C50">
        <w:rPr>
          <w:sz w:val="24"/>
          <w:szCs w:val="24"/>
        </w:rPr>
        <w:t xml:space="preserve"> January 1977 through </w:t>
      </w:r>
      <w:r w:rsidR="00731A8E">
        <w:rPr>
          <w:sz w:val="24"/>
          <w:szCs w:val="24"/>
        </w:rPr>
        <w:t xml:space="preserve">November </w:t>
      </w:r>
      <w:r w:rsidR="00731A8E" w:rsidRPr="00A26CD9">
        <w:rPr>
          <w:sz w:val="24"/>
          <w:szCs w:val="24"/>
        </w:rPr>
        <w:t>20</w:t>
      </w:r>
      <w:r w:rsidR="00A26CD9" w:rsidRPr="00A26CD9">
        <w:rPr>
          <w:sz w:val="24"/>
          <w:szCs w:val="24"/>
        </w:rPr>
        <w:t xml:space="preserve">15, </w:t>
      </w:r>
      <w:r w:rsidR="00AC55D7">
        <w:rPr>
          <w:sz w:val="24"/>
          <w:szCs w:val="24"/>
        </w:rPr>
        <w:t>EPA has received and screened</w:t>
      </w:r>
      <w:r w:rsidR="008E451B">
        <w:rPr>
          <w:sz w:val="24"/>
          <w:szCs w:val="24"/>
        </w:rPr>
        <w:t xml:space="preserve"> </w:t>
      </w:r>
      <w:r w:rsidR="00A26CD9">
        <w:rPr>
          <w:sz w:val="24"/>
          <w:szCs w:val="24"/>
        </w:rPr>
        <w:t>20,070</w:t>
      </w:r>
      <w:r w:rsidR="008E451B">
        <w:rPr>
          <w:sz w:val="24"/>
          <w:szCs w:val="24"/>
        </w:rPr>
        <w:t xml:space="preserve"> </w:t>
      </w:r>
      <w:r w:rsidR="00FA2D8A">
        <w:rPr>
          <w:sz w:val="24"/>
          <w:szCs w:val="24"/>
        </w:rPr>
        <w:t xml:space="preserve">initial </w:t>
      </w:r>
      <w:r w:rsidR="008D1FEB" w:rsidRPr="008D1FEB">
        <w:rPr>
          <w:sz w:val="24"/>
          <w:szCs w:val="24"/>
        </w:rPr>
        <w:t xml:space="preserve">section </w:t>
      </w:r>
      <w:r w:rsidR="008D1FEB">
        <w:rPr>
          <w:sz w:val="24"/>
          <w:szCs w:val="24"/>
        </w:rPr>
        <w:t>8</w:t>
      </w:r>
      <w:r>
        <w:rPr>
          <w:sz w:val="24"/>
          <w:szCs w:val="24"/>
        </w:rPr>
        <w:t>(e) notices (includes CAP and non-CAP submissions)</w:t>
      </w:r>
      <w:r w:rsidR="00942485">
        <w:rPr>
          <w:sz w:val="24"/>
          <w:szCs w:val="24"/>
        </w:rPr>
        <w:t>,</w:t>
      </w:r>
      <w:r>
        <w:rPr>
          <w:sz w:val="24"/>
          <w:szCs w:val="24"/>
        </w:rPr>
        <w:t xml:space="preserve"> covering a broad range of toxicity and exposure-related data on a wide range of chemicals and chemical mixtures</w:t>
      </w:r>
      <w:r w:rsidR="009660D6">
        <w:rPr>
          <w:sz w:val="24"/>
          <w:szCs w:val="24"/>
        </w:rPr>
        <w:t>.</w:t>
      </w:r>
      <w:r w:rsidR="008E451B">
        <w:rPr>
          <w:sz w:val="24"/>
          <w:szCs w:val="24"/>
        </w:rPr>
        <w:t xml:space="preserve"> </w:t>
      </w:r>
      <w:r w:rsidR="00FA2D8A">
        <w:rPr>
          <w:sz w:val="24"/>
          <w:szCs w:val="24"/>
        </w:rPr>
        <w:t xml:space="preserve">All incoming </w:t>
      </w:r>
      <w:r w:rsidR="008D1FEB" w:rsidRPr="008D1FEB">
        <w:rPr>
          <w:sz w:val="24"/>
          <w:szCs w:val="24"/>
        </w:rPr>
        <w:t xml:space="preserve">section </w:t>
      </w:r>
      <w:r w:rsidR="008D1FEB">
        <w:rPr>
          <w:sz w:val="24"/>
          <w:szCs w:val="24"/>
        </w:rPr>
        <w:t>8</w:t>
      </w:r>
      <w:r>
        <w:rPr>
          <w:sz w:val="24"/>
          <w:szCs w:val="24"/>
        </w:rPr>
        <w:t>(e) submissions are reviewed by EPA shortly after recei</w:t>
      </w:r>
      <w:r w:rsidR="009660D6">
        <w:rPr>
          <w:sz w:val="24"/>
          <w:szCs w:val="24"/>
        </w:rPr>
        <w:t xml:space="preserve">pt. </w:t>
      </w:r>
      <w:r w:rsidR="00FA2D8A">
        <w:rPr>
          <w:sz w:val="24"/>
          <w:szCs w:val="24"/>
        </w:rPr>
        <w:t xml:space="preserve">The initial processing of </w:t>
      </w:r>
      <w:r w:rsidR="008D1FEB" w:rsidRPr="008D1FEB">
        <w:rPr>
          <w:sz w:val="24"/>
          <w:szCs w:val="24"/>
        </w:rPr>
        <w:t xml:space="preserve">section </w:t>
      </w:r>
      <w:r w:rsidR="008D1FEB">
        <w:rPr>
          <w:sz w:val="24"/>
          <w:szCs w:val="24"/>
        </w:rPr>
        <w:t>8</w:t>
      </w:r>
      <w:r>
        <w:rPr>
          <w:sz w:val="24"/>
          <w:szCs w:val="24"/>
        </w:rPr>
        <w:t>(e) submissions includes a screening level eva</w:t>
      </w:r>
      <w:r w:rsidR="004471C8">
        <w:rPr>
          <w:sz w:val="24"/>
          <w:szCs w:val="24"/>
        </w:rPr>
        <w:t xml:space="preserve">luation of the submitted data. </w:t>
      </w:r>
      <w:r>
        <w:rPr>
          <w:sz w:val="24"/>
          <w:szCs w:val="24"/>
        </w:rPr>
        <w:t>Such evaluations are not risk assessments, nor do they consider other available toxicity data on the chemical or exposure-related information on the ch</w:t>
      </w:r>
      <w:r w:rsidR="004471C8">
        <w:rPr>
          <w:sz w:val="24"/>
          <w:szCs w:val="24"/>
        </w:rPr>
        <w:t xml:space="preserve">emical/mixture being reviewed. </w:t>
      </w:r>
      <w:r>
        <w:rPr>
          <w:sz w:val="24"/>
          <w:szCs w:val="24"/>
        </w:rPr>
        <w:t xml:space="preserve">The results of screening level evaluations are used for priority-setting to select cases for more detailed assessment, as well as to identify referrals to other Offices and </w:t>
      </w:r>
      <w:r w:rsidR="004471C8">
        <w:rPr>
          <w:sz w:val="24"/>
          <w:szCs w:val="24"/>
        </w:rPr>
        <w:t>federal a</w:t>
      </w:r>
      <w:r>
        <w:rPr>
          <w:sz w:val="24"/>
          <w:szCs w:val="24"/>
        </w:rPr>
        <w:t>gencies.</w:t>
      </w:r>
    </w:p>
    <w:p w14:paraId="46580240" w14:textId="77777777" w:rsidR="00CC1BAA" w:rsidRDefault="00CC1BAA" w:rsidP="00841B82">
      <w:pPr>
        <w:rPr>
          <w:sz w:val="24"/>
          <w:szCs w:val="24"/>
        </w:rPr>
      </w:pPr>
    </w:p>
    <w:p w14:paraId="395B1E21" w14:textId="192C6729" w:rsidR="00841B82" w:rsidRDefault="00841B82" w:rsidP="00841B82">
      <w:pPr>
        <w:rPr>
          <w:sz w:val="24"/>
          <w:szCs w:val="24"/>
        </w:rPr>
      </w:pPr>
      <w:r>
        <w:rPr>
          <w:sz w:val="24"/>
          <w:szCs w:val="24"/>
        </w:rPr>
        <w:tab/>
      </w:r>
      <w:r w:rsidR="00FA2D8A">
        <w:rPr>
          <w:sz w:val="24"/>
          <w:szCs w:val="24"/>
        </w:rPr>
        <w:t xml:space="preserve">EPA utilizes </w:t>
      </w:r>
      <w:r w:rsidR="008D1FEB" w:rsidRPr="008D1FEB">
        <w:rPr>
          <w:sz w:val="24"/>
          <w:szCs w:val="24"/>
        </w:rPr>
        <w:t xml:space="preserve">section </w:t>
      </w:r>
      <w:r w:rsidR="008D1FEB">
        <w:rPr>
          <w:sz w:val="24"/>
          <w:szCs w:val="24"/>
        </w:rPr>
        <w:t>8</w:t>
      </w:r>
      <w:r>
        <w:rPr>
          <w:sz w:val="24"/>
          <w:szCs w:val="24"/>
        </w:rPr>
        <w:t>(e) submission information for hazard/risk identification purposes in the initial stages of the TSCA chemical</w:t>
      </w:r>
      <w:r w:rsidR="004471C8">
        <w:rPr>
          <w:sz w:val="24"/>
          <w:szCs w:val="24"/>
        </w:rPr>
        <w:t xml:space="preserve"> screening and review program. </w:t>
      </w:r>
      <w:r w:rsidR="008D1FEB">
        <w:rPr>
          <w:sz w:val="24"/>
          <w:szCs w:val="24"/>
        </w:rPr>
        <w:t>Section 8</w:t>
      </w:r>
      <w:r>
        <w:rPr>
          <w:sz w:val="24"/>
          <w:szCs w:val="24"/>
        </w:rPr>
        <w:t>(e) data are also used in ongoing EPA hazard and exposure assessments of both existing and new chemicals, and in support of regulation development under TSCA, e.g., development o</w:t>
      </w:r>
      <w:r w:rsidR="00FA2D8A">
        <w:rPr>
          <w:sz w:val="24"/>
          <w:szCs w:val="24"/>
        </w:rPr>
        <w:t xml:space="preserve">f chemical testing rules under </w:t>
      </w:r>
      <w:r w:rsidR="008D1FEB" w:rsidRPr="008D1FEB">
        <w:rPr>
          <w:sz w:val="24"/>
          <w:szCs w:val="24"/>
        </w:rPr>
        <w:t xml:space="preserve">section </w:t>
      </w:r>
      <w:r>
        <w:rPr>
          <w:sz w:val="24"/>
          <w:szCs w:val="24"/>
        </w:rPr>
        <w:t>4 of TSCA, as well as regulation development under other authorities administere</w:t>
      </w:r>
      <w:r w:rsidR="004471C8">
        <w:rPr>
          <w:sz w:val="24"/>
          <w:szCs w:val="24"/>
        </w:rPr>
        <w:t xml:space="preserve">d by the Agency. </w:t>
      </w:r>
      <w:r w:rsidR="00FA2D8A">
        <w:rPr>
          <w:sz w:val="24"/>
          <w:szCs w:val="24"/>
        </w:rPr>
        <w:t xml:space="preserve">In addition, </w:t>
      </w:r>
      <w:r w:rsidR="008D1FEB" w:rsidRPr="008D1FEB">
        <w:rPr>
          <w:sz w:val="24"/>
          <w:szCs w:val="24"/>
        </w:rPr>
        <w:t xml:space="preserve">section </w:t>
      </w:r>
      <w:r w:rsidR="008D1FEB">
        <w:rPr>
          <w:sz w:val="24"/>
          <w:szCs w:val="24"/>
        </w:rPr>
        <w:t>8</w:t>
      </w:r>
      <w:r>
        <w:rPr>
          <w:sz w:val="24"/>
          <w:szCs w:val="24"/>
        </w:rPr>
        <w:t>(e) submissions have been the basis for chemical advisories to communicate potential health risks and the need for exposure controls, as well as for chemical summaries to identify data availability for chemical hazard and exposure assessment.</w:t>
      </w:r>
    </w:p>
    <w:p w14:paraId="779F9966" w14:textId="77777777" w:rsidR="00841B82" w:rsidRDefault="00841B82" w:rsidP="00841B82">
      <w:pPr>
        <w:rPr>
          <w:sz w:val="24"/>
          <w:szCs w:val="24"/>
        </w:rPr>
      </w:pPr>
    </w:p>
    <w:p w14:paraId="40CCCDD9" w14:textId="0932B256" w:rsidR="00841B82" w:rsidRDefault="00FA2D8A" w:rsidP="00841B82">
      <w:pPr>
        <w:rPr>
          <w:sz w:val="24"/>
          <w:szCs w:val="24"/>
        </w:rPr>
      </w:pPr>
      <w:r>
        <w:rPr>
          <w:sz w:val="24"/>
          <w:szCs w:val="24"/>
        </w:rPr>
        <w:tab/>
        <w:t xml:space="preserve">Regardless of the type of </w:t>
      </w:r>
      <w:r w:rsidR="008D1FEB" w:rsidRPr="008D1FEB">
        <w:rPr>
          <w:sz w:val="24"/>
          <w:szCs w:val="24"/>
        </w:rPr>
        <w:t xml:space="preserve">section </w:t>
      </w:r>
      <w:r w:rsidR="008D1FEB">
        <w:rPr>
          <w:sz w:val="24"/>
          <w:szCs w:val="24"/>
        </w:rPr>
        <w:t>8</w:t>
      </w:r>
      <w:r w:rsidR="00841B82">
        <w:rPr>
          <w:sz w:val="24"/>
          <w:szCs w:val="24"/>
        </w:rPr>
        <w:t xml:space="preserve">(e) follow-up action or activity taken, all reported information not claimed as TSCA confidential business information is made available to other EPA Program and Regional Offices, other </w:t>
      </w:r>
      <w:r w:rsidR="00574FA7">
        <w:rPr>
          <w:sz w:val="24"/>
          <w:szCs w:val="24"/>
        </w:rPr>
        <w:t>federal a</w:t>
      </w:r>
      <w:r w:rsidR="00841B82">
        <w:rPr>
          <w:sz w:val="24"/>
          <w:szCs w:val="24"/>
        </w:rPr>
        <w:t xml:space="preserve">gencies and others (e.g., chemical industry, trade unions, environmental groups, </w:t>
      </w:r>
      <w:r w:rsidR="004471C8">
        <w:rPr>
          <w:sz w:val="24"/>
          <w:szCs w:val="24"/>
        </w:rPr>
        <w:t xml:space="preserve">the </w:t>
      </w:r>
      <w:r w:rsidR="00841B82">
        <w:rPr>
          <w:sz w:val="24"/>
          <w:szCs w:val="24"/>
        </w:rPr>
        <w:t xml:space="preserve">general public, </w:t>
      </w:r>
      <w:r w:rsidR="003856DD">
        <w:rPr>
          <w:sz w:val="24"/>
          <w:szCs w:val="24"/>
        </w:rPr>
        <w:t>and international</w:t>
      </w:r>
      <w:r w:rsidR="00841B82">
        <w:rPr>
          <w:sz w:val="24"/>
          <w:szCs w:val="24"/>
        </w:rPr>
        <w:t xml:space="preserve"> community) who may be interested in th</w:t>
      </w:r>
      <w:r w:rsidR="00574FA7">
        <w:rPr>
          <w:sz w:val="24"/>
          <w:szCs w:val="24"/>
        </w:rPr>
        <w:t xml:space="preserve">e subject chemical or mixture. </w:t>
      </w:r>
      <w:r w:rsidR="00841B82">
        <w:rPr>
          <w:sz w:val="24"/>
          <w:szCs w:val="24"/>
        </w:rPr>
        <w:t xml:space="preserve">EPA Offices and other </w:t>
      </w:r>
      <w:r w:rsidR="00574FA7" w:rsidRPr="00574FA7">
        <w:rPr>
          <w:sz w:val="24"/>
          <w:szCs w:val="24"/>
        </w:rPr>
        <w:t xml:space="preserve">federal agencies </w:t>
      </w:r>
      <w:r>
        <w:rPr>
          <w:sz w:val="24"/>
          <w:szCs w:val="24"/>
        </w:rPr>
        <w:t xml:space="preserve">routinely utilize </w:t>
      </w:r>
      <w:r w:rsidR="008D1FEB" w:rsidRPr="008D1FEB">
        <w:rPr>
          <w:sz w:val="24"/>
          <w:szCs w:val="24"/>
        </w:rPr>
        <w:t xml:space="preserve">section </w:t>
      </w:r>
      <w:r w:rsidR="008D1FEB">
        <w:rPr>
          <w:sz w:val="24"/>
          <w:szCs w:val="24"/>
        </w:rPr>
        <w:t>8</w:t>
      </w:r>
      <w:r w:rsidR="00841B82">
        <w:rPr>
          <w:sz w:val="24"/>
          <w:szCs w:val="24"/>
        </w:rPr>
        <w:t>(e) data in implement</w:t>
      </w:r>
      <w:r w:rsidR="00574FA7">
        <w:rPr>
          <w:sz w:val="24"/>
          <w:szCs w:val="24"/>
        </w:rPr>
        <w:t xml:space="preserve">ing their regulatory programs. </w:t>
      </w:r>
      <w:r w:rsidR="00841B82">
        <w:rPr>
          <w:sz w:val="24"/>
          <w:szCs w:val="24"/>
        </w:rPr>
        <w:t>The principal vehicles for making the information publicly available are the TSCATS database,</w:t>
      </w:r>
      <w:r>
        <w:rPr>
          <w:sz w:val="24"/>
          <w:szCs w:val="24"/>
        </w:rPr>
        <w:t xml:space="preserve"> the TSCA Docket, and the </w:t>
      </w:r>
      <w:r w:rsidR="004471C8" w:rsidRPr="004471C8">
        <w:rPr>
          <w:sz w:val="24"/>
          <w:szCs w:val="24"/>
        </w:rPr>
        <w:t>Chemical Data Access Tool (CDAT)</w:t>
      </w:r>
      <w:r w:rsidR="007848C1">
        <w:rPr>
          <w:sz w:val="24"/>
          <w:szCs w:val="24"/>
        </w:rPr>
        <w:t xml:space="preserve"> at</w:t>
      </w:r>
      <w:r w:rsidR="004471C8">
        <w:rPr>
          <w:sz w:val="24"/>
          <w:szCs w:val="24"/>
        </w:rPr>
        <w:t xml:space="preserve"> </w:t>
      </w:r>
      <w:hyperlink r:id="rId12" w:history="1">
        <w:r w:rsidR="0015068A" w:rsidRPr="005C73D8">
          <w:rPr>
            <w:rStyle w:val="Hyperlink"/>
            <w:sz w:val="24"/>
            <w:szCs w:val="24"/>
          </w:rPr>
          <w:t>https://java.epa.gov/oppt_chemical_search/</w:t>
        </w:r>
      </w:hyperlink>
      <w:r w:rsidR="0015068A">
        <w:rPr>
          <w:sz w:val="24"/>
          <w:szCs w:val="24"/>
        </w:rPr>
        <w:t>.</w:t>
      </w:r>
    </w:p>
    <w:p w14:paraId="0C01D7F9" w14:textId="77777777" w:rsidR="00841B82" w:rsidRDefault="00841B82" w:rsidP="00841B82">
      <w:pPr>
        <w:rPr>
          <w:sz w:val="24"/>
          <w:szCs w:val="24"/>
        </w:rPr>
      </w:pPr>
    </w:p>
    <w:p w14:paraId="3DC732A4" w14:textId="2DD88A67" w:rsidR="00841B82" w:rsidRDefault="00841B82" w:rsidP="00841B82">
      <w:pPr>
        <w:rPr>
          <w:sz w:val="24"/>
          <w:szCs w:val="24"/>
        </w:rPr>
      </w:pPr>
      <w:r>
        <w:rPr>
          <w:sz w:val="24"/>
          <w:szCs w:val="24"/>
        </w:rPr>
        <w:tab/>
        <w:t>EPA</w:t>
      </w:r>
      <w:r w:rsidR="00FA2D8A">
        <w:rPr>
          <w:sz w:val="24"/>
          <w:szCs w:val="24"/>
        </w:rPr>
        <w:t xml:space="preserve">’s proactive implementation of </w:t>
      </w:r>
      <w:r w:rsidR="008D1FEB" w:rsidRPr="008D1FEB">
        <w:rPr>
          <w:sz w:val="24"/>
          <w:szCs w:val="24"/>
        </w:rPr>
        <w:t xml:space="preserve">section </w:t>
      </w:r>
      <w:r w:rsidR="008D1FEB">
        <w:rPr>
          <w:sz w:val="24"/>
          <w:szCs w:val="24"/>
        </w:rPr>
        <w:t>8</w:t>
      </w:r>
      <w:r>
        <w:rPr>
          <w:sz w:val="24"/>
          <w:szCs w:val="24"/>
        </w:rPr>
        <w:t>(e) has also resulted in heightened corporate awareness of the potential risk of injury posed by exposure t</w:t>
      </w:r>
      <w:r w:rsidR="0015068A">
        <w:rPr>
          <w:sz w:val="24"/>
          <w:szCs w:val="24"/>
        </w:rPr>
        <w:t xml:space="preserve">o chemical substances. </w:t>
      </w:r>
      <w:r>
        <w:rPr>
          <w:sz w:val="24"/>
          <w:szCs w:val="24"/>
        </w:rPr>
        <w:t xml:space="preserve">This increased corporate awareness has led to a variety of voluntary corporate actions designed to protect human </w:t>
      </w:r>
      <w:r w:rsidR="0015068A">
        <w:rPr>
          <w:sz w:val="24"/>
          <w:szCs w:val="24"/>
        </w:rPr>
        <w:t xml:space="preserve">health and/or the environment. </w:t>
      </w:r>
      <w:r>
        <w:rPr>
          <w:sz w:val="24"/>
          <w:szCs w:val="24"/>
        </w:rPr>
        <w:t>Many companies have reported to EPA that the following types of risk reduction/pollution prevention measures were initiated in direct response to the submitted chemical toxicity and/or exposure data:</w:t>
      </w:r>
    </w:p>
    <w:p w14:paraId="1DEE867C" w14:textId="77777777" w:rsidR="00841B82" w:rsidRDefault="00841B82" w:rsidP="00841B82">
      <w:pPr>
        <w:rPr>
          <w:sz w:val="24"/>
          <w:szCs w:val="24"/>
        </w:rPr>
      </w:pPr>
    </w:p>
    <w:p w14:paraId="62AA12C5" w14:textId="77777777" w:rsidR="00841B82" w:rsidRDefault="00841B82" w:rsidP="007D5C54">
      <w:pPr>
        <w:numPr>
          <w:ilvl w:val="0"/>
          <w:numId w:val="4"/>
        </w:numPr>
        <w:rPr>
          <w:sz w:val="24"/>
          <w:szCs w:val="24"/>
        </w:rPr>
      </w:pPr>
      <w:r>
        <w:rPr>
          <w:sz w:val="24"/>
          <w:szCs w:val="24"/>
        </w:rPr>
        <w:t>Notification of workers, customers and others;</w:t>
      </w:r>
    </w:p>
    <w:p w14:paraId="319EF399" w14:textId="77777777" w:rsidR="00841B82" w:rsidRDefault="00841B82" w:rsidP="007D5C54">
      <w:pPr>
        <w:numPr>
          <w:ilvl w:val="0"/>
          <w:numId w:val="4"/>
        </w:numPr>
        <w:rPr>
          <w:sz w:val="24"/>
          <w:szCs w:val="24"/>
        </w:rPr>
      </w:pPr>
      <w:r>
        <w:rPr>
          <w:sz w:val="24"/>
          <w:szCs w:val="24"/>
        </w:rPr>
        <w:t>Revision of product labels and Material Safety Data Sheets;</w:t>
      </w:r>
    </w:p>
    <w:p w14:paraId="39F3FADE" w14:textId="77777777" w:rsidR="00841B82" w:rsidRDefault="00841B82" w:rsidP="007D5C54">
      <w:pPr>
        <w:numPr>
          <w:ilvl w:val="0"/>
          <w:numId w:val="4"/>
        </w:numPr>
        <w:rPr>
          <w:sz w:val="24"/>
          <w:szCs w:val="24"/>
        </w:rPr>
      </w:pPr>
      <w:r>
        <w:rPr>
          <w:sz w:val="24"/>
          <w:szCs w:val="24"/>
        </w:rPr>
        <w:t>Modification of manufacturing, processing, and/or handling;</w:t>
      </w:r>
    </w:p>
    <w:p w14:paraId="5FEBD8A9" w14:textId="77777777" w:rsidR="00841B82" w:rsidRDefault="00841B82" w:rsidP="007D5C54">
      <w:pPr>
        <w:numPr>
          <w:ilvl w:val="0"/>
          <w:numId w:val="4"/>
        </w:numPr>
        <w:rPr>
          <w:sz w:val="24"/>
          <w:szCs w:val="24"/>
        </w:rPr>
      </w:pPr>
      <w:r>
        <w:rPr>
          <w:sz w:val="24"/>
          <w:szCs w:val="24"/>
        </w:rPr>
        <w:t>Ceasing production/use either temporarily or permanently;</w:t>
      </w:r>
    </w:p>
    <w:p w14:paraId="75E3A634" w14:textId="77777777" w:rsidR="00841B82" w:rsidRDefault="00841B82" w:rsidP="007D5C54">
      <w:pPr>
        <w:numPr>
          <w:ilvl w:val="0"/>
          <w:numId w:val="4"/>
        </w:numPr>
        <w:rPr>
          <w:sz w:val="24"/>
          <w:szCs w:val="24"/>
        </w:rPr>
      </w:pPr>
      <w:r>
        <w:rPr>
          <w:sz w:val="24"/>
          <w:szCs w:val="24"/>
        </w:rPr>
        <w:t>Initiation of additional toxicity or exposure studies to further define potential risks.</w:t>
      </w:r>
    </w:p>
    <w:p w14:paraId="396C1ECA" w14:textId="77777777" w:rsidR="0055596F" w:rsidRDefault="0055596F" w:rsidP="0055596F">
      <w:pPr>
        <w:tabs>
          <w:tab w:val="left" w:pos="720"/>
        </w:tabs>
        <w:rPr>
          <w:b/>
          <w:bCs/>
          <w:sz w:val="24"/>
          <w:szCs w:val="24"/>
        </w:rPr>
      </w:pPr>
    </w:p>
    <w:p w14:paraId="6CD03411" w14:textId="77777777" w:rsidR="004E3980" w:rsidRDefault="004E3980" w:rsidP="00841B82">
      <w:pPr>
        <w:tabs>
          <w:tab w:val="left" w:pos="720"/>
        </w:tabs>
        <w:ind w:left="720" w:hanging="720"/>
        <w:rPr>
          <w:b/>
          <w:bCs/>
          <w:sz w:val="24"/>
          <w:szCs w:val="24"/>
        </w:rPr>
      </w:pPr>
    </w:p>
    <w:p w14:paraId="03E5F5A4" w14:textId="77777777" w:rsidR="00841B82" w:rsidRDefault="00841B82" w:rsidP="00841B82">
      <w:pPr>
        <w:tabs>
          <w:tab w:val="left" w:pos="720"/>
        </w:tabs>
        <w:ind w:left="720" w:hanging="720"/>
        <w:rPr>
          <w:b/>
          <w:bCs/>
          <w:sz w:val="24"/>
          <w:szCs w:val="24"/>
        </w:rPr>
      </w:pPr>
      <w:r>
        <w:rPr>
          <w:b/>
          <w:bCs/>
          <w:sz w:val="24"/>
          <w:szCs w:val="24"/>
        </w:rPr>
        <w:t>3</w:t>
      </w:r>
      <w:r>
        <w:rPr>
          <w:b/>
          <w:bCs/>
          <w:sz w:val="24"/>
          <w:szCs w:val="24"/>
        </w:rPr>
        <w:tab/>
        <w:t>NON-DUPLICATION, CONSULTATIONS AND OTHER COLLECTION CRITERIA</w:t>
      </w:r>
    </w:p>
    <w:p w14:paraId="280D4848" w14:textId="77777777" w:rsidR="00841B82" w:rsidRDefault="00841B82" w:rsidP="00841B82">
      <w:pPr>
        <w:rPr>
          <w:b/>
          <w:bCs/>
          <w:sz w:val="24"/>
          <w:szCs w:val="24"/>
        </w:rPr>
      </w:pPr>
    </w:p>
    <w:p w14:paraId="209AB25F" w14:textId="77777777" w:rsidR="00841B82" w:rsidRDefault="00841B82" w:rsidP="00841B82">
      <w:pPr>
        <w:rPr>
          <w:sz w:val="24"/>
          <w:szCs w:val="24"/>
        </w:rPr>
      </w:pPr>
      <w:r>
        <w:rPr>
          <w:b/>
          <w:bCs/>
          <w:sz w:val="24"/>
          <w:szCs w:val="24"/>
        </w:rPr>
        <w:tab/>
        <w:t xml:space="preserve">3(a)  </w:t>
      </w:r>
      <w:r w:rsidR="0000669F">
        <w:rPr>
          <w:b/>
          <w:bCs/>
          <w:sz w:val="24"/>
          <w:szCs w:val="24"/>
        </w:rPr>
        <w:tab/>
      </w:r>
      <w:r>
        <w:rPr>
          <w:b/>
          <w:bCs/>
          <w:sz w:val="24"/>
          <w:szCs w:val="24"/>
        </w:rPr>
        <w:t>Non-Duplication</w:t>
      </w:r>
    </w:p>
    <w:p w14:paraId="69B9B389" w14:textId="77777777" w:rsidR="00841B82" w:rsidRDefault="00841B82" w:rsidP="00841B82">
      <w:pPr>
        <w:rPr>
          <w:sz w:val="24"/>
          <w:szCs w:val="24"/>
        </w:rPr>
      </w:pPr>
    </w:p>
    <w:p w14:paraId="1429847C" w14:textId="1B5EF2F5" w:rsidR="00841B82" w:rsidRDefault="00841B82" w:rsidP="00841B82">
      <w:pPr>
        <w:rPr>
          <w:sz w:val="24"/>
          <w:szCs w:val="24"/>
        </w:rPr>
      </w:pPr>
      <w:r>
        <w:rPr>
          <w:sz w:val="24"/>
          <w:szCs w:val="24"/>
        </w:rPr>
        <w:tab/>
        <w:t>There is no other source of data that can be used in place of the d</w:t>
      </w:r>
      <w:r w:rsidR="00FA2D8A">
        <w:rPr>
          <w:sz w:val="24"/>
          <w:szCs w:val="24"/>
        </w:rPr>
        <w:t xml:space="preserve">ata submitted to EPA under the </w:t>
      </w:r>
      <w:r w:rsidR="008D1FEB" w:rsidRPr="008D1FEB">
        <w:rPr>
          <w:sz w:val="24"/>
          <w:szCs w:val="24"/>
        </w:rPr>
        <w:t xml:space="preserve">section </w:t>
      </w:r>
      <w:r w:rsidR="008D1FEB">
        <w:rPr>
          <w:sz w:val="24"/>
          <w:szCs w:val="24"/>
        </w:rPr>
        <w:t>8</w:t>
      </w:r>
      <w:r>
        <w:rPr>
          <w:sz w:val="24"/>
          <w:szCs w:val="24"/>
        </w:rPr>
        <w:t>(e) st</w:t>
      </w:r>
      <w:r w:rsidR="0015068A">
        <w:rPr>
          <w:sz w:val="24"/>
          <w:szCs w:val="24"/>
        </w:rPr>
        <w:t xml:space="preserve">atutory reporting requirement. </w:t>
      </w:r>
      <w:r>
        <w:rPr>
          <w:sz w:val="24"/>
          <w:szCs w:val="24"/>
        </w:rPr>
        <w:t>The “substantial risk” information required to be reported to EPA is unpublished information not alread</w:t>
      </w:r>
      <w:r w:rsidR="0015068A">
        <w:rPr>
          <w:sz w:val="24"/>
          <w:szCs w:val="24"/>
        </w:rPr>
        <w:t xml:space="preserve">y known to the Agency. </w:t>
      </w:r>
      <w:r>
        <w:rPr>
          <w:sz w:val="24"/>
          <w:szCs w:val="24"/>
        </w:rPr>
        <w:t>In addition, informati</w:t>
      </w:r>
      <w:r w:rsidR="00FA2D8A">
        <w:rPr>
          <w:sz w:val="24"/>
          <w:szCs w:val="24"/>
        </w:rPr>
        <w:t xml:space="preserve">on need not be submitted under </w:t>
      </w:r>
      <w:r w:rsidR="008D1FEB" w:rsidRPr="008D1FEB">
        <w:rPr>
          <w:sz w:val="24"/>
          <w:szCs w:val="24"/>
        </w:rPr>
        <w:t xml:space="preserve">section </w:t>
      </w:r>
      <w:r w:rsidR="008D1FEB">
        <w:rPr>
          <w:sz w:val="24"/>
          <w:szCs w:val="24"/>
        </w:rPr>
        <w:t>8</w:t>
      </w:r>
      <w:r>
        <w:rPr>
          <w:sz w:val="24"/>
          <w:szCs w:val="24"/>
        </w:rPr>
        <w:t>(e) if the information has been reported already to EPA pursuant to another mandatory information reporting requirement of TSCA or some other authority administered or delegated to</w:t>
      </w:r>
      <w:r w:rsidR="0015068A">
        <w:rPr>
          <w:sz w:val="24"/>
          <w:szCs w:val="24"/>
        </w:rPr>
        <w:t xml:space="preserve"> the States by EPA.  In the June</w:t>
      </w:r>
      <w:r>
        <w:rPr>
          <w:sz w:val="24"/>
          <w:szCs w:val="24"/>
        </w:rPr>
        <w:t xml:space="preserve"> 2003 Reporting Guidance, the Agency clarified the circumstances under which certain information nee</w:t>
      </w:r>
      <w:r w:rsidR="00FA2D8A">
        <w:rPr>
          <w:sz w:val="24"/>
          <w:szCs w:val="24"/>
        </w:rPr>
        <w:t xml:space="preserve">d not be reported to EPA under </w:t>
      </w:r>
      <w:r w:rsidR="008D1FEB" w:rsidRPr="008D1FEB">
        <w:rPr>
          <w:sz w:val="24"/>
          <w:szCs w:val="24"/>
        </w:rPr>
        <w:t xml:space="preserve">section </w:t>
      </w:r>
      <w:r w:rsidR="008D1FEB">
        <w:rPr>
          <w:sz w:val="24"/>
          <w:szCs w:val="24"/>
        </w:rPr>
        <w:t>8</w:t>
      </w:r>
      <w:r>
        <w:rPr>
          <w:sz w:val="24"/>
          <w:szCs w:val="24"/>
        </w:rPr>
        <w:t>(e)</w:t>
      </w:r>
      <w:r w:rsidR="0015068A">
        <w:rPr>
          <w:sz w:val="24"/>
          <w:szCs w:val="24"/>
        </w:rPr>
        <w:t xml:space="preserve">. </w:t>
      </w:r>
      <w:r>
        <w:rPr>
          <w:sz w:val="24"/>
          <w:szCs w:val="24"/>
        </w:rPr>
        <w:t xml:space="preserve">This </w:t>
      </w:r>
      <w:r w:rsidR="00022997">
        <w:rPr>
          <w:sz w:val="24"/>
          <w:szCs w:val="24"/>
        </w:rPr>
        <w:t xml:space="preserve">was </w:t>
      </w:r>
      <w:r>
        <w:rPr>
          <w:sz w:val="24"/>
          <w:szCs w:val="24"/>
        </w:rPr>
        <w:t xml:space="preserve">expected to </w:t>
      </w:r>
      <w:r w:rsidR="00B05FCA">
        <w:rPr>
          <w:sz w:val="24"/>
          <w:szCs w:val="24"/>
        </w:rPr>
        <w:t xml:space="preserve">reduce some of </w:t>
      </w:r>
      <w:r>
        <w:rPr>
          <w:sz w:val="24"/>
          <w:szCs w:val="24"/>
        </w:rPr>
        <w:t>the r</w:t>
      </w:r>
      <w:r w:rsidR="00FA2D8A">
        <w:rPr>
          <w:sz w:val="24"/>
          <w:szCs w:val="24"/>
        </w:rPr>
        <w:t xml:space="preserve">espondent reporting burden for </w:t>
      </w:r>
      <w:r w:rsidR="008D1FEB" w:rsidRPr="008D1FEB">
        <w:rPr>
          <w:sz w:val="24"/>
          <w:szCs w:val="24"/>
        </w:rPr>
        <w:t xml:space="preserve">section </w:t>
      </w:r>
      <w:r w:rsidR="008D1FEB">
        <w:rPr>
          <w:sz w:val="24"/>
          <w:szCs w:val="24"/>
        </w:rPr>
        <w:t>8</w:t>
      </w:r>
      <w:r>
        <w:rPr>
          <w:sz w:val="24"/>
          <w:szCs w:val="24"/>
        </w:rPr>
        <w:t>(e).</w:t>
      </w:r>
    </w:p>
    <w:p w14:paraId="17CC4A3D" w14:textId="77777777" w:rsidR="004D30BE" w:rsidRDefault="004D30BE" w:rsidP="00841B82">
      <w:pPr>
        <w:rPr>
          <w:b/>
          <w:bCs/>
          <w:sz w:val="24"/>
          <w:szCs w:val="24"/>
        </w:rPr>
      </w:pPr>
    </w:p>
    <w:p w14:paraId="1348BAB0" w14:textId="77777777" w:rsidR="00841B82" w:rsidRDefault="00841B82" w:rsidP="00841B82">
      <w:pPr>
        <w:rPr>
          <w:sz w:val="24"/>
          <w:szCs w:val="24"/>
        </w:rPr>
      </w:pPr>
      <w:r>
        <w:rPr>
          <w:b/>
          <w:bCs/>
          <w:sz w:val="24"/>
          <w:szCs w:val="24"/>
        </w:rPr>
        <w:tab/>
        <w:t xml:space="preserve">3(b)  </w:t>
      </w:r>
      <w:r w:rsidR="0000669F">
        <w:rPr>
          <w:b/>
          <w:bCs/>
          <w:sz w:val="24"/>
          <w:szCs w:val="24"/>
        </w:rPr>
        <w:tab/>
      </w:r>
      <w:r>
        <w:rPr>
          <w:b/>
          <w:bCs/>
          <w:sz w:val="24"/>
          <w:szCs w:val="24"/>
        </w:rPr>
        <w:t>Public Notice Required Prior to ICR Submission to OMB</w:t>
      </w:r>
    </w:p>
    <w:p w14:paraId="682EB213" w14:textId="77777777" w:rsidR="00841B82" w:rsidRDefault="00841B82" w:rsidP="00841B82">
      <w:pPr>
        <w:rPr>
          <w:sz w:val="24"/>
          <w:szCs w:val="24"/>
        </w:rPr>
      </w:pPr>
    </w:p>
    <w:p w14:paraId="4B5C8BDB" w14:textId="6DFF74A9" w:rsidR="004E3980" w:rsidRDefault="00DF5CF3" w:rsidP="00DF5CF3">
      <w:pPr>
        <w:ind w:firstLine="720"/>
        <w:rPr>
          <w:sz w:val="24"/>
          <w:szCs w:val="24"/>
        </w:rPr>
      </w:pPr>
      <w:r w:rsidRPr="00DF5CF3">
        <w:rPr>
          <w:sz w:val="24"/>
          <w:szCs w:val="24"/>
        </w:rPr>
        <w:t xml:space="preserve">In proposing to renew this ICR, EPA provided a 60-day public notice and comment period that ended on </w:t>
      </w:r>
      <w:r>
        <w:rPr>
          <w:sz w:val="24"/>
          <w:szCs w:val="24"/>
        </w:rPr>
        <w:t>September</w:t>
      </w:r>
      <w:r w:rsidRPr="00DF5CF3">
        <w:rPr>
          <w:sz w:val="24"/>
          <w:szCs w:val="24"/>
        </w:rPr>
        <w:t xml:space="preserve"> 6, 2016 </w:t>
      </w:r>
      <w:r>
        <w:rPr>
          <w:sz w:val="24"/>
          <w:szCs w:val="24"/>
        </w:rPr>
        <w:t>(</w:t>
      </w:r>
      <w:r w:rsidRPr="00DF5CF3">
        <w:rPr>
          <w:sz w:val="24"/>
          <w:szCs w:val="24"/>
        </w:rPr>
        <w:t xml:space="preserve">81 FR 43601, </w:t>
      </w:r>
      <w:r>
        <w:rPr>
          <w:sz w:val="24"/>
          <w:szCs w:val="24"/>
        </w:rPr>
        <w:t>July</w:t>
      </w:r>
      <w:r w:rsidR="00353418">
        <w:rPr>
          <w:sz w:val="24"/>
          <w:szCs w:val="24"/>
        </w:rPr>
        <w:t xml:space="preserve"> 5, 2016). EPA received two</w:t>
      </w:r>
      <w:r w:rsidRPr="00DF5CF3">
        <w:rPr>
          <w:sz w:val="24"/>
          <w:szCs w:val="24"/>
        </w:rPr>
        <w:t xml:space="preserve"> </w:t>
      </w:r>
      <w:r w:rsidRPr="00353418">
        <w:rPr>
          <w:sz w:val="24"/>
          <w:szCs w:val="24"/>
        </w:rPr>
        <w:t>comments</w:t>
      </w:r>
      <w:r w:rsidRPr="00DF5CF3">
        <w:rPr>
          <w:sz w:val="24"/>
          <w:szCs w:val="24"/>
        </w:rPr>
        <w:t xml:space="preserve">, from </w:t>
      </w:r>
      <w:r w:rsidR="00893EFB">
        <w:rPr>
          <w:sz w:val="24"/>
          <w:szCs w:val="24"/>
        </w:rPr>
        <w:t>the Environmental Working Group</w:t>
      </w:r>
      <w:r w:rsidR="00353418">
        <w:rPr>
          <w:sz w:val="24"/>
          <w:szCs w:val="24"/>
        </w:rPr>
        <w:t xml:space="preserve"> and the American Chemistry Council, during the comment period. </w:t>
      </w:r>
      <w:r w:rsidR="004175B8">
        <w:rPr>
          <w:sz w:val="24"/>
          <w:szCs w:val="24"/>
        </w:rPr>
        <w:t>EWG stated that it supports EPA’s intention to renew OMB approval of its TSCA section 8(e) information collection authority. ACC commented on the burden estimate, CBI security, and recommended changes to</w:t>
      </w:r>
      <w:r w:rsidR="00A3602D">
        <w:rPr>
          <w:sz w:val="24"/>
          <w:szCs w:val="24"/>
        </w:rPr>
        <w:t xml:space="preserve"> EPA’s TSCA section 8(e) guidance and website.</w:t>
      </w:r>
      <w:r w:rsidR="004175B8">
        <w:rPr>
          <w:sz w:val="24"/>
          <w:szCs w:val="24"/>
        </w:rPr>
        <w:t xml:space="preserve"> EPA did not make changes in response to public comments. </w:t>
      </w:r>
      <w:r w:rsidRPr="00353418">
        <w:rPr>
          <w:sz w:val="24"/>
          <w:szCs w:val="24"/>
        </w:rPr>
        <w:t>Copies</w:t>
      </w:r>
      <w:r w:rsidR="00353418">
        <w:rPr>
          <w:sz w:val="24"/>
          <w:szCs w:val="24"/>
        </w:rPr>
        <w:t xml:space="preserve"> of the comments</w:t>
      </w:r>
      <w:r w:rsidRPr="00DF5CF3">
        <w:rPr>
          <w:sz w:val="24"/>
          <w:szCs w:val="24"/>
        </w:rPr>
        <w:t xml:space="preserve"> and EPA’s response to the comment</w:t>
      </w:r>
      <w:r w:rsidR="00353418">
        <w:rPr>
          <w:sz w:val="24"/>
          <w:szCs w:val="24"/>
        </w:rPr>
        <w:t>s</w:t>
      </w:r>
      <w:r w:rsidRPr="00DF5CF3">
        <w:rPr>
          <w:sz w:val="24"/>
          <w:szCs w:val="24"/>
        </w:rPr>
        <w:t xml:space="preserve"> are included as </w:t>
      </w:r>
      <w:r w:rsidR="00CF4E91" w:rsidRPr="00396651">
        <w:rPr>
          <w:sz w:val="24"/>
          <w:szCs w:val="24"/>
        </w:rPr>
        <w:t>Attachment 2</w:t>
      </w:r>
      <w:r w:rsidRPr="00DF5CF3">
        <w:rPr>
          <w:sz w:val="24"/>
          <w:szCs w:val="24"/>
        </w:rPr>
        <w:t>.</w:t>
      </w:r>
    </w:p>
    <w:p w14:paraId="603EDA7F" w14:textId="77777777" w:rsidR="00DF5CF3" w:rsidRDefault="00DF5CF3" w:rsidP="00DF5CF3">
      <w:pPr>
        <w:rPr>
          <w:sz w:val="24"/>
          <w:szCs w:val="24"/>
        </w:rPr>
      </w:pPr>
    </w:p>
    <w:p w14:paraId="386E1E09" w14:textId="3ED56C93" w:rsidR="004E3980" w:rsidRDefault="004E3980" w:rsidP="00841B82">
      <w:pPr>
        <w:rPr>
          <w:b/>
          <w:sz w:val="24"/>
          <w:szCs w:val="24"/>
        </w:rPr>
      </w:pPr>
      <w:r>
        <w:rPr>
          <w:sz w:val="24"/>
          <w:szCs w:val="24"/>
        </w:rPr>
        <w:tab/>
      </w:r>
      <w:r>
        <w:rPr>
          <w:b/>
          <w:sz w:val="24"/>
          <w:szCs w:val="24"/>
        </w:rPr>
        <w:t>3(c)</w:t>
      </w:r>
      <w:r>
        <w:rPr>
          <w:b/>
          <w:sz w:val="24"/>
          <w:szCs w:val="24"/>
        </w:rPr>
        <w:tab/>
        <w:t>Consultations</w:t>
      </w:r>
    </w:p>
    <w:p w14:paraId="36037CBF" w14:textId="77777777" w:rsidR="004E3980" w:rsidRDefault="004E3980" w:rsidP="00841B82">
      <w:pPr>
        <w:rPr>
          <w:b/>
          <w:sz w:val="24"/>
          <w:szCs w:val="24"/>
        </w:rPr>
      </w:pPr>
    </w:p>
    <w:p w14:paraId="319D713B" w14:textId="77777777" w:rsidR="00DF5CF3" w:rsidRPr="00DF5CF3" w:rsidRDefault="00DF5CF3" w:rsidP="00DF5CF3">
      <w:pPr>
        <w:widowControl w:val="0"/>
        <w:ind w:firstLine="720"/>
        <w:rPr>
          <w:sz w:val="24"/>
          <w:szCs w:val="24"/>
        </w:rPr>
      </w:pPr>
      <w:r w:rsidRPr="00DF5CF3">
        <w:rPr>
          <w:sz w:val="24"/>
          <w:szCs w:val="24"/>
        </w:rPr>
        <w:t>Additionally, under 5 CFR 1320.8(d)(1), OMB requires agencies to consult with potential ICR respondents and data users about specific aspects of ICRs before submitting an ICR to OMB for review and approval. In accordance with this regulation, EPA submitted questions to nine parties via e-mail. The individuals contacted were:</w:t>
      </w:r>
    </w:p>
    <w:p w14:paraId="000DAE64" w14:textId="77777777" w:rsidR="00DF5CF3" w:rsidRPr="00DF5CF3" w:rsidRDefault="00DF5CF3" w:rsidP="00DF5CF3">
      <w:pPr>
        <w:widowControl w:val="0"/>
        <w:rPr>
          <w:sz w:val="24"/>
          <w:szCs w:val="24"/>
        </w:rPr>
      </w:pPr>
    </w:p>
    <w:p w14:paraId="3F3128B5" w14:textId="0CC463D3" w:rsidR="000B79DE" w:rsidRPr="000B79DE" w:rsidRDefault="000B79DE" w:rsidP="00DF5CF3">
      <w:pPr>
        <w:ind w:firstLine="720"/>
        <w:rPr>
          <w:sz w:val="24"/>
          <w:szCs w:val="24"/>
        </w:rPr>
      </w:pPr>
      <w:r w:rsidRPr="000B79DE">
        <w:rPr>
          <w:sz w:val="24"/>
          <w:szCs w:val="24"/>
        </w:rPr>
        <w:t>Scott Jensen</w:t>
      </w:r>
    </w:p>
    <w:p w14:paraId="5BF385A3" w14:textId="6536411C" w:rsidR="000B79DE" w:rsidRPr="000B79DE" w:rsidRDefault="000B79DE" w:rsidP="00DF5CF3">
      <w:pPr>
        <w:ind w:firstLine="720"/>
        <w:rPr>
          <w:sz w:val="24"/>
          <w:szCs w:val="24"/>
        </w:rPr>
      </w:pPr>
      <w:r w:rsidRPr="000B79DE">
        <w:rPr>
          <w:sz w:val="24"/>
          <w:szCs w:val="24"/>
        </w:rPr>
        <w:t>American Chemistry Council</w:t>
      </w:r>
    </w:p>
    <w:p w14:paraId="285AAEE9" w14:textId="6D6CB67F" w:rsidR="000B79DE" w:rsidRPr="000B79DE" w:rsidRDefault="000B79DE" w:rsidP="00DF5CF3">
      <w:pPr>
        <w:ind w:firstLine="720"/>
        <w:rPr>
          <w:sz w:val="24"/>
          <w:szCs w:val="24"/>
        </w:rPr>
      </w:pPr>
      <w:r w:rsidRPr="000B79DE">
        <w:rPr>
          <w:sz w:val="24"/>
          <w:szCs w:val="24"/>
        </w:rPr>
        <w:t xml:space="preserve">Scott_Jensen@AmericanChemistry.com </w:t>
      </w:r>
    </w:p>
    <w:p w14:paraId="39F4DB50" w14:textId="77777777" w:rsidR="000B79DE" w:rsidRPr="000B79DE" w:rsidRDefault="000B79DE" w:rsidP="000B79DE">
      <w:pPr>
        <w:rPr>
          <w:sz w:val="24"/>
          <w:szCs w:val="24"/>
        </w:rPr>
      </w:pPr>
      <w:r w:rsidRPr="000B79DE">
        <w:rPr>
          <w:sz w:val="24"/>
          <w:szCs w:val="24"/>
        </w:rPr>
        <w:t xml:space="preserve">                </w:t>
      </w:r>
    </w:p>
    <w:p w14:paraId="018E6E86" w14:textId="7EA2127B" w:rsidR="000B79DE" w:rsidRPr="000B79DE" w:rsidRDefault="000B79DE" w:rsidP="00DF5CF3">
      <w:pPr>
        <w:ind w:firstLine="720"/>
        <w:rPr>
          <w:sz w:val="24"/>
          <w:szCs w:val="24"/>
        </w:rPr>
      </w:pPr>
      <w:r w:rsidRPr="000B79DE">
        <w:rPr>
          <w:sz w:val="24"/>
          <w:szCs w:val="24"/>
        </w:rPr>
        <w:t>Jenny Gaines, Director</w:t>
      </w:r>
    </w:p>
    <w:p w14:paraId="5032B1B7" w14:textId="2AABEBB3" w:rsidR="000B79DE" w:rsidRPr="000B79DE" w:rsidRDefault="000B79DE" w:rsidP="00DF5CF3">
      <w:pPr>
        <w:ind w:firstLine="720"/>
        <w:rPr>
          <w:sz w:val="24"/>
          <w:szCs w:val="24"/>
        </w:rPr>
      </w:pPr>
      <w:r w:rsidRPr="000B79DE">
        <w:rPr>
          <w:sz w:val="24"/>
          <w:szCs w:val="24"/>
        </w:rPr>
        <w:t>Public Relations &amp; Media</w:t>
      </w:r>
    </w:p>
    <w:p w14:paraId="43D8ABAC" w14:textId="207E04FA" w:rsidR="000B79DE" w:rsidRPr="000B79DE" w:rsidRDefault="000B79DE" w:rsidP="00DF5CF3">
      <w:pPr>
        <w:ind w:firstLine="720"/>
        <w:rPr>
          <w:sz w:val="24"/>
          <w:szCs w:val="24"/>
        </w:rPr>
      </w:pPr>
      <w:r w:rsidRPr="000B79DE">
        <w:rPr>
          <w:sz w:val="24"/>
          <w:szCs w:val="24"/>
        </w:rPr>
        <w:t>SOCMA</w:t>
      </w:r>
    </w:p>
    <w:p w14:paraId="6A3EC3E4" w14:textId="1D91A138" w:rsidR="000B79DE" w:rsidRPr="000B79DE" w:rsidRDefault="000B79DE" w:rsidP="00DF5CF3">
      <w:pPr>
        <w:ind w:firstLine="720"/>
        <w:rPr>
          <w:sz w:val="24"/>
          <w:szCs w:val="24"/>
        </w:rPr>
      </w:pPr>
      <w:r w:rsidRPr="000B79DE">
        <w:rPr>
          <w:sz w:val="24"/>
          <w:szCs w:val="24"/>
        </w:rPr>
        <w:t>gainesj@socma.com</w:t>
      </w:r>
    </w:p>
    <w:p w14:paraId="04EDFCF0" w14:textId="77777777" w:rsidR="000B79DE" w:rsidRPr="000B79DE" w:rsidRDefault="000B79DE" w:rsidP="000B79DE">
      <w:pPr>
        <w:rPr>
          <w:sz w:val="24"/>
          <w:szCs w:val="24"/>
        </w:rPr>
      </w:pPr>
      <w:r w:rsidRPr="000B79DE">
        <w:rPr>
          <w:sz w:val="24"/>
          <w:szCs w:val="24"/>
        </w:rPr>
        <w:t xml:space="preserve">                </w:t>
      </w:r>
    </w:p>
    <w:p w14:paraId="390D475F" w14:textId="76E2B63C" w:rsidR="000B79DE" w:rsidRPr="000B79DE" w:rsidRDefault="000B79DE" w:rsidP="00DF5CF3">
      <w:pPr>
        <w:ind w:firstLine="720"/>
        <w:rPr>
          <w:sz w:val="24"/>
          <w:szCs w:val="24"/>
        </w:rPr>
      </w:pPr>
      <w:r w:rsidRPr="000B79DE">
        <w:rPr>
          <w:sz w:val="24"/>
          <w:szCs w:val="24"/>
        </w:rPr>
        <w:t>Dan Turner, Corporate Media Contact</w:t>
      </w:r>
    </w:p>
    <w:p w14:paraId="4D77EC97" w14:textId="72761447" w:rsidR="000B79DE" w:rsidRPr="000B79DE" w:rsidRDefault="000B79DE" w:rsidP="00DF5CF3">
      <w:pPr>
        <w:ind w:firstLine="720"/>
        <w:rPr>
          <w:sz w:val="24"/>
          <w:szCs w:val="24"/>
        </w:rPr>
      </w:pPr>
      <w:r w:rsidRPr="000B79DE">
        <w:rPr>
          <w:sz w:val="24"/>
          <w:szCs w:val="24"/>
        </w:rPr>
        <w:t>DuPont USA</w:t>
      </w:r>
    </w:p>
    <w:p w14:paraId="0CBC37F9" w14:textId="36F4EAFE" w:rsidR="000B79DE" w:rsidRPr="000B79DE" w:rsidRDefault="000B79DE" w:rsidP="00DF5CF3">
      <w:pPr>
        <w:ind w:firstLine="720"/>
        <w:rPr>
          <w:sz w:val="24"/>
          <w:szCs w:val="24"/>
        </w:rPr>
      </w:pPr>
      <w:r w:rsidRPr="000B79DE">
        <w:rPr>
          <w:sz w:val="24"/>
          <w:szCs w:val="24"/>
        </w:rPr>
        <w:t>Daniel.a.Turner@dupont.com</w:t>
      </w:r>
    </w:p>
    <w:p w14:paraId="2BBBFA24" w14:textId="77777777" w:rsidR="000B79DE" w:rsidRPr="000B79DE" w:rsidRDefault="000B79DE" w:rsidP="000B79DE">
      <w:pPr>
        <w:rPr>
          <w:sz w:val="24"/>
          <w:szCs w:val="24"/>
        </w:rPr>
      </w:pPr>
      <w:r w:rsidRPr="000B79DE">
        <w:rPr>
          <w:sz w:val="24"/>
          <w:szCs w:val="24"/>
        </w:rPr>
        <w:t xml:space="preserve">                </w:t>
      </w:r>
    </w:p>
    <w:p w14:paraId="6577F0C5" w14:textId="6CE7EE35" w:rsidR="000B79DE" w:rsidRPr="000B79DE" w:rsidRDefault="000B79DE" w:rsidP="00DF5CF3">
      <w:pPr>
        <w:ind w:firstLine="720"/>
        <w:rPr>
          <w:sz w:val="24"/>
          <w:szCs w:val="24"/>
        </w:rPr>
      </w:pPr>
      <w:r w:rsidRPr="000B79DE">
        <w:rPr>
          <w:sz w:val="24"/>
          <w:szCs w:val="24"/>
        </w:rPr>
        <w:t>Eric Wohlschlegel, Director</w:t>
      </w:r>
    </w:p>
    <w:p w14:paraId="455CB086" w14:textId="18AA6297" w:rsidR="000B79DE" w:rsidRPr="000B79DE" w:rsidRDefault="000B79DE" w:rsidP="00DF5CF3">
      <w:pPr>
        <w:ind w:firstLine="720"/>
        <w:rPr>
          <w:sz w:val="24"/>
          <w:szCs w:val="24"/>
        </w:rPr>
      </w:pPr>
      <w:r w:rsidRPr="000B79DE">
        <w:rPr>
          <w:sz w:val="24"/>
          <w:szCs w:val="24"/>
        </w:rPr>
        <w:t>Media Contacts</w:t>
      </w:r>
    </w:p>
    <w:p w14:paraId="0FECE14B" w14:textId="5B94EDBB" w:rsidR="000B79DE" w:rsidRPr="000B79DE" w:rsidRDefault="000B79DE" w:rsidP="00DF5CF3">
      <w:pPr>
        <w:ind w:firstLine="720"/>
        <w:rPr>
          <w:sz w:val="24"/>
          <w:szCs w:val="24"/>
        </w:rPr>
      </w:pPr>
      <w:r w:rsidRPr="000B79DE">
        <w:rPr>
          <w:sz w:val="24"/>
          <w:szCs w:val="24"/>
        </w:rPr>
        <w:t>American Petroleum Institute</w:t>
      </w:r>
    </w:p>
    <w:p w14:paraId="0D8BC135" w14:textId="7B710595" w:rsidR="000B79DE" w:rsidRPr="000B79DE" w:rsidRDefault="000B79DE" w:rsidP="00DF5CF3">
      <w:pPr>
        <w:ind w:firstLine="720"/>
        <w:rPr>
          <w:sz w:val="24"/>
          <w:szCs w:val="24"/>
        </w:rPr>
      </w:pPr>
      <w:r w:rsidRPr="000B79DE">
        <w:rPr>
          <w:sz w:val="24"/>
          <w:szCs w:val="24"/>
        </w:rPr>
        <w:t xml:space="preserve">wohlschlegele@api.org </w:t>
      </w:r>
    </w:p>
    <w:p w14:paraId="457FC241" w14:textId="77777777" w:rsidR="000B79DE" w:rsidRPr="000B79DE" w:rsidRDefault="000B79DE" w:rsidP="000B79DE">
      <w:pPr>
        <w:rPr>
          <w:sz w:val="24"/>
          <w:szCs w:val="24"/>
        </w:rPr>
      </w:pPr>
      <w:r w:rsidRPr="000B79DE">
        <w:rPr>
          <w:sz w:val="24"/>
          <w:szCs w:val="24"/>
        </w:rPr>
        <w:t xml:space="preserve">                </w:t>
      </w:r>
    </w:p>
    <w:p w14:paraId="514C13B3" w14:textId="39F01F7D" w:rsidR="000B79DE" w:rsidRPr="000B79DE" w:rsidRDefault="000B79DE" w:rsidP="00DF5CF3">
      <w:pPr>
        <w:ind w:firstLine="720"/>
        <w:rPr>
          <w:sz w:val="24"/>
          <w:szCs w:val="24"/>
        </w:rPr>
      </w:pPr>
      <w:r w:rsidRPr="000B79DE">
        <w:rPr>
          <w:sz w:val="24"/>
          <w:szCs w:val="24"/>
        </w:rPr>
        <w:t>Melissa Scanlan</w:t>
      </w:r>
    </w:p>
    <w:p w14:paraId="6E9C9CEE" w14:textId="4BF4C9B6" w:rsidR="000B79DE" w:rsidRPr="000B79DE" w:rsidRDefault="000B79DE" w:rsidP="00DF5CF3">
      <w:pPr>
        <w:ind w:firstLine="720"/>
        <w:rPr>
          <w:sz w:val="24"/>
          <w:szCs w:val="24"/>
        </w:rPr>
      </w:pPr>
      <w:r w:rsidRPr="000B79DE">
        <w:rPr>
          <w:sz w:val="24"/>
          <w:szCs w:val="24"/>
        </w:rPr>
        <w:t>Assoc. Dean of the Environmental Law Program</w:t>
      </w:r>
    </w:p>
    <w:p w14:paraId="093D4DAD" w14:textId="08EB3A04" w:rsidR="000B79DE" w:rsidRPr="000B79DE" w:rsidRDefault="000B79DE" w:rsidP="00DF5CF3">
      <w:pPr>
        <w:ind w:firstLine="720"/>
        <w:rPr>
          <w:sz w:val="24"/>
          <w:szCs w:val="24"/>
        </w:rPr>
      </w:pPr>
      <w:r w:rsidRPr="000B79DE">
        <w:rPr>
          <w:sz w:val="24"/>
          <w:szCs w:val="24"/>
        </w:rPr>
        <w:t>Director, Environmental Law Center</w:t>
      </w:r>
    </w:p>
    <w:p w14:paraId="0FD99907" w14:textId="431D5856" w:rsidR="000B79DE" w:rsidRPr="000B79DE" w:rsidRDefault="000B79DE" w:rsidP="00DF5CF3">
      <w:pPr>
        <w:ind w:firstLine="720"/>
        <w:rPr>
          <w:sz w:val="24"/>
          <w:szCs w:val="24"/>
        </w:rPr>
      </w:pPr>
      <w:r w:rsidRPr="000B79DE">
        <w:rPr>
          <w:sz w:val="24"/>
          <w:szCs w:val="24"/>
        </w:rPr>
        <w:t>Vermont Law School</w:t>
      </w:r>
    </w:p>
    <w:p w14:paraId="29D05758" w14:textId="57D2AD83" w:rsidR="000B79DE" w:rsidRPr="000B79DE" w:rsidRDefault="000B79DE" w:rsidP="00DF5CF3">
      <w:pPr>
        <w:ind w:firstLine="720"/>
        <w:rPr>
          <w:sz w:val="24"/>
          <w:szCs w:val="24"/>
        </w:rPr>
      </w:pPr>
      <w:r w:rsidRPr="000B79DE">
        <w:rPr>
          <w:sz w:val="24"/>
          <w:szCs w:val="24"/>
        </w:rPr>
        <w:t xml:space="preserve">MSCANLAN@vermontlaw.edu </w:t>
      </w:r>
    </w:p>
    <w:p w14:paraId="38B38E7B" w14:textId="77777777" w:rsidR="000B79DE" w:rsidRPr="000B79DE" w:rsidRDefault="000B79DE" w:rsidP="000B79DE">
      <w:pPr>
        <w:rPr>
          <w:sz w:val="24"/>
          <w:szCs w:val="24"/>
        </w:rPr>
      </w:pPr>
      <w:r w:rsidRPr="000B79DE">
        <w:rPr>
          <w:sz w:val="24"/>
          <w:szCs w:val="24"/>
        </w:rPr>
        <w:t xml:space="preserve">                </w:t>
      </w:r>
    </w:p>
    <w:p w14:paraId="1C7F2A01" w14:textId="77777777" w:rsidR="00B93D35" w:rsidRDefault="00B93D35">
      <w:pPr>
        <w:autoSpaceDE/>
        <w:autoSpaceDN/>
        <w:adjustRightInd/>
        <w:rPr>
          <w:sz w:val="24"/>
          <w:szCs w:val="24"/>
        </w:rPr>
      </w:pPr>
      <w:r>
        <w:rPr>
          <w:sz w:val="24"/>
          <w:szCs w:val="24"/>
        </w:rPr>
        <w:br w:type="page"/>
      </w:r>
    </w:p>
    <w:p w14:paraId="5B6DD169" w14:textId="059ABE32" w:rsidR="000B79DE" w:rsidRPr="000B79DE" w:rsidRDefault="000B79DE" w:rsidP="00DF5CF3">
      <w:pPr>
        <w:ind w:firstLine="720"/>
        <w:rPr>
          <w:sz w:val="24"/>
          <w:szCs w:val="24"/>
        </w:rPr>
      </w:pPr>
      <w:r w:rsidRPr="000B79DE">
        <w:rPr>
          <w:sz w:val="24"/>
          <w:szCs w:val="24"/>
        </w:rPr>
        <w:t>Stacy Cooks, External Affairs Coordinator</w:t>
      </w:r>
    </w:p>
    <w:p w14:paraId="1F0782FC" w14:textId="5BD87467" w:rsidR="000B79DE" w:rsidRPr="000B79DE" w:rsidRDefault="000B79DE" w:rsidP="00DF5CF3">
      <w:pPr>
        <w:ind w:firstLine="720"/>
        <w:rPr>
          <w:sz w:val="24"/>
          <w:szCs w:val="24"/>
        </w:rPr>
      </w:pPr>
      <w:r w:rsidRPr="000B79DE">
        <w:rPr>
          <w:sz w:val="24"/>
          <w:szCs w:val="24"/>
        </w:rPr>
        <w:t>Asthma &amp; Allergy Foundation of America</w:t>
      </w:r>
    </w:p>
    <w:p w14:paraId="7E38CF37" w14:textId="19F68889" w:rsidR="000B79DE" w:rsidRPr="000B79DE" w:rsidRDefault="000B79DE" w:rsidP="00DF5CF3">
      <w:pPr>
        <w:ind w:firstLine="720"/>
        <w:rPr>
          <w:sz w:val="24"/>
          <w:szCs w:val="24"/>
        </w:rPr>
      </w:pPr>
      <w:r w:rsidRPr="000B79DE">
        <w:rPr>
          <w:sz w:val="24"/>
          <w:szCs w:val="24"/>
        </w:rPr>
        <w:t xml:space="preserve">stacy@aafa.org </w:t>
      </w:r>
    </w:p>
    <w:p w14:paraId="647270BB" w14:textId="77777777" w:rsidR="000B79DE" w:rsidRPr="000B79DE" w:rsidRDefault="000B79DE" w:rsidP="000B79DE">
      <w:pPr>
        <w:rPr>
          <w:sz w:val="24"/>
          <w:szCs w:val="24"/>
        </w:rPr>
      </w:pPr>
      <w:r w:rsidRPr="000B79DE">
        <w:rPr>
          <w:sz w:val="24"/>
          <w:szCs w:val="24"/>
        </w:rPr>
        <w:t xml:space="preserve">                </w:t>
      </w:r>
    </w:p>
    <w:p w14:paraId="155BAA9A" w14:textId="21E09F93" w:rsidR="000B79DE" w:rsidRPr="000B79DE" w:rsidRDefault="000B79DE" w:rsidP="00DF5CF3">
      <w:pPr>
        <w:ind w:firstLine="720"/>
        <w:rPr>
          <w:sz w:val="24"/>
          <w:szCs w:val="24"/>
        </w:rPr>
      </w:pPr>
      <w:r w:rsidRPr="000B79DE">
        <w:rPr>
          <w:sz w:val="24"/>
          <w:szCs w:val="24"/>
        </w:rPr>
        <w:t>James Proctor</w:t>
      </w:r>
    </w:p>
    <w:p w14:paraId="78AC824D" w14:textId="41569FE5" w:rsidR="000B79DE" w:rsidRPr="000B79DE" w:rsidRDefault="000B79DE" w:rsidP="00DF5CF3">
      <w:pPr>
        <w:ind w:firstLine="720"/>
        <w:rPr>
          <w:sz w:val="24"/>
          <w:szCs w:val="24"/>
        </w:rPr>
      </w:pPr>
      <w:r w:rsidRPr="000B79DE">
        <w:rPr>
          <w:sz w:val="24"/>
          <w:szCs w:val="24"/>
        </w:rPr>
        <w:t>Director and Professor of Environmental Studies</w:t>
      </w:r>
    </w:p>
    <w:p w14:paraId="0D0FB232" w14:textId="3340F7B3" w:rsidR="000B79DE" w:rsidRPr="000B79DE" w:rsidRDefault="000B79DE" w:rsidP="00DF5CF3">
      <w:pPr>
        <w:ind w:firstLine="720"/>
        <w:rPr>
          <w:sz w:val="24"/>
          <w:szCs w:val="24"/>
        </w:rPr>
      </w:pPr>
      <w:r w:rsidRPr="000B79DE">
        <w:rPr>
          <w:sz w:val="24"/>
          <w:szCs w:val="24"/>
        </w:rPr>
        <w:t>Lewis &amp; Clark College</w:t>
      </w:r>
    </w:p>
    <w:p w14:paraId="2E33E322" w14:textId="5E6B49E5" w:rsidR="000B79DE" w:rsidRPr="000B79DE" w:rsidRDefault="000B79DE" w:rsidP="00DF5CF3">
      <w:pPr>
        <w:ind w:firstLine="720"/>
        <w:rPr>
          <w:sz w:val="24"/>
          <w:szCs w:val="24"/>
        </w:rPr>
      </w:pPr>
      <w:r w:rsidRPr="000B79DE">
        <w:rPr>
          <w:sz w:val="24"/>
          <w:szCs w:val="24"/>
        </w:rPr>
        <w:t>jproctor@lclark.edu</w:t>
      </w:r>
    </w:p>
    <w:p w14:paraId="179D6752" w14:textId="77777777" w:rsidR="000B79DE" w:rsidRPr="000B79DE" w:rsidRDefault="000B79DE" w:rsidP="000B79DE">
      <w:pPr>
        <w:rPr>
          <w:sz w:val="24"/>
          <w:szCs w:val="24"/>
        </w:rPr>
      </w:pPr>
      <w:r w:rsidRPr="000B79DE">
        <w:rPr>
          <w:sz w:val="24"/>
          <w:szCs w:val="24"/>
        </w:rPr>
        <w:t xml:space="preserve">                </w:t>
      </w:r>
    </w:p>
    <w:p w14:paraId="0C9171B6" w14:textId="54FEB50D" w:rsidR="000B79DE" w:rsidRPr="000B79DE" w:rsidRDefault="000B79DE" w:rsidP="00DF5CF3">
      <w:pPr>
        <w:ind w:firstLine="720"/>
        <w:rPr>
          <w:sz w:val="24"/>
          <w:szCs w:val="24"/>
        </w:rPr>
      </w:pPr>
      <w:r w:rsidRPr="000B79DE">
        <w:rPr>
          <w:sz w:val="24"/>
          <w:szCs w:val="24"/>
        </w:rPr>
        <w:t>Ken Cook, President</w:t>
      </w:r>
    </w:p>
    <w:p w14:paraId="42C3FA14" w14:textId="4A748BEA" w:rsidR="000B79DE" w:rsidRPr="000B79DE" w:rsidRDefault="000B79DE" w:rsidP="00DF5CF3">
      <w:pPr>
        <w:ind w:firstLine="720"/>
        <w:rPr>
          <w:sz w:val="24"/>
          <w:szCs w:val="24"/>
        </w:rPr>
      </w:pPr>
      <w:r w:rsidRPr="000B79DE">
        <w:rPr>
          <w:sz w:val="24"/>
          <w:szCs w:val="24"/>
        </w:rPr>
        <w:t>Environmental Working Group</w:t>
      </w:r>
    </w:p>
    <w:p w14:paraId="735DBC7C" w14:textId="742861D4" w:rsidR="000B79DE" w:rsidRPr="000B79DE" w:rsidRDefault="000B79DE" w:rsidP="00DF5CF3">
      <w:pPr>
        <w:ind w:firstLine="720"/>
        <w:rPr>
          <w:sz w:val="24"/>
          <w:szCs w:val="24"/>
        </w:rPr>
      </w:pPr>
      <w:r w:rsidRPr="000B79DE">
        <w:rPr>
          <w:sz w:val="24"/>
          <w:szCs w:val="24"/>
        </w:rPr>
        <w:t>ken@ewg.org</w:t>
      </w:r>
    </w:p>
    <w:p w14:paraId="6E14DE79" w14:textId="77777777" w:rsidR="000B79DE" w:rsidRPr="000B79DE" w:rsidRDefault="000B79DE" w:rsidP="000B79DE">
      <w:pPr>
        <w:rPr>
          <w:sz w:val="24"/>
          <w:szCs w:val="24"/>
        </w:rPr>
      </w:pPr>
      <w:r w:rsidRPr="000B79DE">
        <w:rPr>
          <w:sz w:val="24"/>
          <w:szCs w:val="24"/>
        </w:rPr>
        <w:t xml:space="preserve">                </w:t>
      </w:r>
    </w:p>
    <w:p w14:paraId="31A7CADC" w14:textId="4C3DE957" w:rsidR="000B79DE" w:rsidRPr="000B79DE" w:rsidRDefault="000B79DE" w:rsidP="00DF5CF3">
      <w:pPr>
        <w:ind w:firstLine="720"/>
        <w:rPr>
          <w:sz w:val="24"/>
          <w:szCs w:val="24"/>
        </w:rPr>
      </w:pPr>
      <w:r w:rsidRPr="000B79DE">
        <w:rPr>
          <w:sz w:val="24"/>
          <w:szCs w:val="24"/>
        </w:rPr>
        <w:t>David Goldston, Director</w:t>
      </w:r>
    </w:p>
    <w:p w14:paraId="0D1E19FD" w14:textId="7E2D9B06" w:rsidR="000B79DE" w:rsidRPr="000B79DE" w:rsidRDefault="000B79DE" w:rsidP="00DF5CF3">
      <w:pPr>
        <w:ind w:firstLine="720"/>
        <w:rPr>
          <w:sz w:val="24"/>
          <w:szCs w:val="24"/>
        </w:rPr>
      </w:pPr>
      <w:r w:rsidRPr="000B79DE">
        <w:rPr>
          <w:sz w:val="24"/>
          <w:szCs w:val="24"/>
        </w:rPr>
        <w:t>Government Affairs Program</w:t>
      </w:r>
    </w:p>
    <w:p w14:paraId="56D7BE00" w14:textId="36A12F04" w:rsidR="000B79DE" w:rsidRPr="000B79DE" w:rsidRDefault="000B79DE" w:rsidP="00DF5CF3">
      <w:pPr>
        <w:ind w:firstLine="720"/>
        <w:rPr>
          <w:sz w:val="24"/>
          <w:szCs w:val="24"/>
        </w:rPr>
      </w:pPr>
      <w:r w:rsidRPr="000B79DE">
        <w:rPr>
          <w:sz w:val="24"/>
          <w:szCs w:val="24"/>
        </w:rPr>
        <w:t>Natural Resources Defense Council</w:t>
      </w:r>
    </w:p>
    <w:p w14:paraId="76EDD736" w14:textId="60956D6A" w:rsidR="000B79DE" w:rsidRPr="004E3980" w:rsidRDefault="000B79DE" w:rsidP="00DF5CF3">
      <w:pPr>
        <w:ind w:firstLine="720"/>
        <w:rPr>
          <w:sz w:val="24"/>
          <w:szCs w:val="24"/>
        </w:rPr>
      </w:pPr>
      <w:r w:rsidRPr="000B79DE">
        <w:rPr>
          <w:sz w:val="24"/>
          <w:szCs w:val="24"/>
        </w:rPr>
        <w:t>eheyd@nrdc.org</w:t>
      </w:r>
    </w:p>
    <w:p w14:paraId="3881A7E6" w14:textId="77777777" w:rsidR="008904A4" w:rsidRDefault="008904A4" w:rsidP="00FA2D8A">
      <w:pPr>
        <w:rPr>
          <w:sz w:val="24"/>
          <w:szCs w:val="24"/>
        </w:rPr>
      </w:pPr>
    </w:p>
    <w:p w14:paraId="6112EE61" w14:textId="5A2CE767" w:rsidR="008904A4" w:rsidRDefault="008904A4" w:rsidP="008904A4">
      <w:pPr>
        <w:ind w:firstLine="720"/>
        <w:rPr>
          <w:sz w:val="24"/>
          <w:szCs w:val="24"/>
        </w:rPr>
      </w:pPr>
      <w:r w:rsidRPr="00DF5CF3">
        <w:rPr>
          <w:sz w:val="24"/>
          <w:szCs w:val="24"/>
        </w:rPr>
        <w:t xml:space="preserve">EPA received no responses to its solicitation for consultations. A copy of EPA’s consultation e-mail to the above nine potential respondents is included in </w:t>
      </w:r>
      <w:r w:rsidRPr="00396651">
        <w:rPr>
          <w:sz w:val="24"/>
          <w:szCs w:val="24"/>
        </w:rPr>
        <w:t xml:space="preserve">Attachment </w:t>
      </w:r>
      <w:r w:rsidR="00CF4E91" w:rsidRPr="00396651">
        <w:rPr>
          <w:sz w:val="24"/>
          <w:szCs w:val="24"/>
        </w:rPr>
        <w:t>3</w:t>
      </w:r>
      <w:r w:rsidRPr="00DF5CF3">
        <w:rPr>
          <w:sz w:val="24"/>
          <w:szCs w:val="24"/>
        </w:rPr>
        <w:t>.</w:t>
      </w:r>
    </w:p>
    <w:p w14:paraId="4C1038F0" w14:textId="77777777" w:rsidR="00376599" w:rsidRDefault="00841B82" w:rsidP="00FA2D8A">
      <w:pPr>
        <w:rPr>
          <w:sz w:val="24"/>
          <w:szCs w:val="24"/>
        </w:rPr>
      </w:pPr>
      <w:r>
        <w:rPr>
          <w:sz w:val="24"/>
          <w:szCs w:val="24"/>
        </w:rPr>
        <w:tab/>
      </w:r>
    </w:p>
    <w:p w14:paraId="25652D99" w14:textId="585DBB0A" w:rsidR="00841B82" w:rsidRDefault="00841B82" w:rsidP="00841B82">
      <w:pPr>
        <w:rPr>
          <w:sz w:val="24"/>
          <w:szCs w:val="24"/>
        </w:rPr>
      </w:pPr>
      <w:r>
        <w:rPr>
          <w:sz w:val="24"/>
          <w:szCs w:val="24"/>
        </w:rPr>
        <w:tab/>
      </w:r>
      <w:r w:rsidR="00FA2D8A">
        <w:rPr>
          <w:b/>
          <w:bCs/>
          <w:sz w:val="24"/>
          <w:szCs w:val="24"/>
        </w:rPr>
        <w:t>3(</w:t>
      </w:r>
      <w:r w:rsidR="004E3980">
        <w:rPr>
          <w:b/>
          <w:bCs/>
          <w:sz w:val="24"/>
          <w:szCs w:val="24"/>
        </w:rPr>
        <w:t>d</w:t>
      </w:r>
      <w:r>
        <w:rPr>
          <w:b/>
          <w:bCs/>
          <w:sz w:val="24"/>
          <w:szCs w:val="24"/>
        </w:rPr>
        <w:t xml:space="preserve">)  </w:t>
      </w:r>
      <w:r w:rsidR="0000669F">
        <w:rPr>
          <w:b/>
          <w:bCs/>
          <w:sz w:val="24"/>
          <w:szCs w:val="24"/>
        </w:rPr>
        <w:tab/>
      </w:r>
      <w:r>
        <w:rPr>
          <w:b/>
          <w:bCs/>
          <w:sz w:val="24"/>
          <w:szCs w:val="24"/>
        </w:rPr>
        <w:t>Effects of Less Frequent Collection</w:t>
      </w:r>
    </w:p>
    <w:p w14:paraId="35931B54" w14:textId="77777777" w:rsidR="00841B82" w:rsidRDefault="00841B82" w:rsidP="00841B82">
      <w:pPr>
        <w:rPr>
          <w:sz w:val="24"/>
          <w:szCs w:val="24"/>
        </w:rPr>
      </w:pPr>
    </w:p>
    <w:p w14:paraId="678C29B3" w14:textId="34C8BCF6" w:rsidR="00841B82" w:rsidRDefault="00FA2D8A" w:rsidP="00841B82">
      <w:pPr>
        <w:rPr>
          <w:sz w:val="24"/>
          <w:szCs w:val="24"/>
        </w:rPr>
      </w:pPr>
      <w:r>
        <w:rPr>
          <w:sz w:val="24"/>
          <w:szCs w:val="24"/>
        </w:rPr>
        <w:tab/>
      </w:r>
      <w:r w:rsidR="00933FFA">
        <w:rPr>
          <w:sz w:val="24"/>
          <w:szCs w:val="24"/>
        </w:rPr>
        <w:t>S</w:t>
      </w:r>
      <w:r w:rsidR="008D1FEB" w:rsidRPr="008D1FEB">
        <w:rPr>
          <w:sz w:val="24"/>
          <w:szCs w:val="24"/>
        </w:rPr>
        <w:t xml:space="preserve">ection </w:t>
      </w:r>
      <w:r w:rsidR="008D1FEB">
        <w:rPr>
          <w:sz w:val="24"/>
          <w:szCs w:val="24"/>
        </w:rPr>
        <w:t>8</w:t>
      </w:r>
      <w:r w:rsidR="00841B82">
        <w:rPr>
          <w:sz w:val="24"/>
          <w:szCs w:val="24"/>
        </w:rPr>
        <w:t>(e) reporting is not cyclical bu</w:t>
      </w:r>
      <w:r w:rsidR="0015068A">
        <w:rPr>
          <w:sz w:val="24"/>
          <w:szCs w:val="24"/>
        </w:rPr>
        <w:t xml:space="preserve">t rather is self-implementing. </w:t>
      </w:r>
      <w:r w:rsidR="00841B82">
        <w:rPr>
          <w:sz w:val="24"/>
          <w:szCs w:val="24"/>
        </w:rPr>
        <w:t xml:space="preserve">The statute states that persons covered under the </w:t>
      </w:r>
      <w:r w:rsidR="008D1FEB" w:rsidRPr="008D1FEB">
        <w:rPr>
          <w:sz w:val="24"/>
          <w:szCs w:val="24"/>
        </w:rPr>
        <w:t xml:space="preserve">section </w:t>
      </w:r>
      <w:r w:rsidR="008D1FEB">
        <w:rPr>
          <w:sz w:val="24"/>
          <w:szCs w:val="24"/>
        </w:rPr>
        <w:t>8</w:t>
      </w:r>
      <w:r w:rsidR="00841B82">
        <w:rPr>
          <w:sz w:val="24"/>
          <w:szCs w:val="24"/>
        </w:rPr>
        <w:t>(e) reporting requirement shall immediately notify the EPA Administrator upon obt</w:t>
      </w:r>
      <w:r w:rsidR="0015068A">
        <w:rPr>
          <w:sz w:val="24"/>
          <w:szCs w:val="24"/>
        </w:rPr>
        <w:t xml:space="preserve">aining reportable information. </w:t>
      </w:r>
      <w:r w:rsidR="00841B82">
        <w:rPr>
          <w:sz w:val="24"/>
          <w:szCs w:val="24"/>
        </w:rPr>
        <w:t xml:space="preserve">As stated previously, </w:t>
      </w:r>
      <w:r w:rsidR="008D1FEB" w:rsidRPr="008D1FEB">
        <w:rPr>
          <w:sz w:val="24"/>
          <w:szCs w:val="24"/>
        </w:rPr>
        <w:t xml:space="preserve">section </w:t>
      </w:r>
      <w:r w:rsidR="008D1FEB">
        <w:rPr>
          <w:sz w:val="24"/>
          <w:szCs w:val="24"/>
        </w:rPr>
        <w:t>8</w:t>
      </w:r>
      <w:r w:rsidR="00841B82">
        <w:rPr>
          <w:sz w:val="24"/>
          <w:szCs w:val="24"/>
        </w:rPr>
        <w:t>(e) continues to be an extremely important and useful EPA tool for early identification of potential substantial risk situations and allows the Agency as well as others to focus their resources on those chemicals o</w:t>
      </w:r>
      <w:r w:rsidR="0015068A">
        <w:rPr>
          <w:sz w:val="24"/>
          <w:szCs w:val="24"/>
        </w:rPr>
        <w:t xml:space="preserve">r mixtures of highest concern. </w:t>
      </w:r>
      <w:r w:rsidR="00841B82">
        <w:rPr>
          <w:sz w:val="24"/>
          <w:szCs w:val="24"/>
        </w:rPr>
        <w:t xml:space="preserve">The consequences of EPA’s not receiving </w:t>
      </w:r>
      <w:r w:rsidR="008D1FEB" w:rsidRPr="008D1FEB">
        <w:rPr>
          <w:sz w:val="24"/>
          <w:szCs w:val="24"/>
        </w:rPr>
        <w:t xml:space="preserve">section </w:t>
      </w:r>
      <w:r w:rsidR="008D1FEB">
        <w:rPr>
          <w:sz w:val="24"/>
          <w:szCs w:val="24"/>
        </w:rPr>
        <w:t>8</w:t>
      </w:r>
      <w:r w:rsidR="00841B82">
        <w:rPr>
          <w:sz w:val="24"/>
          <w:szCs w:val="24"/>
        </w:rPr>
        <w:t>(e) data immediately following receip</w:t>
      </w:r>
      <w:r w:rsidR="0015068A">
        <w:rPr>
          <w:sz w:val="24"/>
          <w:szCs w:val="24"/>
        </w:rPr>
        <w:t xml:space="preserve">t by a respondent are serious. </w:t>
      </w:r>
      <w:r w:rsidR="00841B82">
        <w:rPr>
          <w:sz w:val="24"/>
          <w:szCs w:val="24"/>
        </w:rPr>
        <w:t>The Agency would be prevented from learning about and publicizing new information about substantial risks to health or environmental injury posed by exposure to chemic</w:t>
      </w:r>
      <w:r w:rsidR="0015068A">
        <w:rPr>
          <w:sz w:val="24"/>
          <w:szCs w:val="24"/>
        </w:rPr>
        <w:t xml:space="preserve">al substances and/or mixtures. </w:t>
      </w:r>
      <w:r w:rsidR="00841B82">
        <w:rPr>
          <w:sz w:val="24"/>
          <w:szCs w:val="24"/>
        </w:rPr>
        <w:t>Further, EPA would not be in a position to adequately assess and, if necessary, take action to effectively eliminate or reduce such risks in an expeditious manner.</w:t>
      </w:r>
    </w:p>
    <w:p w14:paraId="07289D1C" w14:textId="77777777" w:rsidR="00841B82" w:rsidRDefault="00841B82" w:rsidP="00841B82">
      <w:pPr>
        <w:rPr>
          <w:sz w:val="24"/>
          <w:szCs w:val="24"/>
        </w:rPr>
      </w:pPr>
    </w:p>
    <w:p w14:paraId="3C1FEFEC" w14:textId="29D33FE6" w:rsidR="00841B82" w:rsidRDefault="00841B82" w:rsidP="00841B82">
      <w:pPr>
        <w:rPr>
          <w:sz w:val="24"/>
          <w:szCs w:val="24"/>
        </w:rPr>
      </w:pPr>
      <w:r>
        <w:rPr>
          <w:sz w:val="24"/>
          <w:szCs w:val="24"/>
        </w:rPr>
        <w:tab/>
      </w:r>
      <w:r w:rsidR="00FA2D8A">
        <w:rPr>
          <w:b/>
          <w:bCs/>
          <w:sz w:val="24"/>
          <w:szCs w:val="24"/>
        </w:rPr>
        <w:t>3(</w:t>
      </w:r>
      <w:r w:rsidR="004E3980">
        <w:rPr>
          <w:b/>
          <w:bCs/>
          <w:sz w:val="24"/>
          <w:szCs w:val="24"/>
        </w:rPr>
        <w:t>e</w:t>
      </w:r>
      <w:r>
        <w:rPr>
          <w:b/>
          <w:bCs/>
          <w:sz w:val="24"/>
          <w:szCs w:val="24"/>
        </w:rPr>
        <w:t xml:space="preserve">)  </w:t>
      </w:r>
      <w:r w:rsidR="0000669F">
        <w:rPr>
          <w:b/>
          <w:bCs/>
          <w:sz w:val="24"/>
          <w:szCs w:val="24"/>
        </w:rPr>
        <w:tab/>
      </w:r>
      <w:r>
        <w:rPr>
          <w:b/>
          <w:bCs/>
          <w:sz w:val="24"/>
          <w:szCs w:val="24"/>
        </w:rPr>
        <w:t>General Guidelines</w:t>
      </w:r>
    </w:p>
    <w:p w14:paraId="304405C7" w14:textId="77777777" w:rsidR="00841B82" w:rsidRDefault="00841B82" w:rsidP="00841B82">
      <w:pPr>
        <w:rPr>
          <w:sz w:val="24"/>
          <w:szCs w:val="24"/>
        </w:rPr>
      </w:pPr>
    </w:p>
    <w:p w14:paraId="3C9E835A" w14:textId="4EC8333A" w:rsidR="00841B82" w:rsidRDefault="00841B82" w:rsidP="00841B82">
      <w:pPr>
        <w:rPr>
          <w:sz w:val="24"/>
          <w:szCs w:val="24"/>
        </w:rPr>
      </w:pPr>
      <w:r>
        <w:rPr>
          <w:sz w:val="24"/>
          <w:szCs w:val="24"/>
        </w:rPr>
        <w:tab/>
        <w:t xml:space="preserve">The required reporting that takes place under </w:t>
      </w:r>
      <w:r w:rsidR="008D1FEB" w:rsidRPr="008D1FEB">
        <w:rPr>
          <w:sz w:val="24"/>
          <w:szCs w:val="24"/>
        </w:rPr>
        <w:t xml:space="preserve">section </w:t>
      </w:r>
      <w:r w:rsidR="008D1FEB">
        <w:rPr>
          <w:sz w:val="24"/>
          <w:szCs w:val="24"/>
        </w:rPr>
        <w:t>8</w:t>
      </w:r>
      <w:r>
        <w:rPr>
          <w:sz w:val="24"/>
          <w:szCs w:val="24"/>
        </w:rPr>
        <w:t>(e) does not exceed the Paperwork Reduction Act-imposed guidelines found at 5 CFR 1320.6.</w:t>
      </w:r>
    </w:p>
    <w:p w14:paraId="2821E84B" w14:textId="77777777" w:rsidR="00841B82" w:rsidRDefault="00841B82" w:rsidP="00841B82">
      <w:pPr>
        <w:rPr>
          <w:sz w:val="24"/>
          <w:szCs w:val="24"/>
        </w:rPr>
      </w:pPr>
    </w:p>
    <w:p w14:paraId="37D93B7F" w14:textId="4C02D746" w:rsidR="00841B82" w:rsidRDefault="00841B82" w:rsidP="00841B82">
      <w:pPr>
        <w:rPr>
          <w:sz w:val="24"/>
          <w:szCs w:val="24"/>
        </w:rPr>
      </w:pPr>
      <w:r>
        <w:rPr>
          <w:sz w:val="24"/>
          <w:szCs w:val="24"/>
        </w:rPr>
        <w:tab/>
      </w:r>
      <w:r w:rsidR="00FA2D8A">
        <w:rPr>
          <w:b/>
          <w:bCs/>
          <w:sz w:val="24"/>
          <w:szCs w:val="24"/>
        </w:rPr>
        <w:t>3(</w:t>
      </w:r>
      <w:r w:rsidR="004E3980">
        <w:rPr>
          <w:b/>
          <w:bCs/>
          <w:sz w:val="24"/>
          <w:szCs w:val="24"/>
        </w:rPr>
        <w:t>f</w:t>
      </w:r>
      <w:r>
        <w:rPr>
          <w:b/>
          <w:bCs/>
          <w:sz w:val="24"/>
          <w:szCs w:val="24"/>
        </w:rPr>
        <w:t xml:space="preserve">)  </w:t>
      </w:r>
      <w:r w:rsidR="0000669F">
        <w:rPr>
          <w:b/>
          <w:bCs/>
          <w:sz w:val="24"/>
          <w:szCs w:val="24"/>
        </w:rPr>
        <w:tab/>
      </w:r>
      <w:r>
        <w:rPr>
          <w:b/>
          <w:bCs/>
          <w:sz w:val="24"/>
          <w:szCs w:val="24"/>
        </w:rPr>
        <w:t>Confidentiality</w:t>
      </w:r>
    </w:p>
    <w:p w14:paraId="23CC3E19" w14:textId="77777777" w:rsidR="00841B82" w:rsidRDefault="00841B82" w:rsidP="00841B82">
      <w:pPr>
        <w:rPr>
          <w:sz w:val="24"/>
          <w:szCs w:val="24"/>
        </w:rPr>
      </w:pPr>
    </w:p>
    <w:p w14:paraId="6D76F914" w14:textId="37F35925" w:rsidR="00841B82" w:rsidRDefault="00841B82" w:rsidP="00841B82">
      <w:pPr>
        <w:rPr>
          <w:sz w:val="24"/>
          <w:szCs w:val="24"/>
        </w:rPr>
      </w:pPr>
      <w:r>
        <w:rPr>
          <w:sz w:val="24"/>
          <w:szCs w:val="24"/>
        </w:rPr>
        <w:tab/>
        <w:t xml:space="preserve">Any person submitting a notice to EPA under </w:t>
      </w:r>
      <w:r w:rsidR="008D1FEB" w:rsidRPr="008D1FEB">
        <w:rPr>
          <w:sz w:val="24"/>
          <w:szCs w:val="24"/>
        </w:rPr>
        <w:t xml:space="preserve">section </w:t>
      </w:r>
      <w:r w:rsidR="008D1FEB">
        <w:rPr>
          <w:sz w:val="24"/>
          <w:szCs w:val="24"/>
        </w:rPr>
        <w:t>8</w:t>
      </w:r>
      <w:r>
        <w:rPr>
          <w:sz w:val="24"/>
          <w:szCs w:val="24"/>
        </w:rPr>
        <w:t>(e) may assert a claim of business confidentiality covering informatio</w:t>
      </w:r>
      <w:r w:rsidR="0015068A">
        <w:rPr>
          <w:sz w:val="24"/>
          <w:szCs w:val="24"/>
        </w:rPr>
        <w:t xml:space="preserve">n contained in the submission. </w:t>
      </w:r>
      <w:r>
        <w:rPr>
          <w:sz w:val="24"/>
          <w:szCs w:val="24"/>
        </w:rPr>
        <w:t xml:space="preserve">Any information covered by a claim will be disclosed by EPA only to the extent and by means of the procedures set </w:t>
      </w:r>
      <w:r w:rsidR="0015068A">
        <w:rPr>
          <w:sz w:val="24"/>
          <w:szCs w:val="24"/>
        </w:rPr>
        <w:t xml:space="preserve">forth at 40 CFR Part 2. </w:t>
      </w:r>
      <w:r>
        <w:rPr>
          <w:sz w:val="24"/>
          <w:szCs w:val="24"/>
        </w:rPr>
        <w:t xml:space="preserve">If no confidentiality claim accompanies a </w:t>
      </w:r>
      <w:r w:rsidR="008D1FEB" w:rsidRPr="008D1FEB">
        <w:rPr>
          <w:sz w:val="24"/>
          <w:szCs w:val="24"/>
        </w:rPr>
        <w:t xml:space="preserve">section </w:t>
      </w:r>
      <w:r w:rsidR="008D1FEB">
        <w:rPr>
          <w:sz w:val="24"/>
          <w:szCs w:val="24"/>
        </w:rPr>
        <w:t>8</w:t>
      </w:r>
      <w:r>
        <w:rPr>
          <w:sz w:val="24"/>
          <w:szCs w:val="24"/>
        </w:rPr>
        <w:t>(e) notice, the submission is placed in the TSCA Docket and is available to the public without further notice t</w:t>
      </w:r>
      <w:r w:rsidR="0015068A">
        <w:rPr>
          <w:sz w:val="24"/>
          <w:szCs w:val="24"/>
        </w:rPr>
        <w:t xml:space="preserve">o the submitting organization. </w:t>
      </w:r>
      <w:r>
        <w:rPr>
          <w:sz w:val="24"/>
          <w:szCs w:val="24"/>
        </w:rPr>
        <w:t>The Agency has established and actively implements well-publicized standard procedures for the handling and safeguarding of information claimed as TSCA Confidential Business Information (TSCA CBI).</w:t>
      </w:r>
    </w:p>
    <w:p w14:paraId="7740F055" w14:textId="77777777" w:rsidR="0036663B" w:rsidRDefault="00841B82" w:rsidP="00841B82">
      <w:pPr>
        <w:rPr>
          <w:sz w:val="24"/>
          <w:szCs w:val="24"/>
        </w:rPr>
      </w:pPr>
      <w:r>
        <w:rPr>
          <w:sz w:val="24"/>
          <w:szCs w:val="24"/>
        </w:rPr>
        <w:tab/>
      </w:r>
    </w:p>
    <w:p w14:paraId="5F5D2D76" w14:textId="62D3ED3C" w:rsidR="00841B82" w:rsidRDefault="00FA2D8A" w:rsidP="0036663B">
      <w:pPr>
        <w:ind w:firstLine="720"/>
        <w:rPr>
          <w:sz w:val="24"/>
          <w:szCs w:val="24"/>
        </w:rPr>
      </w:pPr>
      <w:r>
        <w:rPr>
          <w:b/>
          <w:bCs/>
          <w:sz w:val="24"/>
          <w:szCs w:val="24"/>
        </w:rPr>
        <w:t>3(</w:t>
      </w:r>
      <w:r w:rsidR="004E3980">
        <w:rPr>
          <w:b/>
          <w:bCs/>
          <w:sz w:val="24"/>
          <w:szCs w:val="24"/>
        </w:rPr>
        <w:t>g</w:t>
      </w:r>
      <w:r w:rsidR="00841B82">
        <w:rPr>
          <w:b/>
          <w:bCs/>
          <w:sz w:val="24"/>
          <w:szCs w:val="24"/>
        </w:rPr>
        <w:t xml:space="preserve">)  </w:t>
      </w:r>
      <w:r w:rsidR="0000669F">
        <w:rPr>
          <w:b/>
          <w:bCs/>
          <w:sz w:val="24"/>
          <w:szCs w:val="24"/>
        </w:rPr>
        <w:tab/>
      </w:r>
      <w:r w:rsidR="00841B82">
        <w:rPr>
          <w:b/>
          <w:bCs/>
          <w:sz w:val="24"/>
          <w:szCs w:val="24"/>
        </w:rPr>
        <w:t>Sensitive Questions</w:t>
      </w:r>
    </w:p>
    <w:p w14:paraId="14A5DFB0" w14:textId="77777777" w:rsidR="00841B82" w:rsidRDefault="00841B82" w:rsidP="00841B82">
      <w:pPr>
        <w:rPr>
          <w:sz w:val="24"/>
          <w:szCs w:val="24"/>
        </w:rPr>
      </w:pPr>
    </w:p>
    <w:p w14:paraId="3A8311EB" w14:textId="0BB4529D" w:rsidR="00841B82" w:rsidRDefault="00FA2D8A" w:rsidP="00841B82">
      <w:pPr>
        <w:rPr>
          <w:sz w:val="24"/>
          <w:szCs w:val="24"/>
        </w:rPr>
      </w:pPr>
      <w:r>
        <w:rPr>
          <w:sz w:val="24"/>
          <w:szCs w:val="24"/>
        </w:rPr>
        <w:tab/>
        <w:t xml:space="preserve">Under </w:t>
      </w:r>
      <w:r w:rsidR="008D1FEB">
        <w:rPr>
          <w:sz w:val="24"/>
          <w:szCs w:val="24"/>
        </w:rPr>
        <w:t>section 8</w:t>
      </w:r>
      <w:r w:rsidR="00841B82">
        <w:rPr>
          <w:sz w:val="24"/>
          <w:szCs w:val="24"/>
        </w:rPr>
        <w:t xml:space="preserve">(e), EPA does not seek submission of information </w:t>
      </w:r>
      <w:r w:rsidR="00225FD0">
        <w:rPr>
          <w:sz w:val="24"/>
          <w:szCs w:val="24"/>
        </w:rPr>
        <w:t>of a sensitive nature.</w:t>
      </w:r>
    </w:p>
    <w:p w14:paraId="4172D132" w14:textId="77777777" w:rsidR="004E3980" w:rsidRDefault="004E3980" w:rsidP="00841B82">
      <w:pPr>
        <w:rPr>
          <w:sz w:val="24"/>
          <w:szCs w:val="24"/>
        </w:rPr>
      </w:pPr>
    </w:p>
    <w:p w14:paraId="515339F0" w14:textId="77777777" w:rsidR="00841B82" w:rsidRDefault="00841B82" w:rsidP="00841B82">
      <w:pPr>
        <w:rPr>
          <w:sz w:val="24"/>
          <w:szCs w:val="24"/>
        </w:rPr>
      </w:pPr>
    </w:p>
    <w:p w14:paraId="00E296AA" w14:textId="77777777" w:rsidR="00841B82" w:rsidRDefault="00841B82" w:rsidP="00841B82">
      <w:pPr>
        <w:rPr>
          <w:b/>
          <w:bCs/>
          <w:sz w:val="24"/>
          <w:szCs w:val="24"/>
        </w:rPr>
      </w:pPr>
      <w:r>
        <w:rPr>
          <w:b/>
          <w:bCs/>
          <w:sz w:val="24"/>
          <w:szCs w:val="24"/>
        </w:rPr>
        <w:t>4</w:t>
      </w:r>
      <w:r>
        <w:rPr>
          <w:b/>
          <w:bCs/>
          <w:sz w:val="24"/>
          <w:szCs w:val="24"/>
        </w:rPr>
        <w:tab/>
        <w:t>RESPONDENTS AND THE INFORMATION REQUESTED</w:t>
      </w:r>
    </w:p>
    <w:p w14:paraId="0FBAAF82" w14:textId="77777777" w:rsidR="00841B82" w:rsidRDefault="00841B82" w:rsidP="00841B82">
      <w:pPr>
        <w:rPr>
          <w:b/>
          <w:bCs/>
          <w:sz w:val="24"/>
          <w:szCs w:val="24"/>
        </w:rPr>
      </w:pPr>
    </w:p>
    <w:p w14:paraId="07EBC71A" w14:textId="77777777" w:rsidR="00841B82" w:rsidRDefault="00841B82" w:rsidP="00841B82">
      <w:pPr>
        <w:rPr>
          <w:sz w:val="24"/>
          <w:szCs w:val="24"/>
        </w:rPr>
      </w:pPr>
      <w:r>
        <w:rPr>
          <w:b/>
          <w:bCs/>
          <w:sz w:val="24"/>
          <w:szCs w:val="24"/>
        </w:rPr>
        <w:tab/>
        <w:t xml:space="preserve">4(a)  </w:t>
      </w:r>
      <w:r w:rsidR="0000669F">
        <w:rPr>
          <w:b/>
          <w:bCs/>
          <w:sz w:val="24"/>
          <w:szCs w:val="24"/>
        </w:rPr>
        <w:tab/>
      </w:r>
      <w:r>
        <w:rPr>
          <w:b/>
          <w:bCs/>
          <w:sz w:val="24"/>
          <w:szCs w:val="24"/>
        </w:rPr>
        <w:t>Respondents/NAICS Codes</w:t>
      </w:r>
    </w:p>
    <w:p w14:paraId="7B41EA40" w14:textId="77777777" w:rsidR="00841B82" w:rsidRDefault="00841B82" w:rsidP="00841B82">
      <w:pPr>
        <w:rPr>
          <w:sz w:val="24"/>
          <w:szCs w:val="24"/>
        </w:rPr>
      </w:pPr>
    </w:p>
    <w:p w14:paraId="2AC48B7B" w14:textId="558EC6BD" w:rsidR="00AA7672" w:rsidRDefault="00841B82" w:rsidP="00841B82">
      <w:pPr>
        <w:rPr>
          <w:sz w:val="24"/>
          <w:szCs w:val="24"/>
        </w:rPr>
      </w:pPr>
      <w:r>
        <w:rPr>
          <w:sz w:val="24"/>
          <w:szCs w:val="24"/>
        </w:rPr>
        <w:tab/>
        <w:t xml:space="preserve">A </w:t>
      </w:r>
      <w:r w:rsidR="00FA2D8A">
        <w:rPr>
          <w:sz w:val="24"/>
          <w:szCs w:val="24"/>
        </w:rPr>
        <w:t xml:space="preserve">statutory </w:t>
      </w:r>
      <w:r w:rsidR="00FA03A3" w:rsidRPr="00FA03A3">
        <w:rPr>
          <w:sz w:val="24"/>
          <w:szCs w:val="24"/>
        </w:rPr>
        <w:t xml:space="preserve">section </w:t>
      </w:r>
      <w:r w:rsidR="008D1FEB">
        <w:rPr>
          <w:sz w:val="24"/>
          <w:szCs w:val="24"/>
        </w:rPr>
        <w:t>8</w:t>
      </w:r>
      <w:r>
        <w:rPr>
          <w:sz w:val="24"/>
          <w:szCs w:val="24"/>
        </w:rPr>
        <w:t>(e) reporting obligation can be incurred by any person who manufactures, imports, processes or distributes a TSCA-covered chemica</w:t>
      </w:r>
      <w:r w:rsidR="00FA2D8A">
        <w:rPr>
          <w:sz w:val="24"/>
          <w:szCs w:val="24"/>
        </w:rPr>
        <w:t xml:space="preserve">l substance or mixture.  EPA’s </w:t>
      </w:r>
      <w:r w:rsidR="008D1FEB">
        <w:rPr>
          <w:sz w:val="24"/>
          <w:szCs w:val="24"/>
        </w:rPr>
        <w:t>Section 8</w:t>
      </w:r>
      <w:r>
        <w:rPr>
          <w:sz w:val="24"/>
          <w:szCs w:val="24"/>
        </w:rPr>
        <w:t>(e) Policy Statement defines the term “person” broadly to include “any natural person, corporation, firm, company, joint-venture, partnership, sole proprietorship, association, or any other business entity, any State or political subdivision thereof, any municipality, any interstate body and any department, agency, instrumentality of the Federal Government.”  Although this definition is quite broa</w:t>
      </w:r>
      <w:r w:rsidR="00FA2D8A">
        <w:rPr>
          <w:sz w:val="24"/>
          <w:szCs w:val="24"/>
        </w:rPr>
        <w:t xml:space="preserve">d in terms of subject persons, </w:t>
      </w:r>
      <w:r w:rsidR="00FA03A3" w:rsidRPr="00FA03A3">
        <w:rPr>
          <w:sz w:val="24"/>
          <w:szCs w:val="24"/>
        </w:rPr>
        <w:t xml:space="preserve">section </w:t>
      </w:r>
      <w:r w:rsidR="008D1FEB">
        <w:rPr>
          <w:sz w:val="24"/>
          <w:szCs w:val="24"/>
        </w:rPr>
        <w:t>8</w:t>
      </w:r>
      <w:r>
        <w:rPr>
          <w:sz w:val="24"/>
          <w:szCs w:val="24"/>
        </w:rPr>
        <w:t xml:space="preserve">(e) reporting obligations are most typically incurred by companies engaged in activities classified by NAICS Codes 325 - Chemicals and Allied Products Manufacturers and 32411- Petroleum </w:t>
      </w:r>
      <w:r w:rsidR="003A327C" w:rsidRPr="003A327C">
        <w:rPr>
          <w:sz w:val="24"/>
          <w:szCs w:val="24"/>
        </w:rPr>
        <w:t>and Coal Products Manufacturing</w:t>
      </w:r>
      <w:r>
        <w:rPr>
          <w:sz w:val="24"/>
          <w:szCs w:val="24"/>
        </w:rPr>
        <w:t>.</w:t>
      </w:r>
    </w:p>
    <w:p w14:paraId="5127B10B" w14:textId="77777777" w:rsidR="00762937" w:rsidRDefault="00762937" w:rsidP="00841B82">
      <w:pPr>
        <w:rPr>
          <w:sz w:val="24"/>
          <w:szCs w:val="24"/>
        </w:rPr>
      </w:pPr>
    </w:p>
    <w:p w14:paraId="7ABFD825" w14:textId="77777777" w:rsidR="00841B82" w:rsidRDefault="00841B82" w:rsidP="00AA7672">
      <w:pPr>
        <w:ind w:firstLine="720"/>
        <w:rPr>
          <w:b/>
          <w:bCs/>
          <w:sz w:val="24"/>
          <w:szCs w:val="24"/>
        </w:rPr>
      </w:pPr>
      <w:r>
        <w:rPr>
          <w:b/>
          <w:bCs/>
          <w:sz w:val="24"/>
          <w:szCs w:val="24"/>
        </w:rPr>
        <w:t xml:space="preserve">4(b)  </w:t>
      </w:r>
      <w:r w:rsidR="0000669F">
        <w:rPr>
          <w:b/>
          <w:bCs/>
          <w:sz w:val="24"/>
          <w:szCs w:val="24"/>
        </w:rPr>
        <w:tab/>
      </w:r>
      <w:r>
        <w:rPr>
          <w:b/>
          <w:bCs/>
          <w:sz w:val="24"/>
          <w:szCs w:val="24"/>
        </w:rPr>
        <w:t>Information Requested</w:t>
      </w:r>
    </w:p>
    <w:p w14:paraId="2CD40BE3" w14:textId="77777777" w:rsidR="005A40D5" w:rsidRDefault="005A40D5" w:rsidP="00791864">
      <w:pPr>
        <w:rPr>
          <w:b/>
          <w:color w:val="1F497D" w:themeColor="text2"/>
        </w:rPr>
      </w:pPr>
    </w:p>
    <w:p w14:paraId="5DD8D476" w14:textId="77777777" w:rsidR="00841B82" w:rsidRDefault="00841B82" w:rsidP="00841B82">
      <w:pPr>
        <w:rPr>
          <w:sz w:val="24"/>
          <w:szCs w:val="24"/>
        </w:rPr>
      </w:pPr>
      <w:r>
        <w:rPr>
          <w:b/>
          <w:bCs/>
          <w:sz w:val="24"/>
          <w:szCs w:val="24"/>
        </w:rPr>
        <w:tab/>
      </w:r>
      <w:r w:rsidR="00002632">
        <w:rPr>
          <w:b/>
          <w:bCs/>
          <w:sz w:val="24"/>
          <w:szCs w:val="24"/>
        </w:rPr>
        <w:tab/>
      </w:r>
      <w:r>
        <w:rPr>
          <w:b/>
          <w:bCs/>
          <w:sz w:val="24"/>
          <w:szCs w:val="24"/>
        </w:rPr>
        <w:t xml:space="preserve">(i)  </w:t>
      </w:r>
      <w:r w:rsidR="0000669F">
        <w:rPr>
          <w:b/>
          <w:bCs/>
          <w:sz w:val="24"/>
          <w:szCs w:val="24"/>
        </w:rPr>
        <w:tab/>
      </w:r>
      <w:r>
        <w:rPr>
          <w:b/>
          <w:bCs/>
          <w:sz w:val="24"/>
          <w:szCs w:val="24"/>
        </w:rPr>
        <w:t>Data Items</w:t>
      </w:r>
    </w:p>
    <w:p w14:paraId="625B9A44" w14:textId="77777777" w:rsidR="00841B82" w:rsidRDefault="00841B82" w:rsidP="00841B82">
      <w:pPr>
        <w:rPr>
          <w:sz w:val="24"/>
          <w:szCs w:val="24"/>
        </w:rPr>
      </w:pPr>
    </w:p>
    <w:p w14:paraId="6F3A1604" w14:textId="79C33B6C" w:rsidR="00841B82" w:rsidRDefault="00352601" w:rsidP="00841B82">
      <w:pPr>
        <w:rPr>
          <w:sz w:val="24"/>
          <w:szCs w:val="24"/>
        </w:rPr>
      </w:pPr>
      <w:r>
        <w:rPr>
          <w:sz w:val="24"/>
          <w:szCs w:val="24"/>
        </w:rPr>
        <w:tab/>
        <w:t xml:space="preserve">There </w:t>
      </w:r>
      <w:r w:rsidRPr="007369A9">
        <w:rPr>
          <w:sz w:val="24"/>
          <w:szCs w:val="24"/>
        </w:rPr>
        <w:t>is no required collection instrument or reporting form</w:t>
      </w:r>
      <w:r w:rsidR="007369A9">
        <w:rPr>
          <w:sz w:val="24"/>
          <w:szCs w:val="24"/>
        </w:rPr>
        <w:t xml:space="preserve"> on which </w:t>
      </w:r>
      <w:r w:rsidR="00FA03A3" w:rsidRPr="00FA03A3">
        <w:rPr>
          <w:sz w:val="24"/>
          <w:szCs w:val="24"/>
        </w:rPr>
        <w:t xml:space="preserve">section </w:t>
      </w:r>
      <w:r w:rsidR="008D1FEB">
        <w:rPr>
          <w:sz w:val="24"/>
          <w:szCs w:val="24"/>
        </w:rPr>
        <w:t>8</w:t>
      </w:r>
      <w:r w:rsidR="00841B82" w:rsidRPr="007369A9">
        <w:rPr>
          <w:sz w:val="24"/>
          <w:szCs w:val="24"/>
        </w:rPr>
        <w:t>(e) information must be submitted to EPA;</w:t>
      </w:r>
      <w:r w:rsidR="007369A9">
        <w:rPr>
          <w:color w:val="FF0000"/>
          <w:sz w:val="24"/>
          <w:szCs w:val="24"/>
        </w:rPr>
        <w:t xml:space="preserve"> </w:t>
      </w:r>
      <w:r w:rsidR="007369A9">
        <w:rPr>
          <w:sz w:val="24"/>
          <w:szCs w:val="24"/>
        </w:rPr>
        <w:t xml:space="preserve">however, the </w:t>
      </w:r>
      <w:r w:rsidR="008D1FEB">
        <w:rPr>
          <w:sz w:val="24"/>
          <w:szCs w:val="24"/>
        </w:rPr>
        <w:t>Section 8</w:t>
      </w:r>
      <w:r w:rsidR="00841B82">
        <w:rPr>
          <w:sz w:val="24"/>
          <w:szCs w:val="24"/>
        </w:rPr>
        <w:t xml:space="preserve">(e) Policy Statement requires all respondents to ensure that a written </w:t>
      </w:r>
      <w:r w:rsidR="008D1FEB">
        <w:rPr>
          <w:sz w:val="24"/>
          <w:szCs w:val="24"/>
        </w:rPr>
        <w:t>section 8</w:t>
      </w:r>
      <w:r w:rsidR="00841B82">
        <w:rPr>
          <w:sz w:val="24"/>
          <w:szCs w:val="24"/>
        </w:rPr>
        <w:t>(e) notice:</w:t>
      </w:r>
    </w:p>
    <w:p w14:paraId="226B8633" w14:textId="77777777" w:rsidR="00841B82" w:rsidRDefault="00841B82" w:rsidP="00841B82">
      <w:pPr>
        <w:rPr>
          <w:sz w:val="24"/>
          <w:szCs w:val="24"/>
        </w:rPr>
      </w:pPr>
    </w:p>
    <w:p w14:paraId="120817FD" w14:textId="77777777" w:rsidR="00841B82" w:rsidRDefault="00841B82" w:rsidP="00DC458B">
      <w:pPr>
        <w:numPr>
          <w:ilvl w:val="0"/>
          <w:numId w:val="2"/>
        </w:numPr>
        <w:rPr>
          <w:sz w:val="24"/>
          <w:szCs w:val="24"/>
        </w:rPr>
      </w:pPr>
      <w:r>
        <w:rPr>
          <w:sz w:val="24"/>
          <w:szCs w:val="24"/>
        </w:rPr>
        <w:t>is sent to EPA by a method verifying the Agency’s receipt;</w:t>
      </w:r>
    </w:p>
    <w:p w14:paraId="5B8D06FF" w14:textId="6132A3AE" w:rsidR="00841B82" w:rsidRDefault="00841B82" w:rsidP="00DC458B">
      <w:pPr>
        <w:numPr>
          <w:ilvl w:val="0"/>
          <w:numId w:val="2"/>
        </w:numPr>
        <w:rPr>
          <w:sz w:val="24"/>
          <w:szCs w:val="24"/>
        </w:rPr>
      </w:pPr>
      <w:r>
        <w:rPr>
          <w:sz w:val="24"/>
          <w:szCs w:val="24"/>
        </w:rPr>
        <w:t>states th</w:t>
      </w:r>
      <w:r w:rsidR="00FA2D8A">
        <w:rPr>
          <w:sz w:val="24"/>
          <w:szCs w:val="24"/>
        </w:rPr>
        <w:t xml:space="preserve">at it is being submitted under </w:t>
      </w:r>
      <w:r w:rsidR="009A28A1">
        <w:rPr>
          <w:sz w:val="24"/>
          <w:szCs w:val="24"/>
        </w:rPr>
        <w:t>s</w:t>
      </w:r>
      <w:r w:rsidR="008D1FEB">
        <w:rPr>
          <w:sz w:val="24"/>
          <w:szCs w:val="24"/>
        </w:rPr>
        <w:t>ection 8</w:t>
      </w:r>
      <w:r>
        <w:rPr>
          <w:sz w:val="24"/>
          <w:szCs w:val="24"/>
        </w:rPr>
        <w:t>(e) of TSCA;</w:t>
      </w:r>
    </w:p>
    <w:p w14:paraId="4C52466B" w14:textId="77777777" w:rsidR="00841B82" w:rsidRDefault="00841B82" w:rsidP="00DC458B">
      <w:pPr>
        <w:numPr>
          <w:ilvl w:val="0"/>
          <w:numId w:val="2"/>
        </w:numPr>
        <w:rPr>
          <w:sz w:val="24"/>
          <w:szCs w:val="24"/>
        </w:rPr>
      </w:pPr>
      <w:r>
        <w:rPr>
          <w:sz w:val="24"/>
          <w:szCs w:val="24"/>
        </w:rPr>
        <w:t>contains the name, address, job title, phone number and signature of the person reporting, and the name and address of the establishment with which the person is associated;</w:t>
      </w:r>
    </w:p>
    <w:p w14:paraId="0B64524A" w14:textId="77777777" w:rsidR="00841B82" w:rsidRDefault="00841B82" w:rsidP="00DC458B">
      <w:pPr>
        <w:numPr>
          <w:ilvl w:val="0"/>
          <w:numId w:val="2"/>
        </w:numPr>
        <w:rPr>
          <w:sz w:val="24"/>
          <w:szCs w:val="24"/>
        </w:rPr>
      </w:pPr>
      <w:r>
        <w:rPr>
          <w:sz w:val="24"/>
          <w:szCs w:val="24"/>
        </w:rPr>
        <w:t>identifies the chemical substance(s) or mixture including, if known, the Chemical Abstract Service (CAS) Registry Number(s);</w:t>
      </w:r>
    </w:p>
    <w:p w14:paraId="22B58513" w14:textId="77777777" w:rsidR="00841B82" w:rsidRDefault="00841B82" w:rsidP="00DC458B">
      <w:pPr>
        <w:numPr>
          <w:ilvl w:val="0"/>
          <w:numId w:val="2"/>
        </w:numPr>
        <w:rPr>
          <w:sz w:val="24"/>
          <w:szCs w:val="24"/>
        </w:rPr>
      </w:pPr>
      <w:r>
        <w:rPr>
          <w:sz w:val="24"/>
          <w:szCs w:val="24"/>
        </w:rPr>
        <w:t>summarizes adverse health/environmental effects being reported including a description of the nature and extent of the risk; and</w:t>
      </w:r>
    </w:p>
    <w:p w14:paraId="28BEF97A" w14:textId="77777777" w:rsidR="00841B82" w:rsidRDefault="00841B82" w:rsidP="00DC458B">
      <w:pPr>
        <w:numPr>
          <w:ilvl w:val="0"/>
          <w:numId w:val="2"/>
        </w:numPr>
        <w:rPr>
          <w:sz w:val="24"/>
          <w:szCs w:val="24"/>
        </w:rPr>
      </w:pPr>
      <w:r>
        <w:rPr>
          <w:sz w:val="24"/>
          <w:szCs w:val="24"/>
        </w:rPr>
        <w:t>contains the specific source/summary of the supporting data.</w:t>
      </w:r>
    </w:p>
    <w:p w14:paraId="4175936A" w14:textId="77777777" w:rsidR="00841B82" w:rsidRDefault="00841B82" w:rsidP="00841B82">
      <w:pPr>
        <w:rPr>
          <w:sz w:val="24"/>
          <w:szCs w:val="24"/>
        </w:rPr>
      </w:pPr>
    </w:p>
    <w:p w14:paraId="56A51808" w14:textId="26B99EF8" w:rsidR="00806078" w:rsidRDefault="00841B82" w:rsidP="00806078">
      <w:r>
        <w:rPr>
          <w:sz w:val="24"/>
          <w:szCs w:val="24"/>
        </w:rPr>
        <w:tab/>
      </w:r>
      <w:r w:rsidRPr="007369A9">
        <w:rPr>
          <w:sz w:val="24"/>
          <w:szCs w:val="24"/>
        </w:rPr>
        <w:t>EPA is continuing its efforts to implement optional electronic reporting</w:t>
      </w:r>
      <w:r w:rsidR="007369A9">
        <w:rPr>
          <w:color w:val="FF0000"/>
          <w:sz w:val="24"/>
          <w:szCs w:val="24"/>
        </w:rPr>
        <w:t xml:space="preserve"> </w:t>
      </w:r>
      <w:r>
        <w:rPr>
          <w:sz w:val="24"/>
          <w:szCs w:val="24"/>
        </w:rPr>
        <w:t xml:space="preserve">of </w:t>
      </w:r>
      <w:r w:rsidR="009A28A1">
        <w:rPr>
          <w:sz w:val="24"/>
          <w:szCs w:val="24"/>
        </w:rPr>
        <w:t>s</w:t>
      </w:r>
      <w:r w:rsidR="008D1FEB">
        <w:rPr>
          <w:sz w:val="24"/>
          <w:szCs w:val="24"/>
        </w:rPr>
        <w:t>ection 8</w:t>
      </w:r>
      <w:r>
        <w:rPr>
          <w:sz w:val="24"/>
          <w:szCs w:val="24"/>
        </w:rPr>
        <w:t xml:space="preserve">(e) submissions </w:t>
      </w:r>
      <w:r w:rsidR="00806078">
        <w:rPr>
          <w:sz w:val="24"/>
          <w:szCs w:val="24"/>
        </w:rPr>
        <w:t xml:space="preserve">and FYIs </w:t>
      </w:r>
      <w:r>
        <w:rPr>
          <w:sz w:val="24"/>
          <w:szCs w:val="24"/>
        </w:rPr>
        <w:t>to increase processing efficiency for both the Agency and the regulated community.</w:t>
      </w:r>
      <w:r w:rsidR="00754233">
        <w:rPr>
          <w:sz w:val="24"/>
          <w:szCs w:val="24"/>
        </w:rPr>
        <w:t xml:space="preserve"> </w:t>
      </w:r>
      <w:r w:rsidR="00EF0291" w:rsidRPr="00EF0291">
        <w:rPr>
          <w:sz w:val="24"/>
          <w:szCs w:val="24"/>
        </w:rPr>
        <w:t xml:space="preserve">With the TSCA e-reporting initiative in place for other information collections, submitters of </w:t>
      </w:r>
      <w:r w:rsidR="00EF0291">
        <w:rPr>
          <w:sz w:val="24"/>
          <w:szCs w:val="24"/>
        </w:rPr>
        <w:t xml:space="preserve">section </w:t>
      </w:r>
      <w:r w:rsidR="00EF0291" w:rsidRPr="00EF0291">
        <w:rPr>
          <w:sz w:val="24"/>
          <w:szCs w:val="24"/>
        </w:rPr>
        <w:t xml:space="preserve">8(e) information have taken advantage of the new reporting option with virtually </w:t>
      </w:r>
      <w:r w:rsidR="00EF0291">
        <w:rPr>
          <w:sz w:val="24"/>
          <w:szCs w:val="24"/>
        </w:rPr>
        <w:t xml:space="preserve">all reports submitted via CDX. </w:t>
      </w:r>
      <w:r w:rsidR="00CD0C56" w:rsidRPr="00CD0C56">
        <w:rPr>
          <w:sz w:val="24"/>
          <w:szCs w:val="24"/>
        </w:rPr>
        <w:t xml:space="preserve">The option to submit </w:t>
      </w:r>
      <w:r w:rsidR="00FA03A3" w:rsidRPr="00FA03A3">
        <w:rPr>
          <w:sz w:val="24"/>
          <w:szCs w:val="24"/>
        </w:rPr>
        <w:t xml:space="preserve">section </w:t>
      </w:r>
      <w:r w:rsidR="008D1FEB">
        <w:rPr>
          <w:sz w:val="24"/>
          <w:szCs w:val="24"/>
        </w:rPr>
        <w:t>8</w:t>
      </w:r>
      <w:r w:rsidR="00CD0C56" w:rsidRPr="00CD0C56">
        <w:rPr>
          <w:sz w:val="24"/>
          <w:szCs w:val="24"/>
        </w:rPr>
        <w:t xml:space="preserve">(e) </w:t>
      </w:r>
      <w:r w:rsidR="00FA03A3">
        <w:rPr>
          <w:sz w:val="24"/>
          <w:szCs w:val="24"/>
        </w:rPr>
        <w:t>n</w:t>
      </w:r>
      <w:r w:rsidR="00CD0C56" w:rsidRPr="00CD0C56">
        <w:rPr>
          <w:sz w:val="24"/>
          <w:szCs w:val="24"/>
        </w:rPr>
        <w:t>otices and FYIs electronically using the Chemical Information Submission System (CISS) reporting tool and electronic submission via CDX change</w:t>
      </w:r>
      <w:r w:rsidR="00EF0291">
        <w:rPr>
          <w:sz w:val="24"/>
          <w:szCs w:val="24"/>
        </w:rPr>
        <w:t>s</w:t>
      </w:r>
      <w:r w:rsidR="00CD0C56" w:rsidRPr="00CD0C56">
        <w:rPr>
          <w:sz w:val="24"/>
          <w:szCs w:val="24"/>
        </w:rPr>
        <w:t xml:space="preserve"> the way that companies interact with the Agency. Companies </w:t>
      </w:r>
      <w:r w:rsidR="00EF0291">
        <w:rPr>
          <w:sz w:val="24"/>
          <w:szCs w:val="24"/>
        </w:rPr>
        <w:t>ar</w:t>
      </w:r>
      <w:r w:rsidR="00CD0C56" w:rsidRPr="00CD0C56">
        <w:rPr>
          <w:sz w:val="24"/>
          <w:szCs w:val="24"/>
        </w:rPr>
        <w:t xml:space="preserve">e registered with EPA to submit their data electronically to the Agency via CDX and the Agency in turn </w:t>
      </w:r>
      <w:r w:rsidR="00EF0291">
        <w:rPr>
          <w:sz w:val="24"/>
          <w:szCs w:val="24"/>
        </w:rPr>
        <w:t>is</w:t>
      </w:r>
      <w:r w:rsidR="00CD0C56" w:rsidRPr="00CD0C56">
        <w:rPr>
          <w:sz w:val="24"/>
          <w:szCs w:val="24"/>
        </w:rPr>
        <w:t xml:space="preserve"> able to communicate back electronically with submitters. This promotes efficiency in communications and cost savings in submissions and correspondence. EPA believes the adoption of electronic communications reduce</w:t>
      </w:r>
      <w:r w:rsidR="00EF0291">
        <w:rPr>
          <w:sz w:val="24"/>
          <w:szCs w:val="24"/>
        </w:rPr>
        <w:t>s</w:t>
      </w:r>
      <w:r w:rsidR="00CD0C56" w:rsidRPr="00CD0C56">
        <w:rPr>
          <w:sz w:val="24"/>
          <w:szCs w:val="24"/>
        </w:rPr>
        <w:t xml:space="preserve"> the reporting burden on industry by reducing both the cost and the time required to review, edit and transmit data to the Agency. All information sent via CDX </w:t>
      </w:r>
      <w:r w:rsidR="00EF0291">
        <w:rPr>
          <w:sz w:val="24"/>
          <w:szCs w:val="24"/>
        </w:rPr>
        <w:t>is</w:t>
      </w:r>
      <w:r w:rsidR="00CD0C56" w:rsidRPr="00CD0C56">
        <w:rPr>
          <w:sz w:val="24"/>
          <w:szCs w:val="24"/>
        </w:rPr>
        <w:t xml:space="preserve"> transmitted securely to protect CBI. Furthermore, if anything in the submission has been claimed CBI, a sanitized copy of the notice must be provided by the submitter. The Agency also benefit</w:t>
      </w:r>
      <w:r w:rsidR="00EF0291">
        <w:rPr>
          <w:sz w:val="24"/>
          <w:szCs w:val="24"/>
        </w:rPr>
        <w:t>s</w:t>
      </w:r>
      <w:r w:rsidR="00CD0C56" w:rsidRPr="00CD0C56">
        <w:rPr>
          <w:sz w:val="24"/>
          <w:szCs w:val="24"/>
        </w:rPr>
        <w:t xml:space="preserve"> from receiving electronic submissions. Data systems that </w:t>
      </w:r>
      <w:r w:rsidR="00EF0291">
        <w:rPr>
          <w:sz w:val="24"/>
          <w:szCs w:val="24"/>
        </w:rPr>
        <w:t>previously we</w:t>
      </w:r>
      <w:r w:rsidR="00CD0C56" w:rsidRPr="00CD0C56">
        <w:rPr>
          <w:sz w:val="24"/>
          <w:szCs w:val="24"/>
        </w:rPr>
        <w:t xml:space="preserve">re populated manually </w:t>
      </w:r>
      <w:r w:rsidR="00EF0291">
        <w:rPr>
          <w:sz w:val="24"/>
          <w:szCs w:val="24"/>
        </w:rPr>
        <w:t>are</w:t>
      </w:r>
      <w:r w:rsidR="00CD0C56" w:rsidRPr="00CD0C56">
        <w:rPr>
          <w:sz w:val="24"/>
          <w:szCs w:val="24"/>
        </w:rPr>
        <w:t xml:space="preserve"> now populated electronically, reducing the potential for human error that exists when data are entered by hand. Agency personnel </w:t>
      </w:r>
      <w:r w:rsidR="00EF0291">
        <w:rPr>
          <w:sz w:val="24"/>
          <w:szCs w:val="24"/>
        </w:rPr>
        <w:t>are</w:t>
      </w:r>
      <w:r w:rsidR="00CD0C56" w:rsidRPr="00CD0C56">
        <w:rPr>
          <w:sz w:val="24"/>
          <w:szCs w:val="24"/>
        </w:rPr>
        <w:t xml:space="preserve"> also able to communicate more efficiently with submitters electronically, compared to using U.S. mail.</w:t>
      </w:r>
      <w:r w:rsidR="00806078">
        <w:rPr>
          <w:rFonts w:ascii="TimesNewRoman" w:hAnsi="TimesNewRoman" w:cs="TimesNewRoman"/>
          <w:sz w:val="24"/>
          <w:szCs w:val="24"/>
        </w:rPr>
        <w:t xml:space="preserve"> </w:t>
      </w:r>
    </w:p>
    <w:p w14:paraId="1697D289" w14:textId="77777777" w:rsidR="00806078" w:rsidRDefault="00806078" w:rsidP="00806078">
      <w:pPr>
        <w:rPr>
          <w:i/>
          <w:sz w:val="24"/>
          <w:szCs w:val="24"/>
        </w:rPr>
      </w:pPr>
    </w:p>
    <w:p w14:paraId="59748D43" w14:textId="77777777" w:rsidR="00806078" w:rsidRDefault="00806078" w:rsidP="00806078">
      <w:pPr>
        <w:rPr>
          <w:i/>
          <w:sz w:val="24"/>
          <w:szCs w:val="24"/>
        </w:rPr>
      </w:pPr>
      <w:r>
        <w:rPr>
          <w:i/>
          <w:sz w:val="24"/>
          <w:szCs w:val="24"/>
        </w:rPr>
        <w:t>Chemical Information Submission System (CISS)</w:t>
      </w:r>
    </w:p>
    <w:p w14:paraId="675C25B8" w14:textId="77777777" w:rsidR="007369A9" w:rsidRPr="00806078" w:rsidRDefault="007369A9" w:rsidP="00806078">
      <w:pPr>
        <w:rPr>
          <w:i/>
          <w:sz w:val="24"/>
          <w:szCs w:val="24"/>
        </w:rPr>
      </w:pPr>
    </w:p>
    <w:p w14:paraId="551FF0A3" w14:textId="77777777" w:rsidR="00806078" w:rsidRDefault="00806078" w:rsidP="008D702D">
      <w:pPr>
        <w:ind w:firstLine="720"/>
        <w:rPr>
          <w:sz w:val="24"/>
          <w:szCs w:val="24"/>
        </w:rPr>
      </w:pPr>
      <w:r w:rsidRPr="006916D0">
        <w:rPr>
          <w:sz w:val="24"/>
          <w:szCs w:val="24"/>
        </w:rPr>
        <w:t xml:space="preserve">EPA developed </w:t>
      </w:r>
      <w:r>
        <w:rPr>
          <w:sz w:val="24"/>
          <w:szCs w:val="24"/>
        </w:rPr>
        <w:t>the CISS</w:t>
      </w:r>
      <w:r w:rsidRPr="006916D0">
        <w:rPr>
          <w:sz w:val="24"/>
          <w:szCs w:val="24"/>
        </w:rPr>
        <w:t xml:space="preserve"> </w:t>
      </w:r>
      <w:r>
        <w:rPr>
          <w:sz w:val="24"/>
          <w:szCs w:val="24"/>
        </w:rPr>
        <w:t xml:space="preserve">reporting tool </w:t>
      </w:r>
      <w:r w:rsidRPr="006916D0">
        <w:rPr>
          <w:sz w:val="24"/>
          <w:szCs w:val="24"/>
        </w:rPr>
        <w:t>for use in submitting data electronically to the Agency. The tool is available for use with Windows, Macs, Linux, and UNIX based computers, using “Extensible Markup Language” (XML) specifications for efficient data transmission across t</w:t>
      </w:r>
      <w:r>
        <w:rPr>
          <w:sz w:val="24"/>
          <w:szCs w:val="24"/>
        </w:rPr>
        <w:t>he Internet. The CISS is a</w:t>
      </w:r>
      <w:r w:rsidRPr="006916D0">
        <w:rPr>
          <w:sz w:val="24"/>
          <w:szCs w:val="24"/>
        </w:rPr>
        <w:t xml:space="preserve"> tool that provides user-friendly navigation, works with CDX to secure online communication, creates a com</w:t>
      </w:r>
      <w:r>
        <w:rPr>
          <w:sz w:val="24"/>
          <w:szCs w:val="24"/>
        </w:rPr>
        <w:t xml:space="preserve">pleted Portable Document Format </w:t>
      </w:r>
      <w:r w:rsidRPr="006916D0">
        <w:rPr>
          <w:sz w:val="24"/>
          <w:szCs w:val="24"/>
        </w:rPr>
        <w:t xml:space="preserve">(PDF) for review prior to submission, and enables data, reports, and other information to be submitted easily as PDF attachments.  </w:t>
      </w:r>
    </w:p>
    <w:p w14:paraId="455F9387" w14:textId="77777777" w:rsidR="00806078" w:rsidRDefault="00806078" w:rsidP="00806078">
      <w:pPr>
        <w:rPr>
          <w:sz w:val="24"/>
          <w:szCs w:val="24"/>
        </w:rPr>
      </w:pPr>
    </w:p>
    <w:p w14:paraId="7EAB749C" w14:textId="77777777" w:rsidR="00806078" w:rsidRDefault="00806078" w:rsidP="008D702D">
      <w:pPr>
        <w:ind w:firstLine="720"/>
        <w:rPr>
          <w:sz w:val="24"/>
          <w:szCs w:val="24"/>
        </w:rPr>
      </w:pPr>
      <w:r w:rsidRPr="006916D0">
        <w:rPr>
          <w:sz w:val="24"/>
          <w:szCs w:val="24"/>
        </w:rPr>
        <w:t xml:space="preserve">All information sent by the submitter via CDX is transmitted securely to protect CBI. Furthermore, if anything in the submission is claimed as CBI, a non-CBI copy of the submission must be provided by the submitter. The guidance document </w:t>
      </w:r>
      <w:r>
        <w:rPr>
          <w:sz w:val="24"/>
          <w:szCs w:val="24"/>
        </w:rPr>
        <w:t>will</w:t>
      </w:r>
      <w:r w:rsidRPr="006916D0">
        <w:rPr>
          <w:sz w:val="24"/>
          <w:szCs w:val="24"/>
        </w:rPr>
        <w:t xml:space="preserve"> instruct users on how to submit and substantiate CBI information using </w:t>
      </w:r>
      <w:r>
        <w:rPr>
          <w:sz w:val="24"/>
          <w:szCs w:val="24"/>
        </w:rPr>
        <w:t>CISS</w:t>
      </w:r>
      <w:r w:rsidRPr="006916D0">
        <w:rPr>
          <w:sz w:val="24"/>
          <w:szCs w:val="24"/>
        </w:rPr>
        <w:t xml:space="preserve">. </w:t>
      </w:r>
    </w:p>
    <w:p w14:paraId="12A58B52" w14:textId="77777777" w:rsidR="00806078" w:rsidRDefault="00806078" w:rsidP="00806078">
      <w:pPr>
        <w:rPr>
          <w:sz w:val="24"/>
          <w:szCs w:val="24"/>
        </w:rPr>
      </w:pPr>
    </w:p>
    <w:p w14:paraId="73DE8BFF" w14:textId="77777777" w:rsidR="00806078" w:rsidRDefault="00806078" w:rsidP="008D702D">
      <w:pPr>
        <w:ind w:firstLine="720"/>
        <w:rPr>
          <w:i/>
          <w:sz w:val="24"/>
          <w:szCs w:val="24"/>
        </w:rPr>
      </w:pPr>
      <w:r w:rsidRPr="006916D0">
        <w:rPr>
          <w:sz w:val="24"/>
          <w:szCs w:val="24"/>
        </w:rPr>
        <w:t xml:space="preserve">The Agency ensures secure transmission of the data, reports, and other documents sent from the user's desktop through the Internet via </w:t>
      </w:r>
      <w:r w:rsidRPr="007369A9">
        <w:rPr>
          <w:sz w:val="24"/>
          <w:szCs w:val="24"/>
        </w:rPr>
        <w:t>the Transport Layer Security (TLS) 1.0 protocol. TLS 1.0</w:t>
      </w:r>
      <w:r w:rsidRPr="006916D0">
        <w:rPr>
          <w:sz w:val="24"/>
          <w:szCs w:val="24"/>
        </w:rPr>
        <w:t xml:space="preserve"> </w:t>
      </w:r>
      <w:r w:rsidR="00BA703C">
        <w:rPr>
          <w:sz w:val="24"/>
          <w:szCs w:val="24"/>
        </w:rPr>
        <w:t xml:space="preserve">and subsequent versions updated as needed are widely used approaches </w:t>
      </w:r>
      <w:r w:rsidRPr="006916D0">
        <w:rPr>
          <w:sz w:val="24"/>
          <w:szCs w:val="24"/>
        </w:rPr>
        <w:t xml:space="preserve">for securing Internet transactions </w:t>
      </w:r>
      <w:r w:rsidR="00582278">
        <w:rPr>
          <w:sz w:val="24"/>
          <w:szCs w:val="24"/>
        </w:rPr>
        <w:t xml:space="preserve">by </w:t>
      </w:r>
      <w:r w:rsidR="00BA703C">
        <w:rPr>
          <w:sz w:val="24"/>
          <w:szCs w:val="24"/>
        </w:rPr>
        <w:t xml:space="preserve">the </w:t>
      </w:r>
      <w:r w:rsidRPr="006916D0">
        <w:rPr>
          <w:sz w:val="24"/>
          <w:szCs w:val="24"/>
        </w:rPr>
        <w:t xml:space="preserve">National Institute of Standards and Technology (NIST) as a means for protecting data sent over the Internet.  </w:t>
      </w:r>
    </w:p>
    <w:p w14:paraId="3BADB338" w14:textId="77777777" w:rsidR="00806078" w:rsidRDefault="00806078" w:rsidP="00806078">
      <w:pPr>
        <w:rPr>
          <w:sz w:val="24"/>
          <w:szCs w:val="24"/>
        </w:rPr>
      </w:pPr>
    </w:p>
    <w:p w14:paraId="11C12F4F" w14:textId="77777777" w:rsidR="00806078" w:rsidRDefault="00806078" w:rsidP="008D702D">
      <w:pPr>
        <w:ind w:firstLine="720"/>
        <w:rPr>
          <w:sz w:val="24"/>
          <w:szCs w:val="24"/>
        </w:rPr>
      </w:pPr>
      <w:r w:rsidRPr="006916D0">
        <w:rPr>
          <w:sz w:val="24"/>
          <w:szCs w:val="24"/>
        </w:rPr>
        <w:t xml:space="preserve">In addition, </w:t>
      </w:r>
      <w:r>
        <w:rPr>
          <w:sz w:val="24"/>
          <w:szCs w:val="24"/>
        </w:rPr>
        <w:t>CISS</w:t>
      </w:r>
      <w:r w:rsidRPr="006916D0">
        <w:rPr>
          <w:sz w:val="24"/>
          <w:szCs w:val="24"/>
        </w:rPr>
        <w:t xml:space="preserve"> enables the submitter to electronically sign, encrypt, and transmit submissions</w:t>
      </w:r>
      <w:r>
        <w:rPr>
          <w:sz w:val="24"/>
          <w:szCs w:val="24"/>
        </w:rPr>
        <w:t>,</w:t>
      </w:r>
      <w:r w:rsidRPr="006916D0">
        <w:rPr>
          <w:sz w:val="24"/>
          <w:szCs w:val="24"/>
        </w:rPr>
        <w:t xml:space="preserve"> which EPA subsequently provides back to the submitter as an unaltered copy of record. This assures the submitter that the Agency has received exactly what the submitter sent to EPA. The </w:t>
      </w:r>
      <w:r>
        <w:rPr>
          <w:sz w:val="24"/>
          <w:szCs w:val="24"/>
        </w:rPr>
        <w:t>CISS</w:t>
      </w:r>
      <w:r w:rsidRPr="006916D0">
        <w:rPr>
          <w:sz w:val="24"/>
          <w:szCs w:val="24"/>
        </w:rPr>
        <w:t xml:space="preserve"> reporting t</w:t>
      </w:r>
      <w:r w:rsidRPr="007369A9">
        <w:rPr>
          <w:sz w:val="24"/>
          <w:szCs w:val="24"/>
        </w:rPr>
        <w:t>ool encrypts using a module based on the 256-bit Advanced Encryption Standard (AES)</w:t>
      </w:r>
      <w:r w:rsidRPr="00041540">
        <w:rPr>
          <w:color w:val="FF0000"/>
          <w:sz w:val="24"/>
          <w:szCs w:val="24"/>
        </w:rPr>
        <w:t xml:space="preserve"> </w:t>
      </w:r>
      <w:r w:rsidRPr="006916D0">
        <w:rPr>
          <w:sz w:val="24"/>
          <w:szCs w:val="24"/>
        </w:rPr>
        <w:t xml:space="preserve">adopted by NIST. Details about AES can be found </w:t>
      </w:r>
      <w:r w:rsidR="007369A9">
        <w:rPr>
          <w:sz w:val="24"/>
          <w:szCs w:val="24"/>
        </w:rPr>
        <w:t xml:space="preserve">in FIPS 197 pdf </w:t>
      </w:r>
      <w:r w:rsidRPr="006916D0">
        <w:rPr>
          <w:sz w:val="24"/>
          <w:szCs w:val="24"/>
        </w:rPr>
        <w:t xml:space="preserve">on the NIST </w:t>
      </w:r>
      <w:r w:rsidRPr="007369A9">
        <w:rPr>
          <w:sz w:val="24"/>
          <w:szCs w:val="24"/>
        </w:rPr>
        <w:t>website at</w:t>
      </w:r>
      <w:r w:rsidR="007369A9" w:rsidRPr="007369A9">
        <w:t xml:space="preserve"> </w:t>
      </w:r>
      <w:r w:rsidR="007369A9" w:rsidRPr="007369A9">
        <w:rPr>
          <w:sz w:val="24"/>
          <w:szCs w:val="24"/>
        </w:rPr>
        <w:t>http://csrc.nist.gov/publications/PubsFIPS.html</w:t>
      </w:r>
      <w:r w:rsidR="00041540">
        <w:rPr>
          <w:color w:val="FF0000"/>
          <w:sz w:val="24"/>
          <w:szCs w:val="24"/>
        </w:rPr>
        <w:t xml:space="preserve"> </w:t>
      </w:r>
      <w:r w:rsidRPr="006916D0">
        <w:rPr>
          <w:sz w:val="24"/>
          <w:szCs w:val="24"/>
        </w:rPr>
        <w:t xml:space="preserve">and EPA may incorporate other encryption modules into future versions of the tool. Information submitted via CDX is processed within EPA by secure systems certified for compliance with Federal Information Processing Standards. </w:t>
      </w:r>
    </w:p>
    <w:p w14:paraId="3B409383" w14:textId="77777777" w:rsidR="00806078" w:rsidRDefault="00806078" w:rsidP="00806078">
      <w:pPr>
        <w:rPr>
          <w:i/>
          <w:sz w:val="24"/>
          <w:szCs w:val="24"/>
        </w:rPr>
      </w:pPr>
    </w:p>
    <w:p w14:paraId="3767C9B4" w14:textId="57BD2D98" w:rsidR="00806078" w:rsidRDefault="00806078" w:rsidP="00806078">
      <w:pPr>
        <w:rPr>
          <w:i/>
          <w:sz w:val="24"/>
          <w:szCs w:val="24"/>
        </w:rPr>
      </w:pPr>
      <w:r w:rsidRPr="00A31813">
        <w:rPr>
          <w:i/>
          <w:sz w:val="24"/>
          <w:szCs w:val="24"/>
        </w:rPr>
        <w:t xml:space="preserve">Fielded </w:t>
      </w:r>
      <w:r>
        <w:rPr>
          <w:i/>
          <w:sz w:val="24"/>
          <w:szCs w:val="24"/>
        </w:rPr>
        <w:t>CISS</w:t>
      </w:r>
      <w:r w:rsidRPr="00A31813">
        <w:rPr>
          <w:i/>
          <w:sz w:val="24"/>
          <w:szCs w:val="24"/>
        </w:rPr>
        <w:t xml:space="preserve"> Meta-data</w:t>
      </w:r>
      <w:r w:rsidR="003D6671">
        <w:rPr>
          <w:i/>
          <w:sz w:val="24"/>
          <w:szCs w:val="24"/>
        </w:rPr>
        <w:t xml:space="preserve"> for</w:t>
      </w:r>
      <w:r w:rsidR="00F0353E">
        <w:rPr>
          <w:i/>
          <w:sz w:val="24"/>
          <w:szCs w:val="24"/>
        </w:rPr>
        <w:t xml:space="preserve"> </w:t>
      </w:r>
      <w:r w:rsidR="008D1FEB">
        <w:rPr>
          <w:i/>
          <w:sz w:val="24"/>
          <w:szCs w:val="24"/>
        </w:rPr>
        <w:t>section 8</w:t>
      </w:r>
      <w:r w:rsidR="003D6671">
        <w:rPr>
          <w:i/>
          <w:sz w:val="24"/>
          <w:szCs w:val="24"/>
        </w:rPr>
        <w:t xml:space="preserve">(e) and </w:t>
      </w:r>
      <w:r w:rsidR="0046768F">
        <w:rPr>
          <w:i/>
          <w:sz w:val="24"/>
          <w:szCs w:val="24"/>
        </w:rPr>
        <w:t>"</w:t>
      </w:r>
      <w:r w:rsidR="003D6671">
        <w:rPr>
          <w:i/>
          <w:sz w:val="24"/>
          <w:szCs w:val="24"/>
        </w:rPr>
        <w:t>F</w:t>
      </w:r>
      <w:r w:rsidR="0046768F">
        <w:rPr>
          <w:i/>
          <w:sz w:val="24"/>
          <w:szCs w:val="24"/>
        </w:rPr>
        <w:t>or Your Information" (F</w:t>
      </w:r>
      <w:r w:rsidR="003D6671">
        <w:rPr>
          <w:i/>
          <w:sz w:val="24"/>
          <w:szCs w:val="24"/>
        </w:rPr>
        <w:t>YI</w:t>
      </w:r>
      <w:r w:rsidR="0046768F">
        <w:rPr>
          <w:i/>
          <w:sz w:val="24"/>
          <w:szCs w:val="24"/>
        </w:rPr>
        <w:t>)</w:t>
      </w:r>
      <w:r w:rsidR="003D6671">
        <w:rPr>
          <w:i/>
          <w:sz w:val="24"/>
          <w:szCs w:val="24"/>
        </w:rPr>
        <w:t xml:space="preserve"> Submissions </w:t>
      </w:r>
    </w:p>
    <w:p w14:paraId="23B1D250" w14:textId="77777777" w:rsidR="00710697" w:rsidRDefault="00710697" w:rsidP="00806078">
      <w:pPr>
        <w:rPr>
          <w:i/>
          <w:sz w:val="24"/>
          <w:szCs w:val="24"/>
        </w:rPr>
      </w:pPr>
    </w:p>
    <w:p w14:paraId="77DE0B52" w14:textId="77777777" w:rsidR="00806078" w:rsidRPr="004573FF" w:rsidRDefault="00CD0C56" w:rsidP="008D702D">
      <w:pPr>
        <w:ind w:firstLine="720"/>
        <w:rPr>
          <w:sz w:val="24"/>
          <w:szCs w:val="24"/>
        </w:rPr>
      </w:pPr>
      <w:r w:rsidRPr="00CD0C56">
        <w:rPr>
          <w:sz w:val="24"/>
          <w:szCs w:val="24"/>
        </w:rPr>
        <w:t>In order to facilitate the efficiency in communications and cost savings in submissions and correspondence for both EPA and respondents, EPA has incorporated the following data elements into the reporting tool.</w:t>
      </w:r>
    </w:p>
    <w:p w14:paraId="1C6534D7" w14:textId="77777777" w:rsidR="00806078" w:rsidRDefault="00806078" w:rsidP="00806078">
      <w:pPr>
        <w:rPr>
          <w:i/>
          <w:sz w:val="24"/>
          <w:szCs w:val="24"/>
        </w:rPr>
      </w:pPr>
    </w:p>
    <w:tbl>
      <w:tblPr>
        <w:tblW w:w="9360" w:type="dxa"/>
        <w:jc w:val="center"/>
        <w:tblLayout w:type="fixed"/>
        <w:tblCellMar>
          <w:left w:w="120" w:type="dxa"/>
          <w:right w:w="120" w:type="dxa"/>
        </w:tblCellMar>
        <w:tblLook w:val="0000" w:firstRow="0" w:lastRow="0" w:firstColumn="0" w:lastColumn="0" w:noHBand="0" w:noVBand="0"/>
      </w:tblPr>
      <w:tblGrid>
        <w:gridCol w:w="2691"/>
        <w:gridCol w:w="6669"/>
      </w:tblGrid>
      <w:tr w:rsidR="00806078" w:rsidRPr="00FD609E" w14:paraId="7BE4A5F2" w14:textId="77777777" w:rsidTr="007848C1">
        <w:trPr>
          <w:jc w:val="center"/>
        </w:trPr>
        <w:tc>
          <w:tcPr>
            <w:tcW w:w="2691" w:type="dxa"/>
            <w:tcBorders>
              <w:top w:val="single" w:sz="7" w:space="0" w:color="000000"/>
              <w:left w:val="single" w:sz="7" w:space="0" w:color="000000"/>
              <w:bottom w:val="single" w:sz="7" w:space="0" w:color="000000"/>
              <w:right w:val="single" w:sz="7" w:space="0" w:color="000000"/>
            </w:tcBorders>
          </w:tcPr>
          <w:p w14:paraId="71A8CCE2" w14:textId="77777777" w:rsidR="00806078" w:rsidRPr="00FD609E" w:rsidRDefault="00806078" w:rsidP="007E7FC5">
            <w:pPr>
              <w:rPr>
                <w:i/>
                <w:iCs/>
                <w:sz w:val="22"/>
                <w:szCs w:val="22"/>
              </w:rPr>
            </w:pPr>
            <w:r w:rsidRPr="00FD609E">
              <w:rPr>
                <w:i/>
                <w:iCs/>
                <w:sz w:val="22"/>
                <w:szCs w:val="22"/>
              </w:rPr>
              <w:t>1.  Submission Type</w:t>
            </w:r>
          </w:p>
        </w:tc>
        <w:tc>
          <w:tcPr>
            <w:tcW w:w="6669" w:type="dxa"/>
            <w:tcBorders>
              <w:top w:val="single" w:sz="7" w:space="0" w:color="000000"/>
              <w:left w:val="single" w:sz="7" w:space="0" w:color="000000"/>
              <w:bottom w:val="single" w:sz="7" w:space="0" w:color="000000"/>
              <w:right w:val="single" w:sz="7" w:space="0" w:color="000000"/>
            </w:tcBorders>
          </w:tcPr>
          <w:p w14:paraId="73C8DD74" w14:textId="77777777" w:rsidR="00806078" w:rsidRPr="00FD609E" w:rsidRDefault="00806078" w:rsidP="007E7FC5">
            <w:pPr>
              <w:rPr>
                <w:i/>
                <w:iCs/>
                <w:sz w:val="22"/>
                <w:szCs w:val="22"/>
              </w:rPr>
            </w:pPr>
            <w:r w:rsidRPr="00FD609E">
              <w:rPr>
                <w:i/>
                <w:iCs/>
                <w:sz w:val="22"/>
                <w:szCs w:val="22"/>
              </w:rPr>
              <w:t>Identifies the submission, including the type of submission and whether it is the initial submission, a follow-up or a final report.</w:t>
            </w:r>
          </w:p>
        </w:tc>
      </w:tr>
      <w:tr w:rsidR="00806078" w:rsidRPr="00FD609E" w14:paraId="41DC0F7B" w14:textId="77777777" w:rsidTr="007848C1">
        <w:trPr>
          <w:jc w:val="center"/>
        </w:trPr>
        <w:tc>
          <w:tcPr>
            <w:tcW w:w="2691" w:type="dxa"/>
            <w:tcBorders>
              <w:top w:val="single" w:sz="7" w:space="0" w:color="000000"/>
              <w:left w:val="single" w:sz="7" w:space="0" w:color="000000"/>
              <w:bottom w:val="single" w:sz="7" w:space="0" w:color="000000"/>
              <w:right w:val="single" w:sz="7" w:space="0" w:color="000000"/>
            </w:tcBorders>
          </w:tcPr>
          <w:p w14:paraId="0DBF2A08" w14:textId="77777777" w:rsidR="00806078" w:rsidRPr="00FD609E" w:rsidRDefault="00806078" w:rsidP="007E7FC5">
            <w:pPr>
              <w:rPr>
                <w:i/>
                <w:iCs/>
                <w:sz w:val="22"/>
                <w:szCs w:val="22"/>
              </w:rPr>
            </w:pPr>
            <w:r w:rsidRPr="00FD609E">
              <w:rPr>
                <w:i/>
                <w:iCs/>
                <w:sz w:val="22"/>
                <w:szCs w:val="22"/>
              </w:rPr>
              <w:t>2.  Summary of Attachment</w:t>
            </w:r>
          </w:p>
        </w:tc>
        <w:tc>
          <w:tcPr>
            <w:tcW w:w="6669" w:type="dxa"/>
            <w:tcBorders>
              <w:top w:val="single" w:sz="7" w:space="0" w:color="000000"/>
              <w:left w:val="single" w:sz="7" w:space="0" w:color="000000"/>
              <w:bottom w:val="single" w:sz="7" w:space="0" w:color="000000"/>
              <w:right w:val="single" w:sz="7" w:space="0" w:color="000000"/>
            </w:tcBorders>
          </w:tcPr>
          <w:p w14:paraId="79BC24C8" w14:textId="77777777" w:rsidR="00806078" w:rsidRPr="00FD609E" w:rsidRDefault="00806078" w:rsidP="007E7FC5">
            <w:pPr>
              <w:rPr>
                <w:i/>
                <w:iCs/>
                <w:sz w:val="22"/>
                <w:szCs w:val="22"/>
              </w:rPr>
            </w:pPr>
            <w:r w:rsidRPr="00FD609E">
              <w:rPr>
                <w:i/>
                <w:iCs/>
                <w:sz w:val="22"/>
                <w:szCs w:val="22"/>
              </w:rPr>
              <w:t>Allows the respondent to provide a summary or abstract of the attached study or report, any internal company tracking number, an EPA tracking number, and an indication of the number of studies submitted.</w:t>
            </w:r>
          </w:p>
        </w:tc>
      </w:tr>
      <w:tr w:rsidR="00806078" w:rsidRPr="00FD609E" w14:paraId="42D526C6" w14:textId="77777777" w:rsidTr="007848C1">
        <w:trPr>
          <w:jc w:val="center"/>
        </w:trPr>
        <w:tc>
          <w:tcPr>
            <w:tcW w:w="2691" w:type="dxa"/>
            <w:tcBorders>
              <w:top w:val="single" w:sz="7" w:space="0" w:color="000000"/>
              <w:left w:val="single" w:sz="7" w:space="0" w:color="000000"/>
              <w:bottom w:val="single" w:sz="7" w:space="0" w:color="000000"/>
              <w:right w:val="single" w:sz="7" w:space="0" w:color="000000"/>
            </w:tcBorders>
          </w:tcPr>
          <w:p w14:paraId="324AC138" w14:textId="77777777" w:rsidR="00806078" w:rsidRPr="00FD609E" w:rsidRDefault="00806078" w:rsidP="007E7FC5">
            <w:pPr>
              <w:rPr>
                <w:i/>
                <w:iCs/>
                <w:sz w:val="22"/>
                <w:szCs w:val="22"/>
              </w:rPr>
            </w:pPr>
            <w:r w:rsidRPr="00FD609E">
              <w:rPr>
                <w:i/>
                <w:iCs/>
                <w:sz w:val="22"/>
                <w:szCs w:val="22"/>
              </w:rPr>
              <w:t xml:space="preserve">3.  Chemical Identification </w:t>
            </w:r>
          </w:p>
        </w:tc>
        <w:tc>
          <w:tcPr>
            <w:tcW w:w="6669" w:type="dxa"/>
            <w:tcBorders>
              <w:top w:val="single" w:sz="7" w:space="0" w:color="000000"/>
              <w:left w:val="single" w:sz="7" w:space="0" w:color="000000"/>
              <w:bottom w:val="single" w:sz="7" w:space="0" w:color="000000"/>
              <w:right w:val="single" w:sz="7" w:space="0" w:color="000000"/>
            </w:tcBorders>
          </w:tcPr>
          <w:p w14:paraId="78E34B85" w14:textId="77777777" w:rsidR="00806078" w:rsidRPr="00FD609E" w:rsidRDefault="00806078" w:rsidP="007E7FC5">
            <w:pPr>
              <w:rPr>
                <w:i/>
                <w:iCs/>
                <w:sz w:val="22"/>
                <w:szCs w:val="22"/>
              </w:rPr>
            </w:pPr>
            <w:r w:rsidRPr="00FD609E">
              <w:rPr>
                <w:i/>
                <w:iCs/>
                <w:sz w:val="22"/>
                <w:szCs w:val="22"/>
              </w:rPr>
              <w:t>Identifies the chemical(s) addressed in the submission.</w:t>
            </w:r>
          </w:p>
        </w:tc>
      </w:tr>
      <w:tr w:rsidR="00806078" w:rsidRPr="00FD609E" w14:paraId="35F83ED7" w14:textId="77777777" w:rsidTr="007848C1">
        <w:trPr>
          <w:jc w:val="center"/>
        </w:trPr>
        <w:tc>
          <w:tcPr>
            <w:tcW w:w="2691" w:type="dxa"/>
            <w:tcBorders>
              <w:top w:val="single" w:sz="7" w:space="0" w:color="000000"/>
              <w:left w:val="single" w:sz="7" w:space="0" w:color="000000"/>
              <w:bottom w:val="single" w:sz="7" w:space="0" w:color="000000"/>
              <w:right w:val="single" w:sz="7" w:space="0" w:color="000000"/>
            </w:tcBorders>
          </w:tcPr>
          <w:p w14:paraId="063D64B5" w14:textId="77777777" w:rsidR="00806078" w:rsidRPr="00FD609E" w:rsidRDefault="00806078" w:rsidP="007E7FC5">
            <w:pPr>
              <w:rPr>
                <w:i/>
                <w:iCs/>
                <w:sz w:val="22"/>
                <w:szCs w:val="22"/>
              </w:rPr>
            </w:pPr>
            <w:r w:rsidRPr="00FD609E">
              <w:rPr>
                <w:i/>
                <w:iCs/>
                <w:sz w:val="22"/>
                <w:szCs w:val="22"/>
              </w:rPr>
              <w:t xml:space="preserve">4.  Title of Attachment </w:t>
            </w:r>
          </w:p>
        </w:tc>
        <w:tc>
          <w:tcPr>
            <w:tcW w:w="6669" w:type="dxa"/>
            <w:tcBorders>
              <w:top w:val="single" w:sz="7" w:space="0" w:color="000000"/>
              <w:left w:val="single" w:sz="7" w:space="0" w:color="000000"/>
              <w:bottom w:val="single" w:sz="7" w:space="0" w:color="000000"/>
              <w:right w:val="single" w:sz="7" w:space="0" w:color="000000"/>
            </w:tcBorders>
          </w:tcPr>
          <w:p w14:paraId="7C4D2102" w14:textId="77777777" w:rsidR="00806078" w:rsidRPr="00FD609E" w:rsidRDefault="00806078" w:rsidP="007E7FC5">
            <w:pPr>
              <w:rPr>
                <w:i/>
                <w:iCs/>
                <w:sz w:val="22"/>
                <w:szCs w:val="22"/>
              </w:rPr>
            </w:pPr>
            <w:r w:rsidRPr="00FD609E">
              <w:rPr>
                <w:i/>
                <w:iCs/>
                <w:sz w:val="22"/>
                <w:szCs w:val="22"/>
              </w:rPr>
              <w:t>Identifies the title of the attached study or report.</w:t>
            </w:r>
          </w:p>
        </w:tc>
      </w:tr>
      <w:tr w:rsidR="00806078" w:rsidRPr="00FD609E" w14:paraId="7B1AA920" w14:textId="77777777" w:rsidTr="007848C1">
        <w:trPr>
          <w:jc w:val="center"/>
        </w:trPr>
        <w:tc>
          <w:tcPr>
            <w:tcW w:w="2691" w:type="dxa"/>
            <w:tcBorders>
              <w:top w:val="single" w:sz="7" w:space="0" w:color="000000"/>
              <w:left w:val="single" w:sz="7" w:space="0" w:color="000000"/>
              <w:bottom w:val="single" w:sz="7" w:space="0" w:color="000000"/>
              <w:right w:val="single" w:sz="7" w:space="0" w:color="000000"/>
            </w:tcBorders>
          </w:tcPr>
          <w:p w14:paraId="0F8F945A" w14:textId="77777777" w:rsidR="00806078" w:rsidRPr="00FD609E" w:rsidRDefault="00806078" w:rsidP="007E7FC5">
            <w:pPr>
              <w:rPr>
                <w:i/>
                <w:iCs/>
                <w:sz w:val="22"/>
                <w:szCs w:val="22"/>
              </w:rPr>
            </w:pPr>
            <w:r w:rsidRPr="00FD609E">
              <w:rPr>
                <w:i/>
                <w:iCs/>
                <w:sz w:val="22"/>
                <w:szCs w:val="22"/>
              </w:rPr>
              <w:t>5.  Indexing Terms</w:t>
            </w:r>
          </w:p>
        </w:tc>
        <w:tc>
          <w:tcPr>
            <w:tcW w:w="6669" w:type="dxa"/>
            <w:tcBorders>
              <w:top w:val="single" w:sz="7" w:space="0" w:color="000000"/>
              <w:left w:val="single" w:sz="7" w:space="0" w:color="000000"/>
              <w:bottom w:val="single" w:sz="7" w:space="0" w:color="000000"/>
              <w:right w:val="single" w:sz="7" w:space="0" w:color="000000"/>
            </w:tcBorders>
          </w:tcPr>
          <w:p w14:paraId="123AF6CC" w14:textId="77777777" w:rsidR="00806078" w:rsidRPr="00FD609E" w:rsidRDefault="00806078" w:rsidP="007E7FC5">
            <w:pPr>
              <w:rPr>
                <w:i/>
                <w:iCs/>
                <w:sz w:val="22"/>
                <w:szCs w:val="22"/>
              </w:rPr>
            </w:pPr>
            <w:r w:rsidRPr="00FD609E">
              <w:rPr>
                <w:i/>
                <w:iCs/>
                <w:sz w:val="22"/>
                <w:szCs w:val="22"/>
              </w:rPr>
              <w:t>Allows the respondent to identify the proper terms to use for indexing purposes, which facilitates the search and retrieval of the information.</w:t>
            </w:r>
          </w:p>
        </w:tc>
      </w:tr>
      <w:tr w:rsidR="00806078" w:rsidRPr="00FD609E" w14:paraId="5E30CC88" w14:textId="77777777" w:rsidTr="007848C1">
        <w:trPr>
          <w:jc w:val="center"/>
        </w:trPr>
        <w:tc>
          <w:tcPr>
            <w:tcW w:w="2691" w:type="dxa"/>
            <w:tcBorders>
              <w:top w:val="single" w:sz="7" w:space="0" w:color="000000"/>
              <w:left w:val="single" w:sz="7" w:space="0" w:color="000000"/>
              <w:bottom w:val="single" w:sz="7" w:space="0" w:color="000000"/>
              <w:right w:val="single" w:sz="7" w:space="0" w:color="000000"/>
            </w:tcBorders>
          </w:tcPr>
          <w:p w14:paraId="48D73998" w14:textId="77777777" w:rsidR="00806078" w:rsidRPr="00FD609E" w:rsidRDefault="00806078" w:rsidP="007E7FC5">
            <w:pPr>
              <w:rPr>
                <w:i/>
                <w:iCs/>
                <w:sz w:val="22"/>
                <w:szCs w:val="22"/>
              </w:rPr>
            </w:pPr>
            <w:r w:rsidRPr="00FD609E">
              <w:rPr>
                <w:i/>
                <w:iCs/>
                <w:sz w:val="22"/>
                <w:szCs w:val="22"/>
              </w:rPr>
              <w:t>6.  Submitter Information</w:t>
            </w:r>
          </w:p>
        </w:tc>
        <w:tc>
          <w:tcPr>
            <w:tcW w:w="6669" w:type="dxa"/>
            <w:tcBorders>
              <w:top w:val="single" w:sz="7" w:space="0" w:color="000000"/>
              <w:left w:val="single" w:sz="7" w:space="0" w:color="000000"/>
              <w:bottom w:val="single" w:sz="7" w:space="0" w:color="000000"/>
              <w:right w:val="single" w:sz="7" w:space="0" w:color="000000"/>
            </w:tcBorders>
          </w:tcPr>
          <w:p w14:paraId="03C9578F" w14:textId="77777777" w:rsidR="00806078" w:rsidRPr="00FD609E" w:rsidRDefault="00806078" w:rsidP="007E7FC5">
            <w:pPr>
              <w:rPr>
                <w:i/>
                <w:iCs/>
                <w:sz w:val="22"/>
                <w:szCs w:val="22"/>
              </w:rPr>
            </w:pPr>
            <w:r w:rsidRPr="00FD609E">
              <w:rPr>
                <w:i/>
                <w:iCs/>
                <w:sz w:val="22"/>
                <w:szCs w:val="22"/>
              </w:rPr>
              <w:t>Identifies the submitter and/or technical contact, including name, title, company, mailing address, phone and e-mail address.</w:t>
            </w:r>
          </w:p>
        </w:tc>
      </w:tr>
      <w:tr w:rsidR="00806078" w:rsidRPr="00FD609E" w14:paraId="6F446D52" w14:textId="77777777" w:rsidTr="007848C1">
        <w:trPr>
          <w:jc w:val="center"/>
        </w:trPr>
        <w:tc>
          <w:tcPr>
            <w:tcW w:w="2691" w:type="dxa"/>
            <w:tcBorders>
              <w:top w:val="single" w:sz="7" w:space="0" w:color="000000"/>
              <w:left w:val="single" w:sz="7" w:space="0" w:color="000000"/>
              <w:bottom w:val="single" w:sz="7" w:space="0" w:color="000000"/>
              <w:right w:val="single" w:sz="7" w:space="0" w:color="000000"/>
            </w:tcBorders>
          </w:tcPr>
          <w:p w14:paraId="11237778" w14:textId="77777777" w:rsidR="00806078" w:rsidRPr="00FD609E" w:rsidRDefault="00806078" w:rsidP="007E7FC5">
            <w:pPr>
              <w:rPr>
                <w:i/>
                <w:iCs/>
                <w:sz w:val="22"/>
                <w:szCs w:val="22"/>
              </w:rPr>
            </w:pPr>
            <w:r w:rsidRPr="00FD609E">
              <w:rPr>
                <w:i/>
                <w:iCs/>
                <w:sz w:val="22"/>
                <w:szCs w:val="22"/>
              </w:rPr>
              <w:t>7.  Comments</w:t>
            </w:r>
          </w:p>
        </w:tc>
        <w:tc>
          <w:tcPr>
            <w:tcW w:w="6669" w:type="dxa"/>
            <w:tcBorders>
              <w:top w:val="single" w:sz="7" w:space="0" w:color="000000"/>
              <w:left w:val="single" w:sz="7" w:space="0" w:color="000000"/>
              <w:bottom w:val="single" w:sz="7" w:space="0" w:color="000000"/>
              <w:right w:val="single" w:sz="7" w:space="0" w:color="000000"/>
            </w:tcBorders>
          </w:tcPr>
          <w:p w14:paraId="18AAE5F3" w14:textId="77777777" w:rsidR="00806078" w:rsidRPr="00FD609E" w:rsidRDefault="00806078" w:rsidP="007E7FC5">
            <w:pPr>
              <w:rPr>
                <w:i/>
                <w:iCs/>
                <w:sz w:val="22"/>
                <w:szCs w:val="22"/>
              </w:rPr>
            </w:pPr>
            <w:r w:rsidRPr="00FD609E">
              <w:rPr>
                <w:i/>
                <w:iCs/>
                <w:sz w:val="22"/>
                <w:szCs w:val="22"/>
              </w:rPr>
              <w:t>Allows the submitter to provide any additional comments, so as to avoid the need for or use of a separate cover letter.</w:t>
            </w:r>
          </w:p>
        </w:tc>
      </w:tr>
    </w:tbl>
    <w:p w14:paraId="2F22DF06" w14:textId="77777777" w:rsidR="00806078" w:rsidRDefault="00806078" w:rsidP="00806078">
      <w:pPr>
        <w:rPr>
          <w:iCs/>
          <w:sz w:val="24"/>
          <w:szCs w:val="24"/>
        </w:rPr>
      </w:pPr>
    </w:p>
    <w:p w14:paraId="304C5399" w14:textId="77777777" w:rsidR="002D5487" w:rsidRPr="007F7963" w:rsidRDefault="002D5487" w:rsidP="003872B4">
      <w:pPr>
        <w:pStyle w:val="PlainText"/>
        <w:ind w:firstLine="720"/>
        <w:rPr>
          <w:rFonts w:ascii="Times New Roman" w:hAnsi="Times New Roman" w:cs="Times New Roman"/>
          <w:sz w:val="24"/>
          <w:szCs w:val="24"/>
        </w:rPr>
      </w:pPr>
      <w:r w:rsidRPr="007F7963">
        <w:rPr>
          <w:rFonts w:ascii="Times New Roman" w:hAnsi="Times New Roman" w:cs="Times New Roman"/>
          <w:sz w:val="24"/>
          <w:szCs w:val="24"/>
        </w:rPr>
        <w:t xml:space="preserve">To </w:t>
      </w:r>
      <w:r w:rsidR="00BA703C">
        <w:rPr>
          <w:rFonts w:ascii="Times New Roman" w:hAnsi="Times New Roman" w:cs="Times New Roman"/>
          <w:sz w:val="24"/>
          <w:szCs w:val="24"/>
        </w:rPr>
        <w:t xml:space="preserve">further </w:t>
      </w:r>
      <w:r w:rsidRPr="007F7963">
        <w:rPr>
          <w:rFonts w:ascii="Times New Roman" w:hAnsi="Times New Roman" w:cs="Times New Roman"/>
          <w:sz w:val="24"/>
          <w:szCs w:val="24"/>
        </w:rPr>
        <w:t>facilitate more efficient reporting and industry</w:t>
      </w:r>
      <w:r w:rsidR="0024106F">
        <w:rPr>
          <w:rFonts w:ascii="Times New Roman" w:hAnsi="Times New Roman" w:cs="Times New Roman"/>
          <w:sz w:val="24"/>
          <w:szCs w:val="24"/>
        </w:rPr>
        <w:t>-</w:t>
      </w:r>
      <w:r w:rsidRPr="007F7963">
        <w:rPr>
          <w:rFonts w:ascii="Times New Roman" w:hAnsi="Times New Roman" w:cs="Times New Roman"/>
          <w:sz w:val="24"/>
          <w:szCs w:val="24"/>
        </w:rPr>
        <w:t xml:space="preserve">EPA cooperation, the indexing terms are now aligned with the international standards developed by </w:t>
      </w:r>
      <w:r w:rsidR="0024106F">
        <w:rPr>
          <w:rFonts w:ascii="Times New Roman" w:hAnsi="Times New Roman" w:cs="Times New Roman"/>
          <w:sz w:val="24"/>
          <w:szCs w:val="24"/>
        </w:rPr>
        <w:t xml:space="preserve">the </w:t>
      </w:r>
      <w:r w:rsidR="00E57907" w:rsidRPr="007F7963">
        <w:rPr>
          <w:rFonts w:ascii="Times New Roman" w:hAnsi="Times New Roman" w:cs="Times New Roman"/>
          <w:sz w:val="24"/>
          <w:szCs w:val="24"/>
        </w:rPr>
        <w:t>O</w:t>
      </w:r>
      <w:r w:rsidR="00E57907">
        <w:rPr>
          <w:rFonts w:ascii="Times New Roman" w:hAnsi="Times New Roman" w:cs="Times New Roman"/>
          <w:sz w:val="24"/>
          <w:szCs w:val="24"/>
        </w:rPr>
        <w:t>rganisation of Economic Cooperation and Development (O</w:t>
      </w:r>
      <w:r w:rsidRPr="007F7963">
        <w:rPr>
          <w:rFonts w:ascii="Times New Roman" w:hAnsi="Times New Roman" w:cs="Times New Roman"/>
          <w:sz w:val="24"/>
          <w:szCs w:val="24"/>
        </w:rPr>
        <w:t>ECD</w:t>
      </w:r>
      <w:r w:rsidR="00E57907">
        <w:rPr>
          <w:rFonts w:ascii="Times New Roman" w:hAnsi="Times New Roman" w:cs="Times New Roman"/>
          <w:sz w:val="24"/>
          <w:szCs w:val="24"/>
        </w:rPr>
        <w:t>)</w:t>
      </w:r>
      <w:r w:rsidRPr="007F7963">
        <w:rPr>
          <w:rFonts w:ascii="Times New Roman" w:hAnsi="Times New Roman" w:cs="Times New Roman"/>
          <w:sz w:val="24"/>
          <w:szCs w:val="24"/>
        </w:rPr>
        <w:t xml:space="preserve"> for reporting chemical test summaries. A crosswalk between the </w:t>
      </w:r>
      <w:r w:rsidR="00E57907">
        <w:rPr>
          <w:rFonts w:ascii="Times New Roman" w:hAnsi="Times New Roman" w:cs="Times New Roman"/>
          <w:sz w:val="24"/>
          <w:szCs w:val="24"/>
        </w:rPr>
        <w:t xml:space="preserve">former </w:t>
      </w:r>
      <w:r w:rsidRPr="007F7963">
        <w:rPr>
          <w:rFonts w:ascii="Times New Roman" w:hAnsi="Times New Roman" w:cs="Times New Roman"/>
          <w:sz w:val="24"/>
          <w:szCs w:val="24"/>
        </w:rPr>
        <w:t>TSCA Voluntary Cover Sheet indexing terms and the OECD standards, known as the OECD Harmonised Templates (</w:t>
      </w:r>
      <w:r w:rsidR="00AA03CF" w:rsidRPr="00AA03CF">
        <w:rPr>
          <w:rFonts w:ascii="Times New Roman" w:hAnsi="Times New Roman" w:cs="Times New Roman"/>
          <w:sz w:val="24"/>
          <w:szCs w:val="24"/>
        </w:rPr>
        <w:t>http://www.oecd.org/ehs/templates/</w:t>
      </w:r>
      <w:r w:rsidR="00AA03CF">
        <w:rPr>
          <w:rFonts w:ascii="Times New Roman" w:hAnsi="Times New Roman" w:cs="Times New Roman"/>
          <w:sz w:val="24"/>
          <w:szCs w:val="24"/>
        </w:rPr>
        <w:t>)</w:t>
      </w:r>
      <w:r w:rsidR="00AA03CF">
        <w:rPr>
          <w:rFonts w:ascii="Times New Roman" w:hAnsi="Times New Roman" w:cs="Times New Roman"/>
          <w:color w:val="FF0000"/>
          <w:sz w:val="24"/>
          <w:szCs w:val="24"/>
        </w:rPr>
        <w:t xml:space="preserve"> </w:t>
      </w:r>
      <w:r w:rsidR="00E57907">
        <w:rPr>
          <w:rFonts w:ascii="Times New Roman" w:hAnsi="Times New Roman" w:cs="Times New Roman"/>
          <w:sz w:val="24"/>
          <w:szCs w:val="24"/>
        </w:rPr>
        <w:t xml:space="preserve">is </w:t>
      </w:r>
      <w:r w:rsidR="00710697">
        <w:rPr>
          <w:rFonts w:ascii="Times New Roman" w:hAnsi="Times New Roman" w:cs="Times New Roman"/>
          <w:sz w:val="24"/>
          <w:szCs w:val="24"/>
        </w:rPr>
        <w:t xml:space="preserve">provided in Attachment </w:t>
      </w:r>
      <w:r w:rsidR="005D0AF0">
        <w:rPr>
          <w:rFonts w:ascii="Times New Roman" w:hAnsi="Times New Roman" w:cs="Times New Roman"/>
          <w:sz w:val="24"/>
          <w:szCs w:val="24"/>
        </w:rPr>
        <w:t>2</w:t>
      </w:r>
      <w:r w:rsidR="007F7963" w:rsidRPr="007F7963">
        <w:rPr>
          <w:rFonts w:ascii="Times New Roman" w:hAnsi="Times New Roman" w:cs="Times New Roman"/>
          <w:sz w:val="24"/>
          <w:szCs w:val="24"/>
        </w:rPr>
        <w:t xml:space="preserve">. </w:t>
      </w:r>
      <w:r w:rsidRPr="007F7963">
        <w:rPr>
          <w:rFonts w:ascii="Times New Roman" w:hAnsi="Times New Roman" w:cs="Times New Roman"/>
          <w:sz w:val="24"/>
          <w:szCs w:val="24"/>
        </w:rPr>
        <w:t xml:space="preserve">These indexing terms </w:t>
      </w:r>
      <w:r w:rsidR="0024106F">
        <w:rPr>
          <w:rFonts w:ascii="Times New Roman" w:hAnsi="Times New Roman" w:cs="Times New Roman"/>
          <w:sz w:val="24"/>
          <w:szCs w:val="24"/>
        </w:rPr>
        <w:t>w</w:t>
      </w:r>
      <w:r w:rsidRPr="007F7963">
        <w:rPr>
          <w:rFonts w:ascii="Times New Roman" w:hAnsi="Times New Roman" w:cs="Times New Roman"/>
          <w:sz w:val="24"/>
          <w:szCs w:val="24"/>
        </w:rPr>
        <w:t xml:space="preserve">ill be updated periodically to correspond to the most recent standards developed by the OECD. </w:t>
      </w:r>
    </w:p>
    <w:p w14:paraId="7B2FDBE9" w14:textId="77777777" w:rsidR="00806078" w:rsidRDefault="00806078" w:rsidP="00806078">
      <w:pPr>
        <w:rPr>
          <w:iCs/>
          <w:sz w:val="24"/>
          <w:szCs w:val="24"/>
        </w:rPr>
      </w:pPr>
    </w:p>
    <w:p w14:paraId="761476D9" w14:textId="1EC5A5EB" w:rsidR="00CD0C56" w:rsidRDefault="00806078" w:rsidP="00CD0C56">
      <w:pPr>
        <w:ind w:firstLine="720"/>
        <w:rPr>
          <w:sz w:val="24"/>
          <w:szCs w:val="24"/>
        </w:rPr>
      </w:pPr>
      <w:r w:rsidRPr="008F4038">
        <w:rPr>
          <w:iCs/>
          <w:sz w:val="24"/>
          <w:szCs w:val="24"/>
        </w:rPr>
        <w:t xml:space="preserve">EPA staff </w:t>
      </w:r>
      <w:r>
        <w:rPr>
          <w:iCs/>
          <w:sz w:val="24"/>
          <w:szCs w:val="24"/>
        </w:rPr>
        <w:t>will be</w:t>
      </w:r>
      <w:r w:rsidRPr="008F4038">
        <w:rPr>
          <w:iCs/>
          <w:sz w:val="24"/>
          <w:szCs w:val="24"/>
        </w:rPr>
        <w:t xml:space="preserve"> the primary users of the standardized </w:t>
      </w:r>
      <w:r>
        <w:rPr>
          <w:iCs/>
          <w:sz w:val="24"/>
          <w:szCs w:val="24"/>
        </w:rPr>
        <w:t>meta-</w:t>
      </w:r>
      <w:r w:rsidR="003F20EF">
        <w:rPr>
          <w:iCs/>
          <w:sz w:val="24"/>
          <w:szCs w:val="24"/>
        </w:rPr>
        <w:t xml:space="preserve">data. </w:t>
      </w:r>
      <w:r>
        <w:rPr>
          <w:iCs/>
          <w:sz w:val="24"/>
          <w:szCs w:val="24"/>
        </w:rPr>
        <w:t>EPA</w:t>
      </w:r>
      <w:r w:rsidRPr="008F4038">
        <w:rPr>
          <w:iCs/>
          <w:sz w:val="24"/>
          <w:szCs w:val="24"/>
        </w:rPr>
        <w:t xml:space="preserve"> employees</w:t>
      </w:r>
      <w:r>
        <w:rPr>
          <w:iCs/>
          <w:sz w:val="24"/>
          <w:szCs w:val="24"/>
        </w:rPr>
        <w:t xml:space="preserve"> will</w:t>
      </w:r>
      <w:r w:rsidRPr="008F4038">
        <w:rPr>
          <w:iCs/>
          <w:sz w:val="24"/>
          <w:szCs w:val="24"/>
        </w:rPr>
        <w:t xml:space="preserve"> use the </w:t>
      </w:r>
      <w:r>
        <w:rPr>
          <w:iCs/>
          <w:sz w:val="24"/>
          <w:szCs w:val="24"/>
        </w:rPr>
        <w:t xml:space="preserve">meta-data collected through CDX </w:t>
      </w:r>
      <w:r w:rsidRPr="008F4038">
        <w:rPr>
          <w:iCs/>
          <w:sz w:val="24"/>
          <w:szCs w:val="24"/>
        </w:rPr>
        <w:t>to identify the submission when it reaches EPA without having to examine portions of a submission that may be very lengthy and complex</w:t>
      </w:r>
      <w:r>
        <w:rPr>
          <w:iCs/>
          <w:sz w:val="24"/>
          <w:szCs w:val="24"/>
        </w:rPr>
        <w:t>, and to</w:t>
      </w:r>
      <w:r w:rsidRPr="008F4038">
        <w:rPr>
          <w:iCs/>
          <w:sz w:val="24"/>
          <w:szCs w:val="24"/>
        </w:rPr>
        <w:t xml:space="preserve"> subsequently use </w:t>
      </w:r>
      <w:r>
        <w:rPr>
          <w:iCs/>
          <w:sz w:val="24"/>
          <w:szCs w:val="24"/>
        </w:rPr>
        <w:t xml:space="preserve">the </w:t>
      </w:r>
      <w:r w:rsidRPr="008F4038">
        <w:rPr>
          <w:iCs/>
          <w:sz w:val="24"/>
          <w:szCs w:val="24"/>
        </w:rPr>
        <w:t xml:space="preserve">information to distribute, locate and track the submission as the submission moves through Agency reviews and decision points, to index the data, and to identify the data within </w:t>
      </w:r>
      <w:r>
        <w:rPr>
          <w:iCs/>
          <w:sz w:val="24"/>
          <w:szCs w:val="24"/>
        </w:rPr>
        <w:t>EPA</w:t>
      </w:r>
      <w:r w:rsidRPr="008F4038">
        <w:rPr>
          <w:iCs/>
          <w:sz w:val="24"/>
          <w:szCs w:val="24"/>
        </w:rPr>
        <w:t xml:space="preserve"> database</w:t>
      </w:r>
      <w:r>
        <w:rPr>
          <w:iCs/>
          <w:sz w:val="24"/>
          <w:szCs w:val="24"/>
        </w:rPr>
        <w:t>s</w:t>
      </w:r>
      <w:r w:rsidRPr="008F4038">
        <w:rPr>
          <w:iCs/>
          <w:sz w:val="24"/>
          <w:szCs w:val="24"/>
        </w:rPr>
        <w:t xml:space="preserve"> in making the data publicly available.</w:t>
      </w:r>
    </w:p>
    <w:p w14:paraId="0A2050C1" w14:textId="77777777" w:rsidR="00841B82" w:rsidRDefault="00841B82" w:rsidP="00841B82">
      <w:pPr>
        <w:rPr>
          <w:sz w:val="24"/>
          <w:szCs w:val="24"/>
        </w:rPr>
      </w:pPr>
    </w:p>
    <w:p w14:paraId="14C6C193" w14:textId="77777777" w:rsidR="00841B82" w:rsidRDefault="00841B82" w:rsidP="00841B82">
      <w:pPr>
        <w:rPr>
          <w:sz w:val="24"/>
          <w:szCs w:val="24"/>
        </w:rPr>
      </w:pPr>
      <w:r>
        <w:rPr>
          <w:sz w:val="24"/>
          <w:szCs w:val="24"/>
        </w:rPr>
        <w:tab/>
      </w:r>
      <w:r w:rsidR="00002632">
        <w:rPr>
          <w:sz w:val="24"/>
          <w:szCs w:val="24"/>
        </w:rPr>
        <w:tab/>
      </w:r>
      <w:r>
        <w:rPr>
          <w:b/>
          <w:bCs/>
          <w:sz w:val="24"/>
          <w:szCs w:val="24"/>
        </w:rPr>
        <w:t xml:space="preserve">(ii) </w:t>
      </w:r>
      <w:r w:rsidR="0000669F">
        <w:rPr>
          <w:b/>
          <w:bCs/>
          <w:sz w:val="24"/>
          <w:szCs w:val="24"/>
        </w:rPr>
        <w:tab/>
      </w:r>
      <w:r>
        <w:rPr>
          <w:b/>
          <w:bCs/>
          <w:sz w:val="24"/>
          <w:szCs w:val="24"/>
        </w:rPr>
        <w:t>Respondent Activities</w:t>
      </w:r>
    </w:p>
    <w:p w14:paraId="27FCE67E" w14:textId="77777777" w:rsidR="00841B82" w:rsidRDefault="00841B82" w:rsidP="00841B82">
      <w:pPr>
        <w:rPr>
          <w:sz w:val="24"/>
          <w:szCs w:val="24"/>
        </w:rPr>
      </w:pPr>
    </w:p>
    <w:p w14:paraId="2C232B31" w14:textId="0F8E1214" w:rsidR="008D702D" w:rsidRDefault="00FA2D8A" w:rsidP="00002632">
      <w:pPr>
        <w:rPr>
          <w:sz w:val="24"/>
          <w:szCs w:val="24"/>
        </w:rPr>
      </w:pPr>
      <w:r>
        <w:rPr>
          <w:sz w:val="24"/>
          <w:szCs w:val="24"/>
        </w:rPr>
        <w:tab/>
        <w:t xml:space="preserve">The overall purpose of </w:t>
      </w:r>
      <w:r w:rsidR="00FA03A3" w:rsidRPr="00FA03A3">
        <w:rPr>
          <w:sz w:val="24"/>
          <w:szCs w:val="24"/>
        </w:rPr>
        <w:t xml:space="preserve">section </w:t>
      </w:r>
      <w:r w:rsidR="008D1FEB">
        <w:rPr>
          <w:sz w:val="24"/>
          <w:szCs w:val="24"/>
        </w:rPr>
        <w:t>8</w:t>
      </w:r>
      <w:r w:rsidR="00841B82">
        <w:rPr>
          <w:sz w:val="24"/>
          <w:szCs w:val="24"/>
        </w:rPr>
        <w:t xml:space="preserve">(e) reporting is to ensure that new information that reasonably supports a conclusion that a chemical substance or mixture presents a “substantial risk” of injury to health or the environment is brought to EPA’s attention immediately upon discovery. </w:t>
      </w:r>
      <w:r>
        <w:rPr>
          <w:sz w:val="24"/>
          <w:szCs w:val="24"/>
        </w:rPr>
        <w:t xml:space="preserve">It should be noted again that </w:t>
      </w:r>
      <w:r w:rsidR="00FA03A3" w:rsidRPr="00FA03A3">
        <w:rPr>
          <w:sz w:val="24"/>
          <w:szCs w:val="24"/>
        </w:rPr>
        <w:t xml:space="preserve">section </w:t>
      </w:r>
      <w:r w:rsidR="008D1FEB">
        <w:rPr>
          <w:sz w:val="24"/>
          <w:szCs w:val="24"/>
        </w:rPr>
        <w:t>8</w:t>
      </w:r>
      <w:r w:rsidR="00841B82">
        <w:rPr>
          <w:sz w:val="24"/>
          <w:szCs w:val="24"/>
        </w:rPr>
        <w:t xml:space="preserve">(e) applies to </w:t>
      </w:r>
      <w:r w:rsidR="00841B82">
        <w:rPr>
          <w:sz w:val="24"/>
          <w:szCs w:val="24"/>
          <w:u w:val="single"/>
        </w:rPr>
        <w:t>all</w:t>
      </w:r>
      <w:r w:rsidR="00841B82">
        <w:rPr>
          <w:sz w:val="24"/>
          <w:szCs w:val="24"/>
        </w:rPr>
        <w:t xml:space="preserve"> chemical manufacturers, importers, processors, and distributors and applies also to information that a subject person possesses or about wh</w:t>
      </w:r>
      <w:r w:rsidR="00EF0291">
        <w:rPr>
          <w:sz w:val="24"/>
          <w:szCs w:val="24"/>
        </w:rPr>
        <w:t xml:space="preserve">ich that person has knowledge. </w:t>
      </w:r>
      <w:r w:rsidR="00841B82">
        <w:rPr>
          <w:sz w:val="24"/>
          <w:szCs w:val="24"/>
        </w:rPr>
        <w:t xml:space="preserve">Although compliance with </w:t>
      </w:r>
      <w:r w:rsidR="00FA03A3" w:rsidRPr="00FA03A3">
        <w:rPr>
          <w:sz w:val="24"/>
          <w:szCs w:val="24"/>
        </w:rPr>
        <w:t xml:space="preserve">section </w:t>
      </w:r>
      <w:r w:rsidR="008D1FEB">
        <w:rPr>
          <w:sz w:val="24"/>
          <w:szCs w:val="24"/>
        </w:rPr>
        <w:t>8</w:t>
      </w:r>
      <w:r w:rsidR="00841B82">
        <w:rPr>
          <w:sz w:val="24"/>
          <w:szCs w:val="24"/>
        </w:rPr>
        <w:t>(e) does not require subject persons to search for information or to make extraordinary e</w:t>
      </w:r>
      <w:r>
        <w:rPr>
          <w:sz w:val="24"/>
          <w:szCs w:val="24"/>
        </w:rPr>
        <w:t xml:space="preserve">fforts to acquire information, </w:t>
      </w:r>
      <w:r w:rsidR="00FA03A3" w:rsidRPr="00FA03A3">
        <w:rPr>
          <w:sz w:val="24"/>
          <w:szCs w:val="24"/>
        </w:rPr>
        <w:t xml:space="preserve">section </w:t>
      </w:r>
      <w:r w:rsidR="008D1FEB">
        <w:rPr>
          <w:sz w:val="24"/>
          <w:szCs w:val="24"/>
        </w:rPr>
        <w:t>8</w:t>
      </w:r>
      <w:r w:rsidR="00841B82">
        <w:rPr>
          <w:sz w:val="24"/>
          <w:szCs w:val="24"/>
        </w:rPr>
        <w:t>(e) does apply to information that is “obtained” (i.e., information that a person possesses or a</w:t>
      </w:r>
      <w:r w:rsidR="00EF0291">
        <w:rPr>
          <w:sz w:val="24"/>
          <w:szCs w:val="24"/>
        </w:rPr>
        <w:t xml:space="preserve">bout which that person knows). </w:t>
      </w:r>
      <w:r w:rsidR="00841B82">
        <w:rPr>
          <w:sz w:val="24"/>
          <w:szCs w:val="24"/>
        </w:rPr>
        <w:t xml:space="preserve">Following a review of existing information and a decision that such information is of the type required under </w:t>
      </w:r>
      <w:r w:rsidR="008D1FEB">
        <w:rPr>
          <w:sz w:val="24"/>
          <w:szCs w:val="24"/>
        </w:rPr>
        <w:t>section 8</w:t>
      </w:r>
      <w:r w:rsidR="00841B82">
        <w:rPr>
          <w:sz w:val="24"/>
          <w:szCs w:val="24"/>
        </w:rPr>
        <w:t>(e), respondents must noti</w:t>
      </w:r>
      <w:r w:rsidR="00EF0291">
        <w:rPr>
          <w:sz w:val="24"/>
          <w:szCs w:val="24"/>
        </w:rPr>
        <w:t xml:space="preserve">fy EPA in writing immediately. </w:t>
      </w:r>
      <w:r w:rsidR="00841B82">
        <w:rPr>
          <w:sz w:val="24"/>
          <w:szCs w:val="24"/>
        </w:rPr>
        <w:t xml:space="preserve">EPA’s June 2003 Reporting Guidance defines the term “immediately” in </w:t>
      </w:r>
      <w:r>
        <w:rPr>
          <w:sz w:val="24"/>
          <w:szCs w:val="24"/>
        </w:rPr>
        <w:t xml:space="preserve">the context of written </w:t>
      </w:r>
      <w:r w:rsidR="00FA03A3" w:rsidRPr="00FA03A3">
        <w:rPr>
          <w:sz w:val="24"/>
          <w:szCs w:val="24"/>
        </w:rPr>
        <w:t xml:space="preserve">section </w:t>
      </w:r>
      <w:r w:rsidR="008D1FEB">
        <w:rPr>
          <w:sz w:val="24"/>
          <w:szCs w:val="24"/>
        </w:rPr>
        <w:t>8</w:t>
      </w:r>
      <w:r w:rsidR="00841B82">
        <w:rPr>
          <w:sz w:val="24"/>
          <w:szCs w:val="24"/>
        </w:rPr>
        <w:t>(e) reports to mean within 30 calendar days of the date on which the information was obtained; the immediate reporting of an emergency incident of environmental contamination by a toxic substance is defined as a phone report to EPA or to the National Response Center as soon as a person knows about the incident.</w:t>
      </w:r>
    </w:p>
    <w:p w14:paraId="5C3CD236" w14:textId="77777777" w:rsidR="009A3280" w:rsidRDefault="009A3280" w:rsidP="005A2961">
      <w:pPr>
        <w:rPr>
          <w:b/>
          <w:sz w:val="24"/>
        </w:rPr>
      </w:pPr>
    </w:p>
    <w:p w14:paraId="24F73552" w14:textId="77777777" w:rsidR="00CD0C56" w:rsidRDefault="00CD0C56" w:rsidP="00CD0C56">
      <w:pPr>
        <w:rPr>
          <w:sz w:val="24"/>
          <w:szCs w:val="24"/>
        </w:rPr>
      </w:pPr>
    </w:p>
    <w:p w14:paraId="3AC55ABD" w14:textId="77777777" w:rsidR="00841B82" w:rsidRDefault="00841B82" w:rsidP="00841B82">
      <w:pPr>
        <w:tabs>
          <w:tab w:val="left" w:pos="720"/>
        </w:tabs>
        <w:ind w:left="720" w:hanging="720"/>
        <w:rPr>
          <w:b/>
          <w:bCs/>
          <w:sz w:val="24"/>
          <w:szCs w:val="24"/>
        </w:rPr>
      </w:pPr>
      <w:r>
        <w:rPr>
          <w:b/>
          <w:bCs/>
          <w:sz w:val="24"/>
          <w:szCs w:val="24"/>
        </w:rPr>
        <w:t>5</w:t>
      </w:r>
      <w:r>
        <w:rPr>
          <w:b/>
          <w:bCs/>
          <w:sz w:val="24"/>
          <w:szCs w:val="24"/>
        </w:rPr>
        <w:tab/>
        <w:t>INFORMATION COLLECTION - EPA ACTIVITIES, COLLECTION METHODOLOGY AND INFORMATION MANAGEMENT</w:t>
      </w:r>
    </w:p>
    <w:p w14:paraId="4036D73B" w14:textId="77777777" w:rsidR="00841B82" w:rsidRDefault="00841B82" w:rsidP="00841B82">
      <w:pPr>
        <w:rPr>
          <w:b/>
          <w:bCs/>
          <w:sz w:val="24"/>
          <w:szCs w:val="24"/>
        </w:rPr>
      </w:pPr>
    </w:p>
    <w:p w14:paraId="12EBD2B8" w14:textId="77777777" w:rsidR="00841B82" w:rsidRDefault="00841B82" w:rsidP="00841B82">
      <w:pPr>
        <w:rPr>
          <w:sz w:val="24"/>
          <w:szCs w:val="24"/>
        </w:rPr>
      </w:pPr>
      <w:r>
        <w:rPr>
          <w:b/>
          <w:bCs/>
          <w:sz w:val="24"/>
          <w:szCs w:val="24"/>
        </w:rPr>
        <w:tab/>
        <w:t xml:space="preserve">5(a)  </w:t>
      </w:r>
      <w:r w:rsidR="0000669F">
        <w:rPr>
          <w:b/>
          <w:bCs/>
          <w:sz w:val="24"/>
          <w:szCs w:val="24"/>
        </w:rPr>
        <w:tab/>
      </w:r>
      <w:r>
        <w:rPr>
          <w:b/>
          <w:bCs/>
          <w:sz w:val="24"/>
          <w:szCs w:val="24"/>
        </w:rPr>
        <w:t>Agency Activities</w:t>
      </w:r>
    </w:p>
    <w:p w14:paraId="7BFF9FFA" w14:textId="77777777" w:rsidR="00841B82" w:rsidRDefault="00841B82" w:rsidP="00841B82">
      <w:pPr>
        <w:rPr>
          <w:sz w:val="24"/>
          <w:szCs w:val="24"/>
        </w:rPr>
      </w:pPr>
    </w:p>
    <w:p w14:paraId="18A9306F" w14:textId="2C148E0D" w:rsidR="00841B82" w:rsidRDefault="00841B82" w:rsidP="00841B82">
      <w:pPr>
        <w:rPr>
          <w:sz w:val="24"/>
          <w:szCs w:val="24"/>
        </w:rPr>
      </w:pPr>
      <w:r>
        <w:rPr>
          <w:sz w:val="24"/>
          <w:szCs w:val="24"/>
        </w:rPr>
        <w:tab/>
        <w:t>As explained in additional detail in the fo</w:t>
      </w:r>
      <w:r w:rsidR="00FA2D8A">
        <w:rPr>
          <w:sz w:val="24"/>
          <w:szCs w:val="24"/>
        </w:rPr>
        <w:t xml:space="preserve">llowing sections, the Agency’s </w:t>
      </w:r>
      <w:r w:rsidR="007C1238" w:rsidRPr="007C1238">
        <w:rPr>
          <w:sz w:val="24"/>
          <w:szCs w:val="24"/>
        </w:rPr>
        <w:t xml:space="preserve">section </w:t>
      </w:r>
      <w:r w:rsidR="008D1FEB">
        <w:rPr>
          <w:sz w:val="24"/>
          <w:szCs w:val="24"/>
        </w:rPr>
        <w:t>8</w:t>
      </w:r>
      <w:r>
        <w:rPr>
          <w:sz w:val="24"/>
          <w:szCs w:val="24"/>
        </w:rPr>
        <w:t xml:space="preserve">(e) activities involve </w:t>
      </w:r>
      <w:r w:rsidR="00FA2D8A">
        <w:rPr>
          <w:sz w:val="24"/>
          <w:szCs w:val="24"/>
        </w:rPr>
        <w:t xml:space="preserve">answering general and specific </w:t>
      </w:r>
      <w:r w:rsidR="009A28A1">
        <w:rPr>
          <w:sz w:val="24"/>
          <w:szCs w:val="24"/>
        </w:rPr>
        <w:t>s</w:t>
      </w:r>
      <w:r w:rsidR="008D1FEB">
        <w:rPr>
          <w:sz w:val="24"/>
          <w:szCs w:val="24"/>
        </w:rPr>
        <w:t>ection 8</w:t>
      </w:r>
      <w:r>
        <w:rPr>
          <w:sz w:val="24"/>
          <w:szCs w:val="24"/>
        </w:rPr>
        <w:t>(e)-related questions, development and maintenance of computerized information tracking (including data extraction, entry and quality assurance/control), microfilming, confidential (restricted-access) and no</w:t>
      </w:r>
      <w:r w:rsidR="00FA2D8A">
        <w:rPr>
          <w:sz w:val="24"/>
          <w:szCs w:val="24"/>
        </w:rPr>
        <w:t xml:space="preserve">n-confidential (public-access) </w:t>
      </w:r>
      <w:r w:rsidR="009A28A1">
        <w:rPr>
          <w:sz w:val="24"/>
          <w:szCs w:val="24"/>
        </w:rPr>
        <w:t>s</w:t>
      </w:r>
      <w:r w:rsidR="008D1FEB">
        <w:rPr>
          <w:sz w:val="24"/>
          <w:szCs w:val="24"/>
        </w:rPr>
        <w:t>ection 8</w:t>
      </w:r>
      <w:r>
        <w:rPr>
          <w:sz w:val="24"/>
          <w:szCs w:val="24"/>
        </w:rPr>
        <w:t>(e) information filing, initi</w:t>
      </w:r>
      <w:r w:rsidR="00FA2D8A">
        <w:rPr>
          <w:sz w:val="24"/>
          <w:szCs w:val="24"/>
        </w:rPr>
        <w:t xml:space="preserve">al evaluation of all submitted </w:t>
      </w:r>
      <w:r w:rsidR="009A28A1">
        <w:rPr>
          <w:sz w:val="24"/>
          <w:szCs w:val="24"/>
        </w:rPr>
        <w:t>s</w:t>
      </w:r>
      <w:r w:rsidR="008D1FEB">
        <w:rPr>
          <w:sz w:val="24"/>
          <w:szCs w:val="24"/>
        </w:rPr>
        <w:t>ection 8</w:t>
      </w:r>
      <w:r>
        <w:rPr>
          <w:sz w:val="24"/>
          <w:szCs w:val="24"/>
        </w:rPr>
        <w:t>(e) information (including review of TSCA Confidential Business Information (CBI) substa</w:t>
      </w:r>
      <w:r w:rsidR="00FA2D8A">
        <w:rPr>
          <w:sz w:val="24"/>
          <w:szCs w:val="24"/>
        </w:rPr>
        <w:t xml:space="preserve">ntiations), and the posting of </w:t>
      </w:r>
      <w:r w:rsidR="009A28A1">
        <w:rPr>
          <w:sz w:val="24"/>
          <w:szCs w:val="24"/>
        </w:rPr>
        <w:t>s</w:t>
      </w:r>
      <w:r w:rsidR="008D1FEB">
        <w:rPr>
          <w:sz w:val="24"/>
          <w:szCs w:val="24"/>
        </w:rPr>
        <w:t>ection 8</w:t>
      </w:r>
      <w:r>
        <w:rPr>
          <w:sz w:val="24"/>
          <w:szCs w:val="24"/>
        </w:rPr>
        <w:t>(e)-related information on the Internet for public access.</w:t>
      </w:r>
    </w:p>
    <w:p w14:paraId="2DB3DA7B" w14:textId="77777777" w:rsidR="004E6007" w:rsidRDefault="004E6007" w:rsidP="00841B82">
      <w:pPr>
        <w:rPr>
          <w:b/>
          <w:bCs/>
          <w:sz w:val="24"/>
          <w:szCs w:val="24"/>
        </w:rPr>
      </w:pPr>
    </w:p>
    <w:p w14:paraId="67D17773" w14:textId="77777777" w:rsidR="00841B82" w:rsidRDefault="00841B82" w:rsidP="00841B82">
      <w:pPr>
        <w:rPr>
          <w:sz w:val="24"/>
          <w:szCs w:val="24"/>
        </w:rPr>
      </w:pPr>
      <w:r>
        <w:rPr>
          <w:b/>
          <w:bCs/>
          <w:sz w:val="24"/>
          <w:szCs w:val="24"/>
        </w:rPr>
        <w:tab/>
        <w:t xml:space="preserve">5(b)  </w:t>
      </w:r>
      <w:r w:rsidR="0000669F">
        <w:rPr>
          <w:b/>
          <w:bCs/>
          <w:sz w:val="24"/>
          <w:szCs w:val="24"/>
        </w:rPr>
        <w:tab/>
      </w:r>
      <w:r>
        <w:rPr>
          <w:b/>
          <w:bCs/>
          <w:sz w:val="24"/>
          <w:szCs w:val="24"/>
        </w:rPr>
        <w:t>Collection Methodology and Information Management</w:t>
      </w:r>
    </w:p>
    <w:p w14:paraId="69E05DA7" w14:textId="77777777" w:rsidR="00841B82" w:rsidRDefault="00841B82" w:rsidP="00841B82">
      <w:pPr>
        <w:rPr>
          <w:sz w:val="24"/>
          <w:szCs w:val="24"/>
        </w:rPr>
      </w:pPr>
    </w:p>
    <w:p w14:paraId="5F75B891" w14:textId="0E1A5C52" w:rsidR="000D0B6E" w:rsidRPr="000D0B6E" w:rsidRDefault="00841B82" w:rsidP="000D0B6E">
      <w:pPr>
        <w:pStyle w:val="PlainText"/>
        <w:rPr>
          <w:rFonts w:ascii="Times New Roman" w:hAnsi="Times New Roman" w:cs="Times New Roman"/>
          <w:sz w:val="24"/>
          <w:szCs w:val="24"/>
        </w:rPr>
      </w:pPr>
      <w:r>
        <w:rPr>
          <w:sz w:val="24"/>
          <w:szCs w:val="24"/>
        </w:rPr>
        <w:tab/>
      </w:r>
      <w:r w:rsidR="0055596F" w:rsidRPr="0055596F">
        <w:rPr>
          <w:rFonts w:ascii="Times New Roman" w:hAnsi="Times New Roman" w:cs="Times New Roman"/>
          <w:sz w:val="24"/>
          <w:szCs w:val="24"/>
        </w:rPr>
        <w:t>EPA will continue to use</w:t>
      </w:r>
      <w:r w:rsidR="00FA2D8A">
        <w:rPr>
          <w:rFonts w:ascii="Times New Roman" w:hAnsi="Times New Roman" w:cs="Times New Roman"/>
          <w:sz w:val="24"/>
          <w:szCs w:val="24"/>
        </w:rPr>
        <w:t xml:space="preserve"> </w:t>
      </w:r>
      <w:r w:rsidR="007848C1">
        <w:rPr>
          <w:rFonts w:ascii="Times New Roman" w:hAnsi="Times New Roman" w:cs="Times New Roman"/>
          <w:sz w:val="24"/>
          <w:szCs w:val="24"/>
        </w:rPr>
        <w:t xml:space="preserve">case numbers </w:t>
      </w:r>
      <w:r w:rsidR="00FA2D8A">
        <w:rPr>
          <w:rFonts w:ascii="Times New Roman" w:hAnsi="Times New Roman" w:cs="Times New Roman"/>
          <w:sz w:val="24"/>
          <w:szCs w:val="24"/>
        </w:rPr>
        <w:t xml:space="preserve">to identify </w:t>
      </w:r>
      <w:r w:rsidR="008D1FEB">
        <w:rPr>
          <w:rFonts w:ascii="Times New Roman" w:hAnsi="Times New Roman" w:cs="Times New Roman"/>
          <w:sz w:val="24"/>
          <w:szCs w:val="24"/>
        </w:rPr>
        <w:t>section 8</w:t>
      </w:r>
      <w:r w:rsidR="0055596F" w:rsidRPr="0055596F">
        <w:rPr>
          <w:rFonts w:ascii="Times New Roman" w:hAnsi="Times New Roman" w:cs="Times New Roman"/>
          <w:sz w:val="24"/>
          <w:szCs w:val="24"/>
        </w:rPr>
        <w:t xml:space="preserve">(e) submissions through the newly revised format: </w:t>
      </w:r>
      <w:r w:rsidR="0055596F" w:rsidRPr="00AA03CF">
        <w:rPr>
          <w:rFonts w:ascii="Times New Roman" w:hAnsi="Times New Roman" w:cs="Times New Roman"/>
          <w:sz w:val="24"/>
          <w:szCs w:val="24"/>
        </w:rPr>
        <w:t>8EHQ</w:t>
      </w:r>
      <w:r w:rsidR="000D0B6E" w:rsidRPr="00AA03CF">
        <w:rPr>
          <w:rFonts w:ascii="Times New Roman" w:hAnsi="Times New Roman" w:cs="Times New Roman"/>
          <w:sz w:val="24"/>
          <w:szCs w:val="24"/>
        </w:rPr>
        <w:t>-YYMM-XXXX</w:t>
      </w:r>
      <w:r w:rsidR="00EF0291">
        <w:rPr>
          <w:rFonts w:ascii="Times New Roman" w:hAnsi="Times New Roman" w:cs="Times New Roman"/>
          <w:sz w:val="24"/>
          <w:szCs w:val="24"/>
        </w:rPr>
        <w:t xml:space="preserve">. </w:t>
      </w:r>
      <w:r w:rsidR="000D0B6E">
        <w:rPr>
          <w:rFonts w:ascii="Times New Roman" w:hAnsi="Times New Roman" w:cs="Times New Roman"/>
          <w:sz w:val="24"/>
          <w:szCs w:val="24"/>
        </w:rPr>
        <w:t xml:space="preserve">Previously issued </w:t>
      </w:r>
      <w:r w:rsidR="007848C1">
        <w:rPr>
          <w:rFonts w:ascii="Times New Roman" w:hAnsi="Times New Roman" w:cs="Times New Roman"/>
          <w:sz w:val="24"/>
          <w:szCs w:val="24"/>
        </w:rPr>
        <w:t>case n</w:t>
      </w:r>
      <w:r w:rsidR="007848C1" w:rsidRPr="0055596F">
        <w:rPr>
          <w:rFonts w:ascii="Times New Roman" w:hAnsi="Times New Roman" w:cs="Times New Roman"/>
          <w:sz w:val="24"/>
          <w:szCs w:val="24"/>
        </w:rPr>
        <w:t xml:space="preserve">umbers </w:t>
      </w:r>
      <w:r w:rsidR="0055596F" w:rsidRPr="0055596F">
        <w:rPr>
          <w:rFonts w:ascii="Times New Roman" w:hAnsi="Times New Roman" w:cs="Times New Roman"/>
          <w:sz w:val="24"/>
          <w:szCs w:val="24"/>
        </w:rPr>
        <w:t>will remain the same</w:t>
      </w:r>
      <w:r w:rsidR="000D0B6E">
        <w:rPr>
          <w:rFonts w:ascii="Times New Roman" w:hAnsi="Times New Roman" w:cs="Times New Roman"/>
          <w:sz w:val="24"/>
          <w:szCs w:val="24"/>
        </w:rPr>
        <w:t>, such as i</w:t>
      </w:r>
      <w:r w:rsidR="0055596F" w:rsidRPr="0055596F">
        <w:rPr>
          <w:rFonts w:ascii="Times New Roman" w:hAnsi="Times New Roman" w:cs="Times New Roman"/>
          <w:sz w:val="24"/>
          <w:szCs w:val="24"/>
        </w:rPr>
        <w:t xml:space="preserve">nitial submissions were assigned as Sequence A; supplemental and </w:t>
      </w:r>
      <w:r w:rsidR="0055596F" w:rsidRPr="00AA03CF">
        <w:rPr>
          <w:rFonts w:ascii="Times New Roman" w:hAnsi="Times New Roman" w:cs="Times New Roman"/>
          <w:sz w:val="24"/>
          <w:szCs w:val="24"/>
        </w:rPr>
        <w:t>follow-up submissions were assigned Sequence B, C, D,</w:t>
      </w:r>
      <w:r w:rsidR="00FA2D8A" w:rsidRPr="00AA03CF">
        <w:rPr>
          <w:rFonts w:ascii="Times New Roman" w:hAnsi="Times New Roman" w:cs="Times New Roman"/>
          <w:sz w:val="24"/>
          <w:szCs w:val="24"/>
        </w:rPr>
        <w:t xml:space="preserve"> etc. Internal EPA tracking of </w:t>
      </w:r>
      <w:r w:rsidR="008D1FEB">
        <w:rPr>
          <w:rFonts w:ascii="Times New Roman" w:hAnsi="Times New Roman" w:cs="Times New Roman"/>
          <w:sz w:val="24"/>
          <w:szCs w:val="24"/>
        </w:rPr>
        <w:t>section 8</w:t>
      </w:r>
      <w:r w:rsidR="0055596F" w:rsidRPr="0055596F">
        <w:rPr>
          <w:rFonts w:ascii="Times New Roman" w:hAnsi="Times New Roman" w:cs="Times New Roman"/>
          <w:sz w:val="24"/>
          <w:szCs w:val="24"/>
        </w:rPr>
        <w:t>(e) submis</w:t>
      </w:r>
      <w:r w:rsidR="00A3073E">
        <w:rPr>
          <w:rFonts w:ascii="Times New Roman" w:hAnsi="Times New Roman" w:cs="Times New Roman"/>
          <w:sz w:val="24"/>
          <w:szCs w:val="24"/>
        </w:rPr>
        <w:t xml:space="preserve">sions will </w:t>
      </w:r>
      <w:r w:rsidR="0055596F" w:rsidRPr="0055596F">
        <w:rPr>
          <w:rFonts w:ascii="Times New Roman" w:hAnsi="Times New Roman" w:cs="Times New Roman"/>
          <w:sz w:val="24"/>
          <w:szCs w:val="24"/>
        </w:rPr>
        <w:t xml:space="preserve">still </w:t>
      </w:r>
      <w:r w:rsidR="000D0B6E">
        <w:rPr>
          <w:rFonts w:ascii="Times New Roman" w:hAnsi="Times New Roman" w:cs="Times New Roman"/>
          <w:sz w:val="24"/>
          <w:szCs w:val="24"/>
        </w:rPr>
        <w:t xml:space="preserve">be </w:t>
      </w:r>
      <w:r w:rsidR="0055596F" w:rsidRPr="0055596F">
        <w:rPr>
          <w:rFonts w:ascii="Times New Roman" w:hAnsi="Times New Roman" w:cs="Times New Roman"/>
          <w:sz w:val="24"/>
          <w:szCs w:val="24"/>
        </w:rPr>
        <w:t>handled via non-confidential and confi</w:t>
      </w:r>
      <w:r w:rsidR="000D0B6E">
        <w:rPr>
          <w:rFonts w:ascii="Times New Roman" w:hAnsi="Times New Roman" w:cs="Times New Roman"/>
          <w:sz w:val="24"/>
          <w:szCs w:val="24"/>
        </w:rPr>
        <w:t>dential computerized data bases.</w:t>
      </w:r>
    </w:p>
    <w:p w14:paraId="423677E7" w14:textId="77777777" w:rsidR="00841B82" w:rsidRDefault="00841B82" w:rsidP="00841B82">
      <w:pPr>
        <w:rPr>
          <w:sz w:val="24"/>
          <w:szCs w:val="24"/>
        </w:rPr>
      </w:pPr>
    </w:p>
    <w:p w14:paraId="3EA2C1F8" w14:textId="540D56BE" w:rsidR="00841B82" w:rsidRDefault="00841B82" w:rsidP="00841B82">
      <w:pPr>
        <w:rPr>
          <w:sz w:val="24"/>
          <w:szCs w:val="24"/>
        </w:rPr>
      </w:pPr>
      <w:r>
        <w:rPr>
          <w:sz w:val="24"/>
          <w:szCs w:val="24"/>
        </w:rPr>
        <w:tab/>
        <w:t>In order to assure that the public is kept apprised of new adverse chemical-related toxicity and exposure information, the Agency provides public access to and actively</w:t>
      </w:r>
      <w:r w:rsidR="00FA2D8A">
        <w:rPr>
          <w:sz w:val="24"/>
          <w:szCs w:val="24"/>
        </w:rPr>
        <w:t xml:space="preserve"> disseminates non-confidential </w:t>
      </w:r>
      <w:r w:rsidR="007C1238" w:rsidRPr="007C1238">
        <w:rPr>
          <w:sz w:val="24"/>
          <w:szCs w:val="24"/>
        </w:rPr>
        <w:t xml:space="preserve">section </w:t>
      </w:r>
      <w:r w:rsidR="008D1FEB">
        <w:rPr>
          <w:sz w:val="24"/>
          <w:szCs w:val="24"/>
        </w:rPr>
        <w:t>8</w:t>
      </w:r>
      <w:r>
        <w:rPr>
          <w:sz w:val="24"/>
          <w:szCs w:val="24"/>
        </w:rPr>
        <w:t>(e) submis</w:t>
      </w:r>
      <w:r w:rsidR="00EF0291">
        <w:rPr>
          <w:sz w:val="24"/>
          <w:szCs w:val="24"/>
        </w:rPr>
        <w:t xml:space="preserve">sion information in many ways. </w:t>
      </w:r>
      <w:r>
        <w:rPr>
          <w:sz w:val="24"/>
          <w:szCs w:val="24"/>
        </w:rPr>
        <w:t>Examples of EPA’s public access/outreach activities follow.</w:t>
      </w:r>
    </w:p>
    <w:p w14:paraId="04F813E6" w14:textId="77777777" w:rsidR="00841B82" w:rsidRDefault="00841B82" w:rsidP="00841B82">
      <w:pPr>
        <w:rPr>
          <w:sz w:val="24"/>
          <w:szCs w:val="24"/>
        </w:rPr>
      </w:pPr>
    </w:p>
    <w:p w14:paraId="3C201900" w14:textId="1F08FF4D" w:rsidR="00841B82" w:rsidRDefault="00841B82" w:rsidP="00841B82">
      <w:pPr>
        <w:rPr>
          <w:sz w:val="24"/>
          <w:szCs w:val="24"/>
        </w:rPr>
      </w:pPr>
      <w:r>
        <w:rPr>
          <w:sz w:val="24"/>
          <w:szCs w:val="24"/>
        </w:rPr>
        <w:tab/>
        <w:t>Non</w:t>
      </w:r>
      <w:r w:rsidR="00FA2D8A">
        <w:rPr>
          <w:sz w:val="24"/>
          <w:szCs w:val="24"/>
        </w:rPr>
        <w:t xml:space="preserve">-confidential </w:t>
      </w:r>
      <w:r w:rsidR="008D1FEB">
        <w:rPr>
          <w:sz w:val="24"/>
          <w:szCs w:val="24"/>
        </w:rPr>
        <w:t>section 8</w:t>
      </w:r>
      <w:r>
        <w:rPr>
          <w:sz w:val="24"/>
          <w:szCs w:val="24"/>
        </w:rPr>
        <w:t>(e) initial and follow-up/supplemental submissions, status reports, submission summaries, and EPA follow-up letters can be viewed/copied in the TSCA Public Docket located at EPA H</w:t>
      </w:r>
      <w:r w:rsidR="00EF0291">
        <w:rPr>
          <w:sz w:val="24"/>
          <w:szCs w:val="24"/>
        </w:rPr>
        <w:t xml:space="preserve">eadquarters. </w:t>
      </w:r>
      <w:r w:rsidR="006C4D89">
        <w:rPr>
          <w:sz w:val="24"/>
          <w:szCs w:val="24"/>
        </w:rPr>
        <w:t xml:space="preserve">Non-confidential </w:t>
      </w:r>
      <w:r w:rsidR="007C1238" w:rsidRPr="007C1238">
        <w:rPr>
          <w:sz w:val="24"/>
          <w:szCs w:val="24"/>
        </w:rPr>
        <w:t xml:space="preserve">section </w:t>
      </w:r>
      <w:r w:rsidR="008D1FEB">
        <w:rPr>
          <w:sz w:val="24"/>
          <w:szCs w:val="24"/>
        </w:rPr>
        <w:t>8</w:t>
      </w:r>
      <w:r>
        <w:rPr>
          <w:sz w:val="24"/>
          <w:szCs w:val="24"/>
        </w:rPr>
        <w:t>(e)-related documents can also be obtained by writing to EPA’s Freedom of Information Office.</w:t>
      </w:r>
    </w:p>
    <w:p w14:paraId="366BE28D" w14:textId="77777777" w:rsidR="00841B82" w:rsidRDefault="00841B82" w:rsidP="00841B82">
      <w:pPr>
        <w:rPr>
          <w:sz w:val="24"/>
          <w:szCs w:val="24"/>
        </w:rPr>
      </w:pPr>
    </w:p>
    <w:p w14:paraId="63DF14FC" w14:textId="4888939F" w:rsidR="00EB2DC1" w:rsidRPr="008E451B" w:rsidRDefault="00841B82" w:rsidP="00EB2DC1">
      <w:pPr>
        <w:rPr>
          <w:color w:val="FF0000"/>
          <w:sz w:val="24"/>
          <w:szCs w:val="24"/>
        </w:rPr>
      </w:pPr>
      <w:r>
        <w:rPr>
          <w:sz w:val="24"/>
          <w:szCs w:val="24"/>
        </w:rPr>
        <w:tab/>
        <w:t>Relevant non</w:t>
      </w:r>
      <w:r w:rsidR="006C4D89">
        <w:rPr>
          <w:sz w:val="24"/>
          <w:szCs w:val="24"/>
        </w:rPr>
        <w:t xml:space="preserve">-confidential information from </w:t>
      </w:r>
      <w:r w:rsidR="008D1FEB">
        <w:rPr>
          <w:sz w:val="24"/>
          <w:szCs w:val="24"/>
        </w:rPr>
        <w:t>section 8</w:t>
      </w:r>
      <w:r>
        <w:rPr>
          <w:sz w:val="24"/>
          <w:szCs w:val="24"/>
        </w:rPr>
        <w:t xml:space="preserve">(e) submissions </w:t>
      </w:r>
      <w:r w:rsidR="00AA03CF">
        <w:rPr>
          <w:sz w:val="24"/>
          <w:szCs w:val="24"/>
        </w:rPr>
        <w:t xml:space="preserve">were </w:t>
      </w:r>
      <w:r w:rsidRPr="00AA03CF">
        <w:rPr>
          <w:sz w:val="24"/>
          <w:szCs w:val="24"/>
        </w:rPr>
        <w:t>entered into TSCATS (Toxic Substances Control Act Test Submissions), a publicly available computerized data base that serves as an on-line index of unpublished health and safety studies submitted to EPA under TSCA.</w:t>
      </w:r>
      <w:r w:rsidR="00574FA7">
        <w:rPr>
          <w:sz w:val="24"/>
          <w:szCs w:val="24"/>
        </w:rPr>
        <w:t xml:space="preserve"> </w:t>
      </w:r>
      <w:r w:rsidRPr="00AA03CF">
        <w:rPr>
          <w:sz w:val="24"/>
          <w:szCs w:val="24"/>
        </w:rPr>
        <w:t>The most recent version of the TSCATS data base is available on the web at http://yosemite.epa.gov/oppts/epatscat8.nsf/ReportSearch?OpenForm</w:t>
      </w:r>
      <w:r w:rsidR="00AA03CF">
        <w:rPr>
          <w:color w:val="FF0000"/>
          <w:sz w:val="24"/>
          <w:szCs w:val="24"/>
        </w:rPr>
        <w:t xml:space="preserve">. </w:t>
      </w:r>
      <w:r>
        <w:rPr>
          <w:sz w:val="24"/>
          <w:szCs w:val="24"/>
        </w:rPr>
        <w:t>The submitted studies themselves are stored</w:t>
      </w:r>
      <w:r w:rsidR="009269F6">
        <w:rPr>
          <w:sz w:val="24"/>
          <w:szCs w:val="24"/>
        </w:rPr>
        <w:t xml:space="preserve"> and </w:t>
      </w:r>
      <w:r>
        <w:rPr>
          <w:sz w:val="24"/>
          <w:szCs w:val="24"/>
        </w:rPr>
        <w:t>available on microfiche</w:t>
      </w:r>
      <w:r w:rsidRPr="00AA03CF">
        <w:rPr>
          <w:sz w:val="24"/>
          <w:szCs w:val="24"/>
        </w:rPr>
        <w:t>.  Microfiche copies of the studies referenced in the TSCATS database are available from either CIS</w:t>
      </w:r>
      <w:r w:rsidRPr="00D178AB">
        <w:rPr>
          <w:color w:val="FF0000"/>
          <w:sz w:val="24"/>
          <w:szCs w:val="24"/>
        </w:rPr>
        <w:t xml:space="preserve"> </w:t>
      </w:r>
      <w:r>
        <w:rPr>
          <w:sz w:val="24"/>
          <w:szCs w:val="24"/>
        </w:rPr>
        <w:t>or the National Technical Information Serv</w:t>
      </w:r>
      <w:r w:rsidR="00574FA7">
        <w:rPr>
          <w:sz w:val="24"/>
          <w:szCs w:val="24"/>
        </w:rPr>
        <w:t xml:space="preserve">ice (NTIS) in Springfield, Virginia. </w:t>
      </w:r>
      <w:r>
        <w:rPr>
          <w:sz w:val="24"/>
          <w:szCs w:val="24"/>
        </w:rPr>
        <w:t>EPA has also been creating full elec</w:t>
      </w:r>
      <w:r w:rsidR="006C4D89">
        <w:rPr>
          <w:sz w:val="24"/>
          <w:szCs w:val="24"/>
        </w:rPr>
        <w:t xml:space="preserve">tronic (PDF) copies of all new </w:t>
      </w:r>
      <w:r w:rsidR="007C1238" w:rsidRPr="007C1238">
        <w:rPr>
          <w:sz w:val="24"/>
          <w:szCs w:val="24"/>
        </w:rPr>
        <w:t xml:space="preserve">section </w:t>
      </w:r>
      <w:r w:rsidR="008D1FEB">
        <w:rPr>
          <w:sz w:val="24"/>
          <w:szCs w:val="24"/>
        </w:rPr>
        <w:t>8</w:t>
      </w:r>
      <w:r>
        <w:rPr>
          <w:sz w:val="24"/>
          <w:szCs w:val="24"/>
        </w:rPr>
        <w:t>(e</w:t>
      </w:r>
      <w:r w:rsidR="00574FA7">
        <w:rPr>
          <w:sz w:val="24"/>
          <w:szCs w:val="24"/>
        </w:rPr>
        <w:t xml:space="preserve">) submissions since June 2001. </w:t>
      </w:r>
      <w:r>
        <w:rPr>
          <w:sz w:val="24"/>
          <w:szCs w:val="24"/>
        </w:rPr>
        <w:t>Electron</w:t>
      </w:r>
      <w:r w:rsidR="006C4D89">
        <w:rPr>
          <w:sz w:val="24"/>
          <w:szCs w:val="24"/>
        </w:rPr>
        <w:t xml:space="preserve">ic copies of these most recent </w:t>
      </w:r>
      <w:r w:rsidR="008D1FEB">
        <w:rPr>
          <w:sz w:val="24"/>
          <w:szCs w:val="24"/>
        </w:rPr>
        <w:t>section 8</w:t>
      </w:r>
      <w:r>
        <w:rPr>
          <w:sz w:val="24"/>
          <w:szCs w:val="24"/>
        </w:rPr>
        <w:t>(e) submissions are available to the public from the TSCA Publ</w:t>
      </w:r>
      <w:r w:rsidR="00EB2DC1">
        <w:rPr>
          <w:sz w:val="24"/>
          <w:szCs w:val="24"/>
        </w:rPr>
        <w:t xml:space="preserve">ic Docket, </w:t>
      </w:r>
      <w:r w:rsidR="007848C1">
        <w:rPr>
          <w:sz w:val="24"/>
          <w:szCs w:val="24"/>
        </w:rPr>
        <w:t xml:space="preserve">and via the </w:t>
      </w:r>
      <w:r w:rsidR="007848C1" w:rsidRPr="007848C1">
        <w:rPr>
          <w:sz w:val="24"/>
          <w:szCs w:val="24"/>
        </w:rPr>
        <w:t xml:space="preserve">Chemical Data Access Tool (CDAT) </w:t>
      </w:r>
      <w:r w:rsidR="00EB2DC1" w:rsidRPr="001A1F20">
        <w:rPr>
          <w:sz w:val="24"/>
          <w:szCs w:val="24"/>
        </w:rPr>
        <w:t>(</w:t>
      </w:r>
      <w:hyperlink r:id="rId13" w:history="1">
        <w:r w:rsidR="007848C1" w:rsidRPr="005C73D8">
          <w:rPr>
            <w:rStyle w:val="Hyperlink"/>
            <w:sz w:val="24"/>
            <w:szCs w:val="24"/>
          </w:rPr>
          <w:t>https://java.epa.gov/oppt_chemical_search/</w:t>
        </w:r>
      </w:hyperlink>
      <w:r w:rsidR="00EB2DC1" w:rsidRPr="001A1F20">
        <w:rPr>
          <w:sz w:val="24"/>
          <w:szCs w:val="24"/>
        </w:rPr>
        <w:t xml:space="preserve">). </w:t>
      </w:r>
      <w:r w:rsidR="00EB2DC1">
        <w:rPr>
          <w:sz w:val="24"/>
          <w:szCs w:val="24"/>
        </w:rPr>
        <w:t xml:space="preserve">OPPT is currently in the process of migrating these </w:t>
      </w:r>
      <w:r w:rsidR="009A28A1">
        <w:rPr>
          <w:sz w:val="24"/>
          <w:szCs w:val="24"/>
        </w:rPr>
        <w:t>s</w:t>
      </w:r>
      <w:r w:rsidR="008D1FEB">
        <w:rPr>
          <w:sz w:val="24"/>
          <w:szCs w:val="24"/>
        </w:rPr>
        <w:t>ection 8</w:t>
      </w:r>
      <w:r w:rsidR="00EB2DC1">
        <w:rPr>
          <w:sz w:val="24"/>
          <w:szCs w:val="24"/>
        </w:rPr>
        <w:t xml:space="preserve">(e) submissions and posting future </w:t>
      </w:r>
      <w:r w:rsidR="007C1238" w:rsidRPr="007C1238">
        <w:rPr>
          <w:sz w:val="24"/>
          <w:szCs w:val="24"/>
        </w:rPr>
        <w:t xml:space="preserve">section </w:t>
      </w:r>
      <w:r w:rsidR="008D1FEB">
        <w:rPr>
          <w:sz w:val="24"/>
          <w:szCs w:val="24"/>
        </w:rPr>
        <w:t>8</w:t>
      </w:r>
      <w:r w:rsidR="00EB2DC1">
        <w:rPr>
          <w:sz w:val="24"/>
          <w:szCs w:val="24"/>
        </w:rPr>
        <w:t>(e) submissions to EPA’s Chemview database (</w:t>
      </w:r>
      <w:hyperlink r:id="rId14" w:history="1">
        <w:r w:rsidR="007848C1" w:rsidRPr="005C73D8">
          <w:rPr>
            <w:rStyle w:val="Hyperlink"/>
            <w:sz w:val="24"/>
            <w:szCs w:val="24"/>
          </w:rPr>
          <w:t>http://java.epa.gov/chemview</w:t>
        </w:r>
      </w:hyperlink>
      <w:r w:rsidR="00EB2DC1">
        <w:rPr>
          <w:sz w:val="24"/>
          <w:szCs w:val="24"/>
        </w:rPr>
        <w:t>).</w:t>
      </w:r>
    </w:p>
    <w:p w14:paraId="0034F89E" w14:textId="77777777" w:rsidR="00841B82" w:rsidRDefault="00841B82" w:rsidP="00841B82">
      <w:pPr>
        <w:rPr>
          <w:sz w:val="24"/>
          <w:szCs w:val="24"/>
        </w:rPr>
      </w:pPr>
    </w:p>
    <w:p w14:paraId="2AE0D4B7" w14:textId="569283AD" w:rsidR="00841B82" w:rsidRDefault="00841B82" w:rsidP="00841B82">
      <w:pPr>
        <w:rPr>
          <w:sz w:val="24"/>
          <w:szCs w:val="24"/>
        </w:rPr>
      </w:pPr>
      <w:r>
        <w:rPr>
          <w:sz w:val="24"/>
          <w:szCs w:val="24"/>
        </w:rPr>
        <w:tab/>
        <w:t>Under established Freedom of Information Act (FOIA) procedures, EPA responds to requests from industry, othe</w:t>
      </w:r>
      <w:r w:rsidR="00574FA7">
        <w:rPr>
          <w:sz w:val="24"/>
          <w:szCs w:val="24"/>
        </w:rPr>
        <w:t>r stakeholders and the public. I</w:t>
      </w:r>
      <w:r>
        <w:rPr>
          <w:sz w:val="24"/>
          <w:szCs w:val="24"/>
        </w:rPr>
        <w:t>n cooperation with the Organization for Economic Cooperation and Development’s (OECD) information-gathering “Switchboard” project, EPA responds as well to international req</w:t>
      </w:r>
      <w:r w:rsidR="006C4D89">
        <w:rPr>
          <w:sz w:val="24"/>
          <w:szCs w:val="24"/>
        </w:rPr>
        <w:t xml:space="preserve">uests for </w:t>
      </w:r>
      <w:r w:rsidR="008D1FEB">
        <w:rPr>
          <w:sz w:val="24"/>
          <w:szCs w:val="24"/>
        </w:rPr>
        <w:t>section 8</w:t>
      </w:r>
      <w:r>
        <w:rPr>
          <w:sz w:val="24"/>
          <w:szCs w:val="24"/>
        </w:rPr>
        <w:t>(e) and other unpublished health and safety data on chemicals of concern to OECD members.</w:t>
      </w:r>
    </w:p>
    <w:p w14:paraId="0E4D27C6" w14:textId="77777777" w:rsidR="00841B82" w:rsidRDefault="00841B82" w:rsidP="00841B82">
      <w:pPr>
        <w:rPr>
          <w:sz w:val="24"/>
          <w:szCs w:val="24"/>
        </w:rPr>
      </w:pPr>
    </w:p>
    <w:p w14:paraId="40FB7D1B" w14:textId="73E6CF85" w:rsidR="00841B82" w:rsidRDefault="00841B82" w:rsidP="00841B82">
      <w:pPr>
        <w:rPr>
          <w:sz w:val="24"/>
          <w:szCs w:val="24"/>
        </w:rPr>
      </w:pPr>
      <w:r>
        <w:rPr>
          <w:sz w:val="24"/>
          <w:szCs w:val="24"/>
        </w:rPr>
        <w:tab/>
        <w:t>As stated previously, EPA routinely notifies othe</w:t>
      </w:r>
      <w:r w:rsidR="006C4D89">
        <w:rPr>
          <w:sz w:val="24"/>
          <w:szCs w:val="24"/>
        </w:rPr>
        <w:t xml:space="preserve">r </w:t>
      </w:r>
      <w:r w:rsidR="00574FA7">
        <w:rPr>
          <w:sz w:val="24"/>
          <w:szCs w:val="24"/>
        </w:rPr>
        <w:t>f</w:t>
      </w:r>
      <w:r w:rsidR="006C4D89">
        <w:rPr>
          <w:sz w:val="24"/>
          <w:szCs w:val="24"/>
        </w:rPr>
        <w:t xml:space="preserve">ederal </w:t>
      </w:r>
      <w:r w:rsidR="00574FA7">
        <w:rPr>
          <w:sz w:val="24"/>
          <w:szCs w:val="24"/>
        </w:rPr>
        <w:t>a</w:t>
      </w:r>
      <w:r w:rsidR="006C4D89">
        <w:rPr>
          <w:sz w:val="24"/>
          <w:szCs w:val="24"/>
        </w:rPr>
        <w:t xml:space="preserve">gencies on incoming </w:t>
      </w:r>
      <w:r w:rsidR="008D1FEB">
        <w:rPr>
          <w:sz w:val="24"/>
          <w:szCs w:val="24"/>
        </w:rPr>
        <w:t>section 8</w:t>
      </w:r>
      <w:r>
        <w:rPr>
          <w:sz w:val="24"/>
          <w:szCs w:val="24"/>
        </w:rPr>
        <w:t>(e) information via b</w:t>
      </w:r>
      <w:r w:rsidR="006C4D89">
        <w:rPr>
          <w:sz w:val="24"/>
          <w:szCs w:val="24"/>
        </w:rPr>
        <w:t xml:space="preserve">iweekly tabular reports of new </w:t>
      </w:r>
      <w:r w:rsidR="009A28A1">
        <w:rPr>
          <w:sz w:val="24"/>
          <w:szCs w:val="24"/>
        </w:rPr>
        <w:t>s</w:t>
      </w:r>
      <w:r w:rsidR="008D1FEB">
        <w:rPr>
          <w:sz w:val="24"/>
          <w:szCs w:val="24"/>
        </w:rPr>
        <w:t>ection 8</w:t>
      </w:r>
      <w:r>
        <w:rPr>
          <w:sz w:val="24"/>
          <w:szCs w:val="24"/>
        </w:rPr>
        <w:t>(e) submissi</w:t>
      </w:r>
      <w:r w:rsidR="00574FA7">
        <w:rPr>
          <w:sz w:val="24"/>
          <w:szCs w:val="24"/>
        </w:rPr>
        <w:t xml:space="preserve">ons and by targeted referrals. </w:t>
      </w:r>
      <w:r>
        <w:rPr>
          <w:sz w:val="24"/>
          <w:szCs w:val="24"/>
        </w:rPr>
        <w:t xml:space="preserve">As the direct result of these public outreach activities, several of these other </w:t>
      </w:r>
      <w:r w:rsidR="00574FA7">
        <w:rPr>
          <w:sz w:val="24"/>
          <w:szCs w:val="24"/>
        </w:rPr>
        <w:t>a</w:t>
      </w:r>
      <w:r>
        <w:rPr>
          <w:sz w:val="24"/>
          <w:szCs w:val="24"/>
        </w:rPr>
        <w:t>gencies actively publicize</w:t>
      </w:r>
      <w:r w:rsidR="00574FA7">
        <w:rPr>
          <w:sz w:val="24"/>
          <w:szCs w:val="24"/>
        </w:rPr>
        <w:t xml:space="preserve"> the information even further. </w:t>
      </w:r>
      <w:r>
        <w:rPr>
          <w:sz w:val="24"/>
          <w:szCs w:val="24"/>
        </w:rPr>
        <w:t>For example, the National Library of Medicine (NLM) at the National</w:t>
      </w:r>
      <w:r w:rsidR="006C4D89">
        <w:rPr>
          <w:sz w:val="24"/>
          <w:szCs w:val="24"/>
        </w:rPr>
        <w:t xml:space="preserve"> Institutes of Health makes </w:t>
      </w:r>
      <w:r w:rsidR="008D1FEB">
        <w:rPr>
          <w:sz w:val="24"/>
          <w:szCs w:val="24"/>
        </w:rPr>
        <w:t>section 8</w:t>
      </w:r>
      <w:r>
        <w:rPr>
          <w:sz w:val="24"/>
          <w:szCs w:val="24"/>
        </w:rPr>
        <w:t xml:space="preserve">(e) information available via its publicly available computerized Hazardous Substances Data Bank </w:t>
      </w:r>
      <w:r w:rsidR="00574FA7">
        <w:rPr>
          <w:sz w:val="24"/>
          <w:szCs w:val="24"/>
        </w:rPr>
        <w:t xml:space="preserve">(HSDB) and Toxline data bases. </w:t>
      </w:r>
      <w:r>
        <w:rPr>
          <w:sz w:val="24"/>
          <w:szCs w:val="24"/>
        </w:rPr>
        <w:t>In addition, the National Institute for Occupational S</w:t>
      </w:r>
      <w:r w:rsidR="006C4D89">
        <w:rPr>
          <w:sz w:val="24"/>
          <w:szCs w:val="24"/>
        </w:rPr>
        <w:t xml:space="preserve">afety and Health (NIOSH) cites </w:t>
      </w:r>
      <w:r w:rsidR="008D1FEB">
        <w:rPr>
          <w:sz w:val="24"/>
          <w:szCs w:val="24"/>
        </w:rPr>
        <w:t>section 8</w:t>
      </w:r>
      <w:r>
        <w:rPr>
          <w:sz w:val="24"/>
          <w:szCs w:val="24"/>
        </w:rPr>
        <w:t>(e) notices in the printed and on-line computerized versions of the “Registry of Toxic Effects of Chemical Substances” (RTECS) data base.</w:t>
      </w:r>
    </w:p>
    <w:p w14:paraId="10A4EE25" w14:textId="77777777" w:rsidR="005A2961" w:rsidRDefault="00841B82" w:rsidP="00841B82">
      <w:pPr>
        <w:rPr>
          <w:sz w:val="24"/>
          <w:szCs w:val="24"/>
        </w:rPr>
      </w:pPr>
      <w:r>
        <w:rPr>
          <w:sz w:val="24"/>
          <w:szCs w:val="24"/>
        </w:rPr>
        <w:tab/>
      </w:r>
    </w:p>
    <w:p w14:paraId="664894F9" w14:textId="2250B5BE" w:rsidR="00841B82" w:rsidRDefault="00841B82" w:rsidP="005A2961">
      <w:pPr>
        <w:ind w:firstLine="720"/>
        <w:rPr>
          <w:sz w:val="24"/>
          <w:szCs w:val="24"/>
        </w:rPr>
      </w:pPr>
      <w:r>
        <w:rPr>
          <w:b/>
          <w:bCs/>
          <w:sz w:val="24"/>
          <w:szCs w:val="24"/>
        </w:rPr>
        <w:t>5(</w:t>
      </w:r>
      <w:r w:rsidR="00337086">
        <w:rPr>
          <w:b/>
          <w:bCs/>
          <w:sz w:val="24"/>
          <w:szCs w:val="24"/>
        </w:rPr>
        <w:t>c</w:t>
      </w:r>
      <w:r>
        <w:rPr>
          <w:b/>
          <w:bCs/>
          <w:sz w:val="24"/>
          <w:szCs w:val="24"/>
        </w:rPr>
        <w:t xml:space="preserve">)  </w:t>
      </w:r>
      <w:r w:rsidR="005276D2">
        <w:rPr>
          <w:b/>
          <w:bCs/>
          <w:sz w:val="24"/>
          <w:szCs w:val="24"/>
        </w:rPr>
        <w:tab/>
      </w:r>
      <w:r>
        <w:rPr>
          <w:b/>
          <w:bCs/>
          <w:sz w:val="24"/>
          <w:szCs w:val="24"/>
        </w:rPr>
        <w:t>Small Entity Flexibility</w:t>
      </w:r>
    </w:p>
    <w:p w14:paraId="09880394" w14:textId="77777777" w:rsidR="00841B82" w:rsidRDefault="00841B82" w:rsidP="00841B82">
      <w:pPr>
        <w:rPr>
          <w:sz w:val="24"/>
          <w:szCs w:val="24"/>
        </w:rPr>
      </w:pPr>
    </w:p>
    <w:p w14:paraId="41FE068E" w14:textId="75A2B1E1" w:rsidR="00841B82" w:rsidRDefault="00841B82" w:rsidP="00841B82">
      <w:pPr>
        <w:rPr>
          <w:sz w:val="24"/>
          <w:szCs w:val="24"/>
        </w:rPr>
      </w:pPr>
      <w:r>
        <w:rPr>
          <w:sz w:val="24"/>
          <w:szCs w:val="24"/>
        </w:rPr>
        <w:tab/>
        <w:t>The statutory obligati</w:t>
      </w:r>
      <w:r w:rsidR="006C4D89">
        <w:rPr>
          <w:sz w:val="24"/>
          <w:szCs w:val="24"/>
        </w:rPr>
        <w:t xml:space="preserve">on to report information under </w:t>
      </w:r>
      <w:r w:rsidR="008D1FEB">
        <w:rPr>
          <w:sz w:val="24"/>
          <w:szCs w:val="24"/>
        </w:rPr>
        <w:t>section 8</w:t>
      </w:r>
      <w:r>
        <w:rPr>
          <w:sz w:val="24"/>
          <w:szCs w:val="24"/>
        </w:rPr>
        <w:t xml:space="preserve">(e) of TSCA applies to </w:t>
      </w:r>
      <w:r>
        <w:rPr>
          <w:sz w:val="24"/>
          <w:szCs w:val="24"/>
          <w:u w:val="single"/>
        </w:rPr>
        <w:t>all</w:t>
      </w:r>
      <w:r>
        <w:rPr>
          <w:sz w:val="24"/>
          <w:szCs w:val="24"/>
        </w:rPr>
        <w:t xml:space="preserve"> manufacturers, importers, processors, and/or distributors of TSCA-covered chemical substances and mixtur</w:t>
      </w:r>
      <w:r w:rsidR="00EF0291">
        <w:rPr>
          <w:sz w:val="24"/>
          <w:szCs w:val="24"/>
        </w:rPr>
        <w:t xml:space="preserve">es. </w:t>
      </w:r>
      <w:r w:rsidR="006C4D89">
        <w:rPr>
          <w:sz w:val="24"/>
          <w:szCs w:val="24"/>
        </w:rPr>
        <w:t xml:space="preserve">The statutory language of </w:t>
      </w:r>
      <w:r w:rsidR="007C1238" w:rsidRPr="007C1238">
        <w:rPr>
          <w:sz w:val="24"/>
          <w:szCs w:val="24"/>
        </w:rPr>
        <w:t xml:space="preserve">section </w:t>
      </w:r>
      <w:r w:rsidR="008D1FEB">
        <w:rPr>
          <w:sz w:val="24"/>
          <w:szCs w:val="24"/>
        </w:rPr>
        <w:t>8</w:t>
      </w:r>
      <w:r>
        <w:rPr>
          <w:sz w:val="24"/>
          <w:szCs w:val="24"/>
        </w:rPr>
        <w:t>(e) itself does not allow for any reporting exemption or burden minimization based on the size or earnings of a respondent.  However, nearly all reporting is by la</w:t>
      </w:r>
      <w:r w:rsidR="001D7333">
        <w:rPr>
          <w:sz w:val="24"/>
          <w:szCs w:val="24"/>
        </w:rPr>
        <w:t xml:space="preserve">rge and medium size companies. </w:t>
      </w:r>
      <w:r>
        <w:rPr>
          <w:sz w:val="24"/>
          <w:szCs w:val="24"/>
        </w:rPr>
        <w:t xml:space="preserve">This is mainly because only larger companies have the financial resources to conduct toxicity testing that comprises most </w:t>
      </w:r>
      <w:r w:rsidR="008D1FEB">
        <w:rPr>
          <w:sz w:val="24"/>
          <w:szCs w:val="24"/>
        </w:rPr>
        <w:t>section 8</w:t>
      </w:r>
      <w:r w:rsidR="00574FA7">
        <w:rPr>
          <w:sz w:val="24"/>
          <w:szCs w:val="24"/>
        </w:rPr>
        <w:t xml:space="preserve">(e) reporting. </w:t>
      </w:r>
      <w:r>
        <w:rPr>
          <w:sz w:val="24"/>
          <w:szCs w:val="24"/>
        </w:rPr>
        <w:t>Since there is no routine reporting o</w:t>
      </w:r>
      <w:r w:rsidR="006C4D89">
        <w:rPr>
          <w:sz w:val="24"/>
          <w:szCs w:val="24"/>
        </w:rPr>
        <w:t xml:space="preserve">r recordkeeping provisions for </w:t>
      </w:r>
      <w:r w:rsidR="008D1FEB">
        <w:rPr>
          <w:sz w:val="24"/>
          <w:szCs w:val="24"/>
        </w:rPr>
        <w:t>section 8</w:t>
      </w:r>
      <w:r>
        <w:rPr>
          <w:sz w:val="24"/>
          <w:szCs w:val="24"/>
        </w:rPr>
        <w:t>(e), the true burden on most small entities is practically nonexistent.</w:t>
      </w:r>
    </w:p>
    <w:p w14:paraId="384AAB90" w14:textId="397E17DC" w:rsidR="004E3980" w:rsidRDefault="004E3980">
      <w:pPr>
        <w:autoSpaceDE/>
        <w:autoSpaceDN/>
        <w:adjustRightInd/>
        <w:rPr>
          <w:sz w:val="24"/>
          <w:szCs w:val="24"/>
        </w:rPr>
      </w:pPr>
    </w:p>
    <w:p w14:paraId="594D3CAB" w14:textId="4D545B98" w:rsidR="00841B82" w:rsidRDefault="00841B82" w:rsidP="00841B82">
      <w:pPr>
        <w:rPr>
          <w:sz w:val="24"/>
          <w:szCs w:val="24"/>
        </w:rPr>
      </w:pPr>
      <w:r>
        <w:rPr>
          <w:sz w:val="24"/>
          <w:szCs w:val="24"/>
        </w:rPr>
        <w:tab/>
      </w:r>
      <w:r>
        <w:rPr>
          <w:b/>
          <w:bCs/>
          <w:sz w:val="24"/>
          <w:szCs w:val="24"/>
        </w:rPr>
        <w:t>5(</w:t>
      </w:r>
      <w:r w:rsidR="00337086">
        <w:rPr>
          <w:b/>
          <w:bCs/>
          <w:sz w:val="24"/>
          <w:szCs w:val="24"/>
        </w:rPr>
        <w:t>d</w:t>
      </w:r>
      <w:r>
        <w:rPr>
          <w:b/>
          <w:bCs/>
          <w:sz w:val="24"/>
          <w:szCs w:val="24"/>
        </w:rPr>
        <w:t xml:space="preserve">)  </w:t>
      </w:r>
      <w:r w:rsidR="005276D2">
        <w:rPr>
          <w:b/>
          <w:bCs/>
          <w:sz w:val="24"/>
          <w:szCs w:val="24"/>
        </w:rPr>
        <w:tab/>
      </w:r>
      <w:r>
        <w:rPr>
          <w:b/>
          <w:bCs/>
          <w:sz w:val="24"/>
          <w:szCs w:val="24"/>
        </w:rPr>
        <w:t>Collection Schedule</w:t>
      </w:r>
    </w:p>
    <w:p w14:paraId="031D5B8B" w14:textId="77777777" w:rsidR="00841B82" w:rsidRDefault="00841B82" w:rsidP="00841B82">
      <w:pPr>
        <w:rPr>
          <w:sz w:val="24"/>
          <w:szCs w:val="24"/>
        </w:rPr>
      </w:pPr>
    </w:p>
    <w:p w14:paraId="184D9ACC" w14:textId="1A13C583" w:rsidR="00841B82" w:rsidRDefault="006C4D89" w:rsidP="00841B82">
      <w:pPr>
        <w:rPr>
          <w:sz w:val="24"/>
          <w:szCs w:val="24"/>
        </w:rPr>
      </w:pPr>
      <w:r>
        <w:rPr>
          <w:sz w:val="24"/>
          <w:szCs w:val="24"/>
        </w:rPr>
        <w:tab/>
        <w:t xml:space="preserve">Considering that </w:t>
      </w:r>
      <w:r w:rsidR="008D1FEB">
        <w:rPr>
          <w:sz w:val="24"/>
          <w:szCs w:val="24"/>
        </w:rPr>
        <w:t>section 8</w:t>
      </w:r>
      <w:r w:rsidR="00841B82">
        <w:rPr>
          <w:sz w:val="24"/>
          <w:szCs w:val="24"/>
        </w:rPr>
        <w:t xml:space="preserve">(e) submissions are received by the Agency on an </w:t>
      </w:r>
      <w:r w:rsidR="00841B82">
        <w:rPr>
          <w:sz w:val="24"/>
          <w:szCs w:val="24"/>
          <w:u w:val="single"/>
        </w:rPr>
        <w:t>ad</w:t>
      </w:r>
      <w:r w:rsidR="00841B82">
        <w:rPr>
          <w:sz w:val="24"/>
          <w:szCs w:val="24"/>
        </w:rPr>
        <w:t xml:space="preserve"> </w:t>
      </w:r>
      <w:r w:rsidR="00841B82">
        <w:rPr>
          <w:sz w:val="24"/>
          <w:szCs w:val="24"/>
          <w:u w:val="single"/>
        </w:rPr>
        <w:t>hoc</w:t>
      </w:r>
      <w:r w:rsidR="00841B82">
        <w:rPr>
          <w:sz w:val="24"/>
          <w:szCs w:val="24"/>
        </w:rPr>
        <w:t xml:space="preserve"> basis, there i</w:t>
      </w:r>
      <w:r w:rsidR="001D7333">
        <w:rPr>
          <w:sz w:val="24"/>
          <w:szCs w:val="24"/>
        </w:rPr>
        <w:t xml:space="preserve">s no standard reporting cycle. </w:t>
      </w:r>
      <w:r w:rsidR="00841B82">
        <w:rPr>
          <w:sz w:val="24"/>
          <w:szCs w:val="24"/>
        </w:rPr>
        <w:t>Submitte</w:t>
      </w:r>
      <w:r>
        <w:rPr>
          <w:sz w:val="24"/>
          <w:szCs w:val="24"/>
        </w:rPr>
        <w:t xml:space="preserve">rs are required to comply with </w:t>
      </w:r>
      <w:r w:rsidR="007C1238" w:rsidRPr="007C1238">
        <w:rPr>
          <w:sz w:val="24"/>
          <w:szCs w:val="24"/>
        </w:rPr>
        <w:t xml:space="preserve">section </w:t>
      </w:r>
      <w:r w:rsidR="008D1FEB">
        <w:rPr>
          <w:sz w:val="24"/>
          <w:szCs w:val="24"/>
        </w:rPr>
        <w:t>8</w:t>
      </w:r>
      <w:r w:rsidR="00841B82">
        <w:rPr>
          <w:sz w:val="24"/>
          <w:szCs w:val="24"/>
        </w:rPr>
        <w:t>(e) immediately when they come in</w:t>
      </w:r>
      <w:r>
        <w:rPr>
          <w:sz w:val="24"/>
          <w:szCs w:val="24"/>
        </w:rPr>
        <w:t xml:space="preserve">to possession of or know about </w:t>
      </w:r>
      <w:r w:rsidR="009A28A1">
        <w:rPr>
          <w:sz w:val="24"/>
          <w:szCs w:val="24"/>
        </w:rPr>
        <w:t>s</w:t>
      </w:r>
      <w:r w:rsidR="008D1FEB">
        <w:rPr>
          <w:sz w:val="24"/>
          <w:szCs w:val="24"/>
        </w:rPr>
        <w:t>ection 8</w:t>
      </w:r>
      <w:r w:rsidR="00841B82">
        <w:rPr>
          <w:sz w:val="24"/>
          <w:szCs w:val="24"/>
        </w:rPr>
        <w:t>(</w:t>
      </w:r>
      <w:r w:rsidR="001D7333">
        <w:rPr>
          <w:sz w:val="24"/>
          <w:szCs w:val="24"/>
        </w:rPr>
        <w:t xml:space="preserve">e)-reportable information. </w:t>
      </w:r>
      <w:r>
        <w:rPr>
          <w:sz w:val="24"/>
          <w:szCs w:val="24"/>
        </w:rPr>
        <w:t xml:space="preserve">If </w:t>
      </w:r>
      <w:r w:rsidR="007C1238" w:rsidRPr="007C1238">
        <w:rPr>
          <w:sz w:val="24"/>
          <w:szCs w:val="24"/>
        </w:rPr>
        <w:t xml:space="preserve">section </w:t>
      </w:r>
      <w:r w:rsidR="008D1FEB">
        <w:rPr>
          <w:sz w:val="24"/>
          <w:szCs w:val="24"/>
        </w:rPr>
        <w:t>8</w:t>
      </w:r>
      <w:r w:rsidR="00841B82">
        <w:rPr>
          <w:sz w:val="24"/>
          <w:szCs w:val="24"/>
        </w:rPr>
        <w:t xml:space="preserve">(e) information were not made available immediately to EPA, the Agency’s ability to learn about, publicize, effectively assess, and </w:t>
      </w:r>
      <w:r w:rsidR="005A2961">
        <w:rPr>
          <w:sz w:val="24"/>
          <w:szCs w:val="24"/>
        </w:rPr>
        <w:t xml:space="preserve">respond appropriately to </w:t>
      </w:r>
      <w:r w:rsidR="0024075B">
        <w:rPr>
          <w:sz w:val="24"/>
          <w:szCs w:val="24"/>
        </w:rPr>
        <w:t xml:space="preserve">newly </w:t>
      </w:r>
      <w:r w:rsidR="00841B82">
        <w:rPr>
          <w:sz w:val="24"/>
          <w:szCs w:val="24"/>
        </w:rPr>
        <w:t>discovered chemical-related risks would be severely impeded, if not completely thwarted.</w:t>
      </w:r>
    </w:p>
    <w:p w14:paraId="4CFEEF9F" w14:textId="77777777" w:rsidR="008904A4" w:rsidRDefault="008904A4" w:rsidP="00841B82">
      <w:pPr>
        <w:rPr>
          <w:sz w:val="24"/>
          <w:szCs w:val="24"/>
        </w:rPr>
      </w:pPr>
    </w:p>
    <w:p w14:paraId="49953271" w14:textId="557B37C9" w:rsidR="00B609D7" w:rsidRDefault="00B609D7">
      <w:pPr>
        <w:autoSpaceDE/>
        <w:autoSpaceDN/>
        <w:adjustRightInd/>
        <w:rPr>
          <w:b/>
          <w:bCs/>
          <w:sz w:val="24"/>
          <w:szCs w:val="24"/>
        </w:rPr>
      </w:pPr>
    </w:p>
    <w:p w14:paraId="2C041ACE" w14:textId="0090AEF9" w:rsidR="00841B82" w:rsidRDefault="00841B82" w:rsidP="001413A5">
      <w:pPr>
        <w:rPr>
          <w:sz w:val="24"/>
          <w:szCs w:val="24"/>
        </w:rPr>
      </w:pPr>
      <w:r>
        <w:rPr>
          <w:b/>
          <w:bCs/>
          <w:sz w:val="24"/>
          <w:szCs w:val="24"/>
        </w:rPr>
        <w:t>6</w:t>
      </w:r>
      <w:r>
        <w:rPr>
          <w:b/>
          <w:bCs/>
          <w:sz w:val="24"/>
          <w:szCs w:val="24"/>
        </w:rPr>
        <w:tab/>
        <w:t>ESTIMATING THE BURDEN AND COST OF COLLECTION</w:t>
      </w:r>
    </w:p>
    <w:p w14:paraId="3485292D" w14:textId="77777777" w:rsidR="00841B82" w:rsidRDefault="00841B82" w:rsidP="001413A5">
      <w:pPr>
        <w:rPr>
          <w:sz w:val="24"/>
          <w:szCs w:val="24"/>
        </w:rPr>
      </w:pPr>
    </w:p>
    <w:p w14:paraId="7389831A" w14:textId="2AE75447" w:rsidR="00747B16" w:rsidRDefault="00747B16" w:rsidP="000B5063">
      <w:pPr>
        <w:rPr>
          <w:i/>
          <w:sz w:val="24"/>
          <w:szCs w:val="24"/>
        </w:rPr>
      </w:pPr>
      <w:r w:rsidRPr="00747B16">
        <w:rPr>
          <w:i/>
          <w:sz w:val="24"/>
          <w:szCs w:val="24"/>
        </w:rPr>
        <w:t>EPA receives ma</w:t>
      </w:r>
      <w:r w:rsidR="006C4D89">
        <w:rPr>
          <w:i/>
          <w:sz w:val="24"/>
          <w:szCs w:val="24"/>
        </w:rPr>
        <w:t xml:space="preserve">ndatory submissions under TSCA </w:t>
      </w:r>
      <w:r w:rsidR="008D1FEB">
        <w:rPr>
          <w:i/>
          <w:sz w:val="24"/>
          <w:szCs w:val="24"/>
        </w:rPr>
        <w:t>section 8</w:t>
      </w:r>
      <w:r w:rsidRPr="00747B16">
        <w:rPr>
          <w:i/>
          <w:sz w:val="24"/>
          <w:szCs w:val="24"/>
        </w:rPr>
        <w:t>(e)</w:t>
      </w:r>
    </w:p>
    <w:p w14:paraId="7D7781E4" w14:textId="77777777" w:rsidR="00AA7672" w:rsidRPr="00747B16" w:rsidRDefault="00AA7672" w:rsidP="001413A5">
      <w:pPr>
        <w:ind w:firstLine="720"/>
        <w:rPr>
          <w:i/>
          <w:sz w:val="24"/>
          <w:szCs w:val="24"/>
        </w:rPr>
      </w:pPr>
    </w:p>
    <w:p w14:paraId="6CBEF4FF" w14:textId="108D9BCF" w:rsidR="00747B16" w:rsidRDefault="00747B16" w:rsidP="001413A5">
      <w:pPr>
        <w:ind w:firstLine="720"/>
        <w:rPr>
          <w:sz w:val="24"/>
          <w:szCs w:val="24"/>
        </w:rPr>
      </w:pPr>
      <w:r w:rsidRPr="00747B16">
        <w:rPr>
          <w:sz w:val="24"/>
          <w:szCs w:val="24"/>
        </w:rPr>
        <w:t xml:space="preserve">Pursuant to TSCA </w:t>
      </w:r>
      <w:r w:rsidR="008D1FEB">
        <w:rPr>
          <w:sz w:val="24"/>
          <w:szCs w:val="24"/>
        </w:rPr>
        <w:t>section 8</w:t>
      </w:r>
      <w:r w:rsidRPr="00747B16">
        <w:rPr>
          <w:sz w:val="24"/>
          <w:szCs w:val="24"/>
        </w:rPr>
        <w:t>(e)(15 U.S.C. 2607(e)), “Any person who manufactures, processes, or distributes in commerce a chemical substance or mixture and who obtains information which reasonably supports the conclusion that such substance or mixture presents a substantial risk of injury to health or the environment shall immediately inform the Administrator of such information unless such person has actual knowledge that the Administrator has been adequately informed of such information.”</w:t>
      </w:r>
    </w:p>
    <w:p w14:paraId="74C9CD80" w14:textId="77777777" w:rsidR="00747B16" w:rsidRDefault="0036667D" w:rsidP="001413A5">
      <w:pPr>
        <w:rPr>
          <w:sz w:val="24"/>
          <w:szCs w:val="24"/>
        </w:rPr>
      </w:pPr>
      <w:r>
        <w:rPr>
          <w:sz w:val="24"/>
          <w:szCs w:val="24"/>
        </w:rPr>
        <w:tab/>
      </w:r>
    </w:p>
    <w:p w14:paraId="7CDD92DE" w14:textId="77777777" w:rsidR="00747B16" w:rsidRDefault="00747B16" w:rsidP="000B5063">
      <w:pPr>
        <w:tabs>
          <w:tab w:val="left" w:pos="7020"/>
        </w:tabs>
        <w:rPr>
          <w:i/>
          <w:sz w:val="24"/>
          <w:szCs w:val="24"/>
        </w:rPr>
      </w:pPr>
      <w:r w:rsidRPr="00747B16">
        <w:rPr>
          <w:i/>
          <w:sz w:val="24"/>
          <w:szCs w:val="24"/>
        </w:rPr>
        <w:t xml:space="preserve">EPA also receives </w:t>
      </w:r>
      <w:r w:rsidR="000A1D0B">
        <w:rPr>
          <w:i/>
          <w:sz w:val="24"/>
          <w:szCs w:val="24"/>
        </w:rPr>
        <w:t xml:space="preserve">For Your Information (FYI) </w:t>
      </w:r>
      <w:r w:rsidRPr="00747B16">
        <w:rPr>
          <w:i/>
          <w:sz w:val="24"/>
          <w:szCs w:val="24"/>
        </w:rPr>
        <w:t xml:space="preserve">voluntary submissions </w:t>
      </w:r>
      <w:r w:rsidRPr="00747B16">
        <w:rPr>
          <w:i/>
          <w:sz w:val="24"/>
          <w:szCs w:val="24"/>
        </w:rPr>
        <w:tab/>
      </w:r>
    </w:p>
    <w:p w14:paraId="5B585A17" w14:textId="77777777" w:rsidR="001413A5" w:rsidRDefault="001413A5" w:rsidP="001413A5">
      <w:pPr>
        <w:pStyle w:val="BodyText"/>
        <w:spacing w:before="0" w:after="0"/>
        <w:ind w:firstLine="720"/>
        <w:rPr>
          <w:sz w:val="24"/>
          <w:szCs w:val="24"/>
        </w:rPr>
      </w:pPr>
    </w:p>
    <w:p w14:paraId="6784FF8B" w14:textId="77777777" w:rsidR="0055596F" w:rsidRDefault="0055596F" w:rsidP="001413A5">
      <w:pPr>
        <w:pStyle w:val="BodyText"/>
        <w:spacing w:before="0" w:after="0"/>
        <w:ind w:firstLine="720"/>
        <w:rPr>
          <w:sz w:val="24"/>
          <w:szCs w:val="24"/>
        </w:rPr>
      </w:pPr>
      <w:r w:rsidRPr="0055596F">
        <w:rPr>
          <w:sz w:val="24"/>
          <w:szCs w:val="24"/>
        </w:rPr>
        <w:t>EPA has received For Your Information (FYI) submissions covering a wide variety of chemical substances and mixtures from chemical companies, trade associations, unions, public interest groups, civic associations, private citizens, academic institutions, state and other federal agencies, as well as similar organizations and agencies in foreign countries. These submissions contain information on human exposure, epidemiology, toxicity test results, monitoring studies, environmental fate, and other information that may be important to risk assessment.</w:t>
      </w:r>
    </w:p>
    <w:p w14:paraId="744C5381" w14:textId="77777777" w:rsidR="001413A5" w:rsidRPr="0055596F" w:rsidRDefault="001413A5" w:rsidP="001413A5">
      <w:pPr>
        <w:pStyle w:val="BodyText"/>
        <w:spacing w:before="0" w:after="0"/>
        <w:ind w:firstLine="720"/>
        <w:rPr>
          <w:sz w:val="24"/>
          <w:szCs w:val="24"/>
        </w:rPr>
      </w:pPr>
    </w:p>
    <w:p w14:paraId="2F2C7E2A" w14:textId="77777777" w:rsidR="0055596F" w:rsidRDefault="0055596F" w:rsidP="001413A5">
      <w:pPr>
        <w:pStyle w:val="BodyText"/>
        <w:spacing w:before="0" w:after="0"/>
        <w:ind w:firstLine="720"/>
        <w:rPr>
          <w:sz w:val="24"/>
          <w:szCs w:val="24"/>
        </w:rPr>
      </w:pPr>
      <w:r w:rsidRPr="0055596F">
        <w:rPr>
          <w:sz w:val="24"/>
          <w:szCs w:val="24"/>
        </w:rPr>
        <w:t>FYI submissions are often submitted to the Agency when a person or company that is not required to submit would like to bring information on a chemical to EPA’s attention. Chemical companies, trade associations, public interest groups, and academic institutions are among those who submit FYIs.</w:t>
      </w:r>
      <w:r w:rsidR="004573FF">
        <w:rPr>
          <w:sz w:val="24"/>
          <w:szCs w:val="24"/>
        </w:rPr>
        <w:t xml:space="preserve"> These entities</w:t>
      </w:r>
      <w:r w:rsidR="00C05BAC">
        <w:rPr>
          <w:sz w:val="24"/>
          <w:szCs w:val="24"/>
        </w:rPr>
        <w:t xml:space="preserve"> who wish to submit information</w:t>
      </w:r>
      <w:r w:rsidR="004573FF">
        <w:rPr>
          <w:sz w:val="24"/>
          <w:szCs w:val="24"/>
        </w:rPr>
        <w:t xml:space="preserve"> to the Agency electronically will have to register with CDX or otherwise submit information by paper. </w:t>
      </w:r>
    </w:p>
    <w:p w14:paraId="58F0E64D" w14:textId="77777777" w:rsidR="001413A5" w:rsidRDefault="001413A5" w:rsidP="001413A5">
      <w:pPr>
        <w:pStyle w:val="BodyText"/>
        <w:spacing w:before="0" w:after="0"/>
        <w:ind w:firstLine="720"/>
        <w:rPr>
          <w:sz w:val="24"/>
          <w:szCs w:val="24"/>
        </w:rPr>
      </w:pPr>
    </w:p>
    <w:p w14:paraId="2CBFF808" w14:textId="1405FB1E" w:rsidR="0055596F" w:rsidRPr="0055596F" w:rsidRDefault="0055596F" w:rsidP="001413A5">
      <w:pPr>
        <w:pStyle w:val="BodyText"/>
        <w:spacing w:before="0" w:after="0"/>
        <w:ind w:firstLine="720"/>
        <w:rPr>
          <w:sz w:val="24"/>
          <w:szCs w:val="24"/>
        </w:rPr>
      </w:pPr>
      <w:r w:rsidRPr="0055596F">
        <w:rPr>
          <w:color w:val="000000"/>
          <w:sz w:val="24"/>
          <w:szCs w:val="24"/>
          <w:shd w:val="clear" w:color="auto" w:fill="FFFFFF"/>
        </w:rPr>
        <w:t>In addition,</w:t>
      </w:r>
      <w:r w:rsidRPr="0055596F">
        <w:rPr>
          <w:rStyle w:val="apple-converted-space"/>
          <w:color w:val="000000"/>
          <w:sz w:val="24"/>
          <w:szCs w:val="24"/>
          <w:shd w:val="clear" w:color="auto" w:fill="FFFFFF"/>
        </w:rPr>
        <w:t> </w:t>
      </w:r>
      <w:r w:rsidRPr="006E08CB">
        <w:rPr>
          <w:sz w:val="24"/>
          <w:szCs w:val="24"/>
          <w:shd w:val="clear" w:color="auto" w:fill="FFFFFF"/>
        </w:rPr>
        <w:t>FYI submissions</w:t>
      </w:r>
      <w:r w:rsidRPr="0055596F">
        <w:rPr>
          <w:rStyle w:val="apple-converted-space"/>
          <w:color w:val="000000"/>
          <w:sz w:val="24"/>
          <w:szCs w:val="24"/>
          <w:shd w:val="clear" w:color="auto" w:fill="FFFFFF"/>
        </w:rPr>
        <w:t> </w:t>
      </w:r>
      <w:r w:rsidRPr="0055596F">
        <w:rPr>
          <w:color w:val="000000"/>
          <w:sz w:val="24"/>
          <w:szCs w:val="24"/>
          <w:shd w:val="clear" w:color="auto" w:fill="FFFFFF"/>
        </w:rPr>
        <w:t>are submissions from a classification system that was established by EPA to distinguish voluntary submissions from “substantial risk” notices submit</w:t>
      </w:r>
      <w:r w:rsidR="00F0353E">
        <w:rPr>
          <w:color w:val="000000"/>
          <w:sz w:val="24"/>
          <w:szCs w:val="24"/>
          <w:shd w:val="clear" w:color="auto" w:fill="FFFFFF"/>
        </w:rPr>
        <w:t xml:space="preserve">ted formally to EPA under </w:t>
      </w:r>
      <w:r w:rsidR="008D1FEB">
        <w:rPr>
          <w:color w:val="000000"/>
          <w:sz w:val="24"/>
          <w:szCs w:val="24"/>
          <w:shd w:val="clear" w:color="auto" w:fill="FFFFFF"/>
        </w:rPr>
        <w:t>section 8</w:t>
      </w:r>
      <w:r w:rsidRPr="0055596F">
        <w:rPr>
          <w:color w:val="000000"/>
          <w:sz w:val="24"/>
          <w:szCs w:val="24"/>
          <w:shd w:val="clear" w:color="auto" w:fill="FFFFFF"/>
        </w:rPr>
        <w:t>(e), discussed above. The FYI classification was created by EPA to capture submissions by persons or organizations not subject to the reporting requirements, but who wished to inform EPA of a potential risk.</w:t>
      </w:r>
    </w:p>
    <w:p w14:paraId="5B9B1F80" w14:textId="77777777" w:rsidR="00841B82" w:rsidRDefault="00841B82" w:rsidP="001413A5">
      <w:pPr>
        <w:rPr>
          <w:sz w:val="24"/>
          <w:szCs w:val="24"/>
        </w:rPr>
      </w:pPr>
    </w:p>
    <w:p w14:paraId="69144E1C" w14:textId="77777777" w:rsidR="00841B82" w:rsidRDefault="00D572E4" w:rsidP="001413A5">
      <w:pPr>
        <w:ind w:firstLine="720"/>
        <w:rPr>
          <w:sz w:val="24"/>
          <w:szCs w:val="24"/>
        </w:rPr>
      </w:pPr>
      <w:r>
        <w:rPr>
          <w:b/>
          <w:bCs/>
          <w:sz w:val="24"/>
          <w:szCs w:val="24"/>
        </w:rPr>
        <w:t xml:space="preserve">6(a) </w:t>
      </w:r>
      <w:r w:rsidR="005276D2">
        <w:rPr>
          <w:b/>
          <w:bCs/>
          <w:sz w:val="24"/>
          <w:szCs w:val="24"/>
        </w:rPr>
        <w:tab/>
      </w:r>
      <w:r w:rsidR="0060438E">
        <w:rPr>
          <w:b/>
          <w:bCs/>
          <w:sz w:val="24"/>
          <w:szCs w:val="24"/>
        </w:rPr>
        <w:t>Estimating</w:t>
      </w:r>
      <w:r w:rsidR="00841B82">
        <w:rPr>
          <w:b/>
          <w:bCs/>
          <w:sz w:val="24"/>
          <w:szCs w:val="24"/>
        </w:rPr>
        <w:t xml:space="preserve"> Submitter Burden</w:t>
      </w:r>
    </w:p>
    <w:p w14:paraId="4B05757E" w14:textId="77777777" w:rsidR="00841B82" w:rsidRDefault="00841B82" w:rsidP="001413A5">
      <w:pPr>
        <w:rPr>
          <w:sz w:val="24"/>
          <w:szCs w:val="24"/>
        </w:rPr>
      </w:pPr>
    </w:p>
    <w:p w14:paraId="71A5C6F2" w14:textId="77777777" w:rsidR="000951CF" w:rsidRDefault="000951CF" w:rsidP="000951CF">
      <w:pPr>
        <w:ind w:firstLine="720"/>
        <w:rPr>
          <w:bCs/>
          <w:sz w:val="24"/>
          <w:szCs w:val="24"/>
        </w:rPr>
      </w:pPr>
      <w:r>
        <w:rPr>
          <w:bCs/>
          <w:sz w:val="24"/>
          <w:szCs w:val="24"/>
        </w:rPr>
        <w:t>As stated earlier in this document, essentially all submissions are being received in electronic format, therefore, estimates to follow are on the basis of 100% e-reporting. All unit burden estimates are electronic unit burden estimates, where applicable.</w:t>
      </w:r>
    </w:p>
    <w:p w14:paraId="7FCE3051" w14:textId="77777777" w:rsidR="000951CF" w:rsidRPr="00596B73" w:rsidRDefault="000951CF" w:rsidP="000951CF">
      <w:pPr>
        <w:ind w:firstLine="720"/>
        <w:rPr>
          <w:bCs/>
          <w:sz w:val="24"/>
          <w:szCs w:val="24"/>
        </w:rPr>
      </w:pPr>
    </w:p>
    <w:p w14:paraId="2B793D23" w14:textId="42376B15" w:rsidR="00647F6B" w:rsidRPr="000951CF" w:rsidRDefault="000951CF" w:rsidP="000951CF">
      <w:pPr>
        <w:rPr>
          <w:bCs/>
          <w:i/>
          <w:sz w:val="24"/>
          <w:szCs w:val="24"/>
        </w:rPr>
      </w:pPr>
      <w:r w:rsidRPr="00BE1C78">
        <w:rPr>
          <w:bCs/>
          <w:i/>
          <w:sz w:val="24"/>
          <w:szCs w:val="24"/>
        </w:rPr>
        <w:t>8(e) Submissions and Follow up Submissions</w:t>
      </w:r>
    </w:p>
    <w:p w14:paraId="652B43CD" w14:textId="77777777" w:rsidR="0007765B" w:rsidRDefault="0007765B" w:rsidP="001413A5">
      <w:pPr>
        <w:rPr>
          <w:sz w:val="24"/>
          <w:szCs w:val="24"/>
        </w:rPr>
      </w:pPr>
    </w:p>
    <w:p w14:paraId="4D973BBD" w14:textId="53D17A10" w:rsidR="000951CF" w:rsidRPr="000951CF" w:rsidRDefault="000951CF" w:rsidP="000951CF">
      <w:pPr>
        <w:ind w:firstLine="720"/>
        <w:rPr>
          <w:sz w:val="24"/>
          <w:szCs w:val="24"/>
        </w:rPr>
      </w:pPr>
      <w:r w:rsidRPr="000951CF">
        <w:rPr>
          <w:sz w:val="24"/>
          <w:szCs w:val="24"/>
        </w:rPr>
        <w:t>As in the previous ICR, EPA estimates that it should take approximately 49 hours per submission to judge and concur on the section 8(e)-applicability of obtained information and to prepare and sub</w:t>
      </w:r>
      <w:r>
        <w:rPr>
          <w:sz w:val="24"/>
          <w:szCs w:val="24"/>
        </w:rPr>
        <w:t xml:space="preserve">mit the necessary information. </w:t>
      </w:r>
      <w:r w:rsidRPr="000951CF">
        <w:rPr>
          <w:sz w:val="24"/>
          <w:szCs w:val="24"/>
        </w:rPr>
        <w:t xml:space="preserve">This figure is based on an average of 45 hours per submission of managerial staff time to review and evaluate data and an additional 4 hours for staff training on section </w:t>
      </w:r>
      <w:r>
        <w:rPr>
          <w:sz w:val="24"/>
          <w:szCs w:val="24"/>
        </w:rPr>
        <w:t xml:space="preserve">8(e) regulatory requirements. </w:t>
      </w:r>
      <w:r w:rsidRPr="000951CF">
        <w:rPr>
          <w:sz w:val="24"/>
          <w:szCs w:val="24"/>
        </w:rPr>
        <w:t xml:space="preserve">Considering that the respondent’s decision-making/concurrence activities for determining section 8(e)-applicability/reportability has already taken place for the initial submission, the activities surrounding the submission of follow-up/supplemental information related to the initial submission are viewed by the Agency as being less burdensome. Consequently, the submission of follow-up/supplemental information in response to EPA questions on the initial section 8(e) submission, or as a result of further investigation/evaluation by the company, was estimated to be 4 hours per notice to assemble the required information and to prepare and review the submission. Additionally, the unit burden for recordkeeping is estimated at an additional 1.06 hours of clerical staff time for 8(e) initial submissions and at 0.06 hours for follow up submissions. </w:t>
      </w:r>
    </w:p>
    <w:p w14:paraId="3DDBAA09" w14:textId="77777777" w:rsidR="000951CF" w:rsidRPr="000951CF" w:rsidRDefault="000951CF" w:rsidP="000951CF">
      <w:pPr>
        <w:ind w:firstLine="720"/>
        <w:rPr>
          <w:sz w:val="24"/>
          <w:szCs w:val="24"/>
        </w:rPr>
      </w:pPr>
    </w:p>
    <w:p w14:paraId="630BC4A8" w14:textId="2F16F615" w:rsidR="0007765B" w:rsidRDefault="000951CF" w:rsidP="000951CF">
      <w:pPr>
        <w:ind w:firstLine="720"/>
        <w:rPr>
          <w:sz w:val="24"/>
          <w:szCs w:val="24"/>
        </w:rPr>
      </w:pPr>
      <w:r w:rsidRPr="000951CF">
        <w:rPr>
          <w:sz w:val="24"/>
          <w:szCs w:val="24"/>
        </w:rPr>
        <w:t>To quantify the number of submissions for the current ICR renewal, EPA utilizes data on the number of section 8(e) submissions for fiscal years 2013 through 2015. The average annual number of initial section 8(e) submissions and follow-up section 8(e) submissions are 408, and 86 respectively, as computed to provide the annual basis for this ICR renewal. Table 1 provides a summary of estimates for unit burden and the annual burden associated with the mandatory section 8(e) submissions.</w:t>
      </w:r>
    </w:p>
    <w:p w14:paraId="62A8AF5F" w14:textId="77777777" w:rsidR="000951CF" w:rsidRDefault="000951CF" w:rsidP="00EE0D24">
      <w:pPr>
        <w:rPr>
          <w:sz w:val="24"/>
          <w:szCs w:val="24"/>
        </w:rPr>
      </w:pPr>
    </w:p>
    <w:tbl>
      <w:tblPr>
        <w:tblW w:w="8807" w:type="dxa"/>
        <w:tblInd w:w="93" w:type="dxa"/>
        <w:tblLook w:val="04A0" w:firstRow="1" w:lastRow="0" w:firstColumn="1" w:lastColumn="0" w:noHBand="0" w:noVBand="1"/>
      </w:tblPr>
      <w:tblGrid>
        <w:gridCol w:w="2175"/>
        <w:gridCol w:w="1106"/>
        <w:gridCol w:w="966"/>
        <w:gridCol w:w="826"/>
        <w:gridCol w:w="816"/>
        <w:gridCol w:w="1044"/>
        <w:gridCol w:w="1197"/>
        <w:gridCol w:w="886"/>
      </w:tblGrid>
      <w:tr w:rsidR="000951CF" w:rsidRPr="00B227B2" w14:paraId="0DF8A3E8" w14:textId="77777777" w:rsidTr="00396651">
        <w:trPr>
          <w:trHeight w:val="323"/>
        </w:trPr>
        <w:tc>
          <w:tcPr>
            <w:tcW w:w="8807" w:type="dxa"/>
            <w:gridSpan w:val="8"/>
            <w:tcBorders>
              <w:top w:val="nil"/>
              <w:left w:val="nil"/>
              <w:bottom w:val="single" w:sz="8" w:space="0" w:color="auto"/>
              <w:right w:val="nil"/>
            </w:tcBorders>
            <w:shd w:val="clear" w:color="auto" w:fill="auto"/>
            <w:noWrap/>
            <w:vAlign w:val="bottom"/>
            <w:hideMark/>
          </w:tcPr>
          <w:p w14:paraId="7C5CC4D9" w14:textId="77777777" w:rsidR="000951CF" w:rsidRPr="00B227B2" w:rsidRDefault="000951CF" w:rsidP="00396651">
            <w:pPr>
              <w:autoSpaceDE/>
              <w:autoSpaceDN/>
              <w:adjustRightInd/>
              <w:rPr>
                <w:b/>
                <w:bCs/>
                <w:color w:val="000000"/>
                <w:sz w:val="24"/>
                <w:szCs w:val="24"/>
              </w:rPr>
            </w:pPr>
            <w:r w:rsidRPr="00B227B2">
              <w:rPr>
                <w:b/>
                <w:bCs/>
                <w:color w:val="000000"/>
                <w:sz w:val="24"/>
                <w:szCs w:val="24"/>
              </w:rPr>
              <w:t>Table 1. Section 8(e) Submission Unit Burden and Total Burden</w:t>
            </w:r>
          </w:p>
        </w:tc>
      </w:tr>
      <w:tr w:rsidR="000951CF" w:rsidRPr="00B227B2" w14:paraId="01C165FD" w14:textId="77777777" w:rsidTr="00396651">
        <w:trPr>
          <w:trHeight w:val="702"/>
        </w:trPr>
        <w:tc>
          <w:tcPr>
            <w:tcW w:w="2175" w:type="dxa"/>
            <w:tcBorders>
              <w:top w:val="nil"/>
              <w:left w:val="single" w:sz="8" w:space="0" w:color="auto"/>
              <w:bottom w:val="nil"/>
              <w:right w:val="nil"/>
            </w:tcBorders>
            <w:shd w:val="clear" w:color="000000" w:fill="D9D9D9"/>
            <w:vAlign w:val="center"/>
            <w:hideMark/>
          </w:tcPr>
          <w:p w14:paraId="16B4C47D" w14:textId="77777777" w:rsidR="000951CF" w:rsidRPr="00B227B2" w:rsidRDefault="000951CF" w:rsidP="00396651">
            <w:pPr>
              <w:autoSpaceDE/>
              <w:autoSpaceDN/>
              <w:adjustRightInd/>
              <w:jc w:val="center"/>
              <w:rPr>
                <w:b/>
                <w:bCs/>
                <w:color w:val="000000"/>
                <w:sz w:val="18"/>
                <w:szCs w:val="18"/>
              </w:rPr>
            </w:pPr>
            <w:r w:rsidRPr="00B227B2">
              <w:rPr>
                <w:b/>
                <w:bCs/>
                <w:color w:val="000000"/>
                <w:sz w:val="18"/>
                <w:szCs w:val="18"/>
              </w:rPr>
              <w:t>Information Collection(s)</w:t>
            </w:r>
          </w:p>
        </w:tc>
        <w:tc>
          <w:tcPr>
            <w:tcW w:w="2689" w:type="dxa"/>
            <w:gridSpan w:val="3"/>
            <w:tcBorders>
              <w:top w:val="single" w:sz="8" w:space="0" w:color="auto"/>
              <w:left w:val="single" w:sz="8" w:space="0" w:color="auto"/>
              <w:bottom w:val="single" w:sz="8" w:space="0" w:color="auto"/>
              <w:right w:val="single" w:sz="8" w:space="0" w:color="auto"/>
            </w:tcBorders>
            <w:shd w:val="clear" w:color="000000" w:fill="D9D9D9"/>
            <w:vAlign w:val="center"/>
            <w:hideMark/>
          </w:tcPr>
          <w:p w14:paraId="2FE2B4A5" w14:textId="77777777" w:rsidR="000951CF" w:rsidRPr="00B227B2" w:rsidRDefault="000951CF" w:rsidP="00396651">
            <w:pPr>
              <w:autoSpaceDE/>
              <w:autoSpaceDN/>
              <w:adjustRightInd/>
              <w:jc w:val="center"/>
              <w:rPr>
                <w:b/>
                <w:bCs/>
                <w:color w:val="000000"/>
                <w:sz w:val="18"/>
                <w:szCs w:val="18"/>
              </w:rPr>
            </w:pPr>
            <w:r w:rsidRPr="00B227B2">
              <w:rPr>
                <w:b/>
                <w:bCs/>
                <w:color w:val="000000"/>
                <w:sz w:val="18"/>
                <w:szCs w:val="18"/>
              </w:rPr>
              <w:t>Hours per Submission                       (100% e-reporting)</w:t>
            </w:r>
          </w:p>
        </w:tc>
        <w:tc>
          <w:tcPr>
            <w:tcW w:w="816" w:type="dxa"/>
            <w:tcBorders>
              <w:top w:val="nil"/>
              <w:left w:val="nil"/>
              <w:bottom w:val="nil"/>
              <w:right w:val="single" w:sz="8" w:space="0" w:color="auto"/>
            </w:tcBorders>
            <w:shd w:val="clear" w:color="000000" w:fill="D9D9D9"/>
            <w:vAlign w:val="center"/>
            <w:hideMark/>
          </w:tcPr>
          <w:p w14:paraId="2738F17D" w14:textId="77777777" w:rsidR="000951CF" w:rsidRPr="00B227B2" w:rsidRDefault="000951CF" w:rsidP="00396651">
            <w:pPr>
              <w:autoSpaceDE/>
              <w:autoSpaceDN/>
              <w:adjustRightInd/>
              <w:jc w:val="center"/>
              <w:rPr>
                <w:b/>
                <w:bCs/>
                <w:color w:val="000000"/>
                <w:sz w:val="18"/>
                <w:szCs w:val="18"/>
              </w:rPr>
            </w:pPr>
            <w:r w:rsidRPr="00B227B2">
              <w:rPr>
                <w:b/>
                <w:bCs/>
                <w:color w:val="000000"/>
                <w:sz w:val="18"/>
                <w:szCs w:val="18"/>
              </w:rPr>
              <w:t>Unit Burden (Hours)</w:t>
            </w:r>
          </w:p>
        </w:tc>
        <w:tc>
          <w:tcPr>
            <w:tcW w:w="1044" w:type="dxa"/>
            <w:tcBorders>
              <w:top w:val="nil"/>
              <w:left w:val="nil"/>
              <w:bottom w:val="nil"/>
              <w:right w:val="single" w:sz="8" w:space="0" w:color="auto"/>
            </w:tcBorders>
            <w:shd w:val="clear" w:color="000000" w:fill="D9D9D9"/>
            <w:vAlign w:val="center"/>
            <w:hideMark/>
          </w:tcPr>
          <w:p w14:paraId="4E951031" w14:textId="77777777" w:rsidR="000951CF" w:rsidRPr="00B227B2" w:rsidRDefault="000951CF" w:rsidP="00396651">
            <w:pPr>
              <w:autoSpaceDE/>
              <w:autoSpaceDN/>
              <w:adjustRightInd/>
              <w:jc w:val="center"/>
              <w:rPr>
                <w:b/>
                <w:bCs/>
                <w:color w:val="000000"/>
                <w:sz w:val="18"/>
                <w:szCs w:val="18"/>
              </w:rPr>
            </w:pPr>
            <w:r w:rsidRPr="00B227B2">
              <w:rPr>
                <w:b/>
                <w:bCs/>
                <w:color w:val="000000"/>
                <w:sz w:val="18"/>
                <w:szCs w:val="18"/>
              </w:rPr>
              <w:t>Number of Responses</w:t>
            </w:r>
          </w:p>
        </w:tc>
        <w:tc>
          <w:tcPr>
            <w:tcW w:w="1197" w:type="dxa"/>
            <w:tcBorders>
              <w:top w:val="nil"/>
              <w:left w:val="nil"/>
              <w:bottom w:val="nil"/>
              <w:right w:val="single" w:sz="8" w:space="0" w:color="auto"/>
            </w:tcBorders>
            <w:shd w:val="clear" w:color="000000" w:fill="D9D9D9"/>
            <w:vAlign w:val="center"/>
            <w:hideMark/>
          </w:tcPr>
          <w:p w14:paraId="479B0217" w14:textId="77777777" w:rsidR="000951CF" w:rsidRPr="00B227B2" w:rsidRDefault="000951CF" w:rsidP="00396651">
            <w:pPr>
              <w:autoSpaceDE/>
              <w:autoSpaceDN/>
              <w:adjustRightInd/>
              <w:jc w:val="center"/>
              <w:rPr>
                <w:b/>
                <w:bCs/>
                <w:color w:val="000000"/>
                <w:sz w:val="18"/>
                <w:szCs w:val="18"/>
              </w:rPr>
            </w:pPr>
            <w:r w:rsidRPr="00B227B2">
              <w:rPr>
                <w:b/>
                <w:bCs/>
                <w:color w:val="000000"/>
                <w:sz w:val="18"/>
                <w:szCs w:val="18"/>
              </w:rPr>
              <w:t>Number of Respondents</w:t>
            </w:r>
          </w:p>
        </w:tc>
        <w:tc>
          <w:tcPr>
            <w:tcW w:w="886" w:type="dxa"/>
            <w:tcBorders>
              <w:top w:val="nil"/>
              <w:left w:val="nil"/>
              <w:bottom w:val="nil"/>
              <w:right w:val="single" w:sz="8" w:space="0" w:color="auto"/>
            </w:tcBorders>
            <w:shd w:val="clear" w:color="000000" w:fill="D9D9D9"/>
            <w:vAlign w:val="center"/>
            <w:hideMark/>
          </w:tcPr>
          <w:p w14:paraId="20AC017A" w14:textId="77777777" w:rsidR="000951CF" w:rsidRPr="00B227B2" w:rsidRDefault="000951CF" w:rsidP="00396651">
            <w:pPr>
              <w:autoSpaceDE/>
              <w:autoSpaceDN/>
              <w:adjustRightInd/>
              <w:jc w:val="center"/>
              <w:rPr>
                <w:b/>
                <w:bCs/>
                <w:color w:val="000000"/>
                <w:sz w:val="18"/>
                <w:szCs w:val="18"/>
              </w:rPr>
            </w:pPr>
            <w:r>
              <w:rPr>
                <w:b/>
                <w:bCs/>
                <w:color w:val="000000"/>
                <w:sz w:val="18"/>
                <w:szCs w:val="18"/>
              </w:rPr>
              <w:t>A</w:t>
            </w:r>
            <w:r w:rsidRPr="00B227B2">
              <w:rPr>
                <w:b/>
                <w:bCs/>
                <w:color w:val="000000"/>
                <w:sz w:val="18"/>
                <w:szCs w:val="18"/>
              </w:rPr>
              <w:t>nnual Burden</w:t>
            </w:r>
          </w:p>
        </w:tc>
      </w:tr>
      <w:tr w:rsidR="000951CF" w:rsidRPr="00B227B2" w14:paraId="6685F12D" w14:textId="77777777" w:rsidTr="00396651">
        <w:trPr>
          <w:trHeight w:val="289"/>
        </w:trPr>
        <w:tc>
          <w:tcPr>
            <w:tcW w:w="2175" w:type="dxa"/>
            <w:tcBorders>
              <w:top w:val="nil"/>
              <w:left w:val="single" w:sz="8" w:space="0" w:color="auto"/>
              <w:bottom w:val="single" w:sz="8" w:space="0" w:color="auto"/>
              <w:right w:val="single" w:sz="8" w:space="0" w:color="auto"/>
            </w:tcBorders>
            <w:shd w:val="clear" w:color="000000" w:fill="D9D9D9"/>
            <w:noWrap/>
            <w:vAlign w:val="bottom"/>
            <w:hideMark/>
          </w:tcPr>
          <w:p w14:paraId="73724504" w14:textId="77777777" w:rsidR="000951CF" w:rsidRPr="00B227B2" w:rsidRDefault="000951CF" w:rsidP="00396651">
            <w:pPr>
              <w:autoSpaceDE/>
              <w:autoSpaceDN/>
              <w:adjustRightInd/>
              <w:rPr>
                <w:b/>
                <w:bCs/>
                <w:color w:val="000000"/>
                <w:sz w:val="22"/>
                <w:szCs w:val="22"/>
              </w:rPr>
            </w:pPr>
            <w:r w:rsidRPr="00B227B2">
              <w:rPr>
                <w:b/>
                <w:bCs/>
                <w:color w:val="000000"/>
                <w:sz w:val="22"/>
                <w:szCs w:val="22"/>
              </w:rPr>
              <w:t> </w:t>
            </w:r>
          </w:p>
        </w:tc>
        <w:tc>
          <w:tcPr>
            <w:tcW w:w="897" w:type="dxa"/>
            <w:tcBorders>
              <w:top w:val="nil"/>
              <w:left w:val="nil"/>
              <w:bottom w:val="single" w:sz="8" w:space="0" w:color="auto"/>
              <w:right w:val="single" w:sz="8" w:space="0" w:color="auto"/>
            </w:tcBorders>
            <w:shd w:val="clear" w:color="000000" w:fill="D9D9D9"/>
            <w:noWrap/>
            <w:vAlign w:val="bottom"/>
            <w:hideMark/>
          </w:tcPr>
          <w:p w14:paraId="01CEADCF" w14:textId="77777777" w:rsidR="000951CF" w:rsidRPr="00B227B2" w:rsidRDefault="000951CF" w:rsidP="00396651">
            <w:pPr>
              <w:autoSpaceDE/>
              <w:autoSpaceDN/>
              <w:adjustRightInd/>
              <w:rPr>
                <w:b/>
                <w:bCs/>
                <w:color w:val="000000"/>
                <w:sz w:val="18"/>
                <w:szCs w:val="18"/>
              </w:rPr>
            </w:pPr>
            <w:r w:rsidRPr="00B227B2">
              <w:rPr>
                <w:b/>
                <w:bCs/>
                <w:color w:val="000000"/>
                <w:sz w:val="18"/>
                <w:szCs w:val="18"/>
              </w:rPr>
              <w:t>Managerial</w:t>
            </w:r>
          </w:p>
        </w:tc>
        <w:tc>
          <w:tcPr>
            <w:tcW w:w="966" w:type="dxa"/>
            <w:tcBorders>
              <w:top w:val="nil"/>
              <w:left w:val="nil"/>
              <w:bottom w:val="single" w:sz="8" w:space="0" w:color="auto"/>
              <w:right w:val="single" w:sz="8" w:space="0" w:color="auto"/>
            </w:tcBorders>
            <w:shd w:val="clear" w:color="000000" w:fill="D9D9D9"/>
            <w:noWrap/>
            <w:vAlign w:val="bottom"/>
            <w:hideMark/>
          </w:tcPr>
          <w:p w14:paraId="70EE9246" w14:textId="77777777" w:rsidR="000951CF" w:rsidRPr="00B227B2" w:rsidRDefault="000951CF" w:rsidP="00396651">
            <w:pPr>
              <w:autoSpaceDE/>
              <w:autoSpaceDN/>
              <w:adjustRightInd/>
              <w:rPr>
                <w:b/>
                <w:bCs/>
                <w:color w:val="000000"/>
                <w:sz w:val="18"/>
                <w:szCs w:val="18"/>
              </w:rPr>
            </w:pPr>
            <w:r w:rsidRPr="00B227B2">
              <w:rPr>
                <w:b/>
                <w:bCs/>
                <w:color w:val="000000"/>
                <w:sz w:val="18"/>
                <w:szCs w:val="18"/>
              </w:rPr>
              <w:t>Technical</w:t>
            </w:r>
          </w:p>
        </w:tc>
        <w:tc>
          <w:tcPr>
            <w:tcW w:w="826" w:type="dxa"/>
            <w:tcBorders>
              <w:top w:val="nil"/>
              <w:left w:val="nil"/>
              <w:bottom w:val="single" w:sz="8" w:space="0" w:color="auto"/>
              <w:right w:val="single" w:sz="8" w:space="0" w:color="auto"/>
            </w:tcBorders>
            <w:shd w:val="clear" w:color="000000" w:fill="D9D9D9"/>
            <w:noWrap/>
            <w:vAlign w:val="bottom"/>
            <w:hideMark/>
          </w:tcPr>
          <w:p w14:paraId="0B6E6A7E" w14:textId="77777777" w:rsidR="000951CF" w:rsidRPr="00B227B2" w:rsidRDefault="000951CF" w:rsidP="00396651">
            <w:pPr>
              <w:autoSpaceDE/>
              <w:autoSpaceDN/>
              <w:adjustRightInd/>
              <w:rPr>
                <w:b/>
                <w:bCs/>
                <w:color w:val="000000"/>
                <w:sz w:val="18"/>
                <w:szCs w:val="18"/>
              </w:rPr>
            </w:pPr>
            <w:r w:rsidRPr="00B227B2">
              <w:rPr>
                <w:b/>
                <w:bCs/>
                <w:color w:val="000000"/>
                <w:sz w:val="18"/>
                <w:szCs w:val="18"/>
              </w:rPr>
              <w:t>Clerical</w:t>
            </w:r>
          </w:p>
        </w:tc>
        <w:tc>
          <w:tcPr>
            <w:tcW w:w="816" w:type="dxa"/>
            <w:tcBorders>
              <w:top w:val="nil"/>
              <w:left w:val="nil"/>
              <w:bottom w:val="single" w:sz="8" w:space="0" w:color="auto"/>
              <w:right w:val="nil"/>
            </w:tcBorders>
            <w:shd w:val="clear" w:color="000000" w:fill="D9D9D9"/>
            <w:noWrap/>
            <w:vAlign w:val="bottom"/>
            <w:hideMark/>
          </w:tcPr>
          <w:p w14:paraId="25F80CE9" w14:textId="77777777" w:rsidR="000951CF" w:rsidRPr="00B227B2" w:rsidRDefault="000951CF" w:rsidP="00396651">
            <w:pPr>
              <w:autoSpaceDE/>
              <w:autoSpaceDN/>
              <w:adjustRightInd/>
              <w:rPr>
                <w:b/>
                <w:bCs/>
                <w:color w:val="000000"/>
                <w:sz w:val="22"/>
                <w:szCs w:val="22"/>
              </w:rPr>
            </w:pPr>
            <w:r w:rsidRPr="00B227B2">
              <w:rPr>
                <w:b/>
                <w:bCs/>
                <w:color w:val="000000"/>
                <w:sz w:val="22"/>
                <w:szCs w:val="22"/>
              </w:rPr>
              <w:t> </w:t>
            </w:r>
          </w:p>
        </w:tc>
        <w:tc>
          <w:tcPr>
            <w:tcW w:w="1044" w:type="dxa"/>
            <w:tcBorders>
              <w:top w:val="nil"/>
              <w:left w:val="single" w:sz="8" w:space="0" w:color="auto"/>
              <w:bottom w:val="single" w:sz="8" w:space="0" w:color="auto"/>
              <w:right w:val="single" w:sz="8" w:space="0" w:color="auto"/>
            </w:tcBorders>
            <w:shd w:val="clear" w:color="000000" w:fill="D9D9D9"/>
            <w:noWrap/>
            <w:vAlign w:val="bottom"/>
            <w:hideMark/>
          </w:tcPr>
          <w:p w14:paraId="381415C5" w14:textId="77777777" w:rsidR="000951CF" w:rsidRPr="00B227B2" w:rsidRDefault="000951CF" w:rsidP="00396651">
            <w:pPr>
              <w:autoSpaceDE/>
              <w:autoSpaceDN/>
              <w:adjustRightInd/>
              <w:rPr>
                <w:b/>
                <w:bCs/>
                <w:color w:val="000000"/>
                <w:sz w:val="22"/>
                <w:szCs w:val="22"/>
              </w:rPr>
            </w:pPr>
            <w:r w:rsidRPr="00B227B2">
              <w:rPr>
                <w:b/>
                <w:bCs/>
                <w:color w:val="000000"/>
                <w:sz w:val="22"/>
                <w:szCs w:val="22"/>
              </w:rPr>
              <w:t> </w:t>
            </w:r>
          </w:p>
        </w:tc>
        <w:tc>
          <w:tcPr>
            <w:tcW w:w="1197" w:type="dxa"/>
            <w:tcBorders>
              <w:top w:val="nil"/>
              <w:left w:val="nil"/>
              <w:bottom w:val="single" w:sz="8" w:space="0" w:color="auto"/>
              <w:right w:val="single" w:sz="8" w:space="0" w:color="auto"/>
            </w:tcBorders>
            <w:shd w:val="clear" w:color="000000" w:fill="D9D9D9"/>
            <w:noWrap/>
            <w:vAlign w:val="bottom"/>
            <w:hideMark/>
          </w:tcPr>
          <w:p w14:paraId="7593F936" w14:textId="77777777" w:rsidR="000951CF" w:rsidRPr="00B227B2" w:rsidRDefault="000951CF" w:rsidP="00396651">
            <w:pPr>
              <w:autoSpaceDE/>
              <w:autoSpaceDN/>
              <w:adjustRightInd/>
              <w:rPr>
                <w:b/>
                <w:bCs/>
                <w:color w:val="000000"/>
                <w:sz w:val="22"/>
                <w:szCs w:val="22"/>
              </w:rPr>
            </w:pPr>
            <w:r w:rsidRPr="00B227B2">
              <w:rPr>
                <w:b/>
                <w:bCs/>
                <w:color w:val="000000"/>
                <w:sz w:val="22"/>
                <w:szCs w:val="22"/>
              </w:rPr>
              <w:t> </w:t>
            </w:r>
          </w:p>
        </w:tc>
        <w:tc>
          <w:tcPr>
            <w:tcW w:w="886" w:type="dxa"/>
            <w:tcBorders>
              <w:top w:val="nil"/>
              <w:left w:val="nil"/>
              <w:bottom w:val="single" w:sz="8" w:space="0" w:color="auto"/>
              <w:right w:val="single" w:sz="8" w:space="0" w:color="auto"/>
            </w:tcBorders>
            <w:shd w:val="clear" w:color="000000" w:fill="D9D9D9"/>
            <w:noWrap/>
            <w:vAlign w:val="bottom"/>
            <w:hideMark/>
          </w:tcPr>
          <w:p w14:paraId="48CC73DE" w14:textId="77777777" w:rsidR="000951CF" w:rsidRPr="00B227B2" w:rsidRDefault="000951CF" w:rsidP="00396651">
            <w:pPr>
              <w:autoSpaceDE/>
              <w:autoSpaceDN/>
              <w:adjustRightInd/>
              <w:rPr>
                <w:b/>
                <w:bCs/>
                <w:color w:val="000000"/>
                <w:sz w:val="22"/>
                <w:szCs w:val="22"/>
              </w:rPr>
            </w:pPr>
            <w:r w:rsidRPr="00B227B2">
              <w:rPr>
                <w:b/>
                <w:bCs/>
                <w:color w:val="000000"/>
                <w:sz w:val="22"/>
                <w:szCs w:val="22"/>
              </w:rPr>
              <w:t> </w:t>
            </w:r>
          </w:p>
        </w:tc>
      </w:tr>
      <w:tr w:rsidR="000951CF" w:rsidRPr="00B227B2" w14:paraId="49FEE006" w14:textId="77777777" w:rsidTr="00396651">
        <w:trPr>
          <w:trHeight w:val="312"/>
        </w:trPr>
        <w:tc>
          <w:tcPr>
            <w:tcW w:w="2175" w:type="dxa"/>
            <w:tcBorders>
              <w:top w:val="nil"/>
              <w:left w:val="single" w:sz="8" w:space="0" w:color="auto"/>
              <w:bottom w:val="single" w:sz="4" w:space="0" w:color="auto"/>
              <w:right w:val="single" w:sz="4" w:space="0" w:color="auto"/>
            </w:tcBorders>
            <w:shd w:val="clear" w:color="auto" w:fill="auto"/>
            <w:noWrap/>
            <w:vAlign w:val="bottom"/>
            <w:hideMark/>
          </w:tcPr>
          <w:p w14:paraId="3B8229E8" w14:textId="77777777" w:rsidR="000951CF" w:rsidRPr="00B227B2" w:rsidRDefault="000951CF" w:rsidP="00396651">
            <w:pPr>
              <w:autoSpaceDE/>
              <w:autoSpaceDN/>
              <w:adjustRightInd/>
              <w:rPr>
                <w:i/>
                <w:iCs/>
                <w:color w:val="000000"/>
              </w:rPr>
            </w:pPr>
            <w:r w:rsidRPr="00B227B2">
              <w:rPr>
                <w:i/>
                <w:iCs/>
                <w:color w:val="000000"/>
              </w:rPr>
              <w:t>Section 8(e) – Initial</w:t>
            </w:r>
          </w:p>
        </w:tc>
        <w:tc>
          <w:tcPr>
            <w:tcW w:w="897" w:type="dxa"/>
            <w:tcBorders>
              <w:top w:val="nil"/>
              <w:left w:val="nil"/>
              <w:bottom w:val="single" w:sz="4" w:space="0" w:color="auto"/>
              <w:right w:val="single" w:sz="4" w:space="0" w:color="auto"/>
            </w:tcBorders>
            <w:shd w:val="clear" w:color="auto" w:fill="auto"/>
            <w:noWrap/>
            <w:vAlign w:val="bottom"/>
            <w:hideMark/>
          </w:tcPr>
          <w:p w14:paraId="0B8E8BF7" w14:textId="77777777" w:rsidR="000951CF" w:rsidRPr="00B227B2" w:rsidRDefault="000951CF" w:rsidP="00396651">
            <w:pPr>
              <w:autoSpaceDE/>
              <w:autoSpaceDN/>
              <w:adjustRightInd/>
              <w:jc w:val="right"/>
              <w:rPr>
                <w:color w:val="000000"/>
                <w:sz w:val="22"/>
                <w:szCs w:val="22"/>
              </w:rPr>
            </w:pPr>
            <w:r w:rsidRPr="00B227B2">
              <w:rPr>
                <w:color w:val="000000"/>
                <w:sz w:val="22"/>
                <w:szCs w:val="22"/>
              </w:rPr>
              <w:t>49</w:t>
            </w:r>
          </w:p>
        </w:tc>
        <w:tc>
          <w:tcPr>
            <w:tcW w:w="966" w:type="dxa"/>
            <w:tcBorders>
              <w:top w:val="nil"/>
              <w:left w:val="nil"/>
              <w:bottom w:val="single" w:sz="4" w:space="0" w:color="auto"/>
              <w:right w:val="single" w:sz="4" w:space="0" w:color="auto"/>
            </w:tcBorders>
            <w:shd w:val="clear" w:color="auto" w:fill="auto"/>
            <w:noWrap/>
            <w:vAlign w:val="bottom"/>
            <w:hideMark/>
          </w:tcPr>
          <w:p w14:paraId="769C3EAC" w14:textId="77777777" w:rsidR="000951CF" w:rsidRPr="00B227B2" w:rsidRDefault="000951CF" w:rsidP="00396651">
            <w:pPr>
              <w:autoSpaceDE/>
              <w:autoSpaceDN/>
              <w:adjustRightInd/>
              <w:jc w:val="right"/>
              <w:rPr>
                <w:color w:val="000000"/>
                <w:sz w:val="22"/>
                <w:szCs w:val="22"/>
              </w:rPr>
            </w:pPr>
            <w:r w:rsidRPr="00B227B2">
              <w:rPr>
                <w:color w:val="000000"/>
                <w:sz w:val="22"/>
                <w:szCs w:val="22"/>
              </w:rPr>
              <w:t>0</w:t>
            </w:r>
          </w:p>
        </w:tc>
        <w:tc>
          <w:tcPr>
            <w:tcW w:w="826" w:type="dxa"/>
            <w:tcBorders>
              <w:top w:val="nil"/>
              <w:left w:val="nil"/>
              <w:bottom w:val="single" w:sz="4" w:space="0" w:color="auto"/>
              <w:right w:val="single" w:sz="4" w:space="0" w:color="auto"/>
            </w:tcBorders>
            <w:shd w:val="clear" w:color="auto" w:fill="auto"/>
            <w:noWrap/>
            <w:vAlign w:val="bottom"/>
            <w:hideMark/>
          </w:tcPr>
          <w:p w14:paraId="631D324F" w14:textId="77777777" w:rsidR="000951CF" w:rsidRPr="00B227B2" w:rsidRDefault="000951CF" w:rsidP="00396651">
            <w:pPr>
              <w:autoSpaceDE/>
              <w:autoSpaceDN/>
              <w:adjustRightInd/>
              <w:jc w:val="right"/>
              <w:rPr>
                <w:color w:val="000000"/>
                <w:sz w:val="22"/>
                <w:szCs w:val="22"/>
              </w:rPr>
            </w:pPr>
            <w:r w:rsidRPr="00B227B2">
              <w:rPr>
                <w:color w:val="000000"/>
                <w:sz w:val="22"/>
                <w:szCs w:val="22"/>
              </w:rPr>
              <w:t>1.06</w:t>
            </w:r>
          </w:p>
        </w:tc>
        <w:tc>
          <w:tcPr>
            <w:tcW w:w="816" w:type="dxa"/>
            <w:tcBorders>
              <w:top w:val="nil"/>
              <w:left w:val="nil"/>
              <w:bottom w:val="nil"/>
              <w:right w:val="single" w:sz="8" w:space="0" w:color="auto"/>
            </w:tcBorders>
            <w:shd w:val="clear" w:color="auto" w:fill="auto"/>
            <w:noWrap/>
            <w:vAlign w:val="bottom"/>
            <w:hideMark/>
          </w:tcPr>
          <w:p w14:paraId="721FFB34" w14:textId="77777777" w:rsidR="000951CF" w:rsidRPr="00B227B2" w:rsidRDefault="000951CF" w:rsidP="00396651">
            <w:pPr>
              <w:autoSpaceDE/>
              <w:autoSpaceDN/>
              <w:adjustRightInd/>
              <w:jc w:val="right"/>
              <w:rPr>
                <w:color w:val="000000"/>
                <w:sz w:val="22"/>
                <w:szCs w:val="22"/>
              </w:rPr>
            </w:pPr>
            <w:r w:rsidRPr="00B227B2">
              <w:rPr>
                <w:color w:val="000000"/>
                <w:sz w:val="22"/>
                <w:szCs w:val="22"/>
              </w:rPr>
              <w:t>50.06</w:t>
            </w:r>
          </w:p>
        </w:tc>
        <w:tc>
          <w:tcPr>
            <w:tcW w:w="1044" w:type="dxa"/>
            <w:tcBorders>
              <w:top w:val="nil"/>
              <w:left w:val="nil"/>
              <w:bottom w:val="single" w:sz="4" w:space="0" w:color="auto"/>
              <w:right w:val="single" w:sz="4" w:space="0" w:color="auto"/>
            </w:tcBorders>
            <w:shd w:val="clear" w:color="auto" w:fill="auto"/>
            <w:noWrap/>
            <w:vAlign w:val="bottom"/>
            <w:hideMark/>
          </w:tcPr>
          <w:p w14:paraId="4FF4F96B" w14:textId="77777777" w:rsidR="000951CF" w:rsidRPr="00B227B2" w:rsidRDefault="000951CF" w:rsidP="00396651">
            <w:pPr>
              <w:autoSpaceDE/>
              <w:autoSpaceDN/>
              <w:adjustRightInd/>
              <w:jc w:val="right"/>
              <w:rPr>
                <w:color w:val="000000"/>
                <w:sz w:val="22"/>
                <w:szCs w:val="22"/>
              </w:rPr>
            </w:pPr>
            <w:r w:rsidRPr="00B227B2">
              <w:rPr>
                <w:color w:val="000000"/>
                <w:sz w:val="22"/>
                <w:szCs w:val="22"/>
              </w:rPr>
              <w:t>408</w:t>
            </w:r>
          </w:p>
        </w:tc>
        <w:tc>
          <w:tcPr>
            <w:tcW w:w="1197" w:type="dxa"/>
            <w:tcBorders>
              <w:top w:val="nil"/>
              <w:left w:val="nil"/>
              <w:bottom w:val="single" w:sz="4" w:space="0" w:color="auto"/>
              <w:right w:val="nil"/>
            </w:tcBorders>
            <w:shd w:val="clear" w:color="auto" w:fill="auto"/>
            <w:noWrap/>
            <w:vAlign w:val="bottom"/>
            <w:hideMark/>
          </w:tcPr>
          <w:p w14:paraId="04115DB5" w14:textId="77777777" w:rsidR="000951CF" w:rsidRPr="00B227B2" w:rsidRDefault="000951CF" w:rsidP="00396651">
            <w:pPr>
              <w:autoSpaceDE/>
              <w:autoSpaceDN/>
              <w:adjustRightInd/>
              <w:jc w:val="right"/>
              <w:rPr>
                <w:color w:val="000000"/>
                <w:sz w:val="22"/>
                <w:szCs w:val="22"/>
              </w:rPr>
            </w:pPr>
            <w:r w:rsidRPr="00B227B2">
              <w:rPr>
                <w:color w:val="000000"/>
                <w:sz w:val="22"/>
                <w:szCs w:val="22"/>
              </w:rPr>
              <w:t>59</w:t>
            </w:r>
          </w:p>
        </w:tc>
        <w:tc>
          <w:tcPr>
            <w:tcW w:w="886" w:type="dxa"/>
            <w:tcBorders>
              <w:top w:val="nil"/>
              <w:left w:val="single" w:sz="8" w:space="0" w:color="auto"/>
              <w:bottom w:val="nil"/>
              <w:right w:val="single" w:sz="8" w:space="0" w:color="auto"/>
            </w:tcBorders>
            <w:shd w:val="clear" w:color="auto" w:fill="auto"/>
            <w:noWrap/>
            <w:vAlign w:val="bottom"/>
            <w:hideMark/>
          </w:tcPr>
          <w:p w14:paraId="2944A872" w14:textId="77777777" w:rsidR="000951CF" w:rsidRPr="00B227B2" w:rsidRDefault="000951CF" w:rsidP="00396651">
            <w:pPr>
              <w:autoSpaceDE/>
              <w:autoSpaceDN/>
              <w:adjustRightInd/>
              <w:jc w:val="right"/>
              <w:rPr>
                <w:color w:val="000000"/>
                <w:sz w:val="22"/>
                <w:szCs w:val="22"/>
              </w:rPr>
            </w:pPr>
            <w:r w:rsidRPr="00B227B2">
              <w:rPr>
                <w:color w:val="000000"/>
                <w:sz w:val="22"/>
                <w:szCs w:val="22"/>
              </w:rPr>
              <w:t>20,441</w:t>
            </w:r>
          </w:p>
        </w:tc>
      </w:tr>
      <w:tr w:rsidR="000951CF" w:rsidRPr="00B227B2" w14:paraId="3E1375EE" w14:textId="77777777" w:rsidTr="00396651">
        <w:trPr>
          <w:trHeight w:val="795"/>
        </w:trPr>
        <w:tc>
          <w:tcPr>
            <w:tcW w:w="2175" w:type="dxa"/>
            <w:tcBorders>
              <w:top w:val="nil"/>
              <w:left w:val="single" w:sz="8" w:space="0" w:color="auto"/>
              <w:bottom w:val="single" w:sz="8" w:space="0" w:color="auto"/>
              <w:right w:val="single" w:sz="4" w:space="0" w:color="auto"/>
            </w:tcBorders>
            <w:shd w:val="clear" w:color="auto" w:fill="auto"/>
            <w:vAlign w:val="bottom"/>
            <w:hideMark/>
          </w:tcPr>
          <w:p w14:paraId="51E53260" w14:textId="77777777" w:rsidR="000951CF" w:rsidRPr="00B227B2" w:rsidRDefault="000951CF" w:rsidP="00396651">
            <w:pPr>
              <w:autoSpaceDE/>
              <w:autoSpaceDN/>
              <w:adjustRightInd/>
              <w:rPr>
                <w:i/>
                <w:iCs/>
                <w:color w:val="000000"/>
              </w:rPr>
            </w:pPr>
            <w:r w:rsidRPr="00B227B2">
              <w:rPr>
                <w:i/>
                <w:iCs/>
                <w:color w:val="000000"/>
              </w:rPr>
              <w:t>Section 8(e) – Follow-up/Supplemental</w:t>
            </w:r>
          </w:p>
        </w:tc>
        <w:tc>
          <w:tcPr>
            <w:tcW w:w="897" w:type="dxa"/>
            <w:tcBorders>
              <w:top w:val="nil"/>
              <w:left w:val="nil"/>
              <w:bottom w:val="single" w:sz="8" w:space="0" w:color="auto"/>
              <w:right w:val="single" w:sz="4" w:space="0" w:color="auto"/>
            </w:tcBorders>
            <w:shd w:val="clear" w:color="auto" w:fill="auto"/>
            <w:noWrap/>
            <w:vAlign w:val="bottom"/>
            <w:hideMark/>
          </w:tcPr>
          <w:p w14:paraId="60CA71CD" w14:textId="77777777" w:rsidR="000951CF" w:rsidRPr="00B227B2" w:rsidRDefault="000951CF" w:rsidP="00396651">
            <w:pPr>
              <w:autoSpaceDE/>
              <w:autoSpaceDN/>
              <w:adjustRightInd/>
              <w:jc w:val="right"/>
              <w:rPr>
                <w:color w:val="000000"/>
                <w:sz w:val="22"/>
                <w:szCs w:val="22"/>
              </w:rPr>
            </w:pPr>
            <w:r w:rsidRPr="00B227B2">
              <w:rPr>
                <w:color w:val="000000"/>
                <w:sz w:val="22"/>
                <w:szCs w:val="22"/>
              </w:rPr>
              <w:t>4</w:t>
            </w:r>
          </w:p>
        </w:tc>
        <w:tc>
          <w:tcPr>
            <w:tcW w:w="966" w:type="dxa"/>
            <w:tcBorders>
              <w:top w:val="nil"/>
              <w:left w:val="nil"/>
              <w:bottom w:val="single" w:sz="8" w:space="0" w:color="auto"/>
              <w:right w:val="single" w:sz="4" w:space="0" w:color="auto"/>
            </w:tcBorders>
            <w:shd w:val="clear" w:color="auto" w:fill="auto"/>
            <w:noWrap/>
            <w:vAlign w:val="bottom"/>
            <w:hideMark/>
          </w:tcPr>
          <w:p w14:paraId="517CB903" w14:textId="77777777" w:rsidR="000951CF" w:rsidRPr="00B227B2" w:rsidRDefault="000951CF" w:rsidP="00396651">
            <w:pPr>
              <w:autoSpaceDE/>
              <w:autoSpaceDN/>
              <w:adjustRightInd/>
              <w:jc w:val="right"/>
              <w:rPr>
                <w:color w:val="000000"/>
                <w:sz w:val="22"/>
                <w:szCs w:val="22"/>
              </w:rPr>
            </w:pPr>
            <w:r w:rsidRPr="00B227B2">
              <w:rPr>
                <w:color w:val="000000"/>
                <w:sz w:val="22"/>
                <w:szCs w:val="22"/>
              </w:rPr>
              <w:t>0</w:t>
            </w:r>
          </w:p>
        </w:tc>
        <w:tc>
          <w:tcPr>
            <w:tcW w:w="826" w:type="dxa"/>
            <w:tcBorders>
              <w:top w:val="nil"/>
              <w:left w:val="nil"/>
              <w:bottom w:val="single" w:sz="8" w:space="0" w:color="auto"/>
              <w:right w:val="single" w:sz="4" w:space="0" w:color="auto"/>
            </w:tcBorders>
            <w:shd w:val="clear" w:color="auto" w:fill="auto"/>
            <w:noWrap/>
            <w:vAlign w:val="bottom"/>
            <w:hideMark/>
          </w:tcPr>
          <w:p w14:paraId="38D28560" w14:textId="77777777" w:rsidR="000951CF" w:rsidRPr="00B227B2" w:rsidRDefault="000951CF" w:rsidP="00396651">
            <w:pPr>
              <w:autoSpaceDE/>
              <w:autoSpaceDN/>
              <w:adjustRightInd/>
              <w:jc w:val="right"/>
              <w:rPr>
                <w:color w:val="000000"/>
                <w:sz w:val="22"/>
                <w:szCs w:val="22"/>
              </w:rPr>
            </w:pPr>
            <w:r w:rsidRPr="00B227B2">
              <w:rPr>
                <w:color w:val="000000"/>
                <w:sz w:val="22"/>
                <w:szCs w:val="22"/>
              </w:rPr>
              <w:t>0.06</w:t>
            </w:r>
          </w:p>
        </w:tc>
        <w:tc>
          <w:tcPr>
            <w:tcW w:w="816" w:type="dxa"/>
            <w:tcBorders>
              <w:top w:val="single" w:sz="4" w:space="0" w:color="auto"/>
              <w:left w:val="nil"/>
              <w:bottom w:val="single" w:sz="8" w:space="0" w:color="auto"/>
              <w:right w:val="single" w:sz="8" w:space="0" w:color="auto"/>
            </w:tcBorders>
            <w:shd w:val="clear" w:color="auto" w:fill="auto"/>
            <w:noWrap/>
            <w:vAlign w:val="bottom"/>
            <w:hideMark/>
          </w:tcPr>
          <w:p w14:paraId="7F53932E" w14:textId="77777777" w:rsidR="000951CF" w:rsidRPr="00B227B2" w:rsidRDefault="000951CF" w:rsidP="00396651">
            <w:pPr>
              <w:autoSpaceDE/>
              <w:autoSpaceDN/>
              <w:adjustRightInd/>
              <w:jc w:val="right"/>
              <w:rPr>
                <w:color w:val="000000"/>
                <w:sz w:val="22"/>
                <w:szCs w:val="22"/>
              </w:rPr>
            </w:pPr>
            <w:r w:rsidRPr="00B227B2">
              <w:rPr>
                <w:color w:val="000000"/>
                <w:sz w:val="22"/>
                <w:szCs w:val="22"/>
              </w:rPr>
              <w:t>4.06</w:t>
            </w:r>
          </w:p>
        </w:tc>
        <w:tc>
          <w:tcPr>
            <w:tcW w:w="1044" w:type="dxa"/>
            <w:tcBorders>
              <w:top w:val="nil"/>
              <w:left w:val="nil"/>
              <w:bottom w:val="single" w:sz="8" w:space="0" w:color="auto"/>
              <w:right w:val="single" w:sz="4" w:space="0" w:color="auto"/>
            </w:tcBorders>
            <w:shd w:val="clear" w:color="auto" w:fill="auto"/>
            <w:noWrap/>
            <w:vAlign w:val="bottom"/>
            <w:hideMark/>
          </w:tcPr>
          <w:p w14:paraId="44424DB6" w14:textId="77777777" w:rsidR="000951CF" w:rsidRPr="00B227B2" w:rsidRDefault="000951CF" w:rsidP="00396651">
            <w:pPr>
              <w:autoSpaceDE/>
              <w:autoSpaceDN/>
              <w:adjustRightInd/>
              <w:jc w:val="right"/>
              <w:rPr>
                <w:color w:val="000000"/>
                <w:sz w:val="22"/>
                <w:szCs w:val="22"/>
              </w:rPr>
            </w:pPr>
            <w:r w:rsidRPr="00B227B2">
              <w:rPr>
                <w:color w:val="000000"/>
                <w:sz w:val="22"/>
                <w:szCs w:val="22"/>
              </w:rPr>
              <w:t>86</w:t>
            </w:r>
          </w:p>
        </w:tc>
        <w:tc>
          <w:tcPr>
            <w:tcW w:w="1197" w:type="dxa"/>
            <w:tcBorders>
              <w:top w:val="nil"/>
              <w:left w:val="nil"/>
              <w:bottom w:val="single" w:sz="8" w:space="0" w:color="auto"/>
              <w:right w:val="nil"/>
            </w:tcBorders>
            <w:shd w:val="clear" w:color="auto" w:fill="auto"/>
            <w:noWrap/>
            <w:vAlign w:val="bottom"/>
            <w:hideMark/>
          </w:tcPr>
          <w:p w14:paraId="3EAC1EA7" w14:textId="77777777" w:rsidR="000951CF" w:rsidRPr="00B227B2" w:rsidRDefault="000951CF" w:rsidP="00396651">
            <w:pPr>
              <w:autoSpaceDE/>
              <w:autoSpaceDN/>
              <w:adjustRightInd/>
              <w:jc w:val="right"/>
              <w:rPr>
                <w:color w:val="000000"/>
                <w:sz w:val="22"/>
                <w:szCs w:val="22"/>
              </w:rPr>
            </w:pPr>
            <w:r w:rsidRPr="00B227B2">
              <w:rPr>
                <w:color w:val="000000"/>
                <w:sz w:val="22"/>
                <w:szCs w:val="22"/>
              </w:rPr>
              <w:t>19</w:t>
            </w:r>
          </w:p>
        </w:tc>
        <w:tc>
          <w:tcPr>
            <w:tcW w:w="886"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6C20B6D8" w14:textId="77777777" w:rsidR="000951CF" w:rsidRPr="00B227B2" w:rsidRDefault="000951CF" w:rsidP="00396651">
            <w:pPr>
              <w:autoSpaceDE/>
              <w:autoSpaceDN/>
              <w:adjustRightInd/>
              <w:jc w:val="right"/>
              <w:rPr>
                <w:color w:val="000000"/>
                <w:sz w:val="22"/>
                <w:szCs w:val="22"/>
              </w:rPr>
            </w:pPr>
            <w:r w:rsidRPr="00B227B2">
              <w:rPr>
                <w:color w:val="000000"/>
                <w:sz w:val="22"/>
                <w:szCs w:val="22"/>
              </w:rPr>
              <w:t>348</w:t>
            </w:r>
          </w:p>
        </w:tc>
      </w:tr>
      <w:tr w:rsidR="000951CF" w:rsidRPr="00B227B2" w14:paraId="352357D2" w14:textId="77777777" w:rsidTr="00396651">
        <w:trPr>
          <w:trHeight w:val="323"/>
        </w:trPr>
        <w:tc>
          <w:tcPr>
            <w:tcW w:w="2175" w:type="dxa"/>
            <w:tcBorders>
              <w:top w:val="nil"/>
              <w:left w:val="single" w:sz="8" w:space="0" w:color="auto"/>
              <w:bottom w:val="single" w:sz="8" w:space="0" w:color="auto"/>
              <w:right w:val="nil"/>
            </w:tcBorders>
            <w:shd w:val="clear" w:color="auto" w:fill="auto"/>
            <w:noWrap/>
            <w:vAlign w:val="bottom"/>
            <w:hideMark/>
          </w:tcPr>
          <w:p w14:paraId="0B9FEFE0" w14:textId="77777777" w:rsidR="000951CF" w:rsidRPr="00B227B2" w:rsidRDefault="000951CF" w:rsidP="00396651">
            <w:pPr>
              <w:autoSpaceDE/>
              <w:autoSpaceDN/>
              <w:adjustRightInd/>
              <w:rPr>
                <w:color w:val="000000"/>
                <w:sz w:val="22"/>
                <w:szCs w:val="22"/>
              </w:rPr>
            </w:pPr>
            <w:r w:rsidRPr="00B227B2">
              <w:rPr>
                <w:color w:val="000000"/>
                <w:sz w:val="22"/>
                <w:szCs w:val="22"/>
              </w:rPr>
              <w:t>TOTAL</w:t>
            </w:r>
          </w:p>
        </w:tc>
        <w:tc>
          <w:tcPr>
            <w:tcW w:w="897" w:type="dxa"/>
            <w:tcBorders>
              <w:top w:val="nil"/>
              <w:left w:val="nil"/>
              <w:bottom w:val="single" w:sz="8" w:space="0" w:color="auto"/>
              <w:right w:val="nil"/>
            </w:tcBorders>
            <w:shd w:val="clear" w:color="auto" w:fill="auto"/>
            <w:noWrap/>
            <w:vAlign w:val="bottom"/>
            <w:hideMark/>
          </w:tcPr>
          <w:p w14:paraId="11C211A3" w14:textId="77777777" w:rsidR="000951CF" w:rsidRPr="00B227B2" w:rsidRDefault="000951CF" w:rsidP="00396651">
            <w:pPr>
              <w:autoSpaceDE/>
              <w:autoSpaceDN/>
              <w:adjustRightInd/>
              <w:rPr>
                <w:color w:val="000000"/>
                <w:sz w:val="22"/>
                <w:szCs w:val="22"/>
              </w:rPr>
            </w:pPr>
            <w:r w:rsidRPr="00B227B2">
              <w:rPr>
                <w:color w:val="000000"/>
                <w:sz w:val="22"/>
                <w:szCs w:val="22"/>
              </w:rPr>
              <w:t> </w:t>
            </w:r>
          </w:p>
        </w:tc>
        <w:tc>
          <w:tcPr>
            <w:tcW w:w="966" w:type="dxa"/>
            <w:tcBorders>
              <w:top w:val="nil"/>
              <w:left w:val="nil"/>
              <w:bottom w:val="single" w:sz="8" w:space="0" w:color="auto"/>
              <w:right w:val="nil"/>
            </w:tcBorders>
            <w:shd w:val="clear" w:color="auto" w:fill="auto"/>
            <w:noWrap/>
            <w:vAlign w:val="bottom"/>
            <w:hideMark/>
          </w:tcPr>
          <w:p w14:paraId="5D2B429A" w14:textId="77777777" w:rsidR="000951CF" w:rsidRPr="00B227B2" w:rsidRDefault="000951CF" w:rsidP="00396651">
            <w:pPr>
              <w:autoSpaceDE/>
              <w:autoSpaceDN/>
              <w:adjustRightInd/>
              <w:rPr>
                <w:color w:val="000000"/>
                <w:sz w:val="22"/>
                <w:szCs w:val="22"/>
              </w:rPr>
            </w:pPr>
            <w:r w:rsidRPr="00B227B2">
              <w:rPr>
                <w:color w:val="000000"/>
                <w:sz w:val="22"/>
                <w:szCs w:val="22"/>
              </w:rPr>
              <w:t> </w:t>
            </w:r>
          </w:p>
        </w:tc>
        <w:tc>
          <w:tcPr>
            <w:tcW w:w="826" w:type="dxa"/>
            <w:tcBorders>
              <w:top w:val="nil"/>
              <w:left w:val="nil"/>
              <w:bottom w:val="single" w:sz="8" w:space="0" w:color="auto"/>
              <w:right w:val="nil"/>
            </w:tcBorders>
            <w:shd w:val="clear" w:color="auto" w:fill="auto"/>
            <w:noWrap/>
            <w:vAlign w:val="bottom"/>
            <w:hideMark/>
          </w:tcPr>
          <w:p w14:paraId="5FA6E41C" w14:textId="77777777" w:rsidR="000951CF" w:rsidRPr="00B227B2" w:rsidRDefault="000951CF" w:rsidP="00396651">
            <w:pPr>
              <w:autoSpaceDE/>
              <w:autoSpaceDN/>
              <w:adjustRightInd/>
              <w:rPr>
                <w:color w:val="000000"/>
                <w:sz w:val="22"/>
                <w:szCs w:val="22"/>
              </w:rPr>
            </w:pPr>
            <w:r w:rsidRPr="00B227B2">
              <w:rPr>
                <w:color w:val="000000"/>
                <w:sz w:val="22"/>
                <w:szCs w:val="22"/>
              </w:rPr>
              <w:t> </w:t>
            </w:r>
          </w:p>
        </w:tc>
        <w:tc>
          <w:tcPr>
            <w:tcW w:w="816" w:type="dxa"/>
            <w:tcBorders>
              <w:top w:val="nil"/>
              <w:left w:val="nil"/>
              <w:bottom w:val="single" w:sz="8" w:space="0" w:color="auto"/>
              <w:right w:val="single" w:sz="8" w:space="0" w:color="auto"/>
            </w:tcBorders>
            <w:shd w:val="clear" w:color="auto" w:fill="auto"/>
            <w:noWrap/>
            <w:vAlign w:val="bottom"/>
            <w:hideMark/>
          </w:tcPr>
          <w:p w14:paraId="208A0208" w14:textId="77777777" w:rsidR="000951CF" w:rsidRPr="00B227B2" w:rsidRDefault="000951CF" w:rsidP="00396651">
            <w:pPr>
              <w:autoSpaceDE/>
              <w:autoSpaceDN/>
              <w:adjustRightInd/>
              <w:rPr>
                <w:color w:val="000000"/>
                <w:sz w:val="22"/>
                <w:szCs w:val="22"/>
              </w:rPr>
            </w:pPr>
            <w:r w:rsidRPr="00B227B2">
              <w:rPr>
                <w:color w:val="000000"/>
                <w:sz w:val="22"/>
                <w:szCs w:val="22"/>
              </w:rPr>
              <w:t> </w:t>
            </w:r>
          </w:p>
        </w:tc>
        <w:tc>
          <w:tcPr>
            <w:tcW w:w="1044" w:type="dxa"/>
            <w:tcBorders>
              <w:top w:val="nil"/>
              <w:left w:val="nil"/>
              <w:bottom w:val="single" w:sz="8" w:space="0" w:color="auto"/>
              <w:right w:val="nil"/>
            </w:tcBorders>
            <w:shd w:val="clear" w:color="auto" w:fill="auto"/>
            <w:noWrap/>
            <w:vAlign w:val="bottom"/>
            <w:hideMark/>
          </w:tcPr>
          <w:p w14:paraId="697CAA0C" w14:textId="77777777" w:rsidR="000951CF" w:rsidRPr="00B227B2" w:rsidRDefault="000951CF" w:rsidP="00396651">
            <w:pPr>
              <w:autoSpaceDE/>
              <w:autoSpaceDN/>
              <w:adjustRightInd/>
              <w:jc w:val="right"/>
              <w:rPr>
                <w:color w:val="000000"/>
                <w:sz w:val="22"/>
                <w:szCs w:val="22"/>
              </w:rPr>
            </w:pPr>
            <w:r w:rsidRPr="00B227B2">
              <w:rPr>
                <w:color w:val="000000"/>
                <w:sz w:val="22"/>
                <w:szCs w:val="22"/>
              </w:rPr>
              <w:t>494</w:t>
            </w:r>
          </w:p>
        </w:tc>
        <w:tc>
          <w:tcPr>
            <w:tcW w:w="1197" w:type="dxa"/>
            <w:tcBorders>
              <w:top w:val="nil"/>
              <w:left w:val="nil"/>
              <w:bottom w:val="single" w:sz="8" w:space="0" w:color="auto"/>
              <w:right w:val="nil"/>
            </w:tcBorders>
            <w:shd w:val="clear" w:color="auto" w:fill="auto"/>
            <w:noWrap/>
            <w:vAlign w:val="bottom"/>
            <w:hideMark/>
          </w:tcPr>
          <w:p w14:paraId="6E947096" w14:textId="77777777" w:rsidR="000951CF" w:rsidRPr="00B227B2" w:rsidRDefault="000951CF" w:rsidP="00396651">
            <w:pPr>
              <w:autoSpaceDE/>
              <w:autoSpaceDN/>
              <w:adjustRightInd/>
              <w:jc w:val="right"/>
              <w:rPr>
                <w:color w:val="000000"/>
                <w:sz w:val="22"/>
                <w:szCs w:val="22"/>
              </w:rPr>
            </w:pPr>
            <w:r w:rsidRPr="00B227B2">
              <w:rPr>
                <w:color w:val="000000"/>
                <w:sz w:val="22"/>
                <w:szCs w:val="22"/>
              </w:rPr>
              <w:t>59</w:t>
            </w:r>
          </w:p>
        </w:tc>
        <w:tc>
          <w:tcPr>
            <w:tcW w:w="886" w:type="dxa"/>
            <w:tcBorders>
              <w:top w:val="nil"/>
              <w:left w:val="single" w:sz="8" w:space="0" w:color="auto"/>
              <w:bottom w:val="single" w:sz="8" w:space="0" w:color="auto"/>
              <w:right w:val="single" w:sz="8" w:space="0" w:color="auto"/>
            </w:tcBorders>
            <w:shd w:val="clear" w:color="auto" w:fill="auto"/>
            <w:noWrap/>
            <w:vAlign w:val="bottom"/>
            <w:hideMark/>
          </w:tcPr>
          <w:p w14:paraId="4FB02FB7" w14:textId="77777777" w:rsidR="000951CF" w:rsidRPr="00B227B2" w:rsidRDefault="000951CF" w:rsidP="00396651">
            <w:pPr>
              <w:autoSpaceDE/>
              <w:autoSpaceDN/>
              <w:adjustRightInd/>
              <w:jc w:val="right"/>
              <w:rPr>
                <w:color w:val="000000"/>
                <w:sz w:val="22"/>
                <w:szCs w:val="22"/>
              </w:rPr>
            </w:pPr>
            <w:r w:rsidRPr="00B227B2">
              <w:rPr>
                <w:color w:val="000000"/>
                <w:sz w:val="22"/>
                <w:szCs w:val="22"/>
              </w:rPr>
              <w:t>20,789</w:t>
            </w:r>
          </w:p>
        </w:tc>
      </w:tr>
    </w:tbl>
    <w:p w14:paraId="4834F271" w14:textId="77777777" w:rsidR="000951CF" w:rsidRDefault="000951CF" w:rsidP="00EE0D24">
      <w:pPr>
        <w:rPr>
          <w:sz w:val="24"/>
          <w:szCs w:val="24"/>
        </w:rPr>
      </w:pPr>
    </w:p>
    <w:p w14:paraId="3245C626" w14:textId="77777777" w:rsidR="000951CF" w:rsidRPr="00BE1C78" w:rsidRDefault="000951CF" w:rsidP="000951CF">
      <w:pPr>
        <w:rPr>
          <w:bCs/>
          <w:i/>
          <w:sz w:val="24"/>
          <w:szCs w:val="24"/>
        </w:rPr>
      </w:pPr>
      <w:r w:rsidRPr="00BE1C78">
        <w:rPr>
          <w:bCs/>
          <w:i/>
          <w:sz w:val="24"/>
          <w:szCs w:val="24"/>
        </w:rPr>
        <w:t>Voluntary FYI Submissions and Follow up Submissions</w:t>
      </w:r>
    </w:p>
    <w:p w14:paraId="39CF6544" w14:textId="77777777" w:rsidR="000951CF" w:rsidRDefault="000951CF" w:rsidP="000951CF">
      <w:pPr>
        <w:ind w:firstLine="720"/>
        <w:rPr>
          <w:b/>
          <w:bCs/>
          <w:sz w:val="24"/>
          <w:szCs w:val="24"/>
        </w:rPr>
      </w:pPr>
    </w:p>
    <w:p w14:paraId="646CA3CA" w14:textId="447F67E5" w:rsidR="000951CF" w:rsidRDefault="000951CF" w:rsidP="000951CF">
      <w:pPr>
        <w:ind w:firstLine="720"/>
        <w:rPr>
          <w:sz w:val="24"/>
          <w:szCs w:val="24"/>
        </w:rPr>
      </w:pPr>
      <w:r w:rsidRPr="0007765B">
        <w:rPr>
          <w:sz w:val="24"/>
          <w:szCs w:val="24"/>
        </w:rPr>
        <w:t>EPA believes that the burden associated with filing a voluntary FYI submission is on par with the burden related to filing a mandatory submission because the voluntary submissions usually contain information on human exposure, epidemiology, toxicity test results, monitoring studies, environmental fate, and other information that may be pertinent to risk assessment.  Therefore, the burden associated with filing an FYI submission in paper is</w:t>
      </w:r>
      <w:r>
        <w:rPr>
          <w:sz w:val="24"/>
          <w:szCs w:val="24"/>
        </w:rPr>
        <w:t xml:space="preserve"> also</w:t>
      </w:r>
      <w:r w:rsidRPr="0007765B">
        <w:rPr>
          <w:sz w:val="24"/>
          <w:szCs w:val="24"/>
        </w:rPr>
        <w:t xml:space="preserve"> estimated </w:t>
      </w:r>
      <w:r>
        <w:rPr>
          <w:sz w:val="24"/>
          <w:szCs w:val="24"/>
        </w:rPr>
        <w:t>at</w:t>
      </w:r>
      <w:r w:rsidRPr="009D1F0F">
        <w:rPr>
          <w:sz w:val="24"/>
          <w:szCs w:val="24"/>
        </w:rPr>
        <w:t xml:space="preserve"> an average of 45 hours per submission of managerial staff time to review and evaluate data </w:t>
      </w:r>
      <w:r>
        <w:rPr>
          <w:sz w:val="24"/>
          <w:szCs w:val="24"/>
        </w:rPr>
        <w:t xml:space="preserve">plus </w:t>
      </w:r>
      <w:r w:rsidRPr="009D1F0F">
        <w:rPr>
          <w:sz w:val="24"/>
          <w:szCs w:val="24"/>
        </w:rPr>
        <w:t xml:space="preserve">an additional 4 hours for staff training on </w:t>
      </w:r>
      <w:r>
        <w:rPr>
          <w:sz w:val="24"/>
          <w:szCs w:val="24"/>
        </w:rPr>
        <w:t>section 8(e) regulatory requirements. Similarly, the FYI follow-up submission is estimated at 4</w:t>
      </w:r>
      <w:r w:rsidRPr="009D1F0F">
        <w:rPr>
          <w:sz w:val="24"/>
          <w:szCs w:val="24"/>
        </w:rPr>
        <w:t xml:space="preserve"> hours per notice, assuming 3 hours to assemble the required information, 1 hour to prepare </w:t>
      </w:r>
      <w:r>
        <w:rPr>
          <w:sz w:val="24"/>
          <w:szCs w:val="24"/>
        </w:rPr>
        <w:t xml:space="preserve">and review </w:t>
      </w:r>
      <w:r w:rsidRPr="009D1F0F">
        <w:rPr>
          <w:sz w:val="24"/>
          <w:szCs w:val="24"/>
        </w:rPr>
        <w:t>the submission</w:t>
      </w:r>
      <w:r>
        <w:rPr>
          <w:sz w:val="24"/>
          <w:szCs w:val="24"/>
        </w:rPr>
        <w:t xml:space="preserve">. As is the case for 8(e) submissions, the estimates for FYI submissions are on the basis of 100% electronic reporting with recordkeeping </w:t>
      </w:r>
      <w:r w:rsidRPr="0083082E">
        <w:rPr>
          <w:sz w:val="24"/>
          <w:szCs w:val="24"/>
        </w:rPr>
        <w:t>estimated at an addition</w:t>
      </w:r>
      <w:r>
        <w:rPr>
          <w:sz w:val="24"/>
          <w:szCs w:val="24"/>
        </w:rPr>
        <w:t>al 1.06 hours of clerical staff</w:t>
      </w:r>
      <w:r w:rsidRPr="0083082E">
        <w:rPr>
          <w:sz w:val="24"/>
          <w:szCs w:val="24"/>
        </w:rPr>
        <w:t xml:space="preserve"> time for </w:t>
      </w:r>
      <w:r>
        <w:rPr>
          <w:sz w:val="24"/>
          <w:szCs w:val="24"/>
        </w:rPr>
        <w:t xml:space="preserve">FYI initial submissions and at 0.06 hours for FYI follow up submissions.  </w:t>
      </w:r>
    </w:p>
    <w:p w14:paraId="36D45E2A" w14:textId="77777777" w:rsidR="000951CF" w:rsidRDefault="000951CF" w:rsidP="000951CF">
      <w:pPr>
        <w:ind w:firstLine="720"/>
        <w:rPr>
          <w:sz w:val="24"/>
          <w:szCs w:val="24"/>
        </w:rPr>
      </w:pPr>
    </w:p>
    <w:p w14:paraId="0C2D4CAC" w14:textId="7069C577" w:rsidR="000951CF" w:rsidRDefault="000951CF" w:rsidP="000951CF">
      <w:pPr>
        <w:ind w:firstLine="720"/>
        <w:rPr>
          <w:sz w:val="24"/>
          <w:szCs w:val="24"/>
        </w:rPr>
      </w:pPr>
      <w:r>
        <w:rPr>
          <w:sz w:val="24"/>
          <w:szCs w:val="24"/>
        </w:rPr>
        <w:t>To quantify the number of submissions f</w:t>
      </w:r>
      <w:r w:rsidRPr="003B4059">
        <w:rPr>
          <w:sz w:val="24"/>
          <w:szCs w:val="24"/>
        </w:rPr>
        <w:t xml:space="preserve">or the current ICR renewal, EPA </w:t>
      </w:r>
      <w:r>
        <w:rPr>
          <w:sz w:val="24"/>
          <w:szCs w:val="24"/>
        </w:rPr>
        <w:t>utilizes data on the number of FYI</w:t>
      </w:r>
      <w:r w:rsidRPr="003B4059">
        <w:rPr>
          <w:sz w:val="24"/>
          <w:szCs w:val="24"/>
        </w:rPr>
        <w:t xml:space="preserve"> submissions for fiscal years </w:t>
      </w:r>
      <w:r>
        <w:rPr>
          <w:sz w:val="24"/>
          <w:szCs w:val="24"/>
        </w:rPr>
        <w:t xml:space="preserve">2013 through 2015. </w:t>
      </w:r>
      <w:r w:rsidRPr="003B4059">
        <w:rPr>
          <w:sz w:val="24"/>
          <w:szCs w:val="24"/>
        </w:rPr>
        <w:t>The average annual number of initial</w:t>
      </w:r>
      <w:r>
        <w:rPr>
          <w:sz w:val="24"/>
          <w:szCs w:val="24"/>
        </w:rPr>
        <w:t xml:space="preserve"> FYI </w:t>
      </w:r>
      <w:r w:rsidRPr="003B4059">
        <w:rPr>
          <w:sz w:val="24"/>
          <w:szCs w:val="24"/>
        </w:rPr>
        <w:t xml:space="preserve">submissions </w:t>
      </w:r>
      <w:r>
        <w:rPr>
          <w:sz w:val="24"/>
          <w:szCs w:val="24"/>
        </w:rPr>
        <w:t xml:space="preserve">and </w:t>
      </w:r>
      <w:r w:rsidRPr="003B4059">
        <w:rPr>
          <w:sz w:val="24"/>
          <w:szCs w:val="24"/>
        </w:rPr>
        <w:t xml:space="preserve">follow-up </w:t>
      </w:r>
      <w:r>
        <w:rPr>
          <w:sz w:val="24"/>
          <w:szCs w:val="24"/>
        </w:rPr>
        <w:t xml:space="preserve">FYI </w:t>
      </w:r>
      <w:r w:rsidRPr="003B4059">
        <w:rPr>
          <w:sz w:val="24"/>
          <w:szCs w:val="24"/>
        </w:rPr>
        <w:t xml:space="preserve">submissions </w:t>
      </w:r>
      <w:r>
        <w:rPr>
          <w:sz w:val="24"/>
          <w:szCs w:val="24"/>
        </w:rPr>
        <w:t>are 12, and 1 respectively,</w:t>
      </w:r>
      <w:r>
        <w:rPr>
          <w:rStyle w:val="FootnoteReference"/>
          <w:sz w:val="24"/>
          <w:szCs w:val="24"/>
        </w:rPr>
        <w:footnoteReference w:id="1"/>
      </w:r>
      <w:r>
        <w:rPr>
          <w:sz w:val="24"/>
          <w:szCs w:val="24"/>
        </w:rPr>
        <w:t xml:space="preserve"> as computed to provide the annual basis for this ICR renewal. Table 2 provides a summary of estimates for unit burden and the annual burden associated with the voluntary FYI submissions.</w:t>
      </w:r>
    </w:p>
    <w:p w14:paraId="7033F0E6" w14:textId="77777777" w:rsidR="000951CF" w:rsidRDefault="000951CF" w:rsidP="00EE0D24">
      <w:pPr>
        <w:rPr>
          <w:sz w:val="24"/>
          <w:szCs w:val="24"/>
        </w:rPr>
      </w:pPr>
    </w:p>
    <w:tbl>
      <w:tblPr>
        <w:tblW w:w="8461" w:type="dxa"/>
        <w:tblInd w:w="93" w:type="dxa"/>
        <w:tblLook w:val="04A0" w:firstRow="1" w:lastRow="0" w:firstColumn="1" w:lastColumn="0" w:noHBand="0" w:noVBand="1"/>
      </w:tblPr>
      <w:tblGrid>
        <w:gridCol w:w="1665"/>
        <w:gridCol w:w="1106"/>
        <w:gridCol w:w="966"/>
        <w:gridCol w:w="826"/>
        <w:gridCol w:w="821"/>
        <w:gridCol w:w="1095"/>
        <w:gridCol w:w="1241"/>
        <w:gridCol w:w="915"/>
      </w:tblGrid>
      <w:tr w:rsidR="000951CF" w:rsidRPr="009B1F4A" w14:paraId="068E204C" w14:textId="77777777" w:rsidTr="00396651">
        <w:trPr>
          <w:trHeight w:val="323"/>
        </w:trPr>
        <w:tc>
          <w:tcPr>
            <w:tcW w:w="8461" w:type="dxa"/>
            <w:gridSpan w:val="8"/>
            <w:tcBorders>
              <w:top w:val="nil"/>
              <w:left w:val="nil"/>
              <w:bottom w:val="single" w:sz="8" w:space="0" w:color="auto"/>
              <w:right w:val="nil"/>
            </w:tcBorders>
            <w:shd w:val="clear" w:color="auto" w:fill="auto"/>
            <w:noWrap/>
            <w:vAlign w:val="bottom"/>
            <w:hideMark/>
          </w:tcPr>
          <w:p w14:paraId="13AD9DDF" w14:textId="77777777" w:rsidR="000951CF" w:rsidRPr="009B1F4A" w:rsidRDefault="000951CF" w:rsidP="00396651">
            <w:pPr>
              <w:autoSpaceDE/>
              <w:autoSpaceDN/>
              <w:adjustRightInd/>
              <w:rPr>
                <w:b/>
                <w:bCs/>
                <w:color w:val="000000"/>
                <w:sz w:val="24"/>
                <w:szCs w:val="24"/>
              </w:rPr>
            </w:pPr>
            <w:r w:rsidRPr="009B1F4A">
              <w:rPr>
                <w:b/>
                <w:bCs/>
                <w:color w:val="000000"/>
                <w:sz w:val="24"/>
                <w:szCs w:val="24"/>
              </w:rPr>
              <w:t>Table 2. FYI Submission Unit Burden and Total Burden</w:t>
            </w:r>
          </w:p>
        </w:tc>
      </w:tr>
      <w:tr w:rsidR="000951CF" w:rsidRPr="009B1F4A" w14:paraId="5F68250A" w14:textId="77777777" w:rsidTr="00396651">
        <w:trPr>
          <w:trHeight w:val="840"/>
        </w:trPr>
        <w:tc>
          <w:tcPr>
            <w:tcW w:w="1665" w:type="dxa"/>
            <w:tcBorders>
              <w:top w:val="nil"/>
              <w:left w:val="single" w:sz="8" w:space="0" w:color="auto"/>
              <w:bottom w:val="nil"/>
              <w:right w:val="nil"/>
            </w:tcBorders>
            <w:shd w:val="clear" w:color="000000" w:fill="D9D9D9"/>
            <w:vAlign w:val="center"/>
            <w:hideMark/>
          </w:tcPr>
          <w:p w14:paraId="1579C480" w14:textId="77777777" w:rsidR="000951CF" w:rsidRPr="009B1F4A" w:rsidRDefault="000951CF" w:rsidP="00396651">
            <w:pPr>
              <w:autoSpaceDE/>
              <w:autoSpaceDN/>
              <w:adjustRightInd/>
              <w:jc w:val="center"/>
              <w:rPr>
                <w:b/>
                <w:bCs/>
                <w:color w:val="000000"/>
                <w:sz w:val="18"/>
                <w:szCs w:val="18"/>
              </w:rPr>
            </w:pPr>
            <w:r w:rsidRPr="009B1F4A">
              <w:rPr>
                <w:b/>
                <w:bCs/>
                <w:color w:val="000000"/>
                <w:sz w:val="18"/>
                <w:szCs w:val="18"/>
              </w:rPr>
              <w:t>Information Collection(s)</w:t>
            </w:r>
          </w:p>
        </w:tc>
        <w:tc>
          <w:tcPr>
            <w:tcW w:w="2724" w:type="dxa"/>
            <w:gridSpan w:val="3"/>
            <w:tcBorders>
              <w:top w:val="single" w:sz="8" w:space="0" w:color="auto"/>
              <w:left w:val="single" w:sz="8" w:space="0" w:color="auto"/>
              <w:bottom w:val="single" w:sz="8" w:space="0" w:color="auto"/>
              <w:right w:val="single" w:sz="8" w:space="0" w:color="auto"/>
            </w:tcBorders>
            <w:shd w:val="clear" w:color="000000" w:fill="D9D9D9"/>
            <w:vAlign w:val="center"/>
            <w:hideMark/>
          </w:tcPr>
          <w:p w14:paraId="7B742183" w14:textId="77777777" w:rsidR="000951CF" w:rsidRPr="009B1F4A" w:rsidRDefault="000951CF" w:rsidP="00396651">
            <w:pPr>
              <w:autoSpaceDE/>
              <w:autoSpaceDN/>
              <w:adjustRightInd/>
              <w:jc w:val="center"/>
              <w:rPr>
                <w:b/>
                <w:bCs/>
                <w:color w:val="000000"/>
                <w:sz w:val="18"/>
                <w:szCs w:val="18"/>
              </w:rPr>
            </w:pPr>
            <w:r w:rsidRPr="009B1F4A">
              <w:rPr>
                <w:b/>
                <w:bCs/>
                <w:color w:val="000000"/>
                <w:sz w:val="18"/>
                <w:szCs w:val="18"/>
              </w:rPr>
              <w:t>Hours per Submission                       (100% e-reporting)</w:t>
            </w:r>
          </w:p>
        </w:tc>
        <w:tc>
          <w:tcPr>
            <w:tcW w:w="821" w:type="dxa"/>
            <w:tcBorders>
              <w:top w:val="nil"/>
              <w:left w:val="nil"/>
              <w:bottom w:val="nil"/>
              <w:right w:val="single" w:sz="8" w:space="0" w:color="auto"/>
            </w:tcBorders>
            <w:shd w:val="clear" w:color="000000" w:fill="D9D9D9"/>
            <w:vAlign w:val="center"/>
            <w:hideMark/>
          </w:tcPr>
          <w:p w14:paraId="31369594" w14:textId="77777777" w:rsidR="000951CF" w:rsidRPr="009B1F4A" w:rsidRDefault="000951CF" w:rsidP="00396651">
            <w:pPr>
              <w:autoSpaceDE/>
              <w:autoSpaceDN/>
              <w:adjustRightInd/>
              <w:jc w:val="center"/>
              <w:rPr>
                <w:b/>
                <w:bCs/>
                <w:color w:val="000000"/>
                <w:sz w:val="18"/>
                <w:szCs w:val="18"/>
              </w:rPr>
            </w:pPr>
            <w:r w:rsidRPr="009B1F4A">
              <w:rPr>
                <w:b/>
                <w:bCs/>
                <w:color w:val="000000"/>
                <w:sz w:val="18"/>
                <w:szCs w:val="18"/>
              </w:rPr>
              <w:t>Unit Burden (Hours)</w:t>
            </w:r>
          </w:p>
        </w:tc>
        <w:tc>
          <w:tcPr>
            <w:tcW w:w="1095" w:type="dxa"/>
            <w:tcBorders>
              <w:top w:val="nil"/>
              <w:left w:val="nil"/>
              <w:bottom w:val="nil"/>
              <w:right w:val="single" w:sz="8" w:space="0" w:color="auto"/>
            </w:tcBorders>
            <w:shd w:val="clear" w:color="000000" w:fill="D9D9D9"/>
            <w:vAlign w:val="center"/>
            <w:hideMark/>
          </w:tcPr>
          <w:p w14:paraId="16151354" w14:textId="77777777" w:rsidR="000951CF" w:rsidRPr="009B1F4A" w:rsidRDefault="000951CF" w:rsidP="00396651">
            <w:pPr>
              <w:autoSpaceDE/>
              <w:autoSpaceDN/>
              <w:adjustRightInd/>
              <w:jc w:val="center"/>
              <w:rPr>
                <w:b/>
                <w:bCs/>
                <w:color w:val="000000"/>
                <w:sz w:val="18"/>
                <w:szCs w:val="18"/>
              </w:rPr>
            </w:pPr>
            <w:r w:rsidRPr="009B1F4A">
              <w:rPr>
                <w:b/>
                <w:bCs/>
                <w:color w:val="000000"/>
                <w:sz w:val="18"/>
                <w:szCs w:val="18"/>
              </w:rPr>
              <w:t>Number of Responses</w:t>
            </w:r>
          </w:p>
        </w:tc>
        <w:tc>
          <w:tcPr>
            <w:tcW w:w="1241" w:type="dxa"/>
            <w:tcBorders>
              <w:top w:val="nil"/>
              <w:left w:val="nil"/>
              <w:bottom w:val="nil"/>
              <w:right w:val="single" w:sz="8" w:space="0" w:color="auto"/>
            </w:tcBorders>
            <w:shd w:val="clear" w:color="000000" w:fill="D9D9D9"/>
            <w:vAlign w:val="center"/>
            <w:hideMark/>
          </w:tcPr>
          <w:p w14:paraId="419338B6" w14:textId="77777777" w:rsidR="000951CF" w:rsidRPr="009B1F4A" w:rsidRDefault="000951CF" w:rsidP="00396651">
            <w:pPr>
              <w:autoSpaceDE/>
              <w:autoSpaceDN/>
              <w:adjustRightInd/>
              <w:jc w:val="center"/>
              <w:rPr>
                <w:b/>
                <w:bCs/>
                <w:color w:val="000000"/>
                <w:sz w:val="18"/>
                <w:szCs w:val="18"/>
              </w:rPr>
            </w:pPr>
            <w:r w:rsidRPr="009B1F4A">
              <w:rPr>
                <w:b/>
                <w:bCs/>
                <w:color w:val="000000"/>
                <w:sz w:val="18"/>
                <w:szCs w:val="18"/>
              </w:rPr>
              <w:t>Number of Respondents</w:t>
            </w:r>
          </w:p>
        </w:tc>
        <w:tc>
          <w:tcPr>
            <w:tcW w:w="915" w:type="dxa"/>
            <w:tcBorders>
              <w:top w:val="nil"/>
              <w:left w:val="nil"/>
              <w:bottom w:val="nil"/>
              <w:right w:val="single" w:sz="8" w:space="0" w:color="auto"/>
            </w:tcBorders>
            <w:shd w:val="clear" w:color="000000" w:fill="D9D9D9"/>
            <w:vAlign w:val="center"/>
            <w:hideMark/>
          </w:tcPr>
          <w:p w14:paraId="47F364A0" w14:textId="77777777" w:rsidR="000951CF" w:rsidRPr="009B1F4A" w:rsidRDefault="000951CF" w:rsidP="00396651">
            <w:pPr>
              <w:autoSpaceDE/>
              <w:autoSpaceDN/>
              <w:adjustRightInd/>
              <w:jc w:val="center"/>
              <w:rPr>
                <w:b/>
                <w:bCs/>
                <w:color w:val="000000"/>
                <w:sz w:val="18"/>
                <w:szCs w:val="18"/>
              </w:rPr>
            </w:pPr>
            <w:r w:rsidRPr="009B1F4A">
              <w:rPr>
                <w:b/>
                <w:bCs/>
                <w:color w:val="000000"/>
                <w:sz w:val="18"/>
                <w:szCs w:val="18"/>
              </w:rPr>
              <w:t>Total Annual Burden</w:t>
            </w:r>
          </w:p>
        </w:tc>
      </w:tr>
      <w:tr w:rsidR="000951CF" w:rsidRPr="009B1F4A" w14:paraId="1D7B9CB9" w14:textId="77777777" w:rsidTr="00396651">
        <w:trPr>
          <w:trHeight w:val="289"/>
        </w:trPr>
        <w:tc>
          <w:tcPr>
            <w:tcW w:w="1665" w:type="dxa"/>
            <w:tcBorders>
              <w:top w:val="nil"/>
              <w:left w:val="single" w:sz="8" w:space="0" w:color="auto"/>
              <w:bottom w:val="single" w:sz="8" w:space="0" w:color="auto"/>
              <w:right w:val="single" w:sz="8" w:space="0" w:color="auto"/>
            </w:tcBorders>
            <w:shd w:val="clear" w:color="000000" w:fill="D9D9D9"/>
            <w:noWrap/>
            <w:vAlign w:val="bottom"/>
            <w:hideMark/>
          </w:tcPr>
          <w:p w14:paraId="3961E572" w14:textId="77777777" w:rsidR="000951CF" w:rsidRPr="009B1F4A" w:rsidRDefault="000951CF" w:rsidP="00396651">
            <w:pPr>
              <w:autoSpaceDE/>
              <w:autoSpaceDN/>
              <w:adjustRightInd/>
              <w:rPr>
                <w:b/>
                <w:bCs/>
                <w:color w:val="000000"/>
                <w:sz w:val="22"/>
                <w:szCs w:val="22"/>
              </w:rPr>
            </w:pPr>
            <w:r w:rsidRPr="009B1F4A">
              <w:rPr>
                <w:b/>
                <w:bCs/>
                <w:color w:val="000000"/>
                <w:sz w:val="22"/>
                <w:szCs w:val="22"/>
              </w:rPr>
              <w:t> </w:t>
            </w:r>
          </w:p>
        </w:tc>
        <w:tc>
          <w:tcPr>
            <w:tcW w:w="1071" w:type="dxa"/>
            <w:tcBorders>
              <w:top w:val="nil"/>
              <w:left w:val="nil"/>
              <w:bottom w:val="single" w:sz="8" w:space="0" w:color="auto"/>
              <w:right w:val="single" w:sz="8" w:space="0" w:color="auto"/>
            </w:tcBorders>
            <w:shd w:val="clear" w:color="000000" w:fill="D9D9D9"/>
            <w:noWrap/>
            <w:vAlign w:val="bottom"/>
            <w:hideMark/>
          </w:tcPr>
          <w:p w14:paraId="7BAC2711" w14:textId="77777777" w:rsidR="000951CF" w:rsidRPr="009B1F4A" w:rsidRDefault="000951CF" w:rsidP="00396651">
            <w:pPr>
              <w:autoSpaceDE/>
              <w:autoSpaceDN/>
              <w:adjustRightInd/>
              <w:rPr>
                <w:b/>
                <w:bCs/>
                <w:color w:val="000000"/>
                <w:sz w:val="18"/>
                <w:szCs w:val="18"/>
              </w:rPr>
            </w:pPr>
            <w:r w:rsidRPr="009B1F4A">
              <w:rPr>
                <w:b/>
                <w:bCs/>
                <w:color w:val="000000"/>
                <w:sz w:val="18"/>
                <w:szCs w:val="18"/>
              </w:rPr>
              <w:t>Managerial</w:t>
            </w:r>
          </w:p>
        </w:tc>
        <w:tc>
          <w:tcPr>
            <w:tcW w:w="908" w:type="dxa"/>
            <w:tcBorders>
              <w:top w:val="nil"/>
              <w:left w:val="nil"/>
              <w:bottom w:val="single" w:sz="8" w:space="0" w:color="auto"/>
              <w:right w:val="single" w:sz="8" w:space="0" w:color="auto"/>
            </w:tcBorders>
            <w:shd w:val="clear" w:color="000000" w:fill="D9D9D9"/>
            <w:noWrap/>
            <w:vAlign w:val="bottom"/>
            <w:hideMark/>
          </w:tcPr>
          <w:p w14:paraId="1663C385" w14:textId="77777777" w:rsidR="000951CF" w:rsidRPr="009B1F4A" w:rsidRDefault="000951CF" w:rsidP="00396651">
            <w:pPr>
              <w:autoSpaceDE/>
              <w:autoSpaceDN/>
              <w:adjustRightInd/>
              <w:rPr>
                <w:b/>
                <w:bCs/>
                <w:color w:val="000000"/>
                <w:sz w:val="18"/>
                <w:szCs w:val="18"/>
              </w:rPr>
            </w:pPr>
            <w:r w:rsidRPr="009B1F4A">
              <w:rPr>
                <w:b/>
                <w:bCs/>
                <w:color w:val="000000"/>
                <w:sz w:val="18"/>
                <w:szCs w:val="18"/>
              </w:rPr>
              <w:t>Technical</w:t>
            </w:r>
          </w:p>
        </w:tc>
        <w:tc>
          <w:tcPr>
            <w:tcW w:w="745" w:type="dxa"/>
            <w:tcBorders>
              <w:top w:val="nil"/>
              <w:left w:val="nil"/>
              <w:bottom w:val="single" w:sz="8" w:space="0" w:color="auto"/>
              <w:right w:val="single" w:sz="8" w:space="0" w:color="auto"/>
            </w:tcBorders>
            <w:shd w:val="clear" w:color="000000" w:fill="D9D9D9"/>
            <w:noWrap/>
            <w:vAlign w:val="bottom"/>
            <w:hideMark/>
          </w:tcPr>
          <w:p w14:paraId="0C50810A" w14:textId="77777777" w:rsidR="000951CF" w:rsidRPr="009B1F4A" w:rsidRDefault="000951CF" w:rsidP="00396651">
            <w:pPr>
              <w:autoSpaceDE/>
              <w:autoSpaceDN/>
              <w:adjustRightInd/>
              <w:rPr>
                <w:b/>
                <w:bCs/>
                <w:color w:val="000000"/>
                <w:sz w:val="18"/>
                <w:szCs w:val="18"/>
              </w:rPr>
            </w:pPr>
            <w:r w:rsidRPr="009B1F4A">
              <w:rPr>
                <w:b/>
                <w:bCs/>
                <w:color w:val="000000"/>
                <w:sz w:val="18"/>
                <w:szCs w:val="18"/>
              </w:rPr>
              <w:t>Clerical</w:t>
            </w:r>
          </w:p>
        </w:tc>
        <w:tc>
          <w:tcPr>
            <w:tcW w:w="821" w:type="dxa"/>
            <w:tcBorders>
              <w:top w:val="nil"/>
              <w:left w:val="nil"/>
              <w:bottom w:val="single" w:sz="8" w:space="0" w:color="auto"/>
              <w:right w:val="nil"/>
            </w:tcBorders>
            <w:shd w:val="clear" w:color="000000" w:fill="D9D9D9"/>
            <w:noWrap/>
            <w:vAlign w:val="bottom"/>
            <w:hideMark/>
          </w:tcPr>
          <w:p w14:paraId="07730732" w14:textId="77777777" w:rsidR="000951CF" w:rsidRPr="009B1F4A" w:rsidRDefault="000951CF" w:rsidP="00396651">
            <w:pPr>
              <w:autoSpaceDE/>
              <w:autoSpaceDN/>
              <w:adjustRightInd/>
              <w:rPr>
                <w:b/>
                <w:bCs/>
                <w:color w:val="000000"/>
                <w:sz w:val="22"/>
                <w:szCs w:val="22"/>
              </w:rPr>
            </w:pPr>
            <w:r w:rsidRPr="009B1F4A">
              <w:rPr>
                <w:b/>
                <w:bCs/>
                <w:color w:val="000000"/>
                <w:sz w:val="22"/>
                <w:szCs w:val="22"/>
              </w:rPr>
              <w:t> </w:t>
            </w:r>
          </w:p>
        </w:tc>
        <w:tc>
          <w:tcPr>
            <w:tcW w:w="1095" w:type="dxa"/>
            <w:tcBorders>
              <w:top w:val="nil"/>
              <w:left w:val="single" w:sz="8" w:space="0" w:color="auto"/>
              <w:bottom w:val="single" w:sz="8" w:space="0" w:color="auto"/>
              <w:right w:val="single" w:sz="8" w:space="0" w:color="auto"/>
            </w:tcBorders>
            <w:shd w:val="clear" w:color="000000" w:fill="D9D9D9"/>
            <w:noWrap/>
            <w:vAlign w:val="bottom"/>
            <w:hideMark/>
          </w:tcPr>
          <w:p w14:paraId="62E7C33B" w14:textId="77777777" w:rsidR="000951CF" w:rsidRPr="009B1F4A" w:rsidRDefault="000951CF" w:rsidP="00396651">
            <w:pPr>
              <w:autoSpaceDE/>
              <w:autoSpaceDN/>
              <w:adjustRightInd/>
              <w:rPr>
                <w:b/>
                <w:bCs/>
                <w:color w:val="000000"/>
                <w:sz w:val="22"/>
                <w:szCs w:val="22"/>
              </w:rPr>
            </w:pPr>
            <w:r w:rsidRPr="009B1F4A">
              <w:rPr>
                <w:b/>
                <w:bCs/>
                <w:color w:val="000000"/>
                <w:sz w:val="22"/>
                <w:szCs w:val="22"/>
              </w:rPr>
              <w:t> </w:t>
            </w:r>
          </w:p>
        </w:tc>
        <w:tc>
          <w:tcPr>
            <w:tcW w:w="1241" w:type="dxa"/>
            <w:tcBorders>
              <w:top w:val="nil"/>
              <w:left w:val="nil"/>
              <w:bottom w:val="single" w:sz="8" w:space="0" w:color="auto"/>
              <w:right w:val="single" w:sz="8" w:space="0" w:color="auto"/>
            </w:tcBorders>
            <w:shd w:val="clear" w:color="000000" w:fill="D9D9D9"/>
            <w:noWrap/>
            <w:vAlign w:val="bottom"/>
            <w:hideMark/>
          </w:tcPr>
          <w:p w14:paraId="7039A5DE" w14:textId="77777777" w:rsidR="000951CF" w:rsidRPr="009B1F4A" w:rsidRDefault="000951CF" w:rsidP="00396651">
            <w:pPr>
              <w:autoSpaceDE/>
              <w:autoSpaceDN/>
              <w:adjustRightInd/>
              <w:rPr>
                <w:b/>
                <w:bCs/>
                <w:color w:val="000000"/>
                <w:sz w:val="22"/>
                <w:szCs w:val="22"/>
              </w:rPr>
            </w:pPr>
            <w:r w:rsidRPr="009B1F4A">
              <w:rPr>
                <w:b/>
                <w:bCs/>
                <w:color w:val="000000"/>
                <w:sz w:val="22"/>
                <w:szCs w:val="22"/>
              </w:rPr>
              <w:t> </w:t>
            </w:r>
          </w:p>
        </w:tc>
        <w:tc>
          <w:tcPr>
            <w:tcW w:w="915" w:type="dxa"/>
            <w:tcBorders>
              <w:top w:val="nil"/>
              <w:left w:val="nil"/>
              <w:bottom w:val="single" w:sz="8" w:space="0" w:color="auto"/>
              <w:right w:val="single" w:sz="8" w:space="0" w:color="auto"/>
            </w:tcBorders>
            <w:shd w:val="clear" w:color="000000" w:fill="D9D9D9"/>
            <w:noWrap/>
            <w:vAlign w:val="bottom"/>
            <w:hideMark/>
          </w:tcPr>
          <w:p w14:paraId="6E9D2404" w14:textId="77777777" w:rsidR="000951CF" w:rsidRPr="009B1F4A" w:rsidRDefault="000951CF" w:rsidP="00396651">
            <w:pPr>
              <w:autoSpaceDE/>
              <w:autoSpaceDN/>
              <w:adjustRightInd/>
              <w:rPr>
                <w:b/>
                <w:bCs/>
                <w:color w:val="000000"/>
                <w:sz w:val="22"/>
                <w:szCs w:val="22"/>
              </w:rPr>
            </w:pPr>
            <w:r w:rsidRPr="009B1F4A">
              <w:rPr>
                <w:b/>
                <w:bCs/>
                <w:color w:val="000000"/>
                <w:sz w:val="22"/>
                <w:szCs w:val="22"/>
              </w:rPr>
              <w:t> </w:t>
            </w:r>
          </w:p>
        </w:tc>
      </w:tr>
      <w:tr w:rsidR="000951CF" w:rsidRPr="009B1F4A" w14:paraId="0F284211" w14:textId="77777777" w:rsidTr="00396651">
        <w:trPr>
          <w:trHeight w:val="525"/>
        </w:trPr>
        <w:tc>
          <w:tcPr>
            <w:tcW w:w="1665" w:type="dxa"/>
            <w:tcBorders>
              <w:top w:val="nil"/>
              <w:left w:val="single" w:sz="8" w:space="0" w:color="auto"/>
              <w:bottom w:val="single" w:sz="4" w:space="0" w:color="auto"/>
              <w:right w:val="single" w:sz="4" w:space="0" w:color="auto"/>
            </w:tcBorders>
            <w:shd w:val="clear" w:color="auto" w:fill="auto"/>
            <w:vAlign w:val="bottom"/>
            <w:hideMark/>
          </w:tcPr>
          <w:p w14:paraId="2A383502" w14:textId="77777777" w:rsidR="000951CF" w:rsidRPr="009B1F4A" w:rsidRDefault="000951CF" w:rsidP="00396651">
            <w:pPr>
              <w:autoSpaceDE/>
              <w:autoSpaceDN/>
              <w:adjustRightInd/>
              <w:rPr>
                <w:i/>
                <w:iCs/>
                <w:color w:val="000000"/>
              </w:rPr>
            </w:pPr>
            <w:r w:rsidRPr="009B1F4A">
              <w:rPr>
                <w:i/>
                <w:iCs/>
                <w:color w:val="000000"/>
              </w:rPr>
              <w:t>FYI Submission – Initial</w:t>
            </w:r>
          </w:p>
        </w:tc>
        <w:tc>
          <w:tcPr>
            <w:tcW w:w="1071" w:type="dxa"/>
            <w:tcBorders>
              <w:top w:val="nil"/>
              <w:left w:val="nil"/>
              <w:bottom w:val="single" w:sz="4" w:space="0" w:color="auto"/>
              <w:right w:val="single" w:sz="4" w:space="0" w:color="auto"/>
            </w:tcBorders>
            <w:shd w:val="clear" w:color="auto" w:fill="auto"/>
            <w:noWrap/>
            <w:vAlign w:val="bottom"/>
            <w:hideMark/>
          </w:tcPr>
          <w:p w14:paraId="4956525C" w14:textId="77777777" w:rsidR="000951CF" w:rsidRPr="009B1F4A" w:rsidRDefault="000951CF" w:rsidP="00396651">
            <w:pPr>
              <w:autoSpaceDE/>
              <w:autoSpaceDN/>
              <w:adjustRightInd/>
              <w:jc w:val="right"/>
              <w:rPr>
                <w:color w:val="000000"/>
                <w:sz w:val="22"/>
                <w:szCs w:val="22"/>
              </w:rPr>
            </w:pPr>
            <w:r w:rsidRPr="009B1F4A">
              <w:rPr>
                <w:color w:val="000000"/>
                <w:sz w:val="22"/>
                <w:szCs w:val="22"/>
              </w:rPr>
              <w:t>49</w:t>
            </w:r>
          </w:p>
        </w:tc>
        <w:tc>
          <w:tcPr>
            <w:tcW w:w="908" w:type="dxa"/>
            <w:tcBorders>
              <w:top w:val="nil"/>
              <w:left w:val="nil"/>
              <w:bottom w:val="single" w:sz="4" w:space="0" w:color="auto"/>
              <w:right w:val="single" w:sz="4" w:space="0" w:color="auto"/>
            </w:tcBorders>
            <w:shd w:val="clear" w:color="auto" w:fill="auto"/>
            <w:noWrap/>
            <w:vAlign w:val="bottom"/>
            <w:hideMark/>
          </w:tcPr>
          <w:p w14:paraId="0FA27BF3" w14:textId="77777777" w:rsidR="000951CF" w:rsidRPr="009B1F4A" w:rsidRDefault="000951CF" w:rsidP="00396651">
            <w:pPr>
              <w:autoSpaceDE/>
              <w:autoSpaceDN/>
              <w:adjustRightInd/>
              <w:jc w:val="right"/>
              <w:rPr>
                <w:color w:val="000000"/>
                <w:sz w:val="22"/>
                <w:szCs w:val="22"/>
              </w:rPr>
            </w:pPr>
            <w:r w:rsidRPr="009B1F4A">
              <w:rPr>
                <w:color w:val="000000"/>
                <w:sz w:val="22"/>
                <w:szCs w:val="22"/>
              </w:rPr>
              <w:t>0</w:t>
            </w:r>
          </w:p>
        </w:tc>
        <w:tc>
          <w:tcPr>
            <w:tcW w:w="745" w:type="dxa"/>
            <w:tcBorders>
              <w:top w:val="nil"/>
              <w:left w:val="nil"/>
              <w:bottom w:val="single" w:sz="4" w:space="0" w:color="auto"/>
              <w:right w:val="single" w:sz="4" w:space="0" w:color="auto"/>
            </w:tcBorders>
            <w:shd w:val="clear" w:color="auto" w:fill="auto"/>
            <w:noWrap/>
            <w:vAlign w:val="bottom"/>
            <w:hideMark/>
          </w:tcPr>
          <w:p w14:paraId="6779DBA9" w14:textId="77777777" w:rsidR="000951CF" w:rsidRPr="009B1F4A" w:rsidRDefault="000951CF" w:rsidP="00396651">
            <w:pPr>
              <w:autoSpaceDE/>
              <w:autoSpaceDN/>
              <w:adjustRightInd/>
              <w:jc w:val="right"/>
              <w:rPr>
                <w:color w:val="000000"/>
                <w:sz w:val="22"/>
                <w:szCs w:val="22"/>
              </w:rPr>
            </w:pPr>
            <w:r w:rsidRPr="009B1F4A">
              <w:rPr>
                <w:color w:val="000000"/>
                <w:sz w:val="22"/>
                <w:szCs w:val="22"/>
              </w:rPr>
              <w:t>1.06</w:t>
            </w:r>
          </w:p>
        </w:tc>
        <w:tc>
          <w:tcPr>
            <w:tcW w:w="821" w:type="dxa"/>
            <w:tcBorders>
              <w:top w:val="nil"/>
              <w:left w:val="nil"/>
              <w:bottom w:val="nil"/>
              <w:right w:val="single" w:sz="8" w:space="0" w:color="auto"/>
            </w:tcBorders>
            <w:shd w:val="clear" w:color="auto" w:fill="auto"/>
            <w:noWrap/>
            <w:vAlign w:val="bottom"/>
            <w:hideMark/>
          </w:tcPr>
          <w:p w14:paraId="48ECE00D" w14:textId="77777777" w:rsidR="000951CF" w:rsidRPr="009B1F4A" w:rsidRDefault="000951CF" w:rsidP="00396651">
            <w:pPr>
              <w:autoSpaceDE/>
              <w:autoSpaceDN/>
              <w:adjustRightInd/>
              <w:jc w:val="right"/>
              <w:rPr>
                <w:color w:val="000000"/>
                <w:sz w:val="22"/>
                <w:szCs w:val="22"/>
              </w:rPr>
            </w:pPr>
            <w:r w:rsidRPr="009B1F4A">
              <w:rPr>
                <w:color w:val="000000"/>
                <w:sz w:val="22"/>
                <w:szCs w:val="22"/>
              </w:rPr>
              <w:t>50.06</w:t>
            </w:r>
          </w:p>
        </w:tc>
        <w:tc>
          <w:tcPr>
            <w:tcW w:w="1095" w:type="dxa"/>
            <w:tcBorders>
              <w:top w:val="nil"/>
              <w:left w:val="nil"/>
              <w:bottom w:val="single" w:sz="4" w:space="0" w:color="auto"/>
              <w:right w:val="single" w:sz="4" w:space="0" w:color="auto"/>
            </w:tcBorders>
            <w:shd w:val="clear" w:color="auto" w:fill="auto"/>
            <w:noWrap/>
            <w:vAlign w:val="bottom"/>
            <w:hideMark/>
          </w:tcPr>
          <w:p w14:paraId="425C1DA7" w14:textId="77777777" w:rsidR="000951CF" w:rsidRPr="009B1F4A" w:rsidRDefault="000951CF" w:rsidP="00396651">
            <w:pPr>
              <w:autoSpaceDE/>
              <w:autoSpaceDN/>
              <w:adjustRightInd/>
              <w:jc w:val="right"/>
              <w:rPr>
                <w:color w:val="000000"/>
                <w:sz w:val="22"/>
                <w:szCs w:val="22"/>
              </w:rPr>
            </w:pPr>
            <w:r w:rsidRPr="009B1F4A">
              <w:rPr>
                <w:color w:val="000000"/>
                <w:sz w:val="22"/>
                <w:szCs w:val="22"/>
              </w:rPr>
              <w:t>12</w:t>
            </w:r>
          </w:p>
        </w:tc>
        <w:tc>
          <w:tcPr>
            <w:tcW w:w="1241" w:type="dxa"/>
            <w:tcBorders>
              <w:top w:val="nil"/>
              <w:left w:val="nil"/>
              <w:bottom w:val="single" w:sz="4" w:space="0" w:color="auto"/>
              <w:right w:val="nil"/>
            </w:tcBorders>
            <w:shd w:val="clear" w:color="auto" w:fill="auto"/>
            <w:noWrap/>
            <w:vAlign w:val="bottom"/>
            <w:hideMark/>
          </w:tcPr>
          <w:p w14:paraId="62EA5BB8" w14:textId="77777777" w:rsidR="000951CF" w:rsidRPr="009B1F4A" w:rsidRDefault="000951CF" w:rsidP="00396651">
            <w:pPr>
              <w:autoSpaceDE/>
              <w:autoSpaceDN/>
              <w:adjustRightInd/>
              <w:jc w:val="right"/>
              <w:rPr>
                <w:color w:val="000000"/>
                <w:sz w:val="22"/>
                <w:szCs w:val="22"/>
              </w:rPr>
            </w:pPr>
            <w:r w:rsidRPr="009B1F4A">
              <w:rPr>
                <w:color w:val="000000"/>
                <w:sz w:val="22"/>
                <w:szCs w:val="22"/>
              </w:rPr>
              <w:t>9</w:t>
            </w:r>
          </w:p>
        </w:tc>
        <w:tc>
          <w:tcPr>
            <w:tcW w:w="915" w:type="dxa"/>
            <w:tcBorders>
              <w:top w:val="nil"/>
              <w:left w:val="single" w:sz="8" w:space="0" w:color="auto"/>
              <w:bottom w:val="nil"/>
              <w:right w:val="single" w:sz="8" w:space="0" w:color="auto"/>
            </w:tcBorders>
            <w:shd w:val="clear" w:color="auto" w:fill="auto"/>
            <w:noWrap/>
            <w:vAlign w:val="bottom"/>
            <w:hideMark/>
          </w:tcPr>
          <w:p w14:paraId="53CD89B2" w14:textId="77777777" w:rsidR="000951CF" w:rsidRPr="009B1F4A" w:rsidRDefault="000951CF" w:rsidP="00396651">
            <w:pPr>
              <w:autoSpaceDE/>
              <w:autoSpaceDN/>
              <w:adjustRightInd/>
              <w:jc w:val="right"/>
              <w:rPr>
                <w:color w:val="000000"/>
                <w:sz w:val="22"/>
                <w:szCs w:val="22"/>
              </w:rPr>
            </w:pPr>
            <w:r w:rsidRPr="009B1F4A">
              <w:rPr>
                <w:color w:val="000000"/>
                <w:sz w:val="22"/>
                <w:szCs w:val="22"/>
              </w:rPr>
              <w:t>584</w:t>
            </w:r>
          </w:p>
        </w:tc>
      </w:tr>
      <w:tr w:rsidR="000951CF" w:rsidRPr="009B1F4A" w14:paraId="620290CD" w14:textId="77777777" w:rsidTr="00396651">
        <w:trPr>
          <w:trHeight w:val="540"/>
        </w:trPr>
        <w:tc>
          <w:tcPr>
            <w:tcW w:w="1665" w:type="dxa"/>
            <w:tcBorders>
              <w:top w:val="nil"/>
              <w:left w:val="single" w:sz="8" w:space="0" w:color="auto"/>
              <w:bottom w:val="single" w:sz="8" w:space="0" w:color="auto"/>
              <w:right w:val="single" w:sz="4" w:space="0" w:color="auto"/>
            </w:tcBorders>
            <w:shd w:val="clear" w:color="auto" w:fill="auto"/>
            <w:vAlign w:val="bottom"/>
            <w:hideMark/>
          </w:tcPr>
          <w:p w14:paraId="167B35D5" w14:textId="77777777" w:rsidR="000951CF" w:rsidRPr="009B1F4A" w:rsidRDefault="000951CF" w:rsidP="00396651">
            <w:pPr>
              <w:autoSpaceDE/>
              <w:autoSpaceDN/>
              <w:adjustRightInd/>
              <w:rPr>
                <w:i/>
                <w:iCs/>
                <w:color w:val="000000"/>
              </w:rPr>
            </w:pPr>
            <w:r w:rsidRPr="009B1F4A">
              <w:rPr>
                <w:i/>
                <w:iCs/>
                <w:color w:val="000000"/>
              </w:rPr>
              <w:t>FYI Submission – Follow-up</w:t>
            </w:r>
          </w:p>
        </w:tc>
        <w:tc>
          <w:tcPr>
            <w:tcW w:w="1071" w:type="dxa"/>
            <w:tcBorders>
              <w:top w:val="nil"/>
              <w:left w:val="nil"/>
              <w:bottom w:val="single" w:sz="8" w:space="0" w:color="auto"/>
              <w:right w:val="single" w:sz="4" w:space="0" w:color="auto"/>
            </w:tcBorders>
            <w:shd w:val="clear" w:color="auto" w:fill="auto"/>
            <w:noWrap/>
            <w:vAlign w:val="bottom"/>
            <w:hideMark/>
          </w:tcPr>
          <w:p w14:paraId="0FCCF3F0" w14:textId="77777777" w:rsidR="000951CF" w:rsidRPr="009B1F4A" w:rsidRDefault="000951CF" w:rsidP="00396651">
            <w:pPr>
              <w:autoSpaceDE/>
              <w:autoSpaceDN/>
              <w:adjustRightInd/>
              <w:jc w:val="right"/>
              <w:rPr>
                <w:color w:val="000000"/>
                <w:sz w:val="22"/>
                <w:szCs w:val="22"/>
              </w:rPr>
            </w:pPr>
            <w:r w:rsidRPr="009B1F4A">
              <w:rPr>
                <w:color w:val="000000"/>
                <w:sz w:val="22"/>
                <w:szCs w:val="22"/>
              </w:rPr>
              <w:t>4</w:t>
            </w:r>
          </w:p>
        </w:tc>
        <w:tc>
          <w:tcPr>
            <w:tcW w:w="908" w:type="dxa"/>
            <w:tcBorders>
              <w:top w:val="nil"/>
              <w:left w:val="nil"/>
              <w:bottom w:val="single" w:sz="8" w:space="0" w:color="auto"/>
              <w:right w:val="single" w:sz="4" w:space="0" w:color="auto"/>
            </w:tcBorders>
            <w:shd w:val="clear" w:color="auto" w:fill="auto"/>
            <w:noWrap/>
            <w:vAlign w:val="bottom"/>
            <w:hideMark/>
          </w:tcPr>
          <w:p w14:paraId="44B70392" w14:textId="77777777" w:rsidR="000951CF" w:rsidRPr="009B1F4A" w:rsidRDefault="000951CF" w:rsidP="00396651">
            <w:pPr>
              <w:autoSpaceDE/>
              <w:autoSpaceDN/>
              <w:adjustRightInd/>
              <w:jc w:val="right"/>
              <w:rPr>
                <w:color w:val="000000"/>
                <w:sz w:val="22"/>
                <w:szCs w:val="22"/>
              </w:rPr>
            </w:pPr>
            <w:r w:rsidRPr="009B1F4A">
              <w:rPr>
                <w:color w:val="000000"/>
                <w:sz w:val="22"/>
                <w:szCs w:val="22"/>
              </w:rPr>
              <w:t>0</w:t>
            </w:r>
          </w:p>
        </w:tc>
        <w:tc>
          <w:tcPr>
            <w:tcW w:w="745" w:type="dxa"/>
            <w:tcBorders>
              <w:top w:val="nil"/>
              <w:left w:val="nil"/>
              <w:bottom w:val="single" w:sz="8" w:space="0" w:color="auto"/>
              <w:right w:val="single" w:sz="4" w:space="0" w:color="auto"/>
            </w:tcBorders>
            <w:shd w:val="clear" w:color="auto" w:fill="auto"/>
            <w:noWrap/>
            <w:vAlign w:val="bottom"/>
            <w:hideMark/>
          </w:tcPr>
          <w:p w14:paraId="3C10D985" w14:textId="77777777" w:rsidR="000951CF" w:rsidRPr="009B1F4A" w:rsidRDefault="000951CF" w:rsidP="00396651">
            <w:pPr>
              <w:autoSpaceDE/>
              <w:autoSpaceDN/>
              <w:adjustRightInd/>
              <w:jc w:val="right"/>
              <w:rPr>
                <w:color w:val="000000"/>
                <w:sz w:val="22"/>
                <w:szCs w:val="22"/>
              </w:rPr>
            </w:pPr>
            <w:r w:rsidRPr="009B1F4A">
              <w:rPr>
                <w:color w:val="000000"/>
                <w:sz w:val="22"/>
                <w:szCs w:val="22"/>
              </w:rPr>
              <w:t>0.06</w:t>
            </w:r>
          </w:p>
        </w:tc>
        <w:tc>
          <w:tcPr>
            <w:tcW w:w="821" w:type="dxa"/>
            <w:tcBorders>
              <w:top w:val="single" w:sz="4" w:space="0" w:color="auto"/>
              <w:left w:val="nil"/>
              <w:bottom w:val="single" w:sz="8" w:space="0" w:color="auto"/>
              <w:right w:val="single" w:sz="8" w:space="0" w:color="auto"/>
            </w:tcBorders>
            <w:shd w:val="clear" w:color="auto" w:fill="auto"/>
            <w:noWrap/>
            <w:vAlign w:val="bottom"/>
            <w:hideMark/>
          </w:tcPr>
          <w:p w14:paraId="6D75A937" w14:textId="77777777" w:rsidR="000951CF" w:rsidRPr="009B1F4A" w:rsidRDefault="000951CF" w:rsidP="00396651">
            <w:pPr>
              <w:autoSpaceDE/>
              <w:autoSpaceDN/>
              <w:adjustRightInd/>
              <w:jc w:val="right"/>
              <w:rPr>
                <w:color w:val="000000"/>
                <w:sz w:val="22"/>
                <w:szCs w:val="22"/>
              </w:rPr>
            </w:pPr>
            <w:r w:rsidRPr="009B1F4A">
              <w:rPr>
                <w:color w:val="000000"/>
                <w:sz w:val="22"/>
                <w:szCs w:val="22"/>
              </w:rPr>
              <w:t>4.06</w:t>
            </w:r>
          </w:p>
        </w:tc>
        <w:tc>
          <w:tcPr>
            <w:tcW w:w="1095" w:type="dxa"/>
            <w:tcBorders>
              <w:top w:val="nil"/>
              <w:left w:val="nil"/>
              <w:bottom w:val="single" w:sz="8" w:space="0" w:color="auto"/>
              <w:right w:val="single" w:sz="4" w:space="0" w:color="auto"/>
            </w:tcBorders>
            <w:shd w:val="clear" w:color="auto" w:fill="auto"/>
            <w:noWrap/>
            <w:vAlign w:val="bottom"/>
            <w:hideMark/>
          </w:tcPr>
          <w:p w14:paraId="55E9A461" w14:textId="77777777" w:rsidR="000951CF" w:rsidRPr="009B1F4A" w:rsidRDefault="000951CF" w:rsidP="00396651">
            <w:pPr>
              <w:autoSpaceDE/>
              <w:autoSpaceDN/>
              <w:adjustRightInd/>
              <w:jc w:val="right"/>
              <w:rPr>
                <w:color w:val="000000"/>
                <w:sz w:val="22"/>
                <w:szCs w:val="22"/>
              </w:rPr>
            </w:pPr>
            <w:r w:rsidRPr="009B1F4A">
              <w:rPr>
                <w:color w:val="000000"/>
                <w:sz w:val="22"/>
                <w:szCs w:val="22"/>
              </w:rPr>
              <w:t>1</w:t>
            </w:r>
          </w:p>
        </w:tc>
        <w:tc>
          <w:tcPr>
            <w:tcW w:w="1241" w:type="dxa"/>
            <w:tcBorders>
              <w:top w:val="nil"/>
              <w:left w:val="nil"/>
              <w:bottom w:val="single" w:sz="8" w:space="0" w:color="auto"/>
              <w:right w:val="nil"/>
            </w:tcBorders>
            <w:shd w:val="clear" w:color="auto" w:fill="auto"/>
            <w:noWrap/>
            <w:vAlign w:val="bottom"/>
            <w:hideMark/>
          </w:tcPr>
          <w:p w14:paraId="7F5411C0" w14:textId="77777777" w:rsidR="000951CF" w:rsidRPr="009B1F4A" w:rsidRDefault="000951CF" w:rsidP="00396651">
            <w:pPr>
              <w:autoSpaceDE/>
              <w:autoSpaceDN/>
              <w:adjustRightInd/>
              <w:jc w:val="right"/>
              <w:rPr>
                <w:color w:val="000000"/>
                <w:sz w:val="22"/>
                <w:szCs w:val="22"/>
              </w:rPr>
            </w:pPr>
            <w:r w:rsidRPr="009B1F4A">
              <w:rPr>
                <w:color w:val="000000"/>
                <w:sz w:val="22"/>
                <w:szCs w:val="22"/>
              </w:rPr>
              <w:t>1</w:t>
            </w:r>
          </w:p>
        </w:tc>
        <w:tc>
          <w:tcPr>
            <w:tcW w:w="915"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5739DDE5" w14:textId="77777777" w:rsidR="000951CF" w:rsidRPr="009B1F4A" w:rsidRDefault="000951CF" w:rsidP="00396651">
            <w:pPr>
              <w:autoSpaceDE/>
              <w:autoSpaceDN/>
              <w:adjustRightInd/>
              <w:jc w:val="right"/>
              <w:rPr>
                <w:color w:val="000000"/>
                <w:sz w:val="22"/>
                <w:szCs w:val="22"/>
              </w:rPr>
            </w:pPr>
            <w:r w:rsidRPr="009B1F4A">
              <w:rPr>
                <w:color w:val="000000"/>
                <w:sz w:val="22"/>
                <w:szCs w:val="22"/>
              </w:rPr>
              <w:t>4</w:t>
            </w:r>
          </w:p>
        </w:tc>
      </w:tr>
      <w:tr w:rsidR="000951CF" w:rsidRPr="009B1F4A" w14:paraId="12407325" w14:textId="77777777" w:rsidTr="00396651">
        <w:trPr>
          <w:trHeight w:val="289"/>
        </w:trPr>
        <w:tc>
          <w:tcPr>
            <w:tcW w:w="1665" w:type="dxa"/>
            <w:tcBorders>
              <w:top w:val="nil"/>
              <w:left w:val="single" w:sz="8" w:space="0" w:color="auto"/>
              <w:bottom w:val="single" w:sz="8" w:space="0" w:color="auto"/>
              <w:right w:val="nil"/>
            </w:tcBorders>
            <w:shd w:val="clear" w:color="auto" w:fill="auto"/>
            <w:noWrap/>
            <w:vAlign w:val="bottom"/>
            <w:hideMark/>
          </w:tcPr>
          <w:p w14:paraId="1779F6EB" w14:textId="77777777" w:rsidR="000951CF" w:rsidRPr="009B1F4A" w:rsidRDefault="000951CF" w:rsidP="00396651">
            <w:pPr>
              <w:autoSpaceDE/>
              <w:autoSpaceDN/>
              <w:adjustRightInd/>
              <w:rPr>
                <w:color w:val="000000"/>
                <w:sz w:val="22"/>
                <w:szCs w:val="22"/>
              </w:rPr>
            </w:pPr>
            <w:r w:rsidRPr="009B1F4A">
              <w:rPr>
                <w:color w:val="000000"/>
                <w:sz w:val="22"/>
                <w:szCs w:val="22"/>
              </w:rPr>
              <w:t>TOTAL</w:t>
            </w:r>
          </w:p>
        </w:tc>
        <w:tc>
          <w:tcPr>
            <w:tcW w:w="1071" w:type="dxa"/>
            <w:tcBorders>
              <w:top w:val="nil"/>
              <w:left w:val="nil"/>
              <w:bottom w:val="single" w:sz="8" w:space="0" w:color="auto"/>
              <w:right w:val="nil"/>
            </w:tcBorders>
            <w:shd w:val="clear" w:color="auto" w:fill="auto"/>
            <w:noWrap/>
            <w:vAlign w:val="bottom"/>
            <w:hideMark/>
          </w:tcPr>
          <w:p w14:paraId="3D02652C" w14:textId="77777777" w:rsidR="000951CF" w:rsidRPr="009B1F4A" w:rsidRDefault="000951CF" w:rsidP="00396651">
            <w:pPr>
              <w:autoSpaceDE/>
              <w:autoSpaceDN/>
              <w:adjustRightInd/>
              <w:rPr>
                <w:color w:val="000000"/>
                <w:sz w:val="22"/>
                <w:szCs w:val="22"/>
              </w:rPr>
            </w:pPr>
            <w:r w:rsidRPr="009B1F4A">
              <w:rPr>
                <w:color w:val="000000"/>
                <w:sz w:val="22"/>
                <w:szCs w:val="22"/>
              </w:rPr>
              <w:t> </w:t>
            </w:r>
          </w:p>
        </w:tc>
        <w:tc>
          <w:tcPr>
            <w:tcW w:w="908" w:type="dxa"/>
            <w:tcBorders>
              <w:top w:val="nil"/>
              <w:left w:val="nil"/>
              <w:bottom w:val="single" w:sz="8" w:space="0" w:color="auto"/>
              <w:right w:val="nil"/>
            </w:tcBorders>
            <w:shd w:val="clear" w:color="auto" w:fill="auto"/>
            <w:noWrap/>
            <w:vAlign w:val="bottom"/>
            <w:hideMark/>
          </w:tcPr>
          <w:p w14:paraId="1FF00D9F" w14:textId="77777777" w:rsidR="000951CF" w:rsidRPr="009B1F4A" w:rsidRDefault="000951CF" w:rsidP="00396651">
            <w:pPr>
              <w:autoSpaceDE/>
              <w:autoSpaceDN/>
              <w:adjustRightInd/>
              <w:rPr>
                <w:color w:val="000000"/>
                <w:sz w:val="22"/>
                <w:szCs w:val="22"/>
              </w:rPr>
            </w:pPr>
            <w:r w:rsidRPr="009B1F4A">
              <w:rPr>
                <w:color w:val="000000"/>
                <w:sz w:val="22"/>
                <w:szCs w:val="22"/>
              </w:rPr>
              <w:t> </w:t>
            </w:r>
          </w:p>
        </w:tc>
        <w:tc>
          <w:tcPr>
            <w:tcW w:w="745" w:type="dxa"/>
            <w:tcBorders>
              <w:top w:val="nil"/>
              <w:left w:val="nil"/>
              <w:bottom w:val="single" w:sz="8" w:space="0" w:color="auto"/>
              <w:right w:val="nil"/>
            </w:tcBorders>
            <w:shd w:val="clear" w:color="auto" w:fill="auto"/>
            <w:noWrap/>
            <w:vAlign w:val="bottom"/>
            <w:hideMark/>
          </w:tcPr>
          <w:p w14:paraId="57474EEC" w14:textId="77777777" w:rsidR="000951CF" w:rsidRPr="009B1F4A" w:rsidRDefault="000951CF" w:rsidP="00396651">
            <w:pPr>
              <w:autoSpaceDE/>
              <w:autoSpaceDN/>
              <w:adjustRightInd/>
              <w:rPr>
                <w:color w:val="000000"/>
                <w:sz w:val="22"/>
                <w:szCs w:val="22"/>
              </w:rPr>
            </w:pPr>
            <w:r w:rsidRPr="009B1F4A">
              <w:rPr>
                <w:color w:val="000000"/>
                <w:sz w:val="22"/>
                <w:szCs w:val="22"/>
              </w:rPr>
              <w:t> </w:t>
            </w:r>
          </w:p>
        </w:tc>
        <w:tc>
          <w:tcPr>
            <w:tcW w:w="821" w:type="dxa"/>
            <w:tcBorders>
              <w:top w:val="nil"/>
              <w:left w:val="nil"/>
              <w:bottom w:val="single" w:sz="8" w:space="0" w:color="auto"/>
              <w:right w:val="single" w:sz="8" w:space="0" w:color="auto"/>
            </w:tcBorders>
            <w:shd w:val="clear" w:color="auto" w:fill="auto"/>
            <w:noWrap/>
            <w:vAlign w:val="bottom"/>
            <w:hideMark/>
          </w:tcPr>
          <w:p w14:paraId="65AB9C7B" w14:textId="77777777" w:rsidR="000951CF" w:rsidRPr="009B1F4A" w:rsidRDefault="000951CF" w:rsidP="00396651">
            <w:pPr>
              <w:autoSpaceDE/>
              <w:autoSpaceDN/>
              <w:adjustRightInd/>
              <w:rPr>
                <w:color w:val="000000"/>
                <w:sz w:val="22"/>
                <w:szCs w:val="22"/>
              </w:rPr>
            </w:pPr>
            <w:r w:rsidRPr="009B1F4A">
              <w:rPr>
                <w:color w:val="000000"/>
                <w:sz w:val="22"/>
                <w:szCs w:val="22"/>
              </w:rPr>
              <w:t> </w:t>
            </w:r>
          </w:p>
        </w:tc>
        <w:tc>
          <w:tcPr>
            <w:tcW w:w="1095" w:type="dxa"/>
            <w:tcBorders>
              <w:top w:val="nil"/>
              <w:left w:val="nil"/>
              <w:bottom w:val="single" w:sz="8" w:space="0" w:color="auto"/>
              <w:right w:val="nil"/>
            </w:tcBorders>
            <w:shd w:val="clear" w:color="auto" w:fill="auto"/>
            <w:noWrap/>
            <w:vAlign w:val="bottom"/>
            <w:hideMark/>
          </w:tcPr>
          <w:p w14:paraId="039F1858" w14:textId="77777777" w:rsidR="000951CF" w:rsidRPr="009B1F4A" w:rsidRDefault="000951CF" w:rsidP="00396651">
            <w:pPr>
              <w:autoSpaceDE/>
              <w:autoSpaceDN/>
              <w:adjustRightInd/>
              <w:jc w:val="right"/>
              <w:rPr>
                <w:color w:val="000000"/>
                <w:sz w:val="22"/>
                <w:szCs w:val="22"/>
              </w:rPr>
            </w:pPr>
            <w:r w:rsidRPr="009B1F4A">
              <w:rPr>
                <w:color w:val="000000"/>
                <w:sz w:val="22"/>
                <w:szCs w:val="22"/>
              </w:rPr>
              <w:t>13</w:t>
            </w:r>
          </w:p>
        </w:tc>
        <w:tc>
          <w:tcPr>
            <w:tcW w:w="1241" w:type="dxa"/>
            <w:tcBorders>
              <w:top w:val="nil"/>
              <w:left w:val="nil"/>
              <w:bottom w:val="single" w:sz="8" w:space="0" w:color="auto"/>
              <w:right w:val="nil"/>
            </w:tcBorders>
            <w:shd w:val="clear" w:color="auto" w:fill="auto"/>
            <w:noWrap/>
            <w:vAlign w:val="bottom"/>
            <w:hideMark/>
          </w:tcPr>
          <w:p w14:paraId="09758C8A" w14:textId="77777777" w:rsidR="000951CF" w:rsidRPr="009B1F4A" w:rsidRDefault="000951CF" w:rsidP="00396651">
            <w:pPr>
              <w:autoSpaceDE/>
              <w:autoSpaceDN/>
              <w:adjustRightInd/>
              <w:jc w:val="right"/>
              <w:rPr>
                <w:color w:val="000000"/>
                <w:sz w:val="22"/>
                <w:szCs w:val="22"/>
              </w:rPr>
            </w:pPr>
            <w:r w:rsidRPr="009B1F4A">
              <w:rPr>
                <w:color w:val="000000"/>
                <w:sz w:val="22"/>
                <w:szCs w:val="22"/>
              </w:rPr>
              <w:t>9</w:t>
            </w:r>
          </w:p>
        </w:tc>
        <w:tc>
          <w:tcPr>
            <w:tcW w:w="915" w:type="dxa"/>
            <w:tcBorders>
              <w:top w:val="nil"/>
              <w:left w:val="single" w:sz="8" w:space="0" w:color="auto"/>
              <w:bottom w:val="single" w:sz="8" w:space="0" w:color="auto"/>
              <w:right w:val="single" w:sz="8" w:space="0" w:color="auto"/>
            </w:tcBorders>
            <w:shd w:val="clear" w:color="auto" w:fill="auto"/>
            <w:noWrap/>
            <w:vAlign w:val="bottom"/>
            <w:hideMark/>
          </w:tcPr>
          <w:p w14:paraId="7D9D2FD1" w14:textId="77777777" w:rsidR="000951CF" w:rsidRPr="009B1F4A" w:rsidRDefault="000951CF" w:rsidP="00396651">
            <w:pPr>
              <w:autoSpaceDE/>
              <w:autoSpaceDN/>
              <w:adjustRightInd/>
              <w:jc w:val="right"/>
              <w:rPr>
                <w:color w:val="000000"/>
                <w:sz w:val="22"/>
                <w:szCs w:val="22"/>
              </w:rPr>
            </w:pPr>
            <w:r w:rsidRPr="009B1F4A">
              <w:rPr>
                <w:color w:val="000000"/>
                <w:sz w:val="22"/>
                <w:szCs w:val="22"/>
              </w:rPr>
              <w:t>588</w:t>
            </w:r>
          </w:p>
        </w:tc>
      </w:tr>
    </w:tbl>
    <w:p w14:paraId="4D8DFCA0" w14:textId="77777777" w:rsidR="000951CF" w:rsidRDefault="000951CF" w:rsidP="000951CF">
      <w:pPr>
        <w:rPr>
          <w:sz w:val="24"/>
          <w:szCs w:val="24"/>
        </w:rPr>
      </w:pPr>
    </w:p>
    <w:p w14:paraId="2BEF66F2" w14:textId="77777777" w:rsidR="000951CF" w:rsidRPr="00ED4F3C" w:rsidRDefault="000951CF" w:rsidP="000951CF">
      <w:pPr>
        <w:autoSpaceDE/>
        <w:autoSpaceDN/>
        <w:adjustRightInd/>
        <w:rPr>
          <w:i/>
          <w:sz w:val="24"/>
          <w:szCs w:val="24"/>
        </w:rPr>
      </w:pPr>
      <w:r w:rsidRPr="00ED4F3C">
        <w:rPr>
          <w:i/>
          <w:sz w:val="24"/>
          <w:szCs w:val="24"/>
        </w:rPr>
        <w:t>CDX Registration Activities to Enable Electronic Reporting</w:t>
      </w:r>
    </w:p>
    <w:p w14:paraId="1A4D180D" w14:textId="77777777" w:rsidR="000951CF" w:rsidRDefault="000951CF" w:rsidP="000951CF">
      <w:pPr>
        <w:rPr>
          <w:sz w:val="24"/>
          <w:szCs w:val="24"/>
        </w:rPr>
      </w:pPr>
    </w:p>
    <w:p w14:paraId="1AA05ECD" w14:textId="77777777" w:rsidR="000951CF" w:rsidRPr="009675F4" w:rsidRDefault="000951CF" w:rsidP="000951CF">
      <w:pPr>
        <w:ind w:firstLine="720"/>
        <w:rPr>
          <w:sz w:val="24"/>
          <w:szCs w:val="24"/>
        </w:rPr>
      </w:pPr>
      <w:r>
        <w:rPr>
          <w:sz w:val="24"/>
          <w:szCs w:val="24"/>
        </w:rPr>
        <w:t>EPA estimates</w:t>
      </w:r>
      <w:r w:rsidRPr="009675F4">
        <w:rPr>
          <w:sz w:val="24"/>
          <w:szCs w:val="24"/>
        </w:rPr>
        <w:t xml:space="preserve"> that technical staff at companies submitting </w:t>
      </w:r>
      <w:r>
        <w:rPr>
          <w:sz w:val="24"/>
          <w:szCs w:val="24"/>
        </w:rPr>
        <w:t>section 8</w:t>
      </w:r>
      <w:r w:rsidRPr="009675F4">
        <w:rPr>
          <w:sz w:val="24"/>
          <w:szCs w:val="24"/>
        </w:rPr>
        <w:t>(e) notices and FYIs would incur the following one-time burden to complete CDX registration activities (including obtaining a C</w:t>
      </w:r>
      <w:r>
        <w:rPr>
          <w:sz w:val="24"/>
          <w:szCs w:val="24"/>
        </w:rPr>
        <w:t>DX electronic signature). Some section 8</w:t>
      </w:r>
      <w:r w:rsidRPr="009675F4">
        <w:rPr>
          <w:sz w:val="24"/>
          <w:szCs w:val="24"/>
        </w:rPr>
        <w:t>(e)</w:t>
      </w:r>
      <w:r>
        <w:rPr>
          <w:sz w:val="24"/>
          <w:szCs w:val="24"/>
        </w:rPr>
        <w:t xml:space="preserve"> and </w:t>
      </w:r>
      <w:r w:rsidRPr="009675F4">
        <w:rPr>
          <w:sz w:val="24"/>
          <w:szCs w:val="24"/>
        </w:rPr>
        <w:t>FYI submitters may already have registered to use the e-TSCA</w:t>
      </w:r>
      <w:r>
        <w:rPr>
          <w:sz w:val="24"/>
          <w:szCs w:val="24"/>
        </w:rPr>
        <w:t xml:space="preserve"> </w:t>
      </w:r>
      <w:r w:rsidRPr="009675F4">
        <w:rPr>
          <w:sz w:val="24"/>
          <w:szCs w:val="24"/>
        </w:rPr>
        <w:t>web reporting tool in CDX (and obtained an accompanying electronic signature) in order to comply with the mandatory electronic reporting re</w:t>
      </w:r>
      <w:r>
        <w:rPr>
          <w:sz w:val="24"/>
          <w:szCs w:val="24"/>
        </w:rPr>
        <w:t xml:space="preserve">quirements of EPA’s e-PMN rule </w:t>
      </w:r>
      <w:r w:rsidRPr="009675F4">
        <w:rPr>
          <w:sz w:val="24"/>
          <w:szCs w:val="24"/>
        </w:rPr>
        <w:t>and/or IUR/CDR rule. Those submitters will not need to repeat the CDX registration and e-sign</w:t>
      </w:r>
      <w:r>
        <w:rPr>
          <w:sz w:val="24"/>
          <w:szCs w:val="24"/>
        </w:rPr>
        <w:t>ature process in order to file section 8</w:t>
      </w:r>
      <w:r w:rsidRPr="009675F4">
        <w:rPr>
          <w:sz w:val="24"/>
          <w:szCs w:val="24"/>
        </w:rPr>
        <w:t>(e)</w:t>
      </w:r>
      <w:r>
        <w:rPr>
          <w:sz w:val="24"/>
          <w:szCs w:val="24"/>
        </w:rPr>
        <w:t xml:space="preserve"> and </w:t>
      </w:r>
      <w:r w:rsidRPr="009675F4">
        <w:rPr>
          <w:sz w:val="24"/>
          <w:szCs w:val="24"/>
        </w:rPr>
        <w:t>FYI notices. While there may be some overlap in the specific individuals that have already completed CDX activities, EPA is using a conservative assumption that all submitters who will file electronically will need to register with CDX and, thus, incur associated burdens. This assumption may overestimate the burdens and costs actually experienced by respondents.</w:t>
      </w:r>
      <w:r>
        <w:rPr>
          <w:sz w:val="24"/>
          <w:szCs w:val="24"/>
        </w:rPr>
        <w:t xml:space="preserve"> </w:t>
      </w:r>
      <w:r w:rsidRPr="009675F4">
        <w:rPr>
          <w:sz w:val="24"/>
          <w:szCs w:val="24"/>
        </w:rPr>
        <w:t>The one-time CDX burden includes the following:</w:t>
      </w:r>
    </w:p>
    <w:p w14:paraId="15619B2B" w14:textId="77777777" w:rsidR="000951CF" w:rsidRPr="009675F4" w:rsidRDefault="000951CF" w:rsidP="000951CF">
      <w:pPr>
        <w:rPr>
          <w:sz w:val="24"/>
          <w:szCs w:val="24"/>
        </w:rPr>
      </w:pPr>
    </w:p>
    <w:p w14:paraId="5C8A790A" w14:textId="518F95CA" w:rsidR="000951CF" w:rsidRPr="005276D2" w:rsidRDefault="000951CF" w:rsidP="000951CF">
      <w:pPr>
        <w:ind w:firstLine="720"/>
        <w:rPr>
          <w:sz w:val="24"/>
          <w:szCs w:val="24"/>
        </w:rPr>
      </w:pPr>
      <w:r w:rsidRPr="005276D2">
        <w:rPr>
          <w:i/>
          <w:sz w:val="24"/>
          <w:szCs w:val="24"/>
        </w:rPr>
        <w:t xml:space="preserve">CDX </w:t>
      </w:r>
      <w:r w:rsidR="00EE0D24">
        <w:rPr>
          <w:i/>
          <w:sz w:val="24"/>
          <w:szCs w:val="24"/>
        </w:rPr>
        <w:t>r</w:t>
      </w:r>
      <w:r w:rsidRPr="005276D2">
        <w:rPr>
          <w:i/>
          <w:sz w:val="24"/>
          <w:szCs w:val="24"/>
        </w:rPr>
        <w:t>egistration</w:t>
      </w:r>
      <w:r w:rsidRPr="005276D2">
        <w:rPr>
          <w:sz w:val="24"/>
          <w:szCs w:val="24"/>
        </w:rPr>
        <w:t xml:space="preserve"> – </w:t>
      </w:r>
      <w:r w:rsidR="00EE0D24">
        <w:rPr>
          <w:sz w:val="24"/>
          <w:szCs w:val="24"/>
        </w:rPr>
        <w:t>Based on the TSC</w:t>
      </w:r>
      <w:r>
        <w:rPr>
          <w:sz w:val="24"/>
          <w:szCs w:val="24"/>
        </w:rPr>
        <w:t xml:space="preserve">A </w:t>
      </w:r>
      <w:r w:rsidR="00EE0D24">
        <w:rPr>
          <w:sz w:val="24"/>
          <w:szCs w:val="24"/>
        </w:rPr>
        <w:t>s</w:t>
      </w:r>
      <w:r>
        <w:rPr>
          <w:sz w:val="24"/>
          <w:szCs w:val="24"/>
        </w:rPr>
        <w:t xml:space="preserve">ection 5 ICR </w:t>
      </w:r>
      <w:r w:rsidR="00EE0D24">
        <w:rPr>
          <w:sz w:val="24"/>
          <w:szCs w:val="24"/>
        </w:rPr>
        <w:t>r</w:t>
      </w:r>
      <w:r>
        <w:rPr>
          <w:sz w:val="24"/>
          <w:szCs w:val="24"/>
        </w:rPr>
        <w:t xml:space="preserve">enewal, </w:t>
      </w:r>
      <w:r w:rsidRPr="005276D2">
        <w:rPr>
          <w:sz w:val="24"/>
          <w:szCs w:val="24"/>
        </w:rPr>
        <w:t xml:space="preserve">EPA assumed that companies would spend </w:t>
      </w:r>
      <w:r>
        <w:rPr>
          <w:sz w:val="24"/>
          <w:szCs w:val="24"/>
        </w:rPr>
        <w:t xml:space="preserve">about </w:t>
      </w:r>
      <w:r w:rsidRPr="005276D2">
        <w:rPr>
          <w:sz w:val="24"/>
          <w:szCs w:val="24"/>
        </w:rPr>
        <w:t>eleven minutes per employee to register with CDX (EPA, 20</w:t>
      </w:r>
      <w:r>
        <w:rPr>
          <w:sz w:val="24"/>
          <w:szCs w:val="24"/>
        </w:rPr>
        <w:t>15</w:t>
      </w:r>
      <w:r w:rsidRPr="005276D2">
        <w:rPr>
          <w:sz w:val="24"/>
          <w:szCs w:val="24"/>
        </w:rPr>
        <w:t xml:space="preserve">). </w:t>
      </w:r>
    </w:p>
    <w:p w14:paraId="47526C38" w14:textId="77777777" w:rsidR="000951CF" w:rsidRPr="00D572E4" w:rsidRDefault="000951CF" w:rsidP="000951CF">
      <w:pPr>
        <w:rPr>
          <w:i/>
          <w:sz w:val="24"/>
          <w:szCs w:val="24"/>
        </w:rPr>
      </w:pPr>
    </w:p>
    <w:p w14:paraId="400E7649" w14:textId="08BB27CD" w:rsidR="000951CF" w:rsidRDefault="000951CF" w:rsidP="000951CF">
      <w:pPr>
        <w:ind w:firstLine="720"/>
        <w:rPr>
          <w:sz w:val="24"/>
          <w:szCs w:val="24"/>
        </w:rPr>
      </w:pPr>
      <w:r w:rsidRPr="005276D2">
        <w:rPr>
          <w:i/>
          <w:sz w:val="24"/>
          <w:szCs w:val="24"/>
        </w:rPr>
        <w:t>CDX electronic signature (labor burden)</w:t>
      </w:r>
      <w:r w:rsidRPr="005276D2">
        <w:rPr>
          <w:sz w:val="24"/>
          <w:szCs w:val="24"/>
        </w:rPr>
        <w:t xml:space="preserve"> – </w:t>
      </w:r>
      <w:r>
        <w:rPr>
          <w:sz w:val="24"/>
          <w:szCs w:val="24"/>
        </w:rPr>
        <w:t xml:space="preserve">Based on the </w:t>
      </w:r>
      <w:r w:rsidR="00EE0D24">
        <w:rPr>
          <w:sz w:val="24"/>
          <w:szCs w:val="24"/>
        </w:rPr>
        <w:t>TSC</w:t>
      </w:r>
      <w:r>
        <w:rPr>
          <w:sz w:val="24"/>
          <w:szCs w:val="24"/>
        </w:rPr>
        <w:t xml:space="preserve">A </w:t>
      </w:r>
      <w:r w:rsidR="00EE0D24">
        <w:rPr>
          <w:sz w:val="24"/>
          <w:szCs w:val="24"/>
        </w:rPr>
        <w:t>s</w:t>
      </w:r>
      <w:r>
        <w:rPr>
          <w:sz w:val="24"/>
          <w:szCs w:val="24"/>
        </w:rPr>
        <w:t xml:space="preserve">ection 5 ICR </w:t>
      </w:r>
      <w:r w:rsidR="00EE0D24">
        <w:rPr>
          <w:sz w:val="24"/>
          <w:szCs w:val="24"/>
        </w:rPr>
        <w:t>r</w:t>
      </w:r>
      <w:r>
        <w:rPr>
          <w:sz w:val="24"/>
          <w:szCs w:val="24"/>
        </w:rPr>
        <w:t xml:space="preserve">enewal, </w:t>
      </w:r>
      <w:r w:rsidRPr="005276D2">
        <w:rPr>
          <w:sz w:val="24"/>
          <w:szCs w:val="24"/>
        </w:rPr>
        <w:t>EPA assumed that companies</w:t>
      </w:r>
      <w:r>
        <w:rPr>
          <w:sz w:val="24"/>
          <w:szCs w:val="24"/>
        </w:rPr>
        <w:t>’ technical staff</w:t>
      </w:r>
      <w:r w:rsidRPr="005276D2">
        <w:rPr>
          <w:sz w:val="24"/>
          <w:szCs w:val="24"/>
        </w:rPr>
        <w:t xml:space="preserve"> would spend </w:t>
      </w:r>
      <w:r>
        <w:rPr>
          <w:sz w:val="24"/>
          <w:szCs w:val="24"/>
        </w:rPr>
        <w:t>21</w:t>
      </w:r>
      <w:r w:rsidRPr="005276D2">
        <w:rPr>
          <w:sz w:val="24"/>
          <w:szCs w:val="24"/>
        </w:rPr>
        <w:t xml:space="preserve"> </w:t>
      </w:r>
      <w:r w:rsidR="00EE0D24">
        <w:rPr>
          <w:sz w:val="24"/>
          <w:szCs w:val="24"/>
        </w:rPr>
        <w:t>minutes preparing, submitting</w:t>
      </w:r>
      <w:r w:rsidRPr="005276D2">
        <w:rPr>
          <w:sz w:val="24"/>
          <w:szCs w:val="24"/>
        </w:rPr>
        <w:t xml:space="preserve"> and filing an electronic signature agreement (Authentication of Identity) form to EPA</w:t>
      </w:r>
      <w:r w:rsidR="00EE0D24">
        <w:rPr>
          <w:sz w:val="24"/>
          <w:szCs w:val="24"/>
        </w:rPr>
        <w:t>,</w:t>
      </w:r>
      <w:r w:rsidRPr="005276D2">
        <w:rPr>
          <w:sz w:val="24"/>
          <w:szCs w:val="24"/>
        </w:rPr>
        <w:t xml:space="preserve"> per employee (EPA, 20</w:t>
      </w:r>
      <w:r>
        <w:rPr>
          <w:sz w:val="24"/>
          <w:szCs w:val="24"/>
        </w:rPr>
        <w:t>15</w:t>
      </w:r>
      <w:r w:rsidRPr="005276D2">
        <w:rPr>
          <w:sz w:val="24"/>
          <w:szCs w:val="24"/>
        </w:rPr>
        <w:t xml:space="preserve">). </w:t>
      </w:r>
    </w:p>
    <w:p w14:paraId="05DCB57A" w14:textId="77777777" w:rsidR="000951CF" w:rsidRDefault="000951CF" w:rsidP="000951CF">
      <w:pPr>
        <w:ind w:firstLine="720"/>
        <w:rPr>
          <w:sz w:val="24"/>
          <w:szCs w:val="24"/>
        </w:rPr>
      </w:pPr>
    </w:p>
    <w:p w14:paraId="7F2AAC75" w14:textId="77777777" w:rsidR="000951CF" w:rsidRDefault="000951CF" w:rsidP="000951CF">
      <w:pPr>
        <w:ind w:firstLine="720"/>
        <w:rPr>
          <w:sz w:val="24"/>
          <w:szCs w:val="24"/>
        </w:rPr>
      </w:pPr>
      <w:r>
        <w:rPr>
          <w:sz w:val="24"/>
          <w:szCs w:val="24"/>
        </w:rPr>
        <w:t xml:space="preserve">To estimate the number of CDX registrants who will submit initial and follow-up section 8(e) and voluntary FYI submissions, </w:t>
      </w:r>
      <w:r w:rsidRPr="008D74F8">
        <w:rPr>
          <w:sz w:val="24"/>
          <w:szCs w:val="24"/>
        </w:rPr>
        <w:t xml:space="preserve">EPA </w:t>
      </w:r>
      <w:r>
        <w:rPr>
          <w:sz w:val="24"/>
          <w:szCs w:val="24"/>
        </w:rPr>
        <w:t>averages</w:t>
      </w:r>
      <w:r w:rsidRPr="008D74F8">
        <w:rPr>
          <w:sz w:val="24"/>
          <w:szCs w:val="24"/>
        </w:rPr>
        <w:t xml:space="preserve"> the total number of distinct </w:t>
      </w:r>
      <w:r>
        <w:rPr>
          <w:sz w:val="24"/>
          <w:szCs w:val="24"/>
        </w:rPr>
        <w:t>section 8</w:t>
      </w:r>
      <w:r w:rsidRPr="008D74F8">
        <w:rPr>
          <w:sz w:val="24"/>
          <w:szCs w:val="24"/>
        </w:rPr>
        <w:t xml:space="preserve">(e) and FYI submitters (for both initial and follow-up submissions) for </w:t>
      </w:r>
      <w:r>
        <w:rPr>
          <w:sz w:val="24"/>
          <w:szCs w:val="24"/>
        </w:rPr>
        <w:t>fiscal years 2013</w:t>
      </w:r>
      <w:r w:rsidRPr="008D74F8">
        <w:rPr>
          <w:sz w:val="24"/>
          <w:szCs w:val="24"/>
        </w:rPr>
        <w:t xml:space="preserve">, </w:t>
      </w:r>
      <w:r>
        <w:rPr>
          <w:sz w:val="24"/>
          <w:szCs w:val="24"/>
        </w:rPr>
        <w:t>2014 and 2015</w:t>
      </w:r>
      <w:r w:rsidRPr="008D74F8">
        <w:rPr>
          <w:sz w:val="24"/>
          <w:szCs w:val="24"/>
        </w:rPr>
        <w:t xml:space="preserve"> </w:t>
      </w:r>
      <w:r>
        <w:rPr>
          <w:sz w:val="24"/>
          <w:szCs w:val="24"/>
        </w:rPr>
        <w:t xml:space="preserve">to obtain the average of 65 annual registrations for the basis of this ICR renewal. Table 3 provides a summary of estimates for unit burden and the annual burden associated with CDX registrations. </w:t>
      </w:r>
    </w:p>
    <w:p w14:paraId="23270BFA" w14:textId="77777777" w:rsidR="000951CF" w:rsidRDefault="000951CF" w:rsidP="000951CF">
      <w:pPr>
        <w:ind w:firstLine="720"/>
        <w:rPr>
          <w:sz w:val="24"/>
          <w:szCs w:val="24"/>
        </w:rPr>
      </w:pPr>
    </w:p>
    <w:tbl>
      <w:tblPr>
        <w:tblW w:w="9321" w:type="dxa"/>
        <w:tblInd w:w="93" w:type="dxa"/>
        <w:tblLook w:val="04A0" w:firstRow="1" w:lastRow="0" w:firstColumn="1" w:lastColumn="0" w:noHBand="0" w:noVBand="1"/>
      </w:tblPr>
      <w:tblGrid>
        <w:gridCol w:w="1511"/>
        <w:gridCol w:w="1205"/>
        <w:gridCol w:w="1050"/>
        <w:gridCol w:w="961"/>
        <w:gridCol w:w="833"/>
        <w:gridCol w:w="1295"/>
        <w:gridCol w:w="1417"/>
        <w:gridCol w:w="1049"/>
      </w:tblGrid>
      <w:tr w:rsidR="000951CF" w:rsidRPr="004F6403" w14:paraId="12A9FF62" w14:textId="77777777" w:rsidTr="00396651">
        <w:trPr>
          <w:trHeight w:val="323"/>
        </w:trPr>
        <w:tc>
          <w:tcPr>
            <w:tcW w:w="9321" w:type="dxa"/>
            <w:gridSpan w:val="8"/>
            <w:tcBorders>
              <w:top w:val="nil"/>
              <w:left w:val="nil"/>
              <w:bottom w:val="single" w:sz="8" w:space="0" w:color="auto"/>
              <w:right w:val="nil"/>
            </w:tcBorders>
            <w:shd w:val="clear" w:color="auto" w:fill="auto"/>
            <w:noWrap/>
            <w:vAlign w:val="center"/>
            <w:hideMark/>
          </w:tcPr>
          <w:p w14:paraId="2C0338E2" w14:textId="77777777" w:rsidR="000951CF" w:rsidRPr="004F6403" w:rsidRDefault="000951CF" w:rsidP="00396651">
            <w:pPr>
              <w:autoSpaceDE/>
              <w:autoSpaceDN/>
              <w:adjustRightInd/>
              <w:rPr>
                <w:b/>
                <w:bCs/>
                <w:color w:val="000000"/>
                <w:sz w:val="24"/>
                <w:szCs w:val="24"/>
              </w:rPr>
            </w:pPr>
            <w:r w:rsidRPr="004F6403">
              <w:rPr>
                <w:b/>
                <w:bCs/>
                <w:color w:val="000000"/>
                <w:sz w:val="24"/>
                <w:szCs w:val="24"/>
              </w:rPr>
              <w:t>Table 3. Estimated Annual Burden Associated with CDX Registration Activities</w:t>
            </w:r>
          </w:p>
        </w:tc>
      </w:tr>
      <w:tr w:rsidR="000951CF" w:rsidRPr="004F6403" w14:paraId="2CF3EE8A" w14:textId="77777777" w:rsidTr="00396651">
        <w:trPr>
          <w:trHeight w:val="630"/>
        </w:trPr>
        <w:tc>
          <w:tcPr>
            <w:tcW w:w="1511"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1EB71ECE" w14:textId="77777777" w:rsidR="000951CF" w:rsidRPr="004F6403" w:rsidRDefault="000951CF" w:rsidP="00396651">
            <w:pPr>
              <w:autoSpaceDE/>
              <w:autoSpaceDN/>
              <w:adjustRightInd/>
              <w:jc w:val="center"/>
              <w:rPr>
                <w:b/>
                <w:bCs/>
                <w:color w:val="000000"/>
              </w:rPr>
            </w:pPr>
            <w:r w:rsidRPr="004F6403">
              <w:rPr>
                <w:b/>
                <w:bCs/>
                <w:color w:val="000000"/>
              </w:rPr>
              <w:t>Activity</w:t>
            </w:r>
          </w:p>
        </w:tc>
        <w:tc>
          <w:tcPr>
            <w:tcW w:w="4018" w:type="dxa"/>
            <w:gridSpan w:val="4"/>
            <w:tcBorders>
              <w:top w:val="single" w:sz="8" w:space="0" w:color="auto"/>
              <w:left w:val="nil"/>
              <w:bottom w:val="single" w:sz="8" w:space="0" w:color="auto"/>
              <w:right w:val="single" w:sz="8" w:space="0" w:color="000000"/>
            </w:tcBorders>
            <w:shd w:val="clear" w:color="000000" w:fill="D9D9D9"/>
            <w:noWrap/>
            <w:vAlign w:val="center"/>
            <w:hideMark/>
          </w:tcPr>
          <w:p w14:paraId="72259442" w14:textId="77777777" w:rsidR="000951CF" w:rsidRPr="004F6403" w:rsidRDefault="000951CF" w:rsidP="00396651">
            <w:pPr>
              <w:autoSpaceDE/>
              <w:autoSpaceDN/>
              <w:adjustRightInd/>
              <w:jc w:val="center"/>
              <w:rPr>
                <w:b/>
                <w:bCs/>
                <w:color w:val="000000"/>
              </w:rPr>
            </w:pPr>
            <w:r w:rsidRPr="004F6403">
              <w:rPr>
                <w:b/>
                <w:bCs/>
                <w:color w:val="000000"/>
              </w:rPr>
              <w:t>Estimated Burden Hours per Response</w:t>
            </w:r>
          </w:p>
        </w:tc>
        <w:tc>
          <w:tcPr>
            <w:tcW w:w="1295"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26B5967F" w14:textId="77777777" w:rsidR="000951CF" w:rsidRPr="004F6403" w:rsidRDefault="000951CF" w:rsidP="00396651">
            <w:pPr>
              <w:autoSpaceDE/>
              <w:autoSpaceDN/>
              <w:adjustRightInd/>
              <w:jc w:val="center"/>
              <w:rPr>
                <w:b/>
                <w:bCs/>
                <w:color w:val="000000"/>
              </w:rPr>
            </w:pPr>
            <w:r w:rsidRPr="004F6403">
              <w:rPr>
                <w:b/>
                <w:bCs/>
                <w:color w:val="000000"/>
              </w:rPr>
              <w:t>Number of Responses</w:t>
            </w:r>
          </w:p>
        </w:tc>
        <w:tc>
          <w:tcPr>
            <w:tcW w:w="1417"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1F5B5CFB" w14:textId="77777777" w:rsidR="000951CF" w:rsidRPr="004F6403" w:rsidRDefault="000951CF" w:rsidP="00396651">
            <w:pPr>
              <w:autoSpaceDE/>
              <w:autoSpaceDN/>
              <w:adjustRightInd/>
              <w:jc w:val="center"/>
              <w:rPr>
                <w:b/>
                <w:bCs/>
                <w:color w:val="000000"/>
              </w:rPr>
            </w:pPr>
            <w:r w:rsidRPr="004F6403">
              <w:rPr>
                <w:b/>
                <w:bCs/>
                <w:color w:val="000000"/>
              </w:rPr>
              <w:t xml:space="preserve">Estimated Number of Annual Respondents </w:t>
            </w:r>
          </w:p>
        </w:tc>
        <w:tc>
          <w:tcPr>
            <w:tcW w:w="1080"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0F0AD0AB" w14:textId="77777777" w:rsidR="000951CF" w:rsidRPr="004F6403" w:rsidRDefault="000951CF" w:rsidP="00396651">
            <w:pPr>
              <w:autoSpaceDE/>
              <w:autoSpaceDN/>
              <w:adjustRightInd/>
              <w:jc w:val="center"/>
              <w:rPr>
                <w:b/>
                <w:bCs/>
                <w:color w:val="000000"/>
              </w:rPr>
            </w:pPr>
            <w:r w:rsidRPr="004F6403">
              <w:rPr>
                <w:b/>
                <w:bCs/>
                <w:color w:val="000000"/>
              </w:rPr>
              <w:t>Annual Burden</w:t>
            </w:r>
          </w:p>
        </w:tc>
      </w:tr>
      <w:tr w:rsidR="000951CF" w:rsidRPr="004F6403" w14:paraId="5D4B55AF" w14:textId="77777777" w:rsidTr="00396651">
        <w:trPr>
          <w:trHeight w:val="600"/>
        </w:trPr>
        <w:tc>
          <w:tcPr>
            <w:tcW w:w="1511" w:type="dxa"/>
            <w:vMerge/>
            <w:tcBorders>
              <w:top w:val="nil"/>
              <w:left w:val="single" w:sz="8" w:space="0" w:color="auto"/>
              <w:bottom w:val="single" w:sz="8" w:space="0" w:color="000000"/>
              <w:right w:val="single" w:sz="8" w:space="0" w:color="auto"/>
            </w:tcBorders>
            <w:vAlign w:val="center"/>
            <w:hideMark/>
          </w:tcPr>
          <w:p w14:paraId="2512E360" w14:textId="77777777" w:rsidR="000951CF" w:rsidRPr="004F6403" w:rsidRDefault="000951CF" w:rsidP="00396651">
            <w:pPr>
              <w:autoSpaceDE/>
              <w:autoSpaceDN/>
              <w:adjustRightInd/>
              <w:rPr>
                <w:b/>
                <w:bCs/>
                <w:color w:val="000000"/>
              </w:rPr>
            </w:pPr>
          </w:p>
        </w:tc>
        <w:tc>
          <w:tcPr>
            <w:tcW w:w="1174" w:type="dxa"/>
            <w:tcBorders>
              <w:top w:val="nil"/>
              <w:left w:val="nil"/>
              <w:bottom w:val="single" w:sz="8" w:space="0" w:color="auto"/>
              <w:right w:val="single" w:sz="8" w:space="0" w:color="auto"/>
            </w:tcBorders>
            <w:shd w:val="clear" w:color="000000" w:fill="D9D9D9"/>
            <w:noWrap/>
            <w:vAlign w:val="center"/>
            <w:hideMark/>
          </w:tcPr>
          <w:p w14:paraId="60A9990A" w14:textId="77777777" w:rsidR="000951CF" w:rsidRPr="004F6403" w:rsidRDefault="000951CF" w:rsidP="00396651">
            <w:pPr>
              <w:autoSpaceDE/>
              <w:autoSpaceDN/>
              <w:adjustRightInd/>
              <w:jc w:val="center"/>
              <w:rPr>
                <w:b/>
                <w:bCs/>
                <w:color w:val="000000"/>
              </w:rPr>
            </w:pPr>
            <w:r w:rsidRPr="004F6403">
              <w:rPr>
                <w:b/>
                <w:bCs/>
                <w:color w:val="000000"/>
              </w:rPr>
              <w:t>Managerial</w:t>
            </w:r>
          </w:p>
        </w:tc>
        <w:tc>
          <w:tcPr>
            <w:tcW w:w="1050" w:type="dxa"/>
            <w:tcBorders>
              <w:top w:val="nil"/>
              <w:left w:val="nil"/>
              <w:bottom w:val="single" w:sz="8" w:space="0" w:color="auto"/>
              <w:right w:val="single" w:sz="8" w:space="0" w:color="auto"/>
            </w:tcBorders>
            <w:shd w:val="clear" w:color="000000" w:fill="D9D9D9"/>
            <w:vAlign w:val="center"/>
            <w:hideMark/>
          </w:tcPr>
          <w:p w14:paraId="6560F331" w14:textId="77777777" w:rsidR="000951CF" w:rsidRPr="004F6403" w:rsidRDefault="000951CF" w:rsidP="00396651">
            <w:pPr>
              <w:autoSpaceDE/>
              <w:autoSpaceDN/>
              <w:adjustRightInd/>
              <w:jc w:val="center"/>
              <w:rPr>
                <w:b/>
                <w:bCs/>
                <w:color w:val="000000"/>
              </w:rPr>
            </w:pPr>
            <w:r w:rsidRPr="004F6403">
              <w:rPr>
                <w:b/>
                <w:bCs/>
                <w:color w:val="000000"/>
              </w:rPr>
              <w:t>Technical</w:t>
            </w:r>
          </w:p>
        </w:tc>
        <w:tc>
          <w:tcPr>
            <w:tcW w:w="961" w:type="dxa"/>
            <w:tcBorders>
              <w:top w:val="nil"/>
              <w:left w:val="nil"/>
              <w:bottom w:val="single" w:sz="8" w:space="0" w:color="auto"/>
              <w:right w:val="single" w:sz="8" w:space="0" w:color="auto"/>
            </w:tcBorders>
            <w:shd w:val="clear" w:color="000000" w:fill="D9D9D9"/>
            <w:vAlign w:val="center"/>
            <w:hideMark/>
          </w:tcPr>
          <w:p w14:paraId="535E817B" w14:textId="77777777" w:rsidR="000951CF" w:rsidRPr="004F6403" w:rsidRDefault="000951CF" w:rsidP="00396651">
            <w:pPr>
              <w:autoSpaceDE/>
              <w:autoSpaceDN/>
              <w:adjustRightInd/>
              <w:jc w:val="center"/>
              <w:rPr>
                <w:b/>
                <w:bCs/>
                <w:color w:val="000000"/>
              </w:rPr>
            </w:pPr>
            <w:r w:rsidRPr="004F6403">
              <w:rPr>
                <w:b/>
                <w:bCs/>
                <w:color w:val="000000"/>
              </w:rPr>
              <w:t>Clerical</w:t>
            </w:r>
          </w:p>
        </w:tc>
        <w:tc>
          <w:tcPr>
            <w:tcW w:w="833" w:type="dxa"/>
            <w:tcBorders>
              <w:top w:val="nil"/>
              <w:left w:val="nil"/>
              <w:bottom w:val="single" w:sz="8" w:space="0" w:color="auto"/>
              <w:right w:val="single" w:sz="8" w:space="0" w:color="auto"/>
            </w:tcBorders>
            <w:shd w:val="clear" w:color="000000" w:fill="D9D9D9"/>
            <w:vAlign w:val="center"/>
            <w:hideMark/>
          </w:tcPr>
          <w:p w14:paraId="6B9A2DFD" w14:textId="77777777" w:rsidR="000951CF" w:rsidRPr="004F6403" w:rsidRDefault="000951CF" w:rsidP="00396651">
            <w:pPr>
              <w:autoSpaceDE/>
              <w:autoSpaceDN/>
              <w:adjustRightInd/>
              <w:jc w:val="center"/>
              <w:rPr>
                <w:b/>
                <w:bCs/>
                <w:color w:val="000000"/>
              </w:rPr>
            </w:pPr>
            <w:r w:rsidRPr="004F6403">
              <w:rPr>
                <w:b/>
                <w:bCs/>
                <w:color w:val="000000"/>
              </w:rPr>
              <w:t>Total</w:t>
            </w:r>
          </w:p>
        </w:tc>
        <w:tc>
          <w:tcPr>
            <w:tcW w:w="1295" w:type="dxa"/>
            <w:vMerge/>
            <w:tcBorders>
              <w:top w:val="nil"/>
              <w:left w:val="single" w:sz="8" w:space="0" w:color="auto"/>
              <w:bottom w:val="single" w:sz="8" w:space="0" w:color="000000"/>
              <w:right w:val="single" w:sz="8" w:space="0" w:color="auto"/>
            </w:tcBorders>
            <w:vAlign w:val="center"/>
            <w:hideMark/>
          </w:tcPr>
          <w:p w14:paraId="14E328BE" w14:textId="77777777" w:rsidR="000951CF" w:rsidRPr="004F6403" w:rsidRDefault="000951CF" w:rsidP="00396651">
            <w:pPr>
              <w:autoSpaceDE/>
              <w:autoSpaceDN/>
              <w:adjustRightInd/>
              <w:rPr>
                <w:b/>
                <w:bCs/>
                <w:color w:val="000000"/>
              </w:rPr>
            </w:pPr>
          </w:p>
        </w:tc>
        <w:tc>
          <w:tcPr>
            <w:tcW w:w="1417" w:type="dxa"/>
            <w:vMerge/>
            <w:tcBorders>
              <w:top w:val="nil"/>
              <w:left w:val="single" w:sz="8" w:space="0" w:color="auto"/>
              <w:bottom w:val="single" w:sz="8" w:space="0" w:color="000000"/>
              <w:right w:val="single" w:sz="8" w:space="0" w:color="auto"/>
            </w:tcBorders>
            <w:vAlign w:val="center"/>
            <w:hideMark/>
          </w:tcPr>
          <w:p w14:paraId="699EAECD" w14:textId="77777777" w:rsidR="000951CF" w:rsidRPr="004F6403" w:rsidRDefault="000951CF" w:rsidP="00396651">
            <w:pPr>
              <w:autoSpaceDE/>
              <w:autoSpaceDN/>
              <w:adjustRightInd/>
              <w:rPr>
                <w:b/>
                <w:bCs/>
                <w:color w:val="000000"/>
              </w:rPr>
            </w:pPr>
          </w:p>
        </w:tc>
        <w:tc>
          <w:tcPr>
            <w:tcW w:w="1080" w:type="dxa"/>
            <w:vMerge/>
            <w:tcBorders>
              <w:top w:val="nil"/>
              <w:left w:val="single" w:sz="8" w:space="0" w:color="auto"/>
              <w:bottom w:val="single" w:sz="8" w:space="0" w:color="000000"/>
              <w:right w:val="single" w:sz="8" w:space="0" w:color="auto"/>
            </w:tcBorders>
            <w:vAlign w:val="center"/>
            <w:hideMark/>
          </w:tcPr>
          <w:p w14:paraId="07A4EE01" w14:textId="77777777" w:rsidR="000951CF" w:rsidRPr="004F6403" w:rsidRDefault="000951CF" w:rsidP="00396651">
            <w:pPr>
              <w:autoSpaceDE/>
              <w:autoSpaceDN/>
              <w:adjustRightInd/>
              <w:rPr>
                <w:b/>
                <w:bCs/>
                <w:color w:val="000000"/>
              </w:rPr>
            </w:pPr>
          </w:p>
        </w:tc>
      </w:tr>
      <w:tr w:rsidR="000951CF" w:rsidRPr="004F6403" w14:paraId="0DC53B28" w14:textId="77777777" w:rsidTr="00396651">
        <w:trPr>
          <w:trHeight w:val="315"/>
        </w:trPr>
        <w:tc>
          <w:tcPr>
            <w:tcW w:w="9321"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2E22F2B1" w14:textId="77777777" w:rsidR="000951CF" w:rsidRPr="004F6403" w:rsidRDefault="000951CF" w:rsidP="00396651">
            <w:pPr>
              <w:autoSpaceDE/>
              <w:autoSpaceDN/>
              <w:adjustRightInd/>
              <w:rPr>
                <w:b/>
                <w:bCs/>
                <w:color w:val="000000"/>
              </w:rPr>
            </w:pPr>
            <w:r w:rsidRPr="004F6403">
              <w:rPr>
                <w:b/>
                <w:bCs/>
                <w:color w:val="000000"/>
              </w:rPr>
              <w:t>CDX Registration Activities</w:t>
            </w:r>
          </w:p>
        </w:tc>
      </w:tr>
      <w:tr w:rsidR="000951CF" w:rsidRPr="004F6403" w14:paraId="397AD479" w14:textId="77777777" w:rsidTr="00396651">
        <w:trPr>
          <w:trHeight w:val="525"/>
        </w:trPr>
        <w:tc>
          <w:tcPr>
            <w:tcW w:w="1511" w:type="dxa"/>
            <w:tcBorders>
              <w:top w:val="nil"/>
              <w:left w:val="single" w:sz="8" w:space="0" w:color="auto"/>
              <w:bottom w:val="single" w:sz="4" w:space="0" w:color="auto"/>
              <w:right w:val="nil"/>
            </w:tcBorders>
            <w:shd w:val="clear" w:color="auto" w:fill="auto"/>
            <w:vAlign w:val="center"/>
            <w:hideMark/>
          </w:tcPr>
          <w:p w14:paraId="627B329D" w14:textId="77777777" w:rsidR="000951CF" w:rsidRPr="004F6403" w:rsidRDefault="000951CF" w:rsidP="00396651">
            <w:pPr>
              <w:autoSpaceDE/>
              <w:autoSpaceDN/>
              <w:adjustRightInd/>
              <w:ind w:firstLineChars="100" w:firstLine="200"/>
              <w:rPr>
                <w:i/>
                <w:iCs/>
                <w:color w:val="000000"/>
              </w:rPr>
            </w:pPr>
            <w:r w:rsidRPr="004F6403">
              <w:rPr>
                <w:i/>
                <w:iCs/>
                <w:color w:val="000000"/>
              </w:rPr>
              <w:t>CDX Registration</w:t>
            </w:r>
          </w:p>
        </w:tc>
        <w:tc>
          <w:tcPr>
            <w:tcW w:w="1174" w:type="dxa"/>
            <w:tcBorders>
              <w:top w:val="nil"/>
              <w:left w:val="single" w:sz="4" w:space="0" w:color="auto"/>
              <w:bottom w:val="single" w:sz="4" w:space="0" w:color="auto"/>
              <w:right w:val="single" w:sz="4" w:space="0" w:color="auto"/>
            </w:tcBorders>
            <w:shd w:val="clear" w:color="auto" w:fill="auto"/>
            <w:noWrap/>
            <w:vAlign w:val="center"/>
            <w:hideMark/>
          </w:tcPr>
          <w:p w14:paraId="2B519D02" w14:textId="77777777" w:rsidR="000951CF" w:rsidRPr="004F6403" w:rsidRDefault="000951CF" w:rsidP="00396651">
            <w:pPr>
              <w:autoSpaceDE/>
              <w:autoSpaceDN/>
              <w:adjustRightInd/>
              <w:jc w:val="right"/>
              <w:rPr>
                <w:color w:val="000000"/>
              </w:rPr>
            </w:pPr>
            <w:r w:rsidRPr="004F6403">
              <w:rPr>
                <w:color w:val="000000"/>
              </w:rPr>
              <w:t>0</w:t>
            </w:r>
          </w:p>
        </w:tc>
        <w:tc>
          <w:tcPr>
            <w:tcW w:w="1050" w:type="dxa"/>
            <w:tcBorders>
              <w:top w:val="nil"/>
              <w:left w:val="nil"/>
              <w:bottom w:val="single" w:sz="4" w:space="0" w:color="auto"/>
              <w:right w:val="single" w:sz="4" w:space="0" w:color="auto"/>
            </w:tcBorders>
            <w:shd w:val="clear" w:color="auto" w:fill="auto"/>
            <w:vAlign w:val="center"/>
            <w:hideMark/>
          </w:tcPr>
          <w:p w14:paraId="750125BF" w14:textId="77777777" w:rsidR="000951CF" w:rsidRPr="004F6403" w:rsidRDefault="000951CF" w:rsidP="00396651">
            <w:pPr>
              <w:autoSpaceDE/>
              <w:autoSpaceDN/>
              <w:adjustRightInd/>
              <w:jc w:val="right"/>
              <w:rPr>
                <w:color w:val="000000"/>
              </w:rPr>
            </w:pPr>
            <w:r w:rsidRPr="004F6403">
              <w:rPr>
                <w:color w:val="000000"/>
              </w:rPr>
              <w:t>0.18</w:t>
            </w:r>
          </w:p>
        </w:tc>
        <w:tc>
          <w:tcPr>
            <w:tcW w:w="961" w:type="dxa"/>
            <w:tcBorders>
              <w:top w:val="nil"/>
              <w:left w:val="nil"/>
              <w:bottom w:val="single" w:sz="4" w:space="0" w:color="auto"/>
              <w:right w:val="single" w:sz="4" w:space="0" w:color="auto"/>
            </w:tcBorders>
            <w:shd w:val="clear" w:color="auto" w:fill="auto"/>
            <w:vAlign w:val="center"/>
            <w:hideMark/>
          </w:tcPr>
          <w:p w14:paraId="4812104A" w14:textId="77777777" w:rsidR="000951CF" w:rsidRPr="004F6403" w:rsidRDefault="000951CF" w:rsidP="00396651">
            <w:pPr>
              <w:autoSpaceDE/>
              <w:autoSpaceDN/>
              <w:adjustRightInd/>
              <w:jc w:val="right"/>
              <w:rPr>
                <w:color w:val="000000"/>
              </w:rPr>
            </w:pPr>
            <w:r w:rsidRPr="004F6403">
              <w:rPr>
                <w:color w:val="000000"/>
              </w:rPr>
              <w:t>0</w:t>
            </w:r>
          </w:p>
        </w:tc>
        <w:tc>
          <w:tcPr>
            <w:tcW w:w="833" w:type="dxa"/>
            <w:tcBorders>
              <w:top w:val="nil"/>
              <w:left w:val="nil"/>
              <w:bottom w:val="single" w:sz="4" w:space="0" w:color="auto"/>
              <w:right w:val="single" w:sz="8" w:space="0" w:color="auto"/>
            </w:tcBorders>
            <w:shd w:val="clear" w:color="auto" w:fill="auto"/>
            <w:vAlign w:val="center"/>
            <w:hideMark/>
          </w:tcPr>
          <w:p w14:paraId="7807C31E" w14:textId="77777777" w:rsidR="000951CF" w:rsidRPr="004F6403" w:rsidRDefault="000951CF" w:rsidP="00396651">
            <w:pPr>
              <w:autoSpaceDE/>
              <w:autoSpaceDN/>
              <w:adjustRightInd/>
              <w:jc w:val="right"/>
              <w:rPr>
                <w:color w:val="000000"/>
              </w:rPr>
            </w:pPr>
            <w:r w:rsidRPr="004F6403">
              <w:rPr>
                <w:color w:val="000000"/>
              </w:rPr>
              <w:t>0.18</w:t>
            </w:r>
          </w:p>
        </w:tc>
        <w:tc>
          <w:tcPr>
            <w:tcW w:w="1295" w:type="dxa"/>
            <w:vMerge w:val="restart"/>
            <w:tcBorders>
              <w:top w:val="nil"/>
              <w:left w:val="single" w:sz="8" w:space="0" w:color="auto"/>
              <w:bottom w:val="single" w:sz="8" w:space="0" w:color="000000"/>
              <w:right w:val="single" w:sz="8" w:space="0" w:color="auto"/>
            </w:tcBorders>
            <w:shd w:val="clear" w:color="auto" w:fill="auto"/>
            <w:vAlign w:val="center"/>
            <w:hideMark/>
          </w:tcPr>
          <w:p w14:paraId="5CD546BD" w14:textId="77777777" w:rsidR="000951CF" w:rsidRPr="004F6403" w:rsidRDefault="000951CF" w:rsidP="00396651">
            <w:pPr>
              <w:autoSpaceDE/>
              <w:autoSpaceDN/>
              <w:adjustRightInd/>
              <w:jc w:val="center"/>
              <w:rPr>
                <w:color w:val="000000"/>
              </w:rPr>
            </w:pPr>
            <w:r w:rsidRPr="004F6403">
              <w:rPr>
                <w:color w:val="000000"/>
              </w:rPr>
              <w:t>65</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7D07AFC7" w14:textId="77777777" w:rsidR="000951CF" w:rsidRPr="004F6403" w:rsidRDefault="000951CF" w:rsidP="00396651">
            <w:pPr>
              <w:autoSpaceDE/>
              <w:autoSpaceDN/>
              <w:adjustRightInd/>
              <w:jc w:val="center"/>
              <w:rPr>
                <w:color w:val="000000"/>
              </w:rPr>
            </w:pPr>
            <w:r w:rsidRPr="004F6403">
              <w:rPr>
                <w:color w:val="000000"/>
              </w:rPr>
              <w:t>65</w:t>
            </w:r>
          </w:p>
        </w:tc>
        <w:tc>
          <w:tcPr>
            <w:tcW w:w="1080" w:type="dxa"/>
            <w:tcBorders>
              <w:top w:val="nil"/>
              <w:left w:val="nil"/>
              <w:bottom w:val="single" w:sz="4" w:space="0" w:color="auto"/>
              <w:right w:val="single" w:sz="8" w:space="0" w:color="auto"/>
            </w:tcBorders>
            <w:shd w:val="clear" w:color="auto" w:fill="auto"/>
            <w:vAlign w:val="center"/>
            <w:hideMark/>
          </w:tcPr>
          <w:p w14:paraId="2AEF4D72" w14:textId="77777777" w:rsidR="000951CF" w:rsidRPr="004F6403" w:rsidRDefault="000951CF" w:rsidP="00396651">
            <w:pPr>
              <w:autoSpaceDE/>
              <w:autoSpaceDN/>
              <w:adjustRightInd/>
              <w:jc w:val="center"/>
              <w:rPr>
                <w:color w:val="000000"/>
              </w:rPr>
            </w:pPr>
            <w:r w:rsidRPr="004F6403">
              <w:rPr>
                <w:color w:val="000000"/>
              </w:rPr>
              <w:t>12</w:t>
            </w:r>
          </w:p>
        </w:tc>
      </w:tr>
      <w:tr w:rsidR="000951CF" w:rsidRPr="004F6403" w14:paraId="6981174F" w14:textId="77777777" w:rsidTr="00396651">
        <w:trPr>
          <w:trHeight w:val="525"/>
        </w:trPr>
        <w:tc>
          <w:tcPr>
            <w:tcW w:w="1511" w:type="dxa"/>
            <w:tcBorders>
              <w:top w:val="nil"/>
              <w:left w:val="single" w:sz="8" w:space="0" w:color="auto"/>
              <w:bottom w:val="single" w:sz="8" w:space="0" w:color="auto"/>
              <w:right w:val="nil"/>
            </w:tcBorders>
            <w:shd w:val="clear" w:color="auto" w:fill="auto"/>
            <w:vAlign w:val="center"/>
            <w:hideMark/>
          </w:tcPr>
          <w:p w14:paraId="3835F96E" w14:textId="77777777" w:rsidR="000951CF" w:rsidRPr="004F6403" w:rsidRDefault="000951CF" w:rsidP="00396651">
            <w:pPr>
              <w:autoSpaceDE/>
              <w:autoSpaceDN/>
              <w:adjustRightInd/>
              <w:ind w:firstLineChars="100" w:firstLine="200"/>
              <w:rPr>
                <w:i/>
                <w:iCs/>
                <w:color w:val="000000"/>
              </w:rPr>
            </w:pPr>
            <w:r w:rsidRPr="004F6403">
              <w:rPr>
                <w:i/>
                <w:iCs/>
                <w:color w:val="000000"/>
              </w:rPr>
              <w:t>CDX E-Signature</w:t>
            </w:r>
          </w:p>
        </w:tc>
        <w:tc>
          <w:tcPr>
            <w:tcW w:w="1174" w:type="dxa"/>
            <w:tcBorders>
              <w:top w:val="nil"/>
              <w:left w:val="single" w:sz="4" w:space="0" w:color="auto"/>
              <w:bottom w:val="single" w:sz="8" w:space="0" w:color="auto"/>
              <w:right w:val="single" w:sz="4" w:space="0" w:color="auto"/>
            </w:tcBorders>
            <w:shd w:val="clear" w:color="auto" w:fill="auto"/>
            <w:noWrap/>
            <w:vAlign w:val="center"/>
            <w:hideMark/>
          </w:tcPr>
          <w:p w14:paraId="09AEB1C7" w14:textId="77777777" w:rsidR="000951CF" w:rsidRPr="004F6403" w:rsidRDefault="000951CF" w:rsidP="00396651">
            <w:pPr>
              <w:autoSpaceDE/>
              <w:autoSpaceDN/>
              <w:adjustRightInd/>
              <w:jc w:val="right"/>
              <w:rPr>
                <w:color w:val="000000"/>
              </w:rPr>
            </w:pPr>
            <w:r w:rsidRPr="004F6403">
              <w:rPr>
                <w:color w:val="000000"/>
              </w:rPr>
              <w:t>0</w:t>
            </w:r>
          </w:p>
        </w:tc>
        <w:tc>
          <w:tcPr>
            <w:tcW w:w="1050" w:type="dxa"/>
            <w:tcBorders>
              <w:top w:val="nil"/>
              <w:left w:val="nil"/>
              <w:bottom w:val="single" w:sz="8" w:space="0" w:color="auto"/>
              <w:right w:val="single" w:sz="4" w:space="0" w:color="auto"/>
            </w:tcBorders>
            <w:shd w:val="clear" w:color="auto" w:fill="auto"/>
            <w:vAlign w:val="center"/>
            <w:hideMark/>
          </w:tcPr>
          <w:p w14:paraId="0DE6D758" w14:textId="77777777" w:rsidR="000951CF" w:rsidRPr="004F6403" w:rsidRDefault="000951CF" w:rsidP="00396651">
            <w:pPr>
              <w:autoSpaceDE/>
              <w:autoSpaceDN/>
              <w:adjustRightInd/>
              <w:jc w:val="right"/>
              <w:rPr>
                <w:color w:val="000000"/>
              </w:rPr>
            </w:pPr>
            <w:r w:rsidRPr="004F6403">
              <w:rPr>
                <w:color w:val="000000"/>
              </w:rPr>
              <w:t>0.35</w:t>
            </w:r>
          </w:p>
        </w:tc>
        <w:tc>
          <w:tcPr>
            <w:tcW w:w="961" w:type="dxa"/>
            <w:tcBorders>
              <w:top w:val="nil"/>
              <w:left w:val="nil"/>
              <w:bottom w:val="single" w:sz="8" w:space="0" w:color="auto"/>
              <w:right w:val="single" w:sz="4" w:space="0" w:color="auto"/>
            </w:tcBorders>
            <w:shd w:val="clear" w:color="auto" w:fill="auto"/>
            <w:vAlign w:val="center"/>
            <w:hideMark/>
          </w:tcPr>
          <w:p w14:paraId="6BDFF959" w14:textId="77777777" w:rsidR="000951CF" w:rsidRPr="004F6403" w:rsidRDefault="000951CF" w:rsidP="00396651">
            <w:pPr>
              <w:autoSpaceDE/>
              <w:autoSpaceDN/>
              <w:adjustRightInd/>
              <w:jc w:val="right"/>
              <w:rPr>
                <w:color w:val="000000"/>
              </w:rPr>
            </w:pPr>
            <w:r w:rsidRPr="004F6403">
              <w:rPr>
                <w:color w:val="000000"/>
              </w:rPr>
              <w:t>0</w:t>
            </w:r>
          </w:p>
        </w:tc>
        <w:tc>
          <w:tcPr>
            <w:tcW w:w="833" w:type="dxa"/>
            <w:tcBorders>
              <w:top w:val="nil"/>
              <w:left w:val="nil"/>
              <w:bottom w:val="single" w:sz="8" w:space="0" w:color="auto"/>
              <w:right w:val="single" w:sz="8" w:space="0" w:color="auto"/>
            </w:tcBorders>
            <w:shd w:val="clear" w:color="auto" w:fill="auto"/>
            <w:vAlign w:val="center"/>
            <w:hideMark/>
          </w:tcPr>
          <w:p w14:paraId="0A6DB5E2" w14:textId="77777777" w:rsidR="000951CF" w:rsidRPr="004F6403" w:rsidRDefault="000951CF" w:rsidP="00396651">
            <w:pPr>
              <w:autoSpaceDE/>
              <w:autoSpaceDN/>
              <w:adjustRightInd/>
              <w:jc w:val="right"/>
              <w:rPr>
                <w:color w:val="000000"/>
              </w:rPr>
            </w:pPr>
            <w:r w:rsidRPr="004F6403">
              <w:rPr>
                <w:color w:val="000000"/>
              </w:rPr>
              <w:t>0.35</w:t>
            </w:r>
          </w:p>
        </w:tc>
        <w:tc>
          <w:tcPr>
            <w:tcW w:w="1295" w:type="dxa"/>
            <w:vMerge/>
            <w:tcBorders>
              <w:top w:val="nil"/>
              <w:left w:val="single" w:sz="8" w:space="0" w:color="auto"/>
              <w:bottom w:val="single" w:sz="8" w:space="0" w:color="000000"/>
              <w:right w:val="single" w:sz="8" w:space="0" w:color="auto"/>
            </w:tcBorders>
            <w:vAlign w:val="center"/>
            <w:hideMark/>
          </w:tcPr>
          <w:p w14:paraId="2DE75DF8" w14:textId="77777777" w:rsidR="000951CF" w:rsidRPr="004F6403" w:rsidRDefault="000951CF" w:rsidP="00396651">
            <w:pPr>
              <w:autoSpaceDE/>
              <w:autoSpaceDN/>
              <w:adjustRightInd/>
              <w:rPr>
                <w:color w:val="000000"/>
              </w:rPr>
            </w:pPr>
          </w:p>
        </w:tc>
        <w:tc>
          <w:tcPr>
            <w:tcW w:w="1417" w:type="dxa"/>
            <w:vMerge/>
            <w:tcBorders>
              <w:top w:val="nil"/>
              <w:left w:val="single" w:sz="8" w:space="0" w:color="auto"/>
              <w:bottom w:val="single" w:sz="8" w:space="0" w:color="000000"/>
              <w:right w:val="single" w:sz="8" w:space="0" w:color="auto"/>
            </w:tcBorders>
            <w:vAlign w:val="center"/>
            <w:hideMark/>
          </w:tcPr>
          <w:p w14:paraId="200CB5C8" w14:textId="77777777" w:rsidR="000951CF" w:rsidRPr="004F6403" w:rsidRDefault="000951CF" w:rsidP="00396651">
            <w:pPr>
              <w:autoSpaceDE/>
              <w:autoSpaceDN/>
              <w:adjustRightInd/>
              <w:rPr>
                <w:color w:val="000000"/>
              </w:rPr>
            </w:pPr>
          </w:p>
        </w:tc>
        <w:tc>
          <w:tcPr>
            <w:tcW w:w="1080" w:type="dxa"/>
            <w:tcBorders>
              <w:top w:val="single" w:sz="8" w:space="0" w:color="auto"/>
              <w:left w:val="nil"/>
              <w:bottom w:val="single" w:sz="4" w:space="0" w:color="auto"/>
              <w:right w:val="single" w:sz="8" w:space="0" w:color="auto"/>
            </w:tcBorders>
            <w:shd w:val="clear" w:color="auto" w:fill="auto"/>
            <w:vAlign w:val="center"/>
            <w:hideMark/>
          </w:tcPr>
          <w:p w14:paraId="22A68676" w14:textId="77777777" w:rsidR="000951CF" w:rsidRPr="004F6403" w:rsidRDefault="000951CF" w:rsidP="00396651">
            <w:pPr>
              <w:autoSpaceDE/>
              <w:autoSpaceDN/>
              <w:adjustRightInd/>
              <w:jc w:val="center"/>
              <w:rPr>
                <w:color w:val="000000"/>
              </w:rPr>
            </w:pPr>
            <w:r w:rsidRPr="004F6403">
              <w:rPr>
                <w:color w:val="000000"/>
              </w:rPr>
              <w:t>23</w:t>
            </w:r>
          </w:p>
        </w:tc>
      </w:tr>
      <w:tr w:rsidR="000951CF" w:rsidRPr="004F6403" w14:paraId="30DF1AC4" w14:textId="77777777" w:rsidTr="00396651">
        <w:trPr>
          <w:trHeight w:val="315"/>
        </w:trPr>
        <w:tc>
          <w:tcPr>
            <w:tcW w:w="1511" w:type="dxa"/>
            <w:tcBorders>
              <w:top w:val="nil"/>
              <w:left w:val="single" w:sz="8" w:space="0" w:color="auto"/>
              <w:bottom w:val="single" w:sz="8" w:space="0" w:color="auto"/>
              <w:right w:val="single" w:sz="8" w:space="0" w:color="auto"/>
            </w:tcBorders>
            <w:shd w:val="clear" w:color="auto" w:fill="auto"/>
            <w:vAlign w:val="center"/>
            <w:hideMark/>
          </w:tcPr>
          <w:p w14:paraId="1868259E" w14:textId="77777777" w:rsidR="000951CF" w:rsidRPr="004F6403" w:rsidRDefault="000951CF" w:rsidP="00396651">
            <w:pPr>
              <w:autoSpaceDE/>
              <w:autoSpaceDN/>
              <w:adjustRightInd/>
              <w:rPr>
                <w:b/>
                <w:bCs/>
                <w:color w:val="000000"/>
              </w:rPr>
            </w:pPr>
            <w:r w:rsidRPr="004F6403">
              <w:rPr>
                <w:b/>
                <w:bCs/>
                <w:color w:val="000000"/>
              </w:rPr>
              <w:t>TOTAL</w:t>
            </w:r>
          </w:p>
        </w:tc>
        <w:tc>
          <w:tcPr>
            <w:tcW w:w="1174" w:type="dxa"/>
            <w:tcBorders>
              <w:top w:val="nil"/>
              <w:left w:val="single" w:sz="4" w:space="0" w:color="auto"/>
              <w:bottom w:val="single" w:sz="8" w:space="0" w:color="auto"/>
              <w:right w:val="single" w:sz="4" w:space="0" w:color="auto"/>
            </w:tcBorders>
            <w:shd w:val="clear" w:color="auto" w:fill="auto"/>
            <w:noWrap/>
            <w:vAlign w:val="center"/>
            <w:hideMark/>
          </w:tcPr>
          <w:p w14:paraId="6E77D1CC" w14:textId="77777777" w:rsidR="000951CF" w:rsidRPr="004F6403" w:rsidRDefault="000951CF" w:rsidP="00396651">
            <w:pPr>
              <w:autoSpaceDE/>
              <w:autoSpaceDN/>
              <w:adjustRightInd/>
              <w:jc w:val="right"/>
              <w:rPr>
                <w:b/>
                <w:bCs/>
                <w:color w:val="000000"/>
              </w:rPr>
            </w:pPr>
            <w:r w:rsidRPr="004F6403">
              <w:rPr>
                <w:b/>
                <w:bCs/>
                <w:color w:val="000000"/>
              </w:rPr>
              <w:t>0</w:t>
            </w:r>
          </w:p>
        </w:tc>
        <w:tc>
          <w:tcPr>
            <w:tcW w:w="1050" w:type="dxa"/>
            <w:tcBorders>
              <w:top w:val="nil"/>
              <w:left w:val="nil"/>
              <w:bottom w:val="single" w:sz="8" w:space="0" w:color="auto"/>
              <w:right w:val="single" w:sz="4" w:space="0" w:color="auto"/>
            </w:tcBorders>
            <w:shd w:val="clear" w:color="auto" w:fill="auto"/>
            <w:noWrap/>
            <w:vAlign w:val="center"/>
            <w:hideMark/>
          </w:tcPr>
          <w:p w14:paraId="05B8702E" w14:textId="77777777" w:rsidR="000951CF" w:rsidRPr="004F6403" w:rsidRDefault="000951CF" w:rsidP="00396651">
            <w:pPr>
              <w:autoSpaceDE/>
              <w:autoSpaceDN/>
              <w:adjustRightInd/>
              <w:jc w:val="right"/>
              <w:rPr>
                <w:b/>
                <w:bCs/>
                <w:color w:val="000000"/>
              </w:rPr>
            </w:pPr>
            <w:r w:rsidRPr="004F6403">
              <w:rPr>
                <w:b/>
                <w:bCs/>
                <w:color w:val="000000"/>
              </w:rPr>
              <w:t>0.53</w:t>
            </w:r>
          </w:p>
        </w:tc>
        <w:tc>
          <w:tcPr>
            <w:tcW w:w="961" w:type="dxa"/>
            <w:tcBorders>
              <w:top w:val="nil"/>
              <w:left w:val="nil"/>
              <w:bottom w:val="single" w:sz="8" w:space="0" w:color="auto"/>
              <w:right w:val="single" w:sz="4" w:space="0" w:color="auto"/>
            </w:tcBorders>
            <w:shd w:val="clear" w:color="auto" w:fill="auto"/>
            <w:noWrap/>
            <w:vAlign w:val="center"/>
            <w:hideMark/>
          </w:tcPr>
          <w:p w14:paraId="0FB44BF0" w14:textId="77777777" w:rsidR="000951CF" w:rsidRPr="004F6403" w:rsidRDefault="000951CF" w:rsidP="00396651">
            <w:pPr>
              <w:autoSpaceDE/>
              <w:autoSpaceDN/>
              <w:adjustRightInd/>
              <w:jc w:val="right"/>
              <w:rPr>
                <w:b/>
                <w:bCs/>
                <w:color w:val="000000"/>
              </w:rPr>
            </w:pPr>
            <w:r w:rsidRPr="004F6403">
              <w:rPr>
                <w:b/>
                <w:bCs/>
                <w:color w:val="000000"/>
              </w:rPr>
              <w:t>0</w:t>
            </w:r>
          </w:p>
        </w:tc>
        <w:tc>
          <w:tcPr>
            <w:tcW w:w="833" w:type="dxa"/>
            <w:tcBorders>
              <w:top w:val="nil"/>
              <w:left w:val="nil"/>
              <w:bottom w:val="single" w:sz="8" w:space="0" w:color="auto"/>
              <w:right w:val="single" w:sz="8" w:space="0" w:color="auto"/>
            </w:tcBorders>
            <w:shd w:val="clear" w:color="auto" w:fill="auto"/>
            <w:noWrap/>
            <w:vAlign w:val="center"/>
            <w:hideMark/>
          </w:tcPr>
          <w:p w14:paraId="12D1E4A5" w14:textId="77777777" w:rsidR="000951CF" w:rsidRPr="004F6403" w:rsidRDefault="000951CF" w:rsidP="00396651">
            <w:pPr>
              <w:autoSpaceDE/>
              <w:autoSpaceDN/>
              <w:adjustRightInd/>
              <w:jc w:val="right"/>
              <w:rPr>
                <w:b/>
                <w:bCs/>
                <w:color w:val="000000"/>
              </w:rPr>
            </w:pPr>
            <w:r w:rsidRPr="004F6403">
              <w:rPr>
                <w:b/>
                <w:bCs/>
                <w:color w:val="000000"/>
              </w:rPr>
              <w:t>0.53</w:t>
            </w:r>
          </w:p>
        </w:tc>
        <w:tc>
          <w:tcPr>
            <w:tcW w:w="1295" w:type="dxa"/>
            <w:tcBorders>
              <w:top w:val="nil"/>
              <w:left w:val="nil"/>
              <w:bottom w:val="single" w:sz="8" w:space="0" w:color="auto"/>
              <w:right w:val="single" w:sz="8" w:space="0" w:color="auto"/>
            </w:tcBorders>
            <w:shd w:val="clear" w:color="auto" w:fill="auto"/>
            <w:noWrap/>
            <w:vAlign w:val="center"/>
            <w:hideMark/>
          </w:tcPr>
          <w:p w14:paraId="193D5919" w14:textId="77777777" w:rsidR="000951CF" w:rsidRPr="004F6403" w:rsidRDefault="000951CF" w:rsidP="00396651">
            <w:pPr>
              <w:autoSpaceDE/>
              <w:autoSpaceDN/>
              <w:adjustRightInd/>
              <w:jc w:val="center"/>
              <w:rPr>
                <w:b/>
                <w:bCs/>
                <w:color w:val="000000"/>
              </w:rPr>
            </w:pPr>
            <w:r w:rsidRPr="004F6403">
              <w:rPr>
                <w:b/>
                <w:bCs/>
                <w:color w:val="000000"/>
              </w:rPr>
              <w:t>65</w:t>
            </w:r>
          </w:p>
        </w:tc>
        <w:tc>
          <w:tcPr>
            <w:tcW w:w="1417" w:type="dxa"/>
            <w:tcBorders>
              <w:top w:val="nil"/>
              <w:left w:val="nil"/>
              <w:bottom w:val="single" w:sz="8" w:space="0" w:color="auto"/>
              <w:right w:val="single" w:sz="8" w:space="0" w:color="auto"/>
            </w:tcBorders>
            <w:shd w:val="clear" w:color="auto" w:fill="auto"/>
            <w:noWrap/>
            <w:vAlign w:val="center"/>
            <w:hideMark/>
          </w:tcPr>
          <w:p w14:paraId="618FCEAD" w14:textId="77777777" w:rsidR="000951CF" w:rsidRPr="004F6403" w:rsidRDefault="000951CF" w:rsidP="00396651">
            <w:pPr>
              <w:autoSpaceDE/>
              <w:autoSpaceDN/>
              <w:adjustRightInd/>
              <w:jc w:val="center"/>
              <w:rPr>
                <w:b/>
                <w:bCs/>
                <w:color w:val="000000"/>
              </w:rPr>
            </w:pPr>
            <w:r w:rsidRPr="004F6403">
              <w:rPr>
                <w:b/>
                <w:bCs/>
                <w:color w:val="000000"/>
              </w:rPr>
              <w:t>65</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64F89E55" w14:textId="77777777" w:rsidR="000951CF" w:rsidRPr="004F6403" w:rsidRDefault="000951CF" w:rsidP="00396651">
            <w:pPr>
              <w:autoSpaceDE/>
              <w:autoSpaceDN/>
              <w:adjustRightInd/>
              <w:jc w:val="center"/>
              <w:rPr>
                <w:b/>
                <w:bCs/>
                <w:color w:val="000000"/>
              </w:rPr>
            </w:pPr>
            <w:r w:rsidRPr="004F6403">
              <w:rPr>
                <w:b/>
                <w:bCs/>
                <w:color w:val="000000"/>
              </w:rPr>
              <w:t>35</w:t>
            </w:r>
          </w:p>
        </w:tc>
      </w:tr>
    </w:tbl>
    <w:p w14:paraId="7A129CA7" w14:textId="77777777" w:rsidR="000951CF" w:rsidRDefault="000951CF" w:rsidP="000951CF">
      <w:pPr>
        <w:ind w:firstLine="720"/>
        <w:rPr>
          <w:sz w:val="24"/>
          <w:szCs w:val="24"/>
        </w:rPr>
      </w:pPr>
    </w:p>
    <w:p w14:paraId="4F04A1E5" w14:textId="636D6C48" w:rsidR="00241FA2" w:rsidRDefault="000951CF" w:rsidP="000951CF">
      <w:pPr>
        <w:ind w:firstLine="720"/>
        <w:rPr>
          <w:sz w:val="24"/>
          <w:szCs w:val="24"/>
        </w:rPr>
      </w:pPr>
      <w:r>
        <w:rPr>
          <w:sz w:val="24"/>
          <w:szCs w:val="24"/>
        </w:rPr>
        <w:t>Based on the figures presented in the preceding tables, t</w:t>
      </w:r>
      <w:r w:rsidRPr="00B46915">
        <w:rPr>
          <w:sz w:val="24"/>
          <w:szCs w:val="24"/>
        </w:rPr>
        <w:t xml:space="preserve">he total </w:t>
      </w:r>
      <w:r>
        <w:rPr>
          <w:sz w:val="24"/>
          <w:szCs w:val="24"/>
        </w:rPr>
        <w:t xml:space="preserve">estimated number of annual responses is 572, which include: </w:t>
      </w:r>
      <w:r w:rsidRPr="00B46915">
        <w:rPr>
          <w:sz w:val="24"/>
          <w:szCs w:val="24"/>
        </w:rPr>
        <w:t>initial and follow-up/supple</w:t>
      </w:r>
      <w:r>
        <w:rPr>
          <w:sz w:val="24"/>
          <w:szCs w:val="24"/>
        </w:rPr>
        <w:t>mental section 8(e) submissions;</w:t>
      </w:r>
      <w:r w:rsidRPr="00B46915">
        <w:rPr>
          <w:sz w:val="24"/>
          <w:szCs w:val="24"/>
        </w:rPr>
        <w:t xml:space="preserve"> initial and foll</w:t>
      </w:r>
      <w:r>
        <w:rPr>
          <w:sz w:val="24"/>
          <w:szCs w:val="24"/>
        </w:rPr>
        <w:t>ow-up voluntary FYI submissions; and CDX registrations. The industry reporting burden totals 21,412 hours (See also Table 5).</w:t>
      </w:r>
      <w:r w:rsidR="00B46915" w:rsidRPr="00B46915">
        <w:t xml:space="preserve"> </w:t>
      </w:r>
    </w:p>
    <w:p w14:paraId="7FC3A33B" w14:textId="77777777" w:rsidR="009675F4" w:rsidRPr="00241FA2" w:rsidRDefault="009675F4" w:rsidP="009675F4">
      <w:pPr>
        <w:rPr>
          <w:b/>
          <w:sz w:val="24"/>
          <w:szCs w:val="24"/>
        </w:rPr>
      </w:pPr>
    </w:p>
    <w:p w14:paraId="0F5A14DC" w14:textId="32D7499C" w:rsidR="00841B82" w:rsidRDefault="00D572E4" w:rsidP="00D572E4">
      <w:pPr>
        <w:ind w:firstLine="720"/>
        <w:rPr>
          <w:sz w:val="24"/>
          <w:szCs w:val="24"/>
        </w:rPr>
      </w:pPr>
      <w:r>
        <w:rPr>
          <w:b/>
          <w:bCs/>
          <w:sz w:val="24"/>
          <w:szCs w:val="24"/>
        </w:rPr>
        <w:t xml:space="preserve">6(b) </w:t>
      </w:r>
      <w:r w:rsidR="005276D2">
        <w:rPr>
          <w:b/>
          <w:bCs/>
          <w:sz w:val="24"/>
          <w:szCs w:val="24"/>
        </w:rPr>
        <w:tab/>
      </w:r>
      <w:r w:rsidR="00841B82">
        <w:rPr>
          <w:b/>
          <w:bCs/>
          <w:sz w:val="24"/>
          <w:szCs w:val="24"/>
        </w:rPr>
        <w:t>Estimating Submitter Costs</w:t>
      </w:r>
    </w:p>
    <w:p w14:paraId="0DDEEA4E" w14:textId="77777777" w:rsidR="00841B82" w:rsidRDefault="00841B82" w:rsidP="00841B82">
      <w:pPr>
        <w:rPr>
          <w:sz w:val="24"/>
          <w:szCs w:val="24"/>
        </w:rPr>
      </w:pPr>
    </w:p>
    <w:p w14:paraId="31F32FC7" w14:textId="00C4DA67" w:rsidR="004437AA" w:rsidRDefault="004437AA" w:rsidP="004437AA">
      <w:pPr>
        <w:rPr>
          <w:sz w:val="24"/>
          <w:szCs w:val="24"/>
        </w:rPr>
      </w:pPr>
      <w:r>
        <w:rPr>
          <w:sz w:val="24"/>
          <w:szCs w:val="24"/>
        </w:rPr>
        <w:tab/>
        <w:t xml:space="preserve">EPA estimates submitter costs using burden estimates above along with labor rates obtained from the Bureau of Labor Statistics (BLS). Table 4 presents the derivation of the loaded industry wage rates used in this analysis. The wages and fringe benefits for the Managerial, Technical, and Clerical labor categories are drawn from the BLS “Employer Costs for Employee Compensation Supplementary Tables Historical Data” for December 2015 (BLS, 2016). For each labor category, wages are loaded using fringe benefit rate from BLS plus a 17 percent overhead rate. </w:t>
      </w:r>
    </w:p>
    <w:p w14:paraId="597CA92D" w14:textId="77777777" w:rsidR="004437AA" w:rsidRDefault="004437AA" w:rsidP="004437AA">
      <w:pPr>
        <w:rPr>
          <w:sz w:val="24"/>
          <w:szCs w:val="24"/>
        </w:rPr>
      </w:pPr>
    </w:p>
    <w:p w14:paraId="1E7312EB" w14:textId="77777777" w:rsidR="004437AA" w:rsidRDefault="004437AA" w:rsidP="004437AA">
      <w:pPr>
        <w:autoSpaceDE/>
        <w:autoSpaceDN/>
        <w:adjustRightInd/>
        <w:rPr>
          <w:sz w:val="24"/>
          <w:szCs w:val="24"/>
        </w:rPr>
      </w:pPr>
      <w:r>
        <w:rPr>
          <w:sz w:val="24"/>
          <w:szCs w:val="24"/>
        </w:rPr>
        <w:tab/>
        <w:t>In Table 5, the unit burden estimates from the previous sections are combined with the wage rates in Table 4 to compute unit costs (per response) and total costs. Overall, the submissions costs associated with the burden of 21,412 hours totals $1,650,068.</w:t>
      </w:r>
      <w:r>
        <w:rPr>
          <w:sz w:val="24"/>
          <w:szCs w:val="24"/>
        </w:rPr>
        <w:br w:type="page"/>
      </w:r>
    </w:p>
    <w:p w14:paraId="3FA9869B" w14:textId="77777777" w:rsidR="004437AA" w:rsidRDefault="004437AA" w:rsidP="004437AA">
      <w:pPr>
        <w:rPr>
          <w:sz w:val="24"/>
          <w:szCs w:val="24"/>
        </w:rPr>
      </w:pPr>
    </w:p>
    <w:tbl>
      <w:tblPr>
        <w:tblStyle w:val="TableGrid"/>
        <w:tblW w:w="9625" w:type="dxa"/>
        <w:tblLayout w:type="fixed"/>
        <w:tblLook w:val="04A0" w:firstRow="1" w:lastRow="0" w:firstColumn="1" w:lastColumn="0" w:noHBand="0" w:noVBand="1"/>
      </w:tblPr>
      <w:tblGrid>
        <w:gridCol w:w="1165"/>
        <w:gridCol w:w="1980"/>
        <w:gridCol w:w="810"/>
        <w:gridCol w:w="810"/>
        <w:gridCol w:w="766"/>
        <w:gridCol w:w="1060"/>
        <w:gridCol w:w="874"/>
        <w:gridCol w:w="1170"/>
        <w:gridCol w:w="990"/>
      </w:tblGrid>
      <w:tr w:rsidR="004437AA" w:rsidRPr="00640195" w14:paraId="6F3C8856" w14:textId="77777777" w:rsidTr="00396651">
        <w:trPr>
          <w:trHeight w:val="288"/>
        </w:trPr>
        <w:tc>
          <w:tcPr>
            <w:tcW w:w="9625" w:type="dxa"/>
            <w:gridSpan w:val="9"/>
            <w:tcBorders>
              <w:top w:val="nil"/>
              <w:left w:val="nil"/>
              <w:bottom w:val="single" w:sz="12" w:space="0" w:color="auto"/>
              <w:right w:val="nil"/>
            </w:tcBorders>
            <w:hideMark/>
          </w:tcPr>
          <w:p w14:paraId="659DBBDA" w14:textId="77777777" w:rsidR="004437AA" w:rsidRPr="00640195" w:rsidRDefault="004437AA" w:rsidP="00396651">
            <w:pPr>
              <w:rPr>
                <w:b/>
                <w:bCs/>
                <w:sz w:val="24"/>
                <w:szCs w:val="24"/>
              </w:rPr>
            </w:pPr>
            <w:r w:rsidRPr="00640195">
              <w:rPr>
                <w:b/>
                <w:bCs/>
                <w:sz w:val="24"/>
                <w:szCs w:val="24"/>
              </w:rPr>
              <w:t>Table 4: Industry Wage Rates (2015$)</w:t>
            </w:r>
          </w:p>
        </w:tc>
      </w:tr>
      <w:tr w:rsidR="004437AA" w:rsidRPr="00640195" w14:paraId="1A33A9A6" w14:textId="77777777" w:rsidTr="00396651">
        <w:trPr>
          <w:trHeight w:val="792"/>
        </w:trPr>
        <w:tc>
          <w:tcPr>
            <w:tcW w:w="1165" w:type="dxa"/>
            <w:vMerge w:val="restart"/>
            <w:tcBorders>
              <w:top w:val="single" w:sz="12" w:space="0" w:color="auto"/>
              <w:left w:val="single" w:sz="12" w:space="0" w:color="auto"/>
            </w:tcBorders>
            <w:shd w:val="pct10" w:color="auto" w:fill="auto"/>
            <w:hideMark/>
          </w:tcPr>
          <w:p w14:paraId="00474BE6" w14:textId="77777777" w:rsidR="004437AA" w:rsidRPr="00A46CEC" w:rsidRDefault="004437AA" w:rsidP="00396651">
            <w:pPr>
              <w:rPr>
                <w:b/>
                <w:bCs/>
                <w:sz w:val="18"/>
                <w:szCs w:val="18"/>
              </w:rPr>
            </w:pPr>
            <w:r w:rsidRPr="00A46CEC">
              <w:rPr>
                <w:b/>
                <w:bCs/>
                <w:sz w:val="18"/>
                <w:szCs w:val="18"/>
              </w:rPr>
              <w:t>Labor Category</w:t>
            </w:r>
          </w:p>
        </w:tc>
        <w:tc>
          <w:tcPr>
            <w:tcW w:w="1980" w:type="dxa"/>
            <w:vMerge w:val="restart"/>
            <w:tcBorders>
              <w:top w:val="single" w:sz="12" w:space="0" w:color="auto"/>
            </w:tcBorders>
            <w:shd w:val="pct10" w:color="auto" w:fill="auto"/>
            <w:hideMark/>
          </w:tcPr>
          <w:p w14:paraId="4A376562" w14:textId="77777777" w:rsidR="004437AA" w:rsidRPr="00A46CEC" w:rsidRDefault="004437AA" w:rsidP="00396651">
            <w:pPr>
              <w:rPr>
                <w:b/>
                <w:bCs/>
                <w:sz w:val="18"/>
                <w:szCs w:val="18"/>
              </w:rPr>
            </w:pPr>
            <w:r w:rsidRPr="00A46CEC">
              <w:rPr>
                <w:b/>
                <w:bCs/>
                <w:sz w:val="18"/>
                <w:szCs w:val="18"/>
              </w:rPr>
              <w:t>Data Sources</w:t>
            </w:r>
            <w:r w:rsidRPr="00A46CEC">
              <w:rPr>
                <w:b/>
                <w:bCs/>
                <w:sz w:val="18"/>
                <w:szCs w:val="18"/>
                <w:vertAlign w:val="superscript"/>
              </w:rPr>
              <w:t xml:space="preserve"> a</w:t>
            </w:r>
          </w:p>
        </w:tc>
        <w:tc>
          <w:tcPr>
            <w:tcW w:w="810" w:type="dxa"/>
            <w:vMerge w:val="restart"/>
            <w:tcBorders>
              <w:top w:val="single" w:sz="12" w:space="0" w:color="auto"/>
            </w:tcBorders>
            <w:shd w:val="pct10" w:color="auto" w:fill="auto"/>
            <w:hideMark/>
          </w:tcPr>
          <w:p w14:paraId="4A394E99" w14:textId="77777777" w:rsidR="004437AA" w:rsidRPr="00A46CEC" w:rsidRDefault="004437AA" w:rsidP="00396651">
            <w:pPr>
              <w:rPr>
                <w:b/>
                <w:bCs/>
                <w:sz w:val="18"/>
                <w:szCs w:val="18"/>
              </w:rPr>
            </w:pPr>
            <w:r w:rsidRPr="00A46CEC">
              <w:rPr>
                <w:b/>
                <w:bCs/>
                <w:sz w:val="18"/>
                <w:szCs w:val="18"/>
              </w:rPr>
              <w:t>Date</w:t>
            </w:r>
          </w:p>
        </w:tc>
        <w:tc>
          <w:tcPr>
            <w:tcW w:w="810" w:type="dxa"/>
            <w:tcBorders>
              <w:top w:val="single" w:sz="12" w:space="0" w:color="auto"/>
            </w:tcBorders>
            <w:shd w:val="pct10" w:color="auto" w:fill="auto"/>
            <w:hideMark/>
          </w:tcPr>
          <w:p w14:paraId="13891E53" w14:textId="77777777" w:rsidR="004437AA" w:rsidRPr="00A46CEC" w:rsidRDefault="004437AA" w:rsidP="00396651">
            <w:pPr>
              <w:rPr>
                <w:b/>
                <w:bCs/>
                <w:sz w:val="18"/>
                <w:szCs w:val="18"/>
              </w:rPr>
            </w:pPr>
            <w:r w:rsidRPr="00A46CEC">
              <w:rPr>
                <w:b/>
                <w:bCs/>
                <w:sz w:val="18"/>
                <w:szCs w:val="18"/>
              </w:rPr>
              <w:t>Wage</w:t>
            </w:r>
          </w:p>
        </w:tc>
        <w:tc>
          <w:tcPr>
            <w:tcW w:w="766" w:type="dxa"/>
            <w:tcBorders>
              <w:top w:val="single" w:sz="12" w:space="0" w:color="auto"/>
            </w:tcBorders>
            <w:shd w:val="pct10" w:color="auto" w:fill="auto"/>
            <w:hideMark/>
          </w:tcPr>
          <w:p w14:paraId="0E5D085C" w14:textId="77777777" w:rsidR="004437AA" w:rsidRPr="00A46CEC" w:rsidRDefault="004437AA" w:rsidP="00396651">
            <w:pPr>
              <w:rPr>
                <w:b/>
                <w:bCs/>
                <w:sz w:val="18"/>
                <w:szCs w:val="18"/>
              </w:rPr>
            </w:pPr>
            <w:r w:rsidRPr="00A46CEC">
              <w:rPr>
                <w:b/>
                <w:bCs/>
                <w:sz w:val="18"/>
                <w:szCs w:val="18"/>
              </w:rPr>
              <w:t>Fringe Benefit</w:t>
            </w:r>
          </w:p>
        </w:tc>
        <w:tc>
          <w:tcPr>
            <w:tcW w:w="1060" w:type="dxa"/>
            <w:tcBorders>
              <w:top w:val="single" w:sz="12" w:space="0" w:color="auto"/>
            </w:tcBorders>
            <w:shd w:val="pct10" w:color="auto" w:fill="auto"/>
            <w:hideMark/>
          </w:tcPr>
          <w:p w14:paraId="2216595C" w14:textId="77777777" w:rsidR="004437AA" w:rsidRPr="00A46CEC" w:rsidRDefault="004437AA" w:rsidP="00396651">
            <w:pPr>
              <w:rPr>
                <w:b/>
                <w:bCs/>
                <w:sz w:val="18"/>
                <w:szCs w:val="18"/>
              </w:rPr>
            </w:pPr>
            <w:r w:rsidRPr="00A46CEC">
              <w:rPr>
                <w:b/>
                <w:bCs/>
                <w:sz w:val="18"/>
                <w:szCs w:val="18"/>
              </w:rPr>
              <w:t>Fringes as % Wage</w:t>
            </w:r>
          </w:p>
        </w:tc>
        <w:tc>
          <w:tcPr>
            <w:tcW w:w="874" w:type="dxa"/>
            <w:tcBorders>
              <w:top w:val="single" w:sz="12" w:space="0" w:color="auto"/>
            </w:tcBorders>
            <w:shd w:val="pct10" w:color="auto" w:fill="auto"/>
            <w:hideMark/>
          </w:tcPr>
          <w:p w14:paraId="4E6EF124" w14:textId="77777777" w:rsidR="004437AA" w:rsidRPr="00A46CEC" w:rsidRDefault="004437AA" w:rsidP="00396651">
            <w:pPr>
              <w:rPr>
                <w:b/>
                <w:bCs/>
                <w:sz w:val="18"/>
                <w:szCs w:val="18"/>
              </w:rPr>
            </w:pPr>
            <w:r w:rsidRPr="00A46CEC">
              <w:rPr>
                <w:b/>
                <w:bCs/>
                <w:sz w:val="18"/>
                <w:szCs w:val="18"/>
              </w:rPr>
              <w:t xml:space="preserve">Over-head % wage </w:t>
            </w:r>
            <w:r w:rsidRPr="00A46CEC">
              <w:rPr>
                <w:b/>
                <w:bCs/>
                <w:sz w:val="18"/>
                <w:szCs w:val="18"/>
                <w:vertAlign w:val="superscript"/>
              </w:rPr>
              <w:t>b</w:t>
            </w:r>
          </w:p>
        </w:tc>
        <w:tc>
          <w:tcPr>
            <w:tcW w:w="1170" w:type="dxa"/>
            <w:tcBorders>
              <w:top w:val="single" w:sz="12" w:space="0" w:color="auto"/>
            </w:tcBorders>
            <w:shd w:val="pct10" w:color="auto" w:fill="auto"/>
            <w:hideMark/>
          </w:tcPr>
          <w:p w14:paraId="1125E04D" w14:textId="77777777" w:rsidR="004437AA" w:rsidRPr="00A46CEC" w:rsidRDefault="004437AA" w:rsidP="00396651">
            <w:pPr>
              <w:rPr>
                <w:b/>
                <w:bCs/>
                <w:sz w:val="18"/>
                <w:szCs w:val="18"/>
              </w:rPr>
            </w:pPr>
            <w:r w:rsidRPr="00A46CEC">
              <w:rPr>
                <w:b/>
                <w:bCs/>
                <w:sz w:val="18"/>
                <w:szCs w:val="18"/>
              </w:rPr>
              <w:t xml:space="preserve">Fringe + Overhead Factor </w:t>
            </w:r>
            <w:r w:rsidRPr="00A46CEC">
              <w:rPr>
                <w:b/>
                <w:bCs/>
                <w:sz w:val="18"/>
                <w:szCs w:val="18"/>
                <w:vertAlign w:val="superscript"/>
              </w:rPr>
              <w:t>c</w:t>
            </w:r>
          </w:p>
        </w:tc>
        <w:tc>
          <w:tcPr>
            <w:tcW w:w="990" w:type="dxa"/>
            <w:tcBorders>
              <w:top w:val="single" w:sz="12" w:space="0" w:color="auto"/>
              <w:right w:val="single" w:sz="12" w:space="0" w:color="auto"/>
            </w:tcBorders>
            <w:shd w:val="pct10" w:color="auto" w:fill="auto"/>
            <w:hideMark/>
          </w:tcPr>
          <w:p w14:paraId="751AA4DD" w14:textId="77777777" w:rsidR="004437AA" w:rsidRPr="00A46CEC" w:rsidRDefault="004437AA" w:rsidP="00396651">
            <w:pPr>
              <w:rPr>
                <w:b/>
                <w:bCs/>
                <w:sz w:val="18"/>
                <w:szCs w:val="18"/>
              </w:rPr>
            </w:pPr>
            <w:r w:rsidRPr="00A46CEC">
              <w:rPr>
                <w:b/>
                <w:bCs/>
                <w:sz w:val="18"/>
                <w:szCs w:val="18"/>
              </w:rPr>
              <w:t xml:space="preserve">Hourly Loaded Wages </w:t>
            </w:r>
            <w:r w:rsidRPr="00A46CEC">
              <w:rPr>
                <w:b/>
                <w:bCs/>
                <w:sz w:val="18"/>
                <w:szCs w:val="18"/>
                <w:vertAlign w:val="superscript"/>
              </w:rPr>
              <w:t>d</w:t>
            </w:r>
          </w:p>
        </w:tc>
      </w:tr>
      <w:tr w:rsidR="004437AA" w:rsidRPr="00640195" w14:paraId="15ACECDC" w14:textId="77777777" w:rsidTr="00396651">
        <w:trPr>
          <w:trHeight w:val="288"/>
        </w:trPr>
        <w:tc>
          <w:tcPr>
            <w:tcW w:w="1165" w:type="dxa"/>
            <w:vMerge/>
            <w:tcBorders>
              <w:left w:val="single" w:sz="12" w:space="0" w:color="auto"/>
              <w:bottom w:val="single" w:sz="12" w:space="0" w:color="auto"/>
            </w:tcBorders>
            <w:shd w:val="pct10" w:color="auto" w:fill="auto"/>
            <w:hideMark/>
          </w:tcPr>
          <w:p w14:paraId="4B00066B" w14:textId="77777777" w:rsidR="004437AA" w:rsidRPr="00640195" w:rsidRDefault="004437AA" w:rsidP="00396651">
            <w:pPr>
              <w:rPr>
                <w:b/>
                <w:bCs/>
                <w:sz w:val="24"/>
                <w:szCs w:val="24"/>
              </w:rPr>
            </w:pPr>
          </w:p>
        </w:tc>
        <w:tc>
          <w:tcPr>
            <w:tcW w:w="1980" w:type="dxa"/>
            <w:vMerge/>
            <w:tcBorders>
              <w:bottom w:val="single" w:sz="12" w:space="0" w:color="auto"/>
            </w:tcBorders>
            <w:shd w:val="pct10" w:color="auto" w:fill="auto"/>
            <w:hideMark/>
          </w:tcPr>
          <w:p w14:paraId="5B030ACA" w14:textId="77777777" w:rsidR="004437AA" w:rsidRPr="00640195" w:rsidRDefault="004437AA" w:rsidP="00396651">
            <w:pPr>
              <w:rPr>
                <w:b/>
                <w:bCs/>
                <w:sz w:val="24"/>
                <w:szCs w:val="24"/>
              </w:rPr>
            </w:pPr>
          </w:p>
        </w:tc>
        <w:tc>
          <w:tcPr>
            <w:tcW w:w="810" w:type="dxa"/>
            <w:vMerge/>
            <w:tcBorders>
              <w:bottom w:val="single" w:sz="12" w:space="0" w:color="auto"/>
            </w:tcBorders>
            <w:shd w:val="pct10" w:color="auto" w:fill="auto"/>
            <w:hideMark/>
          </w:tcPr>
          <w:p w14:paraId="1EC1D202" w14:textId="77777777" w:rsidR="004437AA" w:rsidRPr="00640195" w:rsidRDefault="004437AA" w:rsidP="00396651">
            <w:pPr>
              <w:rPr>
                <w:b/>
                <w:bCs/>
                <w:sz w:val="24"/>
                <w:szCs w:val="24"/>
              </w:rPr>
            </w:pPr>
          </w:p>
        </w:tc>
        <w:tc>
          <w:tcPr>
            <w:tcW w:w="810" w:type="dxa"/>
            <w:tcBorders>
              <w:bottom w:val="single" w:sz="12" w:space="0" w:color="auto"/>
            </w:tcBorders>
            <w:shd w:val="pct10" w:color="auto" w:fill="auto"/>
            <w:hideMark/>
          </w:tcPr>
          <w:p w14:paraId="0CA25C6A" w14:textId="77777777" w:rsidR="004437AA" w:rsidRPr="00A46CEC" w:rsidRDefault="004437AA" w:rsidP="00396651">
            <w:pPr>
              <w:rPr>
                <w:b/>
                <w:bCs/>
                <w:i/>
                <w:iCs/>
                <w:sz w:val="16"/>
                <w:szCs w:val="16"/>
              </w:rPr>
            </w:pPr>
            <w:r w:rsidRPr="00A46CEC">
              <w:rPr>
                <w:b/>
                <w:bCs/>
                <w:i/>
                <w:iCs/>
                <w:sz w:val="16"/>
                <w:szCs w:val="16"/>
              </w:rPr>
              <w:t>(a)</w:t>
            </w:r>
          </w:p>
        </w:tc>
        <w:tc>
          <w:tcPr>
            <w:tcW w:w="766" w:type="dxa"/>
            <w:tcBorders>
              <w:bottom w:val="single" w:sz="12" w:space="0" w:color="auto"/>
            </w:tcBorders>
            <w:shd w:val="pct10" w:color="auto" w:fill="auto"/>
            <w:hideMark/>
          </w:tcPr>
          <w:p w14:paraId="4BBFFF23" w14:textId="77777777" w:rsidR="004437AA" w:rsidRPr="00A46CEC" w:rsidRDefault="004437AA" w:rsidP="00396651">
            <w:pPr>
              <w:rPr>
                <w:b/>
                <w:bCs/>
                <w:i/>
                <w:iCs/>
                <w:sz w:val="16"/>
                <w:szCs w:val="16"/>
              </w:rPr>
            </w:pPr>
            <w:r w:rsidRPr="00A46CEC">
              <w:rPr>
                <w:b/>
                <w:bCs/>
                <w:i/>
                <w:iCs/>
                <w:sz w:val="16"/>
                <w:szCs w:val="16"/>
              </w:rPr>
              <w:t>(b)</w:t>
            </w:r>
          </w:p>
        </w:tc>
        <w:tc>
          <w:tcPr>
            <w:tcW w:w="1060" w:type="dxa"/>
            <w:tcBorders>
              <w:bottom w:val="single" w:sz="12" w:space="0" w:color="auto"/>
            </w:tcBorders>
            <w:shd w:val="pct10" w:color="auto" w:fill="auto"/>
            <w:hideMark/>
          </w:tcPr>
          <w:p w14:paraId="1FABB723" w14:textId="77777777" w:rsidR="004437AA" w:rsidRPr="00A46CEC" w:rsidRDefault="004437AA" w:rsidP="00396651">
            <w:pPr>
              <w:rPr>
                <w:b/>
                <w:bCs/>
                <w:i/>
                <w:iCs/>
                <w:sz w:val="16"/>
                <w:szCs w:val="16"/>
              </w:rPr>
            </w:pPr>
            <w:r w:rsidRPr="00A46CEC">
              <w:rPr>
                <w:b/>
                <w:bCs/>
                <w:i/>
                <w:iCs/>
                <w:sz w:val="16"/>
                <w:szCs w:val="16"/>
              </w:rPr>
              <w:t>(c) =(b)/(a)</w:t>
            </w:r>
          </w:p>
        </w:tc>
        <w:tc>
          <w:tcPr>
            <w:tcW w:w="874" w:type="dxa"/>
            <w:tcBorders>
              <w:bottom w:val="single" w:sz="12" w:space="0" w:color="auto"/>
            </w:tcBorders>
            <w:shd w:val="pct10" w:color="auto" w:fill="auto"/>
            <w:hideMark/>
          </w:tcPr>
          <w:p w14:paraId="199D6FE4" w14:textId="77777777" w:rsidR="004437AA" w:rsidRPr="00A46CEC" w:rsidRDefault="004437AA" w:rsidP="00396651">
            <w:pPr>
              <w:rPr>
                <w:b/>
                <w:bCs/>
                <w:i/>
                <w:iCs/>
                <w:sz w:val="16"/>
                <w:szCs w:val="16"/>
              </w:rPr>
            </w:pPr>
            <w:r w:rsidRPr="00A46CEC">
              <w:rPr>
                <w:b/>
                <w:bCs/>
                <w:i/>
                <w:iCs/>
                <w:sz w:val="16"/>
                <w:szCs w:val="16"/>
              </w:rPr>
              <w:t>(d)</w:t>
            </w:r>
          </w:p>
        </w:tc>
        <w:tc>
          <w:tcPr>
            <w:tcW w:w="1170" w:type="dxa"/>
            <w:tcBorders>
              <w:bottom w:val="single" w:sz="12" w:space="0" w:color="auto"/>
            </w:tcBorders>
            <w:shd w:val="pct10" w:color="auto" w:fill="auto"/>
            <w:hideMark/>
          </w:tcPr>
          <w:p w14:paraId="47DA3DD1" w14:textId="77777777" w:rsidR="004437AA" w:rsidRPr="00A46CEC" w:rsidRDefault="004437AA" w:rsidP="00396651">
            <w:pPr>
              <w:rPr>
                <w:b/>
                <w:bCs/>
                <w:i/>
                <w:iCs/>
                <w:sz w:val="16"/>
                <w:szCs w:val="16"/>
              </w:rPr>
            </w:pPr>
            <w:r w:rsidRPr="00A46CEC">
              <w:rPr>
                <w:b/>
                <w:bCs/>
                <w:i/>
                <w:iCs/>
                <w:sz w:val="16"/>
                <w:szCs w:val="16"/>
              </w:rPr>
              <w:t>(e)=(c)+(d)+1</w:t>
            </w:r>
          </w:p>
        </w:tc>
        <w:tc>
          <w:tcPr>
            <w:tcW w:w="990" w:type="dxa"/>
            <w:tcBorders>
              <w:bottom w:val="single" w:sz="12" w:space="0" w:color="auto"/>
              <w:right w:val="single" w:sz="12" w:space="0" w:color="auto"/>
            </w:tcBorders>
            <w:shd w:val="pct10" w:color="auto" w:fill="auto"/>
            <w:hideMark/>
          </w:tcPr>
          <w:p w14:paraId="1A82596A" w14:textId="77777777" w:rsidR="004437AA" w:rsidRPr="00A46CEC" w:rsidRDefault="004437AA" w:rsidP="00396651">
            <w:pPr>
              <w:rPr>
                <w:b/>
                <w:bCs/>
                <w:i/>
                <w:iCs/>
                <w:sz w:val="16"/>
                <w:szCs w:val="16"/>
              </w:rPr>
            </w:pPr>
            <w:r w:rsidRPr="00A46CEC">
              <w:rPr>
                <w:b/>
                <w:bCs/>
                <w:i/>
                <w:iCs/>
                <w:sz w:val="16"/>
                <w:szCs w:val="16"/>
              </w:rPr>
              <w:t>(f)=(a)×(e)</w:t>
            </w:r>
          </w:p>
        </w:tc>
      </w:tr>
      <w:tr w:rsidR="004437AA" w:rsidRPr="00640195" w14:paraId="61409159" w14:textId="77777777" w:rsidTr="00396651">
        <w:trPr>
          <w:trHeight w:val="845"/>
        </w:trPr>
        <w:tc>
          <w:tcPr>
            <w:tcW w:w="1165" w:type="dxa"/>
            <w:tcBorders>
              <w:top w:val="single" w:sz="12" w:space="0" w:color="auto"/>
              <w:left w:val="single" w:sz="12" w:space="0" w:color="auto"/>
            </w:tcBorders>
            <w:hideMark/>
          </w:tcPr>
          <w:p w14:paraId="260773FD" w14:textId="77777777" w:rsidR="004437AA" w:rsidRPr="00A46CEC" w:rsidRDefault="004437AA" w:rsidP="00396651">
            <w:pPr>
              <w:rPr>
                <w:sz w:val="18"/>
                <w:szCs w:val="18"/>
              </w:rPr>
            </w:pPr>
            <w:r w:rsidRPr="00A46CEC">
              <w:rPr>
                <w:sz w:val="18"/>
                <w:szCs w:val="18"/>
              </w:rPr>
              <w:t>Managerial</w:t>
            </w:r>
          </w:p>
        </w:tc>
        <w:tc>
          <w:tcPr>
            <w:tcW w:w="1980" w:type="dxa"/>
            <w:tcBorders>
              <w:top w:val="single" w:sz="12" w:space="0" w:color="auto"/>
            </w:tcBorders>
            <w:hideMark/>
          </w:tcPr>
          <w:p w14:paraId="06F97001" w14:textId="77777777" w:rsidR="004437AA" w:rsidRPr="00A46CEC" w:rsidRDefault="004437AA" w:rsidP="00396651">
            <w:pPr>
              <w:rPr>
                <w:sz w:val="16"/>
                <w:szCs w:val="16"/>
              </w:rPr>
            </w:pPr>
            <w:r w:rsidRPr="00A46CEC">
              <w:rPr>
                <w:sz w:val="16"/>
                <w:szCs w:val="16"/>
              </w:rPr>
              <w:t>BLS ECEC, Private Manufacturing industries, “Mgt, Business, and Financial”</w:t>
            </w:r>
          </w:p>
        </w:tc>
        <w:tc>
          <w:tcPr>
            <w:tcW w:w="810" w:type="dxa"/>
            <w:tcBorders>
              <w:top w:val="single" w:sz="12" w:space="0" w:color="auto"/>
            </w:tcBorders>
            <w:hideMark/>
          </w:tcPr>
          <w:p w14:paraId="2A4A8798" w14:textId="77777777" w:rsidR="004437AA" w:rsidRPr="00A46CEC" w:rsidRDefault="004437AA" w:rsidP="00396651">
            <w:pPr>
              <w:rPr>
                <w:sz w:val="18"/>
                <w:szCs w:val="18"/>
              </w:rPr>
            </w:pPr>
            <w:r w:rsidRPr="00A46CEC">
              <w:rPr>
                <w:sz w:val="18"/>
                <w:szCs w:val="18"/>
              </w:rPr>
              <w:t>Dec-15</w:t>
            </w:r>
          </w:p>
        </w:tc>
        <w:tc>
          <w:tcPr>
            <w:tcW w:w="810" w:type="dxa"/>
            <w:tcBorders>
              <w:top w:val="single" w:sz="12" w:space="0" w:color="auto"/>
            </w:tcBorders>
            <w:hideMark/>
          </w:tcPr>
          <w:p w14:paraId="084092A9" w14:textId="77777777" w:rsidR="004437AA" w:rsidRPr="00A46CEC" w:rsidRDefault="004437AA" w:rsidP="00396651">
            <w:pPr>
              <w:jc w:val="center"/>
            </w:pPr>
            <w:r w:rsidRPr="00A46CEC">
              <w:t>$45.90</w:t>
            </w:r>
          </w:p>
        </w:tc>
        <w:tc>
          <w:tcPr>
            <w:tcW w:w="766" w:type="dxa"/>
            <w:tcBorders>
              <w:top w:val="single" w:sz="12" w:space="0" w:color="auto"/>
            </w:tcBorders>
            <w:hideMark/>
          </w:tcPr>
          <w:p w14:paraId="304718F7" w14:textId="77777777" w:rsidR="004437AA" w:rsidRPr="00A46CEC" w:rsidRDefault="004437AA" w:rsidP="00396651">
            <w:pPr>
              <w:jc w:val="center"/>
            </w:pPr>
            <w:r w:rsidRPr="00A46CEC">
              <w:t>$24.30</w:t>
            </w:r>
          </w:p>
        </w:tc>
        <w:tc>
          <w:tcPr>
            <w:tcW w:w="1060" w:type="dxa"/>
            <w:tcBorders>
              <w:top w:val="single" w:sz="12" w:space="0" w:color="auto"/>
            </w:tcBorders>
            <w:hideMark/>
          </w:tcPr>
          <w:p w14:paraId="32957EB8" w14:textId="77777777" w:rsidR="004437AA" w:rsidRPr="00A46CEC" w:rsidRDefault="004437AA" w:rsidP="00396651">
            <w:pPr>
              <w:jc w:val="center"/>
            </w:pPr>
            <w:r w:rsidRPr="00A46CEC">
              <w:t>53%</w:t>
            </w:r>
          </w:p>
        </w:tc>
        <w:tc>
          <w:tcPr>
            <w:tcW w:w="874" w:type="dxa"/>
            <w:tcBorders>
              <w:top w:val="single" w:sz="12" w:space="0" w:color="auto"/>
            </w:tcBorders>
            <w:hideMark/>
          </w:tcPr>
          <w:p w14:paraId="2C2B1B28" w14:textId="77777777" w:rsidR="004437AA" w:rsidRPr="00A46CEC" w:rsidRDefault="004437AA" w:rsidP="00396651">
            <w:pPr>
              <w:jc w:val="center"/>
            </w:pPr>
            <w:r w:rsidRPr="00A46CEC">
              <w:t>17%</w:t>
            </w:r>
          </w:p>
        </w:tc>
        <w:tc>
          <w:tcPr>
            <w:tcW w:w="1170" w:type="dxa"/>
            <w:tcBorders>
              <w:top w:val="single" w:sz="12" w:space="0" w:color="auto"/>
            </w:tcBorders>
            <w:hideMark/>
          </w:tcPr>
          <w:p w14:paraId="0CBD9DDC" w14:textId="77777777" w:rsidR="004437AA" w:rsidRPr="00A46CEC" w:rsidRDefault="004437AA" w:rsidP="00396651">
            <w:pPr>
              <w:jc w:val="center"/>
            </w:pPr>
            <w:r w:rsidRPr="00A46CEC">
              <w:t>1.70</w:t>
            </w:r>
          </w:p>
        </w:tc>
        <w:tc>
          <w:tcPr>
            <w:tcW w:w="990" w:type="dxa"/>
            <w:tcBorders>
              <w:top w:val="single" w:sz="12" w:space="0" w:color="auto"/>
              <w:right w:val="single" w:sz="12" w:space="0" w:color="auto"/>
            </w:tcBorders>
            <w:hideMark/>
          </w:tcPr>
          <w:p w14:paraId="615DA99B" w14:textId="77777777" w:rsidR="004437AA" w:rsidRPr="00A46CEC" w:rsidRDefault="004437AA" w:rsidP="00396651">
            <w:pPr>
              <w:jc w:val="center"/>
            </w:pPr>
            <w:r w:rsidRPr="00A46CEC">
              <w:t>$78.00</w:t>
            </w:r>
          </w:p>
        </w:tc>
      </w:tr>
      <w:tr w:rsidR="004437AA" w:rsidRPr="00640195" w14:paraId="016D5A7C" w14:textId="77777777" w:rsidTr="00396651">
        <w:trPr>
          <w:trHeight w:val="611"/>
        </w:trPr>
        <w:tc>
          <w:tcPr>
            <w:tcW w:w="1165" w:type="dxa"/>
            <w:tcBorders>
              <w:left w:val="single" w:sz="12" w:space="0" w:color="auto"/>
            </w:tcBorders>
            <w:hideMark/>
          </w:tcPr>
          <w:p w14:paraId="0514EEB5" w14:textId="77777777" w:rsidR="004437AA" w:rsidRPr="00A46CEC" w:rsidRDefault="004437AA" w:rsidP="00396651">
            <w:pPr>
              <w:rPr>
                <w:sz w:val="18"/>
                <w:szCs w:val="18"/>
              </w:rPr>
            </w:pPr>
            <w:r w:rsidRPr="00A46CEC">
              <w:rPr>
                <w:sz w:val="18"/>
                <w:szCs w:val="18"/>
              </w:rPr>
              <w:t>Professional / Technical</w:t>
            </w:r>
          </w:p>
        </w:tc>
        <w:tc>
          <w:tcPr>
            <w:tcW w:w="1980" w:type="dxa"/>
            <w:hideMark/>
          </w:tcPr>
          <w:p w14:paraId="0F165466" w14:textId="77777777" w:rsidR="004437AA" w:rsidRPr="00A46CEC" w:rsidRDefault="004437AA" w:rsidP="00396651">
            <w:pPr>
              <w:rPr>
                <w:sz w:val="16"/>
                <w:szCs w:val="16"/>
              </w:rPr>
            </w:pPr>
            <w:r w:rsidRPr="00A46CEC">
              <w:rPr>
                <w:sz w:val="16"/>
                <w:szCs w:val="16"/>
              </w:rPr>
              <w:t>BLS ECEC, Private Manufacturing industries, “Professional and related“</w:t>
            </w:r>
          </w:p>
        </w:tc>
        <w:tc>
          <w:tcPr>
            <w:tcW w:w="810" w:type="dxa"/>
            <w:hideMark/>
          </w:tcPr>
          <w:p w14:paraId="66B07AD5" w14:textId="77777777" w:rsidR="004437AA" w:rsidRPr="00A46CEC" w:rsidRDefault="004437AA" w:rsidP="00396651">
            <w:pPr>
              <w:rPr>
                <w:sz w:val="18"/>
                <w:szCs w:val="18"/>
              </w:rPr>
            </w:pPr>
            <w:r w:rsidRPr="00A46CEC">
              <w:rPr>
                <w:sz w:val="18"/>
                <w:szCs w:val="18"/>
              </w:rPr>
              <w:t>Dec-15</w:t>
            </w:r>
          </w:p>
        </w:tc>
        <w:tc>
          <w:tcPr>
            <w:tcW w:w="810" w:type="dxa"/>
            <w:hideMark/>
          </w:tcPr>
          <w:p w14:paraId="1B653CE9" w14:textId="77777777" w:rsidR="004437AA" w:rsidRPr="00A46CEC" w:rsidRDefault="004437AA" w:rsidP="00396651">
            <w:pPr>
              <w:jc w:val="center"/>
            </w:pPr>
            <w:r w:rsidRPr="00A46CEC">
              <w:t>$44.06</w:t>
            </w:r>
          </w:p>
        </w:tc>
        <w:tc>
          <w:tcPr>
            <w:tcW w:w="766" w:type="dxa"/>
            <w:hideMark/>
          </w:tcPr>
          <w:p w14:paraId="15DE6FF8" w14:textId="77777777" w:rsidR="004437AA" w:rsidRPr="00A46CEC" w:rsidRDefault="004437AA" w:rsidP="00396651">
            <w:pPr>
              <w:jc w:val="center"/>
            </w:pPr>
            <w:r w:rsidRPr="00A46CEC">
              <w:t>$24.33</w:t>
            </w:r>
          </w:p>
        </w:tc>
        <w:tc>
          <w:tcPr>
            <w:tcW w:w="1060" w:type="dxa"/>
            <w:hideMark/>
          </w:tcPr>
          <w:p w14:paraId="117A2ED9" w14:textId="77777777" w:rsidR="004437AA" w:rsidRPr="00A46CEC" w:rsidRDefault="004437AA" w:rsidP="00396651">
            <w:pPr>
              <w:jc w:val="center"/>
            </w:pPr>
            <w:r w:rsidRPr="00A46CEC">
              <w:t>55%</w:t>
            </w:r>
          </w:p>
        </w:tc>
        <w:tc>
          <w:tcPr>
            <w:tcW w:w="874" w:type="dxa"/>
            <w:hideMark/>
          </w:tcPr>
          <w:p w14:paraId="176405B0" w14:textId="77777777" w:rsidR="004437AA" w:rsidRPr="00A46CEC" w:rsidRDefault="004437AA" w:rsidP="00396651">
            <w:pPr>
              <w:jc w:val="center"/>
            </w:pPr>
            <w:r w:rsidRPr="00A46CEC">
              <w:t>17%</w:t>
            </w:r>
          </w:p>
        </w:tc>
        <w:tc>
          <w:tcPr>
            <w:tcW w:w="1170" w:type="dxa"/>
            <w:hideMark/>
          </w:tcPr>
          <w:p w14:paraId="733AF605" w14:textId="77777777" w:rsidR="004437AA" w:rsidRPr="00A46CEC" w:rsidRDefault="004437AA" w:rsidP="00396651">
            <w:pPr>
              <w:jc w:val="center"/>
            </w:pPr>
            <w:r w:rsidRPr="00A46CEC">
              <w:t>1.72</w:t>
            </w:r>
          </w:p>
        </w:tc>
        <w:tc>
          <w:tcPr>
            <w:tcW w:w="990" w:type="dxa"/>
            <w:tcBorders>
              <w:right w:val="single" w:sz="12" w:space="0" w:color="auto"/>
            </w:tcBorders>
            <w:hideMark/>
          </w:tcPr>
          <w:p w14:paraId="37FD09CA" w14:textId="77777777" w:rsidR="004437AA" w:rsidRPr="00A46CEC" w:rsidRDefault="004437AA" w:rsidP="00396651">
            <w:pPr>
              <w:jc w:val="center"/>
            </w:pPr>
            <w:r w:rsidRPr="00A46CEC">
              <w:t>$75.88</w:t>
            </w:r>
          </w:p>
        </w:tc>
      </w:tr>
      <w:tr w:rsidR="004437AA" w:rsidRPr="00640195" w14:paraId="153404D6" w14:textId="77777777" w:rsidTr="00396651">
        <w:trPr>
          <w:trHeight w:val="809"/>
        </w:trPr>
        <w:tc>
          <w:tcPr>
            <w:tcW w:w="1165" w:type="dxa"/>
            <w:tcBorders>
              <w:left w:val="single" w:sz="12" w:space="0" w:color="auto"/>
              <w:bottom w:val="single" w:sz="4" w:space="0" w:color="auto"/>
            </w:tcBorders>
            <w:hideMark/>
          </w:tcPr>
          <w:p w14:paraId="5B350131" w14:textId="77777777" w:rsidR="004437AA" w:rsidRPr="00A46CEC" w:rsidRDefault="004437AA" w:rsidP="00396651">
            <w:pPr>
              <w:rPr>
                <w:sz w:val="18"/>
                <w:szCs w:val="18"/>
              </w:rPr>
            </w:pPr>
            <w:r w:rsidRPr="00A46CEC">
              <w:rPr>
                <w:sz w:val="18"/>
                <w:szCs w:val="18"/>
              </w:rPr>
              <w:t>Clerical</w:t>
            </w:r>
          </w:p>
        </w:tc>
        <w:tc>
          <w:tcPr>
            <w:tcW w:w="1980" w:type="dxa"/>
            <w:tcBorders>
              <w:bottom w:val="single" w:sz="4" w:space="0" w:color="auto"/>
            </w:tcBorders>
            <w:hideMark/>
          </w:tcPr>
          <w:p w14:paraId="1B7B8CD8" w14:textId="77777777" w:rsidR="004437AA" w:rsidRPr="00A46CEC" w:rsidRDefault="004437AA" w:rsidP="00396651">
            <w:pPr>
              <w:rPr>
                <w:sz w:val="16"/>
                <w:szCs w:val="16"/>
              </w:rPr>
            </w:pPr>
            <w:r w:rsidRPr="00A46CEC">
              <w:rPr>
                <w:sz w:val="16"/>
                <w:szCs w:val="16"/>
              </w:rPr>
              <w:t>BLS ECEC, Private Manufacturing industries, “Office and Administrative Support”</w:t>
            </w:r>
          </w:p>
        </w:tc>
        <w:tc>
          <w:tcPr>
            <w:tcW w:w="810" w:type="dxa"/>
            <w:tcBorders>
              <w:bottom w:val="single" w:sz="4" w:space="0" w:color="auto"/>
            </w:tcBorders>
            <w:hideMark/>
          </w:tcPr>
          <w:p w14:paraId="6DD709D1" w14:textId="77777777" w:rsidR="004437AA" w:rsidRPr="00A46CEC" w:rsidRDefault="004437AA" w:rsidP="00396651">
            <w:pPr>
              <w:rPr>
                <w:sz w:val="18"/>
                <w:szCs w:val="18"/>
              </w:rPr>
            </w:pPr>
            <w:r w:rsidRPr="00A46CEC">
              <w:rPr>
                <w:sz w:val="18"/>
                <w:szCs w:val="18"/>
              </w:rPr>
              <w:t>Dec-15</w:t>
            </w:r>
          </w:p>
        </w:tc>
        <w:tc>
          <w:tcPr>
            <w:tcW w:w="810" w:type="dxa"/>
            <w:tcBorders>
              <w:bottom w:val="single" w:sz="4" w:space="0" w:color="auto"/>
            </w:tcBorders>
            <w:hideMark/>
          </w:tcPr>
          <w:p w14:paraId="6DA07E79" w14:textId="77777777" w:rsidR="004437AA" w:rsidRPr="00A46CEC" w:rsidRDefault="004437AA" w:rsidP="00396651">
            <w:pPr>
              <w:jc w:val="center"/>
            </w:pPr>
            <w:r w:rsidRPr="00A46CEC">
              <w:t>$19.91</w:t>
            </w:r>
          </w:p>
        </w:tc>
        <w:tc>
          <w:tcPr>
            <w:tcW w:w="766" w:type="dxa"/>
            <w:tcBorders>
              <w:bottom w:val="single" w:sz="4" w:space="0" w:color="auto"/>
            </w:tcBorders>
            <w:hideMark/>
          </w:tcPr>
          <w:p w14:paraId="4120E95C" w14:textId="77777777" w:rsidR="004437AA" w:rsidRPr="00A46CEC" w:rsidRDefault="004437AA" w:rsidP="00396651">
            <w:pPr>
              <w:jc w:val="center"/>
            </w:pPr>
            <w:r w:rsidRPr="00A46CEC">
              <w:t>$10.37</w:t>
            </w:r>
          </w:p>
        </w:tc>
        <w:tc>
          <w:tcPr>
            <w:tcW w:w="1060" w:type="dxa"/>
            <w:tcBorders>
              <w:bottom w:val="single" w:sz="4" w:space="0" w:color="auto"/>
            </w:tcBorders>
            <w:hideMark/>
          </w:tcPr>
          <w:p w14:paraId="26A53C93" w14:textId="77777777" w:rsidR="004437AA" w:rsidRPr="00A46CEC" w:rsidRDefault="004437AA" w:rsidP="00396651">
            <w:pPr>
              <w:jc w:val="center"/>
            </w:pPr>
            <w:r w:rsidRPr="00A46CEC">
              <w:t>52%</w:t>
            </w:r>
          </w:p>
        </w:tc>
        <w:tc>
          <w:tcPr>
            <w:tcW w:w="874" w:type="dxa"/>
            <w:tcBorders>
              <w:bottom w:val="single" w:sz="4" w:space="0" w:color="auto"/>
            </w:tcBorders>
            <w:hideMark/>
          </w:tcPr>
          <w:p w14:paraId="2C119830" w14:textId="77777777" w:rsidR="004437AA" w:rsidRPr="00A46CEC" w:rsidRDefault="004437AA" w:rsidP="00396651">
            <w:pPr>
              <w:jc w:val="center"/>
            </w:pPr>
            <w:r w:rsidRPr="00A46CEC">
              <w:t>17%</w:t>
            </w:r>
          </w:p>
        </w:tc>
        <w:tc>
          <w:tcPr>
            <w:tcW w:w="1170" w:type="dxa"/>
            <w:tcBorders>
              <w:bottom w:val="single" w:sz="4" w:space="0" w:color="auto"/>
            </w:tcBorders>
            <w:hideMark/>
          </w:tcPr>
          <w:p w14:paraId="3A083989" w14:textId="77777777" w:rsidR="004437AA" w:rsidRPr="00A46CEC" w:rsidRDefault="004437AA" w:rsidP="00396651">
            <w:pPr>
              <w:jc w:val="center"/>
            </w:pPr>
            <w:r w:rsidRPr="00A46CEC">
              <w:t>1.69</w:t>
            </w:r>
          </w:p>
        </w:tc>
        <w:tc>
          <w:tcPr>
            <w:tcW w:w="990" w:type="dxa"/>
            <w:tcBorders>
              <w:bottom w:val="single" w:sz="4" w:space="0" w:color="auto"/>
              <w:right w:val="single" w:sz="12" w:space="0" w:color="auto"/>
            </w:tcBorders>
            <w:hideMark/>
          </w:tcPr>
          <w:p w14:paraId="68941D46" w14:textId="77777777" w:rsidR="004437AA" w:rsidRPr="00A46CEC" w:rsidRDefault="004437AA" w:rsidP="00396651">
            <w:pPr>
              <w:jc w:val="center"/>
            </w:pPr>
            <w:r w:rsidRPr="00A46CEC">
              <w:t>$33.66</w:t>
            </w:r>
          </w:p>
        </w:tc>
      </w:tr>
      <w:tr w:rsidR="004437AA" w:rsidRPr="00640195" w14:paraId="2AD76EB2" w14:textId="77777777" w:rsidTr="00396651">
        <w:trPr>
          <w:trHeight w:val="276"/>
        </w:trPr>
        <w:tc>
          <w:tcPr>
            <w:tcW w:w="9625" w:type="dxa"/>
            <w:gridSpan w:val="9"/>
            <w:tcBorders>
              <w:left w:val="single" w:sz="12" w:space="0" w:color="auto"/>
              <w:bottom w:val="nil"/>
              <w:right w:val="single" w:sz="12" w:space="0" w:color="auto"/>
            </w:tcBorders>
            <w:hideMark/>
          </w:tcPr>
          <w:p w14:paraId="07AA49A2" w14:textId="77777777" w:rsidR="004437AA" w:rsidRPr="00A46CEC" w:rsidRDefault="004437AA" w:rsidP="00396651">
            <w:pPr>
              <w:rPr>
                <w:b/>
                <w:bCs/>
                <w:sz w:val="18"/>
                <w:szCs w:val="18"/>
              </w:rPr>
            </w:pPr>
            <w:r w:rsidRPr="00A46CEC">
              <w:rPr>
                <w:b/>
                <w:bCs/>
                <w:sz w:val="18"/>
                <w:szCs w:val="18"/>
              </w:rPr>
              <w:t>Footnotes</w:t>
            </w:r>
          </w:p>
        </w:tc>
      </w:tr>
      <w:tr w:rsidR="004437AA" w:rsidRPr="00640195" w14:paraId="14A4B61A" w14:textId="77777777" w:rsidTr="00396651">
        <w:trPr>
          <w:trHeight w:val="476"/>
        </w:trPr>
        <w:tc>
          <w:tcPr>
            <w:tcW w:w="9625" w:type="dxa"/>
            <w:gridSpan w:val="9"/>
            <w:tcBorders>
              <w:top w:val="nil"/>
              <w:left w:val="single" w:sz="12" w:space="0" w:color="auto"/>
              <w:bottom w:val="nil"/>
              <w:right w:val="single" w:sz="12" w:space="0" w:color="auto"/>
            </w:tcBorders>
            <w:hideMark/>
          </w:tcPr>
          <w:p w14:paraId="25BE67E6" w14:textId="77777777" w:rsidR="004437AA" w:rsidRPr="00BE1C78" w:rsidRDefault="004437AA" w:rsidP="00396651">
            <w:pPr>
              <w:rPr>
                <w:sz w:val="16"/>
                <w:szCs w:val="16"/>
              </w:rPr>
            </w:pPr>
            <w:r w:rsidRPr="00BE1C78">
              <w:rPr>
                <w:sz w:val="16"/>
                <w:szCs w:val="16"/>
                <w:vertAlign w:val="superscript"/>
              </w:rPr>
              <w:t>a</w:t>
            </w:r>
            <w:r w:rsidRPr="00BE1C78">
              <w:rPr>
                <w:sz w:val="16"/>
                <w:szCs w:val="16"/>
              </w:rPr>
              <w:t xml:space="preserve"> Source: </w:t>
            </w:r>
            <w:r w:rsidRPr="00BE1C78">
              <w:rPr>
                <w:i/>
                <w:iCs/>
                <w:sz w:val="16"/>
                <w:szCs w:val="16"/>
              </w:rPr>
              <w:t>Employer Costs for Employee Compensation Supplementary Tables: December 2006 – December 2015</w:t>
            </w:r>
            <w:r w:rsidRPr="00BE1C78">
              <w:rPr>
                <w:sz w:val="16"/>
                <w:szCs w:val="16"/>
              </w:rPr>
              <w:t xml:space="preserve"> (U.S. Bureau of Labor Statistics, 2016).</w:t>
            </w:r>
          </w:p>
        </w:tc>
      </w:tr>
      <w:tr w:rsidR="004437AA" w:rsidRPr="00640195" w14:paraId="03834A5D" w14:textId="77777777" w:rsidTr="00396651">
        <w:trPr>
          <w:trHeight w:val="564"/>
        </w:trPr>
        <w:tc>
          <w:tcPr>
            <w:tcW w:w="9625" w:type="dxa"/>
            <w:gridSpan w:val="9"/>
            <w:tcBorders>
              <w:top w:val="nil"/>
              <w:left w:val="single" w:sz="12" w:space="0" w:color="auto"/>
              <w:bottom w:val="nil"/>
              <w:right w:val="single" w:sz="12" w:space="0" w:color="auto"/>
            </w:tcBorders>
            <w:hideMark/>
          </w:tcPr>
          <w:p w14:paraId="0DEACB3B" w14:textId="77777777" w:rsidR="004437AA" w:rsidRPr="00BE1C78" w:rsidRDefault="004437AA" w:rsidP="00396651">
            <w:pPr>
              <w:rPr>
                <w:sz w:val="16"/>
                <w:szCs w:val="16"/>
              </w:rPr>
            </w:pPr>
            <w:r w:rsidRPr="00BE1C78">
              <w:rPr>
                <w:sz w:val="16"/>
                <w:szCs w:val="16"/>
                <w:vertAlign w:val="superscript"/>
              </w:rPr>
              <w:t>b</w:t>
            </w:r>
            <w:r w:rsidRPr="00BE1C78">
              <w:rPr>
                <w:sz w:val="16"/>
                <w:szCs w:val="16"/>
              </w:rPr>
              <w:t xml:space="preserve"> An overhead rate of 17% is used based on assumptions in </w:t>
            </w:r>
            <w:r w:rsidRPr="00BE1C78">
              <w:rPr>
                <w:i/>
                <w:iCs/>
                <w:sz w:val="16"/>
                <w:szCs w:val="16"/>
              </w:rPr>
              <w:t xml:space="preserve">Wage Rates for Economic Analysis of the Toxics Release Inventory Program </w:t>
            </w:r>
            <w:r w:rsidRPr="00BE1C78">
              <w:rPr>
                <w:sz w:val="16"/>
                <w:szCs w:val="16"/>
              </w:rPr>
              <w:t xml:space="preserve">(Rice, 2002), and the </w:t>
            </w:r>
            <w:r w:rsidRPr="00BE1C78">
              <w:rPr>
                <w:i/>
                <w:iCs/>
                <w:sz w:val="16"/>
                <w:szCs w:val="16"/>
              </w:rPr>
              <w:t xml:space="preserve">Revised Economic Analysis for the Amended Inventory Update Rule: Final Report </w:t>
            </w:r>
            <w:r w:rsidRPr="00BE1C78">
              <w:rPr>
                <w:sz w:val="16"/>
                <w:szCs w:val="16"/>
              </w:rPr>
              <w:t>(U.S. EPA, 2002).</w:t>
            </w:r>
          </w:p>
        </w:tc>
      </w:tr>
      <w:tr w:rsidR="004437AA" w:rsidRPr="00640195" w14:paraId="4CF81529" w14:textId="77777777" w:rsidTr="00396651">
        <w:trPr>
          <w:trHeight w:val="216"/>
        </w:trPr>
        <w:tc>
          <w:tcPr>
            <w:tcW w:w="9625" w:type="dxa"/>
            <w:gridSpan w:val="9"/>
            <w:tcBorders>
              <w:top w:val="nil"/>
              <w:left w:val="single" w:sz="12" w:space="0" w:color="auto"/>
              <w:bottom w:val="nil"/>
              <w:right w:val="single" w:sz="12" w:space="0" w:color="auto"/>
            </w:tcBorders>
            <w:hideMark/>
          </w:tcPr>
          <w:p w14:paraId="5EC8808A" w14:textId="77777777" w:rsidR="004437AA" w:rsidRPr="00BE1C78" w:rsidRDefault="004437AA" w:rsidP="00396651">
            <w:pPr>
              <w:rPr>
                <w:sz w:val="16"/>
                <w:szCs w:val="16"/>
              </w:rPr>
            </w:pPr>
            <w:r w:rsidRPr="00BE1C78">
              <w:rPr>
                <w:sz w:val="16"/>
                <w:szCs w:val="16"/>
                <w:vertAlign w:val="superscript"/>
              </w:rPr>
              <w:t>c</w:t>
            </w:r>
            <w:r w:rsidRPr="00BE1C78">
              <w:rPr>
                <w:sz w:val="16"/>
                <w:szCs w:val="16"/>
              </w:rPr>
              <w:t xml:space="preserve"> The inflation factor of “1” in the formula for calculating the fringe + overhead factor means wage data are not escalated to reflect inflation.</w:t>
            </w:r>
          </w:p>
        </w:tc>
      </w:tr>
      <w:tr w:rsidR="004437AA" w:rsidRPr="00640195" w14:paraId="02A57123" w14:textId="77777777" w:rsidTr="00396651">
        <w:trPr>
          <w:trHeight w:val="300"/>
        </w:trPr>
        <w:tc>
          <w:tcPr>
            <w:tcW w:w="9625" w:type="dxa"/>
            <w:gridSpan w:val="9"/>
            <w:tcBorders>
              <w:top w:val="nil"/>
              <w:left w:val="single" w:sz="12" w:space="0" w:color="auto"/>
              <w:bottom w:val="single" w:sz="12" w:space="0" w:color="auto"/>
              <w:right w:val="single" w:sz="12" w:space="0" w:color="auto"/>
            </w:tcBorders>
            <w:hideMark/>
          </w:tcPr>
          <w:p w14:paraId="6450965E" w14:textId="77777777" w:rsidR="004437AA" w:rsidRPr="00BE1C78" w:rsidRDefault="004437AA" w:rsidP="00396651">
            <w:pPr>
              <w:rPr>
                <w:sz w:val="16"/>
                <w:szCs w:val="16"/>
              </w:rPr>
            </w:pPr>
            <w:r w:rsidRPr="00BE1C78">
              <w:rPr>
                <w:sz w:val="16"/>
                <w:szCs w:val="16"/>
                <w:vertAlign w:val="superscript"/>
              </w:rPr>
              <w:t>d</w:t>
            </w:r>
            <w:r w:rsidRPr="00BE1C78">
              <w:rPr>
                <w:sz w:val="16"/>
                <w:szCs w:val="16"/>
              </w:rPr>
              <w:t xml:space="preserve"> Wage data are rounded to the closest cent in this analysis.</w:t>
            </w:r>
          </w:p>
        </w:tc>
      </w:tr>
    </w:tbl>
    <w:p w14:paraId="1FF20F27" w14:textId="77777777" w:rsidR="004437AA" w:rsidRPr="00EC7270" w:rsidRDefault="004437AA" w:rsidP="004437AA">
      <w:pPr>
        <w:rPr>
          <w:bCs/>
          <w:sz w:val="24"/>
          <w:szCs w:val="24"/>
        </w:rPr>
      </w:pPr>
    </w:p>
    <w:tbl>
      <w:tblPr>
        <w:tblW w:w="9483" w:type="dxa"/>
        <w:tblInd w:w="93" w:type="dxa"/>
        <w:tblLook w:val="04A0" w:firstRow="1" w:lastRow="0" w:firstColumn="1" w:lastColumn="0" w:noHBand="0" w:noVBand="1"/>
      </w:tblPr>
      <w:tblGrid>
        <w:gridCol w:w="2615"/>
        <w:gridCol w:w="861"/>
        <w:gridCol w:w="1039"/>
        <w:gridCol w:w="1063"/>
        <w:gridCol w:w="1094"/>
        <w:gridCol w:w="1515"/>
        <w:gridCol w:w="1296"/>
      </w:tblGrid>
      <w:tr w:rsidR="004437AA" w:rsidRPr="009B1F4A" w14:paraId="2F624910" w14:textId="77777777" w:rsidTr="00396651">
        <w:trPr>
          <w:trHeight w:val="323"/>
        </w:trPr>
        <w:tc>
          <w:tcPr>
            <w:tcW w:w="9483" w:type="dxa"/>
            <w:gridSpan w:val="7"/>
            <w:tcBorders>
              <w:top w:val="nil"/>
              <w:left w:val="nil"/>
              <w:bottom w:val="single" w:sz="8" w:space="0" w:color="auto"/>
              <w:right w:val="nil"/>
            </w:tcBorders>
            <w:shd w:val="clear" w:color="auto" w:fill="auto"/>
            <w:noWrap/>
            <w:vAlign w:val="bottom"/>
            <w:hideMark/>
          </w:tcPr>
          <w:p w14:paraId="243C10EE" w14:textId="77777777" w:rsidR="004437AA" w:rsidRPr="009B1F4A" w:rsidRDefault="004437AA" w:rsidP="00396651">
            <w:pPr>
              <w:autoSpaceDE/>
              <w:autoSpaceDN/>
              <w:adjustRightInd/>
              <w:rPr>
                <w:b/>
                <w:bCs/>
                <w:color w:val="000000"/>
                <w:sz w:val="24"/>
                <w:szCs w:val="24"/>
              </w:rPr>
            </w:pPr>
            <w:r w:rsidRPr="009B1F4A">
              <w:rPr>
                <w:b/>
                <w:bCs/>
                <w:color w:val="000000"/>
                <w:sz w:val="24"/>
                <w:szCs w:val="24"/>
              </w:rPr>
              <w:t>Table 5: Industry Annual Reporting Costs (2015$)</w:t>
            </w:r>
          </w:p>
        </w:tc>
      </w:tr>
      <w:tr w:rsidR="004437AA" w:rsidRPr="009B1F4A" w14:paraId="1A9AC9EB" w14:textId="77777777" w:rsidTr="00396651">
        <w:trPr>
          <w:trHeight w:val="817"/>
        </w:trPr>
        <w:tc>
          <w:tcPr>
            <w:tcW w:w="2615" w:type="dxa"/>
            <w:tcBorders>
              <w:top w:val="nil"/>
              <w:left w:val="single" w:sz="8" w:space="0" w:color="auto"/>
              <w:bottom w:val="single" w:sz="8" w:space="0" w:color="auto"/>
              <w:right w:val="single" w:sz="8" w:space="0" w:color="auto"/>
            </w:tcBorders>
            <w:shd w:val="clear" w:color="000000" w:fill="D9D9D9"/>
            <w:vAlign w:val="bottom"/>
            <w:hideMark/>
          </w:tcPr>
          <w:p w14:paraId="6899B30B" w14:textId="77777777" w:rsidR="004437AA" w:rsidRPr="00BE1C78" w:rsidRDefault="004437AA" w:rsidP="00396651">
            <w:pPr>
              <w:autoSpaceDE/>
              <w:autoSpaceDN/>
              <w:adjustRightInd/>
              <w:rPr>
                <w:b/>
                <w:bCs/>
                <w:color w:val="000000"/>
              </w:rPr>
            </w:pPr>
            <w:r w:rsidRPr="00BE1C78">
              <w:rPr>
                <w:b/>
                <w:bCs/>
                <w:color w:val="000000"/>
              </w:rPr>
              <w:t>Activity</w:t>
            </w:r>
          </w:p>
        </w:tc>
        <w:tc>
          <w:tcPr>
            <w:tcW w:w="861" w:type="dxa"/>
            <w:tcBorders>
              <w:top w:val="nil"/>
              <w:left w:val="nil"/>
              <w:bottom w:val="single" w:sz="8" w:space="0" w:color="auto"/>
              <w:right w:val="single" w:sz="8" w:space="0" w:color="auto"/>
            </w:tcBorders>
            <w:shd w:val="clear" w:color="000000" w:fill="D9D9D9"/>
            <w:vAlign w:val="bottom"/>
            <w:hideMark/>
          </w:tcPr>
          <w:p w14:paraId="6B768ABB" w14:textId="77777777" w:rsidR="004437AA" w:rsidRPr="00BE1C78" w:rsidRDefault="004437AA" w:rsidP="00396651">
            <w:pPr>
              <w:autoSpaceDE/>
              <w:autoSpaceDN/>
              <w:adjustRightInd/>
              <w:rPr>
                <w:b/>
                <w:bCs/>
                <w:color w:val="000000"/>
              </w:rPr>
            </w:pPr>
            <w:r w:rsidRPr="00BE1C78">
              <w:rPr>
                <w:b/>
                <w:bCs/>
                <w:color w:val="000000"/>
              </w:rPr>
              <w:t>Unit Burden (hours)</w:t>
            </w:r>
          </w:p>
        </w:tc>
        <w:tc>
          <w:tcPr>
            <w:tcW w:w="1039" w:type="dxa"/>
            <w:tcBorders>
              <w:top w:val="nil"/>
              <w:left w:val="nil"/>
              <w:bottom w:val="single" w:sz="8" w:space="0" w:color="auto"/>
              <w:right w:val="single" w:sz="8" w:space="0" w:color="auto"/>
            </w:tcBorders>
            <w:shd w:val="clear" w:color="000000" w:fill="D9D9D9"/>
            <w:vAlign w:val="bottom"/>
            <w:hideMark/>
          </w:tcPr>
          <w:p w14:paraId="3DB50AB1" w14:textId="77777777" w:rsidR="004437AA" w:rsidRPr="00BE1C78" w:rsidRDefault="004437AA" w:rsidP="00396651">
            <w:pPr>
              <w:autoSpaceDE/>
              <w:autoSpaceDN/>
              <w:adjustRightInd/>
              <w:rPr>
                <w:b/>
                <w:bCs/>
                <w:color w:val="000000"/>
              </w:rPr>
            </w:pPr>
            <w:r w:rsidRPr="00BE1C78">
              <w:rPr>
                <w:b/>
                <w:bCs/>
                <w:color w:val="000000"/>
              </w:rPr>
              <w:t>Weighted Average Wage Rate</w:t>
            </w:r>
          </w:p>
        </w:tc>
        <w:tc>
          <w:tcPr>
            <w:tcW w:w="1063" w:type="dxa"/>
            <w:tcBorders>
              <w:top w:val="nil"/>
              <w:left w:val="nil"/>
              <w:bottom w:val="single" w:sz="8" w:space="0" w:color="auto"/>
              <w:right w:val="single" w:sz="8" w:space="0" w:color="auto"/>
            </w:tcBorders>
            <w:shd w:val="clear" w:color="000000" w:fill="D9D9D9"/>
            <w:vAlign w:val="bottom"/>
            <w:hideMark/>
          </w:tcPr>
          <w:p w14:paraId="6567EB5C" w14:textId="77777777" w:rsidR="004437AA" w:rsidRPr="00BE1C78" w:rsidRDefault="004437AA" w:rsidP="00396651">
            <w:pPr>
              <w:autoSpaceDE/>
              <w:autoSpaceDN/>
              <w:adjustRightInd/>
              <w:rPr>
                <w:b/>
                <w:bCs/>
                <w:color w:val="000000"/>
              </w:rPr>
            </w:pPr>
            <w:r w:rsidRPr="00BE1C78">
              <w:rPr>
                <w:b/>
                <w:bCs/>
                <w:color w:val="000000"/>
              </w:rPr>
              <w:t>Unit Cost (per response)</w:t>
            </w:r>
          </w:p>
        </w:tc>
        <w:tc>
          <w:tcPr>
            <w:tcW w:w="1094" w:type="dxa"/>
            <w:tcBorders>
              <w:top w:val="nil"/>
              <w:left w:val="nil"/>
              <w:bottom w:val="single" w:sz="8" w:space="0" w:color="auto"/>
              <w:right w:val="single" w:sz="8" w:space="0" w:color="auto"/>
            </w:tcBorders>
            <w:shd w:val="clear" w:color="000000" w:fill="D9D9D9"/>
            <w:vAlign w:val="bottom"/>
            <w:hideMark/>
          </w:tcPr>
          <w:p w14:paraId="5EBD1810" w14:textId="77777777" w:rsidR="004437AA" w:rsidRPr="00BE1C78" w:rsidRDefault="004437AA" w:rsidP="00396651">
            <w:pPr>
              <w:autoSpaceDE/>
              <w:autoSpaceDN/>
              <w:adjustRightInd/>
              <w:rPr>
                <w:b/>
                <w:bCs/>
                <w:color w:val="000000"/>
              </w:rPr>
            </w:pPr>
            <w:r w:rsidRPr="00BE1C78">
              <w:rPr>
                <w:b/>
                <w:bCs/>
                <w:color w:val="000000"/>
              </w:rPr>
              <w:t>Number of Responses</w:t>
            </w:r>
          </w:p>
        </w:tc>
        <w:tc>
          <w:tcPr>
            <w:tcW w:w="1515" w:type="dxa"/>
            <w:tcBorders>
              <w:top w:val="nil"/>
              <w:left w:val="nil"/>
              <w:bottom w:val="single" w:sz="8" w:space="0" w:color="auto"/>
              <w:right w:val="single" w:sz="8" w:space="0" w:color="auto"/>
            </w:tcBorders>
            <w:shd w:val="clear" w:color="000000" w:fill="D9D9D9"/>
            <w:vAlign w:val="bottom"/>
            <w:hideMark/>
          </w:tcPr>
          <w:p w14:paraId="17511061" w14:textId="77777777" w:rsidR="004437AA" w:rsidRPr="00BE1C78" w:rsidRDefault="004437AA" w:rsidP="00396651">
            <w:pPr>
              <w:autoSpaceDE/>
              <w:autoSpaceDN/>
              <w:adjustRightInd/>
              <w:rPr>
                <w:b/>
                <w:bCs/>
                <w:color w:val="000000"/>
              </w:rPr>
            </w:pPr>
            <w:r w:rsidRPr="00BE1C78">
              <w:rPr>
                <w:b/>
                <w:bCs/>
                <w:color w:val="000000"/>
              </w:rPr>
              <w:t>Number of Respondents</w:t>
            </w:r>
          </w:p>
        </w:tc>
        <w:tc>
          <w:tcPr>
            <w:tcW w:w="1296" w:type="dxa"/>
            <w:tcBorders>
              <w:top w:val="nil"/>
              <w:left w:val="nil"/>
              <w:bottom w:val="single" w:sz="8" w:space="0" w:color="auto"/>
              <w:right w:val="single" w:sz="8" w:space="0" w:color="auto"/>
            </w:tcBorders>
            <w:shd w:val="clear" w:color="000000" w:fill="D9D9D9"/>
            <w:vAlign w:val="bottom"/>
            <w:hideMark/>
          </w:tcPr>
          <w:p w14:paraId="1BEE28AA" w14:textId="77777777" w:rsidR="004437AA" w:rsidRPr="00BE1C78" w:rsidRDefault="004437AA" w:rsidP="00396651">
            <w:pPr>
              <w:autoSpaceDE/>
              <w:autoSpaceDN/>
              <w:adjustRightInd/>
              <w:jc w:val="center"/>
              <w:rPr>
                <w:b/>
                <w:bCs/>
                <w:color w:val="000000"/>
              </w:rPr>
            </w:pPr>
            <w:r w:rsidRPr="00BE1C78">
              <w:rPr>
                <w:b/>
                <w:bCs/>
                <w:color w:val="000000"/>
              </w:rPr>
              <w:t>Annual Cost</w:t>
            </w:r>
          </w:p>
        </w:tc>
      </w:tr>
      <w:tr w:rsidR="004437AA" w:rsidRPr="009B1F4A" w14:paraId="3F916F90" w14:textId="77777777" w:rsidTr="00396651">
        <w:trPr>
          <w:trHeight w:val="300"/>
        </w:trPr>
        <w:tc>
          <w:tcPr>
            <w:tcW w:w="2615" w:type="dxa"/>
            <w:tcBorders>
              <w:top w:val="nil"/>
              <w:left w:val="single" w:sz="8" w:space="0" w:color="auto"/>
              <w:bottom w:val="single" w:sz="4" w:space="0" w:color="auto"/>
              <w:right w:val="single" w:sz="4" w:space="0" w:color="auto"/>
            </w:tcBorders>
            <w:shd w:val="clear" w:color="auto" w:fill="auto"/>
            <w:vAlign w:val="bottom"/>
            <w:hideMark/>
          </w:tcPr>
          <w:p w14:paraId="3F40ECC6" w14:textId="77777777" w:rsidR="004437AA" w:rsidRPr="00BE1C78" w:rsidRDefault="004437AA" w:rsidP="00396651">
            <w:pPr>
              <w:autoSpaceDE/>
              <w:autoSpaceDN/>
              <w:adjustRightInd/>
              <w:rPr>
                <w:i/>
                <w:iCs/>
                <w:color w:val="000000"/>
              </w:rPr>
            </w:pPr>
            <w:r w:rsidRPr="00BE1C78">
              <w:rPr>
                <w:i/>
                <w:iCs/>
                <w:color w:val="000000"/>
              </w:rPr>
              <w:t>Section 8(e) – Initial</w:t>
            </w:r>
          </w:p>
        </w:tc>
        <w:tc>
          <w:tcPr>
            <w:tcW w:w="861" w:type="dxa"/>
            <w:tcBorders>
              <w:top w:val="nil"/>
              <w:left w:val="nil"/>
              <w:bottom w:val="single" w:sz="4" w:space="0" w:color="auto"/>
              <w:right w:val="single" w:sz="4" w:space="0" w:color="auto"/>
            </w:tcBorders>
            <w:shd w:val="clear" w:color="auto" w:fill="auto"/>
            <w:noWrap/>
            <w:vAlign w:val="bottom"/>
            <w:hideMark/>
          </w:tcPr>
          <w:p w14:paraId="38C84ECF" w14:textId="77777777" w:rsidR="004437AA" w:rsidRPr="009B1F4A" w:rsidRDefault="004437AA" w:rsidP="00396651">
            <w:pPr>
              <w:autoSpaceDE/>
              <w:autoSpaceDN/>
              <w:adjustRightInd/>
              <w:jc w:val="right"/>
              <w:rPr>
                <w:color w:val="000000"/>
                <w:sz w:val="22"/>
                <w:szCs w:val="22"/>
              </w:rPr>
            </w:pPr>
            <w:r w:rsidRPr="009B1F4A">
              <w:rPr>
                <w:color w:val="000000"/>
                <w:sz w:val="22"/>
                <w:szCs w:val="22"/>
              </w:rPr>
              <w:t>50.06</w:t>
            </w:r>
          </w:p>
        </w:tc>
        <w:tc>
          <w:tcPr>
            <w:tcW w:w="1039" w:type="dxa"/>
            <w:tcBorders>
              <w:top w:val="nil"/>
              <w:left w:val="nil"/>
              <w:bottom w:val="single" w:sz="4" w:space="0" w:color="auto"/>
              <w:right w:val="single" w:sz="4" w:space="0" w:color="auto"/>
            </w:tcBorders>
            <w:shd w:val="clear" w:color="auto" w:fill="auto"/>
            <w:noWrap/>
            <w:vAlign w:val="bottom"/>
            <w:hideMark/>
          </w:tcPr>
          <w:p w14:paraId="77841DBC" w14:textId="77777777" w:rsidR="004437AA" w:rsidRPr="009B1F4A" w:rsidRDefault="004437AA" w:rsidP="00396651">
            <w:pPr>
              <w:autoSpaceDE/>
              <w:autoSpaceDN/>
              <w:adjustRightInd/>
              <w:jc w:val="right"/>
              <w:rPr>
                <w:color w:val="000000"/>
                <w:sz w:val="22"/>
                <w:szCs w:val="22"/>
              </w:rPr>
            </w:pPr>
            <w:r w:rsidRPr="009B1F4A">
              <w:rPr>
                <w:color w:val="000000"/>
                <w:sz w:val="22"/>
                <w:szCs w:val="22"/>
              </w:rPr>
              <w:t xml:space="preserve">$77.06 </w:t>
            </w:r>
          </w:p>
        </w:tc>
        <w:tc>
          <w:tcPr>
            <w:tcW w:w="1063" w:type="dxa"/>
            <w:tcBorders>
              <w:top w:val="nil"/>
              <w:left w:val="nil"/>
              <w:bottom w:val="single" w:sz="4" w:space="0" w:color="auto"/>
              <w:right w:val="single" w:sz="4" w:space="0" w:color="auto"/>
            </w:tcBorders>
            <w:shd w:val="clear" w:color="auto" w:fill="auto"/>
            <w:noWrap/>
            <w:vAlign w:val="bottom"/>
            <w:hideMark/>
          </w:tcPr>
          <w:p w14:paraId="22759A87" w14:textId="77777777" w:rsidR="004437AA" w:rsidRPr="009B1F4A" w:rsidRDefault="004437AA" w:rsidP="00396651">
            <w:pPr>
              <w:autoSpaceDE/>
              <w:autoSpaceDN/>
              <w:adjustRightInd/>
              <w:jc w:val="right"/>
              <w:rPr>
                <w:color w:val="000000"/>
                <w:sz w:val="22"/>
                <w:szCs w:val="22"/>
              </w:rPr>
            </w:pPr>
            <w:r w:rsidRPr="009B1F4A">
              <w:rPr>
                <w:color w:val="000000"/>
                <w:sz w:val="22"/>
                <w:szCs w:val="22"/>
              </w:rPr>
              <w:t>$3,858</w:t>
            </w:r>
          </w:p>
        </w:tc>
        <w:tc>
          <w:tcPr>
            <w:tcW w:w="1094" w:type="dxa"/>
            <w:tcBorders>
              <w:top w:val="nil"/>
              <w:left w:val="nil"/>
              <w:bottom w:val="single" w:sz="4" w:space="0" w:color="auto"/>
              <w:right w:val="single" w:sz="4" w:space="0" w:color="auto"/>
            </w:tcBorders>
            <w:shd w:val="clear" w:color="auto" w:fill="auto"/>
            <w:noWrap/>
            <w:vAlign w:val="bottom"/>
            <w:hideMark/>
          </w:tcPr>
          <w:p w14:paraId="14B5EFCF" w14:textId="77777777" w:rsidR="004437AA" w:rsidRPr="009B1F4A" w:rsidRDefault="004437AA" w:rsidP="00396651">
            <w:pPr>
              <w:autoSpaceDE/>
              <w:autoSpaceDN/>
              <w:adjustRightInd/>
              <w:jc w:val="center"/>
              <w:rPr>
                <w:color w:val="000000"/>
                <w:sz w:val="22"/>
                <w:szCs w:val="22"/>
              </w:rPr>
            </w:pPr>
            <w:r w:rsidRPr="009B1F4A">
              <w:rPr>
                <w:color w:val="000000"/>
                <w:sz w:val="22"/>
                <w:szCs w:val="22"/>
              </w:rPr>
              <w:t>408</w:t>
            </w:r>
          </w:p>
        </w:tc>
        <w:tc>
          <w:tcPr>
            <w:tcW w:w="1515" w:type="dxa"/>
            <w:tcBorders>
              <w:top w:val="nil"/>
              <w:left w:val="nil"/>
              <w:bottom w:val="single" w:sz="4" w:space="0" w:color="auto"/>
              <w:right w:val="single" w:sz="4" w:space="0" w:color="auto"/>
            </w:tcBorders>
            <w:shd w:val="clear" w:color="auto" w:fill="auto"/>
            <w:noWrap/>
            <w:vAlign w:val="bottom"/>
            <w:hideMark/>
          </w:tcPr>
          <w:p w14:paraId="22BD859C" w14:textId="77777777" w:rsidR="004437AA" w:rsidRPr="009B1F4A" w:rsidRDefault="004437AA" w:rsidP="00396651">
            <w:pPr>
              <w:autoSpaceDE/>
              <w:autoSpaceDN/>
              <w:adjustRightInd/>
              <w:jc w:val="center"/>
              <w:rPr>
                <w:color w:val="000000"/>
                <w:sz w:val="22"/>
                <w:szCs w:val="22"/>
              </w:rPr>
            </w:pPr>
            <w:r w:rsidRPr="009B1F4A">
              <w:rPr>
                <w:color w:val="000000"/>
                <w:sz w:val="22"/>
                <w:szCs w:val="22"/>
              </w:rPr>
              <w:t>59</w:t>
            </w:r>
          </w:p>
        </w:tc>
        <w:tc>
          <w:tcPr>
            <w:tcW w:w="1296" w:type="dxa"/>
            <w:tcBorders>
              <w:top w:val="nil"/>
              <w:left w:val="nil"/>
              <w:bottom w:val="single" w:sz="4" w:space="0" w:color="auto"/>
              <w:right w:val="single" w:sz="8" w:space="0" w:color="auto"/>
            </w:tcBorders>
            <w:shd w:val="clear" w:color="auto" w:fill="auto"/>
            <w:noWrap/>
            <w:vAlign w:val="bottom"/>
            <w:hideMark/>
          </w:tcPr>
          <w:p w14:paraId="5BBB67FE" w14:textId="77777777" w:rsidR="004437AA" w:rsidRPr="009B1F4A" w:rsidRDefault="004437AA" w:rsidP="00396651">
            <w:pPr>
              <w:autoSpaceDE/>
              <w:autoSpaceDN/>
              <w:adjustRightInd/>
              <w:jc w:val="right"/>
              <w:rPr>
                <w:color w:val="000000"/>
                <w:sz w:val="22"/>
                <w:szCs w:val="22"/>
              </w:rPr>
            </w:pPr>
            <w:r w:rsidRPr="009B1F4A">
              <w:rPr>
                <w:color w:val="000000"/>
                <w:sz w:val="22"/>
                <w:szCs w:val="22"/>
              </w:rPr>
              <w:t>$1,575,219</w:t>
            </w:r>
          </w:p>
        </w:tc>
      </w:tr>
      <w:tr w:rsidR="004437AA" w:rsidRPr="009B1F4A" w14:paraId="3A75620A" w14:textId="77777777" w:rsidTr="00396651">
        <w:trPr>
          <w:trHeight w:val="915"/>
        </w:trPr>
        <w:tc>
          <w:tcPr>
            <w:tcW w:w="2615" w:type="dxa"/>
            <w:tcBorders>
              <w:top w:val="nil"/>
              <w:left w:val="single" w:sz="8" w:space="0" w:color="auto"/>
              <w:bottom w:val="single" w:sz="8" w:space="0" w:color="auto"/>
              <w:right w:val="single" w:sz="4" w:space="0" w:color="auto"/>
            </w:tcBorders>
            <w:shd w:val="clear" w:color="auto" w:fill="auto"/>
            <w:vAlign w:val="bottom"/>
            <w:hideMark/>
          </w:tcPr>
          <w:p w14:paraId="4971BD8E" w14:textId="77777777" w:rsidR="004437AA" w:rsidRPr="00BE1C78" w:rsidRDefault="004437AA" w:rsidP="00396651">
            <w:pPr>
              <w:autoSpaceDE/>
              <w:autoSpaceDN/>
              <w:adjustRightInd/>
              <w:rPr>
                <w:i/>
                <w:iCs/>
                <w:color w:val="000000"/>
              </w:rPr>
            </w:pPr>
            <w:r w:rsidRPr="00BE1C78">
              <w:rPr>
                <w:i/>
                <w:iCs/>
                <w:color w:val="000000"/>
              </w:rPr>
              <w:t>Section 8(e) – Follow-up/Supplemental</w:t>
            </w:r>
          </w:p>
        </w:tc>
        <w:tc>
          <w:tcPr>
            <w:tcW w:w="861" w:type="dxa"/>
            <w:tcBorders>
              <w:top w:val="nil"/>
              <w:left w:val="nil"/>
              <w:bottom w:val="single" w:sz="8" w:space="0" w:color="auto"/>
              <w:right w:val="single" w:sz="4" w:space="0" w:color="auto"/>
            </w:tcBorders>
            <w:shd w:val="clear" w:color="auto" w:fill="auto"/>
            <w:noWrap/>
            <w:vAlign w:val="bottom"/>
            <w:hideMark/>
          </w:tcPr>
          <w:p w14:paraId="2B81CD0D" w14:textId="77777777" w:rsidR="004437AA" w:rsidRPr="009B1F4A" w:rsidRDefault="004437AA" w:rsidP="00396651">
            <w:pPr>
              <w:autoSpaceDE/>
              <w:autoSpaceDN/>
              <w:adjustRightInd/>
              <w:jc w:val="right"/>
              <w:rPr>
                <w:color w:val="000000"/>
                <w:sz w:val="22"/>
                <w:szCs w:val="22"/>
              </w:rPr>
            </w:pPr>
            <w:r w:rsidRPr="009B1F4A">
              <w:rPr>
                <w:color w:val="000000"/>
                <w:sz w:val="22"/>
                <w:szCs w:val="22"/>
              </w:rPr>
              <w:t>4.06</w:t>
            </w:r>
          </w:p>
        </w:tc>
        <w:tc>
          <w:tcPr>
            <w:tcW w:w="1039" w:type="dxa"/>
            <w:tcBorders>
              <w:top w:val="nil"/>
              <w:left w:val="nil"/>
              <w:bottom w:val="single" w:sz="8" w:space="0" w:color="auto"/>
              <w:right w:val="single" w:sz="4" w:space="0" w:color="auto"/>
            </w:tcBorders>
            <w:shd w:val="clear" w:color="auto" w:fill="auto"/>
            <w:noWrap/>
            <w:vAlign w:val="bottom"/>
            <w:hideMark/>
          </w:tcPr>
          <w:p w14:paraId="2DA424BF" w14:textId="77777777" w:rsidR="004437AA" w:rsidRPr="009B1F4A" w:rsidRDefault="004437AA" w:rsidP="00396651">
            <w:pPr>
              <w:autoSpaceDE/>
              <w:autoSpaceDN/>
              <w:adjustRightInd/>
              <w:jc w:val="right"/>
              <w:rPr>
                <w:color w:val="000000"/>
                <w:sz w:val="22"/>
                <w:szCs w:val="22"/>
              </w:rPr>
            </w:pPr>
            <w:r w:rsidRPr="009B1F4A">
              <w:rPr>
                <w:color w:val="000000"/>
                <w:sz w:val="22"/>
                <w:szCs w:val="22"/>
              </w:rPr>
              <w:t xml:space="preserve">$77.34 </w:t>
            </w:r>
          </w:p>
        </w:tc>
        <w:tc>
          <w:tcPr>
            <w:tcW w:w="1063" w:type="dxa"/>
            <w:tcBorders>
              <w:top w:val="nil"/>
              <w:left w:val="nil"/>
              <w:bottom w:val="single" w:sz="8" w:space="0" w:color="auto"/>
              <w:right w:val="single" w:sz="4" w:space="0" w:color="auto"/>
            </w:tcBorders>
            <w:shd w:val="clear" w:color="auto" w:fill="auto"/>
            <w:noWrap/>
            <w:vAlign w:val="bottom"/>
            <w:hideMark/>
          </w:tcPr>
          <w:p w14:paraId="0D226FA2" w14:textId="77777777" w:rsidR="004437AA" w:rsidRPr="009B1F4A" w:rsidRDefault="004437AA" w:rsidP="00396651">
            <w:pPr>
              <w:autoSpaceDE/>
              <w:autoSpaceDN/>
              <w:adjustRightInd/>
              <w:jc w:val="right"/>
              <w:rPr>
                <w:color w:val="000000"/>
                <w:sz w:val="22"/>
                <w:szCs w:val="22"/>
              </w:rPr>
            </w:pPr>
            <w:r w:rsidRPr="009B1F4A">
              <w:rPr>
                <w:color w:val="000000"/>
                <w:sz w:val="22"/>
                <w:szCs w:val="22"/>
              </w:rPr>
              <w:t>$314</w:t>
            </w:r>
          </w:p>
        </w:tc>
        <w:tc>
          <w:tcPr>
            <w:tcW w:w="1094" w:type="dxa"/>
            <w:tcBorders>
              <w:top w:val="nil"/>
              <w:left w:val="nil"/>
              <w:bottom w:val="single" w:sz="8" w:space="0" w:color="auto"/>
              <w:right w:val="single" w:sz="4" w:space="0" w:color="auto"/>
            </w:tcBorders>
            <w:shd w:val="clear" w:color="auto" w:fill="auto"/>
            <w:noWrap/>
            <w:vAlign w:val="bottom"/>
            <w:hideMark/>
          </w:tcPr>
          <w:p w14:paraId="7D214ED3" w14:textId="77777777" w:rsidR="004437AA" w:rsidRPr="009B1F4A" w:rsidRDefault="004437AA" w:rsidP="00396651">
            <w:pPr>
              <w:autoSpaceDE/>
              <w:autoSpaceDN/>
              <w:adjustRightInd/>
              <w:jc w:val="center"/>
              <w:rPr>
                <w:color w:val="000000"/>
                <w:sz w:val="22"/>
                <w:szCs w:val="22"/>
              </w:rPr>
            </w:pPr>
            <w:r w:rsidRPr="009B1F4A">
              <w:rPr>
                <w:color w:val="000000"/>
                <w:sz w:val="22"/>
                <w:szCs w:val="22"/>
              </w:rPr>
              <w:t>86</w:t>
            </w:r>
          </w:p>
        </w:tc>
        <w:tc>
          <w:tcPr>
            <w:tcW w:w="1515" w:type="dxa"/>
            <w:tcBorders>
              <w:top w:val="nil"/>
              <w:left w:val="nil"/>
              <w:bottom w:val="single" w:sz="8" w:space="0" w:color="auto"/>
              <w:right w:val="single" w:sz="4" w:space="0" w:color="auto"/>
            </w:tcBorders>
            <w:shd w:val="clear" w:color="auto" w:fill="auto"/>
            <w:noWrap/>
            <w:vAlign w:val="bottom"/>
            <w:hideMark/>
          </w:tcPr>
          <w:p w14:paraId="01D9DE9B" w14:textId="77777777" w:rsidR="004437AA" w:rsidRPr="009B1F4A" w:rsidRDefault="004437AA" w:rsidP="00396651">
            <w:pPr>
              <w:autoSpaceDE/>
              <w:autoSpaceDN/>
              <w:adjustRightInd/>
              <w:jc w:val="center"/>
              <w:rPr>
                <w:color w:val="000000"/>
                <w:sz w:val="22"/>
                <w:szCs w:val="22"/>
              </w:rPr>
            </w:pPr>
            <w:r w:rsidRPr="009B1F4A">
              <w:rPr>
                <w:color w:val="000000"/>
                <w:sz w:val="22"/>
                <w:szCs w:val="22"/>
              </w:rPr>
              <w:t>19</w:t>
            </w:r>
          </w:p>
        </w:tc>
        <w:tc>
          <w:tcPr>
            <w:tcW w:w="1296" w:type="dxa"/>
            <w:tcBorders>
              <w:top w:val="nil"/>
              <w:left w:val="nil"/>
              <w:bottom w:val="single" w:sz="8" w:space="0" w:color="auto"/>
              <w:right w:val="single" w:sz="8" w:space="0" w:color="auto"/>
            </w:tcBorders>
            <w:shd w:val="clear" w:color="auto" w:fill="auto"/>
            <w:noWrap/>
            <w:vAlign w:val="bottom"/>
            <w:hideMark/>
          </w:tcPr>
          <w:p w14:paraId="1E3D8DCB" w14:textId="77777777" w:rsidR="004437AA" w:rsidRPr="009B1F4A" w:rsidRDefault="004437AA" w:rsidP="00396651">
            <w:pPr>
              <w:autoSpaceDE/>
              <w:autoSpaceDN/>
              <w:adjustRightInd/>
              <w:jc w:val="right"/>
              <w:rPr>
                <w:color w:val="000000"/>
                <w:sz w:val="22"/>
                <w:szCs w:val="22"/>
              </w:rPr>
            </w:pPr>
            <w:r w:rsidRPr="009B1F4A">
              <w:rPr>
                <w:color w:val="000000"/>
                <w:sz w:val="22"/>
                <w:szCs w:val="22"/>
              </w:rPr>
              <w:t>$26,901</w:t>
            </w:r>
          </w:p>
        </w:tc>
      </w:tr>
      <w:tr w:rsidR="004437AA" w:rsidRPr="009B1F4A" w14:paraId="0A785752" w14:textId="77777777" w:rsidTr="00396651">
        <w:trPr>
          <w:trHeight w:val="390"/>
        </w:trPr>
        <w:tc>
          <w:tcPr>
            <w:tcW w:w="3476" w:type="dxa"/>
            <w:gridSpan w:val="2"/>
            <w:tcBorders>
              <w:top w:val="single" w:sz="8" w:space="0" w:color="auto"/>
              <w:left w:val="single" w:sz="8" w:space="0" w:color="auto"/>
              <w:bottom w:val="single" w:sz="8" w:space="0" w:color="auto"/>
              <w:right w:val="nil"/>
            </w:tcBorders>
            <w:shd w:val="clear" w:color="auto" w:fill="auto"/>
            <w:noWrap/>
            <w:vAlign w:val="bottom"/>
            <w:hideMark/>
          </w:tcPr>
          <w:p w14:paraId="443EFA71" w14:textId="77777777" w:rsidR="004437AA" w:rsidRPr="009B1F4A" w:rsidRDefault="004437AA" w:rsidP="00396651">
            <w:pPr>
              <w:autoSpaceDE/>
              <w:autoSpaceDN/>
              <w:adjustRightInd/>
              <w:rPr>
                <w:color w:val="000000"/>
                <w:sz w:val="22"/>
                <w:szCs w:val="22"/>
              </w:rPr>
            </w:pPr>
            <w:r w:rsidRPr="009B1F4A">
              <w:rPr>
                <w:color w:val="000000"/>
                <w:sz w:val="22"/>
                <w:szCs w:val="22"/>
              </w:rPr>
              <w:t>Subtotal 8(e) Submissions</w:t>
            </w:r>
          </w:p>
        </w:tc>
        <w:tc>
          <w:tcPr>
            <w:tcW w:w="1039" w:type="dxa"/>
            <w:tcBorders>
              <w:top w:val="nil"/>
              <w:left w:val="nil"/>
              <w:bottom w:val="single" w:sz="8" w:space="0" w:color="auto"/>
              <w:right w:val="nil"/>
            </w:tcBorders>
            <w:shd w:val="clear" w:color="auto" w:fill="auto"/>
            <w:noWrap/>
            <w:vAlign w:val="bottom"/>
            <w:hideMark/>
          </w:tcPr>
          <w:p w14:paraId="3F1A8E9A" w14:textId="77777777" w:rsidR="004437AA" w:rsidRPr="009B1F4A" w:rsidRDefault="004437AA" w:rsidP="00396651">
            <w:pPr>
              <w:autoSpaceDE/>
              <w:autoSpaceDN/>
              <w:adjustRightInd/>
              <w:rPr>
                <w:color w:val="000000"/>
                <w:sz w:val="22"/>
                <w:szCs w:val="22"/>
              </w:rPr>
            </w:pPr>
            <w:r w:rsidRPr="009B1F4A">
              <w:rPr>
                <w:color w:val="000000"/>
                <w:sz w:val="22"/>
                <w:szCs w:val="22"/>
              </w:rPr>
              <w:t> </w:t>
            </w:r>
          </w:p>
        </w:tc>
        <w:tc>
          <w:tcPr>
            <w:tcW w:w="1063" w:type="dxa"/>
            <w:tcBorders>
              <w:top w:val="nil"/>
              <w:left w:val="nil"/>
              <w:bottom w:val="single" w:sz="8" w:space="0" w:color="auto"/>
              <w:right w:val="nil"/>
            </w:tcBorders>
            <w:shd w:val="clear" w:color="auto" w:fill="auto"/>
            <w:noWrap/>
            <w:vAlign w:val="bottom"/>
            <w:hideMark/>
          </w:tcPr>
          <w:p w14:paraId="78DD83B5" w14:textId="77777777" w:rsidR="004437AA" w:rsidRPr="009B1F4A" w:rsidRDefault="004437AA" w:rsidP="00396651">
            <w:pPr>
              <w:autoSpaceDE/>
              <w:autoSpaceDN/>
              <w:adjustRightInd/>
              <w:rPr>
                <w:color w:val="000000"/>
                <w:sz w:val="22"/>
                <w:szCs w:val="22"/>
              </w:rPr>
            </w:pPr>
            <w:r w:rsidRPr="009B1F4A">
              <w:rPr>
                <w:color w:val="000000"/>
                <w:sz w:val="22"/>
                <w:szCs w:val="22"/>
              </w:rPr>
              <w:t> </w:t>
            </w:r>
          </w:p>
        </w:tc>
        <w:tc>
          <w:tcPr>
            <w:tcW w:w="1094" w:type="dxa"/>
            <w:tcBorders>
              <w:top w:val="nil"/>
              <w:left w:val="single" w:sz="4" w:space="0" w:color="auto"/>
              <w:bottom w:val="single" w:sz="8" w:space="0" w:color="auto"/>
              <w:right w:val="single" w:sz="4" w:space="0" w:color="auto"/>
            </w:tcBorders>
            <w:shd w:val="clear" w:color="auto" w:fill="auto"/>
            <w:noWrap/>
            <w:vAlign w:val="bottom"/>
            <w:hideMark/>
          </w:tcPr>
          <w:p w14:paraId="6512A7D2" w14:textId="77777777" w:rsidR="004437AA" w:rsidRPr="009B1F4A" w:rsidRDefault="004437AA" w:rsidP="00396651">
            <w:pPr>
              <w:autoSpaceDE/>
              <w:autoSpaceDN/>
              <w:adjustRightInd/>
              <w:jc w:val="center"/>
              <w:rPr>
                <w:b/>
                <w:bCs/>
                <w:color w:val="000000"/>
                <w:sz w:val="22"/>
                <w:szCs w:val="22"/>
              </w:rPr>
            </w:pPr>
            <w:r w:rsidRPr="009B1F4A">
              <w:rPr>
                <w:b/>
                <w:bCs/>
                <w:color w:val="000000"/>
                <w:sz w:val="22"/>
                <w:szCs w:val="22"/>
              </w:rPr>
              <w:t>494</w:t>
            </w:r>
          </w:p>
        </w:tc>
        <w:tc>
          <w:tcPr>
            <w:tcW w:w="1515" w:type="dxa"/>
            <w:tcBorders>
              <w:top w:val="nil"/>
              <w:left w:val="nil"/>
              <w:bottom w:val="single" w:sz="8" w:space="0" w:color="auto"/>
              <w:right w:val="single" w:sz="4" w:space="0" w:color="auto"/>
            </w:tcBorders>
            <w:shd w:val="clear" w:color="auto" w:fill="auto"/>
            <w:noWrap/>
            <w:vAlign w:val="bottom"/>
            <w:hideMark/>
          </w:tcPr>
          <w:p w14:paraId="17BD00E1" w14:textId="77777777" w:rsidR="004437AA" w:rsidRPr="009B1F4A" w:rsidRDefault="004437AA" w:rsidP="00396651">
            <w:pPr>
              <w:autoSpaceDE/>
              <w:autoSpaceDN/>
              <w:adjustRightInd/>
              <w:jc w:val="center"/>
              <w:rPr>
                <w:b/>
                <w:bCs/>
                <w:color w:val="000000"/>
                <w:sz w:val="22"/>
                <w:szCs w:val="22"/>
              </w:rPr>
            </w:pPr>
            <w:r w:rsidRPr="009B1F4A">
              <w:rPr>
                <w:b/>
                <w:bCs/>
                <w:color w:val="000000"/>
                <w:sz w:val="22"/>
                <w:szCs w:val="22"/>
              </w:rPr>
              <w:t>59</w:t>
            </w:r>
          </w:p>
        </w:tc>
        <w:tc>
          <w:tcPr>
            <w:tcW w:w="1296" w:type="dxa"/>
            <w:tcBorders>
              <w:top w:val="nil"/>
              <w:left w:val="nil"/>
              <w:bottom w:val="single" w:sz="8" w:space="0" w:color="auto"/>
              <w:right w:val="single" w:sz="8" w:space="0" w:color="auto"/>
            </w:tcBorders>
            <w:shd w:val="clear" w:color="auto" w:fill="auto"/>
            <w:noWrap/>
            <w:vAlign w:val="bottom"/>
            <w:hideMark/>
          </w:tcPr>
          <w:p w14:paraId="48D76632" w14:textId="77777777" w:rsidR="004437AA" w:rsidRPr="009B1F4A" w:rsidRDefault="004437AA" w:rsidP="00396651">
            <w:pPr>
              <w:autoSpaceDE/>
              <w:autoSpaceDN/>
              <w:adjustRightInd/>
              <w:jc w:val="right"/>
              <w:rPr>
                <w:b/>
                <w:bCs/>
                <w:color w:val="000000"/>
                <w:sz w:val="22"/>
                <w:szCs w:val="22"/>
              </w:rPr>
            </w:pPr>
            <w:r w:rsidRPr="009B1F4A">
              <w:rPr>
                <w:b/>
                <w:bCs/>
                <w:color w:val="000000"/>
                <w:sz w:val="22"/>
                <w:szCs w:val="22"/>
              </w:rPr>
              <w:t>$1,602,120</w:t>
            </w:r>
          </w:p>
        </w:tc>
      </w:tr>
      <w:tr w:rsidR="004437AA" w:rsidRPr="009B1F4A" w14:paraId="080CD2AF" w14:textId="77777777" w:rsidTr="00396651">
        <w:trPr>
          <w:trHeight w:val="295"/>
        </w:trPr>
        <w:tc>
          <w:tcPr>
            <w:tcW w:w="2615" w:type="dxa"/>
            <w:tcBorders>
              <w:top w:val="nil"/>
              <w:left w:val="single" w:sz="8" w:space="0" w:color="auto"/>
              <w:bottom w:val="single" w:sz="4" w:space="0" w:color="auto"/>
              <w:right w:val="single" w:sz="4" w:space="0" w:color="auto"/>
            </w:tcBorders>
            <w:shd w:val="clear" w:color="auto" w:fill="auto"/>
            <w:vAlign w:val="bottom"/>
            <w:hideMark/>
          </w:tcPr>
          <w:p w14:paraId="45BA9F62" w14:textId="77777777" w:rsidR="004437AA" w:rsidRPr="00BE1C78" w:rsidRDefault="004437AA" w:rsidP="00396651">
            <w:pPr>
              <w:autoSpaceDE/>
              <w:autoSpaceDN/>
              <w:adjustRightInd/>
              <w:rPr>
                <w:i/>
                <w:iCs/>
                <w:color w:val="000000"/>
              </w:rPr>
            </w:pPr>
            <w:r w:rsidRPr="00BE1C78">
              <w:rPr>
                <w:i/>
                <w:iCs/>
                <w:color w:val="000000"/>
              </w:rPr>
              <w:t>FYI Submission – Initial</w:t>
            </w:r>
          </w:p>
        </w:tc>
        <w:tc>
          <w:tcPr>
            <w:tcW w:w="861" w:type="dxa"/>
            <w:tcBorders>
              <w:top w:val="nil"/>
              <w:left w:val="nil"/>
              <w:bottom w:val="single" w:sz="4" w:space="0" w:color="auto"/>
              <w:right w:val="single" w:sz="4" w:space="0" w:color="auto"/>
            </w:tcBorders>
            <w:shd w:val="clear" w:color="auto" w:fill="auto"/>
            <w:noWrap/>
            <w:vAlign w:val="bottom"/>
            <w:hideMark/>
          </w:tcPr>
          <w:p w14:paraId="23814E17" w14:textId="77777777" w:rsidR="004437AA" w:rsidRPr="009B1F4A" w:rsidRDefault="004437AA" w:rsidP="00396651">
            <w:pPr>
              <w:autoSpaceDE/>
              <w:autoSpaceDN/>
              <w:adjustRightInd/>
              <w:jc w:val="right"/>
              <w:rPr>
                <w:color w:val="000000"/>
                <w:sz w:val="22"/>
                <w:szCs w:val="22"/>
              </w:rPr>
            </w:pPr>
            <w:r w:rsidRPr="009B1F4A">
              <w:rPr>
                <w:color w:val="000000"/>
                <w:sz w:val="22"/>
                <w:szCs w:val="22"/>
              </w:rPr>
              <w:t>50.06</w:t>
            </w:r>
          </w:p>
        </w:tc>
        <w:tc>
          <w:tcPr>
            <w:tcW w:w="1039" w:type="dxa"/>
            <w:tcBorders>
              <w:top w:val="nil"/>
              <w:left w:val="nil"/>
              <w:bottom w:val="single" w:sz="4" w:space="0" w:color="auto"/>
              <w:right w:val="single" w:sz="4" w:space="0" w:color="auto"/>
            </w:tcBorders>
            <w:shd w:val="clear" w:color="auto" w:fill="auto"/>
            <w:noWrap/>
            <w:vAlign w:val="bottom"/>
            <w:hideMark/>
          </w:tcPr>
          <w:p w14:paraId="329D99E1" w14:textId="77777777" w:rsidR="004437AA" w:rsidRPr="009B1F4A" w:rsidRDefault="004437AA" w:rsidP="00396651">
            <w:pPr>
              <w:autoSpaceDE/>
              <w:autoSpaceDN/>
              <w:adjustRightInd/>
              <w:jc w:val="right"/>
              <w:rPr>
                <w:color w:val="000000"/>
                <w:sz w:val="22"/>
                <w:szCs w:val="22"/>
              </w:rPr>
            </w:pPr>
            <w:r w:rsidRPr="009B1F4A">
              <w:rPr>
                <w:color w:val="000000"/>
                <w:sz w:val="22"/>
                <w:szCs w:val="22"/>
              </w:rPr>
              <w:t xml:space="preserve">$77.06 </w:t>
            </w:r>
          </w:p>
        </w:tc>
        <w:tc>
          <w:tcPr>
            <w:tcW w:w="1063" w:type="dxa"/>
            <w:tcBorders>
              <w:top w:val="nil"/>
              <w:left w:val="nil"/>
              <w:bottom w:val="single" w:sz="4" w:space="0" w:color="auto"/>
              <w:right w:val="single" w:sz="4" w:space="0" w:color="auto"/>
            </w:tcBorders>
            <w:shd w:val="clear" w:color="auto" w:fill="auto"/>
            <w:noWrap/>
            <w:vAlign w:val="bottom"/>
            <w:hideMark/>
          </w:tcPr>
          <w:p w14:paraId="63251830" w14:textId="77777777" w:rsidR="004437AA" w:rsidRPr="009B1F4A" w:rsidRDefault="004437AA" w:rsidP="00396651">
            <w:pPr>
              <w:autoSpaceDE/>
              <w:autoSpaceDN/>
              <w:adjustRightInd/>
              <w:jc w:val="right"/>
              <w:rPr>
                <w:color w:val="000000"/>
                <w:sz w:val="22"/>
                <w:szCs w:val="22"/>
              </w:rPr>
            </w:pPr>
            <w:r w:rsidRPr="009B1F4A">
              <w:rPr>
                <w:color w:val="000000"/>
                <w:sz w:val="22"/>
                <w:szCs w:val="22"/>
              </w:rPr>
              <w:t>$3,858</w:t>
            </w:r>
          </w:p>
        </w:tc>
        <w:tc>
          <w:tcPr>
            <w:tcW w:w="1094" w:type="dxa"/>
            <w:tcBorders>
              <w:top w:val="nil"/>
              <w:left w:val="nil"/>
              <w:bottom w:val="single" w:sz="4" w:space="0" w:color="auto"/>
              <w:right w:val="single" w:sz="4" w:space="0" w:color="auto"/>
            </w:tcBorders>
            <w:shd w:val="clear" w:color="auto" w:fill="auto"/>
            <w:noWrap/>
            <w:vAlign w:val="bottom"/>
            <w:hideMark/>
          </w:tcPr>
          <w:p w14:paraId="211DE645" w14:textId="77777777" w:rsidR="004437AA" w:rsidRPr="009B1F4A" w:rsidRDefault="004437AA" w:rsidP="00396651">
            <w:pPr>
              <w:autoSpaceDE/>
              <w:autoSpaceDN/>
              <w:adjustRightInd/>
              <w:jc w:val="center"/>
              <w:rPr>
                <w:color w:val="000000"/>
                <w:sz w:val="22"/>
                <w:szCs w:val="22"/>
              </w:rPr>
            </w:pPr>
            <w:r w:rsidRPr="009B1F4A">
              <w:rPr>
                <w:color w:val="000000"/>
                <w:sz w:val="22"/>
                <w:szCs w:val="22"/>
              </w:rPr>
              <w:t>12</w:t>
            </w:r>
          </w:p>
        </w:tc>
        <w:tc>
          <w:tcPr>
            <w:tcW w:w="1515" w:type="dxa"/>
            <w:tcBorders>
              <w:top w:val="nil"/>
              <w:left w:val="nil"/>
              <w:bottom w:val="single" w:sz="4" w:space="0" w:color="auto"/>
              <w:right w:val="single" w:sz="4" w:space="0" w:color="auto"/>
            </w:tcBorders>
            <w:shd w:val="clear" w:color="auto" w:fill="auto"/>
            <w:noWrap/>
            <w:vAlign w:val="bottom"/>
            <w:hideMark/>
          </w:tcPr>
          <w:p w14:paraId="1317B013" w14:textId="77777777" w:rsidR="004437AA" w:rsidRPr="009B1F4A" w:rsidRDefault="004437AA" w:rsidP="00396651">
            <w:pPr>
              <w:autoSpaceDE/>
              <w:autoSpaceDN/>
              <w:adjustRightInd/>
              <w:jc w:val="center"/>
              <w:rPr>
                <w:color w:val="000000"/>
                <w:sz w:val="22"/>
                <w:szCs w:val="22"/>
              </w:rPr>
            </w:pPr>
            <w:r w:rsidRPr="009B1F4A">
              <w:rPr>
                <w:color w:val="000000"/>
                <w:sz w:val="22"/>
                <w:szCs w:val="22"/>
              </w:rPr>
              <w:t>9</w:t>
            </w:r>
          </w:p>
        </w:tc>
        <w:tc>
          <w:tcPr>
            <w:tcW w:w="1296" w:type="dxa"/>
            <w:tcBorders>
              <w:top w:val="nil"/>
              <w:left w:val="nil"/>
              <w:bottom w:val="single" w:sz="4" w:space="0" w:color="auto"/>
              <w:right w:val="single" w:sz="8" w:space="0" w:color="auto"/>
            </w:tcBorders>
            <w:shd w:val="clear" w:color="auto" w:fill="auto"/>
            <w:noWrap/>
            <w:vAlign w:val="bottom"/>
            <w:hideMark/>
          </w:tcPr>
          <w:p w14:paraId="0ECA7590" w14:textId="77777777" w:rsidR="004437AA" w:rsidRPr="009B1F4A" w:rsidRDefault="004437AA" w:rsidP="00396651">
            <w:pPr>
              <w:autoSpaceDE/>
              <w:autoSpaceDN/>
              <w:adjustRightInd/>
              <w:jc w:val="right"/>
              <w:rPr>
                <w:color w:val="000000"/>
                <w:sz w:val="22"/>
                <w:szCs w:val="22"/>
              </w:rPr>
            </w:pPr>
            <w:r w:rsidRPr="009B1F4A">
              <w:rPr>
                <w:color w:val="000000"/>
                <w:sz w:val="22"/>
                <w:szCs w:val="22"/>
              </w:rPr>
              <w:t>$45,006</w:t>
            </w:r>
          </w:p>
        </w:tc>
      </w:tr>
      <w:tr w:rsidR="004437AA" w:rsidRPr="009B1F4A" w14:paraId="64063BAE" w14:textId="77777777" w:rsidTr="00396651">
        <w:trPr>
          <w:trHeight w:val="350"/>
        </w:trPr>
        <w:tc>
          <w:tcPr>
            <w:tcW w:w="2615" w:type="dxa"/>
            <w:tcBorders>
              <w:top w:val="nil"/>
              <w:left w:val="single" w:sz="8" w:space="0" w:color="auto"/>
              <w:bottom w:val="single" w:sz="8" w:space="0" w:color="auto"/>
              <w:right w:val="single" w:sz="4" w:space="0" w:color="auto"/>
            </w:tcBorders>
            <w:shd w:val="clear" w:color="auto" w:fill="auto"/>
            <w:vAlign w:val="bottom"/>
            <w:hideMark/>
          </w:tcPr>
          <w:p w14:paraId="6EFB2DFB" w14:textId="77777777" w:rsidR="004437AA" w:rsidRPr="00BE1C78" w:rsidRDefault="004437AA" w:rsidP="00396651">
            <w:pPr>
              <w:autoSpaceDE/>
              <w:autoSpaceDN/>
              <w:adjustRightInd/>
              <w:rPr>
                <w:i/>
                <w:iCs/>
                <w:color w:val="000000"/>
              </w:rPr>
            </w:pPr>
            <w:r w:rsidRPr="00BE1C78">
              <w:rPr>
                <w:i/>
                <w:iCs/>
                <w:color w:val="000000"/>
              </w:rPr>
              <w:t>FYI Submission – Follow-up</w:t>
            </w:r>
          </w:p>
        </w:tc>
        <w:tc>
          <w:tcPr>
            <w:tcW w:w="861" w:type="dxa"/>
            <w:tcBorders>
              <w:top w:val="nil"/>
              <w:left w:val="nil"/>
              <w:bottom w:val="single" w:sz="8" w:space="0" w:color="auto"/>
              <w:right w:val="single" w:sz="4" w:space="0" w:color="auto"/>
            </w:tcBorders>
            <w:shd w:val="clear" w:color="auto" w:fill="auto"/>
            <w:noWrap/>
            <w:vAlign w:val="bottom"/>
            <w:hideMark/>
          </w:tcPr>
          <w:p w14:paraId="351FEF0B" w14:textId="77777777" w:rsidR="004437AA" w:rsidRPr="009B1F4A" w:rsidRDefault="004437AA" w:rsidP="00396651">
            <w:pPr>
              <w:autoSpaceDE/>
              <w:autoSpaceDN/>
              <w:adjustRightInd/>
              <w:jc w:val="right"/>
              <w:rPr>
                <w:color w:val="000000"/>
                <w:sz w:val="22"/>
                <w:szCs w:val="22"/>
              </w:rPr>
            </w:pPr>
            <w:r w:rsidRPr="009B1F4A">
              <w:rPr>
                <w:color w:val="000000"/>
                <w:sz w:val="22"/>
                <w:szCs w:val="22"/>
              </w:rPr>
              <w:t>4.06</w:t>
            </w:r>
          </w:p>
        </w:tc>
        <w:tc>
          <w:tcPr>
            <w:tcW w:w="1039" w:type="dxa"/>
            <w:tcBorders>
              <w:top w:val="nil"/>
              <w:left w:val="nil"/>
              <w:bottom w:val="single" w:sz="8" w:space="0" w:color="auto"/>
              <w:right w:val="single" w:sz="4" w:space="0" w:color="auto"/>
            </w:tcBorders>
            <w:shd w:val="clear" w:color="auto" w:fill="auto"/>
            <w:noWrap/>
            <w:vAlign w:val="bottom"/>
            <w:hideMark/>
          </w:tcPr>
          <w:p w14:paraId="25225263" w14:textId="77777777" w:rsidR="004437AA" w:rsidRPr="009B1F4A" w:rsidRDefault="004437AA" w:rsidP="00396651">
            <w:pPr>
              <w:autoSpaceDE/>
              <w:autoSpaceDN/>
              <w:adjustRightInd/>
              <w:jc w:val="right"/>
              <w:rPr>
                <w:color w:val="000000"/>
                <w:sz w:val="22"/>
                <w:szCs w:val="22"/>
              </w:rPr>
            </w:pPr>
            <w:r w:rsidRPr="009B1F4A">
              <w:rPr>
                <w:color w:val="000000"/>
                <w:sz w:val="22"/>
                <w:szCs w:val="22"/>
              </w:rPr>
              <w:t xml:space="preserve">$77.34 </w:t>
            </w:r>
          </w:p>
        </w:tc>
        <w:tc>
          <w:tcPr>
            <w:tcW w:w="1063" w:type="dxa"/>
            <w:tcBorders>
              <w:top w:val="nil"/>
              <w:left w:val="nil"/>
              <w:bottom w:val="single" w:sz="8" w:space="0" w:color="auto"/>
              <w:right w:val="single" w:sz="4" w:space="0" w:color="auto"/>
            </w:tcBorders>
            <w:shd w:val="clear" w:color="auto" w:fill="auto"/>
            <w:noWrap/>
            <w:vAlign w:val="bottom"/>
            <w:hideMark/>
          </w:tcPr>
          <w:p w14:paraId="30BF6E31" w14:textId="77777777" w:rsidR="004437AA" w:rsidRPr="009B1F4A" w:rsidRDefault="004437AA" w:rsidP="00396651">
            <w:pPr>
              <w:autoSpaceDE/>
              <w:autoSpaceDN/>
              <w:adjustRightInd/>
              <w:jc w:val="right"/>
              <w:rPr>
                <w:color w:val="000000"/>
                <w:sz w:val="22"/>
                <w:szCs w:val="22"/>
              </w:rPr>
            </w:pPr>
            <w:r w:rsidRPr="009B1F4A">
              <w:rPr>
                <w:color w:val="000000"/>
                <w:sz w:val="22"/>
                <w:szCs w:val="22"/>
              </w:rPr>
              <w:t>$314</w:t>
            </w:r>
          </w:p>
        </w:tc>
        <w:tc>
          <w:tcPr>
            <w:tcW w:w="1094" w:type="dxa"/>
            <w:tcBorders>
              <w:top w:val="nil"/>
              <w:left w:val="nil"/>
              <w:bottom w:val="single" w:sz="8" w:space="0" w:color="auto"/>
              <w:right w:val="single" w:sz="4" w:space="0" w:color="auto"/>
            </w:tcBorders>
            <w:shd w:val="clear" w:color="auto" w:fill="auto"/>
            <w:noWrap/>
            <w:vAlign w:val="bottom"/>
            <w:hideMark/>
          </w:tcPr>
          <w:p w14:paraId="3AF3198E" w14:textId="77777777" w:rsidR="004437AA" w:rsidRPr="009B1F4A" w:rsidRDefault="004437AA" w:rsidP="00396651">
            <w:pPr>
              <w:autoSpaceDE/>
              <w:autoSpaceDN/>
              <w:adjustRightInd/>
              <w:jc w:val="center"/>
              <w:rPr>
                <w:color w:val="000000"/>
                <w:sz w:val="22"/>
                <w:szCs w:val="22"/>
              </w:rPr>
            </w:pPr>
            <w:r w:rsidRPr="009B1F4A">
              <w:rPr>
                <w:color w:val="000000"/>
                <w:sz w:val="22"/>
                <w:szCs w:val="22"/>
              </w:rPr>
              <w:t>1</w:t>
            </w:r>
          </w:p>
        </w:tc>
        <w:tc>
          <w:tcPr>
            <w:tcW w:w="1515" w:type="dxa"/>
            <w:tcBorders>
              <w:top w:val="nil"/>
              <w:left w:val="nil"/>
              <w:bottom w:val="single" w:sz="8" w:space="0" w:color="auto"/>
              <w:right w:val="single" w:sz="4" w:space="0" w:color="auto"/>
            </w:tcBorders>
            <w:shd w:val="clear" w:color="auto" w:fill="auto"/>
            <w:noWrap/>
            <w:vAlign w:val="bottom"/>
            <w:hideMark/>
          </w:tcPr>
          <w:p w14:paraId="1B282891" w14:textId="77777777" w:rsidR="004437AA" w:rsidRPr="009B1F4A" w:rsidRDefault="004437AA" w:rsidP="00396651">
            <w:pPr>
              <w:autoSpaceDE/>
              <w:autoSpaceDN/>
              <w:adjustRightInd/>
              <w:jc w:val="center"/>
              <w:rPr>
                <w:color w:val="000000"/>
                <w:sz w:val="22"/>
                <w:szCs w:val="22"/>
              </w:rPr>
            </w:pPr>
            <w:r w:rsidRPr="009B1F4A">
              <w:rPr>
                <w:color w:val="000000"/>
                <w:sz w:val="22"/>
                <w:szCs w:val="22"/>
              </w:rPr>
              <w:t>1</w:t>
            </w:r>
          </w:p>
        </w:tc>
        <w:tc>
          <w:tcPr>
            <w:tcW w:w="1296" w:type="dxa"/>
            <w:tcBorders>
              <w:top w:val="nil"/>
              <w:left w:val="nil"/>
              <w:bottom w:val="single" w:sz="8" w:space="0" w:color="auto"/>
              <w:right w:val="single" w:sz="8" w:space="0" w:color="auto"/>
            </w:tcBorders>
            <w:shd w:val="clear" w:color="auto" w:fill="auto"/>
            <w:noWrap/>
            <w:vAlign w:val="bottom"/>
            <w:hideMark/>
          </w:tcPr>
          <w:p w14:paraId="6EA8FD31" w14:textId="77777777" w:rsidR="004437AA" w:rsidRPr="009B1F4A" w:rsidRDefault="004437AA" w:rsidP="00396651">
            <w:pPr>
              <w:autoSpaceDE/>
              <w:autoSpaceDN/>
              <w:adjustRightInd/>
              <w:jc w:val="right"/>
              <w:rPr>
                <w:color w:val="000000"/>
                <w:sz w:val="22"/>
                <w:szCs w:val="22"/>
              </w:rPr>
            </w:pPr>
            <w:r w:rsidRPr="009B1F4A">
              <w:rPr>
                <w:color w:val="000000"/>
                <w:sz w:val="22"/>
                <w:szCs w:val="22"/>
              </w:rPr>
              <w:t>$314</w:t>
            </w:r>
          </w:p>
        </w:tc>
      </w:tr>
      <w:tr w:rsidR="004437AA" w:rsidRPr="009B1F4A" w14:paraId="57F62C26" w14:textId="77777777" w:rsidTr="00396651">
        <w:trPr>
          <w:trHeight w:val="405"/>
        </w:trPr>
        <w:tc>
          <w:tcPr>
            <w:tcW w:w="3476" w:type="dxa"/>
            <w:gridSpan w:val="2"/>
            <w:tcBorders>
              <w:top w:val="single" w:sz="8" w:space="0" w:color="auto"/>
              <w:left w:val="single" w:sz="8" w:space="0" w:color="auto"/>
              <w:bottom w:val="single" w:sz="8" w:space="0" w:color="auto"/>
              <w:right w:val="nil"/>
            </w:tcBorders>
            <w:shd w:val="clear" w:color="auto" w:fill="auto"/>
            <w:noWrap/>
            <w:vAlign w:val="bottom"/>
            <w:hideMark/>
          </w:tcPr>
          <w:p w14:paraId="5E2C7E37" w14:textId="77777777" w:rsidR="004437AA" w:rsidRPr="009B1F4A" w:rsidRDefault="004437AA" w:rsidP="00396651">
            <w:pPr>
              <w:autoSpaceDE/>
              <w:autoSpaceDN/>
              <w:adjustRightInd/>
              <w:rPr>
                <w:color w:val="000000"/>
                <w:sz w:val="22"/>
                <w:szCs w:val="22"/>
              </w:rPr>
            </w:pPr>
            <w:r w:rsidRPr="009B1F4A">
              <w:rPr>
                <w:color w:val="000000"/>
                <w:sz w:val="22"/>
                <w:szCs w:val="22"/>
              </w:rPr>
              <w:t>Subtotal FYI Submissions</w:t>
            </w:r>
          </w:p>
        </w:tc>
        <w:tc>
          <w:tcPr>
            <w:tcW w:w="1039" w:type="dxa"/>
            <w:tcBorders>
              <w:top w:val="nil"/>
              <w:left w:val="nil"/>
              <w:bottom w:val="single" w:sz="8" w:space="0" w:color="auto"/>
              <w:right w:val="nil"/>
            </w:tcBorders>
            <w:shd w:val="clear" w:color="auto" w:fill="auto"/>
            <w:noWrap/>
            <w:vAlign w:val="bottom"/>
            <w:hideMark/>
          </w:tcPr>
          <w:p w14:paraId="6BF2F56B" w14:textId="77777777" w:rsidR="004437AA" w:rsidRPr="009B1F4A" w:rsidRDefault="004437AA" w:rsidP="00396651">
            <w:pPr>
              <w:autoSpaceDE/>
              <w:autoSpaceDN/>
              <w:adjustRightInd/>
              <w:rPr>
                <w:color w:val="000000"/>
                <w:sz w:val="22"/>
                <w:szCs w:val="22"/>
              </w:rPr>
            </w:pPr>
            <w:r w:rsidRPr="009B1F4A">
              <w:rPr>
                <w:color w:val="000000"/>
                <w:sz w:val="22"/>
                <w:szCs w:val="22"/>
              </w:rPr>
              <w:t> </w:t>
            </w:r>
          </w:p>
        </w:tc>
        <w:tc>
          <w:tcPr>
            <w:tcW w:w="1063" w:type="dxa"/>
            <w:tcBorders>
              <w:top w:val="nil"/>
              <w:left w:val="nil"/>
              <w:bottom w:val="single" w:sz="8" w:space="0" w:color="auto"/>
              <w:right w:val="nil"/>
            </w:tcBorders>
            <w:shd w:val="clear" w:color="auto" w:fill="auto"/>
            <w:noWrap/>
            <w:vAlign w:val="bottom"/>
            <w:hideMark/>
          </w:tcPr>
          <w:p w14:paraId="62BE0A39" w14:textId="77777777" w:rsidR="004437AA" w:rsidRPr="009B1F4A" w:rsidRDefault="004437AA" w:rsidP="00396651">
            <w:pPr>
              <w:autoSpaceDE/>
              <w:autoSpaceDN/>
              <w:adjustRightInd/>
              <w:rPr>
                <w:color w:val="000000"/>
                <w:sz w:val="22"/>
                <w:szCs w:val="22"/>
              </w:rPr>
            </w:pPr>
            <w:r w:rsidRPr="009B1F4A">
              <w:rPr>
                <w:color w:val="000000"/>
                <w:sz w:val="22"/>
                <w:szCs w:val="22"/>
              </w:rPr>
              <w:t> </w:t>
            </w:r>
          </w:p>
        </w:tc>
        <w:tc>
          <w:tcPr>
            <w:tcW w:w="1094" w:type="dxa"/>
            <w:tcBorders>
              <w:top w:val="nil"/>
              <w:left w:val="single" w:sz="4" w:space="0" w:color="auto"/>
              <w:bottom w:val="single" w:sz="8" w:space="0" w:color="auto"/>
              <w:right w:val="single" w:sz="4" w:space="0" w:color="auto"/>
            </w:tcBorders>
            <w:shd w:val="clear" w:color="auto" w:fill="auto"/>
            <w:noWrap/>
            <w:vAlign w:val="bottom"/>
            <w:hideMark/>
          </w:tcPr>
          <w:p w14:paraId="2F9B0C64" w14:textId="77777777" w:rsidR="004437AA" w:rsidRPr="009B1F4A" w:rsidRDefault="004437AA" w:rsidP="00396651">
            <w:pPr>
              <w:autoSpaceDE/>
              <w:autoSpaceDN/>
              <w:adjustRightInd/>
              <w:jc w:val="center"/>
              <w:rPr>
                <w:b/>
                <w:bCs/>
                <w:color w:val="000000"/>
                <w:sz w:val="22"/>
                <w:szCs w:val="22"/>
              </w:rPr>
            </w:pPr>
            <w:r w:rsidRPr="009B1F4A">
              <w:rPr>
                <w:b/>
                <w:bCs/>
                <w:color w:val="000000"/>
                <w:sz w:val="22"/>
                <w:szCs w:val="22"/>
              </w:rPr>
              <w:t>13</w:t>
            </w:r>
          </w:p>
        </w:tc>
        <w:tc>
          <w:tcPr>
            <w:tcW w:w="1515" w:type="dxa"/>
            <w:tcBorders>
              <w:top w:val="nil"/>
              <w:left w:val="nil"/>
              <w:bottom w:val="single" w:sz="8" w:space="0" w:color="auto"/>
              <w:right w:val="single" w:sz="4" w:space="0" w:color="auto"/>
            </w:tcBorders>
            <w:shd w:val="clear" w:color="auto" w:fill="auto"/>
            <w:noWrap/>
            <w:vAlign w:val="bottom"/>
            <w:hideMark/>
          </w:tcPr>
          <w:p w14:paraId="6A373071" w14:textId="77777777" w:rsidR="004437AA" w:rsidRPr="009B1F4A" w:rsidRDefault="004437AA" w:rsidP="00396651">
            <w:pPr>
              <w:autoSpaceDE/>
              <w:autoSpaceDN/>
              <w:adjustRightInd/>
              <w:jc w:val="center"/>
              <w:rPr>
                <w:b/>
                <w:bCs/>
                <w:color w:val="000000"/>
                <w:sz w:val="22"/>
                <w:szCs w:val="22"/>
              </w:rPr>
            </w:pPr>
            <w:r w:rsidRPr="009B1F4A">
              <w:rPr>
                <w:b/>
                <w:bCs/>
                <w:color w:val="000000"/>
                <w:sz w:val="22"/>
                <w:szCs w:val="22"/>
              </w:rPr>
              <w:t>9</w:t>
            </w:r>
          </w:p>
        </w:tc>
        <w:tc>
          <w:tcPr>
            <w:tcW w:w="1296" w:type="dxa"/>
            <w:tcBorders>
              <w:top w:val="nil"/>
              <w:left w:val="nil"/>
              <w:bottom w:val="single" w:sz="8" w:space="0" w:color="auto"/>
              <w:right w:val="single" w:sz="8" w:space="0" w:color="auto"/>
            </w:tcBorders>
            <w:shd w:val="clear" w:color="auto" w:fill="auto"/>
            <w:noWrap/>
            <w:vAlign w:val="bottom"/>
            <w:hideMark/>
          </w:tcPr>
          <w:p w14:paraId="624A5044" w14:textId="77777777" w:rsidR="004437AA" w:rsidRPr="009B1F4A" w:rsidRDefault="004437AA" w:rsidP="00396651">
            <w:pPr>
              <w:autoSpaceDE/>
              <w:autoSpaceDN/>
              <w:adjustRightInd/>
              <w:jc w:val="right"/>
              <w:rPr>
                <w:b/>
                <w:bCs/>
                <w:color w:val="000000"/>
                <w:sz w:val="22"/>
                <w:szCs w:val="22"/>
              </w:rPr>
            </w:pPr>
            <w:r w:rsidRPr="009B1F4A">
              <w:rPr>
                <w:b/>
                <w:bCs/>
                <w:color w:val="000000"/>
                <w:sz w:val="22"/>
                <w:szCs w:val="22"/>
              </w:rPr>
              <w:t>$45,320</w:t>
            </w:r>
          </w:p>
        </w:tc>
      </w:tr>
      <w:tr w:rsidR="004437AA" w:rsidRPr="009B1F4A" w14:paraId="52D0B055" w14:textId="77777777" w:rsidTr="00396651">
        <w:trPr>
          <w:trHeight w:val="300"/>
        </w:trPr>
        <w:tc>
          <w:tcPr>
            <w:tcW w:w="2615" w:type="dxa"/>
            <w:tcBorders>
              <w:top w:val="nil"/>
              <w:left w:val="single" w:sz="8" w:space="0" w:color="auto"/>
              <w:bottom w:val="nil"/>
              <w:right w:val="nil"/>
            </w:tcBorders>
            <w:shd w:val="clear" w:color="auto" w:fill="auto"/>
            <w:vAlign w:val="bottom"/>
            <w:hideMark/>
          </w:tcPr>
          <w:p w14:paraId="1A0899C7" w14:textId="77777777" w:rsidR="004437AA" w:rsidRPr="00BE1C78" w:rsidRDefault="004437AA" w:rsidP="00396651">
            <w:pPr>
              <w:autoSpaceDE/>
              <w:autoSpaceDN/>
              <w:adjustRightInd/>
              <w:rPr>
                <w:i/>
                <w:iCs/>
                <w:color w:val="000000"/>
              </w:rPr>
            </w:pPr>
            <w:r w:rsidRPr="00BE1C78">
              <w:rPr>
                <w:i/>
                <w:iCs/>
                <w:color w:val="000000"/>
              </w:rPr>
              <w:t>CDX Registration</w:t>
            </w:r>
          </w:p>
        </w:tc>
        <w:tc>
          <w:tcPr>
            <w:tcW w:w="861" w:type="dxa"/>
            <w:tcBorders>
              <w:top w:val="nil"/>
              <w:left w:val="single" w:sz="4" w:space="0" w:color="auto"/>
              <w:bottom w:val="single" w:sz="4" w:space="0" w:color="auto"/>
              <w:right w:val="single" w:sz="4" w:space="0" w:color="auto"/>
            </w:tcBorders>
            <w:shd w:val="clear" w:color="auto" w:fill="auto"/>
            <w:noWrap/>
            <w:vAlign w:val="bottom"/>
            <w:hideMark/>
          </w:tcPr>
          <w:p w14:paraId="57003751" w14:textId="77777777" w:rsidR="004437AA" w:rsidRPr="009B1F4A" w:rsidRDefault="004437AA" w:rsidP="00396651">
            <w:pPr>
              <w:autoSpaceDE/>
              <w:autoSpaceDN/>
              <w:adjustRightInd/>
              <w:jc w:val="right"/>
              <w:rPr>
                <w:color w:val="000000"/>
                <w:sz w:val="22"/>
                <w:szCs w:val="22"/>
              </w:rPr>
            </w:pPr>
            <w:r w:rsidRPr="009B1F4A">
              <w:rPr>
                <w:color w:val="000000"/>
                <w:sz w:val="22"/>
                <w:szCs w:val="22"/>
              </w:rPr>
              <w:t>0.18</w:t>
            </w:r>
          </w:p>
        </w:tc>
        <w:tc>
          <w:tcPr>
            <w:tcW w:w="1039" w:type="dxa"/>
            <w:tcBorders>
              <w:top w:val="nil"/>
              <w:left w:val="nil"/>
              <w:bottom w:val="single" w:sz="4" w:space="0" w:color="auto"/>
              <w:right w:val="single" w:sz="4" w:space="0" w:color="auto"/>
            </w:tcBorders>
            <w:shd w:val="clear" w:color="auto" w:fill="auto"/>
            <w:noWrap/>
            <w:vAlign w:val="bottom"/>
            <w:hideMark/>
          </w:tcPr>
          <w:p w14:paraId="3E56F7F7" w14:textId="77777777" w:rsidR="004437AA" w:rsidRPr="009B1F4A" w:rsidRDefault="004437AA" w:rsidP="00396651">
            <w:pPr>
              <w:autoSpaceDE/>
              <w:autoSpaceDN/>
              <w:adjustRightInd/>
              <w:jc w:val="right"/>
              <w:rPr>
                <w:color w:val="000000"/>
                <w:sz w:val="22"/>
                <w:szCs w:val="22"/>
              </w:rPr>
            </w:pPr>
            <w:r w:rsidRPr="009B1F4A">
              <w:rPr>
                <w:color w:val="000000"/>
                <w:sz w:val="22"/>
                <w:szCs w:val="22"/>
              </w:rPr>
              <w:t xml:space="preserve">$75.88 </w:t>
            </w:r>
          </w:p>
        </w:tc>
        <w:tc>
          <w:tcPr>
            <w:tcW w:w="1063" w:type="dxa"/>
            <w:tcBorders>
              <w:top w:val="nil"/>
              <w:left w:val="nil"/>
              <w:bottom w:val="single" w:sz="4" w:space="0" w:color="auto"/>
              <w:right w:val="single" w:sz="4" w:space="0" w:color="auto"/>
            </w:tcBorders>
            <w:shd w:val="clear" w:color="auto" w:fill="auto"/>
            <w:noWrap/>
            <w:vAlign w:val="bottom"/>
            <w:hideMark/>
          </w:tcPr>
          <w:p w14:paraId="29739AE5" w14:textId="77777777" w:rsidR="004437AA" w:rsidRPr="009B1F4A" w:rsidRDefault="004437AA" w:rsidP="00396651">
            <w:pPr>
              <w:autoSpaceDE/>
              <w:autoSpaceDN/>
              <w:adjustRightInd/>
              <w:jc w:val="right"/>
              <w:rPr>
                <w:color w:val="000000"/>
                <w:sz w:val="22"/>
                <w:szCs w:val="22"/>
              </w:rPr>
            </w:pPr>
            <w:r w:rsidRPr="009B1F4A">
              <w:rPr>
                <w:color w:val="000000"/>
                <w:sz w:val="22"/>
                <w:szCs w:val="22"/>
              </w:rPr>
              <w:t>$14</w:t>
            </w:r>
          </w:p>
        </w:tc>
        <w:tc>
          <w:tcPr>
            <w:tcW w:w="109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30A06B3" w14:textId="77777777" w:rsidR="004437AA" w:rsidRPr="009B1F4A" w:rsidRDefault="004437AA" w:rsidP="00396651">
            <w:pPr>
              <w:autoSpaceDE/>
              <w:autoSpaceDN/>
              <w:adjustRightInd/>
              <w:jc w:val="center"/>
              <w:rPr>
                <w:color w:val="000000"/>
                <w:sz w:val="22"/>
                <w:szCs w:val="22"/>
              </w:rPr>
            </w:pPr>
            <w:r w:rsidRPr="009B1F4A">
              <w:rPr>
                <w:color w:val="000000"/>
                <w:sz w:val="22"/>
                <w:szCs w:val="22"/>
              </w:rPr>
              <w:t>65</w:t>
            </w:r>
          </w:p>
        </w:tc>
        <w:tc>
          <w:tcPr>
            <w:tcW w:w="1515"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2AFF41E" w14:textId="77777777" w:rsidR="004437AA" w:rsidRPr="009B1F4A" w:rsidRDefault="004437AA" w:rsidP="00396651">
            <w:pPr>
              <w:autoSpaceDE/>
              <w:autoSpaceDN/>
              <w:adjustRightInd/>
              <w:jc w:val="center"/>
              <w:rPr>
                <w:color w:val="000000"/>
                <w:sz w:val="22"/>
                <w:szCs w:val="22"/>
              </w:rPr>
            </w:pPr>
            <w:r w:rsidRPr="009B1F4A">
              <w:rPr>
                <w:color w:val="000000"/>
                <w:sz w:val="22"/>
                <w:szCs w:val="22"/>
              </w:rPr>
              <w:t>65</w:t>
            </w:r>
          </w:p>
        </w:tc>
        <w:tc>
          <w:tcPr>
            <w:tcW w:w="1296" w:type="dxa"/>
            <w:tcBorders>
              <w:top w:val="nil"/>
              <w:left w:val="nil"/>
              <w:bottom w:val="single" w:sz="4" w:space="0" w:color="auto"/>
              <w:right w:val="single" w:sz="8" w:space="0" w:color="auto"/>
            </w:tcBorders>
            <w:shd w:val="clear" w:color="auto" w:fill="auto"/>
            <w:noWrap/>
            <w:vAlign w:val="bottom"/>
            <w:hideMark/>
          </w:tcPr>
          <w:p w14:paraId="7334FCBC" w14:textId="77777777" w:rsidR="004437AA" w:rsidRPr="009B1F4A" w:rsidRDefault="004437AA" w:rsidP="00396651">
            <w:pPr>
              <w:autoSpaceDE/>
              <w:autoSpaceDN/>
              <w:adjustRightInd/>
              <w:jc w:val="right"/>
              <w:rPr>
                <w:color w:val="000000"/>
                <w:sz w:val="22"/>
                <w:szCs w:val="22"/>
              </w:rPr>
            </w:pPr>
            <w:r w:rsidRPr="009B1F4A">
              <w:rPr>
                <w:color w:val="000000"/>
                <w:sz w:val="22"/>
                <w:szCs w:val="22"/>
              </w:rPr>
              <w:t>$892</w:t>
            </w:r>
          </w:p>
        </w:tc>
      </w:tr>
      <w:tr w:rsidR="004437AA" w:rsidRPr="009B1F4A" w14:paraId="7A120E8C" w14:textId="77777777" w:rsidTr="00396651">
        <w:trPr>
          <w:trHeight w:val="315"/>
        </w:trPr>
        <w:tc>
          <w:tcPr>
            <w:tcW w:w="2615" w:type="dxa"/>
            <w:tcBorders>
              <w:top w:val="nil"/>
              <w:left w:val="single" w:sz="8" w:space="0" w:color="auto"/>
              <w:bottom w:val="nil"/>
              <w:right w:val="nil"/>
            </w:tcBorders>
            <w:shd w:val="clear" w:color="auto" w:fill="auto"/>
            <w:vAlign w:val="bottom"/>
            <w:hideMark/>
          </w:tcPr>
          <w:p w14:paraId="2B09866B" w14:textId="77777777" w:rsidR="004437AA" w:rsidRPr="00BE1C78" w:rsidRDefault="004437AA" w:rsidP="00396651">
            <w:pPr>
              <w:autoSpaceDE/>
              <w:autoSpaceDN/>
              <w:adjustRightInd/>
              <w:rPr>
                <w:i/>
                <w:iCs/>
                <w:color w:val="000000"/>
              </w:rPr>
            </w:pPr>
            <w:r w:rsidRPr="00BE1C78">
              <w:rPr>
                <w:i/>
                <w:iCs/>
                <w:color w:val="000000"/>
              </w:rPr>
              <w:t>CDX E-Signature</w:t>
            </w:r>
          </w:p>
        </w:tc>
        <w:tc>
          <w:tcPr>
            <w:tcW w:w="861" w:type="dxa"/>
            <w:tcBorders>
              <w:top w:val="nil"/>
              <w:left w:val="single" w:sz="4" w:space="0" w:color="auto"/>
              <w:bottom w:val="single" w:sz="8" w:space="0" w:color="auto"/>
              <w:right w:val="single" w:sz="4" w:space="0" w:color="auto"/>
            </w:tcBorders>
            <w:shd w:val="clear" w:color="auto" w:fill="auto"/>
            <w:noWrap/>
            <w:vAlign w:val="bottom"/>
            <w:hideMark/>
          </w:tcPr>
          <w:p w14:paraId="27769309" w14:textId="77777777" w:rsidR="004437AA" w:rsidRPr="009B1F4A" w:rsidRDefault="004437AA" w:rsidP="00396651">
            <w:pPr>
              <w:autoSpaceDE/>
              <w:autoSpaceDN/>
              <w:adjustRightInd/>
              <w:jc w:val="right"/>
              <w:rPr>
                <w:color w:val="000000"/>
                <w:sz w:val="22"/>
                <w:szCs w:val="22"/>
              </w:rPr>
            </w:pPr>
            <w:r w:rsidRPr="009B1F4A">
              <w:rPr>
                <w:color w:val="000000"/>
                <w:sz w:val="22"/>
                <w:szCs w:val="22"/>
              </w:rPr>
              <w:t>0.35</w:t>
            </w:r>
          </w:p>
        </w:tc>
        <w:tc>
          <w:tcPr>
            <w:tcW w:w="1039" w:type="dxa"/>
            <w:tcBorders>
              <w:top w:val="nil"/>
              <w:left w:val="nil"/>
              <w:bottom w:val="single" w:sz="8" w:space="0" w:color="auto"/>
              <w:right w:val="single" w:sz="4" w:space="0" w:color="auto"/>
            </w:tcBorders>
            <w:shd w:val="clear" w:color="auto" w:fill="auto"/>
            <w:noWrap/>
            <w:vAlign w:val="bottom"/>
            <w:hideMark/>
          </w:tcPr>
          <w:p w14:paraId="0AF383C9" w14:textId="77777777" w:rsidR="004437AA" w:rsidRPr="009B1F4A" w:rsidRDefault="004437AA" w:rsidP="00396651">
            <w:pPr>
              <w:autoSpaceDE/>
              <w:autoSpaceDN/>
              <w:adjustRightInd/>
              <w:jc w:val="right"/>
              <w:rPr>
                <w:color w:val="000000"/>
                <w:sz w:val="22"/>
                <w:szCs w:val="22"/>
              </w:rPr>
            </w:pPr>
            <w:r w:rsidRPr="009B1F4A">
              <w:rPr>
                <w:color w:val="000000"/>
                <w:sz w:val="22"/>
                <w:szCs w:val="22"/>
              </w:rPr>
              <w:t xml:space="preserve">$75.88 </w:t>
            </w:r>
          </w:p>
        </w:tc>
        <w:tc>
          <w:tcPr>
            <w:tcW w:w="1063" w:type="dxa"/>
            <w:tcBorders>
              <w:top w:val="nil"/>
              <w:left w:val="nil"/>
              <w:bottom w:val="single" w:sz="8" w:space="0" w:color="auto"/>
              <w:right w:val="single" w:sz="4" w:space="0" w:color="auto"/>
            </w:tcBorders>
            <w:shd w:val="clear" w:color="auto" w:fill="auto"/>
            <w:noWrap/>
            <w:vAlign w:val="bottom"/>
            <w:hideMark/>
          </w:tcPr>
          <w:p w14:paraId="3B135C62" w14:textId="77777777" w:rsidR="004437AA" w:rsidRPr="009B1F4A" w:rsidRDefault="004437AA" w:rsidP="00396651">
            <w:pPr>
              <w:autoSpaceDE/>
              <w:autoSpaceDN/>
              <w:adjustRightInd/>
              <w:jc w:val="right"/>
              <w:rPr>
                <w:color w:val="000000"/>
                <w:sz w:val="22"/>
                <w:szCs w:val="22"/>
              </w:rPr>
            </w:pPr>
            <w:r w:rsidRPr="009B1F4A">
              <w:rPr>
                <w:color w:val="000000"/>
                <w:sz w:val="22"/>
                <w:szCs w:val="22"/>
              </w:rPr>
              <w:t>$27</w:t>
            </w:r>
          </w:p>
        </w:tc>
        <w:tc>
          <w:tcPr>
            <w:tcW w:w="1094" w:type="dxa"/>
            <w:vMerge/>
            <w:tcBorders>
              <w:top w:val="nil"/>
              <w:left w:val="single" w:sz="4" w:space="0" w:color="auto"/>
              <w:bottom w:val="single" w:sz="8" w:space="0" w:color="000000"/>
              <w:right w:val="single" w:sz="4" w:space="0" w:color="auto"/>
            </w:tcBorders>
            <w:vAlign w:val="center"/>
            <w:hideMark/>
          </w:tcPr>
          <w:p w14:paraId="70CBF570" w14:textId="77777777" w:rsidR="004437AA" w:rsidRPr="009B1F4A" w:rsidRDefault="004437AA" w:rsidP="00396651">
            <w:pPr>
              <w:autoSpaceDE/>
              <w:autoSpaceDN/>
              <w:adjustRightInd/>
              <w:rPr>
                <w:color w:val="000000"/>
                <w:sz w:val="22"/>
                <w:szCs w:val="22"/>
              </w:rPr>
            </w:pPr>
          </w:p>
        </w:tc>
        <w:tc>
          <w:tcPr>
            <w:tcW w:w="1515" w:type="dxa"/>
            <w:vMerge/>
            <w:tcBorders>
              <w:top w:val="nil"/>
              <w:left w:val="single" w:sz="4" w:space="0" w:color="auto"/>
              <w:bottom w:val="single" w:sz="8" w:space="0" w:color="000000"/>
              <w:right w:val="single" w:sz="4" w:space="0" w:color="auto"/>
            </w:tcBorders>
            <w:vAlign w:val="center"/>
            <w:hideMark/>
          </w:tcPr>
          <w:p w14:paraId="5B93C1B9" w14:textId="77777777" w:rsidR="004437AA" w:rsidRPr="009B1F4A" w:rsidRDefault="004437AA" w:rsidP="00396651">
            <w:pPr>
              <w:autoSpaceDE/>
              <w:autoSpaceDN/>
              <w:adjustRightInd/>
              <w:rPr>
                <w:color w:val="000000"/>
                <w:sz w:val="22"/>
                <w:szCs w:val="22"/>
              </w:rPr>
            </w:pPr>
          </w:p>
        </w:tc>
        <w:tc>
          <w:tcPr>
            <w:tcW w:w="1296" w:type="dxa"/>
            <w:tcBorders>
              <w:top w:val="nil"/>
              <w:left w:val="nil"/>
              <w:bottom w:val="single" w:sz="8" w:space="0" w:color="auto"/>
              <w:right w:val="single" w:sz="8" w:space="0" w:color="auto"/>
            </w:tcBorders>
            <w:shd w:val="clear" w:color="auto" w:fill="auto"/>
            <w:noWrap/>
            <w:vAlign w:val="bottom"/>
            <w:hideMark/>
          </w:tcPr>
          <w:p w14:paraId="4E7BAFBF" w14:textId="77777777" w:rsidR="004437AA" w:rsidRPr="009B1F4A" w:rsidRDefault="004437AA" w:rsidP="00396651">
            <w:pPr>
              <w:autoSpaceDE/>
              <w:autoSpaceDN/>
              <w:adjustRightInd/>
              <w:jc w:val="right"/>
              <w:rPr>
                <w:color w:val="000000"/>
                <w:sz w:val="22"/>
                <w:szCs w:val="22"/>
              </w:rPr>
            </w:pPr>
            <w:r w:rsidRPr="009B1F4A">
              <w:rPr>
                <w:color w:val="000000"/>
                <w:sz w:val="22"/>
                <w:szCs w:val="22"/>
              </w:rPr>
              <w:t>$1,735</w:t>
            </w:r>
          </w:p>
        </w:tc>
      </w:tr>
      <w:tr w:rsidR="004437AA" w:rsidRPr="009B1F4A" w14:paraId="357D47C3" w14:textId="77777777" w:rsidTr="00396651">
        <w:trPr>
          <w:trHeight w:val="435"/>
        </w:trPr>
        <w:tc>
          <w:tcPr>
            <w:tcW w:w="3476" w:type="dxa"/>
            <w:gridSpan w:val="2"/>
            <w:tcBorders>
              <w:top w:val="single" w:sz="8" w:space="0" w:color="auto"/>
              <w:left w:val="single" w:sz="8" w:space="0" w:color="auto"/>
              <w:bottom w:val="single" w:sz="8" w:space="0" w:color="auto"/>
              <w:right w:val="nil"/>
            </w:tcBorders>
            <w:shd w:val="clear" w:color="auto" w:fill="auto"/>
            <w:noWrap/>
            <w:vAlign w:val="bottom"/>
            <w:hideMark/>
          </w:tcPr>
          <w:p w14:paraId="21C4FABC" w14:textId="77777777" w:rsidR="004437AA" w:rsidRPr="009B1F4A" w:rsidRDefault="004437AA" w:rsidP="00396651">
            <w:pPr>
              <w:autoSpaceDE/>
              <w:autoSpaceDN/>
              <w:adjustRightInd/>
              <w:rPr>
                <w:color w:val="000000"/>
                <w:sz w:val="22"/>
                <w:szCs w:val="22"/>
              </w:rPr>
            </w:pPr>
            <w:r w:rsidRPr="009B1F4A">
              <w:rPr>
                <w:color w:val="000000"/>
                <w:sz w:val="22"/>
                <w:szCs w:val="22"/>
              </w:rPr>
              <w:t>Subtotal CDX Submissions</w:t>
            </w:r>
          </w:p>
        </w:tc>
        <w:tc>
          <w:tcPr>
            <w:tcW w:w="1039" w:type="dxa"/>
            <w:tcBorders>
              <w:top w:val="nil"/>
              <w:left w:val="nil"/>
              <w:bottom w:val="single" w:sz="8" w:space="0" w:color="auto"/>
              <w:right w:val="nil"/>
            </w:tcBorders>
            <w:shd w:val="clear" w:color="auto" w:fill="auto"/>
            <w:noWrap/>
            <w:vAlign w:val="bottom"/>
            <w:hideMark/>
          </w:tcPr>
          <w:p w14:paraId="1CD3CB1A" w14:textId="77777777" w:rsidR="004437AA" w:rsidRPr="009B1F4A" w:rsidRDefault="004437AA" w:rsidP="00396651">
            <w:pPr>
              <w:autoSpaceDE/>
              <w:autoSpaceDN/>
              <w:adjustRightInd/>
              <w:rPr>
                <w:color w:val="000000"/>
                <w:sz w:val="22"/>
                <w:szCs w:val="22"/>
              </w:rPr>
            </w:pPr>
            <w:r w:rsidRPr="009B1F4A">
              <w:rPr>
                <w:color w:val="000000"/>
                <w:sz w:val="22"/>
                <w:szCs w:val="22"/>
              </w:rPr>
              <w:t> </w:t>
            </w:r>
          </w:p>
        </w:tc>
        <w:tc>
          <w:tcPr>
            <w:tcW w:w="1063" w:type="dxa"/>
            <w:tcBorders>
              <w:top w:val="nil"/>
              <w:left w:val="nil"/>
              <w:bottom w:val="single" w:sz="8" w:space="0" w:color="auto"/>
              <w:right w:val="nil"/>
            </w:tcBorders>
            <w:shd w:val="clear" w:color="auto" w:fill="auto"/>
            <w:noWrap/>
            <w:vAlign w:val="bottom"/>
            <w:hideMark/>
          </w:tcPr>
          <w:p w14:paraId="04235EE5" w14:textId="77777777" w:rsidR="004437AA" w:rsidRPr="009B1F4A" w:rsidRDefault="004437AA" w:rsidP="00396651">
            <w:pPr>
              <w:autoSpaceDE/>
              <w:autoSpaceDN/>
              <w:adjustRightInd/>
              <w:rPr>
                <w:color w:val="000000"/>
                <w:sz w:val="22"/>
                <w:szCs w:val="22"/>
              </w:rPr>
            </w:pPr>
            <w:r w:rsidRPr="009B1F4A">
              <w:rPr>
                <w:color w:val="000000"/>
                <w:sz w:val="22"/>
                <w:szCs w:val="22"/>
              </w:rPr>
              <w:t> </w:t>
            </w:r>
          </w:p>
        </w:tc>
        <w:tc>
          <w:tcPr>
            <w:tcW w:w="1094" w:type="dxa"/>
            <w:tcBorders>
              <w:top w:val="nil"/>
              <w:left w:val="single" w:sz="4" w:space="0" w:color="auto"/>
              <w:bottom w:val="single" w:sz="8" w:space="0" w:color="auto"/>
              <w:right w:val="single" w:sz="4" w:space="0" w:color="auto"/>
            </w:tcBorders>
            <w:shd w:val="clear" w:color="auto" w:fill="auto"/>
            <w:noWrap/>
            <w:vAlign w:val="center"/>
            <w:hideMark/>
          </w:tcPr>
          <w:p w14:paraId="5BFC1E61" w14:textId="77777777" w:rsidR="004437AA" w:rsidRPr="009B1F4A" w:rsidRDefault="004437AA" w:rsidP="00396651">
            <w:pPr>
              <w:autoSpaceDE/>
              <w:autoSpaceDN/>
              <w:adjustRightInd/>
              <w:jc w:val="center"/>
              <w:rPr>
                <w:b/>
                <w:bCs/>
                <w:color w:val="000000"/>
                <w:sz w:val="22"/>
                <w:szCs w:val="22"/>
              </w:rPr>
            </w:pPr>
            <w:r w:rsidRPr="009B1F4A">
              <w:rPr>
                <w:b/>
                <w:bCs/>
                <w:color w:val="000000"/>
                <w:sz w:val="22"/>
                <w:szCs w:val="22"/>
              </w:rPr>
              <w:t>65</w:t>
            </w:r>
          </w:p>
        </w:tc>
        <w:tc>
          <w:tcPr>
            <w:tcW w:w="1515" w:type="dxa"/>
            <w:tcBorders>
              <w:top w:val="nil"/>
              <w:left w:val="nil"/>
              <w:bottom w:val="single" w:sz="8" w:space="0" w:color="auto"/>
              <w:right w:val="single" w:sz="4" w:space="0" w:color="auto"/>
            </w:tcBorders>
            <w:shd w:val="clear" w:color="auto" w:fill="auto"/>
            <w:noWrap/>
            <w:vAlign w:val="center"/>
            <w:hideMark/>
          </w:tcPr>
          <w:p w14:paraId="72264900" w14:textId="77777777" w:rsidR="004437AA" w:rsidRPr="009B1F4A" w:rsidRDefault="004437AA" w:rsidP="00396651">
            <w:pPr>
              <w:autoSpaceDE/>
              <w:autoSpaceDN/>
              <w:adjustRightInd/>
              <w:jc w:val="center"/>
              <w:rPr>
                <w:b/>
                <w:bCs/>
                <w:color w:val="000000"/>
                <w:sz w:val="22"/>
                <w:szCs w:val="22"/>
              </w:rPr>
            </w:pPr>
            <w:r w:rsidRPr="009B1F4A">
              <w:rPr>
                <w:b/>
                <w:bCs/>
                <w:color w:val="000000"/>
                <w:sz w:val="22"/>
                <w:szCs w:val="22"/>
              </w:rPr>
              <w:t>65</w:t>
            </w:r>
          </w:p>
        </w:tc>
        <w:tc>
          <w:tcPr>
            <w:tcW w:w="1296" w:type="dxa"/>
            <w:tcBorders>
              <w:top w:val="nil"/>
              <w:left w:val="nil"/>
              <w:bottom w:val="single" w:sz="8" w:space="0" w:color="auto"/>
              <w:right w:val="single" w:sz="8" w:space="0" w:color="auto"/>
            </w:tcBorders>
            <w:shd w:val="clear" w:color="auto" w:fill="auto"/>
            <w:noWrap/>
            <w:vAlign w:val="bottom"/>
            <w:hideMark/>
          </w:tcPr>
          <w:p w14:paraId="41CB7611" w14:textId="77777777" w:rsidR="004437AA" w:rsidRPr="009B1F4A" w:rsidRDefault="004437AA" w:rsidP="00396651">
            <w:pPr>
              <w:autoSpaceDE/>
              <w:autoSpaceDN/>
              <w:adjustRightInd/>
              <w:jc w:val="right"/>
              <w:rPr>
                <w:b/>
                <w:bCs/>
                <w:color w:val="000000"/>
                <w:sz w:val="22"/>
                <w:szCs w:val="22"/>
              </w:rPr>
            </w:pPr>
            <w:r w:rsidRPr="009B1F4A">
              <w:rPr>
                <w:b/>
                <w:bCs/>
                <w:color w:val="000000"/>
                <w:sz w:val="22"/>
                <w:szCs w:val="22"/>
              </w:rPr>
              <w:t>$2,627</w:t>
            </w:r>
          </w:p>
        </w:tc>
      </w:tr>
      <w:tr w:rsidR="004437AA" w:rsidRPr="009B1F4A" w14:paraId="3443C3E4" w14:textId="77777777" w:rsidTr="00396651">
        <w:trPr>
          <w:trHeight w:val="367"/>
        </w:trPr>
        <w:tc>
          <w:tcPr>
            <w:tcW w:w="3476" w:type="dxa"/>
            <w:gridSpan w:val="2"/>
            <w:tcBorders>
              <w:top w:val="single" w:sz="8" w:space="0" w:color="auto"/>
              <w:left w:val="single" w:sz="8" w:space="0" w:color="auto"/>
              <w:bottom w:val="single" w:sz="8" w:space="0" w:color="auto"/>
              <w:right w:val="nil"/>
            </w:tcBorders>
            <w:shd w:val="clear" w:color="auto" w:fill="auto"/>
            <w:vAlign w:val="bottom"/>
            <w:hideMark/>
          </w:tcPr>
          <w:p w14:paraId="2236D8A9" w14:textId="45AB3C7F" w:rsidR="004437AA" w:rsidRPr="009B1F4A" w:rsidRDefault="004437AA" w:rsidP="000B5063">
            <w:pPr>
              <w:autoSpaceDE/>
              <w:autoSpaceDN/>
              <w:adjustRightInd/>
              <w:rPr>
                <w:b/>
                <w:bCs/>
                <w:color w:val="000000"/>
                <w:sz w:val="22"/>
                <w:szCs w:val="22"/>
              </w:rPr>
            </w:pPr>
            <w:r w:rsidRPr="009B1F4A">
              <w:rPr>
                <w:b/>
                <w:bCs/>
                <w:color w:val="000000"/>
                <w:sz w:val="22"/>
                <w:szCs w:val="22"/>
              </w:rPr>
              <w:t>T</w:t>
            </w:r>
            <w:r w:rsidR="000B5063">
              <w:rPr>
                <w:b/>
                <w:bCs/>
                <w:color w:val="000000"/>
                <w:sz w:val="22"/>
                <w:szCs w:val="22"/>
              </w:rPr>
              <w:t>otal</w:t>
            </w:r>
            <w:r w:rsidRPr="009B1F4A">
              <w:rPr>
                <w:b/>
                <w:bCs/>
                <w:color w:val="000000"/>
                <w:sz w:val="22"/>
                <w:szCs w:val="22"/>
              </w:rPr>
              <w:t xml:space="preserve"> hours and cost</w:t>
            </w:r>
          </w:p>
        </w:tc>
        <w:tc>
          <w:tcPr>
            <w:tcW w:w="1039" w:type="dxa"/>
            <w:tcBorders>
              <w:top w:val="nil"/>
              <w:left w:val="nil"/>
              <w:bottom w:val="single" w:sz="8" w:space="0" w:color="auto"/>
              <w:right w:val="nil"/>
            </w:tcBorders>
            <w:shd w:val="clear" w:color="auto" w:fill="auto"/>
            <w:noWrap/>
            <w:vAlign w:val="bottom"/>
            <w:hideMark/>
          </w:tcPr>
          <w:p w14:paraId="2D22968D" w14:textId="77777777" w:rsidR="004437AA" w:rsidRPr="009B1F4A" w:rsidRDefault="004437AA" w:rsidP="00396651">
            <w:pPr>
              <w:autoSpaceDE/>
              <w:autoSpaceDN/>
              <w:adjustRightInd/>
              <w:jc w:val="right"/>
              <w:rPr>
                <w:color w:val="000000"/>
                <w:sz w:val="22"/>
                <w:szCs w:val="22"/>
              </w:rPr>
            </w:pPr>
            <w:r w:rsidRPr="009B1F4A">
              <w:rPr>
                <w:color w:val="000000"/>
                <w:sz w:val="22"/>
                <w:szCs w:val="22"/>
              </w:rPr>
              <w:t>21,412</w:t>
            </w:r>
          </w:p>
        </w:tc>
        <w:tc>
          <w:tcPr>
            <w:tcW w:w="1063" w:type="dxa"/>
            <w:tcBorders>
              <w:top w:val="nil"/>
              <w:left w:val="nil"/>
              <w:bottom w:val="single" w:sz="8" w:space="0" w:color="auto"/>
              <w:right w:val="nil"/>
            </w:tcBorders>
            <w:shd w:val="clear" w:color="auto" w:fill="auto"/>
            <w:noWrap/>
            <w:vAlign w:val="bottom"/>
            <w:hideMark/>
          </w:tcPr>
          <w:p w14:paraId="22F659D2" w14:textId="77777777" w:rsidR="004437AA" w:rsidRPr="009B1F4A" w:rsidRDefault="004437AA" w:rsidP="00396651">
            <w:pPr>
              <w:autoSpaceDE/>
              <w:autoSpaceDN/>
              <w:adjustRightInd/>
              <w:rPr>
                <w:color w:val="000000"/>
                <w:sz w:val="22"/>
                <w:szCs w:val="22"/>
              </w:rPr>
            </w:pPr>
            <w:r w:rsidRPr="009B1F4A">
              <w:rPr>
                <w:color w:val="000000"/>
                <w:sz w:val="22"/>
                <w:szCs w:val="22"/>
              </w:rPr>
              <w:t>hours</w:t>
            </w:r>
          </w:p>
        </w:tc>
        <w:tc>
          <w:tcPr>
            <w:tcW w:w="1094" w:type="dxa"/>
            <w:tcBorders>
              <w:top w:val="nil"/>
              <w:left w:val="single" w:sz="8" w:space="0" w:color="auto"/>
              <w:bottom w:val="single" w:sz="8" w:space="0" w:color="auto"/>
              <w:right w:val="single" w:sz="8" w:space="0" w:color="auto"/>
            </w:tcBorders>
            <w:shd w:val="clear" w:color="auto" w:fill="auto"/>
            <w:noWrap/>
            <w:vAlign w:val="bottom"/>
            <w:hideMark/>
          </w:tcPr>
          <w:p w14:paraId="5FE08269" w14:textId="77777777" w:rsidR="004437AA" w:rsidRPr="009B1F4A" w:rsidRDefault="004437AA" w:rsidP="00396651">
            <w:pPr>
              <w:autoSpaceDE/>
              <w:autoSpaceDN/>
              <w:adjustRightInd/>
              <w:jc w:val="center"/>
              <w:rPr>
                <w:color w:val="000000"/>
                <w:sz w:val="22"/>
                <w:szCs w:val="22"/>
              </w:rPr>
            </w:pPr>
            <w:r w:rsidRPr="009B1F4A">
              <w:rPr>
                <w:color w:val="000000"/>
                <w:sz w:val="22"/>
                <w:szCs w:val="22"/>
              </w:rPr>
              <w:t>572</w:t>
            </w:r>
          </w:p>
        </w:tc>
        <w:tc>
          <w:tcPr>
            <w:tcW w:w="1515" w:type="dxa"/>
            <w:tcBorders>
              <w:top w:val="nil"/>
              <w:left w:val="nil"/>
              <w:bottom w:val="single" w:sz="8" w:space="0" w:color="auto"/>
              <w:right w:val="single" w:sz="8" w:space="0" w:color="auto"/>
            </w:tcBorders>
            <w:shd w:val="clear" w:color="auto" w:fill="auto"/>
            <w:noWrap/>
            <w:vAlign w:val="bottom"/>
            <w:hideMark/>
          </w:tcPr>
          <w:p w14:paraId="42F7EE08" w14:textId="77777777" w:rsidR="004437AA" w:rsidRPr="009B1F4A" w:rsidRDefault="004437AA" w:rsidP="00396651">
            <w:pPr>
              <w:autoSpaceDE/>
              <w:autoSpaceDN/>
              <w:adjustRightInd/>
              <w:jc w:val="center"/>
              <w:rPr>
                <w:color w:val="000000"/>
                <w:sz w:val="22"/>
                <w:szCs w:val="22"/>
              </w:rPr>
            </w:pPr>
            <w:r w:rsidRPr="009B1F4A">
              <w:rPr>
                <w:color w:val="000000"/>
                <w:sz w:val="22"/>
                <w:szCs w:val="22"/>
              </w:rPr>
              <w:t>6</w:t>
            </w:r>
            <w:r>
              <w:rPr>
                <w:color w:val="000000"/>
                <w:sz w:val="22"/>
                <w:szCs w:val="22"/>
              </w:rPr>
              <w:t>5</w:t>
            </w:r>
          </w:p>
        </w:tc>
        <w:tc>
          <w:tcPr>
            <w:tcW w:w="1296" w:type="dxa"/>
            <w:tcBorders>
              <w:top w:val="nil"/>
              <w:left w:val="nil"/>
              <w:bottom w:val="single" w:sz="8" w:space="0" w:color="auto"/>
              <w:right w:val="single" w:sz="8" w:space="0" w:color="auto"/>
            </w:tcBorders>
            <w:shd w:val="clear" w:color="auto" w:fill="auto"/>
            <w:noWrap/>
            <w:vAlign w:val="bottom"/>
            <w:hideMark/>
          </w:tcPr>
          <w:p w14:paraId="3C73745C" w14:textId="77777777" w:rsidR="004437AA" w:rsidRPr="009B1F4A" w:rsidRDefault="004437AA" w:rsidP="00396651">
            <w:pPr>
              <w:autoSpaceDE/>
              <w:autoSpaceDN/>
              <w:adjustRightInd/>
              <w:jc w:val="right"/>
              <w:rPr>
                <w:b/>
                <w:bCs/>
                <w:color w:val="000000"/>
                <w:sz w:val="24"/>
                <w:szCs w:val="24"/>
              </w:rPr>
            </w:pPr>
            <w:r w:rsidRPr="009B1F4A">
              <w:rPr>
                <w:b/>
                <w:bCs/>
                <w:color w:val="000000"/>
                <w:sz w:val="24"/>
                <w:szCs w:val="24"/>
              </w:rPr>
              <w:t>$1,650,068</w:t>
            </w:r>
          </w:p>
        </w:tc>
      </w:tr>
    </w:tbl>
    <w:p w14:paraId="26BECCD5" w14:textId="77777777" w:rsidR="004437AA" w:rsidRDefault="004437AA" w:rsidP="004437AA">
      <w:pPr>
        <w:ind w:firstLine="720"/>
        <w:rPr>
          <w:b/>
          <w:bCs/>
          <w:sz w:val="24"/>
          <w:szCs w:val="24"/>
        </w:rPr>
      </w:pPr>
    </w:p>
    <w:p w14:paraId="5CAEF85A" w14:textId="546B42EC" w:rsidR="00EC7270" w:rsidRDefault="00EC7270" w:rsidP="00D572E4">
      <w:pPr>
        <w:ind w:firstLine="720"/>
        <w:rPr>
          <w:bCs/>
          <w:sz w:val="24"/>
          <w:szCs w:val="24"/>
        </w:rPr>
      </w:pPr>
    </w:p>
    <w:p w14:paraId="3F7A8C6E" w14:textId="77777777" w:rsidR="00EC7270" w:rsidRPr="00EC7270" w:rsidRDefault="00EC7270" w:rsidP="00841B82">
      <w:pPr>
        <w:rPr>
          <w:bCs/>
          <w:sz w:val="24"/>
          <w:szCs w:val="24"/>
        </w:rPr>
      </w:pPr>
    </w:p>
    <w:p w14:paraId="5B6A3BD7" w14:textId="29268988" w:rsidR="00841B82" w:rsidRPr="0060438E" w:rsidRDefault="00D572E4" w:rsidP="00D572E4">
      <w:pPr>
        <w:ind w:firstLine="720"/>
        <w:rPr>
          <w:sz w:val="24"/>
          <w:szCs w:val="24"/>
        </w:rPr>
      </w:pPr>
      <w:r>
        <w:rPr>
          <w:b/>
          <w:bCs/>
          <w:sz w:val="24"/>
          <w:szCs w:val="24"/>
        </w:rPr>
        <w:t xml:space="preserve">6(c) </w:t>
      </w:r>
      <w:r w:rsidR="005276D2">
        <w:rPr>
          <w:b/>
          <w:bCs/>
          <w:sz w:val="24"/>
          <w:szCs w:val="24"/>
        </w:rPr>
        <w:tab/>
      </w:r>
      <w:r w:rsidR="00841B82" w:rsidRPr="0060438E">
        <w:rPr>
          <w:b/>
          <w:bCs/>
          <w:sz w:val="24"/>
          <w:szCs w:val="24"/>
        </w:rPr>
        <w:t>Estimating EPA Burden and Costs</w:t>
      </w:r>
    </w:p>
    <w:p w14:paraId="158685D1" w14:textId="77777777" w:rsidR="00841B82" w:rsidRPr="0060438E" w:rsidRDefault="00841B82" w:rsidP="00841B82">
      <w:pPr>
        <w:rPr>
          <w:sz w:val="24"/>
          <w:szCs w:val="24"/>
        </w:rPr>
      </w:pPr>
    </w:p>
    <w:p w14:paraId="737D1AF5" w14:textId="77777777" w:rsidR="004437AA" w:rsidRDefault="004437AA" w:rsidP="004437AA">
      <w:pPr>
        <w:ind w:firstLine="720"/>
        <w:rPr>
          <w:sz w:val="24"/>
          <w:szCs w:val="24"/>
        </w:rPr>
      </w:pPr>
      <w:r>
        <w:rPr>
          <w:sz w:val="24"/>
          <w:szCs w:val="24"/>
        </w:rPr>
        <w:t xml:space="preserve">For this ICR, EPA estimates that a GS-13, Step 5, staff member spends 7.1 hours to </w:t>
      </w:r>
      <w:r w:rsidRPr="0060438E">
        <w:rPr>
          <w:sz w:val="24"/>
          <w:szCs w:val="24"/>
        </w:rPr>
        <w:t>initially review</w:t>
      </w:r>
      <w:r>
        <w:rPr>
          <w:sz w:val="24"/>
          <w:szCs w:val="24"/>
        </w:rPr>
        <w:t>,</w:t>
      </w:r>
      <w:r w:rsidRPr="0060438E">
        <w:rPr>
          <w:sz w:val="24"/>
          <w:szCs w:val="24"/>
        </w:rPr>
        <w:t xml:space="preserve"> </w:t>
      </w:r>
      <w:r>
        <w:rPr>
          <w:sz w:val="24"/>
          <w:szCs w:val="24"/>
        </w:rPr>
        <w:t xml:space="preserve">process, </w:t>
      </w:r>
      <w:r w:rsidRPr="0060438E">
        <w:rPr>
          <w:sz w:val="24"/>
          <w:szCs w:val="24"/>
        </w:rPr>
        <w:t xml:space="preserve">and/or answer questions on each </w:t>
      </w:r>
      <w:r>
        <w:rPr>
          <w:sz w:val="24"/>
          <w:szCs w:val="24"/>
        </w:rPr>
        <w:t>submission. The Agency wage rate is presented in Table 6.  Given 494 Section 8(e) submissions and 13 FYI submissions, yielding 507 total submissions, with each requiring 7.1 hours of EPA staff time, annual agency burden totals 3,600 hours. Applying the agency wage rate in Table 6 yields annual agency costs at $284,052 (see also Table 7).</w:t>
      </w:r>
    </w:p>
    <w:p w14:paraId="21801461" w14:textId="77777777" w:rsidR="004437AA" w:rsidRDefault="004437AA" w:rsidP="004437AA">
      <w:pPr>
        <w:rPr>
          <w:sz w:val="24"/>
          <w:szCs w:val="24"/>
        </w:rPr>
      </w:pPr>
    </w:p>
    <w:tbl>
      <w:tblPr>
        <w:tblW w:w="9285" w:type="dxa"/>
        <w:tblInd w:w="93" w:type="dxa"/>
        <w:tblLook w:val="04A0" w:firstRow="1" w:lastRow="0" w:firstColumn="1" w:lastColumn="0" w:noHBand="0" w:noVBand="1"/>
      </w:tblPr>
      <w:tblGrid>
        <w:gridCol w:w="1077"/>
        <w:gridCol w:w="1703"/>
        <w:gridCol w:w="880"/>
        <w:gridCol w:w="949"/>
        <w:gridCol w:w="1020"/>
        <w:gridCol w:w="976"/>
        <w:gridCol w:w="1600"/>
        <w:gridCol w:w="1080"/>
      </w:tblGrid>
      <w:tr w:rsidR="004437AA" w:rsidRPr="00384416" w14:paraId="48F7EAC1" w14:textId="77777777" w:rsidTr="00396651">
        <w:trPr>
          <w:trHeight w:val="323"/>
        </w:trPr>
        <w:tc>
          <w:tcPr>
            <w:tcW w:w="9285" w:type="dxa"/>
            <w:gridSpan w:val="8"/>
            <w:tcBorders>
              <w:top w:val="nil"/>
              <w:left w:val="nil"/>
              <w:bottom w:val="single" w:sz="8" w:space="0" w:color="auto"/>
              <w:right w:val="nil"/>
            </w:tcBorders>
            <w:shd w:val="clear" w:color="auto" w:fill="auto"/>
            <w:noWrap/>
            <w:vAlign w:val="bottom"/>
            <w:hideMark/>
          </w:tcPr>
          <w:p w14:paraId="499A8BF4" w14:textId="77777777" w:rsidR="004437AA" w:rsidRPr="00384416" w:rsidRDefault="004437AA" w:rsidP="00396651">
            <w:pPr>
              <w:autoSpaceDE/>
              <w:autoSpaceDN/>
              <w:adjustRightInd/>
              <w:rPr>
                <w:b/>
                <w:bCs/>
                <w:color w:val="000000"/>
                <w:sz w:val="24"/>
                <w:szCs w:val="24"/>
              </w:rPr>
            </w:pPr>
            <w:r w:rsidRPr="00384416">
              <w:rPr>
                <w:b/>
                <w:bCs/>
                <w:color w:val="000000"/>
                <w:sz w:val="24"/>
                <w:szCs w:val="24"/>
              </w:rPr>
              <w:t>Table 6: Agency Wage Rate ( 2015$)</w:t>
            </w:r>
          </w:p>
        </w:tc>
      </w:tr>
      <w:tr w:rsidR="004437AA" w:rsidRPr="00384416" w14:paraId="6AEDF1D0" w14:textId="77777777" w:rsidTr="007848C1">
        <w:trPr>
          <w:trHeight w:val="735"/>
        </w:trPr>
        <w:tc>
          <w:tcPr>
            <w:tcW w:w="1077"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69F5C328" w14:textId="77777777" w:rsidR="004437AA" w:rsidRPr="00384416" w:rsidRDefault="004437AA" w:rsidP="00396651">
            <w:pPr>
              <w:autoSpaceDE/>
              <w:autoSpaceDN/>
              <w:adjustRightInd/>
              <w:jc w:val="center"/>
              <w:rPr>
                <w:b/>
                <w:bCs/>
                <w:color w:val="000000"/>
                <w:sz w:val="18"/>
                <w:szCs w:val="18"/>
              </w:rPr>
            </w:pPr>
            <w:r w:rsidRPr="00384416">
              <w:rPr>
                <w:b/>
                <w:bCs/>
                <w:color w:val="000000"/>
                <w:sz w:val="18"/>
                <w:szCs w:val="18"/>
              </w:rPr>
              <w:t>Labor Category</w:t>
            </w:r>
          </w:p>
        </w:tc>
        <w:tc>
          <w:tcPr>
            <w:tcW w:w="1703"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144CB598" w14:textId="77777777" w:rsidR="004437AA" w:rsidRPr="00384416" w:rsidRDefault="004437AA" w:rsidP="00396651">
            <w:pPr>
              <w:autoSpaceDE/>
              <w:autoSpaceDN/>
              <w:adjustRightInd/>
              <w:jc w:val="center"/>
              <w:rPr>
                <w:b/>
                <w:bCs/>
                <w:color w:val="000000"/>
                <w:sz w:val="18"/>
                <w:szCs w:val="18"/>
              </w:rPr>
            </w:pPr>
            <w:r w:rsidRPr="00384416">
              <w:rPr>
                <w:b/>
                <w:bCs/>
                <w:color w:val="000000"/>
                <w:sz w:val="18"/>
                <w:szCs w:val="18"/>
              </w:rPr>
              <w:t>Data Source for Wage Information</w:t>
            </w:r>
          </w:p>
        </w:tc>
        <w:tc>
          <w:tcPr>
            <w:tcW w:w="880" w:type="dxa"/>
            <w:tcBorders>
              <w:top w:val="nil"/>
              <w:left w:val="nil"/>
              <w:bottom w:val="single" w:sz="8" w:space="0" w:color="auto"/>
              <w:right w:val="single" w:sz="8" w:space="0" w:color="auto"/>
            </w:tcBorders>
            <w:shd w:val="clear" w:color="000000" w:fill="D9D9D9"/>
            <w:vAlign w:val="center"/>
            <w:hideMark/>
          </w:tcPr>
          <w:p w14:paraId="5DDF3673" w14:textId="77777777" w:rsidR="004437AA" w:rsidRPr="00384416" w:rsidRDefault="004437AA" w:rsidP="00396651">
            <w:pPr>
              <w:autoSpaceDE/>
              <w:autoSpaceDN/>
              <w:adjustRightInd/>
              <w:jc w:val="center"/>
              <w:rPr>
                <w:b/>
                <w:bCs/>
                <w:color w:val="000000"/>
                <w:sz w:val="18"/>
                <w:szCs w:val="18"/>
              </w:rPr>
            </w:pPr>
            <w:r w:rsidRPr="00384416">
              <w:rPr>
                <w:b/>
                <w:bCs/>
                <w:color w:val="000000"/>
                <w:sz w:val="18"/>
                <w:szCs w:val="18"/>
              </w:rPr>
              <w:t>Wage ($/hour)</w:t>
            </w:r>
          </w:p>
        </w:tc>
        <w:tc>
          <w:tcPr>
            <w:tcW w:w="949" w:type="dxa"/>
            <w:tcBorders>
              <w:top w:val="nil"/>
              <w:left w:val="nil"/>
              <w:bottom w:val="single" w:sz="8" w:space="0" w:color="auto"/>
              <w:right w:val="single" w:sz="8" w:space="0" w:color="auto"/>
            </w:tcBorders>
            <w:shd w:val="clear" w:color="000000" w:fill="D9D9D9"/>
            <w:vAlign w:val="center"/>
            <w:hideMark/>
          </w:tcPr>
          <w:p w14:paraId="5738B663" w14:textId="77777777" w:rsidR="004437AA" w:rsidRPr="00384416" w:rsidRDefault="004437AA" w:rsidP="00396651">
            <w:pPr>
              <w:autoSpaceDE/>
              <w:autoSpaceDN/>
              <w:adjustRightInd/>
              <w:jc w:val="center"/>
              <w:rPr>
                <w:b/>
                <w:bCs/>
                <w:color w:val="000000"/>
                <w:sz w:val="18"/>
                <w:szCs w:val="18"/>
              </w:rPr>
            </w:pPr>
            <w:r w:rsidRPr="00384416">
              <w:rPr>
                <w:b/>
                <w:bCs/>
                <w:color w:val="000000"/>
                <w:sz w:val="18"/>
                <w:szCs w:val="18"/>
              </w:rPr>
              <w:t>Fringe Benefit</w:t>
            </w:r>
          </w:p>
        </w:tc>
        <w:tc>
          <w:tcPr>
            <w:tcW w:w="1020" w:type="dxa"/>
            <w:tcBorders>
              <w:top w:val="nil"/>
              <w:left w:val="nil"/>
              <w:bottom w:val="single" w:sz="8" w:space="0" w:color="auto"/>
              <w:right w:val="single" w:sz="8" w:space="0" w:color="auto"/>
            </w:tcBorders>
            <w:shd w:val="clear" w:color="000000" w:fill="D9D9D9"/>
            <w:vAlign w:val="center"/>
            <w:hideMark/>
          </w:tcPr>
          <w:p w14:paraId="35B9E149" w14:textId="77777777" w:rsidR="004437AA" w:rsidRPr="00384416" w:rsidRDefault="004437AA" w:rsidP="00396651">
            <w:pPr>
              <w:autoSpaceDE/>
              <w:autoSpaceDN/>
              <w:adjustRightInd/>
              <w:jc w:val="center"/>
              <w:rPr>
                <w:b/>
                <w:bCs/>
                <w:color w:val="000000"/>
                <w:sz w:val="18"/>
                <w:szCs w:val="18"/>
              </w:rPr>
            </w:pPr>
            <w:r w:rsidRPr="00384416">
              <w:rPr>
                <w:b/>
                <w:bCs/>
                <w:color w:val="000000"/>
                <w:sz w:val="18"/>
                <w:szCs w:val="18"/>
              </w:rPr>
              <w:t>Fringes as % wage</w:t>
            </w:r>
          </w:p>
        </w:tc>
        <w:tc>
          <w:tcPr>
            <w:tcW w:w="976" w:type="dxa"/>
            <w:tcBorders>
              <w:top w:val="nil"/>
              <w:left w:val="nil"/>
              <w:bottom w:val="single" w:sz="8" w:space="0" w:color="auto"/>
              <w:right w:val="single" w:sz="8" w:space="0" w:color="auto"/>
            </w:tcBorders>
            <w:shd w:val="clear" w:color="000000" w:fill="D9D9D9"/>
            <w:vAlign w:val="center"/>
            <w:hideMark/>
          </w:tcPr>
          <w:p w14:paraId="370487E2" w14:textId="77777777" w:rsidR="004437AA" w:rsidRPr="00384416" w:rsidRDefault="004437AA" w:rsidP="00396651">
            <w:pPr>
              <w:autoSpaceDE/>
              <w:autoSpaceDN/>
              <w:adjustRightInd/>
              <w:jc w:val="center"/>
              <w:rPr>
                <w:b/>
                <w:bCs/>
                <w:color w:val="000000"/>
                <w:sz w:val="18"/>
                <w:szCs w:val="18"/>
              </w:rPr>
            </w:pPr>
            <w:r w:rsidRPr="00384416">
              <w:rPr>
                <w:b/>
                <w:bCs/>
                <w:color w:val="000000"/>
                <w:sz w:val="18"/>
                <w:szCs w:val="18"/>
              </w:rPr>
              <w:t>Overhead as % wage</w:t>
            </w:r>
          </w:p>
        </w:tc>
        <w:tc>
          <w:tcPr>
            <w:tcW w:w="1600" w:type="dxa"/>
            <w:tcBorders>
              <w:top w:val="nil"/>
              <w:left w:val="nil"/>
              <w:bottom w:val="single" w:sz="8" w:space="0" w:color="auto"/>
              <w:right w:val="single" w:sz="8" w:space="0" w:color="auto"/>
            </w:tcBorders>
            <w:shd w:val="clear" w:color="000000" w:fill="D9D9D9"/>
            <w:vAlign w:val="center"/>
            <w:hideMark/>
          </w:tcPr>
          <w:p w14:paraId="43DDC530" w14:textId="77777777" w:rsidR="004437AA" w:rsidRPr="00384416" w:rsidRDefault="004437AA" w:rsidP="00396651">
            <w:pPr>
              <w:autoSpaceDE/>
              <w:autoSpaceDN/>
              <w:adjustRightInd/>
              <w:jc w:val="center"/>
              <w:rPr>
                <w:b/>
                <w:bCs/>
                <w:color w:val="000000"/>
                <w:sz w:val="18"/>
                <w:szCs w:val="18"/>
              </w:rPr>
            </w:pPr>
            <w:r w:rsidRPr="00384416">
              <w:rPr>
                <w:b/>
                <w:bCs/>
                <w:color w:val="000000"/>
                <w:sz w:val="18"/>
                <w:szCs w:val="18"/>
              </w:rPr>
              <w:t>Fringe + Overhead Factor</w:t>
            </w:r>
          </w:p>
        </w:tc>
        <w:tc>
          <w:tcPr>
            <w:tcW w:w="1080" w:type="dxa"/>
            <w:tcBorders>
              <w:top w:val="nil"/>
              <w:left w:val="nil"/>
              <w:bottom w:val="single" w:sz="8" w:space="0" w:color="auto"/>
              <w:right w:val="single" w:sz="8" w:space="0" w:color="auto"/>
            </w:tcBorders>
            <w:shd w:val="clear" w:color="000000" w:fill="D9D9D9"/>
            <w:vAlign w:val="center"/>
            <w:hideMark/>
          </w:tcPr>
          <w:p w14:paraId="2DE2A558" w14:textId="77777777" w:rsidR="004437AA" w:rsidRPr="00384416" w:rsidRDefault="004437AA" w:rsidP="00396651">
            <w:pPr>
              <w:autoSpaceDE/>
              <w:autoSpaceDN/>
              <w:adjustRightInd/>
              <w:jc w:val="center"/>
              <w:rPr>
                <w:b/>
                <w:bCs/>
                <w:color w:val="000000"/>
                <w:sz w:val="18"/>
                <w:szCs w:val="18"/>
              </w:rPr>
            </w:pPr>
            <w:r w:rsidRPr="00384416">
              <w:rPr>
                <w:b/>
                <w:bCs/>
                <w:color w:val="000000"/>
                <w:sz w:val="18"/>
                <w:szCs w:val="18"/>
              </w:rPr>
              <w:t>Loaded Wage ($/hr)</w:t>
            </w:r>
          </w:p>
        </w:tc>
      </w:tr>
      <w:tr w:rsidR="004437AA" w:rsidRPr="00384416" w14:paraId="0245BA5D" w14:textId="77777777" w:rsidTr="007848C1">
        <w:trPr>
          <w:trHeight w:val="315"/>
        </w:trPr>
        <w:tc>
          <w:tcPr>
            <w:tcW w:w="1077" w:type="dxa"/>
            <w:vMerge/>
            <w:tcBorders>
              <w:top w:val="nil"/>
              <w:left w:val="single" w:sz="8" w:space="0" w:color="auto"/>
              <w:bottom w:val="single" w:sz="8" w:space="0" w:color="000000"/>
              <w:right w:val="single" w:sz="8" w:space="0" w:color="auto"/>
            </w:tcBorders>
            <w:vAlign w:val="center"/>
            <w:hideMark/>
          </w:tcPr>
          <w:p w14:paraId="4562B864" w14:textId="77777777" w:rsidR="004437AA" w:rsidRPr="00384416" w:rsidRDefault="004437AA" w:rsidP="00396651">
            <w:pPr>
              <w:autoSpaceDE/>
              <w:autoSpaceDN/>
              <w:adjustRightInd/>
              <w:rPr>
                <w:b/>
                <w:bCs/>
                <w:color w:val="000000"/>
                <w:sz w:val="18"/>
                <w:szCs w:val="18"/>
              </w:rPr>
            </w:pPr>
          </w:p>
        </w:tc>
        <w:tc>
          <w:tcPr>
            <w:tcW w:w="1703" w:type="dxa"/>
            <w:vMerge/>
            <w:tcBorders>
              <w:top w:val="nil"/>
              <w:left w:val="single" w:sz="8" w:space="0" w:color="auto"/>
              <w:bottom w:val="single" w:sz="8" w:space="0" w:color="000000"/>
              <w:right w:val="single" w:sz="8" w:space="0" w:color="auto"/>
            </w:tcBorders>
            <w:vAlign w:val="center"/>
            <w:hideMark/>
          </w:tcPr>
          <w:p w14:paraId="7748A9AB" w14:textId="77777777" w:rsidR="004437AA" w:rsidRPr="00384416" w:rsidRDefault="004437AA" w:rsidP="00396651">
            <w:pPr>
              <w:autoSpaceDE/>
              <w:autoSpaceDN/>
              <w:adjustRightInd/>
              <w:rPr>
                <w:b/>
                <w:bCs/>
                <w:color w:val="000000"/>
                <w:sz w:val="18"/>
                <w:szCs w:val="18"/>
              </w:rPr>
            </w:pPr>
          </w:p>
        </w:tc>
        <w:tc>
          <w:tcPr>
            <w:tcW w:w="880" w:type="dxa"/>
            <w:tcBorders>
              <w:top w:val="nil"/>
              <w:left w:val="nil"/>
              <w:bottom w:val="single" w:sz="8" w:space="0" w:color="auto"/>
              <w:right w:val="single" w:sz="8" w:space="0" w:color="auto"/>
            </w:tcBorders>
            <w:shd w:val="clear" w:color="000000" w:fill="D9D9D9"/>
            <w:vAlign w:val="center"/>
            <w:hideMark/>
          </w:tcPr>
          <w:p w14:paraId="39A2010E" w14:textId="77777777" w:rsidR="004437AA" w:rsidRPr="00384416" w:rsidRDefault="004437AA" w:rsidP="00396651">
            <w:pPr>
              <w:autoSpaceDE/>
              <w:autoSpaceDN/>
              <w:adjustRightInd/>
              <w:jc w:val="center"/>
              <w:rPr>
                <w:b/>
                <w:bCs/>
                <w:color w:val="000000"/>
                <w:sz w:val="16"/>
                <w:szCs w:val="16"/>
              </w:rPr>
            </w:pPr>
            <w:r w:rsidRPr="00384416">
              <w:rPr>
                <w:b/>
                <w:bCs/>
                <w:color w:val="000000"/>
                <w:sz w:val="16"/>
                <w:szCs w:val="16"/>
              </w:rPr>
              <w:t>(a)</w:t>
            </w:r>
          </w:p>
        </w:tc>
        <w:tc>
          <w:tcPr>
            <w:tcW w:w="949" w:type="dxa"/>
            <w:tcBorders>
              <w:top w:val="nil"/>
              <w:left w:val="nil"/>
              <w:bottom w:val="single" w:sz="8" w:space="0" w:color="auto"/>
              <w:right w:val="single" w:sz="8" w:space="0" w:color="auto"/>
            </w:tcBorders>
            <w:shd w:val="clear" w:color="000000" w:fill="D9D9D9"/>
            <w:vAlign w:val="center"/>
            <w:hideMark/>
          </w:tcPr>
          <w:p w14:paraId="170F3A59" w14:textId="77777777" w:rsidR="004437AA" w:rsidRPr="00384416" w:rsidRDefault="004437AA" w:rsidP="00396651">
            <w:pPr>
              <w:autoSpaceDE/>
              <w:autoSpaceDN/>
              <w:adjustRightInd/>
              <w:jc w:val="center"/>
              <w:rPr>
                <w:b/>
                <w:bCs/>
                <w:color w:val="000000"/>
                <w:sz w:val="16"/>
                <w:szCs w:val="16"/>
              </w:rPr>
            </w:pPr>
            <w:r w:rsidRPr="00384416">
              <w:rPr>
                <w:b/>
                <w:bCs/>
                <w:color w:val="000000"/>
                <w:sz w:val="16"/>
                <w:szCs w:val="16"/>
              </w:rPr>
              <w:t>(b)</w:t>
            </w:r>
          </w:p>
        </w:tc>
        <w:tc>
          <w:tcPr>
            <w:tcW w:w="1020" w:type="dxa"/>
            <w:tcBorders>
              <w:top w:val="nil"/>
              <w:left w:val="nil"/>
              <w:bottom w:val="single" w:sz="8" w:space="0" w:color="auto"/>
              <w:right w:val="single" w:sz="8" w:space="0" w:color="auto"/>
            </w:tcBorders>
            <w:shd w:val="clear" w:color="000000" w:fill="D9D9D9"/>
            <w:vAlign w:val="center"/>
            <w:hideMark/>
          </w:tcPr>
          <w:p w14:paraId="3E3E2E04" w14:textId="77777777" w:rsidR="004437AA" w:rsidRPr="00384416" w:rsidRDefault="004437AA" w:rsidP="00396651">
            <w:pPr>
              <w:autoSpaceDE/>
              <w:autoSpaceDN/>
              <w:adjustRightInd/>
              <w:jc w:val="center"/>
              <w:rPr>
                <w:b/>
                <w:bCs/>
                <w:color w:val="000000"/>
                <w:sz w:val="16"/>
                <w:szCs w:val="16"/>
              </w:rPr>
            </w:pPr>
            <w:r w:rsidRPr="00384416">
              <w:rPr>
                <w:b/>
                <w:bCs/>
                <w:color w:val="000000"/>
                <w:sz w:val="16"/>
                <w:szCs w:val="16"/>
              </w:rPr>
              <w:t>(c) = (b) / (a)</w:t>
            </w:r>
          </w:p>
        </w:tc>
        <w:tc>
          <w:tcPr>
            <w:tcW w:w="976" w:type="dxa"/>
            <w:tcBorders>
              <w:top w:val="nil"/>
              <w:left w:val="nil"/>
              <w:bottom w:val="single" w:sz="8" w:space="0" w:color="auto"/>
              <w:right w:val="single" w:sz="8" w:space="0" w:color="auto"/>
            </w:tcBorders>
            <w:shd w:val="clear" w:color="000000" w:fill="D9D9D9"/>
            <w:vAlign w:val="center"/>
            <w:hideMark/>
          </w:tcPr>
          <w:p w14:paraId="72782671" w14:textId="77777777" w:rsidR="004437AA" w:rsidRPr="00384416" w:rsidRDefault="004437AA" w:rsidP="00396651">
            <w:pPr>
              <w:autoSpaceDE/>
              <w:autoSpaceDN/>
              <w:adjustRightInd/>
              <w:jc w:val="center"/>
              <w:rPr>
                <w:b/>
                <w:bCs/>
                <w:color w:val="000000"/>
                <w:sz w:val="16"/>
                <w:szCs w:val="16"/>
              </w:rPr>
            </w:pPr>
            <w:r w:rsidRPr="00384416">
              <w:rPr>
                <w:b/>
                <w:bCs/>
                <w:color w:val="000000"/>
                <w:sz w:val="16"/>
                <w:szCs w:val="16"/>
              </w:rPr>
              <w:t>(d)</w:t>
            </w:r>
          </w:p>
        </w:tc>
        <w:tc>
          <w:tcPr>
            <w:tcW w:w="1600" w:type="dxa"/>
            <w:tcBorders>
              <w:top w:val="nil"/>
              <w:left w:val="nil"/>
              <w:bottom w:val="single" w:sz="8" w:space="0" w:color="auto"/>
              <w:right w:val="single" w:sz="8" w:space="0" w:color="auto"/>
            </w:tcBorders>
            <w:shd w:val="clear" w:color="000000" w:fill="D9D9D9"/>
            <w:vAlign w:val="center"/>
            <w:hideMark/>
          </w:tcPr>
          <w:p w14:paraId="0667B8D6" w14:textId="77777777" w:rsidR="004437AA" w:rsidRPr="00384416" w:rsidRDefault="004437AA" w:rsidP="00396651">
            <w:pPr>
              <w:autoSpaceDE/>
              <w:autoSpaceDN/>
              <w:adjustRightInd/>
              <w:jc w:val="center"/>
              <w:rPr>
                <w:b/>
                <w:bCs/>
                <w:color w:val="000000"/>
                <w:sz w:val="16"/>
                <w:szCs w:val="16"/>
              </w:rPr>
            </w:pPr>
            <w:r w:rsidRPr="00384416">
              <w:rPr>
                <w:b/>
                <w:bCs/>
                <w:color w:val="000000"/>
                <w:sz w:val="16"/>
                <w:szCs w:val="16"/>
              </w:rPr>
              <w:t>(e) = (c) + (d) + 1</w:t>
            </w:r>
          </w:p>
        </w:tc>
        <w:tc>
          <w:tcPr>
            <w:tcW w:w="1080" w:type="dxa"/>
            <w:tcBorders>
              <w:top w:val="nil"/>
              <w:left w:val="nil"/>
              <w:bottom w:val="single" w:sz="8" w:space="0" w:color="auto"/>
              <w:right w:val="single" w:sz="8" w:space="0" w:color="auto"/>
            </w:tcBorders>
            <w:shd w:val="clear" w:color="000000" w:fill="D9D9D9"/>
            <w:vAlign w:val="center"/>
            <w:hideMark/>
          </w:tcPr>
          <w:p w14:paraId="542A9FEA" w14:textId="77777777" w:rsidR="004437AA" w:rsidRPr="00384416" w:rsidRDefault="004437AA" w:rsidP="00396651">
            <w:pPr>
              <w:autoSpaceDE/>
              <w:autoSpaceDN/>
              <w:adjustRightInd/>
              <w:jc w:val="center"/>
              <w:rPr>
                <w:b/>
                <w:bCs/>
                <w:color w:val="000000"/>
                <w:sz w:val="16"/>
                <w:szCs w:val="16"/>
              </w:rPr>
            </w:pPr>
            <w:r w:rsidRPr="00384416">
              <w:rPr>
                <w:b/>
                <w:bCs/>
                <w:color w:val="000000"/>
                <w:sz w:val="16"/>
                <w:szCs w:val="16"/>
              </w:rPr>
              <w:t>(f) = (a) * (e)</w:t>
            </w:r>
          </w:p>
        </w:tc>
      </w:tr>
      <w:tr w:rsidR="004437AA" w:rsidRPr="00384416" w14:paraId="6B223FA0" w14:textId="77777777" w:rsidTr="007848C1">
        <w:trPr>
          <w:trHeight w:val="278"/>
        </w:trPr>
        <w:tc>
          <w:tcPr>
            <w:tcW w:w="1077" w:type="dxa"/>
            <w:vMerge w:val="restart"/>
            <w:tcBorders>
              <w:top w:val="nil"/>
              <w:left w:val="single" w:sz="8" w:space="0" w:color="auto"/>
              <w:bottom w:val="single" w:sz="8" w:space="0" w:color="000000"/>
              <w:right w:val="single" w:sz="8" w:space="0" w:color="auto"/>
            </w:tcBorders>
            <w:shd w:val="clear" w:color="auto" w:fill="auto"/>
            <w:vAlign w:val="center"/>
            <w:hideMark/>
          </w:tcPr>
          <w:p w14:paraId="480B39E8" w14:textId="77777777" w:rsidR="004437AA" w:rsidRPr="00384416" w:rsidRDefault="004437AA" w:rsidP="00396651">
            <w:pPr>
              <w:autoSpaceDE/>
              <w:autoSpaceDN/>
              <w:adjustRightInd/>
              <w:rPr>
                <w:color w:val="000000"/>
              </w:rPr>
            </w:pPr>
            <w:r w:rsidRPr="00384416">
              <w:rPr>
                <w:color w:val="000000"/>
              </w:rPr>
              <w:t>EPA staff</w:t>
            </w:r>
          </w:p>
        </w:tc>
        <w:tc>
          <w:tcPr>
            <w:tcW w:w="1703" w:type="dxa"/>
            <w:vMerge w:val="restart"/>
            <w:tcBorders>
              <w:top w:val="nil"/>
              <w:left w:val="single" w:sz="8" w:space="0" w:color="auto"/>
              <w:bottom w:val="single" w:sz="8" w:space="0" w:color="000000"/>
              <w:right w:val="single" w:sz="8" w:space="0" w:color="auto"/>
            </w:tcBorders>
            <w:shd w:val="clear" w:color="auto" w:fill="auto"/>
            <w:vAlign w:val="center"/>
            <w:hideMark/>
          </w:tcPr>
          <w:p w14:paraId="71B954FE" w14:textId="77777777" w:rsidR="004437AA" w:rsidRPr="00384416" w:rsidRDefault="004437AA" w:rsidP="00396651">
            <w:pPr>
              <w:autoSpaceDE/>
              <w:autoSpaceDN/>
              <w:adjustRightInd/>
              <w:rPr>
                <w:color w:val="000000"/>
                <w:sz w:val="16"/>
                <w:szCs w:val="16"/>
              </w:rPr>
            </w:pPr>
            <w:r w:rsidRPr="00384416">
              <w:rPr>
                <w:color w:val="000000"/>
                <w:sz w:val="16"/>
                <w:szCs w:val="16"/>
              </w:rPr>
              <w:t>Annual federal staff cost: OPM Washington-Baltimore-Northern Virginia, DC-MD-PA-VA-WV area,</w:t>
            </w:r>
            <w:r w:rsidRPr="00384416">
              <w:rPr>
                <w:color w:val="000000"/>
                <w:sz w:val="16"/>
                <w:szCs w:val="16"/>
                <w:u w:val="single"/>
              </w:rPr>
              <w:t xml:space="preserve"> </w:t>
            </w:r>
            <w:r w:rsidRPr="00384416">
              <w:rPr>
                <w:color w:val="000000"/>
                <w:sz w:val="16"/>
                <w:szCs w:val="16"/>
              </w:rPr>
              <w:t xml:space="preserve">GS-13 Step 5 pay rates </w:t>
            </w:r>
            <w:r w:rsidRPr="00384416">
              <w:rPr>
                <w:color w:val="000000"/>
                <w:sz w:val="16"/>
                <w:szCs w:val="16"/>
                <w:vertAlign w:val="superscript"/>
              </w:rPr>
              <w:t>a</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6DFE91B3" w14:textId="77777777" w:rsidR="004437AA" w:rsidRPr="00384416" w:rsidRDefault="004437AA" w:rsidP="00396651">
            <w:pPr>
              <w:autoSpaceDE/>
              <w:autoSpaceDN/>
              <w:adjustRightInd/>
              <w:jc w:val="center"/>
              <w:rPr>
                <w:color w:val="000000"/>
              </w:rPr>
            </w:pPr>
            <w:r w:rsidRPr="00384416">
              <w:rPr>
                <w:color w:val="000000"/>
              </w:rPr>
              <w:t>$49.32</w:t>
            </w:r>
          </w:p>
        </w:tc>
        <w:tc>
          <w:tcPr>
            <w:tcW w:w="949" w:type="dxa"/>
            <w:vMerge w:val="restart"/>
            <w:tcBorders>
              <w:top w:val="nil"/>
              <w:left w:val="single" w:sz="8" w:space="0" w:color="auto"/>
              <w:bottom w:val="single" w:sz="8" w:space="0" w:color="000000"/>
              <w:right w:val="single" w:sz="8" w:space="0" w:color="auto"/>
            </w:tcBorders>
            <w:shd w:val="clear" w:color="auto" w:fill="auto"/>
            <w:vAlign w:val="center"/>
            <w:hideMark/>
          </w:tcPr>
          <w:p w14:paraId="5A2882ED" w14:textId="77777777" w:rsidR="004437AA" w:rsidRPr="00384416" w:rsidRDefault="004437AA" w:rsidP="00396651">
            <w:pPr>
              <w:autoSpaceDE/>
              <w:autoSpaceDN/>
              <w:adjustRightInd/>
              <w:rPr>
                <w:color w:val="000000"/>
              </w:rPr>
            </w:pPr>
            <w:r w:rsidRPr="00384416">
              <w:rPr>
                <w:color w:val="000000"/>
              </w:rPr>
              <w:t>Included in 60% overhead</w:t>
            </w:r>
          </w:p>
        </w:tc>
        <w:tc>
          <w:tcPr>
            <w:tcW w:w="1020" w:type="dxa"/>
            <w:vMerge w:val="restart"/>
            <w:tcBorders>
              <w:top w:val="nil"/>
              <w:left w:val="single" w:sz="8" w:space="0" w:color="auto"/>
              <w:bottom w:val="single" w:sz="8" w:space="0" w:color="000000"/>
              <w:right w:val="single" w:sz="8" w:space="0" w:color="auto"/>
            </w:tcBorders>
            <w:shd w:val="clear" w:color="auto" w:fill="auto"/>
            <w:vAlign w:val="center"/>
            <w:hideMark/>
          </w:tcPr>
          <w:p w14:paraId="5F33A486" w14:textId="77777777" w:rsidR="004437AA" w:rsidRPr="00384416" w:rsidRDefault="004437AA" w:rsidP="00396651">
            <w:pPr>
              <w:autoSpaceDE/>
              <w:autoSpaceDN/>
              <w:adjustRightInd/>
              <w:jc w:val="center"/>
              <w:rPr>
                <w:color w:val="000000"/>
              </w:rPr>
            </w:pPr>
            <w:r w:rsidRPr="00384416">
              <w:rPr>
                <w:color w:val="000000"/>
              </w:rPr>
              <w:t>N/A</w:t>
            </w:r>
          </w:p>
        </w:tc>
        <w:tc>
          <w:tcPr>
            <w:tcW w:w="976" w:type="dxa"/>
            <w:vMerge w:val="restart"/>
            <w:tcBorders>
              <w:top w:val="nil"/>
              <w:left w:val="single" w:sz="8" w:space="0" w:color="auto"/>
              <w:bottom w:val="single" w:sz="8" w:space="0" w:color="000000"/>
              <w:right w:val="single" w:sz="8" w:space="0" w:color="auto"/>
            </w:tcBorders>
            <w:shd w:val="clear" w:color="auto" w:fill="auto"/>
            <w:vAlign w:val="center"/>
            <w:hideMark/>
          </w:tcPr>
          <w:p w14:paraId="5B3B8E22" w14:textId="77777777" w:rsidR="004437AA" w:rsidRPr="00384416" w:rsidRDefault="004437AA" w:rsidP="00396651">
            <w:pPr>
              <w:autoSpaceDE/>
              <w:autoSpaceDN/>
              <w:adjustRightInd/>
              <w:jc w:val="center"/>
              <w:rPr>
                <w:color w:val="000000"/>
              </w:rPr>
            </w:pPr>
            <w:r w:rsidRPr="00384416">
              <w:rPr>
                <w:color w:val="000000"/>
              </w:rPr>
              <w:t xml:space="preserve">60% </w:t>
            </w:r>
            <w:r w:rsidRPr="00384416">
              <w:rPr>
                <w:color w:val="000000"/>
                <w:vertAlign w:val="superscript"/>
              </w:rPr>
              <w:t>b</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hideMark/>
          </w:tcPr>
          <w:p w14:paraId="16C885F2" w14:textId="77777777" w:rsidR="004437AA" w:rsidRPr="00384416" w:rsidRDefault="004437AA" w:rsidP="00396651">
            <w:pPr>
              <w:autoSpaceDE/>
              <w:autoSpaceDN/>
              <w:adjustRightInd/>
              <w:jc w:val="center"/>
              <w:rPr>
                <w:color w:val="000000"/>
              </w:rPr>
            </w:pPr>
            <w:r w:rsidRPr="00384416">
              <w:rPr>
                <w:color w:val="000000"/>
              </w:rPr>
              <w:t>1.6</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25C7555B" w14:textId="77777777" w:rsidR="004437AA" w:rsidRPr="00384416" w:rsidRDefault="004437AA" w:rsidP="00396651">
            <w:pPr>
              <w:autoSpaceDE/>
              <w:autoSpaceDN/>
              <w:adjustRightInd/>
              <w:jc w:val="center"/>
              <w:rPr>
                <w:color w:val="000000"/>
              </w:rPr>
            </w:pPr>
            <w:r w:rsidRPr="00384416">
              <w:rPr>
                <w:color w:val="000000"/>
              </w:rPr>
              <w:t>$78.91</w:t>
            </w:r>
          </w:p>
        </w:tc>
      </w:tr>
      <w:tr w:rsidR="004437AA" w:rsidRPr="00384416" w14:paraId="104F2781" w14:textId="77777777" w:rsidTr="007848C1">
        <w:trPr>
          <w:trHeight w:val="1575"/>
        </w:trPr>
        <w:tc>
          <w:tcPr>
            <w:tcW w:w="1077" w:type="dxa"/>
            <w:vMerge/>
            <w:tcBorders>
              <w:top w:val="nil"/>
              <w:left w:val="single" w:sz="8" w:space="0" w:color="auto"/>
              <w:bottom w:val="single" w:sz="8" w:space="0" w:color="000000"/>
              <w:right w:val="single" w:sz="8" w:space="0" w:color="auto"/>
            </w:tcBorders>
            <w:vAlign w:val="center"/>
            <w:hideMark/>
          </w:tcPr>
          <w:p w14:paraId="1BEFC67A" w14:textId="77777777" w:rsidR="004437AA" w:rsidRPr="00384416" w:rsidRDefault="004437AA" w:rsidP="00396651">
            <w:pPr>
              <w:autoSpaceDE/>
              <w:autoSpaceDN/>
              <w:adjustRightInd/>
              <w:rPr>
                <w:color w:val="000000"/>
              </w:rPr>
            </w:pPr>
          </w:p>
        </w:tc>
        <w:tc>
          <w:tcPr>
            <w:tcW w:w="1703" w:type="dxa"/>
            <w:vMerge/>
            <w:tcBorders>
              <w:top w:val="nil"/>
              <w:left w:val="single" w:sz="8" w:space="0" w:color="auto"/>
              <w:bottom w:val="single" w:sz="8" w:space="0" w:color="000000"/>
              <w:right w:val="single" w:sz="8" w:space="0" w:color="auto"/>
            </w:tcBorders>
            <w:vAlign w:val="center"/>
            <w:hideMark/>
          </w:tcPr>
          <w:p w14:paraId="589DF8C8" w14:textId="77777777" w:rsidR="004437AA" w:rsidRPr="00384416" w:rsidRDefault="004437AA" w:rsidP="00396651">
            <w:pPr>
              <w:autoSpaceDE/>
              <w:autoSpaceDN/>
              <w:adjustRightInd/>
              <w:rPr>
                <w:color w:val="000000"/>
                <w:sz w:val="16"/>
                <w:szCs w:val="16"/>
              </w:rPr>
            </w:pPr>
          </w:p>
        </w:tc>
        <w:tc>
          <w:tcPr>
            <w:tcW w:w="880" w:type="dxa"/>
            <w:vMerge/>
            <w:tcBorders>
              <w:top w:val="nil"/>
              <w:left w:val="single" w:sz="8" w:space="0" w:color="auto"/>
              <w:bottom w:val="single" w:sz="8" w:space="0" w:color="000000"/>
              <w:right w:val="single" w:sz="8" w:space="0" w:color="auto"/>
            </w:tcBorders>
            <w:vAlign w:val="center"/>
            <w:hideMark/>
          </w:tcPr>
          <w:p w14:paraId="3F5DEEEB" w14:textId="77777777" w:rsidR="004437AA" w:rsidRPr="00384416" w:rsidRDefault="004437AA" w:rsidP="00396651">
            <w:pPr>
              <w:autoSpaceDE/>
              <w:autoSpaceDN/>
              <w:adjustRightInd/>
              <w:rPr>
                <w:color w:val="000000"/>
              </w:rPr>
            </w:pPr>
          </w:p>
        </w:tc>
        <w:tc>
          <w:tcPr>
            <w:tcW w:w="949" w:type="dxa"/>
            <w:vMerge/>
            <w:tcBorders>
              <w:top w:val="nil"/>
              <w:left w:val="single" w:sz="8" w:space="0" w:color="auto"/>
              <w:bottom w:val="single" w:sz="8" w:space="0" w:color="000000"/>
              <w:right w:val="single" w:sz="8" w:space="0" w:color="auto"/>
            </w:tcBorders>
            <w:vAlign w:val="center"/>
            <w:hideMark/>
          </w:tcPr>
          <w:p w14:paraId="11A3742E" w14:textId="77777777" w:rsidR="004437AA" w:rsidRPr="00384416" w:rsidRDefault="004437AA" w:rsidP="00396651">
            <w:pPr>
              <w:autoSpaceDE/>
              <w:autoSpaceDN/>
              <w:adjustRightInd/>
              <w:rPr>
                <w:color w:val="000000"/>
              </w:rPr>
            </w:pPr>
          </w:p>
        </w:tc>
        <w:tc>
          <w:tcPr>
            <w:tcW w:w="1020" w:type="dxa"/>
            <w:vMerge/>
            <w:tcBorders>
              <w:top w:val="nil"/>
              <w:left w:val="single" w:sz="8" w:space="0" w:color="auto"/>
              <w:bottom w:val="single" w:sz="8" w:space="0" w:color="000000"/>
              <w:right w:val="single" w:sz="8" w:space="0" w:color="auto"/>
            </w:tcBorders>
            <w:vAlign w:val="center"/>
            <w:hideMark/>
          </w:tcPr>
          <w:p w14:paraId="46ACD523" w14:textId="77777777" w:rsidR="004437AA" w:rsidRPr="00384416" w:rsidRDefault="004437AA" w:rsidP="00396651">
            <w:pPr>
              <w:autoSpaceDE/>
              <w:autoSpaceDN/>
              <w:adjustRightInd/>
              <w:rPr>
                <w:color w:val="000000"/>
              </w:rPr>
            </w:pPr>
          </w:p>
        </w:tc>
        <w:tc>
          <w:tcPr>
            <w:tcW w:w="976" w:type="dxa"/>
            <w:vMerge/>
            <w:tcBorders>
              <w:top w:val="nil"/>
              <w:left w:val="single" w:sz="8" w:space="0" w:color="auto"/>
              <w:bottom w:val="single" w:sz="8" w:space="0" w:color="000000"/>
              <w:right w:val="single" w:sz="8" w:space="0" w:color="auto"/>
            </w:tcBorders>
            <w:vAlign w:val="center"/>
            <w:hideMark/>
          </w:tcPr>
          <w:p w14:paraId="6F79840B" w14:textId="77777777" w:rsidR="004437AA" w:rsidRPr="00384416" w:rsidRDefault="004437AA" w:rsidP="00396651">
            <w:pPr>
              <w:autoSpaceDE/>
              <w:autoSpaceDN/>
              <w:adjustRightInd/>
              <w:rPr>
                <w:color w:val="000000"/>
              </w:rPr>
            </w:pPr>
          </w:p>
        </w:tc>
        <w:tc>
          <w:tcPr>
            <w:tcW w:w="1600" w:type="dxa"/>
            <w:vMerge/>
            <w:tcBorders>
              <w:top w:val="nil"/>
              <w:left w:val="single" w:sz="8" w:space="0" w:color="auto"/>
              <w:bottom w:val="single" w:sz="8" w:space="0" w:color="000000"/>
              <w:right w:val="single" w:sz="8" w:space="0" w:color="auto"/>
            </w:tcBorders>
            <w:vAlign w:val="center"/>
            <w:hideMark/>
          </w:tcPr>
          <w:p w14:paraId="23CB7C27" w14:textId="77777777" w:rsidR="004437AA" w:rsidRPr="00384416" w:rsidRDefault="004437AA" w:rsidP="00396651">
            <w:pPr>
              <w:autoSpaceDE/>
              <w:autoSpaceDN/>
              <w:adjustRightInd/>
              <w:rPr>
                <w:color w:val="000000"/>
              </w:rPr>
            </w:pPr>
          </w:p>
        </w:tc>
        <w:tc>
          <w:tcPr>
            <w:tcW w:w="1080" w:type="dxa"/>
            <w:vMerge/>
            <w:tcBorders>
              <w:top w:val="nil"/>
              <w:left w:val="single" w:sz="8" w:space="0" w:color="auto"/>
              <w:bottom w:val="single" w:sz="8" w:space="0" w:color="000000"/>
              <w:right w:val="single" w:sz="8" w:space="0" w:color="auto"/>
            </w:tcBorders>
            <w:vAlign w:val="center"/>
            <w:hideMark/>
          </w:tcPr>
          <w:p w14:paraId="5066BC35" w14:textId="77777777" w:rsidR="004437AA" w:rsidRPr="00384416" w:rsidRDefault="004437AA" w:rsidP="00396651">
            <w:pPr>
              <w:autoSpaceDE/>
              <w:autoSpaceDN/>
              <w:adjustRightInd/>
              <w:rPr>
                <w:color w:val="000000"/>
              </w:rPr>
            </w:pPr>
          </w:p>
        </w:tc>
      </w:tr>
      <w:tr w:rsidR="004437AA" w:rsidRPr="00384416" w14:paraId="111EFCC7" w14:textId="77777777" w:rsidTr="00396651">
        <w:trPr>
          <w:trHeight w:val="178"/>
        </w:trPr>
        <w:tc>
          <w:tcPr>
            <w:tcW w:w="9285" w:type="dxa"/>
            <w:gridSpan w:val="8"/>
            <w:tcBorders>
              <w:top w:val="single" w:sz="8" w:space="0" w:color="auto"/>
              <w:left w:val="single" w:sz="8" w:space="0" w:color="auto"/>
              <w:bottom w:val="nil"/>
              <w:right w:val="single" w:sz="8" w:space="0" w:color="000000"/>
            </w:tcBorders>
            <w:shd w:val="clear" w:color="auto" w:fill="auto"/>
            <w:vAlign w:val="center"/>
            <w:hideMark/>
          </w:tcPr>
          <w:p w14:paraId="47AB4911" w14:textId="77777777" w:rsidR="004437AA" w:rsidRPr="00384416" w:rsidRDefault="004437AA" w:rsidP="00396651">
            <w:pPr>
              <w:autoSpaceDE/>
              <w:autoSpaceDN/>
              <w:adjustRightInd/>
              <w:rPr>
                <w:color w:val="000000"/>
                <w:sz w:val="18"/>
                <w:szCs w:val="18"/>
              </w:rPr>
            </w:pPr>
            <w:r w:rsidRPr="00384416">
              <w:rPr>
                <w:color w:val="000000"/>
                <w:sz w:val="18"/>
                <w:szCs w:val="18"/>
              </w:rPr>
              <w:t>Footnotes:</w:t>
            </w:r>
          </w:p>
        </w:tc>
      </w:tr>
      <w:tr w:rsidR="004437AA" w:rsidRPr="00384416" w14:paraId="1DC90F1B" w14:textId="77777777" w:rsidTr="00396651">
        <w:trPr>
          <w:trHeight w:val="612"/>
        </w:trPr>
        <w:tc>
          <w:tcPr>
            <w:tcW w:w="9285" w:type="dxa"/>
            <w:gridSpan w:val="8"/>
            <w:tcBorders>
              <w:top w:val="nil"/>
              <w:left w:val="single" w:sz="8" w:space="0" w:color="auto"/>
              <w:bottom w:val="nil"/>
              <w:right w:val="single" w:sz="8" w:space="0" w:color="000000"/>
            </w:tcBorders>
            <w:shd w:val="clear" w:color="auto" w:fill="auto"/>
            <w:vAlign w:val="center"/>
            <w:hideMark/>
          </w:tcPr>
          <w:p w14:paraId="6CD40B79" w14:textId="77777777" w:rsidR="004437AA" w:rsidRPr="00BE1C78" w:rsidRDefault="004437AA" w:rsidP="00396651">
            <w:pPr>
              <w:autoSpaceDE/>
              <w:autoSpaceDN/>
              <w:adjustRightInd/>
              <w:rPr>
                <w:color w:val="000000"/>
                <w:sz w:val="16"/>
                <w:szCs w:val="16"/>
              </w:rPr>
            </w:pPr>
            <w:r w:rsidRPr="00BE1C78">
              <w:rPr>
                <w:color w:val="000000"/>
                <w:sz w:val="16"/>
                <w:szCs w:val="16"/>
                <w:vertAlign w:val="superscript"/>
              </w:rPr>
              <w:t>a</w:t>
            </w:r>
            <w:r w:rsidRPr="00BE1C78">
              <w:rPr>
                <w:color w:val="000000"/>
                <w:sz w:val="16"/>
                <w:szCs w:val="16"/>
              </w:rPr>
              <w:t xml:space="preserve"> Source: U.S. Office of Personnel Management. (2015). Salary Table 2015-DCB. Retrieved March 19, 2015 from Pay &amp; Leave: Salaries &amp; Wages: www.opm.gov/policy-data-oversight/pay-leave/salaries-wages/salary-tables/15Tables/html/DCB_h.aspx.</w:t>
            </w:r>
          </w:p>
        </w:tc>
      </w:tr>
      <w:tr w:rsidR="004437AA" w:rsidRPr="00384416" w14:paraId="708DEB27" w14:textId="77777777" w:rsidTr="00396651">
        <w:trPr>
          <w:trHeight w:val="80"/>
        </w:trPr>
        <w:tc>
          <w:tcPr>
            <w:tcW w:w="9285" w:type="dxa"/>
            <w:gridSpan w:val="8"/>
            <w:tcBorders>
              <w:top w:val="nil"/>
              <w:left w:val="single" w:sz="8" w:space="0" w:color="auto"/>
              <w:bottom w:val="single" w:sz="8" w:space="0" w:color="auto"/>
              <w:right w:val="single" w:sz="8" w:space="0" w:color="000000"/>
            </w:tcBorders>
            <w:shd w:val="clear" w:color="auto" w:fill="auto"/>
            <w:vAlign w:val="center"/>
            <w:hideMark/>
          </w:tcPr>
          <w:p w14:paraId="455532E2" w14:textId="77777777" w:rsidR="004437AA" w:rsidRPr="00BE1C78" w:rsidRDefault="004437AA" w:rsidP="00396651">
            <w:pPr>
              <w:autoSpaceDE/>
              <w:autoSpaceDN/>
              <w:adjustRightInd/>
              <w:rPr>
                <w:color w:val="000000"/>
                <w:sz w:val="16"/>
                <w:szCs w:val="16"/>
              </w:rPr>
            </w:pPr>
            <w:r w:rsidRPr="00BE1C78">
              <w:rPr>
                <w:color w:val="000000"/>
                <w:sz w:val="16"/>
                <w:szCs w:val="16"/>
                <w:vertAlign w:val="superscript"/>
              </w:rPr>
              <w:t>b</w:t>
            </w:r>
            <w:r w:rsidRPr="00BE1C78">
              <w:rPr>
                <w:color w:val="000000"/>
                <w:sz w:val="16"/>
                <w:szCs w:val="16"/>
              </w:rPr>
              <w:t>The 60 percent fringes-and-overhead rate is from an EPA guide</w:t>
            </w:r>
            <w:r w:rsidRPr="00BE1C78">
              <w:rPr>
                <w:i/>
                <w:iCs/>
                <w:color w:val="000000"/>
                <w:sz w:val="16"/>
                <w:szCs w:val="16"/>
              </w:rPr>
              <w:t>, Instructions for Preparing ICRs</w:t>
            </w:r>
            <w:r w:rsidRPr="00BE1C78">
              <w:rPr>
                <w:color w:val="000000"/>
                <w:sz w:val="16"/>
                <w:szCs w:val="16"/>
              </w:rPr>
              <w:t xml:space="preserve"> (US EPA, 2009).</w:t>
            </w:r>
          </w:p>
        </w:tc>
      </w:tr>
    </w:tbl>
    <w:p w14:paraId="12FF73D0" w14:textId="77777777" w:rsidR="00D572E4" w:rsidRDefault="00D572E4" w:rsidP="00841B82">
      <w:pPr>
        <w:rPr>
          <w:b/>
          <w:bCs/>
          <w:sz w:val="24"/>
          <w:szCs w:val="24"/>
        </w:rPr>
      </w:pPr>
    </w:p>
    <w:p w14:paraId="6D0AA776" w14:textId="77777777" w:rsidR="00F05334" w:rsidRDefault="00674F94" w:rsidP="00FD609E">
      <w:pPr>
        <w:keepNext/>
        <w:autoSpaceDE/>
        <w:autoSpaceDN/>
        <w:adjustRightInd/>
        <w:ind w:firstLine="720"/>
        <w:rPr>
          <w:b/>
          <w:bCs/>
          <w:sz w:val="24"/>
          <w:szCs w:val="24"/>
        </w:rPr>
      </w:pPr>
      <w:r>
        <w:rPr>
          <w:b/>
          <w:bCs/>
          <w:sz w:val="24"/>
          <w:szCs w:val="24"/>
        </w:rPr>
        <w:t xml:space="preserve">6(d) </w:t>
      </w:r>
      <w:r>
        <w:rPr>
          <w:b/>
          <w:bCs/>
          <w:sz w:val="24"/>
          <w:szCs w:val="24"/>
        </w:rPr>
        <w:tab/>
        <w:t>Bottom Line Burden Hours and Costs</w:t>
      </w:r>
    </w:p>
    <w:p w14:paraId="62A066F4" w14:textId="77777777" w:rsidR="004437AA" w:rsidRDefault="004437AA" w:rsidP="004437AA">
      <w:pPr>
        <w:keepNext/>
        <w:autoSpaceDE/>
        <w:autoSpaceDN/>
        <w:adjustRightInd/>
        <w:rPr>
          <w:b/>
          <w:bCs/>
          <w:sz w:val="24"/>
          <w:szCs w:val="24"/>
        </w:rPr>
      </w:pPr>
    </w:p>
    <w:p w14:paraId="3E9A7EED" w14:textId="77777777" w:rsidR="004437AA" w:rsidRDefault="004437AA" w:rsidP="004437AA">
      <w:pPr>
        <w:keepNext/>
        <w:autoSpaceDE/>
        <w:autoSpaceDN/>
        <w:adjustRightInd/>
        <w:ind w:firstLine="720"/>
        <w:rPr>
          <w:bCs/>
          <w:sz w:val="24"/>
          <w:szCs w:val="24"/>
        </w:rPr>
      </w:pPr>
      <w:r w:rsidRPr="00BE1C78">
        <w:rPr>
          <w:bCs/>
          <w:sz w:val="24"/>
          <w:szCs w:val="24"/>
        </w:rPr>
        <w:t>Table 7 below summar</w:t>
      </w:r>
      <w:r>
        <w:rPr>
          <w:bCs/>
          <w:sz w:val="24"/>
          <w:szCs w:val="24"/>
        </w:rPr>
        <w:t>i</w:t>
      </w:r>
      <w:r w:rsidRPr="00BE1C78">
        <w:rPr>
          <w:bCs/>
          <w:sz w:val="24"/>
          <w:szCs w:val="24"/>
        </w:rPr>
        <w:t>zes the burden and costs estimates presented in previous sections.</w:t>
      </w:r>
    </w:p>
    <w:p w14:paraId="436AA9F5" w14:textId="77777777" w:rsidR="004437AA" w:rsidRDefault="004437AA" w:rsidP="004437AA">
      <w:pPr>
        <w:keepNext/>
        <w:autoSpaceDE/>
        <w:autoSpaceDN/>
        <w:adjustRightInd/>
        <w:rPr>
          <w:bCs/>
          <w:sz w:val="24"/>
          <w:szCs w:val="24"/>
        </w:rPr>
      </w:pPr>
    </w:p>
    <w:tbl>
      <w:tblPr>
        <w:tblW w:w="9380" w:type="dxa"/>
        <w:tblInd w:w="93" w:type="dxa"/>
        <w:tblLook w:val="04A0" w:firstRow="1" w:lastRow="0" w:firstColumn="1" w:lastColumn="0" w:noHBand="0" w:noVBand="1"/>
      </w:tblPr>
      <w:tblGrid>
        <w:gridCol w:w="3057"/>
        <w:gridCol w:w="1523"/>
        <w:gridCol w:w="1600"/>
        <w:gridCol w:w="1540"/>
        <w:gridCol w:w="1660"/>
      </w:tblGrid>
      <w:tr w:rsidR="004437AA" w:rsidRPr="0034253B" w14:paraId="71D281D9" w14:textId="77777777" w:rsidTr="00396651">
        <w:trPr>
          <w:trHeight w:val="323"/>
        </w:trPr>
        <w:tc>
          <w:tcPr>
            <w:tcW w:w="6180" w:type="dxa"/>
            <w:gridSpan w:val="3"/>
            <w:tcBorders>
              <w:top w:val="nil"/>
              <w:left w:val="nil"/>
              <w:bottom w:val="nil"/>
              <w:right w:val="nil"/>
            </w:tcBorders>
            <w:shd w:val="clear" w:color="auto" w:fill="auto"/>
            <w:noWrap/>
            <w:vAlign w:val="center"/>
            <w:hideMark/>
          </w:tcPr>
          <w:p w14:paraId="48040D3C" w14:textId="77777777" w:rsidR="004437AA" w:rsidRPr="0034253B" w:rsidRDefault="004437AA" w:rsidP="00396651">
            <w:pPr>
              <w:autoSpaceDE/>
              <w:autoSpaceDN/>
              <w:adjustRightInd/>
              <w:rPr>
                <w:b/>
                <w:bCs/>
                <w:color w:val="000000"/>
                <w:sz w:val="24"/>
                <w:szCs w:val="24"/>
              </w:rPr>
            </w:pPr>
            <w:r w:rsidRPr="0034253B">
              <w:rPr>
                <w:b/>
                <w:bCs/>
                <w:color w:val="000000"/>
                <w:sz w:val="24"/>
                <w:szCs w:val="24"/>
              </w:rPr>
              <w:t>Table 7. Bottom Line Annual Burden Hours and Costs</w:t>
            </w:r>
          </w:p>
        </w:tc>
        <w:tc>
          <w:tcPr>
            <w:tcW w:w="1540" w:type="dxa"/>
            <w:tcBorders>
              <w:top w:val="nil"/>
              <w:left w:val="nil"/>
              <w:bottom w:val="nil"/>
              <w:right w:val="nil"/>
            </w:tcBorders>
            <w:shd w:val="clear" w:color="auto" w:fill="auto"/>
            <w:noWrap/>
            <w:vAlign w:val="bottom"/>
            <w:hideMark/>
          </w:tcPr>
          <w:p w14:paraId="5E7C870B" w14:textId="77777777" w:rsidR="004437AA" w:rsidRPr="0034253B" w:rsidRDefault="004437AA" w:rsidP="00396651">
            <w:pPr>
              <w:autoSpaceDE/>
              <w:autoSpaceDN/>
              <w:adjustRightInd/>
              <w:rPr>
                <w:color w:val="000000"/>
                <w:sz w:val="22"/>
                <w:szCs w:val="22"/>
              </w:rPr>
            </w:pPr>
          </w:p>
        </w:tc>
        <w:tc>
          <w:tcPr>
            <w:tcW w:w="1660" w:type="dxa"/>
            <w:tcBorders>
              <w:top w:val="nil"/>
              <w:left w:val="nil"/>
              <w:bottom w:val="nil"/>
              <w:right w:val="nil"/>
            </w:tcBorders>
            <w:shd w:val="clear" w:color="auto" w:fill="auto"/>
            <w:noWrap/>
            <w:vAlign w:val="bottom"/>
            <w:hideMark/>
          </w:tcPr>
          <w:p w14:paraId="6A559F70" w14:textId="77777777" w:rsidR="004437AA" w:rsidRPr="0034253B" w:rsidRDefault="004437AA" w:rsidP="00396651">
            <w:pPr>
              <w:autoSpaceDE/>
              <w:autoSpaceDN/>
              <w:adjustRightInd/>
              <w:rPr>
                <w:color w:val="000000"/>
                <w:sz w:val="22"/>
                <w:szCs w:val="22"/>
              </w:rPr>
            </w:pPr>
          </w:p>
        </w:tc>
      </w:tr>
      <w:tr w:rsidR="004437AA" w:rsidRPr="0034253B" w14:paraId="4BA35CD0" w14:textId="77777777" w:rsidTr="004437AA">
        <w:trPr>
          <w:trHeight w:val="525"/>
        </w:trPr>
        <w:tc>
          <w:tcPr>
            <w:tcW w:w="30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CC4CD5" w14:textId="77777777" w:rsidR="004437AA" w:rsidRPr="0034253B" w:rsidRDefault="004437AA" w:rsidP="00396651">
            <w:pPr>
              <w:autoSpaceDE/>
              <w:autoSpaceDN/>
              <w:adjustRightInd/>
              <w:jc w:val="center"/>
              <w:rPr>
                <w:b/>
                <w:bCs/>
                <w:color w:val="000000"/>
              </w:rPr>
            </w:pPr>
            <w:r w:rsidRPr="0034253B">
              <w:rPr>
                <w:b/>
                <w:bCs/>
                <w:color w:val="000000"/>
              </w:rPr>
              <w:t>Activity</w:t>
            </w:r>
          </w:p>
        </w:tc>
        <w:tc>
          <w:tcPr>
            <w:tcW w:w="1523" w:type="dxa"/>
            <w:tcBorders>
              <w:top w:val="single" w:sz="8" w:space="0" w:color="auto"/>
              <w:left w:val="nil"/>
              <w:bottom w:val="single" w:sz="8" w:space="0" w:color="auto"/>
              <w:right w:val="single" w:sz="8" w:space="0" w:color="auto"/>
            </w:tcBorders>
            <w:shd w:val="clear" w:color="auto" w:fill="auto"/>
            <w:vAlign w:val="center"/>
            <w:hideMark/>
          </w:tcPr>
          <w:p w14:paraId="3FAC498A" w14:textId="77777777" w:rsidR="004437AA" w:rsidRPr="0034253B" w:rsidRDefault="004437AA" w:rsidP="00396651">
            <w:pPr>
              <w:autoSpaceDE/>
              <w:autoSpaceDN/>
              <w:adjustRightInd/>
              <w:jc w:val="center"/>
              <w:rPr>
                <w:b/>
                <w:bCs/>
                <w:color w:val="000000"/>
              </w:rPr>
            </w:pPr>
            <w:r w:rsidRPr="0034253B">
              <w:rPr>
                <w:b/>
                <w:bCs/>
                <w:color w:val="000000"/>
              </w:rPr>
              <w:t>Annual Responses</w:t>
            </w:r>
          </w:p>
        </w:tc>
        <w:tc>
          <w:tcPr>
            <w:tcW w:w="1600" w:type="dxa"/>
            <w:tcBorders>
              <w:top w:val="single" w:sz="8" w:space="0" w:color="auto"/>
              <w:left w:val="nil"/>
              <w:bottom w:val="single" w:sz="8" w:space="0" w:color="auto"/>
              <w:right w:val="single" w:sz="8" w:space="0" w:color="auto"/>
            </w:tcBorders>
            <w:shd w:val="clear" w:color="auto" w:fill="auto"/>
            <w:vAlign w:val="center"/>
            <w:hideMark/>
          </w:tcPr>
          <w:p w14:paraId="4F8E1BE2" w14:textId="77777777" w:rsidR="004437AA" w:rsidRPr="0034253B" w:rsidRDefault="004437AA" w:rsidP="00396651">
            <w:pPr>
              <w:autoSpaceDE/>
              <w:autoSpaceDN/>
              <w:adjustRightInd/>
              <w:jc w:val="center"/>
              <w:rPr>
                <w:b/>
                <w:bCs/>
                <w:color w:val="000000"/>
              </w:rPr>
            </w:pPr>
            <w:r w:rsidRPr="0034253B">
              <w:rPr>
                <w:b/>
                <w:bCs/>
                <w:color w:val="000000"/>
              </w:rPr>
              <w:t>Respondents</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14:paraId="19D08465" w14:textId="77777777" w:rsidR="004437AA" w:rsidRPr="0034253B" w:rsidRDefault="004437AA" w:rsidP="00396651">
            <w:pPr>
              <w:autoSpaceDE/>
              <w:autoSpaceDN/>
              <w:adjustRightInd/>
              <w:jc w:val="center"/>
              <w:rPr>
                <w:b/>
                <w:bCs/>
                <w:color w:val="000000"/>
              </w:rPr>
            </w:pPr>
            <w:r w:rsidRPr="0034253B">
              <w:rPr>
                <w:b/>
                <w:bCs/>
                <w:color w:val="000000"/>
              </w:rPr>
              <w:t>Annual Burden</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14:paraId="6F73E19E" w14:textId="77777777" w:rsidR="004437AA" w:rsidRPr="0034253B" w:rsidRDefault="004437AA" w:rsidP="00396651">
            <w:pPr>
              <w:autoSpaceDE/>
              <w:autoSpaceDN/>
              <w:adjustRightInd/>
              <w:jc w:val="center"/>
              <w:rPr>
                <w:b/>
                <w:bCs/>
                <w:color w:val="000000"/>
              </w:rPr>
            </w:pPr>
            <w:r w:rsidRPr="0034253B">
              <w:rPr>
                <w:b/>
                <w:bCs/>
                <w:color w:val="000000"/>
              </w:rPr>
              <w:t>Annual Cost</w:t>
            </w:r>
          </w:p>
        </w:tc>
      </w:tr>
      <w:tr w:rsidR="004437AA" w:rsidRPr="0034253B" w14:paraId="2723B5C7" w14:textId="77777777" w:rsidTr="00396651">
        <w:trPr>
          <w:trHeight w:val="315"/>
        </w:trPr>
        <w:tc>
          <w:tcPr>
            <w:tcW w:w="93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552C7F7D" w14:textId="77777777" w:rsidR="004437AA" w:rsidRPr="0034253B" w:rsidRDefault="004437AA" w:rsidP="00396651">
            <w:pPr>
              <w:autoSpaceDE/>
              <w:autoSpaceDN/>
              <w:adjustRightInd/>
              <w:rPr>
                <w:b/>
                <w:bCs/>
                <w:color w:val="000000"/>
              </w:rPr>
            </w:pPr>
            <w:r w:rsidRPr="0034253B">
              <w:rPr>
                <w:b/>
                <w:bCs/>
                <w:color w:val="000000"/>
              </w:rPr>
              <w:t>INDUSTRY</w:t>
            </w:r>
          </w:p>
        </w:tc>
      </w:tr>
      <w:tr w:rsidR="004437AA" w:rsidRPr="0034253B" w14:paraId="4DE08B29" w14:textId="77777777" w:rsidTr="004437AA">
        <w:trPr>
          <w:trHeight w:val="300"/>
        </w:trPr>
        <w:tc>
          <w:tcPr>
            <w:tcW w:w="3057" w:type="dxa"/>
            <w:tcBorders>
              <w:top w:val="nil"/>
              <w:left w:val="single" w:sz="8" w:space="0" w:color="auto"/>
              <w:bottom w:val="single" w:sz="4" w:space="0" w:color="auto"/>
              <w:right w:val="single" w:sz="4" w:space="0" w:color="auto"/>
            </w:tcBorders>
            <w:shd w:val="clear" w:color="auto" w:fill="auto"/>
            <w:vAlign w:val="center"/>
            <w:hideMark/>
          </w:tcPr>
          <w:p w14:paraId="20016531" w14:textId="6E070773" w:rsidR="004437AA" w:rsidRPr="0034253B" w:rsidRDefault="004437AA" w:rsidP="00396651">
            <w:pPr>
              <w:autoSpaceDE/>
              <w:autoSpaceDN/>
              <w:adjustRightInd/>
              <w:rPr>
                <w:i/>
                <w:iCs/>
                <w:color w:val="000000"/>
              </w:rPr>
            </w:pPr>
            <w:r w:rsidRPr="0034253B">
              <w:rPr>
                <w:i/>
                <w:iCs/>
                <w:color w:val="000000"/>
              </w:rPr>
              <w:t>Section 8(e) Initial and Follow</w:t>
            </w:r>
            <w:r>
              <w:rPr>
                <w:i/>
                <w:iCs/>
                <w:color w:val="000000"/>
              </w:rPr>
              <w:t>-</w:t>
            </w:r>
            <w:r w:rsidRPr="0034253B">
              <w:rPr>
                <w:i/>
                <w:iCs/>
                <w:color w:val="000000"/>
              </w:rPr>
              <w:t>up</w:t>
            </w:r>
          </w:p>
        </w:tc>
        <w:tc>
          <w:tcPr>
            <w:tcW w:w="1523" w:type="dxa"/>
            <w:tcBorders>
              <w:top w:val="nil"/>
              <w:left w:val="nil"/>
              <w:bottom w:val="single" w:sz="4" w:space="0" w:color="auto"/>
              <w:right w:val="single" w:sz="4" w:space="0" w:color="auto"/>
            </w:tcBorders>
            <w:shd w:val="clear" w:color="auto" w:fill="auto"/>
            <w:vAlign w:val="center"/>
            <w:hideMark/>
          </w:tcPr>
          <w:p w14:paraId="7093D0BB" w14:textId="77777777" w:rsidR="004437AA" w:rsidRPr="0034253B" w:rsidRDefault="004437AA" w:rsidP="00396651">
            <w:pPr>
              <w:autoSpaceDE/>
              <w:autoSpaceDN/>
              <w:adjustRightInd/>
              <w:jc w:val="center"/>
              <w:rPr>
                <w:i/>
                <w:iCs/>
                <w:color w:val="000000"/>
              </w:rPr>
            </w:pPr>
            <w:r w:rsidRPr="0034253B">
              <w:rPr>
                <w:i/>
                <w:iCs/>
                <w:color w:val="000000"/>
              </w:rPr>
              <w:t>494</w:t>
            </w:r>
          </w:p>
        </w:tc>
        <w:tc>
          <w:tcPr>
            <w:tcW w:w="1600" w:type="dxa"/>
            <w:tcBorders>
              <w:top w:val="nil"/>
              <w:left w:val="nil"/>
              <w:bottom w:val="single" w:sz="4" w:space="0" w:color="auto"/>
              <w:right w:val="single" w:sz="4" w:space="0" w:color="auto"/>
            </w:tcBorders>
            <w:shd w:val="clear" w:color="auto" w:fill="auto"/>
            <w:vAlign w:val="center"/>
            <w:hideMark/>
          </w:tcPr>
          <w:p w14:paraId="71BB7E28" w14:textId="77777777" w:rsidR="004437AA" w:rsidRPr="0034253B" w:rsidRDefault="004437AA" w:rsidP="00396651">
            <w:pPr>
              <w:autoSpaceDE/>
              <w:autoSpaceDN/>
              <w:adjustRightInd/>
              <w:jc w:val="center"/>
              <w:rPr>
                <w:i/>
                <w:iCs/>
                <w:color w:val="000000"/>
              </w:rPr>
            </w:pPr>
            <w:r w:rsidRPr="0034253B">
              <w:rPr>
                <w:i/>
                <w:iCs/>
                <w:color w:val="000000"/>
              </w:rPr>
              <w:t>59</w:t>
            </w:r>
          </w:p>
        </w:tc>
        <w:tc>
          <w:tcPr>
            <w:tcW w:w="1540" w:type="dxa"/>
            <w:tcBorders>
              <w:top w:val="nil"/>
              <w:left w:val="nil"/>
              <w:bottom w:val="single" w:sz="4" w:space="0" w:color="auto"/>
              <w:right w:val="single" w:sz="4" w:space="0" w:color="auto"/>
            </w:tcBorders>
            <w:shd w:val="clear" w:color="auto" w:fill="auto"/>
            <w:vAlign w:val="center"/>
            <w:hideMark/>
          </w:tcPr>
          <w:p w14:paraId="40E3B7D9" w14:textId="77777777" w:rsidR="004437AA" w:rsidRPr="0034253B" w:rsidRDefault="004437AA" w:rsidP="00396651">
            <w:pPr>
              <w:autoSpaceDE/>
              <w:autoSpaceDN/>
              <w:adjustRightInd/>
              <w:jc w:val="right"/>
              <w:rPr>
                <w:i/>
                <w:iCs/>
                <w:color w:val="000000"/>
              </w:rPr>
            </w:pPr>
            <w:r w:rsidRPr="0034253B">
              <w:rPr>
                <w:i/>
                <w:iCs/>
                <w:color w:val="000000"/>
              </w:rPr>
              <w:t>20,789</w:t>
            </w:r>
          </w:p>
        </w:tc>
        <w:tc>
          <w:tcPr>
            <w:tcW w:w="1660" w:type="dxa"/>
            <w:tcBorders>
              <w:top w:val="nil"/>
              <w:left w:val="nil"/>
              <w:bottom w:val="single" w:sz="4" w:space="0" w:color="auto"/>
              <w:right w:val="single" w:sz="8" w:space="0" w:color="auto"/>
            </w:tcBorders>
            <w:shd w:val="clear" w:color="000000" w:fill="FFFFFF"/>
            <w:vAlign w:val="center"/>
            <w:hideMark/>
          </w:tcPr>
          <w:p w14:paraId="7B10C849" w14:textId="77777777" w:rsidR="004437AA" w:rsidRPr="0034253B" w:rsidRDefault="004437AA" w:rsidP="00396651">
            <w:pPr>
              <w:autoSpaceDE/>
              <w:autoSpaceDN/>
              <w:adjustRightInd/>
              <w:jc w:val="right"/>
              <w:rPr>
                <w:i/>
                <w:iCs/>
                <w:color w:val="000000"/>
              </w:rPr>
            </w:pPr>
            <w:r w:rsidRPr="0034253B">
              <w:rPr>
                <w:i/>
                <w:iCs/>
                <w:color w:val="000000"/>
              </w:rPr>
              <w:t xml:space="preserve">$1,602,120 </w:t>
            </w:r>
          </w:p>
        </w:tc>
      </w:tr>
      <w:tr w:rsidR="004437AA" w:rsidRPr="0034253B" w14:paraId="1215EC2C" w14:textId="77777777" w:rsidTr="004437AA">
        <w:trPr>
          <w:trHeight w:val="300"/>
        </w:trPr>
        <w:tc>
          <w:tcPr>
            <w:tcW w:w="3057" w:type="dxa"/>
            <w:tcBorders>
              <w:top w:val="nil"/>
              <w:left w:val="single" w:sz="8" w:space="0" w:color="auto"/>
              <w:bottom w:val="single" w:sz="4" w:space="0" w:color="auto"/>
              <w:right w:val="single" w:sz="4" w:space="0" w:color="auto"/>
            </w:tcBorders>
            <w:shd w:val="clear" w:color="auto" w:fill="auto"/>
            <w:vAlign w:val="center"/>
            <w:hideMark/>
          </w:tcPr>
          <w:p w14:paraId="3A477A70" w14:textId="1EB5C9C1" w:rsidR="004437AA" w:rsidRPr="0034253B" w:rsidRDefault="004437AA" w:rsidP="00396651">
            <w:pPr>
              <w:autoSpaceDE/>
              <w:autoSpaceDN/>
              <w:adjustRightInd/>
              <w:rPr>
                <w:i/>
                <w:iCs/>
                <w:color w:val="000000"/>
              </w:rPr>
            </w:pPr>
            <w:r w:rsidRPr="0034253B">
              <w:rPr>
                <w:i/>
                <w:iCs/>
                <w:color w:val="000000"/>
              </w:rPr>
              <w:t>FYI Initial and Follow</w:t>
            </w:r>
            <w:r>
              <w:rPr>
                <w:i/>
                <w:iCs/>
                <w:color w:val="000000"/>
              </w:rPr>
              <w:t>-</w:t>
            </w:r>
            <w:r w:rsidRPr="0034253B">
              <w:rPr>
                <w:i/>
                <w:iCs/>
                <w:color w:val="000000"/>
              </w:rPr>
              <w:t>up</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0ECA8" w14:textId="77777777" w:rsidR="004437AA" w:rsidRPr="0034253B" w:rsidRDefault="004437AA" w:rsidP="00396651">
            <w:pPr>
              <w:autoSpaceDE/>
              <w:autoSpaceDN/>
              <w:adjustRightInd/>
              <w:jc w:val="center"/>
              <w:rPr>
                <w:i/>
                <w:iCs/>
                <w:color w:val="000000"/>
              </w:rPr>
            </w:pPr>
            <w:r w:rsidRPr="0034253B">
              <w:rPr>
                <w:i/>
                <w:iCs/>
                <w:color w:val="000000"/>
              </w:rPr>
              <w:t>13</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66F3DE4B" w14:textId="77777777" w:rsidR="004437AA" w:rsidRPr="0034253B" w:rsidRDefault="004437AA" w:rsidP="00396651">
            <w:pPr>
              <w:autoSpaceDE/>
              <w:autoSpaceDN/>
              <w:adjustRightInd/>
              <w:jc w:val="center"/>
              <w:rPr>
                <w:i/>
                <w:iCs/>
                <w:color w:val="000000"/>
              </w:rPr>
            </w:pPr>
            <w:r w:rsidRPr="0034253B">
              <w:rPr>
                <w:i/>
                <w:iCs/>
                <w:color w:val="000000"/>
              </w:rPr>
              <w:t>9</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34A3C75A" w14:textId="77777777" w:rsidR="004437AA" w:rsidRPr="0034253B" w:rsidRDefault="004437AA" w:rsidP="00396651">
            <w:pPr>
              <w:autoSpaceDE/>
              <w:autoSpaceDN/>
              <w:adjustRightInd/>
              <w:jc w:val="right"/>
              <w:rPr>
                <w:i/>
                <w:iCs/>
                <w:color w:val="000000"/>
              </w:rPr>
            </w:pPr>
            <w:r w:rsidRPr="0034253B">
              <w:rPr>
                <w:i/>
                <w:iCs/>
                <w:color w:val="000000"/>
              </w:rPr>
              <w:t>588</w:t>
            </w:r>
          </w:p>
        </w:tc>
        <w:tc>
          <w:tcPr>
            <w:tcW w:w="1660" w:type="dxa"/>
            <w:tcBorders>
              <w:top w:val="nil"/>
              <w:left w:val="single" w:sz="4" w:space="0" w:color="auto"/>
              <w:bottom w:val="single" w:sz="4" w:space="0" w:color="auto"/>
              <w:right w:val="single" w:sz="8" w:space="0" w:color="auto"/>
            </w:tcBorders>
            <w:shd w:val="clear" w:color="000000" w:fill="FFFFFF"/>
            <w:vAlign w:val="center"/>
            <w:hideMark/>
          </w:tcPr>
          <w:p w14:paraId="0A2394F3" w14:textId="77777777" w:rsidR="004437AA" w:rsidRPr="0034253B" w:rsidRDefault="004437AA" w:rsidP="00396651">
            <w:pPr>
              <w:autoSpaceDE/>
              <w:autoSpaceDN/>
              <w:adjustRightInd/>
              <w:jc w:val="right"/>
              <w:rPr>
                <w:i/>
                <w:iCs/>
                <w:color w:val="000000"/>
              </w:rPr>
            </w:pPr>
            <w:r w:rsidRPr="0034253B">
              <w:rPr>
                <w:i/>
                <w:iCs/>
                <w:color w:val="000000"/>
              </w:rPr>
              <w:t xml:space="preserve">$45,320 </w:t>
            </w:r>
          </w:p>
        </w:tc>
      </w:tr>
      <w:tr w:rsidR="004437AA" w:rsidRPr="0034253B" w14:paraId="20EC39A4" w14:textId="77777777" w:rsidTr="004437AA">
        <w:trPr>
          <w:trHeight w:val="525"/>
        </w:trPr>
        <w:tc>
          <w:tcPr>
            <w:tcW w:w="3057" w:type="dxa"/>
            <w:tcBorders>
              <w:top w:val="nil"/>
              <w:left w:val="single" w:sz="8" w:space="0" w:color="auto"/>
              <w:bottom w:val="nil"/>
              <w:right w:val="single" w:sz="4" w:space="0" w:color="auto"/>
            </w:tcBorders>
            <w:shd w:val="clear" w:color="auto" w:fill="auto"/>
            <w:vAlign w:val="center"/>
            <w:hideMark/>
          </w:tcPr>
          <w:p w14:paraId="6E1208CE" w14:textId="77777777" w:rsidR="004437AA" w:rsidRPr="0034253B" w:rsidRDefault="004437AA" w:rsidP="00396651">
            <w:pPr>
              <w:autoSpaceDE/>
              <w:autoSpaceDN/>
              <w:adjustRightInd/>
              <w:rPr>
                <w:i/>
                <w:iCs/>
                <w:color w:val="000000"/>
              </w:rPr>
            </w:pPr>
            <w:r w:rsidRPr="0034253B">
              <w:rPr>
                <w:i/>
                <w:iCs/>
                <w:color w:val="000000"/>
              </w:rPr>
              <w:t>CDX Registration and e-Signature</w:t>
            </w:r>
          </w:p>
        </w:tc>
        <w:tc>
          <w:tcPr>
            <w:tcW w:w="1523" w:type="dxa"/>
            <w:tcBorders>
              <w:top w:val="single" w:sz="4" w:space="0" w:color="auto"/>
              <w:left w:val="nil"/>
              <w:bottom w:val="nil"/>
              <w:right w:val="single" w:sz="4" w:space="0" w:color="auto"/>
            </w:tcBorders>
            <w:shd w:val="clear" w:color="auto" w:fill="auto"/>
            <w:vAlign w:val="center"/>
            <w:hideMark/>
          </w:tcPr>
          <w:p w14:paraId="44E8C936" w14:textId="77777777" w:rsidR="004437AA" w:rsidRPr="0034253B" w:rsidRDefault="004437AA" w:rsidP="00396651">
            <w:pPr>
              <w:autoSpaceDE/>
              <w:autoSpaceDN/>
              <w:adjustRightInd/>
              <w:jc w:val="center"/>
              <w:rPr>
                <w:i/>
                <w:iCs/>
                <w:color w:val="000000"/>
              </w:rPr>
            </w:pPr>
            <w:r w:rsidRPr="0034253B">
              <w:rPr>
                <w:i/>
                <w:iCs/>
                <w:color w:val="000000"/>
              </w:rPr>
              <w:t>65</w:t>
            </w:r>
          </w:p>
        </w:tc>
        <w:tc>
          <w:tcPr>
            <w:tcW w:w="1600" w:type="dxa"/>
            <w:tcBorders>
              <w:top w:val="single" w:sz="4" w:space="0" w:color="auto"/>
              <w:left w:val="nil"/>
              <w:bottom w:val="nil"/>
              <w:right w:val="single" w:sz="4" w:space="0" w:color="auto"/>
            </w:tcBorders>
            <w:shd w:val="clear" w:color="auto" w:fill="auto"/>
            <w:vAlign w:val="center"/>
            <w:hideMark/>
          </w:tcPr>
          <w:p w14:paraId="317BF88E" w14:textId="77777777" w:rsidR="004437AA" w:rsidRPr="0034253B" w:rsidRDefault="004437AA" w:rsidP="00396651">
            <w:pPr>
              <w:autoSpaceDE/>
              <w:autoSpaceDN/>
              <w:adjustRightInd/>
              <w:jc w:val="center"/>
              <w:rPr>
                <w:i/>
                <w:iCs/>
                <w:color w:val="000000"/>
              </w:rPr>
            </w:pPr>
            <w:r w:rsidRPr="0034253B">
              <w:rPr>
                <w:i/>
                <w:iCs/>
                <w:color w:val="000000"/>
              </w:rPr>
              <w:t>65</w:t>
            </w:r>
          </w:p>
        </w:tc>
        <w:tc>
          <w:tcPr>
            <w:tcW w:w="1540" w:type="dxa"/>
            <w:tcBorders>
              <w:top w:val="single" w:sz="4" w:space="0" w:color="auto"/>
              <w:left w:val="nil"/>
              <w:bottom w:val="nil"/>
              <w:right w:val="single" w:sz="4" w:space="0" w:color="auto"/>
            </w:tcBorders>
            <w:shd w:val="clear" w:color="auto" w:fill="auto"/>
            <w:vAlign w:val="center"/>
            <w:hideMark/>
          </w:tcPr>
          <w:p w14:paraId="7BFB348D" w14:textId="77777777" w:rsidR="004437AA" w:rsidRPr="0034253B" w:rsidRDefault="004437AA" w:rsidP="00396651">
            <w:pPr>
              <w:autoSpaceDE/>
              <w:autoSpaceDN/>
              <w:adjustRightInd/>
              <w:jc w:val="right"/>
              <w:rPr>
                <w:i/>
                <w:iCs/>
                <w:color w:val="000000"/>
              </w:rPr>
            </w:pPr>
            <w:r w:rsidRPr="0034253B">
              <w:rPr>
                <w:i/>
                <w:iCs/>
                <w:color w:val="000000"/>
              </w:rPr>
              <w:t>35</w:t>
            </w:r>
          </w:p>
        </w:tc>
        <w:tc>
          <w:tcPr>
            <w:tcW w:w="1660" w:type="dxa"/>
            <w:tcBorders>
              <w:top w:val="nil"/>
              <w:left w:val="nil"/>
              <w:bottom w:val="nil"/>
              <w:right w:val="single" w:sz="8" w:space="0" w:color="auto"/>
            </w:tcBorders>
            <w:shd w:val="clear" w:color="000000" w:fill="FFFFFF"/>
            <w:vAlign w:val="center"/>
            <w:hideMark/>
          </w:tcPr>
          <w:p w14:paraId="6F1C04AC" w14:textId="77777777" w:rsidR="004437AA" w:rsidRPr="0034253B" w:rsidRDefault="004437AA" w:rsidP="00396651">
            <w:pPr>
              <w:autoSpaceDE/>
              <w:autoSpaceDN/>
              <w:adjustRightInd/>
              <w:jc w:val="right"/>
              <w:rPr>
                <w:i/>
                <w:iCs/>
                <w:color w:val="000000"/>
              </w:rPr>
            </w:pPr>
            <w:r w:rsidRPr="0034253B">
              <w:rPr>
                <w:i/>
                <w:iCs/>
                <w:color w:val="000000"/>
              </w:rPr>
              <w:t xml:space="preserve">$2,627 </w:t>
            </w:r>
          </w:p>
        </w:tc>
      </w:tr>
      <w:tr w:rsidR="004437AA" w:rsidRPr="0034253B" w14:paraId="1D47842E" w14:textId="77777777" w:rsidTr="004437AA">
        <w:trPr>
          <w:trHeight w:val="315"/>
        </w:trPr>
        <w:tc>
          <w:tcPr>
            <w:tcW w:w="3057"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16C057F" w14:textId="77777777" w:rsidR="004437AA" w:rsidRPr="0034253B" w:rsidRDefault="004437AA" w:rsidP="00396651">
            <w:pPr>
              <w:autoSpaceDE/>
              <w:autoSpaceDN/>
              <w:adjustRightInd/>
              <w:rPr>
                <w:b/>
                <w:bCs/>
                <w:color w:val="000000"/>
              </w:rPr>
            </w:pPr>
            <w:r w:rsidRPr="0034253B">
              <w:rPr>
                <w:b/>
                <w:bCs/>
                <w:color w:val="000000"/>
              </w:rPr>
              <w:t xml:space="preserve">   INDUSTRY TOTAL</w:t>
            </w:r>
          </w:p>
        </w:tc>
        <w:tc>
          <w:tcPr>
            <w:tcW w:w="1523" w:type="dxa"/>
            <w:tcBorders>
              <w:top w:val="single" w:sz="8" w:space="0" w:color="auto"/>
              <w:left w:val="nil"/>
              <w:bottom w:val="single" w:sz="8" w:space="0" w:color="auto"/>
              <w:right w:val="single" w:sz="4" w:space="0" w:color="auto"/>
            </w:tcBorders>
            <w:shd w:val="clear" w:color="000000" w:fill="FFFFFF"/>
            <w:vAlign w:val="center"/>
            <w:hideMark/>
          </w:tcPr>
          <w:p w14:paraId="481BA676" w14:textId="77777777" w:rsidR="004437AA" w:rsidRPr="0034253B" w:rsidRDefault="004437AA" w:rsidP="00396651">
            <w:pPr>
              <w:autoSpaceDE/>
              <w:autoSpaceDN/>
              <w:adjustRightInd/>
              <w:jc w:val="center"/>
              <w:rPr>
                <w:b/>
                <w:bCs/>
                <w:color w:val="000000"/>
              </w:rPr>
            </w:pPr>
            <w:r w:rsidRPr="0034253B">
              <w:rPr>
                <w:b/>
                <w:bCs/>
                <w:color w:val="000000"/>
              </w:rPr>
              <w:t>572</w:t>
            </w:r>
          </w:p>
        </w:tc>
        <w:tc>
          <w:tcPr>
            <w:tcW w:w="1600" w:type="dxa"/>
            <w:tcBorders>
              <w:top w:val="single" w:sz="8" w:space="0" w:color="auto"/>
              <w:left w:val="nil"/>
              <w:bottom w:val="single" w:sz="8" w:space="0" w:color="auto"/>
              <w:right w:val="single" w:sz="4" w:space="0" w:color="auto"/>
            </w:tcBorders>
            <w:shd w:val="clear" w:color="000000" w:fill="FFFFFF"/>
            <w:vAlign w:val="center"/>
            <w:hideMark/>
          </w:tcPr>
          <w:p w14:paraId="67CDE816" w14:textId="77777777" w:rsidR="004437AA" w:rsidRPr="0034253B" w:rsidRDefault="004437AA" w:rsidP="00396651">
            <w:pPr>
              <w:autoSpaceDE/>
              <w:autoSpaceDN/>
              <w:adjustRightInd/>
              <w:jc w:val="center"/>
              <w:rPr>
                <w:b/>
                <w:bCs/>
                <w:color w:val="000000"/>
              </w:rPr>
            </w:pPr>
            <w:r w:rsidRPr="0034253B">
              <w:rPr>
                <w:b/>
                <w:bCs/>
                <w:color w:val="000000"/>
              </w:rPr>
              <w:t>6</w:t>
            </w:r>
            <w:r>
              <w:rPr>
                <w:b/>
                <w:bCs/>
                <w:color w:val="000000"/>
              </w:rPr>
              <w:t>5</w:t>
            </w:r>
          </w:p>
        </w:tc>
        <w:tc>
          <w:tcPr>
            <w:tcW w:w="1540" w:type="dxa"/>
            <w:tcBorders>
              <w:top w:val="single" w:sz="8" w:space="0" w:color="auto"/>
              <w:left w:val="nil"/>
              <w:bottom w:val="single" w:sz="8" w:space="0" w:color="auto"/>
              <w:right w:val="single" w:sz="4" w:space="0" w:color="auto"/>
            </w:tcBorders>
            <w:shd w:val="clear" w:color="000000" w:fill="FFFFFF"/>
            <w:vAlign w:val="center"/>
            <w:hideMark/>
          </w:tcPr>
          <w:p w14:paraId="614D916C" w14:textId="77777777" w:rsidR="004437AA" w:rsidRPr="0034253B" w:rsidRDefault="004437AA" w:rsidP="00396651">
            <w:pPr>
              <w:autoSpaceDE/>
              <w:autoSpaceDN/>
              <w:adjustRightInd/>
              <w:jc w:val="right"/>
              <w:rPr>
                <w:b/>
                <w:bCs/>
                <w:color w:val="000000"/>
              </w:rPr>
            </w:pPr>
            <w:r w:rsidRPr="0034253B">
              <w:rPr>
                <w:b/>
                <w:bCs/>
                <w:color w:val="000000"/>
              </w:rPr>
              <w:t>21,412</w:t>
            </w:r>
          </w:p>
        </w:tc>
        <w:tc>
          <w:tcPr>
            <w:tcW w:w="1660" w:type="dxa"/>
            <w:tcBorders>
              <w:top w:val="single" w:sz="8" w:space="0" w:color="auto"/>
              <w:left w:val="nil"/>
              <w:bottom w:val="single" w:sz="8" w:space="0" w:color="auto"/>
              <w:right w:val="single" w:sz="8" w:space="0" w:color="auto"/>
            </w:tcBorders>
            <w:shd w:val="clear" w:color="000000" w:fill="FFFFFF"/>
            <w:vAlign w:val="center"/>
            <w:hideMark/>
          </w:tcPr>
          <w:p w14:paraId="77D0B89E" w14:textId="77777777" w:rsidR="004437AA" w:rsidRPr="0034253B" w:rsidRDefault="004437AA" w:rsidP="00396651">
            <w:pPr>
              <w:autoSpaceDE/>
              <w:autoSpaceDN/>
              <w:adjustRightInd/>
              <w:jc w:val="right"/>
              <w:rPr>
                <w:b/>
                <w:bCs/>
                <w:color w:val="000000"/>
              </w:rPr>
            </w:pPr>
            <w:r w:rsidRPr="0034253B">
              <w:rPr>
                <w:b/>
                <w:bCs/>
                <w:color w:val="000000"/>
              </w:rPr>
              <w:t>$1,650,068</w:t>
            </w:r>
          </w:p>
        </w:tc>
      </w:tr>
      <w:tr w:rsidR="004437AA" w:rsidRPr="0034253B" w14:paraId="214B48DE" w14:textId="77777777" w:rsidTr="00396651">
        <w:trPr>
          <w:trHeight w:val="315"/>
        </w:trPr>
        <w:tc>
          <w:tcPr>
            <w:tcW w:w="93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5BA69913" w14:textId="77777777" w:rsidR="004437AA" w:rsidRPr="0034253B" w:rsidRDefault="004437AA" w:rsidP="00396651">
            <w:pPr>
              <w:autoSpaceDE/>
              <w:autoSpaceDN/>
              <w:adjustRightInd/>
              <w:rPr>
                <w:b/>
                <w:bCs/>
                <w:color w:val="000000"/>
              </w:rPr>
            </w:pPr>
            <w:r w:rsidRPr="0034253B">
              <w:rPr>
                <w:b/>
                <w:bCs/>
                <w:color w:val="000000"/>
              </w:rPr>
              <w:t> </w:t>
            </w:r>
          </w:p>
        </w:tc>
      </w:tr>
      <w:tr w:rsidR="004437AA" w:rsidRPr="0034253B" w14:paraId="7A64AC1D" w14:textId="77777777" w:rsidTr="004437AA">
        <w:trPr>
          <w:trHeight w:val="315"/>
        </w:trPr>
        <w:tc>
          <w:tcPr>
            <w:tcW w:w="3057" w:type="dxa"/>
            <w:tcBorders>
              <w:top w:val="nil"/>
              <w:left w:val="single" w:sz="8" w:space="0" w:color="auto"/>
              <w:bottom w:val="single" w:sz="8" w:space="0" w:color="auto"/>
              <w:right w:val="single" w:sz="4" w:space="0" w:color="auto"/>
            </w:tcBorders>
            <w:shd w:val="clear" w:color="auto" w:fill="auto"/>
            <w:vAlign w:val="center"/>
            <w:hideMark/>
          </w:tcPr>
          <w:p w14:paraId="603733C1" w14:textId="77777777" w:rsidR="004437AA" w:rsidRPr="0034253B" w:rsidRDefault="004437AA" w:rsidP="00396651">
            <w:pPr>
              <w:autoSpaceDE/>
              <w:autoSpaceDN/>
              <w:adjustRightInd/>
              <w:rPr>
                <w:b/>
                <w:bCs/>
                <w:color w:val="000000"/>
              </w:rPr>
            </w:pPr>
            <w:r w:rsidRPr="0034253B">
              <w:rPr>
                <w:b/>
                <w:bCs/>
                <w:color w:val="000000"/>
              </w:rPr>
              <w:t xml:space="preserve">  AGENCY TOTAL</w:t>
            </w:r>
          </w:p>
        </w:tc>
        <w:tc>
          <w:tcPr>
            <w:tcW w:w="1523" w:type="dxa"/>
            <w:tcBorders>
              <w:top w:val="nil"/>
              <w:left w:val="nil"/>
              <w:bottom w:val="single" w:sz="8" w:space="0" w:color="auto"/>
              <w:right w:val="single" w:sz="4" w:space="0" w:color="auto"/>
            </w:tcBorders>
            <w:shd w:val="clear" w:color="auto" w:fill="auto"/>
            <w:vAlign w:val="center"/>
            <w:hideMark/>
          </w:tcPr>
          <w:p w14:paraId="40C95B6A" w14:textId="77777777" w:rsidR="004437AA" w:rsidRPr="0034253B" w:rsidRDefault="004437AA" w:rsidP="00396651">
            <w:pPr>
              <w:autoSpaceDE/>
              <w:autoSpaceDN/>
              <w:adjustRightInd/>
              <w:jc w:val="center"/>
              <w:rPr>
                <w:b/>
                <w:bCs/>
                <w:color w:val="000000"/>
              </w:rPr>
            </w:pPr>
            <w:r w:rsidRPr="0034253B">
              <w:rPr>
                <w:b/>
                <w:bCs/>
                <w:color w:val="000000"/>
              </w:rPr>
              <w:t>N/A</w:t>
            </w:r>
          </w:p>
        </w:tc>
        <w:tc>
          <w:tcPr>
            <w:tcW w:w="1600" w:type="dxa"/>
            <w:tcBorders>
              <w:top w:val="nil"/>
              <w:left w:val="nil"/>
              <w:bottom w:val="single" w:sz="8" w:space="0" w:color="auto"/>
              <w:right w:val="single" w:sz="4" w:space="0" w:color="auto"/>
            </w:tcBorders>
            <w:shd w:val="clear" w:color="auto" w:fill="auto"/>
            <w:vAlign w:val="center"/>
            <w:hideMark/>
          </w:tcPr>
          <w:p w14:paraId="07C4C55B" w14:textId="77777777" w:rsidR="004437AA" w:rsidRPr="0034253B" w:rsidRDefault="004437AA" w:rsidP="00396651">
            <w:pPr>
              <w:autoSpaceDE/>
              <w:autoSpaceDN/>
              <w:adjustRightInd/>
              <w:jc w:val="center"/>
              <w:rPr>
                <w:b/>
                <w:bCs/>
                <w:color w:val="000000"/>
              </w:rPr>
            </w:pPr>
            <w:r w:rsidRPr="0034253B">
              <w:rPr>
                <w:b/>
                <w:bCs/>
                <w:color w:val="000000"/>
              </w:rPr>
              <w:t>N/A</w:t>
            </w:r>
          </w:p>
        </w:tc>
        <w:tc>
          <w:tcPr>
            <w:tcW w:w="1540" w:type="dxa"/>
            <w:tcBorders>
              <w:top w:val="nil"/>
              <w:left w:val="nil"/>
              <w:bottom w:val="single" w:sz="8" w:space="0" w:color="auto"/>
              <w:right w:val="single" w:sz="4" w:space="0" w:color="auto"/>
            </w:tcBorders>
            <w:shd w:val="clear" w:color="auto" w:fill="auto"/>
            <w:vAlign w:val="center"/>
            <w:hideMark/>
          </w:tcPr>
          <w:p w14:paraId="22D3F15A" w14:textId="77777777" w:rsidR="004437AA" w:rsidRPr="0034253B" w:rsidRDefault="004437AA" w:rsidP="00396651">
            <w:pPr>
              <w:autoSpaceDE/>
              <w:autoSpaceDN/>
              <w:adjustRightInd/>
              <w:jc w:val="right"/>
              <w:rPr>
                <w:b/>
                <w:bCs/>
                <w:color w:val="000000"/>
              </w:rPr>
            </w:pPr>
            <w:r w:rsidRPr="0034253B">
              <w:rPr>
                <w:b/>
                <w:bCs/>
                <w:color w:val="000000"/>
              </w:rPr>
              <w:t>3,600</w:t>
            </w:r>
          </w:p>
        </w:tc>
        <w:tc>
          <w:tcPr>
            <w:tcW w:w="1660" w:type="dxa"/>
            <w:tcBorders>
              <w:top w:val="nil"/>
              <w:left w:val="nil"/>
              <w:bottom w:val="single" w:sz="8" w:space="0" w:color="auto"/>
              <w:right w:val="single" w:sz="8" w:space="0" w:color="auto"/>
            </w:tcBorders>
            <w:shd w:val="clear" w:color="auto" w:fill="auto"/>
            <w:vAlign w:val="center"/>
            <w:hideMark/>
          </w:tcPr>
          <w:p w14:paraId="37DED380" w14:textId="77777777" w:rsidR="004437AA" w:rsidRPr="0034253B" w:rsidRDefault="004437AA" w:rsidP="00396651">
            <w:pPr>
              <w:autoSpaceDE/>
              <w:autoSpaceDN/>
              <w:adjustRightInd/>
              <w:jc w:val="right"/>
              <w:rPr>
                <w:b/>
                <w:bCs/>
                <w:color w:val="000000"/>
              </w:rPr>
            </w:pPr>
            <w:r w:rsidRPr="0034253B">
              <w:rPr>
                <w:b/>
                <w:bCs/>
                <w:color w:val="000000"/>
              </w:rPr>
              <w:t xml:space="preserve">$284,052 </w:t>
            </w:r>
          </w:p>
        </w:tc>
      </w:tr>
    </w:tbl>
    <w:p w14:paraId="032BD3D8" w14:textId="77777777" w:rsidR="004437AA" w:rsidRDefault="004437AA" w:rsidP="004437AA">
      <w:pPr>
        <w:ind w:firstLine="720"/>
        <w:rPr>
          <w:b/>
          <w:bCs/>
          <w:sz w:val="24"/>
          <w:szCs w:val="24"/>
        </w:rPr>
      </w:pPr>
    </w:p>
    <w:p w14:paraId="60DBDC40" w14:textId="77777777" w:rsidR="008D4A8A" w:rsidRDefault="008D4A8A">
      <w:pPr>
        <w:autoSpaceDE/>
        <w:autoSpaceDN/>
        <w:adjustRightInd/>
        <w:rPr>
          <w:b/>
          <w:bCs/>
          <w:sz w:val="24"/>
          <w:szCs w:val="24"/>
        </w:rPr>
      </w:pPr>
      <w:r>
        <w:rPr>
          <w:b/>
          <w:bCs/>
          <w:sz w:val="24"/>
          <w:szCs w:val="24"/>
        </w:rPr>
        <w:br w:type="page"/>
      </w:r>
    </w:p>
    <w:p w14:paraId="4F29FAEB" w14:textId="73180889" w:rsidR="00841B82" w:rsidRPr="00BA56A0" w:rsidRDefault="00D572E4" w:rsidP="00D572E4">
      <w:pPr>
        <w:ind w:firstLine="720"/>
        <w:rPr>
          <w:sz w:val="24"/>
          <w:szCs w:val="24"/>
        </w:rPr>
      </w:pPr>
      <w:r>
        <w:rPr>
          <w:b/>
          <w:bCs/>
          <w:sz w:val="24"/>
          <w:szCs w:val="24"/>
        </w:rPr>
        <w:t xml:space="preserve">6(e) </w:t>
      </w:r>
      <w:r w:rsidR="005276D2">
        <w:rPr>
          <w:b/>
          <w:bCs/>
          <w:sz w:val="24"/>
          <w:szCs w:val="24"/>
        </w:rPr>
        <w:tab/>
      </w:r>
      <w:r w:rsidR="00841B82" w:rsidRPr="00BA56A0">
        <w:rPr>
          <w:b/>
          <w:bCs/>
          <w:sz w:val="24"/>
          <w:szCs w:val="24"/>
        </w:rPr>
        <w:t>Change in Burden</w:t>
      </w:r>
    </w:p>
    <w:p w14:paraId="188BF426" w14:textId="77777777" w:rsidR="00841B82" w:rsidRPr="00C60E0D" w:rsidRDefault="00841B82" w:rsidP="00841B82">
      <w:pPr>
        <w:rPr>
          <w:sz w:val="24"/>
          <w:szCs w:val="24"/>
          <w:highlight w:val="yellow"/>
        </w:rPr>
      </w:pPr>
    </w:p>
    <w:p w14:paraId="1336993B" w14:textId="1DADD340" w:rsidR="00C4094E" w:rsidRDefault="00F421C3" w:rsidP="004437AA">
      <w:pPr>
        <w:ind w:firstLine="720"/>
        <w:rPr>
          <w:sz w:val="24"/>
          <w:szCs w:val="24"/>
        </w:rPr>
      </w:pPr>
      <w:r w:rsidRPr="00F421C3">
        <w:rPr>
          <w:sz w:val="24"/>
          <w:szCs w:val="24"/>
        </w:rPr>
        <w:t>This request represents a net increase of 2,894 hours from that currently in the OMB inventory (from 18,518 to 21,412</w:t>
      </w:r>
      <w:r>
        <w:rPr>
          <w:sz w:val="24"/>
          <w:szCs w:val="24"/>
        </w:rPr>
        <w:t xml:space="preserve"> </w:t>
      </w:r>
      <w:r w:rsidRPr="00F421C3">
        <w:rPr>
          <w:sz w:val="24"/>
          <w:szCs w:val="24"/>
        </w:rPr>
        <w:t>hours).</w:t>
      </w:r>
      <w:r>
        <w:rPr>
          <w:sz w:val="24"/>
          <w:szCs w:val="24"/>
        </w:rPr>
        <w:t xml:space="preserve"> </w:t>
      </w:r>
      <w:r w:rsidR="004437AA" w:rsidRPr="004437AA">
        <w:rPr>
          <w:sz w:val="24"/>
          <w:szCs w:val="24"/>
        </w:rPr>
        <w:t xml:space="preserve">This reflects an overall increase in </w:t>
      </w:r>
      <w:r w:rsidR="00DF7EF1">
        <w:rPr>
          <w:sz w:val="24"/>
          <w:szCs w:val="24"/>
        </w:rPr>
        <w:t>the number of</w:t>
      </w:r>
      <w:r w:rsidR="004437AA" w:rsidRPr="004437AA">
        <w:rPr>
          <w:sz w:val="24"/>
          <w:szCs w:val="24"/>
        </w:rPr>
        <w:t xml:space="preserve"> </w:t>
      </w:r>
      <w:r>
        <w:rPr>
          <w:sz w:val="24"/>
          <w:szCs w:val="24"/>
        </w:rPr>
        <w:t>s</w:t>
      </w:r>
      <w:r w:rsidR="004437AA" w:rsidRPr="004437AA">
        <w:rPr>
          <w:sz w:val="24"/>
          <w:szCs w:val="24"/>
        </w:rPr>
        <w:t xml:space="preserve">ection 8(e) initial submissions, which increased from 299 to 408 submissions. </w:t>
      </w:r>
      <w:r>
        <w:rPr>
          <w:sz w:val="24"/>
          <w:szCs w:val="24"/>
        </w:rPr>
        <w:t>Offsett</w:t>
      </w:r>
      <w:r w:rsidR="004437AA" w:rsidRPr="004437AA">
        <w:rPr>
          <w:sz w:val="24"/>
          <w:szCs w:val="24"/>
        </w:rPr>
        <w:t xml:space="preserve">ing that </w:t>
      </w:r>
      <w:r>
        <w:rPr>
          <w:sz w:val="24"/>
          <w:szCs w:val="24"/>
        </w:rPr>
        <w:t>increase</w:t>
      </w:r>
      <w:r w:rsidR="004437AA" w:rsidRPr="004437AA">
        <w:rPr>
          <w:sz w:val="24"/>
          <w:szCs w:val="24"/>
        </w:rPr>
        <w:t xml:space="preserve"> are slight decreases in certain other areas, as well as the transition from 90% to 100% e-reporting.</w:t>
      </w:r>
    </w:p>
    <w:p w14:paraId="48F62D5B" w14:textId="77777777" w:rsidR="004437AA" w:rsidRPr="004437AA" w:rsidRDefault="004437AA" w:rsidP="004437AA">
      <w:pPr>
        <w:ind w:firstLine="720"/>
        <w:rPr>
          <w:sz w:val="24"/>
          <w:szCs w:val="24"/>
        </w:rPr>
      </w:pPr>
    </w:p>
    <w:p w14:paraId="30A1254E" w14:textId="77777777" w:rsidR="00841B82" w:rsidRDefault="00D572E4" w:rsidP="00762937">
      <w:pPr>
        <w:ind w:firstLine="720"/>
        <w:rPr>
          <w:sz w:val="24"/>
          <w:szCs w:val="24"/>
        </w:rPr>
      </w:pPr>
      <w:r>
        <w:rPr>
          <w:b/>
          <w:bCs/>
          <w:sz w:val="24"/>
          <w:szCs w:val="24"/>
        </w:rPr>
        <w:t xml:space="preserve">6(f) </w:t>
      </w:r>
      <w:r w:rsidR="005276D2">
        <w:rPr>
          <w:b/>
          <w:bCs/>
          <w:sz w:val="24"/>
          <w:szCs w:val="24"/>
        </w:rPr>
        <w:tab/>
      </w:r>
      <w:r w:rsidR="00841B82">
        <w:rPr>
          <w:b/>
          <w:bCs/>
          <w:sz w:val="24"/>
          <w:szCs w:val="24"/>
        </w:rPr>
        <w:t>Burden Statement</w:t>
      </w:r>
    </w:p>
    <w:p w14:paraId="3120F602" w14:textId="77777777" w:rsidR="00841B82" w:rsidRDefault="00841B82" w:rsidP="00841B82">
      <w:pPr>
        <w:rPr>
          <w:sz w:val="24"/>
          <w:szCs w:val="24"/>
        </w:rPr>
      </w:pPr>
    </w:p>
    <w:p w14:paraId="588A67F1" w14:textId="575BF651" w:rsidR="00841B82" w:rsidRDefault="00310D39" w:rsidP="00841B82">
      <w:pPr>
        <w:rPr>
          <w:sz w:val="24"/>
          <w:szCs w:val="24"/>
        </w:rPr>
      </w:pPr>
      <w:r w:rsidRPr="00310D39">
        <w:rPr>
          <w:sz w:val="24"/>
          <w:szCs w:val="24"/>
        </w:rPr>
        <w:tab/>
        <w:t xml:space="preserve">The annual public burden for this collection of information, which is approved under OMB Control No. 2070-0046, is estimated </w:t>
      </w:r>
      <w:r w:rsidR="00774C1D">
        <w:rPr>
          <w:sz w:val="24"/>
          <w:szCs w:val="24"/>
        </w:rPr>
        <w:t>to be</w:t>
      </w:r>
      <w:r>
        <w:rPr>
          <w:sz w:val="24"/>
          <w:szCs w:val="24"/>
        </w:rPr>
        <w:t xml:space="preserve"> </w:t>
      </w:r>
      <w:r w:rsidRPr="00310D39">
        <w:rPr>
          <w:sz w:val="24"/>
          <w:szCs w:val="24"/>
        </w:rPr>
        <w:t>50.06 hours per initial section 8(e) submission and 4.06 hours per follow-up/supplemental section 8(e) submission. The same estimates apply to FYI initial and follow-up submissions. For CDX registrations, burden per registration is estimated at 0.53 hours. Burden is defined in 5 CFR 1320.3(b).  An Agency may not conduct or sponsor, and a person is not required to respond to, a collection of information unless it displays a currently valid OMB control number.  The OMB control numbers for EPA’s regulations in title 40 of the CFR, after appearing in the Federal Register, are listed in 40 CFR part 9 and included on the related collection instrument or form, if applicable.</w:t>
      </w:r>
    </w:p>
    <w:p w14:paraId="50C271C0" w14:textId="77777777" w:rsidR="00841B82" w:rsidRDefault="00841B82" w:rsidP="00841B82">
      <w:pPr>
        <w:rPr>
          <w:sz w:val="24"/>
          <w:szCs w:val="24"/>
        </w:rPr>
      </w:pPr>
    </w:p>
    <w:p w14:paraId="4E92AD7D" w14:textId="49973D99" w:rsidR="00610F12" w:rsidRDefault="00610F12" w:rsidP="00610F12">
      <w:pPr>
        <w:ind w:firstLine="720"/>
        <w:rPr>
          <w:sz w:val="24"/>
          <w:szCs w:val="24"/>
        </w:rPr>
      </w:pPr>
      <w:r>
        <w:rPr>
          <w:sz w:val="24"/>
          <w:szCs w:val="24"/>
        </w:rPr>
        <w:t>The Agency</w:t>
      </w:r>
      <w:r w:rsidR="00841B82">
        <w:rPr>
          <w:sz w:val="24"/>
          <w:szCs w:val="24"/>
        </w:rPr>
        <w:t xml:space="preserve"> has established a public docket for this ICR under Docket ID No. </w:t>
      </w:r>
      <w:r w:rsidR="00841B82" w:rsidRPr="004E3980">
        <w:rPr>
          <w:sz w:val="24"/>
          <w:szCs w:val="24"/>
        </w:rPr>
        <w:t>EPA-HQ-OPPT-20</w:t>
      </w:r>
      <w:r w:rsidR="005276D2" w:rsidRPr="004E3980">
        <w:rPr>
          <w:sz w:val="24"/>
          <w:szCs w:val="24"/>
        </w:rPr>
        <w:t>1</w:t>
      </w:r>
      <w:r w:rsidR="004E3980" w:rsidRPr="004E3980">
        <w:rPr>
          <w:sz w:val="24"/>
          <w:szCs w:val="24"/>
        </w:rPr>
        <w:t>5</w:t>
      </w:r>
      <w:r w:rsidR="00841B82" w:rsidRPr="004E3980">
        <w:rPr>
          <w:sz w:val="24"/>
          <w:szCs w:val="24"/>
        </w:rPr>
        <w:t>-0</w:t>
      </w:r>
      <w:r w:rsidR="005276D2" w:rsidRPr="004E3980">
        <w:rPr>
          <w:sz w:val="24"/>
          <w:szCs w:val="24"/>
        </w:rPr>
        <w:t>7</w:t>
      </w:r>
      <w:r w:rsidR="004E3980" w:rsidRPr="004E3980">
        <w:rPr>
          <w:sz w:val="24"/>
          <w:szCs w:val="24"/>
        </w:rPr>
        <w:t>4</w:t>
      </w:r>
      <w:r w:rsidR="005276D2" w:rsidRPr="004E3980">
        <w:rPr>
          <w:sz w:val="24"/>
          <w:szCs w:val="24"/>
        </w:rPr>
        <w:t>4</w:t>
      </w:r>
      <w:r w:rsidR="00841B82" w:rsidRPr="00E277CE">
        <w:rPr>
          <w:sz w:val="24"/>
          <w:szCs w:val="24"/>
        </w:rPr>
        <w:t>,</w:t>
      </w:r>
      <w:r w:rsidR="00841B82">
        <w:rPr>
          <w:sz w:val="24"/>
          <w:szCs w:val="24"/>
        </w:rPr>
        <w:t xml:space="preserve"> </w:t>
      </w:r>
      <w:r w:rsidRPr="00610F12">
        <w:rPr>
          <w:sz w:val="24"/>
          <w:szCs w:val="24"/>
        </w:rPr>
        <w:t xml:space="preserve">which is available for online viewing at www.regulations.gov, or in person viewing at the Pollution Prevention and Toxics Docket in the EPA Docket Center (EPA/DC). The EPA/DC Public Reading Room is located in the </w:t>
      </w:r>
      <w:r w:rsidR="00BA65F8">
        <w:rPr>
          <w:sz w:val="24"/>
          <w:szCs w:val="24"/>
        </w:rPr>
        <w:t>WJC</w:t>
      </w:r>
      <w:r w:rsidRPr="00610F12">
        <w:rPr>
          <w:sz w:val="24"/>
          <w:szCs w:val="24"/>
        </w:rPr>
        <w:t xml:space="preserve"> West Building, Room 3334, 1301 Constitution Ave., NW., Washington, DC.  The EPA/DC Public Reading Room is open from 8:30 a.m. to 4:30 p.m., Monday through Fri</w:t>
      </w:r>
      <w:r w:rsidR="00BC5CD3">
        <w:rPr>
          <w:sz w:val="24"/>
          <w:szCs w:val="24"/>
        </w:rPr>
        <w:t xml:space="preserve">day, excluding legal holidays. </w:t>
      </w:r>
      <w:r w:rsidRPr="00610F12">
        <w:rPr>
          <w:sz w:val="24"/>
          <w:szCs w:val="24"/>
        </w:rPr>
        <w:t>The telephone number for the EPA/DC Public Reading Room is (202) 566-1744, and the telephone number for the Pollution Prevention and Toxics Docket is (202) 566-0280.</w:t>
      </w:r>
    </w:p>
    <w:p w14:paraId="6C166CF9" w14:textId="77777777" w:rsidR="00610F12" w:rsidRDefault="00610F12" w:rsidP="00610F12">
      <w:pPr>
        <w:ind w:firstLine="720"/>
        <w:rPr>
          <w:sz w:val="24"/>
          <w:szCs w:val="24"/>
        </w:rPr>
      </w:pPr>
    </w:p>
    <w:p w14:paraId="37B02F7F" w14:textId="1A6E28AC" w:rsidR="00396651" w:rsidRDefault="00610F12" w:rsidP="00FF446E">
      <w:pPr>
        <w:ind w:firstLine="720"/>
        <w:rPr>
          <w:sz w:val="24"/>
          <w:szCs w:val="24"/>
        </w:rPr>
      </w:pPr>
      <w:r w:rsidRPr="00610F12">
        <w:rPr>
          <w:sz w:val="24"/>
          <w:szCs w:val="24"/>
        </w:rPr>
        <w:t xml:space="preserve">You may submit comments regarding the Agency's need for this information, the accuracy of the provided burden estimates and any suggested methods for minimizing respondent burden, including the use of automated collection techniques. Submit your comments, referencing Docket ID No. </w:t>
      </w:r>
      <w:r w:rsidR="004E3980" w:rsidRPr="004E3980">
        <w:rPr>
          <w:sz w:val="24"/>
          <w:szCs w:val="24"/>
        </w:rPr>
        <w:t>EPA-HQ-OPPT-2015-0744</w:t>
      </w:r>
      <w:r w:rsidR="004E3980">
        <w:rPr>
          <w:sz w:val="24"/>
          <w:szCs w:val="24"/>
        </w:rPr>
        <w:t xml:space="preserve"> </w:t>
      </w:r>
      <w:r w:rsidRPr="00610F12">
        <w:rPr>
          <w:sz w:val="24"/>
          <w:szCs w:val="24"/>
        </w:rPr>
        <w:t>and OMB Control No. 2070-00</w:t>
      </w:r>
      <w:r>
        <w:rPr>
          <w:sz w:val="24"/>
          <w:szCs w:val="24"/>
        </w:rPr>
        <w:t>46</w:t>
      </w:r>
      <w:r w:rsidRPr="00610F12">
        <w:rPr>
          <w:sz w:val="24"/>
          <w:szCs w:val="24"/>
        </w:rPr>
        <w:t>, to (1) EPA online using www.regulations.gov (our preferred method), or by mail to: Pollution Prevention and Toxics Docket, Environmental Protection Agency Docket Center (EPA/DC), Mailcode: 28221T, 1200 Pennsylvania Ave., NW., Washington, DC 20460, and (2) OMB by mail to: Office of Information and Regulatory Affairs, Office of Management and Budget (OMB), Attention: Desk Officer for EPA, 725 17th Street, NW, Washington, DC 20503.</w:t>
      </w:r>
    </w:p>
    <w:p w14:paraId="0F1AFFCA" w14:textId="77777777" w:rsidR="00396651" w:rsidRDefault="00396651">
      <w:pPr>
        <w:autoSpaceDE/>
        <w:autoSpaceDN/>
        <w:adjustRightInd/>
        <w:rPr>
          <w:sz w:val="24"/>
          <w:szCs w:val="24"/>
        </w:rPr>
      </w:pPr>
      <w:r>
        <w:rPr>
          <w:sz w:val="24"/>
          <w:szCs w:val="24"/>
        </w:rPr>
        <w:br w:type="page"/>
      </w:r>
    </w:p>
    <w:p w14:paraId="6A9CBF92" w14:textId="77777777" w:rsidR="00FF446E" w:rsidRDefault="00FF446E" w:rsidP="00FF446E">
      <w:pPr>
        <w:ind w:firstLine="720"/>
        <w:rPr>
          <w:sz w:val="24"/>
          <w:szCs w:val="24"/>
        </w:rPr>
      </w:pPr>
    </w:p>
    <w:p w14:paraId="57C54C84" w14:textId="77777777" w:rsidR="00396651" w:rsidRPr="008241F6" w:rsidRDefault="00FF446E" w:rsidP="00396651">
      <w:pPr>
        <w:pStyle w:val="NoSpacing"/>
        <w:jc w:val="center"/>
        <w:rPr>
          <w:rFonts w:ascii="Times New Roman" w:hAnsi="Times New Roman" w:cs="Times New Roman"/>
          <w:b/>
          <w:sz w:val="24"/>
          <w:szCs w:val="24"/>
        </w:rPr>
      </w:pPr>
      <w:r>
        <w:rPr>
          <w:sz w:val="24"/>
          <w:szCs w:val="24"/>
        </w:rPr>
        <w:t xml:space="preserve"> </w:t>
      </w:r>
      <w:r w:rsidR="00396651" w:rsidRPr="008241F6">
        <w:rPr>
          <w:rFonts w:ascii="Times New Roman" w:hAnsi="Times New Roman" w:cs="Times New Roman"/>
          <w:b/>
          <w:sz w:val="24"/>
          <w:szCs w:val="24"/>
        </w:rPr>
        <w:t>ATTACHMENTS TO THE SUPPORTING STATEMENT</w:t>
      </w:r>
    </w:p>
    <w:p w14:paraId="4715588B" w14:textId="77777777" w:rsidR="00396651" w:rsidRPr="008241F6" w:rsidRDefault="00396651" w:rsidP="00396651">
      <w:pPr>
        <w:pStyle w:val="NoSpacing"/>
        <w:rPr>
          <w:rFonts w:ascii="Times New Roman" w:hAnsi="Times New Roman" w:cs="Times New Roman"/>
          <w:sz w:val="24"/>
          <w:szCs w:val="24"/>
        </w:rPr>
      </w:pPr>
    </w:p>
    <w:p w14:paraId="18F29840" w14:textId="5848C0B4" w:rsidR="00396651" w:rsidRDefault="00396651" w:rsidP="00396651">
      <w:pPr>
        <w:pStyle w:val="NoSpacing"/>
        <w:rPr>
          <w:rFonts w:ascii="Times New Roman" w:hAnsi="Times New Roman" w:cs="Times New Roman"/>
          <w:sz w:val="24"/>
          <w:szCs w:val="24"/>
        </w:rPr>
      </w:pPr>
      <w:r w:rsidRPr="008241F6">
        <w:rPr>
          <w:rFonts w:ascii="Times New Roman" w:hAnsi="Times New Roman" w:cs="Times New Roman"/>
          <w:sz w:val="24"/>
          <w:szCs w:val="24"/>
        </w:rPr>
        <w:tab/>
        <w:t>Attachments to the supporting statement are available in the public docket established for this ICR under Docket ID No. EPA-HQ-OPPT-201</w:t>
      </w:r>
      <w:r>
        <w:rPr>
          <w:rFonts w:ascii="Times New Roman" w:hAnsi="Times New Roman" w:cs="Times New Roman"/>
          <w:sz w:val="24"/>
          <w:szCs w:val="24"/>
        </w:rPr>
        <w:t>5</w:t>
      </w:r>
      <w:r w:rsidRPr="008241F6">
        <w:rPr>
          <w:rFonts w:ascii="Times New Roman" w:hAnsi="Times New Roman" w:cs="Times New Roman"/>
          <w:sz w:val="24"/>
          <w:szCs w:val="24"/>
        </w:rPr>
        <w:t>-</w:t>
      </w:r>
      <w:r>
        <w:rPr>
          <w:rFonts w:ascii="Times New Roman" w:hAnsi="Times New Roman" w:cs="Times New Roman"/>
          <w:sz w:val="24"/>
          <w:szCs w:val="24"/>
        </w:rPr>
        <w:t xml:space="preserve">0744. </w:t>
      </w:r>
      <w:r w:rsidRPr="008241F6">
        <w:rPr>
          <w:rFonts w:ascii="Times New Roman" w:hAnsi="Times New Roman" w:cs="Times New Roman"/>
          <w:sz w:val="24"/>
          <w:szCs w:val="24"/>
        </w:rPr>
        <w:t>These attachments are available for onlin</w:t>
      </w:r>
      <w:r>
        <w:rPr>
          <w:rFonts w:ascii="Times New Roman" w:hAnsi="Times New Roman" w:cs="Times New Roman"/>
          <w:sz w:val="24"/>
          <w:szCs w:val="24"/>
        </w:rPr>
        <w:t xml:space="preserve">e viewing at </w:t>
      </w:r>
      <w:hyperlink r:id="rId15" w:history="1">
        <w:r w:rsidRPr="002E4139">
          <w:rPr>
            <w:rStyle w:val="Hyperlink"/>
            <w:rFonts w:ascii="Times New Roman" w:hAnsi="Times New Roman" w:cs="Times New Roman"/>
            <w:sz w:val="24"/>
            <w:szCs w:val="24"/>
          </w:rPr>
          <w:t>http://www.regulations.gov</w:t>
        </w:r>
      </w:hyperlink>
      <w:r>
        <w:rPr>
          <w:rFonts w:ascii="Times New Roman" w:hAnsi="Times New Roman" w:cs="Times New Roman"/>
          <w:sz w:val="24"/>
          <w:szCs w:val="24"/>
        </w:rPr>
        <w:t>.</w:t>
      </w:r>
    </w:p>
    <w:p w14:paraId="2DC79B3B" w14:textId="77777777" w:rsidR="00396651" w:rsidRPr="008241F6" w:rsidRDefault="00396651" w:rsidP="00396651">
      <w:pPr>
        <w:pStyle w:val="NoSpacing"/>
        <w:rPr>
          <w:rFonts w:ascii="Times New Roman" w:hAnsi="Times New Roman" w:cs="Times New Roman"/>
          <w:sz w:val="24"/>
          <w:szCs w:val="24"/>
        </w:rPr>
      </w:pPr>
    </w:p>
    <w:p w14:paraId="5D9AE0F3" w14:textId="77777777" w:rsidR="00396651" w:rsidRPr="008241F6" w:rsidRDefault="00396651" w:rsidP="00396651">
      <w:pPr>
        <w:pStyle w:val="NoSpacing"/>
        <w:rPr>
          <w:rFonts w:ascii="Times New Roman" w:hAnsi="Times New Roman" w:cs="Times New Roman"/>
          <w:sz w:val="24"/>
          <w:szCs w:val="24"/>
        </w:rPr>
      </w:pPr>
      <w:r w:rsidRPr="008241F6">
        <w:rPr>
          <w:rFonts w:ascii="Times New Roman" w:hAnsi="Times New Roman" w:cs="Times New Roman"/>
          <w:b/>
          <w:sz w:val="24"/>
          <w:szCs w:val="24"/>
        </w:rPr>
        <w:t>Attachment 1:</w:t>
      </w:r>
      <w:r>
        <w:rPr>
          <w:rFonts w:ascii="Times New Roman" w:hAnsi="Times New Roman" w:cs="Times New Roman"/>
          <w:sz w:val="24"/>
          <w:szCs w:val="24"/>
        </w:rPr>
        <w:tab/>
      </w:r>
      <w:r w:rsidRPr="008241F6">
        <w:rPr>
          <w:rFonts w:ascii="Times New Roman" w:hAnsi="Times New Roman" w:cs="Times New Roman"/>
          <w:sz w:val="24"/>
          <w:szCs w:val="24"/>
        </w:rPr>
        <w:t>15 U.S.C. 2603, Toxic Substances Control Act (TSCA), Section 4</w:t>
      </w:r>
    </w:p>
    <w:p w14:paraId="19B4C52A" w14:textId="77777777" w:rsidR="00396651" w:rsidRPr="008241F6" w:rsidRDefault="00396651" w:rsidP="00396651">
      <w:pPr>
        <w:pStyle w:val="NoSpacing"/>
        <w:rPr>
          <w:rFonts w:ascii="Times New Roman" w:hAnsi="Times New Roman" w:cs="Times New Roman"/>
          <w:sz w:val="24"/>
          <w:szCs w:val="24"/>
        </w:rPr>
      </w:pPr>
      <w:r w:rsidRPr="008241F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6FC8B8A" w14:textId="50E7404F" w:rsidR="00396651" w:rsidRDefault="00396651" w:rsidP="00396651">
      <w:pPr>
        <w:pStyle w:val="NoSpacing"/>
        <w:ind w:left="2160" w:hanging="2160"/>
        <w:rPr>
          <w:rFonts w:ascii="Times New Roman" w:hAnsi="Times New Roman" w:cs="Times New Roman"/>
          <w:sz w:val="24"/>
          <w:szCs w:val="24"/>
        </w:rPr>
      </w:pPr>
      <w:r w:rsidRPr="008241F6">
        <w:rPr>
          <w:rFonts w:ascii="Times New Roman" w:hAnsi="Times New Roman" w:cs="Times New Roman"/>
          <w:b/>
          <w:sz w:val="24"/>
          <w:szCs w:val="24"/>
        </w:rPr>
        <w:t>Attachment 2:</w:t>
      </w:r>
      <w:r>
        <w:rPr>
          <w:rFonts w:ascii="Times New Roman" w:hAnsi="Times New Roman" w:cs="Times New Roman"/>
          <w:sz w:val="24"/>
          <w:szCs w:val="24"/>
        </w:rPr>
        <w:tab/>
      </w:r>
      <w:r w:rsidRPr="00396651">
        <w:rPr>
          <w:rFonts w:ascii="Times New Roman" w:hAnsi="Times New Roman" w:cs="Times New Roman"/>
          <w:sz w:val="24"/>
          <w:szCs w:val="24"/>
        </w:rPr>
        <w:t>Public Comment</w:t>
      </w:r>
      <w:r>
        <w:rPr>
          <w:rFonts w:ascii="Times New Roman" w:hAnsi="Times New Roman" w:cs="Times New Roman"/>
          <w:sz w:val="24"/>
          <w:szCs w:val="24"/>
        </w:rPr>
        <w:t>s</w:t>
      </w:r>
      <w:r w:rsidRPr="00396651">
        <w:rPr>
          <w:rFonts w:ascii="Times New Roman" w:hAnsi="Times New Roman" w:cs="Times New Roman"/>
          <w:sz w:val="24"/>
          <w:szCs w:val="24"/>
        </w:rPr>
        <w:t xml:space="preserve"> Received from the American Chemistry Council</w:t>
      </w:r>
      <w:r>
        <w:rPr>
          <w:rFonts w:ascii="Times New Roman" w:hAnsi="Times New Roman" w:cs="Times New Roman"/>
          <w:sz w:val="24"/>
          <w:szCs w:val="24"/>
        </w:rPr>
        <w:t xml:space="preserve"> (ACC) and the Environmental Working Group (EWG); copy of </w:t>
      </w:r>
      <w:r w:rsidRPr="00396651">
        <w:rPr>
          <w:rFonts w:ascii="Times New Roman" w:hAnsi="Times New Roman" w:cs="Times New Roman"/>
          <w:sz w:val="24"/>
          <w:szCs w:val="24"/>
        </w:rPr>
        <w:t>EPA’s Response to the Public Comment</w:t>
      </w:r>
      <w:r>
        <w:rPr>
          <w:rFonts w:ascii="Times New Roman" w:hAnsi="Times New Roman" w:cs="Times New Roman"/>
          <w:sz w:val="24"/>
          <w:szCs w:val="24"/>
        </w:rPr>
        <w:t>s</w:t>
      </w:r>
    </w:p>
    <w:p w14:paraId="6181F836" w14:textId="77777777" w:rsidR="00396651" w:rsidRPr="008241F6" w:rsidRDefault="00396651" w:rsidP="00396651">
      <w:pPr>
        <w:pStyle w:val="NoSpacing"/>
        <w:rPr>
          <w:rFonts w:ascii="Times New Roman" w:hAnsi="Times New Roman" w:cs="Times New Roman"/>
          <w:sz w:val="24"/>
          <w:szCs w:val="24"/>
        </w:rPr>
      </w:pPr>
    </w:p>
    <w:p w14:paraId="521C099B" w14:textId="1CE59856" w:rsidR="00396651" w:rsidRDefault="00396651" w:rsidP="00396651">
      <w:pPr>
        <w:pStyle w:val="NoSpacing"/>
        <w:rPr>
          <w:rFonts w:ascii="Times New Roman" w:hAnsi="Times New Roman" w:cs="Times New Roman"/>
          <w:sz w:val="24"/>
          <w:szCs w:val="24"/>
        </w:rPr>
      </w:pPr>
      <w:r w:rsidRPr="008241F6">
        <w:rPr>
          <w:rFonts w:ascii="Times New Roman" w:hAnsi="Times New Roman" w:cs="Times New Roman"/>
          <w:b/>
          <w:sz w:val="24"/>
          <w:szCs w:val="24"/>
        </w:rPr>
        <w:t>Attachment 3:</w:t>
      </w:r>
      <w:r>
        <w:rPr>
          <w:rFonts w:ascii="Times New Roman" w:hAnsi="Times New Roman" w:cs="Times New Roman"/>
          <w:sz w:val="24"/>
          <w:szCs w:val="24"/>
        </w:rPr>
        <w:tab/>
      </w:r>
      <w:r w:rsidRPr="00396651">
        <w:rPr>
          <w:rFonts w:ascii="Times New Roman" w:hAnsi="Times New Roman" w:cs="Times New Roman"/>
          <w:sz w:val="24"/>
          <w:szCs w:val="24"/>
        </w:rPr>
        <w:t>Consultations Message Sent by EPA to Potential Respondents</w:t>
      </w:r>
    </w:p>
    <w:p w14:paraId="696DF7AC" w14:textId="33EEBB92" w:rsidR="00FF446E" w:rsidRDefault="00FF446E" w:rsidP="00FF446E">
      <w:pPr>
        <w:rPr>
          <w:rFonts w:eastAsiaTheme="minorHAnsi"/>
          <w:sz w:val="24"/>
          <w:szCs w:val="24"/>
        </w:rPr>
      </w:pPr>
    </w:p>
    <w:p w14:paraId="689E9EF0" w14:textId="77777777" w:rsidR="00396651" w:rsidRDefault="00396651" w:rsidP="00FF446E">
      <w:pPr>
        <w:rPr>
          <w:sz w:val="24"/>
          <w:szCs w:val="24"/>
        </w:rPr>
        <w:sectPr w:rsidR="00396651" w:rsidSect="0036663B">
          <w:footerReference w:type="even" r:id="rId16"/>
          <w:footerReference w:type="default" r:id="rId17"/>
          <w:headerReference w:type="first" r:id="rId18"/>
          <w:pgSz w:w="12240" w:h="15840"/>
          <w:pgMar w:top="1440" w:right="1440" w:bottom="1440" w:left="1440" w:header="540" w:footer="1440" w:gutter="0"/>
          <w:pgNumType w:fmt="numberInDash"/>
          <w:cols w:space="720"/>
          <w:titlePg/>
          <w:docGrid w:linePitch="272"/>
        </w:sectPr>
      </w:pPr>
    </w:p>
    <w:p w14:paraId="43F5519B" w14:textId="4AF776C8" w:rsidR="00160CC8" w:rsidRPr="00C32A8F" w:rsidRDefault="00160CC8" w:rsidP="00160CC8">
      <w:pPr>
        <w:pStyle w:val="Heading1"/>
        <w:ind w:left="720" w:hanging="720"/>
        <w:jc w:val="center"/>
      </w:pPr>
      <w:bookmarkStart w:id="1" w:name="_Toc165350903"/>
      <w:bookmarkStart w:id="2" w:name="_Toc165425527"/>
      <w:bookmarkStart w:id="3" w:name="_Toc201992658"/>
      <w:r w:rsidRPr="00C32A8F">
        <w:t>REFERENCES</w:t>
      </w:r>
      <w:bookmarkEnd w:id="1"/>
      <w:bookmarkEnd w:id="2"/>
      <w:bookmarkEnd w:id="3"/>
    </w:p>
    <w:p w14:paraId="1C329444" w14:textId="77777777" w:rsidR="008D4A8A" w:rsidRPr="006F4587" w:rsidRDefault="008D4A8A" w:rsidP="008D4A8A">
      <w:pPr>
        <w:autoSpaceDE/>
        <w:autoSpaceDN/>
        <w:adjustRightInd/>
        <w:spacing w:after="240"/>
        <w:ind w:left="720" w:hanging="720"/>
        <w:rPr>
          <w:sz w:val="24"/>
          <w:szCs w:val="24"/>
        </w:rPr>
      </w:pPr>
      <w:r w:rsidRPr="006F4587">
        <w:rPr>
          <w:sz w:val="24"/>
          <w:szCs w:val="24"/>
        </w:rPr>
        <w:t>Rice, C. 2002. Wage Rates for Economic Analysis of the Toxics Release Inventory Program. June 10, 2002.</w:t>
      </w:r>
    </w:p>
    <w:p w14:paraId="5B6EB31E" w14:textId="77777777" w:rsidR="008D4A8A" w:rsidRPr="006F4587" w:rsidRDefault="008D4A8A" w:rsidP="008D4A8A">
      <w:pPr>
        <w:autoSpaceDE/>
        <w:autoSpaceDN/>
        <w:adjustRightInd/>
        <w:ind w:left="720" w:hanging="720"/>
        <w:rPr>
          <w:sz w:val="24"/>
          <w:szCs w:val="24"/>
        </w:rPr>
      </w:pPr>
      <w:r w:rsidRPr="006F4587">
        <w:rPr>
          <w:color w:val="000000"/>
          <w:sz w:val="24"/>
          <w:szCs w:val="24"/>
        </w:rPr>
        <w:t>U.S. Bureau of Labor Statistics (BLS). 201</w:t>
      </w:r>
      <w:r>
        <w:rPr>
          <w:color w:val="000000"/>
          <w:sz w:val="24"/>
          <w:szCs w:val="24"/>
        </w:rPr>
        <w:t>6</w:t>
      </w:r>
      <w:r w:rsidRPr="006F4587">
        <w:rPr>
          <w:color w:val="000000"/>
          <w:sz w:val="24"/>
          <w:szCs w:val="24"/>
        </w:rPr>
        <w:t xml:space="preserve">, </w:t>
      </w:r>
      <w:r w:rsidRPr="006F4587">
        <w:rPr>
          <w:iCs/>
          <w:color w:val="000000"/>
          <w:sz w:val="24"/>
          <w:szCs w:val="24"/>
        </w:rPr>
        <w:t>Employer Costs for Employee Compensation Supplementary Tables: December 2006 – December 2014</w:t>
      </w:r>
      <w:r w:rsidRPr="006F4587">
        <w:rPr>
          <w:color w:val="000000"/>
          <w:sz w:val="24"/>
          <w:szCs w:val="24"/>
        </w:rPr>
        <w:t xml:space="preserve">. Accessed March </w:t>
      </w:r>
      <w:r>
        <w:rPr>
          <w:color w:val="000000"/>
          <w:sz w:val="24"/>
          <w:szCs w:val="24"/>
        </w:rPr>
        <w:t>21</w:t>
      </w:r>
      <w:r w:rsidRPr="006F4587">
        <w:rPr>
          <w:color w:val="000000"/>
          <w:sz w:val="24"/>
          <w:szCs w:val="24"/>
        </w:rPr>
        <w:t>, 201</w:t>
      </w:r>
      <w:r>
        <w:rPr>
          <w:color w:val="000000"/>
          <w:sz w:val="24"/>
          <w:szCs w:val="24"/>
        </w:rPr>
        <w:t>6</w:t>
      </w:r>
      <w:r w:rsidRPr="006F4587">
        <w:rPr>
          <w:color w:val="000000"/>
          <w:sz w:val="24"/>
          <w:szCs w:val="24"/>
        </w:rPr>
        <w:t xml:space="preserve">. Available at: </w:t>
      </w:r>
      <w:r w:rsidRPr="006F4587">
        <w:rPr>
          <w:sz w:val="24"/>
          <w:szCs w:val="24"/>
        </w:rPr>
        <w:t>http://www.bls.gov/ncs/ect/sp/ecsuphst.pdf</w:t>
      </w:r>
      <w:r w:rsidRPr="006F4587">
        <w:rPr>
          <w:color w:val="000000"/>
          <w:sz w:val="24"/>
          <w:szCs w:val="24"/>
        </w:rPr>
        <w:t xml:space="preserve">. </w:t>
      </w:r>
      <w:r w:rsidRPr="006F4587">
        <w:rPr>
          <w:color w:val="000000"/>
          <w:sz w:val="24"/>
          <w:szCs w:val="24"/>
        </w:rPr>
        <w:br/>
      </w:r>
    </w:p>
    <w:p w14:paraId="40DA6B80" w14:textId="77777777" w:rsidR="008D4A8A" w:rsidRPr="006F4587" w:rsidRDefault="008D4A8A" w:rsidP="008D4A8A">
      <w:pPr>
        <w:autoSpaceDE/>
        <w:autoSpaceDN/>
        <w:adjustRightInd/>
        <w:spacing w:after="240"/>
        <w:ind w:left="720" w:hanging="720"/>
        <w:rPr>
          <w:sz w:val="24"/>
          <w:szCs w:val="24"/>
        </w:rPr>
      </w:pPr>
      <w:r w:rsidRPr="006F4587">
        <w:rPr>
          <w:sz w:val="24"/>
          <w:szCs w:val="24"/>
        </w:rPr>
        <w:t>US EPA. 2002. Revised Economic Analysis for the Amended Inventory Update Rule: Final Report. August, 2002. Docket ID: EPA-HQ-OPPT-2002-0054-0260. Available at http://www.regulations.gov/#!documentDetail;D=EPA-HQ-OPPT-2002-0054-0260.</w:t>
      </w:r>
    </w:p>
    <w:p w14:paraId="165AF308" w14:textId="77777777" w:rsidR="008D4A8A" w:rsidRPr="006F4587" w:rsidRDefault="008D4A8A" w:rsidP="008D4A8A">
      <w:pPr>
        <w:ind w:left="720" w:hanging="720"/>
        <w:rPr>
          <w:sz w:val="24"/>
          <w:szCs w:val="24"/>
        </w:rPr>
      </w:pPr>
      <w:r w:rsidRPr="006F4587">
        <w:rPr>
          <w:color w:val="222222"/>
          <w:sz w:val="24"/>
          <w:szCs w:val="24"/>
          <w:shd w:val="clear" w:color="auto" w:fill="FFFFFF"/>
        </w:rPr>
        <w:t xml:space="preserve">US EPA. 2009. </w:t>
      </w:r>
      <w:r w:rsidRPr="006F4587">
        <w:rPr>
          <w:iCs/>
          <w:color w:val="222222"/>
          <w:sz w:val="24"/>
          <w:szCs w:val="24"/>
          <w:shd w:val="clear" w:color="auto" w:fill="FFFFFF"/>
        </w:rPr>
        <w:t>ICR Handbook EPA’s Guide to Writing Information Collection Requests under the Paperwork Reduction Act of 1995</w:t>
      </w:r>
      <w:r w:rsidRPr="006F4587">
        <w:rPr>
          <w:i/>
          <w:iCs/>
          <w:color w:val="222222"/>
          <w:sz w:val="24"/>
          <w:szCs w:val="24"/>
          <w:shd w:val="clear" w:color="auto" w:fill="FFFFFF"/>
        </w:rPr>
        <w:t>. </w:t>
      </w:r>
      <w:r w:rsidRPr="006F4587">
        <w:rPr>
          <w:color w:val="222222"/>
          <w:sz w:val="24"/>
          <w:szCs w:val="24"/>
          <w:shd w:val="clear" w:color="auto" w:fill="FFFFFF"/>
        </w:rPr>
        <w:t>Revised 10/2009 Washington, D.C.: U.S. EPA, Office of Environmental Information.</w:t>
      </w:r>
      <w:r w:rsidRPr="006F4587">
        <w:rPr>
          <w:color w:val="222222"/>
          <w:sz w:val="24"/>
          <w:szCs w:val="24"/>
          <w:shd w:val="clear" w:color="auto" w:fill="FFFFFF"/>
        </w:rPr>
        <w:br/>
      </w:r>
    </w:p>
    <w:p w14:paraId="3A2A321A" w14:textId="77777777" w:rsidR="008D4A8A" w:rsidRDefault="008D4A8A" w:rsidP="008D4A8A">
      <w:pPr>
        <w:autoSpaceDE/>
        <w:autoSpaceDN/>
        <w:adjustRightInd/>
        <w:spacing w:after="240"/>
        <w:ind w:left="720" w:hanging="720"/>
        <w:rPr>
          <w:sz w:val="24"/>
          <w:szCs w:val="24"/>
        </w:rPr>
      </w:pPr>
      <w:r w:rsidRPr="007B5BC9">
        <w:rPr>
          <w:sz w:val="24"/>
          <w:szCs w:val="24"/>
        </w:rPr>
        <w:t xml:space="preserve">US EPA 2015. Information Collection Request (ICR): Premanufacture Review Reporting and Exemption Requirements for </w:t>
      </w:r>
      <w:r>
        <w:rPr>
          <w:sz w:val="24"/>
          <w:szCs w:val="24"/>
        </w:rPr>
        <w:t>New Chemical</w:t>
      </w:r>
      <w:r w:rsidRPr="007B5BC9">
        <w:rPr>
          <w:sz w:val="24"/>
          <w:szCs w:val="24"/>
        </w:rPr>
        <w:t xml:space="preserve"> Substances and Significant New Use Reporting Requirements for Chemical Substances. EPA ICR No: 0574.15. OMB Control No: 2070-0012. </w:t>
      </w:r>
      <w:r w:rsidRPr="006F4587">
        <w:rPr>
          <w:sz w:val="24"/>
          <w:szCs w:val="24"/>
        </w:rPr>
        <w:t xml:space="preserve">Available at </w:t>
      </w:r>
      <w:hyperlink r:id="rId19" w:anchor="!documentDetail;D=EPA-HQ-OPPT-2014-0735-0016" w:history="1">
        <w:r w:rsidRPr="002F777E">
          <w:rPr>
            <w:rStyle w:val="Hyperlink"/>
            <w:sz w:val="24"/>
            <w:szCs w:val="24"/>
          </w:rPr>
          <w:t>https://www.regulations.gov/#!documentDetail;D=EPA-HQ-OPPT-2014-0735-0016</w:t>
        </w:r>
      </w:hyperlink>
      <w:r>
        <w:rPr>
          <w:sz w:val="24"/>
          <w:szCs w:val="24"/>
        </w:rPr>
        <w:t xml:space="preserve"> (posted October 5, 2015).</w:t>
      </w:r>
    </w:p>
    <w:p w14:paraId="7FD0F21F" w14:textId="77777777" w:rsidR="008D4A8A" w:rsidRPr="006F4587" w:rsidRDefault="008D4A8A" w:rsidP="008D4A8A">
      <w:pPr>
        <w:autoSpaceDE/>
        <w:autoSpaceDN/>
        <w:adjustRightInd/>
        <w:spacing w:after="240"/>
        <w:ind w:left="720" w:hanging="720"/>
        <w:rPr>
          <w:sz w:val="24"/>
          <w:szCs w:val="24"/>
        </w:rPr>
      </w:pPr>
      <w:r w:rsidRPr="006F4587">
        <w:rPr>
          <w:sz w:val="24"/>
          <w:szCs w:val="24"/>
        </w:rPr>
        <w:t>U.S. Office of Personnel Management (OPM). 201</w:t>
      </w:r>
      <w:r>
        <w:rPr>
          <w:sz w:val="24"/>
          <w:szCs w:val="24"/>
        </w:rPr>
        <w:t>5</w:t>
      </w:r>
      <w:r w:rsidRPr="006F4587">
        <w:rPr>
          <w:sz w:val="24"/>
          <w:szCs w:val="24"/>
        </w:rPr>
        <w:t>. Salary Table 201</w:t>
      </w:r>
      <w:r>
        <w:rPr>
          <w:sz w:val="24"/>
          <w:szCs w:val="24"/>
        </w:rPr>
        <w:t>5</w:t>
      </w:r>
      <w:r w:rsidRPr="006F4587">
        <w:rPr>
          <w:sz w:val="24"/>
          <w:szCs w:val="24"/>
        </w:rPr>
        <w:t>-DCB. Retrieved March 19, 2015 from Pay &amp; Leave: Salaries &amp; Wages: www.opm.gov/policy-data-oversight/pay-leave/salaries-wages/salary-tables/1</w:t>
      </w:r>
      <w:r>
        <w:rPr>
          <w:sz w:val="24"/>
          <w:szCs w:val="24"/>
        </w:rPr>
        <w:t>5</w:t>
      </w:r>
      <w:r w:rsidRPr="006F4587">
        <w:rPr>
          <w:sz w:val="24"/>
          <w:szCs w:val="24"/>
        </w:rPr>
        <w:t>Tables/html/DCB_h.aspx.</w:t>
      </w:r>
    </w:p>
    <w:p w14:paraId="10C53DB3" w14:textId="6B93B278" w:rsidR="00160CC8" w:rsidRPr="005276D2" w:rsidRDefault="00160CC8" w:rsidP="00160CC8">
      <w:pPr>
        <w:spacing w:before="252"/>
        <w:ind w:left="720" w:hanging="720"/>
        <w:jc w:val="both"/>
        <w:rPr>
          <w:sz w:val="24"/>
          <w:szCs w:val="24"/>
        </w:rPr>
      </w:pPr>
    </w:p>
    <w:p w14:paraId="79DCC022" w14:textId="77777777" w:rsidR="00160CC8" w:rsidRDefault="00160CC8" w:rsidP="00160CC8"/>
    <w:p w14:paraId="24C3DCD4" w14:textId="77777777" w:rsidR="00841B82" w:rsidRDefault="00841B82" w:rsidP="00160CC8">
      <w:pPr>
        <w:jc w:val="center"/>
        <w:rPr>
          <w:sz w:val="24"/>
          <w:szCs w:val="24"/>
        </w:rPr>
      </w:pPr>
    </w:p>
    <w:p w14:paraId="08FB69E4" w14:textId="77777777" w:rsidR="00160CC8" w:rsidRDefault="00160CC8" w:rsidP="00841B82">
      <w:pPr>
        <w:rPr>
          <w:sz w:val="24"/>
          <w:szCs w:val="24"/>
        </w:rPr>
      </w:pPr>
    </w:p>
    <w:p w14:paraId="3019FE23" w14:textId="77777777" w:rsidR="00160CC8" w:rsidRDefault="00160CC8" w:rsidP="00841B82">
      <w:pPr>
        <w:rPr>
          <w:sz w:val="24"/>
          <w:szCs w:val="24"/>
        </w:rPr>
      </w:pPr>
    </w:p>
    <w:p w14:paraId="703741EE" w14:textId="77777777" w:rsidR="00160CC8" w:rsidRDefault="00160CC8" w:rsidP="00841B82">
      <w:pPr>
        <w:rPr>
          <w:sz w:val="24"/>
          <w:szCs w:val="24"/>
        </w:rPr>
      </w:pPr>
    </w:p>
    <w:p w14:paraId="12E930AA" w14:textId="77777777" w:rsidR="00160CC8" w:rsidRDefault="00160CC8" w:rsidP="00841B82">
      <w:pPr>
        <w:rPr>
          <w:sz w:val="24"/>
          <w:szCs w:val="24"/>
        </w:rPr>
      </w:pPr>
    </w:p>
    <w:p w14:paraId="16FC9E23" w14:textId="77777777" w:rsidR="00160CC8" w:rsidRDefault="00160CC8" w:rsidP="00841B82">
      <w:pPr>
        <w:rPr>
          <w:sz w:val="24"/>
          <w:szCs w:val="24"/>
        </w:rPr>
      </w:pPr>
    </w:p>
    <w:p w14:paraId="744B56EA" w14:textId="77777777" w:rsidR="00160CC8" w:rsidRDefault="00160CC8" w:rsidP="00841B82">
      <w:pPr>
        <w:rPr>
          <w:sz w:val="24"/>
          <w:szCs w:val="24"/>
        </w:rPr>
      </w:pPr>
    </w:p>
    <w:p w14:paraId="095243AD" w14:textId="77777777" w:rsidR="00160CC8" w:rsidRDefault="00160CC8" w:rsidP="00841B82">
      <w:pPr>
        <w:rPr>
          <w:sz w:val="24"/>
          <w:szCs w:val="24"/>
        </w:rPr>
      </w:pPr>
    </w:p>
    <w:p w14:paraId="33FAF048" w14:textId="77777777" w:rsidR="00160CC8" w:rsidRDefault="00160CC8" w:rsidP="00841B82">
      <w:pPr>
        <w:rPr>
          <w:sz w:val="24"/>
          <w:szCs w:val="24"/>
        </w:rPr>
      </w:pPr>
    </w:p>
    <w:p w14:paraId="3CE0C8FB" w14:textId="77777777" w:rsidR="00160CC8" w:rsidRDefault="00160CC8" w:rsidP="00841B82">
      <w:pPr>
        <w:rPr>
          <w:sz w:val="24"/>
          <w:szCs w:val="24"/>
        </w:rPr>
      </w:pPr>
    </w:p>
    <w:p w14:paraId="168B2253" w14:textId="77777777" w:rsidR="00160CC8" w:rsidRDefault="00160CC8" w:rsidP="00841B82">
      <w:pPr>
        <w:rPr>
          <w:sz w:val="24"/>
          <w:szCs w:val="24"/>
        </w:rPr>
      </w:pPr>
    </w:p>
    <w:p w14:paraId="72B07529" w14:textId="77777777" w:rsidR="00160CC8" w:rsidRDefault="00160CC8" w:rsidP="00841B82">
      <w:pPr>
        <w:rPr>
          <w:sz w:val="24"/>
          <w:szCs w:val="24"/>
        </w:rPr>
      </w:pPr>
    </w:p>
    <w:p w14:paraId="62314FB6" w14:textId="77777777" w:rsidR="00160CC8" w:rsidRDefault="00160CC8" w:rsidP="00841B82">
      <w:pPr>
        <w:rPr>
          <w:sz w:val="24"/>
          <w:szCs w:val="24"/>
        </w:rPr>
      </w:pPr>
    </w:p>
    <w:sectPr w:rsidR="00160CC8" w:rsidSect="00C95FC3">
      <w:headerReference w:type="even" r:id="rId20"/>
      <w:headerReference w:type="default" r:id="rId21"/>
      <w:footerReference w:type="even" r:id="rId22"/>
      <w:footerReference w:type="default" r:id="rId23"/>
      <w:footerReference w:type="first" r:id="rI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EA17BB" w14:textId="77777777" w:rsidR="00D130F6" w:rsidRDefault="00D130F6">
      <w:r>
        <w:separator/>
      </w:r>
    </w:p>
  </w:endnote>
  <w:endnote w:type="continuationSeparator" w:id="0">
    <w:p w14:paraId="5995EE08" w14:textId="77777777" w:rsidR="00D130F6" w:rsidRDefault="00D13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48A7D" w14:textId="77777777" w:rsidR="00D130F6" w:rsidRDefault="00D130F6" w:rsidP="005261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319F6D" w14:textId="77777777" w:rsidR="00D130F6" w:rsidRDefault="00D130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024E5" w14:textId="343BBC95" w:rsidR="00D130F6" w:rsidRDefault="00D130F6" w:rsidP="005261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1E82">
      <w:rPr>
        <w:rStyle w:val="PageNumber"/>
        <w:noProof/>
      </w:rPr>
      <w:t>- 2 -</w:t>
    </w:r>
    <w:r>
      <w:rPr>
        <w:rStyle w:val="PageNumber"/>
      </w:rPr>
      <w:fldChar w:fldCharType="end"/>
    </w:r>
  </w:p>
  <w:p w14:paraId="65442F5E" w14:textId="77777777" w:rsidR="00D130F6" w:rsidRDefault="00D130F6" w:rsidP="00F82E88">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3D330" w14:textId="77777777" w:rsidR="00D130F6" w:rsidRDefault="00D130F6" w:rsidP="00F47779">
    <w:pPr>
      <w:tabs>
        <w:tab w:val="left" w:pos="4590"/>
        <w:tab w:val="left" w:pos="7911"/>
      </w:tabs>
      <w:rPr>
        <w:sz w:val="16"/>
        <w:szCs w:val="16"/>
      </w:rPr>
    </w:pPr>
    <w:r>
      <w:rPr>
        <w:sz w:val="16"/>
        <w:szCs w:val="16"/>
      </w:rPr>
      <w:t>Economic Analysis of Expedited SNURs, Docket OPPT</w:t>
    </w:r>
    <w:r w:rsidRPr="006F3E00">
      <w:rPr>
        <w:sz w:val="16"/>
        <w:szCs w:val="16"/>
      </w:rPr>
      <w:t>-2008-251</w:t>
    </w:r>
    <w:r>
      <w:rPr>
        <w:sz w:val="16"/>
        <w:szCs w:val="16"/>
      </w:rPr>
      <w:tab/>
      <w:t xml:space="preserve">                                </w:t>
    </w:r>
    <w:r>
      <w:rPr>
        <w:spacing w:val="2"/>
        <w:sz w:val="16"/>
        <w:szCs w:val="16"/>
      </w:rPr>
      <w:t>B-</w:t>
    </w:r>
    <w:r>
      <w:rPr>
        <w:spacing w:val="2"/>
        <w:sz w:val="16"/>
        <w:szCs w:val="16"/>
      </w:rPr>
      <w:fldChar w:fldCharType="begin"/>
    </w:r>
    <w:r>
      <w:rPr>
        <w:spacing w:val="2"/>
        <w:sz w:val="16"/>
        <w:szCs w:val="16"/>
      </w:rPr>
      <w:instrText xml:space="preserve"> PAGE </w:instrText>
    </w:r>
    <w:r>
      <w:rPr>
        <w:spacing w:val="2"/>
        <w:sz w:val="16"/>
        <w:szCs w:val="16"/>
      </w:rPr>
      <w:fldChar w:fldCharType="separate"/>
    </w:r>
    <w:r>
      <w:rPr>
        <w:noProof/>
        <w:spacing w:val="2"/>
        <w:sz w:val="16"/>
        <w:szCs w:val="16"/>
      </w:rPr>
      <w:t>4</w:t>
    </w:r>
    <w:r>
      <w:rPr>
        <w:spacing w:val="2"/>
        <w:sz w:val="16"/>
        <w:szCs w:val="16"/>
      </w:rPr>
      <w:fldChar w:fldCharType="end"/>
    </w:r>
    <w:r>
      <w:rPr>
        <w:spacing w:val="2"/>
        <w:sz w:val="16"/>
        <w:szCs w:val="16"/>
      </w:rPr>
      <w:t xml:space="preserve">                                      </w:t>
    </w:r>
    <w:r>
      <w:rPr>
        <w:sz w:val="16"/>
        <w:szCs w:val="16"/>
      </w:rPr>
      <w:t>July 2</w:t>
    </w:r>
    <w:r>
      <w:rPr>
        <w:sz w:val="18"/>
        <w:szCs w:val="18"/>
      </w:rPr>
      <w:t>, 2008</w:t>
    </w:r>
    <w:r>
      <w:rPr>
        <w:spacing w:val="2"/>
        <w:sz w:val="16"/>
        <w:szCs w:val="16"/>
      </w:rPr>
      <w:t xml:space="preserve">                                                                     </w:t>
    </w:r>
    <w:r>
      <w:rPr>
        <w:spacing w:val="2"/>
        <w:sz w:val="16"/>
        <w:szCs w:val="16"/>
      </w:rPr>
      <w:tab/>
    </w:r>
  </w:p>
  <w:p w14:paraId="3529C502" w14:textId="77777777" w:rsidR="00D130F6" w:rsidRDefault="00D130F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F3A27" w14:textId="77777777" w:rsidR="00D130F6" w:rsidRDefault="00D130F6" w:rsidP="00F47779">
    <w:pPr>
      <w:tabs>
        <w:tab w:val="left" w:pos="4590"/>
        <w:tab w:val="left" w:pos="7911"/>
      </w:tabs>
      <w:rPr>
        <w:sz w:val="16"/>
        <w:szCs w:val="16"/>
      </w:rPr>
    </w:pPr>
    <w:r>
      <w:rPr>
        <w:sz w:val="16"/>
        <w:szCs w:val="16"/>
      </w:rPr>
      <w:t xml:space="preserve">                                        </w:t>
    </w:r>
    <w:r>
      <w:rPr>
        <w:spacing w:val="2"/>
        <w:sz w:val="16"/>
        <w:szCs w:val="16"/>
      </w:rPr>
      <w:tab/>
      <w:t xml:space="preserve">                                                                     </w:t>
    </w:r>
    <w:r>
      <w:rPr>
        <w:spacing w:val="2"/>
        <w:sz w:val="16"/>
        <w:szCs w:val="16"/>
      </w:rPr>
      <w:tab/>
    </w:r>
  </w:p>
  <w:p w14:paraId="5E96EB91" w14:textId="77777777" w:rsidR="00D130F6" w:rsidRDefault="00D130F6">
    <w:r>
      <w:rPr>
        <w:noProof/>
      </w:rPr>
      <mc:AlternateContent>
        <mc:Choice Requires="wps">
          <w:drawing>
            <wp:anchor distT="0" distB="0" distL="0" distR="0" simplePos="0" relativeHeight="251658240" behindDoc="0" locked="0" layoutInCell="1" allowOverlap="1" wp14:anchorId="41344720" wp14:editId="0D995BF0">
              <wp:simplePos x="0" y="0"/>
              <wp:positionH relativeFrom="page">
                <wp:posOffset>851535</wp:posOffset>
              </wp:positionH>
              <wp:positionV relativeFrom="page">
                <wp:posOffset>9260840</wp:posOffset>
              </wp:positionV>
              <wp:extent cx="6400800" cy="196215"/>
              <wp:effectExtent l="0" t="0" r="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F9D6B" w14:textId="77777777" w:rsidR="00D130F6" w:rsidRPr="00160CC8" w:rsidRDefault="00D130F6">
                          <w:pPr>
                            <w:tabs>
                              <w:tab w:val="left" w:pos="4590"/>
                              <w:tab w:val="left" w:pos="7911"/>
                            </w:tabs>
                          </w:pPr>
                          <w:r>
                            <w:rPr>
                              <w:sz w:val="16"/>
                              <w:szCs w:val="16"/>
                            </w:rPr>
                            <w:tab/>
                          </w:r>
                          <w:r w:rsidRPr="00160CC8">
                            <w:rPr>
                              <w:spacing w:val="2"/>
                            </w:rPr>
                            <w:tab/>
                          </w:r>
                        </w:p>
                        <w:p w14:paraId="10B70A36" w14:textId="77777777" w:rsidR="00D130F6" w:rsidRDefault="00D130F6">
                          <w:pPr>
                            <w:tabs>
                              <w:tab w:val="left" w:pos="4608"/>
                              <w:tab w:val="left" w:pos="792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7.05pt;margin-top:729.2pt;width:7in;height:15.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" filled="f" stroked="f">
              <v:textbox inset="0,0,0,0">
                <w:txbxContent>
                  <w:p w14:paraId="6F2F9D6B" w14:textId="77777777" w:rsidR="00D130F6" w:rsidRPr="00160CC8" w:rsidRDefault="00D130F6">
                    <w:pPr>
                      <w:tabs>
                        <w:tab w:val="left" w:pos="4590"/>
                        <w:tab w:val="left" w:pos="7911"/>
                      </w:tabs>
                    </w:pPr>
                    <w:r>
                      <w:rPr>
                        <w:sz w:val="16"/>
                        <w:szCs w:val="16"/>
                      </w:rPr>
                      <w:tab/>
                    </w:r>
                    <w:r w:rsidRPr="00160CC8">
                      <w:rPr>
                        <w:spacing w:val="2"/>
                      </w:rPr>
                      <w:tab/>
                    </w:r>
                  </w:p>
                  <w:p w14:paraId="10B70A36" w14:textId="77777777" w:rsidR="00D130F6" w:rsidRDefault="00D130F6">
                    <w:pPr>
                      <w:tabs>
                        <w:tab w:val="left" w:pos="4608"/>
                        <w:tab w:val="left" w:pos="7920"/>
                      </w:tabs>
                    </w:pPr>
                  </w:p>
                </w:txbxContent>
              </v:textbox>
              <w10:wrap type="square"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53296" w14:textId="77777777" w:rsidR="00D130F6" w:rsidRDefault="00D130F6" w:rsidP="006515F9">
    <w:pPr>
      <w:pStyle w:val="Footer"/>
      <w:tabs>
        <w:tab w:val="center" w:pos="6480"/>
        <w:tab w:val="right" w:pos="12960"/>
      </w:tabs>
      <w:jc w:val="center"/>
    </w:pPr>
    <w:r w:rsidRPr="00160CC8">
      <w:rPr>
        <w:rStyle w:val="PageNumber"/>
        <w:bCs/>
        <w:szCs w:val="16"/>
      </w:rPr>
      <w:fldChar w:fldCharType="begin"/>
    </w:r>
    <w:r w:rsidRPr="00160CC8">
      <w:rPr>
        <w:rStyle w:val="PageNumber"/>
        <w:bCs/>
        <w:szCs w:val="16"/>
      </w:rPr>
      <w:instrText xml:space="preserve"> PAGE </w:instrText>
    </w:r>
    <w:r w:rsidRPr="00160CC8">
      <w:rPr>
        <w:rStyle w:val="PageNumber"/>
        <w:bCs/>
        <w:szCs w:val="16"/>
      </w:rPr>
      <w:fldChar w:fldCharType="separate"/>
    </w:r>
    <w:r>
      <w:rPr>
        <w:rStyle w:val="PageNumber"/>
        <w:bCs/>
        <w:noProof/>
        <w:szCs w:val="16"/>
      </w:rPr>
      <w:t>3</w:t>
    </w:r>
    <w:r w:rsidRPr="00160CC8">
      <w:rPr>
        <w:rStyle w:val="PageNumber"/>
        <w:bCs/>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938D54" w14:textId="77777777" w:rsidR="00D130F6" w:rsidRDefault="00D130F6">
      <w:r>
        <w:separator/>
      </w:r>
    </w:p>
  </w:footnote>
  <w:footnote w:type="continuationSeparator" w:id="0">
    <w:p w14:paraId="57DE5543" w14:textId="77777777" w:rsidR="00D130F6" w:rsidRDefault="00D130F6">
      <w:r>
        <w:continuationSeparator/>
      </w:r>
    </w:p>
  </w:footnote>
  <w:footnote w:id="1">
    <w:p w14:paraId="5305C3A0" w14:textId="77777777" w:rsidR="00D130F6" w:rsidRDefault="00D130F6" w:rsidP="000951CF">
      <w:pPr>
        <w:ind w:firstLine="720"/>
        <w:rPr>
          <w:sz w:val="24"/>
          <w:szCs w:val="24"/>
        </w:rPr>
      </w:pPr>
      <w:r>
        <w:rPr>
          <w:rStyle w:val="FootnoteReference"/>
        </w:rPr>
        <w:footnoteRef/>
      </w:r>
      <w:r>
        <w:t xml:space="preserve"> </w:t>
      </w:r>
      <w:r w:rsidRPr="00917216">
        <w:t xml:space="preserve">Although no follow-up </w:t>
      </w:r>
      <w:r w:rsidRPr="00BE1C78">
        <w:rPr>
          <w:szCs w:val="24"/>
        </w:rPr>
        <w:t>FYI submissions were received during fiscal years 2013, 2014</w:t>
      </w:r>
      <w:r>
        <w:rPr>
          <w:szCs w:val="24"/>
        </w:rPr>
        <w:t>,</w:t>
      </w:r>
      <w:r w:rsidRPr="00BE1C78">
        <w:rPr>
          <w:szCs w:val="24"/>
        </w:rPr>
        <w:t xml:space="preserve"> and 2015, EPA conservatively estimates an average of one submission annually during the</w:t>
      </w:r>
      <w:r>
        <w:rPr>
          <w:szCs w:val="24"/>
        </w:rPr>
        <w:t xml:space="preserve"> next </w:t>
      </w:r>
      <w:r w:rsidRPr="00BE1C78">
        <w:rPr>
          <w:szCs w:val="24"/>
        </w:rPr>
        <w:t>ICR period.</w:t>
      </w:r>
      <w:r>
        <w:rPr>
          <w:sz w:val="24"/>
          <w:szCs w:val="24"/>
        </w:rPr>
        <w:t xml:space="preserve">  </w:t>
      </w:r>
    </w:p>
    <w:p w14:paraId="1F2EAC9D" w14:textId="77777777" w:rsidR="00D130F6" w:rsidRDefault="00D130F6" w:rsidP="000951C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2011A" w14:textId="3AFAE84D" w:rsidR="00D130F6" w:rsidRDefault="00D130F6" w:rsidP="0036663B">
    <w:pPr>
      <w:pStyle w:val="Header"/>
      <w:jc w:val="right"/>
    </w:pPr>
    <w:r>
      <w:t>February 15, 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73A68" w14:textId="77777777" w:rsidR="00D130F6" w:rsidRPr="00D83CAB" w:rsidRDefault="00D130F6" w:rsidP="00F477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8C7DD" w14:textId="77777777" w:rsidR="00D130F6" w:rsidRDefault="00D130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7194"/>
    <w:multiLevelType w:val="hybridMultilevel"/>
    <w:tmpl w:val="5EA09E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654BBA"/>
    <w:multiLevelType w:val="hybridMultilevel"/>
    <w:tmpl w:val="E9202D8E"/>
    <w:lvl w:ilvl="0" w:tplc="0409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A25FDB"/>
    <w:multiLevelType w:val="hybridMultilevel"/>
    <w:tmpl w:val="28665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7222D11"/>
    <w:multiLevelType w:val="hybridMultilevel"/>
    <w:tmpl w:val="1F08EE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297900"/>
    <w:multiLevelType w:val="hybridMultilevel"/>
    <w:tmpl w:val="98B6F888"/>
    <w:lvl w:ilvl="0" w:tplc="CBBEDF6A">
      <w:start w:val="1"/>
      <w:numFmt w:val="lowerRoman"/>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6204419"/>
    <w:multiLevelType w:val="hybridMultilevel"/>
    <w:tmpl w:val="612A24A6"/>
    <w:lvl w:ilvl="0" w:tplc="9DA2F64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B3A0D29"/>
    <w:multiLevelType w:val="hybridMultilevel"/>
    <w:tmpl w:val="2BF607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C7253EB"/>
    <w:multiLevelType w:val="hybridMultilevel"/>
    <w:tmpl w:val="EE9A3AB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A01620"/>
    <w:multiLevelType w:val="hybridMultilevel"/>
    <w:tmpl w:val="955C72DC"/>
    <w:lvl w:ilvl="0" w:tplc="C0FE55D8">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9">
    <w:nsid w:val="371D105C"/>
    <w:multiLevelType w:val="hybridMultilevel"/>
    <w:tmpl w:val="1008749E"/>
    <w:lvl w:ilvl="0" w:tplc="9DA2F64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8572DB8"/>
    <w:multiLevelType w:val="hybridMultilevel"/>
    <w:tmpl w:val="42CC083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952491A"/>
    <w:multiLevelType w:val="hybridMultilevel"/>
    <w:tmpl w:val="8194AA90"/>
    <w:lvl w:ilvl="0" w:tplc="0409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4E3A7B"/>
    <w:multiLevelType w:val="hybridMultilevel"/>
    <w:tmpl w:val="78F2450E"/>
    <w:lvl w:ilvl="0" w:tplc="0409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8A1E2F"/>
    <w:multiLevelType w:val="hybridMultilevel"/>
    <w:tmpl w:val="502403C4"/>
    <w:lvl w:ilvl="0" w:tplc="0409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46217C"/>
    <w:multiLevelType w:val="hybridMultilevel"/>
    <w:tmpl w:val="785254A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4773EC4"/>
    <w:multiLevelType w:val="hybridMultilevel"/>
    <w:tmpl w:val="0DE2EB24"/>
    <w:lvl w:ilvl="0" w:tplc="0046D6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D734771"/>
    <w:multiLevelType w:val="hybridMultilevel"/>
    <w:tmpl w:val="007279DE"/>
    <w:lvl w:ilvl="0" w:tplc="0409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196453"/>
    <w:multiLevelType w:val="hybridMultilevel"/>
    <w:tmpl w:val="FB00F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8032CC"/>
    <w:multiLevelType w:val="hybridMultilevel"/>
    <w:tmpl w:val="055ABA96"/>
    <w:lvl w:ilvl="0" w:tplc="0409001B">
      <w:start w:val="1"/>
      <w:numFmt w:val="lowerRoman"/>
      <w:lvlText w:val="%1."/>
      <w:lvlJc w:val="right"/>
      <w:pPr>
        <w:ind w:left="1440" w:hanging="360"/>
      </w:pPr>
    </w:lvl>
    <w:lvl w:ilvl="1" w:tplc="9662AC68">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97C0AC1"/>
    <w:multiLevelType w:val="hybridMultilevel"/>
    <w:tmpl w:val="3B9EAB36"/>
    <w:lvl w:ilvl="0" w:tplc="9DA2F64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F474624"/>
    <w:multiLevelType w:val="hybridMultilevel"/>
    <w:tmpl w:val="9FB8DD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291295"/>
    <w:multiLevelType w:val="hybridMultilevel"/>
    <w:tmpl w:val="298424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45D5584"/>
    <w:multiLevelType w:val="hybridMultilevel"/>
    <w:tmpl w:val="D968F564"/>
    <w:lvl w:ilvl="0" w:tplc="0409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4723D0"/>
    <w:multiLevelType w:val="hybridMultilevel"/>
    <w:tmpl w:val="5B86C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FC59E8"/>
    <w:multiLevelType w:val="hybridMultilevel"/>
    <w:tmpl w:val="F22C13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19"/>
  </w:num>
  <w:num w:numId="3">
    <w:abstractNumId w:val="5"/>
  </w:num>
  <w:num w:numId="4">
    <w:abstractNumId w:val="9"/>
  </w:num>
  <w:num w:numId="5">
    <w:abstractNumId w:val="8"/>
  </w:num>
  <w:num w:numId="6">
    <w:abstractNumId w:val="24"/>
  </w:num>
  <w:num w:numId="7">
    <w:abstractNumId w:val="0"/>
  </w:num>
  <w:num w:numId="8">
    <w:abstractNumId w:val="2"/>
  </w:num>
  <w:num w:numId="9">
    <w:abstractNumId w:val="10"/>
  </w:num>
  <w:num w:numId="10">
    <w:abstractNumId w:val="20"/>
  </w:num>
  <w:num w:numId="11">
    <w:abstractNumId w:val="7"/>
  </w:num>
  <w:num w:numId="12">
    <w:abstractNumId w:val="18"/>
  </w:num>
  <w:num w:numId="13">
    <w:abstractNumId w:val="4"/>
  </w:num>
  <w:num w:numId="14">
    <w:abstractNumId w:val="14"/>
  </w:num>
  <w:num w:numId="15">
    <w:abstractNumId w:val="15"/>
  </w:num>
  <w:num w:numId="16">
    <w:abstractNumId w:val="22"/>
  </w:num>
  <w:num w:numId="17">
    <w:abstractNumId w:val="16"/>
  </w:num>
  <w:num w:numId="18">
    <w:abstractNumId w:val="11"/>
  </w:num>
  <w:num w:numId="19">
    <w:abstractNumId w:val="13"/>
  </w:num>
  <w:num w:numId="20">
    <w:abstractNumId w:val="12"/>
  </w:num>
  <w:num w:numId="21">
    <w:abstractNumId w:val="1"/>
  </w:num>
  <w:num w:numId="22">
    <w:abstractNumId w:val="21"/>
  </w:num>
  <w:num w:numId="23">
    <w:abstractNumId w:val="17"/>
  </w:num>
  <w:num w:numId="24">
    <w:abstractNumId w:val="3"/>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B82"/>
    <w:rsid w:val="0000110E"/>
    <w:rsid w:val="00002632"/>
    <w:rsid w:val="0000669F"/>
    <w:rsid w:val="00007DDB"/>
    <w:rsid w:val="00011CEE"/>
    <w:rsid w:val="00012A51"/>
    <w:rsid w:val="00022774"/>
    <w:rsid w:val="00022997"/>
    <w:rsid w:val="0003121F"/>
    <w:rsid w:val="00041540"/>
    <w:rsid w:val="00041E82"/>
    <w:rsid w:val="00046149"/>
    <w:rsid w:val="00053E5B"/>
    <w:rsid w:val="00064A53"/>
    <w:rsid w:val="000738A4"/>
    <w:rsid w:val="0007765B"/>
    <w:rsid w:val="0008490C"/>
    <w:rsid w:val="000929DE"/>
    <w:rsid w:val="000951CF"/>
    <w:rsid w:val="000A1D0B"/>
    <w:rsid w:val="000A328E"/>
    <w:rsid w:val="000A3BC8"/>
    <w:rsid w:val="000A4C31"/>
    <w:rsid w:val="000A7943"/>
    <w:rsid w:val="000B1BE4"/>
    <w:rsid w:val="000B1C5E"/>
    <w:rsid w:val="000B353E"/>
    <w:rsid w:val="000B5063"/>
    <w:rsid w:val="000B72E9"/>
    <w:rsid w:val="000B79DE"/>
    <w:rsid w:val="000C287E"/>
    <w:rsid w:val="000C7789"/>
    <w:rsid w:val="000C7F91"/>
    <w:rsid w:val="000D0B6E"/>
    <w:rsid w:val="000D4123"/>
    <w:rsid w:val="000D5AE2"/>
    <w:rsid w:val="000D70CA"/>
    <w:rsid w:val="000E0FFC"/>
    <w:rsid w:val="000E4793"/>
    <w:rsid w:val="000F6C50"/>
    <w:rsid w:val="00100FF0"/>
    <w:rsid w:val="0010113C"/>
    <w:rsid w:val="001045E7"/>
    <w:rsid w:val="0010648B"/>
    <w:rsid w:val="00127295"/>
    <w:rsid w:val="00130DA1"/>
    <w:rsid w:val="001334C3"/>
    <w:rsid w:val="00134EF5"/>
    <w:rsid w:val="00135A8B"/>
    <w:rsid w:val="00135F35"/>
    <w:rsid w:val="001413A5"/>
    <w:rsid w:val="001431DC"/>
    <w:rsid w:val="0015068A"/>
    <w:rsid w:val="001524DC"/>
    <w:rsid w:val="00160CC8"/>
    <w:rsid w:val="001670EB"/>
    <w:rsid w:val="0017474A"/>
    <w:rsid w:val="0017567E"/>
    <w:rsid w:val="00175E9C"/>
    <w:rsid w:val="00175EB1"/>
    <w:rsid w:val="001A0BBA"/>
    <w:rsid w:val="001A1F20"/>
    <w:rsid w:val="001A4D88"/>
    <w:rsid w:val="001B6C9A"/>
    <w:rsid w:val="001C3982"/>
    <w:rsid w:val="001D3E49"/>
    <w:rsid w:val="001D7333"/>
    <w:rsid w:val="001E548D"/>
    <w:rsid w:val="001F4DFF"/>
    <w:rsid w:val="00204043"/>
    <w:rsid w:val="002068FE"/>
    <w:rsid w:val="0021124F"/>
    <w:rsid w:val="0021638E"/>
    <w:rsid w:val="00217EFA"/>
    <w:rsid w:val="00225FD0"/>
    <w:rsid w:val="0023612A"/>
    <w:rsid w:val="0024075B"/>
    <w:rsid w:val="0024106F"/>
    <w:rsid w:val="00241FA2"/>
    <w:rsid w:val="00253AD2"/>
    <w:rsid w:val="00254B30"/>
    <w:rsid w:val="002620D5"/>
    <w:rsid w:val="002622AE"/>
    <w:rsid w:val="002628D3"/>
    <w:rsid w:val="00263386"/>
    <w:rsid w:val="00274375"/>
    <w:rsid w:val="00283F94"/>
    <w:rsid w:val="002911CF"/>
    <w:rsid w:val="002947CD"/>
    <w:rsid w:val="00294D68"/>
    <w:rsid w:val="0029674F"/>
    <w:rsid w:val="002A310F"/>
    <w:rsid w:val="002C7EAB"/>
    <w:rsid w:val="002D2B7F"/>
    <w:rsid w:val="002D4C8D"/>
    <w:rsid w:val="002D5487"/>
    <w:rsid w:val="002E622D"/>
    <w:rsid w:val="002F2A2E"/>
    <w:rsid w:val="003008A0"/>
    <w:rsid w:val="003014CB"/>
    <w:rsid w:val="00303B0C"/>
    <w:rsid w:val="0030427F"/>
    <w:rsid w:val="003106C6"/>
    <w:rsid w:val="00310D39"/>
    <w:rsid w:val="0031520C"/>
    <w:rsid w:val="00316651"/>
    <w:rsid w:val="003227A5"/>
    <w:rsid w:val="00331EDF"/>
    <w:rsid w:val="00337086"/>
    <w:rsid w:val="003375DA"/>
    <w:rsid w:val="00352601"/>
    <w:rsid w:val="00353418"/>
    <w:rsid w:val="0035752D"/>
    <w:rsid w:val="0036663B"/>
    <w:rsid w:val="0036667D"/>
    <w:rsid w:val="00376599"/>
    <w:rsid w:val="003856DD"/>
    <w:rsid w:val="003872B4"/>
    <w:rsid w:val="003872BC"/>
    <w:rsid w:val="00392F06"/>
    <w:rsid w:val="00396651"/>
    <w:rsid w:val="003A170E"/>
    <w:rsid w:val="003A327C"/>
    <w:rsid w:val="003A5895"/>
    <w:rsid w:val="003B03DB"/>
    <w:rsid w:val="003B0E05"/>
    <w:rsid w:val="003B19CE"/>
    <w:rsid w:val="003B4059"/>
    <w:rsid w:val="003B7DB0"/>
    <w:rsid w:val="003D39DF"/>
    <w:rsid w:val="003D6671"/>
    <w:rsid w:val="003E28E9"/>
    <w:rsid w:val="003E2C1B"/>
    <w:rsid w:val="003E6888"/>
    <w:rsid w:val="003F1A54"/>
    <w:rsid w:val="003F20EF"/>
    <w:rsid w:val="003F7E8B"/>
    <w:rsid w:val="0040252F"/>
    <w:rsid w:val="00402BC2"/>
    <w:rsid w:val="00415AA1"/>
    <w:rsid w:val="004175B8"/>
    <w:rsid w:val="00420E02"/>
    <w:rsid w:val="0042738E"/>
    <w:rsid w:val="004277DA"/>
    <w:rsid w:val="00431C02"/>
    <w:rsid w:val="004323AD"/>
    <w:rsid w:val="00440FD9"/>
    <w:rsid w:val="0044285D"/>
    <w:rsid w:val="00442F7B"/>
    <w:rsid w:val="004437AA"/>
    <w:rsid w:val="00446965"/>
    <w:rsid w:val="004471C8"/>
    <w:rsid w:val="00450B08"/>
    <w:rsid w:val="004538B6"/>
    <w:rsid w:val="004573FF"/>
    <w:rsid w:val="0046768F"/>
    <w:rsid w:val="00480FCE"/>
    <w:rsid w:val="004905A3"/>
    <w:rsid w:val="004921B4"/>
    <w:rsid w:val="00496D71"/>
    <w:rsid w:val="004B0116"/>
    <w:rsid w:val="004B538F"/>
    <w:rsid w:val="004C555F"/>
    <w:rsid w:val="004D01C0"/>
    <w:rsid w:val="004D29CD"/>
    <w:rsid w:val="004D30BE"/>
    <w:rsid w:val="004D3329"/>
    <w:rsid w:val="004D4DBB"/>
    <w:rsid w:val="004D5849"/>
    <w:rsid w:val="004D6AD6"/>
    <w:rsid w:val="004E31E4"/>
    <w:rsid w:val="004E3980"/>
    <w:rsid w:val="004E6007"/>
    <w:rsid w:val="004F4B17"/>
    <w:rsid w:val="00511D5D"/>
    <w:rsid w:val="00525638"/>
    <w:rsid w:val="0052613E"/>
    <w:rsid w:val="005276D2"/>
    <w:rsid w:val="00530722"/>
    <w:rsid w:val="005351DF"/>
    <w:rsid w:val="0054260E"/>
    <w:rsid w:val="00543E7E"/>
    <w:rsid w:val="00547003"/>
    <w:rsid w:val="00547552"/>
    <w:rsid w:val="0055596F"/>
    <w:rsid w:val="00556C4A"/>
    <w:rsid w:val="005730FB"/>
    <w:rsid w:val="00574DDE"/>
    <w:rsid w:val="00574FA7"/>
    <w:rsid w:val="0057618A"/>
    <w:rsid w:val="00582278"/>
    <w:rsid w:val="0058528C"/>
    <w:rsid w:val="00593655"/>
    <w:rsid w:val="00596810"/>
    <w:rsid w:val="00597DC0"/>
    <w:rsid w:val="005A2961"/>
    <w:rsid w:val="005A40D5"/>
    <w:rsid w:val="005A4C51"/>
    <w:rsid w:val="005B6133"/>
    <w:rsid w:val="005C6E32"/>
    <w:rsid w:val="005D0AF0"/>
    <w:rsid w:val="005D7C86"/>
    <w:rsid w:val="005E2350"/>
    <w:rsid w:val="005E27C6"/>
    <w:rsid w:val="005E50CD"/>
    <w:rsid w:val="005E53BF"/>
    <w:rsid w:val="005F6FEF"/>
    <w:rsid w:val="005F7B68"/>
    <w:rsid w:val="0060438E"/>
    <w:rsid w:val="00610F12"/>
    <w:rsid w:val="0061175C"/>
    <w:rsid w:val="006120A7"/>
    <w:rsid w:val="0062013F"/>
    <w:rsid w:val="00624989"/>
    <w:rsid w:val="0062748F"/>
    <w:rsid w:val="00631E3B"/>
    <w:rsid w:val="0063441F"/>
    <w:rsid w:val="00637668"/>
    <w:rsid w:val="006415CA"/>
    <w:rsid w:val="006421B1"/>
    <w:rsid w:val="00647F6B"/>
    <w:rsid w:val="006515F9"/>
    <w:rsid w:val="0065497E"/>
    <w:rsid w:val="006563BA"/>
    <w:rsid w:val="006620ED"/>
    <w:rsid w:val="00665088"/>
    <w:rsid w:val="00674F94"/>
    <w:rsid w:val="0068291D"/>
    <w:rsid w:val="00682D0F"/>
    <w:rsid w:val="00683478"/>
    <w:rsid w:val="00691838"/>
    <w:rsid w:val="00697609"/>
    <w:rsid w:val="006A4424"/>
    <w:rsid w:val="006B1D2A"/>
    <w:rsid w:val="006B3975"/>
    <w:rsid w:val="006B54A1"/>
    <w:rsid w:val="006C1A9D"/>
    <w:rsid w:val="006C24DA"/>
    <w:rsid w:val="006C4D89"/>
    <w:rsid w:val="006C7682"/>
    <w:rsid w:val="006D5115"/>
    <w:rsid w:val="006D6522"/>
    <w:rsid w:val="006E08CB"/>
    <w:rsid w:val="006E1DCA"/>
    <w:rsid w:val="006E6F0E"/>
    <w:rsid w:val="0070462E"/>
    <w:rsid w:val="00710697"/>
    <w:rsid w:val="0071309C"/>
    <w:rsid w:val="00713D12"/>
    <w:rsid w:val="00715D40"/>
    <w:rsid w:val="00731A8E"/>
    <w:rsid w:val="007369A9"/>
    <w:rsid w:val="00742151"/>
    <w:rsid w:val="00743FC7"/>
    <w:rsid w:val="00747B16"/>
    <w:rsid w:val="007524E9"/>
    <w:rsid w:val="00754233"/>
    <w:rsid w:val="007560C4"/>
    <w:rsid w:val="007626B2"/>
    <w:rsid w:val="00762937"/>
    <w:rsid w:val="00762ACF"/>
    <w:rsid w:val="00771F7D"/>
    <w:rsid w:val="00774C1D"/>
    <w:rsid w:val="00776F55"/>
    <w:rsid w:val="00782117"/>
    <w:rsid w:val="007848C1"/>
    <w:rsid w:val="00786FB0"/>
    <w:rsid w:val="0078773F"/>
    <w:rsid w:val="00790A0D"/>
    <w:rsid w:val="00791864"/>
    <w:rsid w:val="007A2BB5"/>
    <w:rsid w:val="007A6618"/>
    <w:rsid w:val="007B246D"/>
    <w:rsid w:val="007B5D3D"/>
    <w:rsid w:val="007C1238"/>
    <w:rsid w:val="007C2F0B"/>
    <w:rsid w:val="007C4C94"/>
    <w:rsid w:val="007C6512"/>
    <w:rsid w:val="007D36A7"/>
    <w:rsid w:val="007D5C54"/>
    <w:rsid w:val="007D5E5B"/>
    <w:rsid w:val="007D642E"/>
    <w:rsid w:val="007D6F46"/>
    <w:rsid w:val="007E0C81"/>
    <w:rsid w:val="007E312D"/>
    <w:rsid w:val="007E7FC5"/>
    <w:rsid w:val="007F3D9F"/>
    <w:rsid w:val="007F6C85"/>
    <w:rsid w:val="007F7963"/>
    <w:rsid w:val="008011DC"/>
    <w:rsid w:val="00804B2E"/>
    <w:rsid w:val="00806078"/>
    <w:rsid w:val="008137CC"/>
    <w:rsid w:val="00814DF4"/>
    <w:rsid w:val="00824293"/>
    <w:rsid w:val="00827632"/>
    <w:rsid w:val="00841B82"/>
    <w:rsid w:val="00842049"/>
    <w:rsid w:val="00845DCD"/>
    <w:rsid w:val="0084725C"/>
    <w:rsid w:val="00854F78"/>
    <w:rsid w:val="008658E0"/>
    <w:rsid w:val="008672C6"/>
    <w:rsid w:val="008733EE"/>
    <w:rsid w:val="00874F1B"/>
    <w:rsid w:val="00880CA3"/>
    <w:rsid w:val="00887F83"/>
    <w:rsid w:val="008904A4"/>
    <w:rsid w:val="00893B53"/>
    <w:rsid w:val="00893EFB"/>
    <w:rsid w:val="00893F2C"/>
    <w:rsid w:val="008B72FB"/>
    <w:rsid w:val="008C07D8"/>
    <w:rsid w:val="008C3621"/>
    <w:rsid w:val="008D1FEB"/>
    <w:rsid w:val="008D402B"/>
    <w:rsid w:val="008D4A8A"/>
    <w:rsid w:val="008D702D"/>
    <w:rsid w:val="008D74F8"/>
    <w:rsid w:val="008E18D0"/>
    <w:rsid w:val="008E451B"/>
    <w:rsid w:val="008E6C5F"/>
    <w:rsid w:val="008F43D3"/>
    <w:rsid w:val="0090103B"/>
    <w:rsid w:val="00903166"/>
    <w:rsid w:val="009113DE"/>
    <w:rsid w:val="009124B5"/>
    <w:rsid w:val="00913F9A"/>
    <w:rsid w:val="00923C14"/>
    <w:rsid w:val="009269F6"/>
    <w:rsid w:val="0092797B"/>
    <w:rsid w:val="00930558"/>
    <w:rsid w:val="0093312F"/>
    <w:rsid w:val="0093313B"/>
    <w:rsid w:val="009335A2"/>
    <w:rsid w:val="00933FFA"/>
    <w:rsid w:val="00942485"/>
    <w:rsid w:val="009424F2"/>
    <w:rsid w:val="00956863"/>
    <w:rsid w:val="009660D6"/>
    <w:rsid w:val="009675F4"/>
    <w:rsid w:val="009752A7"/>
    <w:rsid w:val="00983979"/>
    <w:rsid w:val="00985218"/>
    <w:rsid w:val="009A28A1"/>
    <w:rsid w:val="009A2F45"/>
    <w:rsid w:val="009A3280"/>
    <w:rsid w:val="009B0926"/>
    <w:rsid w:val="009B4433"/>
    <w:rsid w:val="009C1EBD"/>
    <w:rsid w:val="009D1C40"/>
    <w:rsid w:val="009D1F0F"/>
    <w:rsid w:val="009E031D"/>
    <w:rsid w:val="009E6395"/>
    <w:rsid w:val="009F1B59"/>
    <w:rsid w:val="009F733D"/>
    <w:rsid w:val="00A00192"/>
    <w:rsid w:val="00A029B2"/>
    <w:rsid w:val="00A04D0F"/>
    <w:rsid w:val="00A259B2"/>
    <w:rsid w:val="00A26CD9"/>
    <w:rsid w:val="00A26EC6"/>
    <w:rsid w:val="00A3073E"/>
    <w:rsid w:val="00A3602D"/>
    <w:rsid w:val="00A36102"/>
    <w:rsid w:val="00A366A8"/>
    <w:rsid w:val="00A41E1E"/>
    <w:rsid w:val="00A44604"/>
    <w:rsid w:val="00A47EFD"/>
    <w:rsid w:val="00A52BC9"/>
    <w:rsid w:val="00A55D6B"/>
    <w:rsid w:val="00A6008A"/>
    <w:rsid w:val="00A64CF9"/>
    <w:rsid w:val="00A65621"/>
    <w:rsid w:val="00A72E63"/>
    <w:rsid w:val="00A72F62"/>
    <w:rsid w:val="00A73072"/>
    <w:rsid w:val="00A76F06"/>
    <w:rsid w:val="00A80EE3"/>
    <w:rsid w:val="00A870E0"/>
    <w:rsid w:val="00A93F03"/>
    <w:rsid w:val="00AA03CF"/>
    <w:rsid w:val="00AA1107"/>
    <w:rsid w:val="00AA3CE4"/>
    <w:rsid w:val="00AA71AE"/>
    <w:rsid w:val="00AA7672"/>
    <w:rsid w:val="00AB3647"/>
    <w:rsid w:val="00AB5B4A"/>
    <w:rsid w:val="00AC55D7"/>
    <w:rsid w:val="00AE5054"/>
    <w:rsid w:val="00AF3AF1"/>
    <w:rsid w:val="00AF5053"/>
    <w:rsid w:val="00B02D30"/>
    <w:rsid w:val="00B05FCA"/>
    <w:rsid w:val="00B1700D"/>
    <w:rsid w:val="00B30A97"/>
    <w:rsid w:val="00B32F04"/>
    <w:rsid w:val="00B357C7"/>
    <w:rsid w:val="00B46915"/>
    <w:rsid w:val="00B609D7"/>
    <w:rsid w:val="00B916DD"/>
    <w:rsid w:val="00B918B4"/>
    <w:rsid w:val="00B921E2"/>
    <w:rsid w:val="00B93D35"/>
    <w:rsid w:val="00B97B51"/>
    <w:rsid w:val="00BA4989"/>
    <w:rsid w:val="00BA56A0"/>
    <w:rsid w:val="00BA65F8"/>
    <w:rsid w:val="00BA703C"/>
    <w:rsid w:val="00BB5D21"/>
    <w:rsid w:val="00BC526E"/>
    <w:rsid w:val="00BC5CD3"/>
    <w:rsid w:val="00BC7ADA"/>
    <w:rsid w:val="00BD1FDE"/>
    <w:rsid w:val="00BD20EA"/>
    <w:rsid w:val="00BD21A3"/>
    <w:rsid w:val="00BD2478"/>
    <w:rsid w:val="00BD25CD"/>
    <w:rsid w:val="00BE1652"/>
    <w:rsid w:val="00BE2599"/>
    <w:rsid w:val="00BE5BF2"/>
    <w:rsid w:val="00BF0032"/>
    <w:rsid w:val="00BF0E39"/>
    <w:rsid w:val="00BF37BF"/>
    <w:rsid w:val="00BF60AB"/>
    <w:rsid w:val="00C00965"/>
    <w:rsid w:val="00C03406"/>
    <w:rsid w:val="00C05BAC"/>
    <w:rsid w:val="00C16DD0"/>
    <w:rsid w:val="00C22A21"/>
    <w:rsid w:val="00C350FD"/>
    <w:rsid w:val="00C37347"/>
    <w:rsid w:val="00C4094E"/>
    <w:rsid w:val="00C434B0"/>
    <w:rsid w:val="00C45648"/>
    <w:rsid w:val="00C4674B"/>
    <w:rsid w:val="00C477DA"/>
    <w:rsid w:val="00C50D35"/>
    <w:rsid w:val="00C551EB"/>
    <w:rsid w:val="00C60E0D"/>
    <w:rsid w:val="00C61FC2"/>
    <w:rsid w:val="00C662B9"/>
    <w:rsid w:val="00C66977"/>
    <w:rsid w:val="00C73ABD"/>
    <w:rsid w:val="00C8117D"/>
    <w:rsid w:val="00C94327"/>
    <w:rsid w:val="00C946B8"/>
    <w:rsid w:val="00C95FC3"/>
    <w:rsid w:val="00CB01FD"/>
    <w:rsid w:val="00CB07AF"/>
    <w:rsid w:val="00CB4AEA"/>
    <w:rsid w:val="00CC1BAA"/>
    <w:rsid w:val="00CC53E4"/>
    <w:rsid w:val="00CD0C56"/>
    <w:rsid w:val="00CD0D67"/>
    <w:rsid w:val="00CD338F"/>
    <w:rsid w:val="00CE0C79"/>
    <w:rsid w:val="00CF400A"/>
    <w:rsid w:val="00CF4E91"/>
    <w:rsid w:val="00D05F13"/>
    <w:rsid w:val="00D103AA"/>
    <w:rsid w:val="00D130F6"/>
    <w:rsid w:val="00D138D5"/>
    <w:rsid w:val="00D15492"/>
    <w:rsid w:val="00D178AB"/>
    <w:rsid w:val="00D2799B"/>
    <w:rsid w:val="00D36A21"/>
    <w:rsid w:val="00D45E72"/>
    <w:rsid w:val="00D572E4"/>
    <w:rsid w:val="00D62F39"/>
    <w:rsid w:val="00D72511"/>
    <w:rsid w:val="00D756EA"/>
    <w:rsid w:val="00D80EDD"/>
    <w:rsid w:val="00D90223"/>
    <w:rsid w:val="00D96365"/>
    <w:rsid w:val="00DB0671"/>
    <w:rsid w:val="00DB3752"/>
    <w:rsid w:val="00DB648E"/>
    <w:rsid w:val="00DC3847"/>
    <w:rsid w:val="00DC458B"/>
    <w:rsid w:val="00DC5C04"/>
    <w:rsid w:val="00DD1D85"/>
    <w:rsid w:val="00DD5932"/>
    <w:rsid w:val="00DE6611"/>
    <w:rsid w:val="00DF3BEE"/>
    <w:rsid w:val="00DF48ED"/>
    <w:rsid w:val="00DF4C26"/>
    <w:rsid w:val="00DF5CF3"/>
    <w:rsid w:val="00DF7EF1"/>
    <w:rsid w:val="00E0617B"/>
    <w:rsid w:val="00E1394A"/>
    <w:rsid w:val="00E14049"/>
    <w:rsid w:val="00E1431E"/>
    <w:rsid w:val="00E1560D"/>
    <w:rsid w:val="00E207A4"/>
    <w:rsid w:val="00E277CE"/>
    <w:rsid w:val="00E433DA"/>
    <w:rsid w:val="00E43646"/>
    <w:rsid w:val="00E45FE3"/>
    <w:rsid w:val="00E5246C"/>
    <w:rsid w:val="00E53A5C"/>
    <w:rsid w:val="00E57907"/>
    <w:rsid w:val="00E65715"/>
    <w:rsid w:val="00E72382"/>
    <w:rsid w:val="00E725FC"/>
    <w:rsid w:val="00E73454"/>
    <w:rsid w:val="00E74DF3"/>
    <w:rsid w:val="00E95126"/>
    <w:rsid w:val="00EA583D"/>
    <w:rsid w:val="00EB2DC1"/>
    <w:rsid w:val="00EC7270"/>
    <w:rsid w:val="00ED4F3C"/>
    <w:rsid w:val="00EE0D24"/>
    <w:rsid w:val="00EE19B3"/>
    <w:rsid w:val="00EE5AA0"/>
    <w:rsid w:val="00EF0291"/>
    <w:rsid w:val="00F0353E"/>
    <w:rsid w:val="00F05334"/>
    <w:rsid w:val="00F1526B"/>
    <w:rsid w:val="00F2445B"/>
    <w:rsid w:val="00F4021F"/>
    <w:rsid w:val="00F421C3"/>
    <w:rsid w:val="00F44308"/>
    <w:rsid w:val="00F47779"/>
    <w:rsid w:val="00F600F8"/>
    <w:rsid w:val="00F6425A"/>
    <w:rsid w:val="00F67B3B"/>
    <w:rsid w:val="00F8125F"/>
    <w:rsid w:val="00F82E88"/>
    <w:rsid w:val="00F87254"/>
    <w:rsid w:val="00F926F1"/>
    <w:rsid w:val="00F93257"/>
    <w:rsid w:val="00FA03A3"/>
    <w:rsid w:val="00FA0958"/>
    <w:rsid w:val="00FA2D8A"/>
    <w:rsid w:val="00FA3788"/>
    <w:rsid w:val="00FB0E93"/>
    <w:rsid w:val="00FB2B89"/>
    <w:rsid w:val="00FB2DF9"/>
    <w:rsid w:val="00FB4677"/>
    <w:rsid w:val="00FC0216"/>
    <w:rsid w:val="00FC6164"/>
    <w:rsid w:val="00FD01B2"/>
    <w:rsid w:val="00FD54C4"/>
    <w:rsid w:val="00FD571E"/>
    <w:rsid w:val="00FD609E"/>
    <w:rsid w:val="00FE50A4"/>
    <w:rsid w:val="00FE7E32"/>
    <w:rsid w:val="00FF0A51"/>
    <w:rsid w:val="00FF0E2C"/>
    <w:rsid w:val="00FF3DB2"/>
    <w:rsid w:val="00FF427C"/>
    <w:rsid w:val="00FF446E"/>
    <w:rsid w:val="00FF61F5"/>
    <w:rsid w:val="00FF7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08FF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B82"/>
    <w:pPr>
      <w:autoSpaceDE w:val="0"/>
      <w:autoSpaceDN w:val="0"/>
      <w:adjustRightInd w:val="0"/>
    </w:pPr>
  </w:style>
  <w:style w:type="paragraph" w:styleId="Heading1">
    <w:name w:val="heading 1"/>
    <w:basedOn w:val="Normal"/>
    <w:next w:val="Normal"/>
    <w:qFormat/>
    <w:rsid w:val="00160CC8"/>
    <w:pPr>
      <w:keepNext/>
      <w:adjustRightInd/>
      <w:spacing w:before="480" w:after="240"/>
      <w:outlineLvl w:val="0"/>
    </w:pPr>
    <w:rPr>
      <w:rFonts w:ascii="Times New Roman Bold" w:hAnsi="Times New Roman Bold" w:cs="Arial"/>
      <w:b/>
      <w:bCs/>
      <w:kern w:val="32"/>
      <w:sz w:val="24"/>
      <w:szCs w:val="32"/>
    </w:rPr>
  </w:style>
  <w:style w:type="paragraph" w:styleId="Heading2">
    <w:name w:val="heading 2"/>
    <w:basedOn w:val="Normal"/>
    <w:next w:val="Normal"/>
    <w:qFormat/>
    <w:rsid w:val="00160CC8"/>
    <w:pPr>
      <w:keepNext/>
      <w:adjustRightInd/>
      <w:spacing w:before="240" w:after="2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D642E"/>
    <w:pPr>
      <w:tabs>
        <w:tab w:val="center" w:pos="4320"/>
        <w:tab w:val="right" w:pos="8640"/>
      </w:tabs>
    </w:pPr>
  </w:style>
  <w:style w:type="character" w:styleId="PageNumber">
    <w:name w:val="page number"/>
    <w:basedOn w:val="DefaultParagraphFont"/>
    <w:rsid w:val="007D642E"/>
  </w:style>
  <w:style w:type="paragraph" w:styleId="FootnoteText">
    <w:name w:val="footnote text"/>
    <w:basedOn w:val="Normal"/>
    <w:link w:val="FootnoteTextChar"/>
    <w:semiHidden/>
    <w:rsid w:val="00160CC8"/>
    <w:pPr>
      <w:keepLines/>
      <w:adjustRightInd/>
    </w:pPr>
  </w:style>
  <w:style w:type="character" w:styleId="FootnoteReference">
    <w:name w:val="footnote reference"/>
    <w:basedOn w:val="DefaultParagraphFont"/>
    <w:rsid w:val="00160CC8"/>
    <w:rPr>
      <w:vertAlign w:val="superscript"/>
    </w:rPr>
  </w:style>
  <w:style w:type="paragraph" w:customStyle="1" w:styleId="xl28">
    <w:name w:val="xl28"/>
    <w:basedOn w:val="Normal"/>
    <w:rsid w:val="00160CC8"/>
    <w:pPr>
      <w:pBdr>
        <w:bottom w:val="single" w:sz="4" w:space="0" w:color="auto"/>
        <w:right w:val="double" w:sz="6" w:space="0" w:color="auto"/>
      </w:pBdr>
      <w:autoSpaceDE/>
      <w:autoSpaceDN/>
      <w:adjustRightInd/>
      <w:spacing w:before="100" w:beforeAutospacing="1" w:after="100" w:afterAutospacing="1"/>
      <w:jc w:val="center"/>
    </w:pPr>
    <w:rPr>
      <w:rFonts w:eastAsia="Arial Unicode MS"/>
      <w:b/>
      <w:bCs/>
      <w:sz w:val="24"/>
      <w:szCs w:val="24"/>
    </w:rPr>
  </w:style>
  <w:style w:type="paragraph" w:styleId="Header">
    <w:name w:val="header"/>
    <w:basedOn w:val="Normal"/>
    <w:link w:val="HeaderChar"/>
    <w:uiPriority w:val="99"/>
    <w:rsid w:val="00160CC8"/>
    <w:pPr>
      <w:tabs>
        <w:tab w:val="center" w:pos="4320"/>
        <w:tab w:val="right" w:pos="8640"/>
      </w:tabs>
      <w:autoSpaceDE/>
      <w:autoSpaceDN/>
      <w:adjustRightInd/>
    </w:pPr>
    <w:rPr>
      <w:sz w:val="24"/>
      <w:szCs w:val="24"/>
    </w:rPr>
  </w:style>
  <w:style w:type="character" w:customStyle="1" w:styleId="CaptionChar">
    <w:name w:val="Caption Char"/>
    <w:basedOn w:val="DefaultParagraphFont"/>
    <w:link w:val="Caption"/>
    <w:rsid w:val="00160CC8"/>
    <w:rPr>
      <w:rFonts w:ascii="Times New Roman Bold" w:hAnsi="Times New Roman Bold"/>
      <w:b/>
      <w:bCs/>
      <w:sz w:val="22"/>
      <w:lang w:val="en-US" w:eastAsia="en-US" w:bidi="ar-SA"/>
    </w:rPr>
  </w:style>
  <w:style w:type="paragraph" w:styleId="Caption">
    <w:name w:val="caption"/>
    <w:basedOn w:val="Normal"/>
    <w:next w:val="Normal"/>
    <w:link w:val="CaptionChar"/>
    <w:qFormat/>
    <w:rsid w:val="00160CC8"/>
    <w:pPr>
      <w:adjustRightInd/>
    </w:pPr>
    <w:rPr>
      <w:rFonts w:ascii="Times New Roman Bold" w:hAnsi="Times New Roman Bold"/>
      <w:b/>
      <w:bCs/>
      <w:sz w:val="22"/>
    </w:rPr>
  </w:style>
  <w:style w:type="character" w:styleId="Hyperlink">
    <w:name w:val="Hyperlink"/>
    <w:basedOn w:val="DefaultParagraphFont"/>
    <w:rsid w:val="00160CC8"/>
    <w:rPr>
      <w:color w:val="0000FF"/>
      <w:u w:val="single"/>
    </w:rPr>
  </w:style>
  <w:style w:type="table" w:styleId="TableGrid">
    <w:name w:val="Table Grid"/>
    <w:basedOn w:val="TableNormal"/>
    <w:uiPriority w:val="59"/>
    <w:rsid w:val="001B6C9A"/>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438E"/>
    <w:pPr>
      <w:autoSpaceDE/>
      <w:autoSpaceDN/>
      <w:adjustRightInd/>
      <w:spacing w:after="200" w:line="276" w:lineRule="auto"/>
      <w:ind w:left="720"/>
      <w:contextualSpacing/>
    </w:pPr>
    <w:rPr>
      <w:rFonts w:ascii="Calibri" w:eastAsia="Calibri" w:hAnsi="Calibri"/>
      <w:sz w:val="22"/>
      <w:szCs w:val="22"/>
    </w:rPr>
  </w:style>
  <w:style w:type="character" w:customStyle="1" w:styleId="GPOItalic">
    <w:name w:val="GPO Italic"/>
    <w:basedOn w:val="DefaultParagraphFont"/>
    <w:rsid w:val="00DC3847"/>
    <w:rPr>
      <w:bCs/>
      <w:i/>
    </w:rPr>
  </w:style>
  <w:style w:type="paragraph" w:customStyle="1" w:styleId="GPOHD2">
    <w:name w:val="GPO HD2"/>
    <w:basedOn w:val="Normal"/>
    <w:rsid w:val="00DC3847"/>
    <w:pPr>
      <w:widowControl w:val="0"/>
    </w:pPr>
    <w:rPr>
      <w:i/>
      <w:iCs/>
    </w:rPr>
  </w:style>
  <w:style w:type="paragraph" w:customStyle="1" w:styleId="GPONormal">
    <w:name w:val="GPO Normal"/>
    <w:basedOn w:val="Normal"/>
    <w:rsid w:val="00DC3847"/>
    <w:pPr>
      <w:widowControl w:val="0"/>
    </w:pPr>
  </w:style>
  <w:style w:type="character" w:styleId="FollowedHyperlink">
    <w:name w:val="FollowedHyperlink"/>
    <w:basedOn w:val="DefaultParagraphFont"/>
    <w:rsid w:val="003F1A54"/>
    <w:rPr>
      <w:color w:val="800080" w:themeColor="followedHyperlink"/>
      <w:u w:val="single"/>
    </w:rPr>
  </w:style>
  <w:style w:type="character" w:customStyle="1" w:styleId="st">
    <w:name w:val="st"/>
    <w:basedOn w:val="DefaultParagraphFont"/>
    <w:rsid w:val="00E43646"/>
  </w:style>
  <w:style w:type="character" w:styleId="Emphasis">
    <w:name w:val="Emphasis"/>
    <w:basedOn w:val="DefaultParagraphFont"/>
    <w:uiPriority w:val="20"/>
    <w:qFormat/>
    <w:rsid w:val="00E43646"/>
    <w:rPr>
      <w:i/>
      <w:iCs/>
    </w:rPr>
  </w:style>
  <w:style w:type="paragraph" w:styleId="BalloonText">
    <w:name w:val="Balloon Text"/>
    <w:basedOn w:val="Normal"/>
    <w:link w:val="BalloonTextChar"/>
    <w:rsid w:val="00C16DD0"/>
    <w:rPr>
      <w:rFonts w:ascii="Tahoma" w:hAnsi="Tahoma" w:cs="Tahoma"/>
      <w:sz w:val="16"/>
      <w:szCs w:val="16"/>
    </w:rPr>
  </w:style>
  <w:style w:type="character" w:customStyle="1" w:styleId="BalloonTextChar">
    <w:name w:val="Balloon Text Char"/>
    <w:basedOn w:val="DefaultParagraphFont"/>
    <w:link w:val="BalloonText"/>
    <w:rsid w:val="00C16DD0"/>
    <w:rPr>
      <w:rFonts w:ascii="Tahoma" w:hAnsi="Tahoma" w:cs="Tahoma"/>
      <w:sz w:val="16"/>
      <w:szCs w:val="16"/>
    </w:rPr>
  </w:style>
  <w:style w:type="paragraph" w:styleId="BodyText">
    <w:name w:val="Body Text"/>
    <w:basedOn w:val="Normal"/>
    <w:link w:val="BodyTextChar"/>
    <w:rsid w:val="00F4021F"/>
    <w:pPr>
      <w:autoSpaceDE/>
      <w:autoSpaceDN/>
      <w:adjustRightInd/>
      <w:spacing w:before="120" w:after="120"/>
    </w:pPr>
    <w:rPr>
      <w:noProof/>
      <w:sz w:val="22"/>
      <w:szCs w:val="22"/>
    </w:rPr>
  </w:style>
  <w:style w:type="character" w:customStyle="1" w:styleId="BodyTextChar">
    <w:name w:val="Body Text Char"/>
    <w:basedOn w:val="DefaultParagraphFont"/>
    <w:link w:val="BodyText"/>
    <w:rsid w:val="00F4021F"/>
    <w:rPr>
      <w:noProof/>
      <w:sz w:val="22"/>
      <w:szCs w:val="22"/>
    </w:rPr>
  </w:style>
  <w:style w:type="character" w:customStyle="1" w:styleId="apple-converted-space">
    <w:name w:val="apple-converted-space"/>
    <w:basedOn w:val="DefaultParagraphFont"/>
    <w:rsid w:val="00CB4AEA"/>
  </w:style>
  <w:style w:type="character" w:styleId="CommentReference">
    <w:name w:val="annotation reference"/>
    <w:basedOn w:val="DefaultParagraphFont"/>
    <w:uiPriority w:val="99"/>
    <w:rsid w:val="00806078"/>
    <w:rPr>
      <w:sz w:val="16"/>
      <w:szCs w:val="16"/>
    </w:rPr>
  </w:style>
  <w:style w:type="paragraph" w:styleId="CommentText">
    <w:name w:val="annotation text"/>
    <w:basedOn w:val="Normal"/>
    <w:link w:val="CommentTextChar"/>
    <w:uiPriority w:val="99"/>
    <w:rsid w:val="00806078"/>
  </w:style>
  <w:style w:type="character" w:customStyle="1" w:styleId="CommentTextChar">
    <w:name w:val="Comment Text Char"/>
    <w:basedOn w:val="DefaultParagraphFont"/>
    <w:link w:val="CommentText"/>
    <w:uiPriority w:val="99"/>
    <w:rsid w:val="00806078"/>
  </w:style>
  <w:style w:type="paragraph" w:styleId="CommentSubject">
    <w:name w:val="annotation subject"/>
    <w:basedOn w:val="CommentText"/>
    <w:next w:val="CommentText"/>
    <w:link w:val="CommentSubjectChar"/>
    <w:rsid w:val="00806078"/>
    <w:rPr>
      <w:b/>
      <w:bCs/>
    </w:rPr>
  </w:style>
  <w:style w:type="character" w:customStyle="1" w:styleId="CommentSubjectChar">
    <w:name w:val="Comment Subject Char"/>
    <w:basedOn w:val="CommentTextChar"/>
    <w:link w:val="CommentSubject"/>
    <w:rsid w:val="00806078"/>
    <w:rPr>
      <w:b/>
      <w:bCs/>
    </w:rPr>
  </w:style>
  <w:style w:type="paragraph" w:styleId="PlainText">
    <w:name w:val="Plain Text"/>
    <w:basedOn w:val="Normal"/>
    <w:link w:val="PlainTextChar"/>
    <w:uiPriority w:val="99"/>
    <w:unhideWhenUsed/>
    <w:rsid w:val="000D0B6E"/>
    <w:pPr>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D0B6E"/>
    <w:rPr>
      <w:rFonts w:ascii="Consolas" w:eastAsiaTheme="minorHAnsi" w:hAnsi="Consolas" w:cstheme="minorBidi"/>
      <w:sz w:val="21"/>
      <w:szCs w:val="21"/>
    </w:rPr>
  </w:style>
  <w:style w:type="character" w:styleId="LineNumber">
    <w:name w:val="line number"/>
    <w:basedOn w:val="DefaultParagraphFont"/>
    <w:rsid w:val="009D1C40"/>
  </w:style>
  <w:style w:type="paragraph" w:styleId="EndnoteText">
    <w:name w:val="endnote text"/>
    <w:basedOn w:val="Normal"/>
    <w:link w:val="EndnoteTextChar"/>
    <w:uiPriority w:val="99"/>
    <w:unhideWhenUsed/>
    <w:rsid w:val="00FF3DB2"/>
    <w:pPr>
      <w:autoSpaceDE/>
      <w:autoSpaceDN/>
      <w:adjustRightInd/>
    </w:pPr>
    <w:rPr>
      <w:rFonts w:asciiTheme="minorHAnsi" w:eastAsiaTheme="minorHAnsi" w:hAnsiTheme="minorHAnsi" w:cstheme="minorBidi"/>
    </w:rPr>
  </w:style>
  <w:style w:type="character" w:customStyle="1" w:styleId="EndnoteTextChar">
    <w:name w:val="Endnote Text Char"/>
    <w:basedOn w:val="DefaultParagraphFont"/>
    <w:link w:val="EndnoteText"/>
    <w:uiPriority w:val="99"/>
    <w:rsid w:val="00FF3DB2"/>
    <w:rPr>
      <w:rFonts w:asciiTheme="minorHAnsi" w:eastAsiaTheme="minorHAnsi" w:hAnsiTheme="minorHAnsi" w:cstheme="minorBidi"/>
    </w:rPr>
  </w:style>
  <w:style w:type="character" w:styleId="EndnoteReference">
    <w:name w:val="endnote reference"/>
    <w:basedOn w:val="DefaultParagraphFont"/>
    <w:uiPriority w:val="99"/>
    <w:unhideWhenUsed/>
    <w:rsid w:val="00FF3DB2"/>
    <w:rPr>
      <w:vertAlign w:val="superscript"/>
    </w:rPr>
  </w:style>
  <w:style w:type="character" w:customStyle="1" w:styleId="HeaderChar">
    <w:name w:val="Header Char"/>
    <w:basedOn w:val="DefaultParagraphFont"/>
    <w:link w:val="Header"/>
    <w:uiPriority w:val="99"/>
    <w:rsid w:val="00DB648E"/>
    <w:rPr>
      <w:sz w:val="24"/>
      <w:szCs w:val="24"/>
    </w:rPr>
  </w:style>
  <w:style w:type="paragraph" w:styleId="NormalWeb">
    <w:name w:val="Normal (Web)"/>
    <w:basedOn w:val="Normal"/>
    <w:uiPriority w:val="99"/>
    <w:unhideWhenUsed/>
    <w:rsid w:val="00A73072"/>
    <w:pPr>
      <w:autoSpaceDE/>
      <w:autoSpaceDN/>
      <w:adjustRightInd/>
      <w:spacing w:before="100" w:beforeAutospacing="1" w:after="100" w:afterAutospacing="1"/>
    </w:pPr>
    <w:rPr>
      <w:sz w:val="24"/>
      <w:szCs w:val="24"/>
    </w:rPr>
  </w:style>
  <w:style w:type="character" w:styleId="Strong">
    <w:name w:val="Strong"/>
    <w:basedOn w:val="DefaultParagraphFont"/>
    <w:uiPriority w:val="22"/>
    <w:qFormat/>
    <w:rsid w:val="00A73072"/>
    <w:rPr>
      <w:b/>
      <w:bCs/>
    </w:rPr>
  </w:style>
  <w:style w:type="character" w:customStyle="1" w:styleId="FootnoteTextChar">
    <w:name w:val="Footnote Text Char"/>
    <w:basedOn w:val="DefaultParagraphFont"/>
    <w:link w:val="FootnoteText"/>
    <w:semiHidden/>
    <w:locked/>
    <w:rsid w:val="003872B4"/>
  </w:style>
  <w:style w:type="paragraph" w:customStyle="1" w:styleId="Default">
    <w:name w:val="Default"/>
    <w:basedOn w:val="Normal"/>
    <w:rsid w:val="00BA703C"/>
    <w:pPr>
      <w:adjustRightInd/>
    </w:pPr>
    <w:rPr>
      <w:rFonts w:ascii="Calibri" w:eastAsiaTheme="minorHAnsi" w:hAnsi="Calibri"/>
      <w:color w:val="000000"/>
      <w:sz w:val="24"/>
      <w:szCs w:val="24"/>
    </w:rPr>
  </w:style>
  <w:style w:type="paragraph" w:styleId="NoSpacing">
    <w:name w:val="No Spacing"/>
    <w:uiPriority w:val="1"/>
    <w:qFormat/>
    <w:rsid w:val="00396651"/>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B82"/>
    <w:pPr>
      <w:autoSpaceDE w:val="0"/>
      <w:autoSpaceDN w:val="0"/>
      <w:adjustRightInd w:val="0"/>
    </w:pPr>
  </w:style>
  <w:style w:type="paragraph" w:styleId="Heading1">
    <w:name w:val="heading 1"/>
    <w:basedOn w:val="Normal"/>
    <w:next w:val="Normal"/>
    <w:qFormat/>
    <w:rsid w:val="00160CC8"/>
    <w:pPr>
      <w:keepNext/>
      <w:adjustRightInd/>
      <w:spacing w:before="480" w:after="240"/>
      <w:outlineLvl w:val="0"/>
    </w:pPr>
    <w:rPr>
      <w:rFonts w:ascii="Times New Roman Bold" w:hAnsi="Times New Roman Bold" w:cs="Arial"/>
      <w:b/>
      <w:bCs/>
      <w:kern w:val="32"/>
      <w:sz w:val="24"/>
      <w:szCs w:val="32"/>
    </w:rPr>
  </w:style>
  <w:style w:type="paragraph" w:styleId="Heading2">
    <w:name w:val="heading 2"/>
    <w:basedOn w:val="Normal"/>
    <w:next w:val="Normal"/>
    <w:qFormat/>
    <w:rsid w:val="00160CC8"/>
    <w:pPr>
      <w:keepNext/>
      <w:adjustRightInd/>
      <w:spacing w:before="240" w:after="2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D642E"/>
    <w:pPr>
      <w:tabs>
        <w:tab w:val="center" w:pos="4320"/>
        <w:tab w:val="right" w:pos="8640"/>
      </w:tabs>
    </w:pPr>
  </w:style>
  <w:style w:type="character" w:styleId="PageNumber">
    <w:name w:val="page number"/>
    <w:basedOn w:val="DefaultParagraphFont"/>
    <w:rsid w:val="007D642E"/>
  </w:style>
  <w:style w:type="paragraph" w:styleId="FootnoteText">
    <w:name w:val="footnote text"/>
    <w:basedOn w:val="Normal"/>
    <w:link w:val="FootnoteTextChar"/>
    <w:semiHidden/>
    <w:rsid w:val="00160CC8"/>
    <w:pPr>
      <w:keepLines/>
      <w:adjustRightInd/>
    </w:pPr>
  </w:style>
  <w:style w:type="character" w:styleId="FootnoteReference">
    <w:name w:val="footnote reference"/>
    <w:basedOn w:val="DefaultParagraphFont"/>
    <w:rsid w:val="00160CC8"/>
    <w:rPr>
      <w:vertAlign w:val="superscript"/>
    </w:rPr>
  </w:style>
  <w:style w:type="paragraph" w:customStyle="1" w:styleId="xl28">
    <w:name w:val="xl28"/>
    <w:basedOn w:val="Normal"/>
    <w:rsid w:val="00160CC8"/>
    <w:pPr>
      <w:pBdr>
        <w:bottom w:val="single" w:sz="4" w:space="0" w:color="auto"/>
        <w:right w:val="double" w:sz="6" w:space="0" w:color="auto"/>
      </w:pBdr>
      <w:autoSpaceDE/>
      <w:autoSpaceDN/>
      <w:adjustRightInd/>
      <w:spacing w:before="100" w:beforeAutospacing="1" w:after="100" w:afterAutospacing="1"/>
      <w:jc w:val="center"/>
    </w:pPr>
    <w:rPr>
      <w:rFonts w:eastAsia="Arial Unicode MS"/>
      <w:b/>
      <w:bCs/>
      <w:sz w:val="24"/>
      <w:szCs w:val="24"/>
    </w:rPr>
  </w:style>
  <w:style w:type="paragraph" w:styleId="Header">
    <w:name w:val="header"/>
    <w:basedOn w:val="Normal"/>
    <w:link w:val="HeaderChar"/>
    <w:uiPriority w:val="99"/>
    <w:rsid w:val="00160CC8"/>
    <w:pPr>
      <w:tabs>
        <w:tab w:val="center" w:pos="4320"/>
        <w:tab w:val="right" w:pos="8640"/>
      </w:tabs>
      <w:autoSpaceDE/>
      <w:autoSpaceDN/>
      <w:adjustRightInd/>
    </w:pPr>
    <w:rPr>
      <w:sz w:val="24"/>
      <w:szCs w:val="24"/>
    </w:rPr>
  </w:style>
  <w:style w:type="character" w:customStyle="1" w:styleId="CaptionChar">
    <w:name w:val="Caption Char"/>
    <w:basedOn w:val="DefaultParagraphFont"/>
    <w:link w:val="Caption"/>
    <w:rsid w:val="00160CC8"/>
    <w:rPr>
      <w:rFonts w:ascii="Times New Roman Bold" w:hAnsi="Times New Roman Bold"/>
      <w:b/>
      <w:bCs/>
      <w:sz w:val="22"/>
      <w:lang w:val="en-US" w:eastAsia="en-US" w:bidi="ar-SA"/>
    </w:rPr>
  </w:style>
  <w:style w:type="paragraph" w:styleId="Caption">
    <w:name w:val="caption"/>
    <w:basedOn w:val="Normal"/>
    <w:next w:val="Normal"/>
    <w:link w:val="CaptionChar"/>
    <w:qFormat/>
    <w:rsid w:val="00160CC8"/>
    <w:pPr>
      <w:adjustRightInd/>
    </w:pPr>
    <w:rPr>
      <w:rFonts w:ascii="Times New Roman Bold" w:hAnsi="Times New Roman Bold"/>
      <w:b/>
      <w:bCs/>
      <w:sz w:val="22"/>
    </w:rPr>
  </w:style>
  <w:style w:type="character" w:styleId="Hyperlink">
    <w:name w:val="Hyperlink"/>
    <w:basedOn w:val="DefaultParagraphFont"/>
    <w:rsid w:val="00160CC8"/>
    <w:rPr>
      <w:color w:val="0000FF"/>
      <w:u w:val="single"/>
    </w:rPr>
  </w:style>
  <w:style w:type="table" w:styleId="TableGrid">
    <w:name w:val="Table Grid"/>
    <w:basedOn w:val="TableNormal"/>
    <w:uiPriority w:val="59"/>
    <w:rsid w:val="001B6C9A"/>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438E"/>
    <w:pPr>
      <w:autoSpaceDE/>
      <w:autoSpaceDN/>
      <w:adjustRightInd/>
      <w:spacing w:after="200" w:line="276" w:lineRule="auto"/>
      <w:ind w:left="720"/>
      <w:contextualSpacing/>
    </w:pPr>
    <w:rPr>
      <w:rFonts w:ascii="Calibri" w:eastAsia="Calibri" w:hAnsi="Calibri"/>
      <w:sz w:val="22"/>
      <w:szCs w:val="22"/>
    </w:rPr>
  </w:style>
  <w:style w:type="character" w:customStyle="1" w:styleId="GPOItalic">
    <w:name w:val="GPO Italic"/>
    <w:basedOn w:val="DefaultParagraphFont"/>
    <w:rsid w:val="00DC3847"/>
    <w:rPr>
      <w:bCs/>
      <w:i/>
    </w:rPr>
  </w:style>
  <w:style w:type="paragraph" w:customStyle="1" w:styleId="GPOHD2">
    <w:name w:val="GPO HD2"/>
    <w:basedOn w:val="Normal"/>
    <w:rsid w:val="00DC3847"/>
    <w:pPr>
      <w:widowControl w:val="0"/>
    </w:pPr>
    <w:rPr>
      <w:i/>
      <w:iCs/>
    </w:rPr>
  </w:style>
  <w:style w:type="paragraph" w:customStyle="1" w:styleId="GPONormal">
    <w:name w:val="GPO Normal"/>
    <w:basedOn w:val="Normal"/>
    <w:rsid w:val="00DC3847"/>
    <w:pPr>
      <w:widowControl w:val="0"/>
    </w:pPr>
  </w:style>
  <w:style w:type="character" w:styleId="FollowedHyperlink">
    <w:name w:val="FollowedHyperlink"/>
    <w:basedOn w:val="DefaultParagraphFont"/>
    <w:rsid w:val="003F1A54"/>
    <w:rPr>
      <w:color w:val="800080" w:themeColor="followedHyperlink"/>
      <w:u w:val="single"/>
    </w:rPr>
  </w:style>
  <w:style w:type="character" w:customStyle="1" w:styleId="st">
    <w:name w:val="st"/>
    <w:basedOn w:val="DefaultParagraphFont"/>
    <w:rsid w:val="00E43646"/>
  </w:style>
  <w:style w:type="character" w:styleId="Emphasis">
    <w:name w:val="Emphasis"/>
    <w:basedOn w:val="DefaultParagraphFont"/>
    <w:uiPriority w:val="20"/>
    <w:qFormat/>
    <w:rsid w:val="00E43646"/>
    <w:rPr>
      <w:i/>
      <w:iCs/>
    </w:rPr>
  </w:style>
  <w:style w:type="paragraph" w:styleId="BalloonText">
    <w:name w:val="Balloon Text"/>
    <w:basedOn w:val="Normal"/>
    <w:link w:val="BalloonTextChar"/>
    <w:rsid w:val="00C16DD0"/>
    <w:rPr>
      <w:rFonts w:ascii="Tahoma" w:hAnsi="Tahoma" w:cs="Tahoma"/>
      <w:sz w:val="16"/>
      <w:szCs w:val="16"/>
    </w:rPr>
  </w:style>
  <w:style w:type="character" w:customStyle="1" w:styleId="BalloonTextChar">
    <w:name w:val="Balloon Text Char"/>
    <w:basedOn w:val="DefaultParagraphFont"/>
    <w:link w:val="BalloonText"/>
    <w:rsid w:val="00C16DD0"/>
    <w:rPr>
      <w:rFonts w:ascii="Tahoma" w:hAnsi="Tahoma" w:cs="Tahoma"/>
      <w:sz w:val="16"/>
      <w:szCs w:val="16"/>
    </w:rPr>
  </w:style>
  <w:style w:type="paragraph" w:styleId="BodyText">
    <w:name w:val="Body Text"/>
    <w:basedOn w:val="Normal"/>
    <w:link w:val="BodyTextChar"/>
    <w:rsid w:val="00F4021F"/>
    <w:pPr>
      <w:autoSpaceDE/>
      <w:autoSpaceDN/>
      <w:adjustRightInd/>
      <w:spacing w:before="120" w:after="120"/>
    </w:pPr>
    <w:rPr>
      <w:noProof/>
      <w:sz w:val="22"/>
      <w:szCs w:val="22"/>
    </w:rPr>
  </w:style>
  <w:style w:type="character" w:customStyle="1" w:styleId="BodyTextChar">
    <w:name w:val="Body Text Char"/>
    <w:basedOn w:val="DefaultParagraphFont"/>
    <w:link w:val="BodyText"/>
    <w:rsid w:val="00F4021F"/>
    <w:rPr>
      <w:noProof/>
      <w:sz w:val="22"/>
      <w:szCs w:val="22"/>
    </w:rPr>
  </w:style>
  <w:style w:type="character" w:customStyle="1" w:styleId="apple-converted-space">
    <w:name w:val="apple-converted-space"/>
    <w:basedOn w:val="DefaultParagraphFont"/>
    <w:rsid w:val="00CB4AEA"/>
  </w:style>
  <w:style w:type="character" w:styleId="CommentReference">
    <w:name w:val="annotation reference"/>
    <w:basedOn w:val="DefaultParagraphFont"/>
    <w:uiPriority w:val="99"/>
    <w:rsid w:val="00806078"/>
    <w:rPr>
      <w:sz w:val="16"/>
      <w:szCs w:val="16"/>
    </w:rPr>
  </w:style>
  <w:style w:type="paragraph" w:styleId="CommentText">
    <w:name w:val="annotation text"/>
    <w:basedOn w:val="Normal"/>
    <w:link w:val="CommentTextChar"/>
    <w:uiPriority w:val="99"/>
    <w:rsid w:val="00806078"/>
  </w:style>
  <w:style w:type="character" w:customStyle="1" w:styleId="CommentTextChar">
    <w:name w:val="Comment Text Char"/>
    <w:basedOn w:val="DefaultParagraphFont"/>
    <w:link w:val="CommentText"/>
    <w:uiPriority w:val="99"/>
    <w:rsid w:val="00806078"/>
  </w:style>
  <w:style w:type="paragraph" w:styleId="CommentSubject">
    <w:name w:val="annotation subject"/>
    <w:basedOn w:val="CommentText"/>
    <w:next w:val="CommentText"/>
    <w:link w:val="CommentSubjectChar"/>
    <w:rsid w:val="00806078"/>
    <w:rPr>
      <w:b/>
      <w:bCs/>
    </w:rPr>
  </w:style>
  <w:style w:type="character" w:customStyle="1" w:styleId="CommentSubjectChar">
    <w:name w:val="Comment Subject Char"/>
    <w:basedOn w:val="CommentTextChar"/>
    <w:link w:val="CommentSubject"/>
    <w:rsid w:val="00806078"/>
    <w:rPr>
      <w:b/>
      <w:bCs/>
    </w:rPr>
  </w:style>
  <w:style w:type="paragraph" w:styleId="PlainText">
    <w:name w:val="Plain Text"/>
    <w:basedOn w:val="Normal"/>
    <w:link w:val="PlainTextChar"/>
    <w:uiPriority w:val="99"/>
    <w:unhideWhenUsed/>
    <w:rsid w:val="000D0B6E"/>
    <w:pPr>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D0B6E"/>
    <w:rPr>
      <w:rFonts w:ascii="Consolas" w:eastAsiaTheme="minorHAnsi" w:hAnsi="Consolas" w:cstheme="minorBidi"/>
      <w:sz w:val="21"/>
      <w:szCs w:val="21"/>
    </w:rPr>
  </w:style>
  <w:style w:type="character" w:styleId="LineNumber">
    <w:name w:val="line number"/>
    <w:basedOn w:val="DefaultParagraphFont"/>
    <w:rsid w:val="009D1C40"/>
  </w:style>
  <w:style w:type="paragraph" w:styleId="EndnoteText">
    <w:name w:val="endnote text"/>
    <w:basedOn w:val="Normal"/>
    <w:link w:val="EndnoteTextChar"/>
    <w:uiPriority w:val="99"/>
    <w:unhideWhenUsed/>
    <w:rsid w:val="00FF3DB2"/>
    <w:pPr>
      <w:autoSpaceDE/>
      <w:autoSpaceDN/>
      <w:adjustRightInd/>
    </w:pPr>
    <w:rPr>
      <w:rFonts w:asciiTheme="minorHAnsi" w:eastAsiaTheme="minorHAnsi" w:hAnsiTheme="minorHAnsi" w:cstheme="minorBidi"/>
    </w:rPr>
  </w:style>
  <w:style w:type="character" w:customStyle="1" w:styleId="EndnoteTextChar">
    <w:name w:val="Endnote Text Char"/>
    <w:basedOn w:val="DefaultParagraphFont"/>
    <w:link w:val="EndnoteText"/>
    <w:uiPriority w:val="99"/>
    <w:rsid w:val="00FF3DB2"/>
    <w:rPr>
      <w:rFonts w:asciiTheme="minorHAnsi" w:eastAsiaTheme="minorHAnsi" w:hAnsiTheme="minorHAnsi" w:cstheme="minorBidi"/>
    </w:rPr>
  </w:style>
  <w:style w:type="character" w:styleId="EndnoteReference">
    <w:name w:val="endnote reference"/>
    <w:basedOn w:val="DefaultParagraphFont"/>
    <w:uiPriority w:val="99"/>
    <w:unhideWhenUsed/>
    <w:rsid w:val="00FF3DB2"/>
    <w:rPr>
      <w:vertAlign w:val="superscript"/>
    </w:rPr>
  </w:style>
  <w:style w:type="character" w:customStyle="1" w:styleId="HeaderChar">
    <w:name w:val="Header Char"/>
    <w:basedOn w:val="DefaultParagraphFont"/>
    <w:link w:val="Header"/>
    <w:uiPriority w:val="99"/>
    <w:rsid w:val="00DB648E"/>
    <w:rPr>
      <w:sz w:val="24"/>
      <w:szCs w:val="24"/>
    </w:rPr>
  </w:style>
  <w:style w:type="paragraph" w:styleId="NormalWeb">
    <w:name w:val="Normal (Web)"/>
    <w:basedOn w:val="Normal"/>
    <w:uiPriority w:val="99"/>
    <w:unhideWhenUsed/>
    <w:rsid w:val="00A73072"/>
    <w:pPr>
      <w:autoSpaceDE/>
      <w:autoSpaceDN/>
      <w:adjustRightInd/>
      <w:spacing w:before="100" w:beforeAutospacing="1" w:after="100" w:afterAutospacing="1"/>
    </w:pPr>
    <w:rPr>
      <w:sz w:val="24"/>
      <w:szCs w:val="24"/>
    </w:rPr>
  </w:style>
  <w:style w:type="character" w:styleId="Strong">
    <w:name w:val="Strong"/>
    <w:basedOn w:val="DefaultParagraphFont"/>
    <w:uiPriority w:val="22"/>
    <w:qFormat/>
    <w:rsid w:val="00A73072"/>
    <w:rPr>
      <w:b/>
      <w:bCs/>
    </w:rPr>
  </w:style>
  <w:style w:type="character" w:customStyle="1" w:styleId="FootnoteTextChar">
    <w:name w:val="Footnote Text Char"/>
    <w:basedOn w:val="DefaultParagraphFont"/>
    <w:link w:val="FootnoteText"/>
    <w:semiHidden/>
    <w:locked/>
    <w:rsid w:val="003872B4"/>
  </w:style>
  <w:style w:type="paragraph" w:customStyle="1" w:styleId="Default">
    <w:name w:val="Default"/>
    <w:basedOn w:val="Normal"/>
    <w:rsid w:val="00BA703C"/>
    <w:pPr>
      <w:adjustRightInd/>
    </w:pPr>
    <w:rPr>
      <w:rFonts w:ascii="Calibri" w:eastAsiaTheme="minorHAnsi" w:hAnsi="Calibri"/>
      <w:color w:val="000000"/>
      <w:sz w:val="24"/>
      <w:szCs w:val="24"/>
    </w:rPr>
  </w:style>
  <w:style w:type="paragraph" w:styleId="NoSpacing">
    <w:name w:val="No Spacing"/>
    <w:uiPriority w:val="1"/>
    <w:qFormat/>
    <w:rsid w:val="0039665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2629">
      <w:bodyDiv w:val="1"/>
      <w:marLeft w:val="0"/>
      <w:marRight w:val="0"/>
      <w:marTop w:val="0"/>
      <w:marBottom w:val="0"/>
      <w:divBdr>
        <w:top w:val="none" w:sz="0" w:space="0" w:color="auto"/>
        <w:left w:val="none" w:sz="0" w:space="0" w:color="auto"/>
        <w:bottom w:val="none" w:sz="0" w:space="0" w:color="auto"/>
        <w:right w:val="none" w:sz="0" w:space="0" w:color="auto"/>
      </w:divBdr>
    </w:div>
    <w:div w:id="150291411">
      <w:bodyDiv w:val="1"/>
      <w:marLeft w:val="0"/>
      <w:marRight w:val="0"/>
      <w:marTop w:val="0"/>
      <w:marBottom w:val="0"/>
      <w:divBdr>
        <w:top w:val="none" w:sz="0" w:space="0" w:color="auto"/>
        <w:left w:val="none" w:sz="0" w:space="0" w:color="auto"/>
        <w:bottom w:val="none" w:sz="0" w:space="0" w:color="auto"/>
        <w:right w:val="none" w:sz="0" w:space="0" w:color="auto"/>
      </w:divBdr>
    </w:div>
    <w:div w:id="1214543060">
      <w:bodyDiv w:val="1"/>
      <w:marLeft w:val="0"/>
      <w:marRight w:val="0"/>
      <w:marTop w:val="0"/>
      <w:marBottom w:val="0"/>
      <w:divBdr>
        <w:top w:val="none" w:sz="0" w:space="0" w:color="auto"/>
        <w:left w:val="none" w:sz="0" w:space="0" w:color="auto"/>
        <w:bottom w:val="none" w:sz="0" w:space="0" w:color="auto"/>
        <w:right w:val="none" w:sz="0" w:space="0" w:color="auto"/>
      </w:divBdr>
    </w:div>
    <w:div w:id="1232078161">
      <w:bodyDiv w:val="1"/>
      <w:marLeft w:val="0"/>
      <w:marRight w:val="0"/>
      <w:marTop w:val="0"/>
      <w:marBottom w:val="0"/>
      <w:divBdr>
        <w:top w:val="none" w:sz="0" w:space="0" w:color="auto"/>
        <w:left w:val="none" w:sz="0" w:space="0" w:color="auto"/>
        <w:bottom w:val="none" w:sz="0" w:space="0" w:color="auto"/>
        <w:right w:val="none" w:sz="0" w:space="0" w:color="auto"/>
      </w:divBdr>
    </w:div>
    <w:div w:id="1498230386">
      <w:bodyDiv w:val="1"/>
      <w:marLeft w:val="0"/>
      <w:marRight w:val="0"/>
      <w:marTop w:val="0"/>
      <w:marBottom w:val="0"/>
      <w:divBdr>
        <w:top w:val="none" w:sz="0" w:space="0" w:color="auto"/>
        <w:left w:val="none" w:sz="0" w:space="0" w:color="auto"/>
        <w:bottom w:val="none" w:sz="0" w:space="0" w:color="auto"/>
        <w:right w:val="none" w:sz="0" w:space="0" w:color="auto"/>
      </w:divBdr>
    </w:div>
    <w:div w:id="1789280450">
      <w:bodyDiv w:val="1"/>
      <w:marLeft w:val="0"/>
      <w:marRight w:val="0"/>
      <w:marTop w:val="0"/>
      <w:marBottom w:val="0"/>
      <w:divBdr>
        <w:top w:val="none" w:sz="0" w:space="0" w:color="auto"/>
        <w:left w:val="none" w:sz="0" w:space="0" w:color="auto"/>
        <w:bottom w:val="none" w:sz="0" w:space="0" w:color="auto"/>
        <w:right w:val="none" w:sz="0" w:space="0" w:color="auto"/>
      </w:divBdr>
    </w:div>
    <w:div w:id="203472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ava.epa.gov/oppt_chemical_search/"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java.epa.gov/oppt_chemical_search/"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ava.epa.gov/oppt_chemical_search/" TargetMode="Externa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www.regulations.gov" TargetMode="External"/><Relationship Id="rId23" Type="http://schemas.openxmlformats.org/officeDocument/2006/relationships/footer" Target="footer4.xml"/><Relationship Id="rId10" Type="http://schemas.openxmlformats.org/officeDocument/2006/relationships/hyperlink" Target="http://java.epa.gov/chemview" TargetMode="External"/><Relationship Id="rId19" Type="http://schemas.openxmlformats.org/officeDocument/2006/relationships/hyperlink" Target="https://www.regulations.gov/" TargetMode="External"/><Relationship Id="rId4" Type="http://schemas.microsoft.com/office/2007/relationships/stylesWithEffects" Target="stylesWithEffects.xml"/><Relationship Id="rId9" Type="http://schemas.openxmlformats.org/officeDocument/2006/relationships/hyperlink" Target="https://java.epa.gov/oppt_chemical_search/" TargetMode="External"/><Relationship Id="rId14" Type="http://schemas.openxmlformats.org/officeDocument/2006/relationships/hyperlink" Target="http://java.epa.gov/chemview"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348AE-C1F6-4D7C-9DFD-843D334CA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7673</Words>
  <Characters>43737</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Supporting Statement for a Request for OMB Review under</vt:lpstr>
    </vt:vector>
  </TitlesOfParts>
  <Company>EPA</Company>
  <LinksUpToDate>false</LinksUpToDate>
  <CharactersWithSpaces>51308</CharactersWithSpaces>
  <SharedDoc>false</SharedDoc>
  <HLinks>
    <vt:vector size="6" baseType="variant">
      <vt:variant>
        <vt:i4>5570655</vt:i4>
      </vt:variant>
      <vt:variant>
        <vt:i4>11</vt:i4>
      </vt:variant>
      <vt:variant>
        <vt:i4>0</vt:i4>
      </vt:variant>
      <vt:variant>
        <vt:i4>5</vt:i4>
      </vt:variant>
      <vt:variant>
        <vt:lpwstr>http://www.opm.gov/oca/07tables/html/dcb.asp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 Request for OMB Review under</dc:title>
  <dc:creator>Ron Carlson</dc:creator>
  <cp:lastModifiedBy>SYSTEM</cp:lastModifiedBy>
  <cp:revision>2</cp:revision>
  <cp:lastPrinted>2013-12-03T22:13:00Z</cp:lastPrinted>
  <dcterms:created xsi:type="dcterms:W3CDTF">2019-10-10T20:29:00Z</dcterms:created>
  <dcterms:modified xsi:type="dcterms:W3CDTF">2019-10-10T20:29:00Z</dcterms:modified>
</cp:coreProperties>
</file>